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277D1">
      <w:pPr>
        <w:spacing w:line="312" w:lineRule="auto"/>
        <w:jc w:val="center"/>
        <w:rPr>
          <w:rFonts w:ascii="仿宋" w:eastAsia="仿宋" w:cs="仿宋"/>
          <w:b/>
          <w:color w:val="auto"/>
          <w:sz w:val="47"/>
          <w:szCs w:val="47"/>
        </w:rPr>
      </w:pPr>
    </w:p>
    <w:p w14:paraId="255CEF21">
      <w:pPr>
        <w:spacing w:line="312" w:lineRule="auto"/>
        <w:jc w:val="center"/>
        <w:rPr>
          <w:rFonts w:hint="eastAsia" w:ascii="仿宋" w:eastAsia="仿宋" w:cs="仿宋"/>
          <w:b/>
          <w:color w:val="auto"/>
          <w:sz w:val="48"/>
          <w:szCs w:val="48"/>
          <w:lang w:eastAsia="zh-CN"/>
        </w:rPr>
      </w:pPr>
      <w:r>
        <w:rPr>
          <w:rFonts w:hint="eastAsia" w:ascii="仿宋" w:eastAsia="仿宋" w:cs="仿宋"/>
          <w:b/>
          <w:color w:val="auto"/>
          <w:sz w:val="72"/>
          <w:szCs w:val="72"/>
          <w:lang w:eastAsia="zh-CN"/>
        </w:rPr>
        <w:t>武义县妇幼保健院手术室吊塔、无影灯设备采购项目</w:t>
      </w:r>
    </w:p>
    <w:p w14:paraId="04F23024">
      <w:pPr>
        <w:autoSpaceDE/>
        <w:autoSpaceDN/>
        <w:spacing w:line="312" w:lineRule="auto"/>
        <w:jc w:val="center"/>
        <w:rPr>
          <w:rFonts w:ascii="仿宋" w:eastAsia="仿宋" w:cs="仿宋"/>
          <w:b/>
          <w:bCs/>
          <w:color w:val="auto"/>
          <w:sz w:val="52"/>
          <w:szCs w:val="52"/>
        </w:rPr>
      </w:pPr>
    </w:p>
    <w:p w14:paraId="6BB9D61E">
      <w:pPr>
        <w:autoSpaceDE/>
        <w:autoSpaceDN/>
        <w:spacing w:line="312" w:lineRule="auto"/>
        <w:jc w:val="center"/>
        <w:rPr>
          <w:rFonts w:ascii="仿宋" w:eastAsia="仿宋" w:cs="仿宋"/>
          <w:b/>
          <w:bCs/>
          <w:color w:val="auto"/>
          <w:sz w:val="52"/>
          <w:szCs w:val="52"/>
        </w:rPr>
      </w:pPr>
    </w:p>
    <w:p w14:paraId="64518F59">
      <w:pPr>
        <w:autoSpaceDE/>
        <w:autoSpaceDN/>
        <w:spacing w:line="312" w:lineRule="auto"/>
        <w:jc w:val="center"/>
        <w:rPr>
          <w:rFonts w:ascii="仿宋" w:eastAsia="仿宋" w:cs="仿宋"/>
          <w:b/>
          <w:bCs/>
          <w:color w:val="auto"/>
          <w:sz w:val="52"/>
          <w:szCs w:val="52"/>
        </w:rPr>
      </w:pPr>
    </w:p>
    <w:p w14:paraId="2747B172">
      <w:pPr>
        <w:pStyle w:val="11"/>
        <w:rPr>
          <w:color w:val="auto"/>
        </w:rPr>
      </w:pPr>
    </w:p>
    <w:p w14:paraId="7D0A696B">
      <w:pPr>
        <w:autoSpaceDE/>
        <w:autoSpaceDN/>
        <w:spacing w:line="312" w:lineRule="auto"/>
        <w:jc w:val="center"/>
        <w:rPr>
          <w:rFonts w:ascii="仿宋" w:eastAsia="仿宋" w:cs="仿宋"/>
          <w:b/>
          <w:bCs/>
          <w:color w:val="auto"/>
          <w:sz w:val="84"/>
          <w:szCs w:val="84"/>
        </w:rPr>
      </w:pPr>
      <w:r>
        <w:rPr>
          <w:rFonts w:hint="eastAsia" w:ascii="仿宋" w:eastAsia="仿宋" w:cs="仿宋"/>
          <w:b/>
          <w:bCs/>
          <w:color w:val="auto"/>
          <w:sz w:val="84"/>
          <w:szCs w:val="84"/>
        </w:rPr>
        <w:t>公开招标采购文件</w:t>
      </w:r>
    </w:p>
    <w:p w14:paraId="02274046">
      <w:pPr>
        <w:autoSpaceDE/>
        <w:autoSpaceDN/>
        <w:spacing w:line="312" w:lineRule="auto"/>
        <w:jc w:val="center"/>
        <w:rPr>
          <w:rFonts w:ascii="仿宋" w:eastAsia="仿宋" w:cs="仿宋"/>
          <w:b/>
          <w:bCs/>
          <w:color w:val="auto"/>
          <w:sz w:val="52"/>
          <w:szCs w:val="52"/>
        </w:rPr>
      </w:pPr>
      <w:r>
        <w:rPr>
          <w:rFonts w:hint="eastAsia" w:ascii="仿宋" w:eastAsia="仿宋" w:cs="仿宋"/>
          <w:b/>
          <w:bCs/>
          <w:color w:val="auto"/>
          <w:sz w:val="52"/>
          <w:szCs w:val="52"/>
        </w:rPr>
        <w:t>（政采云电子标）</w:t>
      </w:r>
    </w:p>
    <w:p w14:paraId="2F2C089C">
      <w:pPr>
        <w:pStyle w:val="11"/>
        <w:rPr>
          <w:color w:val="auto"/>
        </w:rPr>
      </w:pPr>
    </w:p>
    <w:p w14:paraId="1971BB69">
      <w:pPr>
        <w:autoSpaceDE/>
        <w:autoSpaceDN/>
        <w:spacing w:line="312" w:lineRule="auto"/>
        <w:jc w:val="center"/>
        <w:rPr>
          <w:rFonts w:ascii="仿宋" w:eastAsia="仿宋" w:cs="仿宋"/>
          <w:b/>
          <w:bCs/>
          <w:color w:val="auto"/>
          <w:sz w:val="52"/>
          <w:szCs w:val="52"/>
        </w:rPr>
      </w:pPr>
    </w:p>
    <w:p w14:paraId="7F442C46">
      <w:pPr>
        <w:autoSpaceDE/>
        <w:autoSpaceDN/>
        <w:spacing w:line="312" w:lineRule="auto"/>
        <w:jc w:val="center"/>
        <w:rPr>
          <w:rFonts w:ascii="仿宋" w:eastAsia="仿宋" w:cs="仿宋"/>
          <w:b/>
          <w:bCs/>
          <w:color w:val="auto"/>
          <w:sz w:val="52"/>
          <w:szCs w:val="52"/>
        </w:rPr>
      </w:pPr>
    </w:p>
    <w:p w14:paraId="5791705A">
      <w:pPr>
        <w:spacing w:line="600" w:lineRule="auto"/>
        <w:ind w:firstLine="1606" w:firstLineChars="500"/>
        <w:rPr>
          <w:rFonts w:hint="eastAsia" w:ascii="仿宋" w:eastAsia="仿宋" w:cs="仿宋"/>
          <w:b/>
          <w:bCs/>
          <w:color w:val="auto"/>
          <w:sz w:val="32"/>
          <w:szCs w:val="32"/>
          <w:lang w:eastAsia="zh-CN"/>
        </w:rPr>
      </w:pPr>
      <w:r>
        <w:rPr>
          <w:rFonts w:hint="eastAsia" w:ascii="仿宋" w:eastAsia="仿宋" w:cs="仿宋"/>
          <w:b/>
          <w:bCs/>
          <w:color w:val="auto"/>
          <w:sz w:val="32"/>
          <w:szCs w:val="32"/>
        </w:rPr>
        <w:t>项目编号：</w:t>
      </w:r>
      <w:r>
        <w:rPr>
          <w:rFonts w:hint="eastAsia" w:ascii="仿宋" w:eastAsia="仿宋" w:cs="仿宋"/>
          <w:b/>
          <w:bCs/>
          <w:color w:val="auto"/>
          <w:sz w:val="32"/>
          <w:szCs w:val="32"/>
          <w:lang w:eastAsia="zh-CN"/>
        </w:rPr>
        <w:t>JHTK-ZB2025008</w:t>
      </w:r>
    </w:p>
    <w:p w14:paraId="400AEDA7">
      <w:pPr>
        <w:spacing w:line="600" w:lineRule="auto"/>
        <w:ind w:firstLine="1606" w:firstLineChars="500"/>
        <w:rPr>
          <w:rFonts w:ascii="仿宋" w:eastAsia="仿宋" w:cs="仿宋"/>
          <w:b/>
          <w:bCs/>
          <w:color w:val="auto"/>
          <w:sz w:val="32"/>
          <w:szCs w:val="32"/>
        </w:rPr>
      </w:pPr>
      <w:r>
        <w:rPr>
          <w:rFonts w:hint="eastAsia" w:ascii="仿宋" w:eastAsia="仿宋" w:cs="仿宋"/>
          <w:b/>
          <w:bCs/>
          <w:color w:val="auto"/>
          <w:sz w:val="32"/>
          <w:szCs w:val="32"/>
        </w:rPr>
        <w:t>采购单位：</w:t>
      </w:r>
      <w:r>
        <w:rPr>
          <w:rFonts w:hint="eastAsia" w:ascii="仿宋" w:eastAsia="仿宋" w:cs="仿宋"/>
          <w:b/>
          <w:bCs/>
          <w:color w:val="auto"/>
          <w:sz w:val="32"/>
          <w:szCs w:val="32"/>
          <w:lang w:eastAsia="zh-CN"/>
        </w:rPr>
        <w:t>武义县妇幼保健院</w:t>
      </w:r>
      <w:r>
        <w:rPr>
          <w:rFonts w:hint="eastAsia" w:ascii="仿宋" w:eastAsia="仿宋" w:cs="仿宋"/>
          <w:b/>
          <w:bCs/>
          <w:color w:val="auto"/>
          <w:sz w:val="32"/>
          <w:szCs w:val="32"/>
        </w:rPr>
        <w:t>（盖章）</w:t>
      </w:r>
    </w:p>
    <w:p w14:paraId="4D719FF6">
      <w:pPr>
        <w:spacing w:line="600" w:lineRule="auto"/>
        <w:ind w:firstLine="1606" w:firstLineChars="500"/>
        <w:rPr>
          <w:rFonts w:ascii="仿宋" w:eastAsia="仿宋" w:cs="仿宋"/>
          <w:b/>
          <w:bCs/>
          <w:color w:val="auto"/>
          <w:sz w:val="32"/>
          <w:szCs w:val="32"/>
        </w:rPr>
      </w:pPr>
      <w:r>
        <w:rPr>
          <w:rFonts w:hint="eastAsia" w:ascii="仿宋" w:eastAsia="仿宋" w:cs="仿宋"/>
          <w:b/>
          <w:bCs/>
          <w:color w:val="auto"/>
          <w:sz w:val="32"/>
          <w:szCs w:val="32"/>
        </w:rPr>
        <w:t>代理机构：金华同慷建设管理咨询有限公司（盖章）</w:t>
      </w:r>
    </w:p>
    <w:p w14:paraId="42F4B35B">
      <w:pPr>
        <w:pStyle w:val="14"/>
        <w:snapToGrid w:val="0"/>
        <w:spacing w:before="120" w:after="120" w:line="312" w:lineRule="auto"/>
        <w:jc w:val="center"/>
        <w:rPr>
          <w:rFonts w:ascii="仿宋" w:eastAsia="仿宋" w:cs="仿宋"/>
          <w:b/>
          <w:bCs/>
          <w:sz w:val="32"/>
          <w:szCs w:val="32"/>
        </w:rPr>
      </w:pPr>
    </w:p>
    <w:p w14:paraId="0F0FD6FA">
      <w:pPr>
        <w:pStyle w:val="14"/>
        <w:snapToGrid w:val="0"/>
        <w:spacing w:before="120" w:after="120" w:line="312" w:lineRule="auto"/>
        <w:jc w:val="center"/>
        <w:rPr>
          <w:rFonts w:ascii="仿宋" w:eastAsia="仿宋" w:cs="仿宋"/>
          <w:b/>
          <w:bCs/>
          <w:sz w:val="32"/>
          <w:szCs w:val="32"/>
        </w:rPr>
      </w:pPr>
      <w:r>
        <w:rPr>
          <w:rFonts w:hint="eastAsia" w:ascii="仿宋" w:eastAsia="仿宋" w:cs="仿宋"/>
          <w:b/>
          <w:bCs/>
          <w:sz w:val="32"/>
          <w:szCs w:val="32"/>
        </w:rPr>
        <w:t>二〇二</w:t>
      </w:r>
      <w:r>
        <w:rPr>
          <w:rFonts w:hint="eastAsia" w:ascii="仿宋" w:eastAsia="仿宋" w:cs="仿宋"/>
          <w:b/>
          <w:bCs/>
          <w:sz w:val="32"/>
          <w:szCs w:val="32"/>
          <w:lang w:eastAsia="zh-CN"/>
        </w:rPr>
        <w:t>五</w:t>
      </w:r>
      <w:r>
        <w:rPr>
          <w:rFonts w:hint="eastAsia" w:ascii="仿宋" w:eastAsia="仿宋" w:cs="仿宋"/>
          <w:b/>
          <w:bCs/>
          <w:sz w:val="32"/>
          <w:szCs w:val="32"/>
        </w:rPr>
        <w:t>年</w:t>
      </w:r>
      <w:r>
        <w:rPr>
          <w:rFonts w:hint="eastAsia" w:ascii="仿宋" w:eastAsia="仿宋" w:cs="仿宋"/>
          <w:b/>
          <w:bCs/>
          <w:sz w:val="32"/>
          <w:szCs w:val="32"/>
          <w:lang w:eastAsia="zh-CN"/>
        </w:rPr>
        <w:t>一</w:t>
      </w:r>
      <w:r>
        <w:rPr>
          <w:rFonts w:hint="eastAsia" w:ascii="仿宋" w:eastAsia="仿宋" w:cs="仿宋"/>
          <w:b/>
          <w:bCs/>
          <w:sz w:val="32"/>
          <w:szCs w:val="32"/>
        </w:rPr>
        <w:t>月</w:t>
      </w:r>
    </w:p>
    <w:p w14:paraId="6C4EA998">
      <w:pPr>
        <w:rPr>
          <w:rFonts w:ascii="仿宋" w:eastAsia="仿宋" w:cs="仿宋"/>
          <w:b/>
          <w:bCs/>
          <w:color w:val="auto"/>
          <w:sz w:val="32"/>
          <w:szCs w:val="32"/>
        </w:rPr>
      </w:pPr>
      <w:r>
        <w:rPr>
          <w:rFonts w:hint="eastAsia" w:ascii="仿宋" w:eastAsia="仿宋" w:cs="仿宋"/>
          <w:b/>
          <w:bCs/>
          <w:color w:val="auto"/>
          <w:sz w:val="32"/>
          <w:szCs w:val="32"/>
        </w:rPr>
        <w:br w:type="page"/>
      </w:r>
    </w:p>
    <w:p w14:paraId="15E49CEE">
      <w:pPr>
        <w:rPr>
          <w:color w:val="auto"/>
        </w:rPr>
      </w:pPr>
      <w:r>
        <w:rPr>
          <w:color w:val="auto"/>
        </w:rPr>
        <w:br w:type="page"/>
      </w:r>
    </w:p>
    <w:p w14:paraId="32BA05CE">
      <w:pPr>
        <w:pStyle w:val="26"/>
        <w:spacing w:before="0" w:beforeAutospacing="0" w:after="0" w:afterAutospacing="0" w:line="400" w:lineRule="exact"/>
        <w:rPr>
          <w:rFonts w:hint="eastAsia" w:ascii="仿宋" w:hAnsi="仿宋" w:eastAsia="仿宋" w:cs="仿宋"/>
          <w:b/>
          <w:bCs/>
          <w:sz w:val="32"/>
          <w:szCs w:val="32"/>
        </w:rPr>
      </w:pPr>
      <w:r>
        <w:rPr>
          <w:rFonts w:hint="eastAsia" w:ascii="仿宋" w:hAnsi="仿宋" w:eastAsia="仿宋" w:cs="仿宋"/>
          <w:b/>
          <w:bCs/>
          <w:sz w:val="32"/>
          <w:szCs w:val="32"/>
        </w:rPr>
        <w:t>政府采购金融服务提示：</w:t>
      </w:r>
    </w:p>
    <w:p w14:paraId="17B8FAD2">
      <w:pPr>
        <w:pStyle w:val="26"/>
        <w:spacing w:before="0" w:beforeAutospacing="0" w:after="0" w:afterAutospacing="0" w:line="400" w:lineRule="exact"/>
        <w:ind w:firstLine="643" w:firstLineChars="200"/>
        <w:rPr>
          <w:rFonts w:hint="eastAsia" w:ascii="仿宋" w:hAnsi="仿宋" w:eastAsia="仿宋" w:cs="仿宋"/>
          <w:b/>
          <w:bCs/>
          <w:sz w:val="32"/>
          <w:szCs w:val="32"/>
        </w:rPr>
      </w:pPr>
    </w:p>
    <w:p w14:paraId="5E5D4DB7">
      <w:pPr>
        <w:pStyle w:val="26"/>
        <w:spacing w:before="0" w:beforeAutospacing="0" w:after="0" w:afterAutospacing="0" w:line="400" w:lineRule="exact"/>
        <w:ind w:firstLine="643" w:firstLineChars="200"/>
        <w:rPr>
          <w:rFonts w:hint="eastAsia" w:ascii="仿宋" w:hAnsi="仿宋" w:eastAsia="仿宋" w:cs="仿宋"/>
          <w:b/>
          <w:bCs/>
          <w:sz w:val="32"/>
          <w:szCs w:val="32"/>
        </w:rPr>
      </w:pPr>
    </w:p>
    <w:p w14:paraId="79DC1B2A">
      <w:pPr>
        <w:pStyle w:val="26"/>
        <w:spacing w:before="0" w:beforeAutospacing="0" w:after="0" w:afterAutospacing="0" w:line="500" w:lineRule="exact"/>
        <w:ind w:firstLine="960" w:firstLineChars="400"/>
        <w:rPr>
          <w:rFonts w:hint="eastAsia" w:ascii="仿宋" w:hAnsi="仿宋" w:eastAsia="仿宋" w:cs="仿宋"/>
        </w:rPr>
      </w:pPr>
      <w:r>
        <w:rPr>
          <w:rFonts w:hint="eastAsia" w:ascii="仿宋" w:hAnsi="仿宋" w:eastAsia="仿宋" w:cs="仿宋"/>
        </w:rPr>
        <w:t>为扩大政府采购金融服务面，除政采云网上金融服务合作银</w:t>
      </w:r>
    </w:p>
    <w:p w14:paraId="619C38ED">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行外，金华市范围增加线下合作银行三家，具体信息如下：</w:t>
      </w:r>
    </w:p>
    <w:p w14:paraId="2D1A3EEC">
      <w:pPr>
        <w:pStyle w:val="26"/>
        <w:spacing w:before="0" w:beforeAutospacing="0" w:after="0" w:afterAutospacing="0" w:line="500" w:lineRule="exact"/>
        <w:ind w:firstLine="480" w:firstLineChars="200"/>
        <w:rPr>
          <w:rFonts w:hint="eastAsia" w:ascii="仿宋" w:hAnsi="仿宋" w:eastAsia="仿宋" w:cs="仿宋"/>
        </w:rPr>
      </w:pPr>
    </w:p>
    <w:p w14:paraId="2F3CA0BB">
      <w:pPr>
        <w:pStyle w:val="26"/>
        <w:spacing w:before="0" w:beforeAutospacing="0" w:after="0" w:afterAutospacing="0" w:line="500" w:lineRule="exact"/>
        <w:ind w:firstLine="480" w:firstLineChars="200"/>
        <w:rPr>
          <w:rFonts w:hint="eastAsia" w:ascii="仿宋" w:hAnsi="仿宋" w:eastAsia="仿宋" w:cs="仿宋"/>
        </w:rPr>
      </w:pPr>
    </w:p>
    <w:p w14:paraId="2B9B28A5">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中国建设银行武义支行   </w:t>
      </w:r>
    </w:p>
    <w:p w14:paraId="35E37D0A">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联系人：徐浩</w:t>
      </w:r>
    </w:p>
    <w:p w14:paraId="075D7F4F">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联系电话：17858158909    0579-87622385</w:t>
      </w:r>
    </w:p>
    <w:p w14:paraId="4128C410">
      <w:pPr>
        <w:pStyle w:val="26"/>
        <w:spacing w:before="0" w:beforeAutospacing="0" w:after="0" w:afterAutospacing="0" w:line="500" w:lineRule="exact"/>
        <w:ind w:firstLine="480" w:firstLineChars="200"/>
        <w:rPr>
          <w:rFonts w:hint="eastAsia" w:ascii="仿宋" w:hAnsi="仿宋" w:eastAsia="仿宋" w:cs="仿宋"/>
        </w:rPr>
      </w:pPr>
    </w:p>
    <w:p w14:paraId="19F9655D">
      <w:pPr>
        <w:pStyle w:val="26"/>
        <w:spacing w:before="0" w:beforeAutospacing="0" w:after="0" w:afterAutospacing="0" w:line="500" w:lineRule="exact"/>
        <w:ind w:firstLine="480" w:firstLineChars="200"/>
        <w:rPr>
          <w:rFonts w:hint="eastAsia" w:ascii="仿宋" w:hAnsi="仿宋" w:eastAsia="仿宋" w:cs="仿宋"/>
        </w:rPr>
      </w:pPr>
    </w:p>
    <w:p w14:paraId="4F4479C0">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金华银行文创支行      </w:t>
      </w:r>
    </w:p>
    <w:p w14:paraId="2BFBE652">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姜峰</w:t>
      </w:r>
    </w:p>
    <w:p w14:paraId="0B4A5FC9">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 13905792828       0579-82479020</w:t>
      </w:r>
    </w:p>
    <w:p w14:paraId="7C8B5BAF">
      <w:pPr>
        <w:pStyle w:val="26"/>
        <w:spacing w:before="0" w:beforeAutospacing="0" w:after="0" w:afterAutospacing="0" w:line="500" w:lineRule="exact"/>
        <w:ind w:firstLine="480" w:firstLineChars="200"/>
        <w:rPr>
          <w:rFonts w:hint="eastAsia" w:ascii="仿宋" w:hAnsi="仿宋" w:eastAsia="仿宋" w:cs="仿宋"/>
        </w:rPr>
      </w:pPr>
    </w:p>
    <w:p w14:paraId="383189C5">
      <w:pPr>
        <w:pStyle w:val="26"/>
        <w:spacing w:before="0" w:beforeAutospacing="0" w:after="0" w:afterAutospacing="0" w:line="500" w:lineRule="exact"/>
        <w:ind w:firstLine="480" w:firstLineChars="200"/>
        <w:rPr>
          <w:rFonts w:hint="eastAsia" w:ascii="仿宋" w:hAnsi="仿宋" w:eastAsia="仿宋" w:cs="仿宋"/>
        </w:rPr>
      </w:pPr>
    </w:p>
    <w:p w14:paraId="59F5C628">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浙商银行金华分行 </w:t>
      </w:r>
    </w:p>
    <w:p w14:paraId="5102E220">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朱晨祥</w:t>
      </w:r>
    </w:p>
    <w:p w14:paraId="21B15CE8">
      <w:pPr>
        <w:pStyle w:val="26"/>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联系电话： 15857978811        </w:t>
      </w:r>
      <w:bookmarkStart w:id="0" w:name="OLE_LINK1"/>
      <w:r>
        <w:rPr>
          <w:rFonts w:hint="eastAsia" w:ascii="仿宋" w:hAnsi="仿宋" w:eastAsia="仿宋" w:cs="仿宋"/>
        </w:rPr>
        <w:t>0579-82999581</w:t>
      </w:r>
      <w:bookmarkEnd w:id="0"/>
    </w:p>
    <w:p w14:paraId="2AE9EC53">
      <w:pPr>
        <w:pStyle w:val="30"/>
        <w:ind w:left="420" w:firstLine="480"/>
      </w:pPr>
    </w:p>
    <w:p w14:paraId="2DBE139A">
      <w:pPr>
        <w:spacing w:line="312" w:lineRule="auto"/>
        <w:jc w:val="center"/>
        <w:rPr>
          <w:rFonts w:ascii="仿宋" w:eastAsia="仿宋" w:cs="仿宋"/>
          <w:b/>
          <w:color w:val="auto"/>
          <w:sz w:val="44"/>
          <w:szCs w:val="44"/>
        </w:rPr>
        <w:sectPr>
          <w:headerReference r:id="rId4" w:type="first"/>
          <w:headerReference r:id="rId3" w:type="default"/>
          <w:footerReference r:id="rId5" w:type="even"/>
          <w:pgSz w:w="11906" w:h="16838"/>
          <w:pgMar w:top="1247" w:right="1134" w:bottom="1020" w:left="1418" w:header="851" w:footer="907" w:gutter="0"/>
          <w:pgNumType w:fmt="numberInDash" w:start="1"/>
          <w:cols w:space="720" w:num="1"/>
          <w:titlePg/>
          <w:docGrid w:type="lines" w:linePitch="312" w:charSpace="0"/>
        </w:sectPr>
      </w:pPr>
    </w:p>
    <w:p w14:paraId="1AED3615">
      <w:pPr>
        <w:spacing w:line="312" w:lineRule="auto"/>
        <w:jc w:val="center"/>
        <w:rPr>
          <w:rFonts w:ascii="仿宋" w:eastAsia="仿宋" w:cs="仿宋"/>
          <w:b/>
          <w:color w:val="auto"/>
          <w:sz w:val="44"/>
          <w:szCs w:val="44"/>
        </w:rPr>
      </w:pPr>
      <w:r>
        <w:rPr>
          <w:rFonts w:hint="eastAsia" w:ascii="仿宋" w:eastAsia="仿宋" w:cs="仿宋"/>
          <w:b/>
          <w:color w:val="auto"/>
          <w:sz w:val="44"/>
          <w:szCs w:val="44"/>
        </w:rPr>
        <w:t>目  录</w:t>
      </w:r>
    </w:p>
    <w:p w14:paraId="706934F5">
      <w:pPr>
        <w:spacing w:line="312" w:lineRule="auto"/>
        <w:jc w:val="center"/>
        <w:rPr>
          <w:rFonts w:ascii="仿宋" w:eastAsia="仿宋" w:cs="仿宋"/>
          <w:b/>
          <w:color w:val="auto"/>
          <w:sz w:val="44"/>
          <w:szCs w:val="44"/>
        </w:rPr>
      </w:pPr>
    </w:p>
    <w:p w14:paraId="4B30C281">
      <w:pPr>
        <w:spacing w:line="312" w:lineRule="auto"/>
        <w:jc w:val="center"/>
        <w:rPr>
          <w:rFonts w:ascii="仿宋" w:eastAsia="仿宋" w:cs="仿宋"/>
          <w:color w:val="auto"/>
        </w:rPr>
      </w:pPr>
    </w:p>
    <w:p w14:paraId="7E53B90A">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第一章    招标公告</w:t>
      </w:r>
    </w:p>
    <w:p w14:paraId="0F2C3747">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第二章    投标须知</w:t>
      </w:r>
    </w:p>
    <w:p w14:paraId="63CDA245">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第三章    招标需求</w:t>
      </w:r>
    </w:p>
    <w:p w14:paraId="003E6B0A">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第四章    评标办法及评分标准</w:t>
      </w:r>
    </w:p>
    <w:p w14:paraId="07E5EE1F">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第五章    政府采购合同</w:t>
      </w:r>
    </w:p>
    <w:p w14:paraId="2B7724CC">
      <w:pPr>
        <w:snapToGrid w:val="0"/>
        <w:spacing w:line="360" w:lineRule="auto"/>
        <w:ind w:firstLine="1807" w:firstLineChars="500"/>
        <w:jc w:val="left"/>
        <w:rPr>
          <w:rFonts w:ascii="仿宋" w:eastAsia="仿宋" w:cs="仿宋"/>
          <w:b/>
          <w:color w:val="auto"/>
          <w:sz w:val="36"/>
          <w:szCs w:val="36"/>
        </w:rPr>
      </w:pPr>
      <w:r>
        <w:rPr>
          <w:rFonts w:hint="eastAsia" w:ascii="仿宋" w:eastAsia="仿宋" w:cs="仿宋"/>
          <w:b/>
          <w:color w:val="auto"/>
          <w:sz w:val="36"/>
          <w:szCs w:val="36"/>
        </w:rPr>
        <w:t>第六章    应提交的有关格式范例</w:t>
      </w:r>
    </w:p>
    <w:p w14:paraId="6951CCE3">
      <w:pPr>
        <w:pStyle w:val="30"/>
        <w:spacing w:line="312" w:lineRule="auto"/>
        <w:ind w:left="420" w:firstLine="480"/>
        <w:rPr>
          <w:rFonts w:ascii="仿宋" w:eastAsia="仿宋" w:cs="仿宋"/>
        </w:rPr>
      </w:pPr>
    </w:p>
    <w:p w14:paraId="4184118E">
      <w:pPr>
        <w:rPr>
          <w:rFonts w:ascii="仿宋" w:eastAsia="仿宋" w:cs="仿宋"/>
          <w:color w:val="auto"/>
          <w:sz w:val="36"/>
          <w:szCs w:val="36"/>
        </w:rPr>
      </w:pPr>
      <w:bookmarkStart w:id="1" w:name="_Toc125344501"/>
    </w:p>
    <w:bookmarkEnd w:id="1"/>
    <w:p w14:paraId="674FB115">
      <w:pPr>
        <w:jc w:val="center"/>
        <w:outlineLvl w:val="0"/>
        <w:rPr>
          <w:rFonts w:ascii="仿宋" w:eastAsia="仿宋" w:cs="仿宋"/>
          <w:b/>
          <w:color w:val="auto"/>
          <w:kern w:val="44"/>
          <w:sz w:val="36"/>
          <w:szCs w:val="36"/>
        </w:rPr>
        <w:sectPr>
          <w:footerReference r:id="rId7" w:type="first"/>
          <w:footerReference r:id="rId6" w:type="default"/>
          <w:pgSz w:w="11906" w:h="16838"/>
          <w:pgMar w:top="1247" w:right="1134" w:bottom="1020" w:left="1418" w:header="1134" w:footer="1134" w:gutter="0"/>
          <w:pgNumType w:fmt="numberInDash" w:start="1"/>
          <w:cols w:space="720" w:num="1"/>
          <w:docGrid w:type="lines" w:linePitch="312" w:charSpace="0"/>
        </w:sectPr>
      </w:pPr>
      <w:bookmarkStart w:id="2" w:name="_Toc125344502"/>
    </w:p>
    <w:p w14:paraId="4D9270C9">
      <w:pPr>
        <w:jc w:val="center"/>
        <w:outlineLvl w:val="0"/>
        <w:rPr>
          <w:rFonts w:ascii="仿宋" w:eastAsia="仿宋" w:cs="仿宋"/>
          <w:color w:val="auto"/>
        </w:rPr>
      </w:pPr>
      <w:r>
        <w:rPr>
          <w:rFonts w:hint="eastAsia" w:ascii="仿宋" w:eastAsia="仿宋" w:cs="仿宋"/>
          <w:b/>
          <w:color w:val="auto"/>
          <w:kern w:val="44"/>
          <w:sz w:val="36"/>
          <w:szCs w:val="36"/>
        </w:rPr>
        <w:t>第一章  招标公告</w:t>
      </w:r>
    </w:p>
    <w:tbl>
      <w:tblPr>
        <w:tblStyle w:val="31"/>
        <w:tblW w:w="968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14:paraId="4C97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Borders>
              <w:left w:val="single" w:color="auto" w:sz="4" w:space="0"/>
              <w:right w:val="single" w:color="auto" w:sz="4" w:space="0"/>
            </w:tcBorders>
          </w:tcPr>
          <w:p w14:paraId="2B4A335B">
            <w:pPr>
              <w:pStyle w:val="26"/>
              <w:spacing w:before="0" w:beforeAutospacing="0" w:after="0" w:afterAutospacing="0" w:line="420" w:lineRule="exact"/>
              <w:rPr>
                <w:rFonts w:ascii="仿宋" w:eastAsia="仿宋" w:cs="仿宋"/>
              </w:rPr>
            </w:pPr>
            <w:r>
              <w:rPr>
                <w:rFonts w:hint="eastAsia" w:ascii="仿宋" w:eastAsia="仿宋" w:cs="仿宋"/>
              </w:rPr>
              <w:t>项目概况：</w:t>
            </w:r>
          </w:p>
          <w:p w14:paraId="19E50957">
            <w:pPr>
              <w:pStyle w:val="26"/>
              <w:spacing w:before="0" w:beforeAutospacing="0" w:after="0" w:afterAutospacing="0" w:line="420" w:lineRule="exact"/>
              <w:ind w:firstLine="480" w:firstLineChars="200"/>
              <w:jc w:val="both"/>
              <w:rPr>
                <w:rFonts w:ascii="仿宋" w:eastAsia="仿宋" w:cs="仿宋"/>
              </w:rPr>
            </w:pPr>
            <w:r>
              <w:rPr>
                <w:rFonts w:hint="eastAsia" w:ascii="仿宋" w:eastAsia="仿宋" w:cs="仿宋"/>
                <w:u w:val="single"/>
                <w:lang w:eastAsia="zh-CN"/>
              </w:rPr>
              <w:t>武义县妇幼保健院手术室吊塔、无影灯设备采购项目</w:t>
            </w:r>
            <w:r>
              <w:rPr>
                <w:rFonts w:hint="eastAsia" w:ascii="仿宋" w:eastAsia="仿宋" w:cs="仿宋"/>
              </w:rPr>
              <w:t>的潜在供应商应在</w:t>
            </w:r>
            <w:r>
              <w:rPr>
                <w:rFonts w:hint="eastAsia" w:ascii="仿宋" w:eastAsia="仿宋" w:cs="仿宋"/>
                <w:u w:val="single"/>
              </w:rPr>
              <w:t>浙江政府采购网https://zfcg.czt.zj.gov.cn/</w:t>
            </w:r>
            <w:r>
              <w:rPr>
                <w:rFonts w:hint="eastAsia" w:ascii="仿宋" w:eastAsia="仿宋" w:cs="仿宋"/>
              </w:rPr>
              <w:t>获取（下载）招标文件，并于</w:t>
            </w:r>
            <w:r>
              <w:rPr>
                <w:rFonts w:hint="eastAsia" w:ascii="仿宋" w:eastAsia="仿宋" w:cs="仿宋"/>
                <w:color w:val="0000FF"/>
                <w:highlight w:val="none"/>
                <w:u w:val="single"/>
                <w:lang w:eastAsia="zh-CN"/>
              </w:rPr>
              <w:t>2025年2月18日14:30时</w:t>
            </w:r>
            <w:r>
              <w:rPr>
                <w:rFonts w:hint="eastAsia" w:ascii="仿宋" w:eastAsia="仿宋" w:cs="仿宋"/>
              </w:rPr>
              <w:t>（北京时间）前递交（上传）投标文件。</w:t>
            </w:r>
          </w:p>
        </w:tc>
      </w:tr>
    </w:tbl>
    <w:p w14:paraId="01105659">
      <w:pPr>
        <w:pStyle w:val="26"/>
        <w:spacing w:before="0" w:beforeAutospacing="0" w:after="0" w:afterAutospacing="0" w:line="336" w:lineRule="auto"/>
        <w:jc w:val="both"/>
        <w:outlineLvl w:val="1"/>
        <w:rPr>
          <w:rFonts w:ascii="仿宋" w:eastAsia="仿宋" w:cs="仿宋"/>
        </w:rPr>
      </w:pPr>
      <w:r>
        <w:rPr>
          <w:rStyle w:val="34"/>
          <w:rFonts w:hint="eastAsia" w:ascii="仿宋" w:eastAsia="仿宋" w:cs="仿宋"/>
        </w:rPr>
        <w:t>一、项目基本情况</w:t>
      </w:r>
    </w:p>
    <w:p w14:paraId="1E5F241F">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采购组织类型：分散采购-委托代理</w:t>
      </w:r>
    </w:p>
    <w:p w14:paraId="5EF1AB6B">
      <w:pPr>
        <w:pStyle w:val="26"/>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项目编号：</w:t>
      </w:r>
      <w:r>
        <w:rPr>
          <w:rFonts w:hint="eastAsia" w:ascii="仿宋" w:eastAsia="仿宋" w:cs="仿宋"/>
          <w:lang w:eastAsia="zh-CN"/>
        </w:rPr>
        <w:t>JHTK-ZB2025008</w:t>
      </w:r>
    </w:p>
    <w:p w14:paraId="4FF33263">
      <w:pPr>
        <w:pStyle w:val="26"/>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项目名称：</w:t>
      </w:r>
      <w:r>
        <w:rPr>
          <w:rFonts w:hint="eastAsia" w:ascii="仿宋" w:eastAsia="仿宋" w:cs="仿宋"/>
          <w:lang w:eastAsia="zh-CN"/>
        </w:rPr>
        <w:t>武义县妇幼保健院手术室吊塔、无影灯设备采购项目</w:t>
      </w:r>
    </w:p>
    <w:p w14:paraId="33704FCF">
      <w:pPr>
        <w:pStyle w:val="26"/>
        <w:spacing w:before="0" w:beforeAutospacing="0" w:after="0" w:afterAutospacing="0" w:line="288" w:lineRule="auto"/>
        <w:ind w:firstLine="480" w:firstLineChars="200"/>
        <w:rPr>
          <w:rFonts w:hint="eastAsia" w:ascii="仿宋" w:eastAsia="仿宋" w:cs="仿宋"/>
          <w:highlight w:val="none"/>
          <w:lang w:val="en-US" w:eastAsia="zh-CN"/>
        </w:rPr>
      </w:pPr>
      <w:r>
        <w:rPr>
          <w:rFonts w:hint="eastAsia" w:ascii="仿宋" w:eastAsia="仿宋" w:cs="仿宋"/>
          <w:highlight w:val="none"/>
        </w:rPr>
        <w:t>采购计划书号：</w:t>
      </w:r>
      <w:r>
        <w:rPr>
          <w:rFonts w:hint="eastAsia" w:ascii="仿宋" w:eastAsia="仿宋" w:cs="仿宋"/>
          <w:color w:val="0000FF"/>
          <w:highlight w:val="none"/>
        </w:rPr>
        <w:t>2025-0</w:t>
      </w:r>
      <w:r>
        <w:rPr>
          <w:rFonts w:hint="eastAsia" w:ascii="仿宋" w:eastAsia="仿宋" w:cs="仿宋"/>
          <w:color w:val="0000FF"/>
          <w:highlight w:val="none"/>
          <w:lang w:val="en-US" w:eastAsia="zh-CN"/>
        </w:rPr>
        <w:t>2</w:t>
      </w:r>
    </w:p>
    <w:p w14:paraId="7E39CAB1">
      <w:pPr>
        <w:pStyle w:val="26"/>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预算金额（元）：</w:t>
      </w:r>
      <w:r>
        <w:rPr>
          <w:rFonts w:hint="eastAsia" w:ascii="仿宋" w:eastAsia="仿宋" w:cs="仿宋"/>
          <w:lang w:eastAsia="zh-CN"/>
        </w:rPr>
        <w:t>1100000</w:t>
      </w:r>
    </w:p>
    <w:p w14:paraId="04633129">
      <w:pPr>
        <w:pStyle w:val="26"/>
        <w:spacing w:before="0" w:beforeAutospacing="0" w:after="0" w:afterAutospacing="0" w:line="288" w:lineRule="auto"/>
        <w:ind w:firstLine="480" w:firstLineChars="200"/>
        <w:rPr>
          <w:rFonts w:hint="eastAsia" w:ascii="仿宋" w:eastAsia="仿宋" w:cs="仿宋"/>
          <w:lang w:eastAsia="zh-CN"/>
        </w:rPr>
      </w:pPr>
      <w:r>
        <w:rPr>
          <w:rFonts w:hint="eastAsia" w:ascii="仿宋" w:eastAsia="仿宋" w:cs="仿宋"/>
        </w:rPr>
        <w:t>最高限价（元）：</w:t>
      </w:r>
      <w:r>
        <w:rPr>
          <w:rFonts w:hint="eastAsia" w:ascii="仿宋" w:eastAsia="仿宋" w:cs="仿宋"/>
          <w:lang w:eastAsia="zh-CN"/>
        </w:rPr>
        <w:t>1100000</w:t>
      </w:r>
    </w:p>
    <w:p w14:paraId="5EDA4B10">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采购需求：详见招标采购文件。</w:t>
      </w:r>
    </w:p>
    <w:p w14:paraId="21190C55">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评标办法：综合评分法</w:t>
      </w:r>
    </w:p>
    <w:p w14:paraId="7BA8FF66">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合同履行期限：详见招标采购文件。</w:t>
      </w:r>
    </w:p>
    <w:p w14:paraId="5380D4D4">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本项目（否）接受联合体投标。</w:t>
      </w:r>
    </w:p>
    <w:p w14:paraId="1D4842A4">
      <w:pPr>
        <w:pStyle w:val="26"/>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二、申请人的资格要求：</w:t>
      </w:r>
    </w:p>
    <w:p w14:paraId="7CA47E16">
      <w:pPr>
        <w:pStyle w:val="26"/>
        <w:spacing w:before="0" w:beforeAutospacing="0" w:after="0" w:afterAutospacing="0" w:line="336" w:lineRule="auto"/>
        <w:ind w:firstLine="480" w:firstLineChars="200"/>
        <w:rPr>
          <w:rFonts w:hint="eastAsia" w:ascii="仿宋" w:eastAsia="仿宋" w:cs="仿宋"/>
        </w:rPr>
      </w:pPr>
      <w:r>
        <w:rPr>
          <w:rFonts w:hint="eastAsia" w:ascii="仿宋" w:eastAsia="仿宋" w:cs="仿宋"/>
        </w:rPr>
        <w:t>1.</w:t>
      </w:r>
      <w:r>
        <w:rPr>
          <w:rFonts w:hint="eastAsia" w:ascii="仿宋" w:eastAsia="仿宋" w:cs="仿宋"/>
          <w:lang w:eastAsia="zh-CN"/>
        </w:rPr>
        <w:t>满足</w:t>
      </w:r>
      <w:r>
        <w:rPr>
          <w:rFonts w:hint="eastAsia" w:ascii="仿宋" w:eastAsia="仿宋" w:cs="仿宋"/>
        </w:rPr>
        <w:t>《中华人民共和国政府采购法》第二十二条规定；</w:t>
      </w:r>
      <w:r>
        <w:rPr>
          <w:rFonts w:hint="eastAsia" w:ascii="仿宋" w:eastAsia="仿宋" w:cs="仿宋"/>
          <w:lang w:eastAsia="zh-CN"/>
        </w:rPr>
        <w:t>且</w:t>
      </w:r>
      <w:r>
        <w:rPr>
          <w:rFonts w:hint="eastAsia" w:ascii="仿宋" w:eastAsia="仿宋" w:cs="仿宋"/>
        </w:rPr>
        <w:t>未被“信用中国”（www.creditchina.gov.cn）、中国政府采购网（www.ccgp.gov.cn）列入失信被执行人、重大税收违法案件当事人名单、政府采购严重违法失信行为记录名单；</w:t>
      </w:r>
    </w:p>
    <w:p w14:paraId="0B7B0F28">
      <w:pPr>
        <w:pStyle w:val="26"/>
        <w:spacing w:before="0" w:beforeAutospacing="0" w:after="0" w:afterAutospacing="0" w:line="336" w:lineRule="auto"/>
        <w:ind w:firstLine="480" w:firstLineChars="200"/>
        <w:rPr>
          <w:rFonts w:ascii="仿宋" w:eastAsia="仿宋" w:cs="仿宋"/>
        </w:rPr>
      </w:pPr>
      <w:r>
        <w:rPr>
          <w:rFonts w:hint="eastAsia" w:ascii="仿宋" w:eastAsia="仿宋" w:cs="仿宋"/>
          <w:color w:val="auto"/>
          <w:sz w:val="24"/>
          <w:szCs w:val="24"/>
          <w:lang w:val="en-US" w:eastAsia="zh-CN"/>
        </w:rPr>
        <w:t>2</w:t>
      </w:r>
      <w:r>
        <w:rPr>
          <w:rFonts w:hint="eastAsia" w:ascii="仿宋" w:eastAsia="仿宋" w:cs="仿宋"/>
          <w:color w:val="auto"/>
          <w:sz w:val="24"/>
          <w:szCs w:val="24"/>
        </w:rPr>
        <w:t>.</w:t>
      </w:r>
      <w:r>
        <w:rPr>
          <w:rFonts w:hint="eastAsia" w:ascii="仿宋" w:eastAsia="仿宋" w:cs="仿宋"/>
        </w:rPr>
        <w:t>落实政府采购政策需满足的资格要求：无；</w:t>
      </w:r>
    </w:p>
    <w:p w14:paraId="786654DA">
      <w:pPr>
        <w:spacing w:line="280" w:lineRule="exact"/>
        <w:ind w:firstLine="482" w:firstLineChars="200"/>
        <w:jc w:val="left"/>
        <w:rPr>
          <w:rFonts w:hint="eastAsia" w:ascii="仿宋" w:hAnsi="仿宋" w:eastAsia="仿宋" w:cs="仿宋"/>
          <w:b/>
          <w:bCs w:val="0"/>
          <w:color w:val="0000FF"/>
          <w:sz w:val="24"/>
          <w:szCs w:val="24"/>
          <w:lang w:val="zh-TW" w:eastAsia="zh-CN" w:bidi="ar-SA"/>
        </w:rPr>
      </w:pPr>
      <w:r>
        <w:rPr>
          <w:rFonts w:hint="eastAsia" w:ascii="仿宋" w:hAnsi="仿宋" w:eastAsia="仿宋" w:cs="仿宋"/>
          <w:b/>
          <w:bCs w:val="0"/>
          <w:color w:val="0000FF"/>
          <w:sz w:val="24"/>
          <w:szCs w:val="24"/>
          <w:lang w:val="en-US" w:eastAsia="zh-CN" w:bidi="ar-SA"/>
        </w:rPr>
        <w:t>3</w:t>
      </w:r>
      <w:r>
        <w:rPr>
          <w:rFonts w:hint="eastAsia" w:ascii="仿宋" w:hAnsi="仿宋" w:eastAsia="仿宋" w:cs="仿宋"/>
          <w:b/>
          <w:bCs w:val="0"/>
          <w:color w:val="0000FF"/>
          <w:sz w:val="24"/>
          <w:szCs w:val="24"/>
          <w:lang w:val="zh-TW" w:eastAsia="zh-CN" w:bidi="ar-SA"/>
        </w:rPr>
        <w:t>.本项目的特定资格要求：</w:t>
      </w:r>
    </w:p>
    <w:p w14:paraId="5B3399D4">
      <w:pPr>
        <w:spacing w:line="280" w:lineRule="exact"/>
        <w:ind w:firstLine="482" w:firstLineChars="200"/>
        <w:jc w:val="left"/>
        <w:rPr>
          <w:rFonts w:hint="eastAsia" w:ascii="仿宋" w:hAnsi="仿宋" w:eastAsia="仿宋" w:cs="仿宋"/>
          <w:b/>
          <w:bCs w:val="0"/>
          <w:color w:val="0000FF"/>
          <w:sz w:val="24"/>
          <w:szCs w:val="24"/>
          <w:lang w:val="zh-TW" w:eastAsia="zh-CN" w:bidi="ar-SA"/>
        </w:rPr>
      </w:pPr>
      <w:r>
        <w:rPr>
          <w:rFonts w:hint="eastAsia" w:ascii="仿宋" w:hAnsi="仿宋" w:eastAsia="仿宋" w:cs="仿宋"/>
          <w:b/>
          <w:bCs w:val="0"/>
          <w:color w:val="0000FF"/>
          <w:sz w:val="24"/>
          <w:szCs w:val="24"/>
          <w:lang w:val="zh-TW" w:eastAsia="zh-CN" w:bidi="ar-SA"/>
        </w:rPr>
        <w:t>（</w:t>
      </w:r>
      <w:r>
        <w:rPr>
          <w:rFonts w:hint="eastAsia" w:ascii="仿宋" w:hAnsi="仿宋" w:eastAsia="仿宋" w:cs="仿宋"/>
          <w:b/>
          <w:bCs w:val="0"/>
          <w:color w:val="0000FF"/>
          <w:sz w:val="24"/>
          <w:szCs w:val="24"/>
          <w:lang w:val="en-US" w:eastAsia="zh-CN" w:bidi="ar-SA"/>
        </w:rPr>
        <w:t>1</w:t>
      </w:r>
      <w:r>
        <w:rPr>
          <w:rFonts w:hint="eastAsia" w:ascii="仿宋" w:hAnsi="仿宋" w:eastAsia="仿宋" w:cs="仿宋"/>
          <w:b/>
          <w:bCs w:val="0"/>
          <w:color w:val="0000FF"/>
          <w:sz w:val="24"/>
          <w:szCs w:val="24"/>
          <w:lang w:val="zh-TW" w:eastAsia="zh-CN" w:bidi="ar-SA"/>
        </w:rPr>
        <w:t>）投标人为医疗器械生产企业的：第二类、第三类医疗器械生产企业须提供《医疗器械生产许可证》、第一类医疗器械生产企业须提供第一类医疗器械生产备案凭证；投标人为医疗器械经营企业的：第三类医疗器械经营企业提供《医疗器械经营许可证》、第二类医疗器械经营企业提供第二类医疗器械经营备案凭证。</w:t>
      </w:r>
    </w:p>
    <w:p w14:paraId="6DABACAC">
      <w:pPr>
        <w:pageBreakBefore w:val="0"/>
        <w:kinsoku/>
        <w:wordWrap/>
        <w:overflowPunct/>
        <w:topLinePunct w:val="0"/>
        <w:autoSpaceDE/>
        <w:autoSpaceDN/>
        <w:bidi w:val="0"/>
        <w:adjustRightInd/>
        <w:spacing w:line="360" w:lineRule="exact"/>
        <w:ind w:firstLine="482" w:firstLineChars="200"/>
        <w:jc w:val="left"/>
        <w:textAlignment w:val="auto"/>
        <w:rPr>
          <w:rFonts w:ascii="仿宋" w:eastAsia="仿宋" w:cs="仿宋"/>
          <w:color w:val="auto"/>
        </w:rPr>
      </w:pPr>
      <w:r>
        <w:rPr>
          <w:rFonts w:hint="eastAsia" w:ascii="仿宋" w:hAnsi="仿宋" w:eastAsia="仿宋" w:cs="仿宋"/>
          <w:b/>
          <w:bCs w:val="0"/>
          <w:color w:val="0000FF"/>
          <w:sz w:val="24"/>
          <w:szCs w:val="24"/>
          <w:lang w:val="zh-TW" w:eastAsia="zh-CN" w:bidi="ar-SA"/>
        </w:rPr>
        <w:t>（</w:t>
      </w:r>
      <w:r>
        <w:rPr>
          <w:rFonts w:hint="eastAsia" w:ascii="仿宋" w:hAnsi="仿宋" w:eastAsia="仿宋" w:cs="仿宋"/>
          <w:b/>
          <w:bCs w:val="0"/>
          <w:color w:val="0000FF"/>
          <w:sz w:val="24"/>
          <w:szCs w:val="24"/>
          <w:lang w:val="en-US" w:eastAsia="zh-CN" w:bidi="ar-SA"/>
        </w:rPr>
        <w:t>2</w:t>
      </w:r>
      <w:r>
        <w:rPr>
          <w:rFonts w:hint="eastAsia" w:ascii="仿宋" w:hAnsi="仿宋" w:eastAsia="仿宋" w:cs="仿宋"/>
          <w:b/>
          <w:bCs w:val="0"/>
          <w:color w:val="0000FF"/>
          <w:sz w:val="24"/>
          <w:szCs w:val="24"/>
          <w:lang w:val="zh-TW" w:eastAsia="zh-CN" w:bidi="ar-SA"/>
        </w:rPr>
        <w:t>）医疗器械生产企业须具有食品药品监督管理部门核发的完整有效的医疗器械注册或备案证明。</w:t>
      </w:r>
    </w:p>
    <w:p w14:paraId="0AA9AA3D">
      <w:pPr>
        <w:pStyle w:val="26"/>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三、获取招标文件</w:t>
      </w:r>
    </w:p>
    <w:p w14:paraId="37334C52">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时间：公告发布至</w:t>
      </w:r>
      <w:r>
        <w:rPr>
          <w:rFonts w:hint="eastAsia" w:ascii="仿宋" w:eastAsia="仿宋" w:cs="仿宋"/>
          <w:lang w:eastAsia="zh-CN"/>
        </w:rPr>
        <w:t>2025年2月18日14:30时</w:t>
      </w:r>
      <w:r>
        <w:rPr>
          <w:rFonts w:hint="eastAsia" w:ascii="仿宋" w:eastAsia="仿宋" w:cs="仿宋"/>
        </w:rPr>
        <w:t>（每天上午00:00至12:00，下午12:00至23:59（北京时间，线上获取法定节假日均可，线下获取文件法定节假日除外）。</w:t>
      </w:r>
    </w:p>
    <w:p w14:paraId="1DC3D145">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地点（网址）：政采云平台线上获取</w:t>
      </w:r>
    </w:p>
    <w:p w14:paraId="72B58654">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方式：供应商登录政采云平台https://www.zcygov.cn/在线申请获取采购文件（进入“项目采购”应用，在获取采购文件菜单中选择项目，申请获取采购文件）</w:t>
      </w:r>
    </w:p>
    <w:p w14:paraId="4804CBCB">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售价（元）：0</w:t>
      </w:r>
    </w:p>
    <w:p w14:paraId="0CD26F3E">
      <w:pPr>
        <w:pStyle w:val="26"/>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四、提交投标文件截止时间、开标时间和地点</w:t>
      </w:r>
    </w:p>
    <w:p w14:paraId="57EB3C4C">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提交投标文件截止时间：</w:t>
      </w:r>
      <w:r>
        <w:rPr>
          <w:rFonts w:hint="eastAsia" w:ascii="仿宋" w:eastAsia="仿宋" w:cs="仿宋"/>
          <w:u w:val="single"/>
          <w:lang w:eastAsia="zh-CN"/>
        </w:rPr>
        <w:t>2025年2月18日14:30时</w:t>
      </w:r>
      <w:r>
        <w:rPr>
          <w:rFonts w:hint="eastAsia" w:ascii="仿宋" w:eastAsia="仿宋" w:cs="仿宋"/>
        </w:rPr>
        <w:t>（北京时间）</w:t>
      </w:r>
    </w:p>
    <w:p w14:paraId="2F1BE335">
      <w:pPr>
        <w:pStyle w:val="26"/>
        <w:spacing w:before="0" w:beforeAutospacing="0" w:after="0" w:afterAutospacing="0" w:line="336" w:lineRule="auto"/>
        <w:ind w:firstLine="480" w:firstLineChars="200"/>
        <w:rPr>
          <w:rFonts w:ascii="仿宋" w:eastAsia="仿宋" w:cs="仿宋"/>
          <w:u w:val="single"/>
        </w:rPr>
      </w:pPr>
      <w:r>
        <w:rPr>
          <w:rFonts w:hint="eastAsia" w:ascii="仿宋" w:eastAsia="仿宋" w:cs="仿宋"/>
        </w:rPr>
        <w:t>投标地点（网址）：</w:t>
      </w:r>
      <w:r>
        <w:rPr>
          <w:rFonts w:hint="eastAsia" w:ascii="仿宋" w:eastAsia="仿宋" w:cs="仿宋"/>
          <w:u w:val="single"/>
        </w:rPr>
        <w:t>请登录政采云投标客户端投标</w:t>
      </w:r>
    </w:p>
    <w:p w14:paraId="6466ACCB">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开标时间：</w:t>
      </w:r>
      <w:r>
        <w:rPr>
          <w:rFonts w:hint="eastAsia" w:ascii="仿宋" w:eastAsia="仿宋" w:cs="仿宋"/>
          <w:u w:val="single"/>
          <w:lang w:eastAsia="zh-CN"/>
        </w:rPr>
        <w:t>2025年2月18日14:30时</w:t>
      </w:r>
      <w:r>
        <w:rPr>
          <w:rFonts w:hint="eastAsia" w:ascii="仿宋" w:eastAsia="仿宋" w:cs="仿宋"/>
        </w:rPr>
        <w:t>（北京时间）</w:t>
      </w:r>
    </w:p>
    <w:p w14:paraId="47018687">
      <w:pPr>
        <w:pStyle w:val="26"/>
        <w:spacing w:before="0" w:beforeAutospacing="0" w:after="0" w:afterAutospacing="0" w:line="336" w:lineRule="auto"/>
        <w:ind w:firstLine="480" w:firstLineChars="200"/>
        <w:rPr>
          <w:rFonts w:ascii="仿宋" w:eastAsia="仿宋" w:cs="仿宋"/>
          <w:u w:val="single"/>
        </w:rPr>
      </w:pPr>
      <w:r>
        <w:rPr>
          <w:rFonts w:hint="eastAsia" w:ascii="仿宋" w:eastAsia="仿宋" w:cs="仿宋"/>
        </w:rPr>
        <w:t>开标地点：</w:t>
      </w:r>
      <w:r>
        <w:rPr>
          <w:rFonts w:hint="eastAsia" w:ascii="仿宋" w:eastAsia="仿宋" w:cs="仿宋"/>
          <w:u w:val="single"/>
        </w:rPr>
        <w:t>浙江省金华市武义县金华市政府采购中心武义县分中心建行14楼政府采购开标室二</w:t>
      </w:r>
    </w:p>
    <w:p w14:paraId="5466621A">
      <w:pPr>
        <w:pStyle w:val="26"/>
        <w:numPr>
          <w:ilvl w:val="0"/>
          <w:numId w:val="3"/>
        </w:numPr>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采购意向公开链接：</w:t>
      </w:r>
    </w:p>
    <w:p w14:paraId="6D766035">
      <w:pPr>
        <w:pStyle w:val="26"/>
        <w:spacing w:before="0" w:beforeAutospacing="0" w:after="0" w:afterAutospacing="0" w:line="336" w:lineRule="auto"/>
        <w:ind w:firstLine="480" w:firstLineChars="200"/>
        <w:rPr>
          <w:rFonts w:ascii="仿宋" w:eastAsia="仿宋" w:cs="仿宋"/>
        </w:rPr>
      </w:pPr>
      <w:r>
        <w:rPr>
          <w:rFonts w:hint="eastAsia" w:ascii="仿宋" w:eastAsia="仿宋" w:cs="仿宋"/>
        </w:rPr>
        <w:t>https://zfcg.czt.zj.gov.cn/site/detail?parentId=600007&amp;articleId=fu8GR2LnNIKCHG7J0wOUOQ%3D%3D</w:t>
      </w:r>
    </w:p>
    <w:p w14:paraId="2BAD1D5E">
      <w:pPr>
        <w:pStyle w:val="26"/>
        <w:numPr>
          <w:ilvl w:val="0"/>
          <w:numId w:val="3"/>
        </w:numPr>
        <w:spacing w:before="75" w:beforeAutospacing="0" w:after="75" w:afterAutospacing="0" w:line="336" w:lineRule="auto"/>
        <w:outlineLvl w:val="1"/>
        <w:rPr>
          <w:rStyle w:val="34"/>
          <w:rFonts w:ascii="仿宋" w:eastAsia="仿宋" w:cs="仿宋"/>
        </w:rPr>
      </w:pPr>
      <w:r>
        <w:rPr>
          <w:rStyle w:val="34"/>
          <w:rFonts w:hint="eastAsia" w:ascii="仿宋" w:eastAsia="仿宋" w:cs="仿宋"/>
        </w:rPr>
        <w:t>公告期限：</w:t>
      </w:r>
    </w:p>
    <w:p w14:paraId="3A433B58">
      <w:pPr>
        <w:pStyle w:val="26"/>
        <w:adjustRightInd w:val="0"/>
        <w:snapToGrid w:val="0"/>
        <w:spacing w:before="0" w:beforeAutospacing="0" w:after="0" w:afterAutospacing="0"/>
        <w:ind w:firstLine="480" w:firstLineChars="200"/>
        <w:jc w:val="both"/>
        <w:rPr>
          <w:rFonts w:ascii="仿宋" w:eastAsia="仿宋" w:cs="仿宋"/>
        </w:rPr>
      </w:pPr>
      <w:r>
        <w:rPr>
          <w:rFonts w:hint="eastAsia" w:ascii="仿宋" w:eastAsia="仿宋" w:cs="仿宋"/>
        </w:rPr>
        <w:t>自本公告发布之日起5个工作日。</w:t>
      </w:r>
    </w:p>
    <w:p w14:paraId="3AE9F860">
      <w:pPr>
        <w:pStyle w:val="26"/>
        <w:spacing w:before="0" w:beforeAutospacing="0" w:after="0" w:afterAutospacing="0" w:line="336" w:lineRule="auto"/>
        <w:jc w:val="both"/>
        <w:outlineLvl w:val="1"/>
        <w:rPr>
          <w:rStyle w:val="34"/>
          <w:rFonts w:ascii="仿宋" w:eastAsia="仿宋" w:cs="仿宋"/>
        </w:rPr>
      </w:pPr>
      <w:r>
        <w:rPr>
          <w:rStyle w:val="34"/>
          <w:rFonts w:hint="eastAsia" w:ascii="仿宋" w:eastAsia="仿宋" w:cs="仿宋"/>
        </w:rPr>
        <w:t>七、其他补充事宜：</w:t>
      </w:r>
    </w:p>
    <w:p w14:paraId="25C68038">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B0613E0">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2.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务服务网-政府采购投诉处理-在线办理。</w:t>
      </w:r>
    </w:p>
    <w:p w14:paraId="74582A82">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ECB0B7">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4.其他事项：见采购文件</w:t>
      </w:r>
    </w:p>
    <w:p w14:paraId="67208A04">
      <w:pPr>
        <w:pStyle w:val="26"/>
        <w:spacing w:before="0" w:beforeAutospacing="0" w:after="0" w:afterAutospacing="0" w:line="288" w:lineRule="auto"/>
        <w:ind w:firstLine="480" w:firstLineChars="200"/>
        <w:rPr>
          <w:rFonts w:ascii="仿宋" w:eastAsia="仿宋" w:cs="仿宋"/>
        </w:rPr>
      </w:pPr>
      <w:r>
        <w:rPr>
          <w:rFonts w:hint="eastAsia" w:ascii="仿宋" w:eastAsia="仿宋" w:cs="仿宋"/>
        </w:rPr>
        <w:t>5.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2E1875B0">
      <w:pPr>
        <w:pStyle w:val="26"/>
        <w:spacing w:before="0" w:beforeAutospacing="0" w:after="0" w:afterAutospacing="0" w:line="288" w:lineRule="auto"/>
        <w:ind w:firstLine="480" w:firstLineChars="200"/>
        <w:rPr>
          <w:rFonts w:ascii="仿宋" w:eastAsia="仿宋" w:cs="仿宋"/>
          <w:b/>
          <w:bCs/>
        </w:rPr>
      </w:pPr>
      <w:r>
        <w:rPr>
          <w:rFonts w:hint="eastAsia" w:ascii="仿宋" w:eastAsia="仿宋" w:cs="仿宋"/>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1DE98C5">
      <w:pPr>
        <w:pStyle w:val="26"/>
        <w:spacing w:before="0" w:beforeAutospacing="0" w:after="0" w:afterAutospacing="0" w:line="336" w:lineRule="auto"/>
        <w:jc w:val="both"/>
        <w:outlineLvl w:val="1"/>
        <w:rPr>
          <w:rFonts w:ascii="仿宋" w:eastAsia="仿宋" w:cs="仿宋"/>
        </w:rPr>
      </w:pPr>
      <w:r>
        <w:rPr>
          <w:rStyle w:val="34"/>
          <w:rFonts w:hint="eastAsia" w:ascii="仿宋" w:eastAsia="仿宋" w:cs="仿宋"/>
        </w:rPr>
        <w:t>八、对本次招标提出询问、质疑、投诉，请按以下方式联系：</w:t>
      </w:r>
    </w:p>
    <w:p w14:paraId="71F81290">
      <w:pPr>
        <w:pStyle w:val="26"/>
        <w:spacing w:before="75" w:beforeAutospacing="0" w:after="75" w:afterAutospacing="0" w:line="400" w:lineRule="exact"/>
        <w:rPr>
          <w:rFonts w:hint="eastAsia" w:ascii="仿宋" w:hAnsi="Times New Roman" w:eastAsia="仿宋" w:cs="仿宋"/>
        </w:rPr>
      </w:pPr>
      <w:r>
        <w:rPr>
          <w:rFonts w:hint="eastAsia" w:ascii="仿宋" w:hAnsi="Times New Roman" w:eastAsia="仿宋" w:cs="仿宋"/>
        </w:rPr>
        <w:t>1.采购人信息</w:t>
      </w:r>
    </w:p>
    <w:p w14:paraId="0A53A02B">
      <w:pPr>
        <w:pStyle w:val="26"/>
        <w:spacing w:before="75" w:beforeAutospacing="0" w:after="75" w:afterAutospacing="0" w:line="400" w:lineRule="exact"/>
        <w:ind w:firstLine="480" w:firstLineChars="200"/>
        <w:rPr>
          <w:rFonts w:hint="eastAsia" w:ascii="仿宋" w:hAnsi="Times New Roman" w:eastAsia="仿宋" w:cs="仿宋"/>
        </w:rPr>
      </w:pPr>
      <w:r>
        <w:rPr>
          <w:rFonts w:hint="eastAsia" w:ascii="仿宋" w:hAnsi="Times New Roman" w:eastAsia="仿宋" w:cs="仿宋"/>
        </w:rPr>
        <w:t>名  称：</w:t>
      </w:r>
      <w:r>
        <w:rPr>
          <w:rFonts w:hint="eastAsia" w:ascii="仿宋" w:hAnsi="Times New Roman" w:eastAsia="仿宋" w:cs="仿宋"/>
          <w:lang w:eastAsia="zh-CN"/>
        </w:rPr>
        <w:t>武义县妇幼保健院</w:t>
      </w:r>
    </w:p>
    <w:p w14:paraId="3517E621">
      <w:pPr>
        <w:pStyle w:val="26"/>
        <w:spacing w:before="75" w:beforeAutospacing="0" w:after="75" w:afterAutospacing="0" w:line="400" w:lineRule="exact"/>
        <w:ind w:firstLine="480" w:firstLineChars="200"/>
        <w:rPr>
          <w:rFonts w:hint="eastAsia" w:ascii="仿宋" w:hAnsi="Times New Roman" w:eastAsia="仿宋" w:cs="仿宋"/>
        </w:rPr>
      </w:pPr>
      <w:r>
        <w:rPr>
          <w:rFonts w:hint="eastAsia" w:ascii="仿宋" w:hAnsi="Times New Roman" w:eastAsia="仿宋" w:cs="仿宋"/>
        </w:rPr>
        <w:t xml:space="preserve">地  址：武义县北岭新村川路11号 </w:t>
      </w:r>
    </w:p>
    <w:p w14:paraId="23B4D4E5">
      <w:pPr>
        <w:pStyle w:val="26"/>
        <w:spacing w:before="75" w:beforeAutospacing="0" w:after="75" w:afterAutospacing="0" w:line="400" w:lineRule="exact"/>
        <w:ind w:firstLine="480" w:firstLineChars="200"/>
        <w:rPr>
          <w:rFonts w:hint="eastAsia" w:ascii="仿宋" w:hAnsi="Times New Roman" w:eastAsia="仿宋" w:cs="仿宋"/>
          <w:lang w:eastAsia="zh-CN"/>
        </w:rPr>
      </w:pPr>
      <w:r>
        <w:rPr>
          <w:rFonts w:hint="eastAsia" w:ascii="仿宋" w:hAnsi="Times New Roman" w:eastAsia="仿宋" w:cs="仿宋"/>
        </w:rPr>
        <w:t>项目联系人（询问）：</w:t>
      </w:r>
      <w:r>
        <w:rPr>
          <w:rFonts w:hint="eastAsia" w:ascii="仿宋" w:hAnsi="Times New Roman" w:eastAsia="仿宋" w:cs="仿宋"/>
          <w:lang w:eastAsia="zh-CN"/>
        </w:rPr>
        <w:t>何女士</w:t>
      </w:r>
      <w:r>
        <w:rPr>
          <w:rFonts w:hint="eastAsia" w:ascii="仿宋" w:hAnsi="Times New Roman" w:eastAsia="仿宋" w:cs="仿宋"/>
          <w:lang w:val="en-US" w:eastAsia="zh-CN"/>
        </w:rPr>
        <w:t xml:space="preserve"> </w:t>
      </w:r>
    </w:p>
    <w:p w14:paraId="3DB052CE">
      <w:pPr>
        <w:pStyle w:val="26"/>
        <w:spacing w:before="75" w:beforeAutospacing="0" w:after="75" w:afterAutospacing="0" w:line="400" w:lineRule="exact"/>
        <w:ind w:firstLine="480" w:firstLineChars="200"/>
        <w:rPr>
          <w:rFonts w:hint="eastAsia" w:ascii="仿宋" w:hAnsi="Times New Roman" w:eastAsia="仿宋" w:cs="仿宋"/>
          <w:lang w:val="en-US" w:eastAsia="zh-CN"/>
        </w:rPr>
      </w:pPr>
      <w:r>
        <w:rPr>
          <w:rFonts w:hint="eastAsia" w:ascii="仿宋" w:hAnsi="Times New Roman" w:eastAsia="仿宋" w:cs="仿宋"/>
          <w:lang w:eastAsia="zh-CN"/>
        </w:rPr>
        <w:t>项目联系方式（询问）：13967961996</w:t>
      </w:r>
      <w:r>
        <w:rPr>
          <w:rFonts w:hint="eastAsia" w:ascii="仿宋" w:hAnsi="Times New Roman" w:eastAsia="仿宋" w:cs="仿宋"/>
          <w:lang w:val="en-US" w:eastAsia="zh-CN"/>
        </w:rPr>
        <w:t xml:space="preserve"> </w:t>
      </w:r>
    </w:p>
    <w:p w14:paraId="6B31C8EF">
      <w:pPr>
        <w:pStyle w:val="26"/>
        <w:spacing w:before="75" w:beforeAutospacing="0" w:after="75" w:afterAutospacing="0" w:line="400" w:lineRule="exact"/>
        <w:ind w:firstLine="480" w:firstLineChars="200"/>
        <w:rPr>
          <w:rFonts w:hint="eastAsia" w:ascii="仿宋" w:hAnsi="Times New Roman" w:eastAsia="仿宋" w:cs="仿宋"/>
          <w:lang w:val="en-US" w:eastAsia="zh-CN"/>
        </w:rPr>
      </w:pPr>
      <w:r>
        <w:rPr>
          <w:rFonts w:hint="eastAsia" w:ascii="仿宋" w:hAnsi="Times New Roman" w:eastAsia="仿宋" w:cs="仿宋"/>
        </w:rPr>
        <w:t>质疑联系人</w:t>
      </w:r>
      <w:r>
        <w:rPr>
          <w:rFonts w:hint="eastAsia" w:ascii="仿宋" w:hAnsi="Times New Roman" w:eastAsia="仿宋" w:cs="仿宋"/>
          <w:lang w:eastAsia="zh-CN"/>
        </w:rPr>
        <w:t>：</w:t>
      </w:r>
      <w:r>
        <w:rPr>
          <w:rFonts w:hint="eastAsia" w:ascii="仿宋" w:hAnsi="Times New Roman" w:eastAsia="仿宋" w:cs="仿宋"/>
          <w:lang w:val="en-US" w:eastAsia="zh-CN"/>
        </w:rPr>
        <w:t xml:space="preserve"> </w:t>
      </w:r>
      <w:r>
        <w:rPr>
          <w:rFonts w:hint="eastAsia" w:ascii="仿宋" w:hAnsi="Times New Roman" w:eastAsia="仿宋" w:cs="仿宋"/>
          <w:lang w:eastAsia="zh-CN"/>
        </w:rPr>
        <w:t>何女士</w:t>
      </w:r>
    </w:p>
    <w:p w14:paraId="5825A91D">
      <w:pPr>
        <w:pStyle w:val="26"/>
        <w:spacing w:before="75" w:beforeAutospacing="0" w:after="75" w:afterAutospacing="0" w:line="400" w:lineRule="exact"/>
        <w:ind w:firstLine="480" w:firstLineChars="200"/>
        <w:rPr>
          <w:rFonts w:hint="eastAsia" w:ascii="仿宋" w:hAnsi="Times New Roman" w:eastAsia="仿宋" w:cs="仿宋"/>
        </w:rPr>
      </w:pPr>
      <w:r>
        <w:rPr>
          <w:rFonts w:hint="eastAsia" w:ascii="仿宋" w:hAnsi="Times New Roman" w:eastAsia="仿宋" w:cs="仿宋"/>
        </w:rPr>
        <w:t>质疑联系方式：</w:t>
      </w:r>
      <w:r>
        <w:rPr>
          <w:rFonts w:hint="eastAsia" w:ascii="仿宋" w:hAnsi="Times New Roman" w:eastAsia="仿宋" w:cs="仿宋"/>
          <w:lang w:eastAsia="zh-CN"/>
        </w:rPr>
        <w:t>13967961996</w:t>
      </w:r>
    </w:p>
    <w:p w14:paraId="48B2E634">
      <w:pPr>
        <w:pStyle w:val="26"/>
        <w:spacing w:before="75" w:beforeAutospacing="0" w:after="75" w:afterAutospacing="0" w:line="400" w:lineRule="exact"/>
        <w:rPr>
          <w:rFonts w:ascii="仿宋" w:eastAsia="仿宋" w:cs="仿宋"/>
        </w:rPr>
      </w:pPr>
      <w:r>
        <w:rPr>
          <w:rFonts w:hint="eastAsia" w:ascii="仿宋" w:eastAsia="仿宋" w:cs="仿宋"/>
        </w:rPr>
        <w:t>2.采购代理机构信息</w:t>
      </w:r>
    </w:p>
    <w:p w14:paraId="3CE5F0CA">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名称：金华同慷建设管理咨询有限公司</w:t>
      </w:r>
    </w:p>
    <w:p w14:paraId="61F66BD9">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地址：武义县中南名城2号楼商业2-001铺</w:t>
      </w:r>
    </w:p>
    <w:p w14:paraId="482B345A">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项目联系人（询问）：陈玲</w:t>
      </w:r>
    </w:p>
    <w:p w14:paraId="26E2B06A">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项目联系方式（询问）：15868997454</w:t>
      </w:r>
    </w:p>
    <w:p w14:paraId="5CDE7D8F">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质疑联系人：程博翔</w:t>
      </w:r>
    </w:p>
    <w:p w14:paraId="2A48D273">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质疑联系方式：15925951663</w:t>
      </w:r>
    </w:p>
    <w:p w14:paraId="48E06F30">
      <w:pPr>
        <w:pStyle w:val="26"/>
        <w:spacing w:before="0" w:beforeAutospacing="0" w:after="0" w:afterAutospacing="0" w:line="400" w:lineRule="exact"/>
        <w:rPr>
          <w:rFonts w:ascii="仿宋" w:eastAsia="仿宋" w:cs="仿宋"/>
        </w:rPr>
      </w:pPr>
      <w:r>
        <w:rPr>
          <w:rFonts w:hint="eastAsia" w:ascii="仿宋" w:eastAsia="仿宋" w:cs="仿宋"/>
        </w:rPr>
        <w:t>3.同级政府采购监督管理部门</w:t>
      </w:r>
    </w:p>
    <w:p w14:paraId="363E4DDD">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名称：武义县财政局政府采购监管科</w:t>
      </w:r>
    </w:p>
    <w:p w14:paraId="4FA99B09">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地址：武义县温泉南路100号</w:t>
      </w:r>
    </w:p>
    <w:p w14:paraId="35FE7D81">
      <w:pPr>
        <w:pStyle w:val="26"/>
        <w:spacing w:before="75" w:beforeAutospacing="0" w:after="75" w:afterAutospacing="0" w:line="400" w:lineRule="exact"/>
        <w:ind w:firstLine="480" w:firstLineChars="200"/>
        <w:rPr>
          <w:rFonts w:ascii="仿宋" w:eastAsia="仿宋" w:cs="仿宋"/>
        </w:rPr>
      </w:pPr>
      <w:r>
        <w:rPr>
          <w:rFonts w:hint="eastAsia" w:ascii="仿宋" w:eastAsia="仿宋" w:cs="仿宋"/>
        </w:rPr>
        <w:t>联系人：</w:t>
      </w:r>
      <w:r>
        <w:rPr>
          <w:rFonts w:hint="eastAsia" w:ascii="仿宋" w:eastAsia="仿宋" w:cs="仿宋"/>
          <w:lang w:eastAsia="zh-CN"/>
        </w:rPr>
        <w:t>陈</w:t>
      </w:r>
      <w:r>
        <w:rPr>
          <w:rFonts w:hint="eastAsia" w:ascii="仿宋" w:eastAsia="仿宋" w:cs="仿宋"/>
        </w:rPr>
        <w:t>女士</w:t>
      </w:r>
    </w:p>
    <w:p w14:paraId="31C79D15">
      <w:pPr>
        <w:pStyle w:val="26"/>
        <w:spacing w:before="75" w:beforeAutospacing="0" w:after="75" w:afterAutospacing="0" w:line="400" w:lineRule="exact"/>
        <w:ind w:firstLine="480" w:firstLineChars="200"/>
        <w:rPr>
          <w:rFonts w:ascii="仿宋" w:eastAsia="仿宋" w:cs="仿宋"/>
          <w:sz w:val="21"/>
          <w:szCs w:val="21"/>
          <w:shd w:val="clear" w:color="auto" w:fill="FFFFFF"/>
        </w:rPr>
      </w:pPr>
      <w:r>
        <w:rPr>
          <w:rFonts w:hint="eastAsia" w:ascii="仿宋" w:eastAsia="仿宋" w:cs="仿宋"/>
        </w:rPr>
        <w:t>监督投诉电话：0579-87646372</w:t>
      </w:r>
    </w:p>
    <w:p w14:paraId="6B9BA87B">
      <w:pPr>
        <w:pStyle w:val="41"/>
        <w:ind w:firstLine="420" w:firstLineChars="200"/>
        <w:rPr>
          <w:rFonts w:ascii="仿宋" w:eastAsia="仿宋" w:cs="仿宋"/>
          <w:color w:val="auto"/>
          <w:sz w:val="36"/>
          <w:szCs w:val="36"/>
        </w:rPr>
      </w:pPr>
      <w:r>
        <w:rPr>
          <w:rFonts w:hint="eastAsia" w:asci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bookmarkEnd w:id="2"/>
      <w:bookmarkStart w:id="3" w:name="_Toc125344503"/>
    </w:p>
    <w:p w14:paraId="71E8E4FE">
      <w:pPr>
        <w:rPr>
          <w:color w:val="auto"/>
        </w:rPr>
        <w:sectPr>
          <w:footerReference r:id="rId8" w:type="default"/>
          <w:pgSz w:w="11906" w:h="16838"/>
          <w:pgMar w:top="1247" w:right="1134" w:bottom="1020" w:left="1418" w:header="1134" w:footer="1134" w:gutter="0"/>
          <w:pgNumType w:fmt="numberInDash" w:start="1"/>
          <w:cols w:space="720" w:num="1"/>
          <w:docGrid w:type="lines" w:linePitch="312" w:charSpace="0"/>
        </w:sectPr>
      </w:pPr>
    </w:p>
    <w:p w14:paraId="1D96C172">
      <w:pPr>
        <w:numPr>
          <w:ilvl w:val="0"/>
          <w:numId w:val="4"/>
        </w:num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 xml:space="preserve"> 投标须知</w:t>
      </w:r>
    </w:p>
    <w:p w14:paraId="71313444">
      <w:pPr>
        <w:pStyle w:val="11"/>
        <w:spacing w:after="0"/>
        <w:jc w:val="center"/>
        <w:rPr>
          <w:b/>
          <w:bCs/>
          <w:sz w:val="24"/>
          <w:szCs w:val="24"/>
        </w:rPr>
      </w:pPr>
      <w:r>
        <w:rPr>
          <w:rFonts w:hint="eastAsia"/>
          <w:b/>
          <w:bCs/>
          <w:sz w:val="24"/>
          <w:szCs w:val="24"/>
        </w:rPr>
        <w:t>前  附  表</w:t>
      </w:r>
    </w:p>
    <w:tbl>
      <w:tblPr>
        <w:tblStyle w:val="31"/>
        <w:tblpPr w:leftFromText="180" w:rightFromText="180" w:vertAnchor="text" w:horzAnchor="page" w:tblpX="1170" w:tblpY="417"/>
        <w:tblOverlap w:val="never"/>
        <w:tblW w:w="100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4EADE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14:paraId="1A7FC4FF">
            <w:pPr>
              <w:pStyle w:val="14"/>
              <w:spacing w:line="360" w:lineRule="exact"/>
              <w:jc w:val="center"/>
              <w:rPr>
                <w:rFonts w:ascii="仿宋" w:eastAsia="仿宋" w:cs="仿宋"/>
                <w:b/>
                <w:szCs w:val="24"/>
              </w:rPr>
            </w:pPr>
            <w:r>
              <w:rPr>
                <w:rFonts w:hint="eastAsia" w:asci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14:paraId="63385BC7">
            <w:pPr>
              <w:pStyle w:val="14"/>
              <w:spacing w:line="360" w:lineRule="exact"/>
              <w:jc w:val="center"/>
              <w:rPr>
                <w:rFonts w:ascii="仿宋" w:eastAsia="仿宋" w:cs="仿宋"/>
                <w:b/>
                <w:szCs w:val="24"/>
              </w:rPr>
            </w:pPr>
            <w:r>
              <w:rPr>
                <w:rFonts w:hint="eastAsia" w:asci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14:paraId="1D2BA4EB">
            <w:pPr>
              <w:pStyle w:val="14"/>
              <w:spacing w:line="360" w:lineRule="exact"/>
              <w:jc w:val="center"/>
              <w:rPr>
                <w:rFonts w:ascii="仿宋" w:eastAsia="仿宋" w:cs="仿宋"/>
                <w:b/>
                <w:szCs w:val="24"/>
              </w:rPr>
            </w:pPr>
            <w:r>
              <w:rPr>
                <w:rFonts w:hint="eastAsia" w:ascii="仿宋" w:eastAsia="仿宋" w:cs="仿宋"/>
                <w:b/>
                <w:szCs w:val="24"/>
              </w:rPr>
              <w:t>说明与要求</w:t>
            </w:r>
          </w:p>
        </w:tc>
      </w:tr>
      <w:tr w14:paraId="1CD0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14:paraId="65B21FF7">
            <w:pPr>
              <w:pStyle w:val="14"/>
              <w:spacing w:line="360" w:lineRule="exact"/>
              <w:jc w:val="center"/>
              <w:rPr>
                <w:rFonts w:ascii="仿宋" w:eastAsia="仿宋" w:cs="仿宋"/>
                <w:bCs/>
                <w:szCs w:val="24"/>
              </w:rPr>
            </w:pPr>
            <w:r>
              <w:rPr>
                <w:rFonts w:hint="eastAsia" w:asci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5731CF71">
            <w:pPr>
              <w:pStyle w:val="14"/>
              <w:spacing w:line="360" w:lineRule="exact"/>
              <w:jc w:val="center"/>
              <w:rPr>
                <w:rFonts w:ascii="仿宋" w:eastAsia="仿宋" w:cs="仿宋"/>
                <w:b/>
                <w:szCs w:val="24"/>
              </w:rPr>
            </w:pPr>
            <w:r>
              <w:rPr>
                <w:rFonts w:hint="eastAsia" w:asci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14:paraId="27675AA7">
            <w:pPr>
              <w:autoSpaceDE/>
              <w:autoSpaceDN/>
              <w:adjustRightInd/>
              <w:spacing w:line="360" w:lineRule="exact"/>
              <w:rPr>
                <w:rFonts w:hint="eastAsia" w:ascii="仿宋" w:eastAsia="仿宋" w:cs="仿宋"/>
                <w:color w:val="auto"/>
                <w:sz w:val="24"/>
                <w:szCs w:val="24"/>
                <w:lang w:eastAsia="zh-CN"/>
              </w:rPr>
            </w:pPr>
            <w:r>
              <w:rPr>
                <w:rFonts w:hint="eastAsia" w:ascii="仿宋" w:eastAsia="仿宋" w:cs="仿宋"/>
                <w:color w:val="auto"/>
                <w:sz w:val="24"/>
                <w:szCs w:val="24"/>
                <w:lang w:eastAsia="zh-CN"/>
              </w:rPr>
              <w:t>武义县妇幼保健院手术室吊塔、无影灯设备采购项目</w:t>
            </w:r>
          </w:p>
        </w:tc>
      </w:tr>
      <w:tr w14:paraId="5A5DD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1FEBBCA">
            <w:pPr>
              <w:pStyle w:val="14"/>
              <w:spacing w:line="360" w:lineRule="exact"/>
              <w:jc w:val="center"/>
              <w:rPr>
                <w:rFonts w:ascii="仿宋" w:eastAsia="仿宋" w:cs="仿宋"/>
                <w:bCs/>
                <w:szCs w:val="24"/>
              </w:rPr>
            </w:pPr>
            <w:r>
              <w:rPr>
                <w:rFonts w:hint="eastAsia" w:asci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3FF28A28">
            <w:pPr>
              <w:pStyle w:val="14"/>
              <w:spacing w:line="360" w:lineRule="exact"/>
              <w:jc w:val="center"/>
              <w:rPr>
                <w:rFonts w:ascii="仿宋" w:eastAsia="仿宋" w:cs="仿宋"/>
                <w:b/>
                <w:szCs w:val="24"/>
              </w:rPr>
            </w:pPr>
            <w:r>
              <w:rPr>
                <w:rFonts w:hint="eastAsia" w:asci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14:paraId="039F6292">
            <w:pPr>
              <w:pStyle w:val="14"/>
              <w:spacing w:line="360" w:lineRule="exact"/>
              <w:rPr>
                <w:rFonts w:ascii="仿宋" w:eastAsia="仿宋" w:cs="仿宋"/>
                <w:szCs w:val="24"/>
              </w:rPr>
            </w:pPr>
            <w:r>
              <w:rPr>
                <w:rFonts w:hint="eastAsia" w:ascii="仿宋" w:eastAsia="仿宋" w:cs="仿宋"/>
                <w:szCs w:val="24"/>
              </w:rPr>
              <w:t>公开招标</w:t>
            </w:r>
          </w:p>
        </w:tc>
      </w:tr>
      <w:tr w14:paraId="15575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9992269">
            <w:pPr>
              <w:pStyle w:val="14"/>
              <w:spacing w:line="360" w:lineRule="exact"/>
              <w:jc w:val="center"/>
              <w:rPr>
                <w:rFonts w:ascii="仿宋" w:eastAsia="仿宋" w:cs="仿宋"/>
                <w:bCs/>
                <w:szCs w:val="24"/>
              </w:rPr>
            </w:pPr>
            <w:r>
              <w:rPr>
                <w:rFonts w:hint="eastAsia" w:asci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069CE1E9">
            <w:pPr>
              <w:pStyle w:val="14"/>
              <w:spacing w:line="360" w:lineRule="exact"/>
              <w:jc w:val="center"/>
              <w:rPr>
                <w:rFonts w:ascii="仿宋" w:eastAsia="仿宋" w:cs="仿宋"/>
                <w:b/>
                <w:szCs w:val="24"/>
              </w:rPr>
            </w:pPr>
            <w:r>
              <w:rPr>
                <w:rFonts w:hint="eastAsia" w:asci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14:paraId="30ED42BE">
            <w:pPr>
              <w:pStyle w:val="14"/>
              <w:spacing w:line="360" w:lineRule="exact"/>
              <w:rPr>
                <w:rFonts w:ascii="仿宋" w:eastAsia="仿宋" w:cs="仿宋"/>
                <w:szCs w:val="24"/>
              </w:rPr>
            </w:pPr>
            <w:r>
              <w:rPr>
                <w:rFonts w:hint="eastAsia" w:ascii="仿宋" w:eastAsia="仿宋" w:cs="仿宋"/>
                <w:szCs w:val="24"/>
              </w:rPr>
              <w:t>综合评分法</w:t>
            </w:r>
          </w:p>
        </w:tc>
      </w:tr>
      <w:tr w14:paraId="1124F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7428582">
            <w:pPr>
              <w:pStyle w:val="14"/>
              <w:spacing w:line="360" w:lineRule="exact"/>
              <w:jc w:val="center"/>
              <w:rPr>
                <w:rFonts w:ascii="仿宋" w:eastAsia="仿宋" w:cs="仿宋"/>
                <w:bCs/>
                <w:szCs w:val="24"/>
              </w:rPr>
            </w:pPr>
            <w:r>
              <w:rPr>
                <w:rFonts w:hint="eastAsia" w:asci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0FEE3D45">
            <w:pPr>
              <w:pStyle w:val="14"/>
              <w:spacing w:line="360" w:lineRule="exact"/>
              <w:jc w:val="center"/>
              <w:rPr>
                <w:rFonts w:ascii="仿宋" w:eastAsia="仿宋" w:cs="仿宋"/>
                <w:szCs w:val="24"/>
              </w:rPr>
            </w:pPr>
            <w:r>
              <w:rPr>
                <w:rFonts w:hint="eastAsia" w:asci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14:paraId="2DED654A">
            <w:pPr>
              <w:spacing w:line="360" w:lineRule="exact"/>
              <w:jc w:val="left"/>
              <w:rPr>
                <w:rFonts w:ascii="仿宋" w:eastAsia="仿宋" w:cs="仿宋"/>
                <w:color w:val="auto"/>
                <w:sz w:val="24"/>
                <w:szCs w:val="24"/>
              </w:rPr>
            </w:pPr>
            <w:r>
              <w:rPr>
                <w:rFonts w:hint="eastAsia" w:ascii="仿宋" w:eastAsia="仿宋" w:cs="仿宋"/>
                <w:color w:val="auto"/>
                <w:sz w:val="24"/>
                <w:szCs w:val="24"/>
              </w:rPr>
              <w:t>本项目设有最高限价，任何超过最高限价的报价将被认定为无效报价。</w:t>
            </w:r>
          </w:p>
        </w:tc>
      </w:tr>
      <w:tr w14:paraId="15D1E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78C68455">
            <w:pPr>
              <w:pStyle w:val="14"/>
              <w:spacing w:line="360" w:lineRule="exact"/>
              <w:jc w:val="center"/>
              <w:rPr>
                <w:rFonts w:ascii="仿宋" w:eastAsia="仿宋" w:cs="仿宋"/>
                <w:bCs/>
                <w:szCs w:val="24"/>
              </w:rPr>
            </w:pPr>
            <w:r>
              <w:rPr>
                <w:rFonts w:hint="eastAsia" w:asci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14:paraId="3112B0C4">
            <w:pPr>
              <w:pStyle w:val="14"/>
              <w:spacing w:line="360" w:lineRule="exact"/>
              <w:jc w:val="center"/>
              <w:rPr>
                <w:rFonts w:ascii="仿宋" w:eastAsia="仿宋" w:cs="仿宋"/>
                <w:szCs w:val="24"/>
              </w:rPr>
            </w:pPr>
            <w:r>
              <w:rPr>
                <w:rFonts w:hint="eastAsia" w:ascii="仿宋" w:eastAsia="仿宋" w:cs="仿宋"/>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14:paraId="2651522E">
            <w:pPr>
              <w:spacing w:line="360" w:lineRule="exact"/>
              <w:rPr>
                <w:rFonts w:ascii="仿宋" w:eastAsia="仿宋" w:cs="仿宋"/>
                <w:color w:val="auto"/>
                <w:szCs w:val="24"/>
              </w:rPr>
            </w:pPr>
            <w:r>
              <w:rPr>
                <w:rFonts w:hint="eastAsia" w:ascii="仿宋" w:eastAsia="仿宋" w:cs="仿宋"/>
                <w:color w:val="auto"/>
                <w:kern w:val="2"/>
                <w:sz w:val="24"/>
                <w:szCs w:val="24"/>
              </w:rPr>
              <w:t>详见招标公告</w:t>
            </w:r>
          </w:p>
        </w:tc>
      </w:tr>
      <w:tr w14:paraId="6F48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7BEEFD5A">
            <w:pPr>
              <w:pStyle w:val="14"/>
              <w:spacing w:line="360" w:lineRule="exact"/>
              <w:jc w:val="center"/>
              <w:rPr>
                <w:rFonts w:ascii="仿宋" w:eastAsia="仿宋" w:cs="仿宋"/>
                <w:bCs/>
                <w:szCs w:val="24"/>
              </w:rPr>
            </w:pPr>
            <w:r>
              <w:rPr>
                <w:rFonts w:hint="eastAsia" w:asci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14:paraId="33445660">
            <w:pPr>
              <w:pStyle w:val="14"/>
              <w:spacing w:line="360" w:lineRule="exact"/>
              <w:jc w:val="center"/>
              <w:rPr>
                <w:rFonts w:ascii="仿宋" w:eastAsia="仿宋" w:cs="仿宋"/>
                <w:b/>
                <w:szCs w:val="24"/>
              </w:rPr>
            </w:pPr>
            <w:r>
              <w:rPr>
                <w:rFonts w:hint="eastAsia" w:asci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14:paraId="0883A00C">
            <w:pPr>
              <w:pStyle w:val="14"/>
              <w:spacing w:line="360" w:lineRule="exact"/>
              <w:rPr>
                <w:rFonts w:ascii="仿宋" w:eastAsia="仿宋" w:cs="仿宋"/>
                <w:szCs w:val="24"/>
              </w:rPr>
            </w:pPr>
            <w:r>
              <w:rPr>
                <w:rFonts w:hint="eastAsia" w:ascii="仿宋" w:eastAsia="仿宋" w:cs="仿宋"/>
                <w:szCs w:val="24"/>
              </w:rPr>
              <w:t>本项目不接收联合体投标</w:t>
            </w:r>
          </w:p>
        </w:tc>
      </w:tr>
      <w:tr w14:paraId="4F3E2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04" w:type="dxa"/>
            <w:tcBorders>
              <w:top w:val="single" w:color="auto" w:sz="4" w:space="0"/>
              <w:left w:val="single" w:color="auto" w:sz="4" w:space="0"/>
              <w:bottom w:val="single" w:color="auto" w:sz="4" w:space="0"/>
              <w:right w:val="single" w:color="auto" w:sz="4" w:space="0"/>
            </w:tcBorders>
            <w:vAlign w:val="center"/>
          </w:tcPr>
          <w:p w14:paraId="419A3CE3">
            <w:pPr>
              <w:pStyle w:val="14"/>
              <w:spacing w:line="360" w:lineRule="exact"/>
              <w:jc w:val="center"/>
              <w:rPr>
                <w:rFonts w:ascii="仿宋" w:eastAsia="仿宋" w:cs="仿宋"/>
                <w:bCs/>
                <w:szCs w:val="24"/>
              </w:rPr>
            </w:pPr>
            <w:r>
              <w:rPr>
                <w:rFonts w:hint="eastAsia" w:asci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14:paraId="7E47F38D">
            <w:pPr>
              <w:pStyle w:val="14"/>
              <w:spacing w:line="360" w:lineRule="exact"/>
              <w:jc w:val="center"/>
              <w:rPr>
                <w:rFonts w:ascii="仿宋" w:eastAsia="仿宋" w:cs="仿宋"/>
                <w:szCs w:val="24"/>
              </w:rPr>
            </w:pPr>
            <w:r>
              <w:rPr>
                <w:rFonts w:hint="eastAsia" w:asci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14:paraId="2EAD2700">
            <w:pPr>
              <w:snapToGrid w:val="0"/>
              <w:spacing w:line="360" w:lineRule="exact"/>
              <w:rPr>
                <w:rFonts w:ascii="仿宋" w:eastAsia="仿宋" w:cs="仿宋"/>
                <w:color w:val="auto"/>
                <w:sz w:val="24"/>
                <w:szCs w:val="24"/>
              </w:rPr>
            </w:pPr>
            <w:r>
              <w:rPr>
                <w:rFonts w:hint="eastAsia" w:ascii="仿宋" w:eastAsia="仿宋" w:cs="仿宋"/>
                <w:color w:val="auto"/>
                <w:sz w:val="24"/>
                <w:szCs w:val="24"/>
              </w:rPr>
              <w:t>本次招标共</w:t>
            </w:r>
            <w:r>
              <w:rPr>
                <w:rFonts w:hint="eastAsia" w:eastAsia="方正仿宋_GB2312"/>
                <w:b/>
                <w:bCs/>
                <w:color w:val="auto"/>
                <w:kern w:val="2"/>
                <w:sz w:val="24"/>
                <w:szCs w:val="24"/>
                <w:u w:val="single"/>
              </w:rPr>
              <w:t xml:space="preserve"> 1 </w:t>
            </w:r>
            <w:r>
              <w:rPr>
                <w:rFonts w:hint="eastAsia" w:ascii="仿宋" w:eastAsia="仿宋" w:cs="仿宋"/>
                <w:color w:val="auto"/>
                <w:sz w:val="24"/>
                <w:szCs w:val="24"/>
              </w:rPr>
              <w:t>个标的，采购人将分别择定中标人。</w:t>
            </w:r>
          </w:p>
        </w:tc>
      </w:tr>
      <w:tr w14:paraId="5A6AE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04" w:type="dxa"/>
            <w:tcBorders>
              <w:top w:val="single" w:color="auto" w:sz="4" w:space="0"/>
              <w:left w:val="single" w:color="auto" w:sz="4" w:space="0"/>
              <w:bottom w:val="single" w:color="auto" w:sz="4" w:space="0"/>
              <w:right w:val="single" w:color="auto" w:sz="4" w:space="0"/>
            </w:tcBorders>
            <w:vAlign w:val="center"/>
          </w:tcPr>
          <w:p w14:paraId="05DE3CD5">
            <w:pPr>
              <w:pStyle w:val="14"/>
              <w:spacing w:line="360" w:lineRule="exact"/>
              <w:jc w:val="center"/>
              <w:rPr>
                <w:rFonts w:ascii="仿宋" w:eastAsia="仿宋" w:cs="仿宋"/>
                <w:bCs/>
                <w:szCs w:val="24"/>
              </w:rPr>
            </w:pPr>
            <w:r>
              <w:rPr>
                <w:rFonts w:hint="eastAsia" w:asci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14:paraId="5C76BD0B">
            <w:pPr>
              <w:pStyle w:val="14"/>
              <w:spacing w:line="360" w:lineRule="exact"/>
              <w:jc w:val="center"/>
              <w:rPr>
                <w:rFonts w:ascii="仿宋" w:eastAsia="仿宋" w:cs="仿宋"/>
                <w:szCs w:val="24"/>
              </w:rPr>
            </w:pPr>
            <w:r>
              <w:rPr>
                <w:rFonts w:hint="eastAsia" w:asci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14:paraId="2AB792A9">
            <w:pPr>
              <w:snapToGrid w:val="0"/>
              <w:spacing w:line="360" w:lineRule="exact"/>
              <w:rPr>
                <w:rFonts w:ascii="仿宋" w:eastAsia="仿宋" w:cs="仿宋"/>
                <w:color w:val="auto"/>
                <w:sz w:val="24"/>
                <w:szCs w:val="24"/>
              </w:rPr>
            </w:pPr>
            <w:r>
              <w:rPr>
                <w:rFonts w:hint="eastAsia" w:ascii="仿宋" w:eastAsia="仿宋" w:cs="仿宋"/>
                <w:color w:val="auto"/>
                <w:sz w:val="24"/>
                <w:szCs w:val="24"/>
              </w:rPr>
              <w:t>供应商资格采用资格后审方式，由评标委员会进行审查。</w:t>
            </w:r>
          </w:p>
        </w:tc>
      </w:tr>
      <w:tr w14:paraId="03064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4" w:type="dxa"/>
            <w:tcBorders>
              <w:top w:val="single" w:color="auto" w:sz="4" w:space="0"/>
              <w:left w:val="single" w:color="auto" w:sz="4" w:space="0"/>
              <w:bottom w:val="single" w:color="auto" w:sz="4" w:space="0"/>
              <w:right w:val="single" w:color="auto" w:sz="4" w:space="0"/>
            </w:tcBorders>
            <w:vAlign w:val="center"/>
          </w:tcPr>
          <w:p w14:paraId="09487ACB">
            <w:pPr>
              <w:pStyle w:val="14"/>
              <w:spacing w:line="360" w:lineRule="exact"/>
              <w:jc w:val="center"/>
              <w:rPr>
                <w:rFonts w:ascii="仿宋" w:eastAsia="仿宋" w:cs="仿宋"/>
                <w:bCs/>
                <w:szCs w:val="24"/>
              </w:rPr>
            </w:pPr>
            <w:r>
              <w:rPr>
                <w:rFonts w:hint="eastAsia" w:asci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14:paraId="018B9FFE">
            <w:pPr>
              <w:pStyle w:val="14"/>
              <w:spacing w:line="360" w:lineRule="exact"/>
              <w:jc w:val="center"/>
              <w:rPr>
                <w:rFonts w:ascii="仿宋" w:eastAsia="仿宋" w:cs="仿宋"/>
                <w:szCs w:val="24"/>
              </w:rPr>
            </w:pPr>
            <w:r>
              <w:rPr>
                <w:rFonts w:hint="eastAsia" w:ascii="仿宋" w:eastAsia="仿宋" w:cs="仿宋"/>
                <w:szCs w:val="24"/>
              </w:rPr>
              <w:t>招标文件的</w:t>
            </w:r>
          </w:p>
          <w:p w14:paraId="51CE28D9">
            <w:pPr>
              <w:pStyle w:val="14"/>
              <w:spacing w:line="360" w:lineRule="exact"/>
              <w:jc w:val="center"/>
              <w:rPr>
                <w:rFonts w:ascii="仿宋" w:eastAsia="仿宋" w:cs="仿宋"/>
                <w:b/>
                <w:szCs w:val="24"/>
              </w:rPr>
            </w:pPr>
            <w:r>
              <w:rPr>
                <w:rFonts w:hint="eastAsia" w:asci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14:paraId="62E02A0B">
            <w:pPr>
              <w:pStyle w:val="26"/>
              <w:spacing w:before="0" w:beforeAutospacing="0" w:after="0" w:afterAutospacing="0" w:line="360" w:lineRule="exact"/>
              <w:rPr>
                <w:rFonts w:ascii="仿宋" w:eastAsia="仿宋" w:cs="仿宋"/>
              </w:rPr>
            </w:pPr>
            <w:r>
              <w:rPr>
                <w:rFonts w:hint="eastAsia" w:ascii="仿宋" w:eastAsia="仿宋" w:cs="仿宋"/>
              </w:rPr>
              <w:t>详见招标公告</w:t>
            </w:r>
          </w:p>
        </w:tc>
      </w:tr>
      <w:tr w14:paraId="1D4C3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4" w:type="dxa"/>
            <w:tcBorders>
              <w:top w:val="single" w:color="auto" w:sz="4" w:space="0"/>
              <w:left w:val="single" w:color="auto" w:sz="4" w:space="0"/>
              <w:bottom w:val="single" w:color="auto" w:sz="4" w:space="0"/>
              <w:right w:val="single" w:color="auto" w:sz="4" w:space="0"/>
            </w:tcBorders>
            <w:vAlign w:val="center"/>
          </w:tcPr>
          <w:p w14:paraId="3342426B">
            <w:pPr>
              <w:pStyle w:val="14"/>
              <w:spacing w:line="360" w:lineRule="exact"/>
              <w:jc w:val="center"/>
              <w:rPr>
                <w:rFonts w:ascii="仿宋" w:eastAsia="仿宋" w:cs="仿宋"/>
                <w:bCs/>
                <w:szCs w:val="24"/>
              </w:rPr>
            </w:pPr>
            <w:r>
              <w:rPr>
                <w:rFonts w:hint="eastAsia" w:asci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14:paraId="1581AD03">
            <w:pPr>
              <w:pStyle w:val="14"/>
              <w:spacing w:line="360" w:lineRule="exact"/>
              <w:jc w:val="center"/>
              <w:rPr>
                <w:rFonts w:ascii="仿宋" w:eastAsia="仿宋" w:cs="仿宋"/>
                <w:szCs w:val="24"/>
              </w:rPr>
            </w:pPr>
            <w:r>
              <w:rPr>
                <w:rFonts w:hint="eastAsia" w:asci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14:paraId="6C490EF6">
            <w:pPr>
              <w:autoSpaceDE/>
              <w:autoSpaceDN/>
              <w:adjustRightInd/>
              <w:spacing w:line="360" w:lineRule="exact"/>
              <w:rPr>
                <w:rFonts w:ascii="仿宋" w:eastAsia="仿宋" w:cs="仿宋"/>
                <w:color w:val="auto"/>
                <w:sz w:val="24"/>
                <w:szCs w:val="24"/>
              </w:rPr>
            </w:pPr>
            <w:r>
              <w:rPr>
                <w:rFonts w:hint="eastAsia" w:ascii="仿宋" w:eastAsia="仿宋" w:cs="仿宋"/>
                <w:color w:val="auto"/>
                <w:sz w:val="24"/>
                <w:szCs w:val="24"/>
              </w:rPr>
              <w:t>本项目不收取投标保证金</w:t>
            </w:r>
          </w:p>
        </w:tc>
      </w:tr>
      <w:tr w14:paraId="7B671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704" w:type="dxa"/>
            <w:tcBorders>
              <w:top w:val="single" w:color="auto" w:sz="4" w:space="0"/>
              <w:left w:val="single" w:color="auto" w:sz="4" w:space="0"/>
              <w:bottom w:val="single" w:color="auto" w:sz="4" w:space="0"/>
              <w:right w:val="single" w:color="auto" w:sz="4" w:space="0"/>
            </w:tcBorders>
            <w:vAlign w:val="center"/>
          </w:tcPr>
          <w:p w14:paraId="71733165">
            <w:pPr>
              <w:pStyle w:val="14"/>
              <w:spacing w:line="360" w:lineRule="exact"/>
              <w:jc w:val="center"/>
              <w:rPr>
                <w:rFonts w:ascii="仿宋" w:eastAsia="仿宋" w:cs="仿宋"/>
                <w:bCs/>
                <w:szCs w:val="24"/>
              </w:rPr>
            </w:pPr>
            <w:r>
              <w:rPr>
                <w:rFonts w:hint="eastAsia" w:asci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vAlign w:val="center"/>
          </w:tcPr>
          <w:p w14:paraId="07596D38">
            <w:pPr>
              <w:autoSpaceDE/>
              <w:autoSpaceDN/>
              <w:adjustRightInd/>
              <w:spacing w:line="360" w:lineRule="exact"/>
              <w:jc w:val="center"/>
              <w:rPr>
                <w:rFonts w:eastAsia="方正仿宋_GB2312"/>
                <w:color w:val="auto"/>
                <w:kern w:val="2"/>
                <w:sz w:val="24"/>
                <w:szCs w:val="24"/>
              </w:rPr>
            </w:pPr>
            <w:r>
              <w:rPr>
                <w:rFonts w:eastAsia="方正仿宋_GB2312"/>
                <w:color w:val="auto"/>
                <w:sz w:val="24"/>
                <w:szCs w:val="24"/>
              </w:rPr>
              <w:t>投标报价方式及其他要求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70579527">
            <w:pPr>
              <w:pStyle w:val="14"/>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color w:val="auto"/>
                <w:szCs w:val="24"/>
              </w:rPr>
            </w:pPr>
            <w:r>
              <w:rPr>
                <w:rFonts w:hint="eastAsia" w:ascii="仿宋" w:hAnsi="仿宋" w:eastAsia="仿宋" w:cs="仿宋"/>
                <w:b/>
                <w:bCs/>
                <w:color w:val="auto"/>
                <w:szCs w:val="24"/>
                <w:highlight w:val="yellow"/>
              </w:rPr>
              <w:t>1.本项目最高限价</w:t>
            </w:r>
            <w:r>
              <w:rPr>
                <w:rFonts w:hint="eastAsia" w:ascii="仿宋" w:hAnsi="仿宋" w:eastAsia="仿宋" w:cs="仿宋"/>
                <w:b/>
                <w:bCs/>
                <w:color w:val="auto"/>
                <w:szCs w:val="24"/>
                <w:highlight w:val="yellow"/>
                <w:u w:val="single"/>
                <w:lang w:val="en-US" w:eastAsia="zh-CN"/>
              </w:rPr>
              <w:t>1100000</w:t>
            </w:r>
            <w:r>
              <w:rPr>
                <w:rFonts w:hint="eastAsia" w:ascii="仿宋" w:hAnsi="仿宋" w:eastAsia="仿宋" w:cs="仿宋"/>
                <w:b/>
                <w:bCs/>
                <w:color w:val="auto"/>
                <w:szCs w:val="24"/>
                <w:highlight w:val="yellow"/>
                <w:u w:val="single"/>
              </w:rPr>
              <w:t>元</w:t>
            </w:r>
            <w:r>
              <w:rPr>
                <w:rFonts w:hint="eastAsia" w:ascii="仿宋" w:hAnsi="仿宋" w:eastAsia="仿宋" w:cs="仿宋"/>
                <w:b/>
                <w:bCs/>
                <w:color w:val="auto"/>
                <w:szCs w:val="24"/>
                <w:highlight w:val="yellow"/>
                <w:u w:val="single"/>
                <w:lang w:val="en-US" w:eastAsia="zh-CN"/>
              </w:rPr>
              <w:t>,</w:t>
            </w:r>
            <w:r>
              <w:rPr>
                <w:rFonts w:hint="eastAsia" w:ascii="仿宋" w:hAnsi="仿宋" w:eastAsia="仿宋" w:cs="仿宋"/>
                <w:b/>
                <w:bCs/>
                <w:szCs w:val="24"/>
              </w:rPr>
              <w:t>投标人报价高于最高限价的报价无效。</w:t>
            </w:r>
          </w:p>
          <w:p w14:paraId="726850D3">
            <w:pPr>
              <w:pStyle w:val="14"/>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是履行合同的最终价格，投标报价应包括与本项目履行过程中涉及到的一切费用及配合业主通过有关政府部门审批的相关服务等全部项目的费用及工作所发生的一切应有费用。投标报价为签订合同的依据。</w:t>
            </w:r>
          </w:p>
          <w:p w14:paraId="4FE1C434">
            <w:pPr>
              <w:pStyle w:val="14"/>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以采购人提供的最高限价为基础，自行确定合理低价进行报价。投标文件只允许有一个报价，有选择的或有条件的报价将不予接受。报价并不是中标的唯一条件，采购人不保证最低报价中标。报价可能影响履约的异常低价的，应在规定的期限内作澄清或说明，并提供必要的证明材料，证明其报价的合理性。</w:t>
            </w:r>
          </w:p>
          <w:p w14:paraId="55F081F5">
            <w:pPr>
              <w:pStyle w:val="11"/>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rPr>
                <w:rFonts w:ascii="仿宋" w:eastAsia="仿宋" w:cs="仿宋"/>
                <w:color w:val="auto"/>
                <w:sz w:val="24"/>
                <w:szCs w:val="24"/>
              </w:rPr>
            </w:pPr>
            <w:r>
              <w:rPr>
                <w:rFonts w:hint="eastAsia" w:ascii="仿宋" w:hAnsi="仿宋" w:eastAsia="仿宋" w:cs="仿宋"/>
                <w:color w:val="auto"/>
                <w:kern w:val="2"/>
                <w:sz w:val="24"/>
                <w:szCs w:val="24"/>
                <w:highlight w:val="none"/>
                <w:lang w:val="en-US" w:eastAsia="zh-CN" w:bidi="ar-SA"/>
              </w:rPr>
              <w:t>4.投标人对根据修正原则修正后的报价不确认或不接受的，报价按无效报价处理。</w:t>
            </w:r>
          </w:p>
        </w:tc>
      </w:tr>
      <w:tr w14:paraId="390B2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6" w:hRule="atLeast"/>
        </w:trPr>
        <w:tc>
          <w:tcPr>
            <w:tcW w:w="704" w:type="dxa"/>
            <w:tcBorders>
              <w:top w:val="single" w:color="auto" w:sz="4" w:space="0"/>
              <w:left w:val="single" w:color="auto" w:sz="4" w:space="0"/>
              <w:bottom w:val="single" w:color="auto" w:sz="4" w:space="0"/>
              <w:right w:val="single" w:color="auto" w:sz="4" w:space="0"/>
            </w:tcBorders>
            <w:vAlign w:val="center"/>
          </w:tcPr>
          <w:p w14:paraId="0F535161">
            <w:pPr>
              <w:pStyle w:val="14"/>
              <w:spacing w:line="360" w:lineRule="exact"/>
              <w:jc w:val="center"/>
              <w:rPr>
                <w:rFonts w:ascii="仿宋" w:eastAsia="仿宋" w:cs="仿宋"/>
                <w:bCs/>
                <w:szCs w:val="24"/>
              </w:rPr>
            </w:pPr>
            <w:r>
              <w:rPr>
                <w:rFonts w:hint="eastAsia" w:asci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vAlign w:val="center"/>
          </w:tcPr>
          <w:p w14:paraId="7413FF1B">
            <w:pPr>
              <w:autoSpaceDE/>
              <w:autoSpaceDN/>
              <w:adjustRightInd/>
              <w:spacing w:line="360" w:lineRule="exact"/>
              <w:jc w:val="center"/>
              <w:rPr>
                <w:rFonts w:eastAsia="方正仿宋_GB2312"/>
                <w:color w:val="auto"/>
                <w:sz w:val="24"/>
                <w:szCs w:val="24"/>
              </w:rPr>
            </w:pPr>
            <w:r>
              <w:rPr>
                <w:rFonts w:eastAsia="方正仿宋_GB2312"/>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3E9ED9F9">
            <w:pPr>
              <w:autoSpaceDE/>
              <w:autoSpaceDN/>
              <w:adjustRightInd/>
              <w:spacing w:line="360" w:lineRule="exact"/>
              <w:ind w:firstLine="482" w:firstLineChars="200"/>
              <w:rPr>
                <w:rFonts w:ascii="仿宋" w:eastAsia="仿宋" w:cs="仿宋"/>
                <w:color w:val="auto"/>
                <w:sz w:val="24"/>
                <w:szCs w:val="24"/>
              </w:rPr>
            </w:pPr>
            <w:r>
              <w:rPr>
                <w:rFonts w:hint="eastAsia" w:ascii="仿宋" w:eastAsia="仿宋" w:cs="仿宋"/>
                <w:b/>
                <w:color w:val="auto"/>
                <w:sz w:val="24"/>
                <w:szCs w:val="24"/>
              </w:rPr>
              <w:t>1.电子版投标文件1份，本项目实行投标文件CA电子签章，投标人在编制生成“电子投标文件”时需进行CA电子签章加密。</w:t>
            </w:r>
          </w:p>
          <w:p w14:paraId="362899E8">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2.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14:paraId="6A45F546">
            <w:pPr>
              <w:autoSpaceDE/>
              <w:autoSpaceDN/>
              <w:adjustRightInd/>
              <w:spacing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3.是否要求提交纸质版投标文件：</w:t>
            </w:r>
            <w:r>
              <w:rPr>
                <w:rFonts w:hint="eastAsia" w:ascii="仿宋" w:eastAsia="仿宋" w:cs="仿宋"/>
                <w:color w:val="auto"/>
                <w:sz w:val="24"/>
                <w:szCs w:val="24"/>
                <w:u w:val="single"/>
              </w:rPr>
              <w:t>否；但中标后，中标人需在领取中标通知书前向采购代理机构提交与投标时一致的电子投标文件（资格文件、商务技术文件、报价文件）打印纸质版3份（须按照招标采购文件要求签字盖章）。</w:t>
            </w:r>
          </w:p>
        </w:tc>
      </w:tr>
      <w:tr w14:paraId="622BD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6219726">
            <w:pPr>
              <w:pStyle w:val="14"/>
              <w:spacing w:line="360" w:lineRule="exact"/>
              <w:jc w:val="center"/>
              <w:rPr>
                <w:rFonts w:ascii="仿宋" w:eastAsia="仿宋" w:cs="仿宋"/>
                <w:bCs/>
                <w:szCs w:val="24"/>
              </w:rPr>
            </w:pPr>
            <w:r>
              <w:rPr>
                <w:rFonts w:hint="eastAsia" w:ascii="仿宋" w:eastAsia="仿宋" w:cs="仿宋"/>
                <w:bCs/>
                <w:szCs w:val="24"/>
              </w:rPr>
              <w:t>13</w:t>
            </w:r>
          </w:p>
        </w:tc>
        <w:tc>
          <w:tcPr>
            <w:tcW w:w="1760" w:type="dxa"/>
            <w:tcBorders>
              <w:top w:val="single" w:color="auto" w:sz="4" w:space="0"/>
              <w:left w:val="single" w:color="auto" w:sz="4" w:space="0"/>
              <w:right w:val="single" w:color="auto" w:sz="4" w:space="0"/>
            </w:tcBorders>
            <w:vAlign w:val="center"/>
          </w:tcPr>
          <w:p w14:paraId="2A56BC1D">
            <w:pPr>
              <w:pStyle w:val="14"/>
              <w:spacing w:line="360" w:lineRule="exact"/>
              <w:jc w:val="center"/>
              <w:rPr>
                <w:rFonts w:ascii="仿宋" w:eastAsia="仿宋" w:cs="仿宋"/>
                <w:szCs w:val="24"/>
                <w:highlight w:val="none"/>
              </w:rPr>
            </w:pPr>
            <w:r>
              <w:rPr>
                <w:rFonts w:hint="eastAsia" w:eastAsia="方正仿宋_GB2312"/>
                <w:szCs w:val="24"/>
                <w:highlight w:val="none"/>
              </w:rPr>
              <w:t>资格文件</w:t>
            </w:r>
          </w:p>
        </w:tc>
        <w:tc>
          <w:tcPr>
            <w:tcW w:w="7605" w:type="dxa"/>
            <w:tcBorders>
              <w:top w:val="single" w:color="auto" w:sz="4" w:space="0"/>
              <w:left w:val="single" w:color="auto" w:sz="4" w:space="0"/>
              <w:right w:val="single" w:color="auto" w:sz="4" w:space="0"/>
            </w:tcBorders>
            <w:vAlign w:val="center"/>
          </w:tcPr>
          <w:p w14:paraId="4D838C94">
            <w:pPr>
              <w:spacing w:line="360" w:lineRule="exact"/>
              <w:jc w:val="left"/>
              <w:rPr>
                <w:rFonts w:ascii="仿宋" w:eastAsia="仿宋" w:cs="仿宋"/>
                <w:color w:val="auto"/>
                <w:sz w:val="24"/>
                <w:szCs w:val="24"/>
                <w:highlight w:val="none"/>
              </w:rPr>
            </w:pPr>
            <w:r>
              <w:rPr>
                <w:rFonts w:hint="eastAsia" w:ascii="仿宋" w:eastAsia="仿宋" w:cs="仿宋"/>
                <w:color w:val="auto"/>
                <w:sz w:val="24"/>
                <w:szCs w:val="24"/>
                <w:highlight w:val="none"/>
              </w:rPr>
              <w:t>（1）企业法人营业执照复印件；</w:t>
            </w:r>
          </w:p>
          <w:p w14:paraId="7315DE0E">
            <w:pPr>
              <w:spacing w:line="360" w:lineRule="exact"/>
              <w:jc w:val="left"/>
              <w:rPr>
                <w:rFonts w:ascii="仿宋" w:eastAsia="仿宋" w:cs="仿宋"/>
                <w:color w:val="auto"/>
                <w:sz w:val="24"/>
                <w:szCs w:val="24"/>
                <w:highlight w:val="none"/>
              </w:rPr>
            </w:pPr>
            <w:r>
              <w:rPr>
                <w:rFonts w:hint="eastAsia" w:ascii="仿宋" w:eastAsia="仿宋" w:cs="仿宋"/>
                <w:color w:val="auto"/>
                <w:sz w:val="24"/>
                <w:szCs w:val="24"/>
                <w:highlight w:val="none"/>
              </w:rPr>
              <w:t>（2）法定代表人资格书或法定代表人授权委托书（格式见附件）；</w:t>
            </w:r>
          </w:p>
          <w:p w14:paraId="6E5C3788">
            <w:pPr>
              <w:spacing w:line="360" w:lineRule="exact"/>
              <w:jc w:val="left"/>
              <w:rPr>
                <w:rFonts w:ascii="仿宋" w:eastAsia="仿宋" w:cs="仿宋"/>
                <w:color w:val="auto"/>
                <w:sz w:val="24"/>
                <w:szCs w:val="24"/>
                <w:highlight w:val="none"/>
              </w:rPr>
            </w:pPr>
            <w:r>
              <w:rPr>
                <w:rFonts w:hint="eastAsia" w:ascii="仿宋" w:eastAsia="仿宋" w:cs="仿宋"/>
                <w:color w:val="auto"/>
                <w:sz w:val="24"/>
                <w:szCs w:val="24"/>
                <w:highlight w:val="none"/>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48CEA9F1">
            <w:pPr>
              <w:keepNext w:val="0"/>
              <w:keepLines w:val="0"/>
              <w:pageBreakBefore w:val="0"/>
              <w:kinsoku/>
              <w:wordWrap/>
              <w:overflowPunct/>
              <w:topLinePunct w:val="0"/>
              <w:bidi w:val="0"/>
              <w:snapToGrid/>
              <w:spacing w:line="400" w:lineRule="exact"/>
              <w:jc w:val="left"/>
              <w:textAlignment w:val="auto"/>
              <w:rPr>
                <w:rFonts w:hint="eastAsia" w:ascii="仿宋" w:eastAsia="仿宋" w:cs="仿宋"/>
                <w:color w:val="auto"/>
                <w:sz w:val="24"/>
                <w:szCs w:val="24"/>
                <w:highlight w:val="none"/>
              </w:rPr>
            </w:pPr>
            <w:r>
              <w:rPr>
                <w:rFonts w:hint="eastAsia" w:ascii="仿宋" w:eastAsia="仿宋" w:cs="仿宋"/>
                <w:color w:val="auto"/>
                <w:sz w:val="24"/>
                <w:szCs w:val="24"/>
                <w:highlight w:val="none"/>
              </w:rPr>
              <w:t>（4）符合参加政府采购活动应当具备的一般条件的承诺函（格式见附件）；</w:t>
            </w:r>
          </w:p>
          <w:p w14:paraId="2B2CBBA2">
            <w:pPr>
              <w:keepNext w:val="0"/>
              <w:keepLines w:val="0"/>
              <w:pageBreakBefore w:val="0"/>
              <w:kinsoku/>
              <w:wordWrap/>
              <w:overflowPunct/>
              <w:topLinePunct w:val="0"/>
              <w:bidi w:val="0"/>
              <w:snapToGrid/>
              <w:spacing w:line="400" w:lineRule="exact"/>
              <w:jc w:val="left"/>
              <w:textAlignment w:val="auto"/>
              <w:rPr>
                <w:rFonts w:asci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资质（资格）证书：</w:t>
            </w:r>
          </w:p>
          <w:p w14:paraId="5137207D">
            <w:pPr>
              <w:autoSpaceDE/>
              <w:autoSpaceDN/>
              <w:adjustRightInd/>
              <w:spacing w:line="360" w:lineRule="exact"/>
              <w:jc w:val="left"/>
              <w:rPr>
                <w:rFonts w:ascii="仿宋" w:eastAsia="仿宋" w:cs="仿宋"/>
                <w:color w:val="auto"/>
                <w:sz w:val="24"/>
                <w:szCs w:val="24"/>
                <w:highlight w:val="none"/>
              </w:rPr>
            </w:pPr>
            <w:r>
              <w:rPr>
                <w:rFonts w:hint="eastAsia" w:ascii="仿宋" w:eastAsia="仿宋" w:cs="仿宋"/>
                <w:color w:val="auto"/>
                <w:sz w:val="24"/>
                <w:szCs w:val="24"/>
                <w:highlight w:val="none"/>
              </w:rPr>
              <w:t>（</w:t>
            </w:r>
            <w:r>
              <w:rPr>
                <w:rFonts w:hint="eastAsia" w:ascii="仿宋" w:eastAsia="仿宋" w:cs="仿宋"/>
                <w:color w:val="auto"/>
                <w:sz w:val="24"/>
                <w:szCs w:val="24"/>
                <w:highlight w:val="none"/>
                <w:lang w:val="en-US" w:eastAsia="zh-CN"/>
              </w:rPr>
              <w:t>6</w:t>
            </w:r>
            <w:r>
              <w:rPr>
                <w:rFonts w:hint="eastAsia" w:ascii="仿宋" w:eastAsia="仿宋" w:cs="仿宋"/>
                <w:color w:val="auto"/>
                <w:sz w:val="24"/>
                <w:szCs w:val="24"/>
                <w:highlight w:val="none"/>
              </w:rPr>
              <w:t>）招标采购文件要求的其他资格文件。</w:t>
            </w:r>
          </w:p>
        </w:tc>
      </w:tr>
      <w:tr w14:paraId="26BC3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27B57F86">
            <w:pPr>
              <w:pStyle w:val="14"/>
              <w:spacing w:line="360" w:lineRule="exact"/>
              <w:jc w:val="center"/>
              <w:rPr>
                <w:rFonts w:ascii="仿宋" w:eastAsia="仿宋" w:cs="仿宋"/>
                <w:bCs/>
                <w:szCs w:val="24"/>
              </w:rPr>
            </w:pPr>
            <w:r>
              <w:rPr>
                <w:rFonts w:hint="eastAsia" w:ascii="仿宋" w:eastAsia="仿宋" w:cs="仿宋"/>
                <w:bCs/>
                <w:szCs w:val="24"/>
              </w:rPr>
              <w:t>14</w:t>
            </w:r>
          </w:p>
        </w:tc>
        <w:tc>
          <w:tcPr>
            <w:tcW w:w="1760" w:type="dxa"/>
            <w:tcBorders>
              <w:top w:val="single" w:color="auto" w:sz="4" w:space="0"/>
              <w:left w:val="single" w:color="auto" w:sz="4" w:space="0"/>
              <w:right w:val="single" w:color="auto" w:sz="4" w:space="0"/>
            </w:tcBorders>
            <w:vAlign w:val="center"/>
          </w:tcPr>
          <w:p w14:paraId="0BA8F958">
            <w:pPr>
              <w:spacing w:line="360" w:lineRule="exact"/>
              <w:jc w:val="center"/>
              <w:rPr>
                <w:rFonts w:ascii="仿宋" w:eastAsia="仿宋" w:cs="仿宋"/>
                <w:color w:val="auto"/>
                <w:sz w:val="24"/>
                <w:szCs w:val="24"/>
              </w:rPr>
            </w:pPr>
            <w:r>
              <w:rPr>
                <w:rFonts w:hint="eastAsia" w:ascii="仿宋" w:eastAsia="仿宋" w:cs="仿宋"/>
                <w:color w:val="auto"/>
                <w:sz w:val="24"/>
                <w:szCs w:val="24"/>
              </w:rPr>
              <w:t>商务技术文件</w:t>
            </w:r>
          </w:p>
        </w:tc>
        <w:tc>
          <w:tcPr>
            <w:tcW w:w="7605" w:type="dxa"/>
            <w:tcBorders>
              <w:top w:val="single" w:color="auto" w:sz="4" w:space="0"/>
              <w:left w:val="single" w:color="auto" w:sz="4" w:space="0"/>
              <w:right w:val="single" w:color="auto" w:sz="4" w:space="0"/>
            </w:tcBorders>
            <w:vAlign w:val="center"/>
          </w:tcPr>
          <w:p w14:paraId="5BABB638">
            <w:pPr>
              <w:pStyle w:val="14"/>
              <w:spacing w:line="360" w:lineRule="exact"/>
              <w:rPr>
                <w:rFonts w:ascii="仿宋" w:eastAsia="仿宋" w:cs="仿宋"/>
                <w:szCs w:val="24"/>
              </w:rPr>
            </w:pPr>
            <w:r>
              <w:rPr>
                <w:rFonts w:hint="eastAsia" w:ascii="仿宋" w:eastAsia="仿宋" w:cs="仿宋"/>
                <w:szCs w:val="24"/>
              </w:rPr>
              <w:t>（1）投标声明函（格式见附件）；</w:t>
            </w:r>
          </w:p>
          <w:p w14:paraId="18CCB2E1">
            <w:pPr>
              <w:pStyle w:val="14"/>
              <w:spacing w:line="360" w:lineRule="exact"/>
              <w:rPr>
                <w:rFonts w:ascii="仿宋" w:eastAsia="仿宋" w:cs="仿宋"/>
                <w:szCs w:val="24"/>
              </w:rPr>
            </w:pPr>
            <w:r>
              <w:rPr>
                <w:rFonts w:hint="eastAsia" w:ascii="仿宋" w:eastAsia="仿宋" w:cs="仿宋"/>
                <w:szCs w:val="24"/>
              </w:rPr>
              <w:t>（2）投标人基本情况介绍；</w:t>
            </w:r>
          </w:p>
          <w:p w14:paraId="52A8C9A7">
            <w:pPr>
              <w:pStyle w:val="14"/>
              <w:spacing w:line="360" w:lineRule="exact"/>
              <w:rPr>
                <w:rFonts w:ascii="仿宋" w:eastAsia="仿宋" w:cs="仿宋"/>
                <w:szCs w:val="24"/>
              </w:rPr>
            </w:pPr>
            <w:r>
              <w:rPr>
                <w:rFonts w:hint="eastAsia" w:ascii="仿宋" w:eastAsia="仿宋" w:cs="仿宋"/>
                <w:szCs w:val="24"/>
              </w:rPr>
              <w:t>（3）根据招标文件第四章评分细则中涉及的相关内容描述；</w:t>
            </w:r>
          </w:p>
          <w:p w14:paraId="426CEE50">
            <w:pPr>
              <w:pStyle w:val="14"/>
              <w:spacing w:line="360" w:lineRule="exact"/>
              <w:rPr>
                <w:rFonts w:ascii="仿宋" w:eastAsia="仿宋" w:cs="仿宋"/>
                <w:szCs w:val="24"/>
              </w:rPr>
            </w:pPr>
            <w:r>
              <w:rPr>
                <w:rFonts w:hint="eastAsia" w:ascii="仿宋" w:eastAsia="仿宋" w:cs="仿宋"/>
                <w:szCs w:val="24"/>
              </w:rPr>
              <w:t>（4）包括但不限于以上技术文件或说明。</w:t>
            </w:r>
          </w:p>
          <w:p w14:paraId="4FFD4B01">
            <w:pPr>
              <w:pStyle w:val="14"/>
              <w:spacing w:line="360" w:lineRule="exact"/>
              <w:rPr>
                <w:rFonts w:ascii="仿宋" w:eastAsia="仿宋" w:cs="仿宋"/>
                <w:b/>
                <w:szCs w:val="24"/>
              </w:rPr>
            </w:pPr>
            <w:r>
              <w:rPr>
                <w:rFonts w:hint="eastAsia" w:ascii="仿宋" w:eastAsia="仿宋" w:cs="仿宋"/>
                <w:b/>
                <w:bCs/>
                <w:szCs w:val="24"/>
              </w:rPr>
              <w:t>投标人在“商务技术文件资料”中应对招标文件作实质性响应，该项内容将作为评标重要指标。</w:t>
            </w:r>
          </w:p>
        </w:tc>
      </w:tr>
      <w:tr w14:paraId="15B9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91768A2">
            <w:pPr>
              <w:pStyle w:val="14"/>
              <w:spacing w:line="360" w:lineRule="exact"/>
              <w:jc w:val="center"/>
              <w:rPr>
                <w:rFonts w:ascii="仿宋" w:eastAsia="仿宋" w:cs="仿宋"/>
                <w:bCs/>
                <w:szCs w:val="24"/>
              </w:rPr>
            </w:pPr>
            <w:r>
              <w:rPr>
                <w:rFonts w:hint="eastAsia" w:ascii="仿宋" w:eastAsia="仿宋" w:cs="仿宋"/>
                <w:bCs/>
                <w:szCs w:val="24"/>
              </w:rPr>
              <w:t>15</w:t>
            </w:r>
          </w:p>
        </w:tc>
        <w:tc>
          <w:tcPr>
            <w:tcW w:w="1760" w:type="dxa"/>
            <w:tcBorders>
              <w:top w:val="single" w:color="auto" w:sz="4" w:space="0"/>
              <w:left w:val="single" w:color="auto" w:sz="4" w:space="0"/>
              <w:right w:val="single" w:color="auto" w:sz="4" w:space="0"/>
            </w:tcBorders>
            <w:vAlign w:val="center"/>
          </w:tcPr>
          <w:p w14:paraId="741D449D">
            <w:pPr>
              <w:pStyle w:val="14"/>
              <w:spacing w:line="360" w:lineRule="exact"/>
              <w:jc w:val="center"/>
              <w:rPr>
                <w:rFonts w:ascii="仿宋" w:eastAsia="仿宋" w:cs="仿宋"/>
                <w:szCs w:val="24"/>
              </w:rPr>
            </w:pPr>
            <w:r>
              <w:rPr>
                <w:rFonts w:hint="eastAsia" w:ascii="仿宋" w:eastAsia="仿宋" w:cs="仿宋"/>
                <w:szCs w:val="24"/>
              </w:rPr>
              <w:t>报价文件</w:t>
            </w:r>
          </w:p>
        </w:tc>
        <w:tc>
          <w:tcPr>
            <w:tcW w:w="7605" w:type="dxa"/>
            <w:tcBorders>
              <w:top w:val="single" w:color="auto" w:sz="4" w:space="0"/>
              <w:left w:val="single" w:color="auto" w:sz="4" w:space="0"/>
              <w:right w:val="single" w:color="auto" w:sz="4" w:space="0"/>
            </w:tcBorders>
            <w:vAlign w:val="center"/>
          </w:tcPr>
          <w:p w14:paraId="24A95F01">
            <w:pPr>
              <w:spacing w:line="360" w:lineRule="exact"/>
              <w:jc w:val="left"/>
              <w:rPr>
                <w:rFonts w:ascii="仿宋" w:eastAsia="仿宋" w:cs="仿宋"/>
                <w:color w:val="auto"/>
                <w:sz w:val="24"/>
                <w:szCs w:val="24"/>
              </w:rPr>
            </w:pPr>
            <w:r>
              <w:rPr>
                <w:rFonts w:hint="eastAsia" w:ascii="仿宋" w:eastAsia="仿宋" w:cs="仿宋"/>
                <w:color w:val="auto"/>
                <w:sz w:val="24"/>
                <w:szCs w:val="24"/>
              </w:rPr>
              <w:t>（1）投标承诺书（格式见附件）；</w:t>
            </w:r>
          </w:p>
          <w:p w14:paraId="3065BE93">
            <w:pPr>
              <w:spacing w:line="360" w:lineRule="exact"/>
              <w:jc w:val="left"/>
              <w:rPr>
                <w:rFonts w:ascii="仿宋" w:eastAsia="仿宋" w:cs="仿宋"/>
                <w:color w:val="auto"/>
                <w:sz w:val="24"/>
                <w:szCs w:val="24"/>
              </w:rPr>
            </w:pPr>
            <w:r>
              <w:rPr>
                <w:rFonts w:hint="eastAsia" w:ascii="仿宋" w:eastAsia="仿宋" w:cs="仿宋"/>
                <w:color w:val="auto"/>
                <w:sz w:val="24"/>
                <w:szCs w:val="24"/>
              </w:rPr>
              <w:t>（2）开标一览表（格式见附件）；</w:t>
            </w:r>
          </w:p>
          <w:p w14:paraId="6494D825">
            <w:pPr>
              <w:spacing w:line="360" w:lineRule="exact"/>
              <w:jc w:val="left"/>
              <w:rPr>
                <w:rFonts w:eastAsia="仿宋"/>
              </w:rPr>
            </w:pPr>
            <w:r>
              <w:rPr>
                <w:rFonts w:hint="eastAsia" w:ascii="仿宋" w:eastAsia="仿宋" w:cs="仿宋"/>
                <w:color w:val="auto"/>
                <w:sz w:val="24"/>
                <w:szCs w:val="24"/>
              </w:rPr>
              <w:t>（3）</w:t>
            </w:r>
            <w:r>
              <w:rPr>
                <w:rFonts w:hint="eastAsia" w:ascii="仿宋" w:eastAsia="仿宋" w:cs="仿宋"/>
                <w:color w:val="auto"/>
                <w:sz w:val="24"/>
                <w:szCs w:val="24"/>
                <w:lang w:eastAsia="zh-CN"/>
              </w:rPr>
              <w:t>投标报价明细表</w:t>
            </w:r>
            <w:r>
              <w:rPr>
                <w:rFonts w:hint="eastAsia" w:ascii="仿宋" w:eastAsia="仿宋" w:cs="仿宋"/>
                <w:color w:val="auto"/>
                <w:sz w:val="24"/>
                <w:szCs w:val="24"/>
              </w:rPr>
              <w:t>（格式见附件）；</w:t>
            </w:r>
          </w:p>
          <w:p w14:paraId="622EBA94">
            <w:pPr>
              <w:spacing w:line="360" w:lineRule="exact"/>
              <w:jc w:val="left"/>
              <w:rPr>
                <w:rFonts w:ascii="仿宋" w:eastAsia="仿宋" w:cs="仿宋"/>
                <w:color w:val="auto"/>
                <w:sz w:val="24"/>
                <w:szCs w:val="24"/>
              </w:rPr>
            </w:pPr>
            <w:r>
              <w:rPr>
                <w:rFonts w:hint="eastAsia" w:ascii="仿宋" w:eastAsia="仿宋" w:cs="仿宋"/>
                <w:color w:val="auto"/>
                <w:sz w:val="24"/>
                <w:szCs w:val="24"/>
              </w:rPr>
              <w:t>（4）中小型、微型企业的优惠政策（如有）</w:t>
            </w:r>
          </w:p>
          <w:p w14:paraId="2AB61E0A">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①中小企业声明函</w:t>
            </w:r>
          </w:p>
          <w:p w14:paraId="6EF1BFF5">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②残疾人福利性单位声明函</w:t>
            </w:r>
          </w:p>
          <w:p w14:paraId="0129DDF7">
            <w:pPr>
              <w:tabs>
                <w:tab w:val="left" w:pos="3870"/>
                <w:tab w:val="left" w:pos="4085"/>
              </w:tabs>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③监狱企业资格材料</w:t>
            </w:r>
          </w:p>
          <w:p w14:paraId="21FB0301">
            <w:pPr>
              <w:tabs>
                <w:tab w:val="left" w:pos="3870"/>
                <w:tab w:val="left" w:pos="4085"/>
              </w:tabs>
              <w:spacing w:line="360" w:lineRule="exact"/>
              <w:jc w:val="left"/>
              <w:rPr>
                <w:rFonts w:ascii="仿宋" w:eastAsia="仿宋" w:cs="仿宋"/>
                <w:color w:val="auto"/>
                <w:sz w:val="24"/>
                <w:szCs w:val="24"/>
              </w:rPr>
            </w:pPr>
            <w:r>
              <w:rPr>
                <w:rFonts w:hint="eastAsia" w:ascii="仿宋" w:eastAsia="仿宋" w:cs="仿宋"/>
                <w:color w:val="auto"/>
                <w:sz w:val="24"/>
                <w:szCs w:val="24"/>
              </w:rPr>
              <w:t>（5）投标人需要说明的其他文件和说明。</w:t>
            </w:r>
          </w:p>
        </w:tc>
      </w:tr>
      <w:tr w14:paraId="5237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2490156D">
            <w:pPr>
              <w:pStyle w:val="14"/>
              <w:spacing w:line="360" w:lineRule="exact"/>
              <w:jc w:val="center"/>
              <w:rPr>
                <w:rFonts w:ascii="仿宋" w:eastAsia="仿宋" w:cs="仿宋"/>
                <w:bCs/>
                <w:szCs w:val="24"/>
              </w:rPr>
            </w:pPr>
            <w:r>
              <w:rPr>
                <w:rFonts w:hint="eastAsia" w:asci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14:paraId="569E30FE">
            <w:pPr>
              <w:pStyle w:val="14"/>
              <w:spacing w:line="360" w:lineRule="exact"/>
              <w:jc w:val="center"/>
              <w:rPr>
                <w:rFonts w:ascii="仿宋" w:eastAsia="仿宋" w:cs="仿宋"/>
                <w:szCs w:val="24"/>
              </w:rPr>
            </w:pPr>
            <w:r>
              <w:rPr>
                <w:rFonts w:hint="eastAsia" w:ascii="仿宋" w:eastAsia="仿宋" w:cs="仿宋"/>
                <w:szCs w:val="24"/>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14:paraId="48B58624">
            <w:pPr>
              <w:tabs>
                <w:tab w:val="left" w:pos="3870"/>
                <w:tab w:val="left" w:pos="4085"/>
              </w:tabs>
              <w:snapToGrid w:val="0"/>
              <w:spacing w:line="360" w:lineRule="exact"/>
              <w:jc w:val="left"/>
              <w:rPr>
                <w:rFonts w:ascii="仿宋" w:eastAsia="仿宋" w:cs="仿宋"/>
                <w:color w:val="auto"/>
                <w:sz w:val="24"/>
                <w:szCs w:val="24"/>
              </w:rPr>
            </w:pPr>
            <w:r>
              <w:rPr>
                <w:rFonts w:hint="eastAsia" w:ascii="仿宋" w:eastAsia="仿宋" w:cs="仿宋"/>
                <w:color w:val="auto"/>
                <w:sz w:val="24"/>
                <w:szCs w:val="24"/>
              </w:rPr>
              <w:t>按招标文件相关要求执行</w:t>
            </w:r>
          </w:p>
        </w:tc>
      </w:tr>
      <w:tr w14:paraId="70F70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46F2B725">
            <w:pPr>
              <w:pStyle w:val="14"/>
              <w:spacing w:line="360" w:lineRule="exact"/>
              <w:jc w:val="center"/>
              <w:rPr>
                <w:rFonts w:ascii="仿宋" w:eastAsia="仿宋" w:cs="仿宋"/>
                <w:bCs/>
                <w:szCs w:val="24"/>
              </w:rPr>
            </w:pPr>
            <w:r>
              <w:rPr>
                <w:rFonts w:hint="eastAsia" w:asci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14:paraId="73D65684">
            <w:pPr>
              <w:pStyle w:val="14"/>
              <w:spacing w:line="360" w:lineRule="exact"/>
              <w:jc w:val="center"/>
              <w:rPr>
                <w:rFonts w:ascii="仿宋" w:eastAsia="仿宋" w:cs="仿宋"/>
                <w:szCs w:val="24"/>
              </w:rPr>
            </w:pPr>
            <w:r>
              <w:rPr>
                <w:rFonts w:hint="eastAsia" w:asci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14:paraId="14598F2E">
            <w:pPr>
              <w:spacing w:line="360" w:lineRule="exact"/>
              <w:rPr>
                <w:rFonts w:ascii="仿宋" w:eastAsia="仿宋" w:cs="仿宋"/>
                <w:color w:val="auto"/>
                <w:sz w:val="24"/>
                <w:szCs w:val="24"/>
              </w:rPr>
            </w:pPr>
            <w:r>
              <w:rPr>
                <w:rFonts w:hint="eastAsia" w:ascii="仿宋" w:eastAsia="仿宋" w:cs="仿宋"/>
                <w:color w:val="auto"/>
                <w:sz w:val="24"/>
                <w:szCs w:val="24"/>
              </w:rPr>
              <w:t>按招标文件相关要求执行</w:t>
            </w:r>
          </w:p>
        </w:tc>
      </w:tr>
      <w:tr w14:paraId="0B4A3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4" w:type="dxa"/>
            <w:tcBorders>
              <w:top w:val="single" w:color="auto" w:sz="4" w:space="0"/>
              <w:left w:val="single" w:color="auto" w:sz="4" w:space="0"/>
              <w:bottom w:val="single" w:color="auto" w:sz="4" w:space="0"/>
              <w:right w:val="single" w:color="auto" w:sz="4" w:space="0"/>
            </w:tcBorders>
            <w:vAlign w:val="center"/>
          </w:tcPr>
          <w:p w14:paraId="5580CD87">
            <w:pPr>
              <w:pStyle w:val="14"/>
              <w:spacing w:line="360" w:lineRule="exact"/>
              <w:jc w:val="center"/>
              <w:rPr>
                <w:rFonts w:ascii="仿宋" w:eastAsia="仿宋" w:cs="仿宋"/>
                <w:bCs/>
                <w:szCs w:val="24"/>
              </w:rPr>
            </w:pPr>
            <w:r>
              <w:rPr>
                <w:rFonts w:hint="eastAsia" w:asci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14:paraId="1FCC53BF">
            <w:pPr>
              <w:spacing w:line="360" w:lineRule="exact"/>
              <w:jc w:val="center"/>
              <w:rPr>
                <w:rFonts w:ascii="仿宋" w:eastAsia="仿宋" w:cs="仿宋"/>
                <w:color w:val="auto"/>
                <w:kern w:val="2"/>
                <w:sz w:val="24"/>
                <w:szCs w:val="24"/>
              </w:rPr>
            </w:pPr>
            <w:r>
              <w:rPr>
                <w:rFonts w:hint="eastAsia" w:asci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14:paraId="607557C8">
            <w:pPr>
              <w:spacing w:line="360" w:lineRule="exact"/>
              <w:jc w:val="left"/>
              <w:rPr>
                <w:rFonts w:ascii="仿宋" w:eastAsia="仿宋" w:cs="仿宋"/>
                <w:bCs/>
                <w:color w:val="auto"/>
                <w:sz w:val="24"/>
                <w:szCs w:val="24"/>
              </w:rPr>
            </w:pPr>
            <w:r>
              <w:rPr>
                <w:rFonts w:hint="eastAsia" w:ascii="仿宋" w:eastAsia="仿宋" w:cs="仿宋"/>
                <w:bCs/>
                <w:color w:val="auto"/>
                <w:sz w:val="24"/>
                <w:szCs w:val="24"/>
              </w:rPr>
              <w:t>供应商应于</w:t>
            </w:r>
            <w:r>
              <w:rPr>
                <w:rFonts w:hint="eastAsia" w:ascii="仿宋" w:eastAsia="仿宋" w:cs="仿宋"/>
                <w:bCs/>
                <w:color w:val="auto"/>
                <w:sz w:val="24"/>
                <w:szCs w:val="24"/>
                <w:lang w:eastAsia="zh-CN"/>
              </w:rPr>
              <w:t>2025年2月18日14:30时</w:t>
            </w:r>
            <w:r>
              <w:rPr>
                <w:rFonts w:hint="eastAsia" w:ascii="仿宋" w:eastAsia="仿宋" w:cs="仿宋"/>
                <w:bCs/>
                <w:color w:val="auto"/>
                <w:sz w:val="24"/>
                <w:szCs w:val="24"/>
              </w:rPr>
              <w:t>前在“政采云”上自行加密上传电子投标文件，逾期上传或未按要求上传的投标文件将予以拒收。</w:t>
            </w:r>
          </w:p>
        </w:tc>
      </w:tr>
      <w:tr w14:paraId="7859D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4" w:type="dxa"/>
            <w:tcBorders>
              <w:top w:val="single" w:color="auto" w:sz="4" w:space="0"/>
              <w:left w:val="single" w:color="auto" w:sz="4" w:space="0"/>
              <w:bottom w:val="single" w:color="auto" w:sz="4" w:space="0"/>
              <w:right w:val="single" w:color="auto" w:sz="4" w:space="0"/>
            </w:tcBorders>
            <w:vAlign w:val="center"/>
          </w:tcPr>
          <w:p w14:paraId="424394BC">
            <w:pPr>
              <w:pStyle w:val="14"/>
              <w:spacing w:line="360" w:lineRule="exact"/>
              <w:jc w:val="center"/>
              <w:rPr>
                <w:rFonts w:ascii="仿宋" w:eastAsia="仿宋" w:cs="仿宋"/>
                <w:bCs/>
                <w:szCs w:val="24"/>
              </w:rPr>
            </w:pPr>
            <w:r>
              <w:rPr>
                <w:rFonts w:hint="eastAsia" w:asci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14:paraId="26C50B50">
            <w:pPr>
              <w:pStyle w:val="14"/>
              <w:spacing w:line="360" w:lineRule="exact"/>
              <w:jc w:val="center"/>
              <w:rPr>
                <w:rFonts w:ascii="仿宋" w:eastAsia="仿宋" w:cs="仿宋"/>
                <w:szCs w:val="24"/>
              </w:rPr>
            </w:pPr>
            <w:r>
              <w:rPr>
                <w:rFonts w:hint="eastAsia" w:asci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14:paraId="68C29022">
            <w:pPr>
              <w:pStyle w:val="14"/>
              <w:spacing w:line="360" w:lineRule="exact"/>
              <w:rPr>
                <w:rFonts w:ascii="仿宋" w:eastAsia="仿宋" w:cs="仿宋"/>
                <w:bCs/>
                <w:szCs w:val="24"/>
              </w:rPr>
            </w:pPr>
            <w:r>
              <w:rPr>
                <w:rFonts w:hint="eastAsia" w:ascii="仿宋" w:eastAsia="仿宋" w:cs="仿宋"/>
                <w:bCs/>
                <w:szCs w:val="24"/>
              </w:rPr>
              <w:t>自投标截止日起90天。如采购代理机构认为必要，可延长投标有效期。</w:t>
            </w:r>
          </w:p>
        </w:tc>
      </w:tr>
      <w:tr w14:paraId="5B53E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3CDC479A">
            <w:pPr>
              <w:pStyle w:val="14"/>
              <w:spacing w:line="360" w:lineRule="exact"/>
              <w:jc w:val="center"/>
              <w:rPr>
                <w:rFonts w:ascii="仿宋" w:eastAsia="仿宋" w:cs="仿宋"/>
                <w:bCs/>
                <w:szCs w:val="24"/>
              </w:rPr>
            </w:pPr>
            <w:r>
              <w:rPr>
                <w:rFonts w:hint="eastAsia" w:asci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14:paraId="77E9490F">
            <w:pPr>
              <w:pStyle w:val="14"/>
              <w:spacing w:line="360" w:lineRule="exact"/>
              <w:jc w:val="center"/>
              <w:rPr>
                <w:rFonts w:ascii="仿宋" w:eastAsia="仿宋" w:cs="仿宋"/>
                <w:szCs w:val="24"/>
              </w:rPr>
            </w:pPr>
            <w:r>
              <w:rPr>
                <w:rFonts w:hint="eastAsia" w:asci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14:paraId="2275A060">
            <w:pPr>
              <w:pStyle w:val="14"/>
              <w:spacing w:line="360" w:lineRule="exact"/>
              <w:rPr>
                <w:rFonts w:ascii="仿宋" w:eastAsia="仿宋" w:cs="仿宋"/>
                <w:bCs/>
                <w:szCs w:val="24"/>
              </w:rPr>
            </w:pPr>
            <w:r>
              <w:rPr>
                <w:rFonts w:hint="eastAsia" w:ascii="仿宋" w:eastAsia="仿宋" w:cs="仿宋"/>
                <w:bCs/>
                <w:szCs w:val="24"/>
              </w:rPr>
              <w:t>中标通知书发出后20日内</w:t>
            </w:r>
          </w:p>
        </w:tc>
      </w:tr>
      <w:tr w14:paraId="1E05C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16DB4EB3">
            <w:pPr>
              <w:pStyle w:val="14"/>
              <w:spacing w:line="360" w:lineRule="exact"/>
              <w:jc w:val="center"/>
              <w:rPr>
                <w:rFonts w:ascii="仿宋" w:eastAsia="仿宋" w:cs="仿宋"/>
                <w:bCs/>
                <w:szCs w:val="24"/>
              </w:rPr>
            </w:pPr>
            <w:r>
              <w:rPr>
                <w:rFonts w:hint="eastAsia" w:asci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14:paraId="3F0A8279">
            <w:pPr>
              <w:pStyle w:val="14"/>
              <w:spacing w:line="360" w:lineRule="exact"/>
              <w:jc w:val="center"/>
              <w:rPr>
                <w:rFonts w:ascii="仿宋" w:eastAsia="仿宋" w:cs="仿宋"/>
                <w:szCs w:val="24"/>
              </w:rPr>
            </w:pPr>
            <w:r>
              <w:rPr>
                <w:rFonts w:hint="eastAsia" w:asci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14:paraId="5E515EF5">
            <w:pPr>
              <w:pStyle w:val="14"/>
              <w:spacing w:line="360" w:lineRule="exact"/>
              <w:rPr>
                <w:rFonts w:ascii="仿宋" w:eastAsia="仿宋" w:cs="仿宋"/>
                <w:bCs/>
                <w:szCs w:val="24"/>
              </w:rPr>
            </w:pPr>
            <w:r>
              <w:rPr>
                <w:rFonts w:hint="eastAsia" w:ascii="仿宋" w:eastAsia="仿宋" w:cs="仿宋"/>
                <w:bCs/>
                <w:szCs w:val="24"/>
              </w:rPr>
              <w:t>本项目不允许转包和分包</w:t>
            </w:r>
          </w:p>
        </w:tc>
      </w:tr>
      <w:tr w14:paraId="6EF4F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4" w:type="dxa"/>
            <w:tcBorders>
              <w:top w:val="single" w:color="auto" w:sz="4" w:space="0"/>
              <w:left w:val="single" w:color="auto" w:sz="4" w:space="0"/>
              <w:bottom w:val="single" w:color="auto" w:sz="4" w:space="0"/>
              <w:right w:val="single" w:color="auto" w:sz="4" w:space="0"/>
            </w:tcBorders>
            <w:vAlign w:val="center"/>
          </w:tcPr>
          <w:p w14:paraId="52ADF026">
            <w:pPr>
              <w:pStyle w:val="14"/>
              <w:spacing w:line="360" w:lineRule="exact"/>
              <w:jc w:val="center"/>
              <w:rPr>
                <w:rFonts w:ascii="仿宋" w:eastAsia="仿宋" w:cs="仿宋"/>
                <w:bCs/>
                <w:szCs w:val="24"/>
              </w:rPr>
            </w:pPr>
            <w:r>
              <w:rPr>
                <w:rFonts w:hint="eastAsia" w:asci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14:paraId="6951E9D1">
            <w:pPr>
              <w:pStyle w:val="14"/>
              <w:spacing w:line="360" w:lineRule="exact"/>
              <w:jc w:val="center"/>
              <w:rPr>
                <w:rFonts w:ascii="仿宋" w:eastAsia="仿宋" w:cs="仿宋"/>
                <w:szCs w:val="24"/>
              </w:rPr>
            </w:pPr>
            <w:r>
              <w:rPr>
                <w:rFonts w:hint="eastAsia" w:asci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6D069917">
            <w:pPr>
              <w:pStyle w:val="14"/>
              <w:spacing w:line="360" w:lineRule="exact"/>
              <w:rPr>
                <w:rFonts w:ascii="仿宋" w:eastAsia="仿宋" w:cs="仿宋"/>
                <w:bCs/>
                <w:szCs w:val="24"/>
              </w:rPr>
            </w:pPr>
            <w:r>
              <w:rPr>
                <w:rFonts w:hint="eastAsia" w:ascii="仿宋" w:eastAsia="仿宋" w:cs="仿宋"/>
                <w:bCs/>
                <w:szCs w:val="24"/>
              </w:rPr>
              <w:t>本项目不收取</w:t>
            </w:r>
            <w:r>
              <w:rPr>
                <w:rFonts w:hint="eastAsia" w:ascii="仿宋" w:eastAsia="仿宋" w:cs="仿宋"/>
                <w:szCs w:val="24"/>
              </w:rPr>
              <w:t>履约保证金</w:t>
            </w:r>
          </w:p>
        </w:tc>
      </w:tr>
      <w:tr w14:paraId="12315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809963B">
            <w:pPr>
              <w:pStyle w:val="14"/>
              <w:spacing w:line="360" w:lineRule="exact"/>
              <w:jc w:val="center"/>
              <w:rPr>
                <w:rFonts w:ascii="仿宋" w:eastAsia="仿宋" w:cs="仿宋"/>
                <w:bCs/>
                <w:szCs w:val="24"/>
              </w:rPr>
            </w:pPr>
            <w:r>
              <w:rPr>
                <w:rFonts w:hint="eastAsia" w:asci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vAlign w:val="center"/>
          </w:tcPr>
          <w:p w14:paraId="17BE39FD">
            <w:pPr>
              <w:pStyle w:val="14"/>
              <w:spacing w:line="360" w:lineRule="exact"/>
              <w:jc w:val="center"/>
              <w:rPr>
                <w:rFonts w:ascii="仿宋" w:eastAsia="仿宋" w:cs="仿宋"/>
                <w:szCs w:val="24"/>
              </w:rPr>
            </w:pPr>
            <w:r>
              <w:rPr>
                <w:rFonts w:hint="eastAsia" w:asci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14:paraId="03CE4ED2">
            <w:pPr>
              <w:snapToGrid w:val="0"/>
              <w:spacing w:line="360" w:lineRule="exact"/>
              <w:rPr>
                <w:rFonts w:ascii="仿宋" w:eastAsia="仿宋" w:cs="仿宋"/>
                <w:bCs/>
                <w:color w:val="auto"/>
                <w:kern w:val="2"/>
                <w:sz w:val="24"/>
                <w:szCs w:val="24"/>
              </w:rPr>
            </w:pPr>
            <w:r>
              <w:rPr>
                <w:rFonts w:hint="eastAsia" w:ascii="仿宋" w:eastAsia="仿宋" w:cs="仿宋"/>
                <w:bCs/>
                <w:color w:val="auto"/>
                <w:sz w:val="24"/>
                <w:szCs w:val="24"/>
              </w:rPr>
              <w:t>于</w:t>
            </w:r>
            <w:r>
              <w:rPr>
                <w:rFonts w:hint="eastAsia" w:ascii="仿宋" w:eastAsia="仿宋" w:cs="仿宋"/>
                <w:bCs/>
                <w:color w:val="auto"/>
                <w:sz w:val="24"/>
                <w:szCs w:val="24"/>
                <w:lang w:eastAsia="zh-CN"/>
              </w:rPr>
              <w:t>2025年2月18日14:30时</w:t>
            </w:r>
            <w:r>
              <w:rPr>
                <w:rFonts w:hint="eastAsia" w:ascii="仿宋" w:eastAsia="仿宋" w:cs="仿宋"/>
                <w:bCs/>
                <w:color w:val="auto"/>
                <w:sz w:val="24"/>
                <w:szCs w:val="24"/>
              </w:rPr>
              <w:t>止</w:t>
            </w:r>
          </w:p>
        </w:tc>
      </w:tr>
      <w:tr w14:paraId="08244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06372A43">
            <w:pPr>
              <w:pStyle w:val="14"/>
              <w:spacing w:line="360" w:lineRule="exact"/>
              <w:jc w:val="center"/>
              <w:rPr>
                <w:rFonts w:ascii="仿宋" w:eastAsia="仿宋" w:cs="仿宋"/>
                <w:bCs/>
                <w:szCs w:val="24"/>
              </w:rPr>
            </w:pPr>
            <w:r>
              <w:rPr>
                <w:rFonts w:hint="eastAsia" w:asci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14:paraId="4F66DCFE">
            <w:pPr>
              <w:pStyle w:val="14"/>
              <w:spacing w:line="360" w:lineRule="exact"/>
              <w:jc w:val="center"/>
              <w:rPr>
                <w:rFonts w:ascii="仿宋" w:eastAsia="仿宋" w:cs="仿宋"/>
                <w:szCs w:val="24"/>
              </w:rPr>
            </w:pPr>
            <w:r>
              <w:rPr>
                <w:rFonts w:hint="eastAsia" w:asci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14:paraId="4F99C3EC">
            <w:pPr>
              <w:snapToGrid w:val="0"/>
              <w:spacing w:line="360" w:lineRule="exact"/>
              <w:rPr>
                <w:rFonts w:ascii="仿宋" w:eastAsia="仿宋" w:cs="仿宋"/>
                <w:bCs/>
                <w:color w:val="auto"/>
                <w:kern w:val="2"/>
                <w:sz w:val="24"/>
                <w:szCs w:val="24"/>
              </w:rPr>
            </w:pPr>
            <w:r>
              <w:rPr>
                <w:rFonts w:hint="eastAsia" w:ascii="仿宋" w:eastAsia="仿宋" w:cs="仿宋"/>
                <w:bCs/>
                <w:color w:val="auto"/>
                <w:kern w:val="2"/>
                <w:sz w:val="24"/>
                <w:szCs w:val="24"/>
              </w:rPr>
              <w:t>政采云平台</w:t>
            </w:r>
          </w:p>
        </w:tc>
      </w:tr>
      <w:tr w14:paraId="7A74C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auto" w:sz="4" w:space="0"/>
              <w:left w:val="single" w:color="auto" w:sz="4" w:space="0"/>
              <w:bottom w:val="single" w:color="auto" w:sz="4" w:space="0"/>
              <w:right w:val="single" w:color="auto" w:sz="4" w:space="0"/>
            </w:tcBorders>
            <w:vAlign w:val="center"/>
          </w:tcPr>
          <w:p w14:paraId="247CE831">
            <w:pPr>
              <w:pStyle w:val="14"/>
              <w:spacing w:line="360" w:lineRule="exact"/>
              <w:jc w:val="center"/>
              <w:rPr>
                <w:rFonts w:ascii="仿宋" w:eastAsia="仿宋" w:cs="仿宋"/>
                <w:bCs/>
                <w:szCs w:val="24"/>
              </w:rPr>
            </w:pPr>
            <w:r>
              <w:rPr>
                <w:rFonts w:hint="eastAsia" w:asci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14:paraId="7D4C2476">
            <w:pPr>
              <w:pStyle w:val="14"/>
              <w:spacing w:line="360" w:lineRule="exact"/>
              <w:jc w:val="center"/>
              <w:rPr>
                <w:rFonts w:ascii="仿宋" w:eastAsia="仿宋" w:cs="仿宋"/>
                <w:szCs w:val="24"/>
              </w:rPr>
            </w:pPr>
            <w:r>
              <w:rPr>
                <w:rFonts w:hint="eastAsia" w:asci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14:paraId="62CB5F43">
            <w:pPr>
              <w:pStyle w:val="14"/>
              <w:spacing w:line="360" w:lineRule="exact"/>
              <w:rPr>
                <w:rFonts w:ascii="仿宋" w:eastAsia="仿宋" w:cs="仿宋"/>
                <w:bCs/>
                <w:szCs w:val="24"/>
              </w:rPr>
            </w:pPr>
            <w:r>
              <w:rPr>
                <w:rFonts w:hint="eastAsia" w:ascii="仿宋" w:eastAsia="仿宋" w:cs="仿宋"/>
                <w:bCs/>
                <w:szCs w:val="24"/>
              </w:rPr>
              <w:t>同投标截止时间</w:t>
            </w:r>
          </w:p>
        </w:tc>
      </w:tr>
      <w:tr w14:paraId="38800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4" w:type="dxa"/>
            <w:tcBorders>
              <w:top w:val="single" w:color="auto" w:sz="4" w:space="0"/>
              <w:left w:val="single" w:color="auto" w:sz="4" w:space="0"/>
              <w:bottom w:val="single" w:color="auto" w:sz="4" w:space="0"/>
              <w:right w:val="single" w:color="auto" w:sz="4" w:space="0"/>
            </w:tcBorders>
            <w:vAlign w:val="center"/>
          </w:tcPr>
          <w:p w14:paraId="64B8144F">
            <w:pPr>
              <w:pStyle w:val="14"/>
              <w:spacing w:line="360" w:lineRule="exact"/>
              <w:jc w:val="center"/>
              <w:rPr>
                <w:rFonts w:ascii="仿宋" w:eastAsia="仿宋" w:cs="仿宋"/>
                <w:bCs/>
                <w:szCs w:val="24"/>
              </w:rPr>
            </w:pPr>
            <w:r>
              <w:rPr>
                <w:rFonts w:hint="eastAsia" w:asci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14:paraId="3F137E96">
            <w:pPr>
              <w:pStyle w:val="14"/>
              <w:spacing w:line="360" w:lineRule="exact"/>
              <w:jc w:val="center"/>
              <w:rPr>
                <w:rFonts w:ascii="仿宋" w:eastAsia="仿宋" w:cs="仿宋"/>
                <w:szCs w:val="24"/>
              </w:rPr>
            </w:pPr>
            <w:r>
              <w:rPr>
                <w:rFonts w:hint="eastAsia" w:asci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14:paraId="50C3BA1E">
            <w:pPr>
              <w:pStyle w:val="14"/>
              <w:spacing w:line="300" w:lineRule="exact"/>
              <w:rPr>
                <w:rFonts w:ascii="仿宋" w:eastAsia="仿宋" w:cs="仿宋"/>
                <w:bCs/>
                <w:szCs w:val="24"/>
              </w:rPr>
            </w:pPr>
            <w:r>
              <w:rPr>
                <w:rFonts w:hint="eastAsia" w:ascii="仿宋" w:eastAsia="仿宋" w:cs="仿宋"/>
              </w:rPr>
              <w:t>详见招标公告</w:t>
            </w:r>
          </w:p>
        </w:tc>
      </w:tr>
      <w:tr w14:paraId="0F276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0E1FDBB">
            <w:pPr>
              <w:pStyle w:val="14"/>
              <w:spacing w:line="360" w:lineRule="exact"/>
              <w:jc w:val="center"/>
              <w:rPr>
                <w:rFonts w:ascii="仿宋" w:eastAsia="仿宋" w:cs="仿宋"/>
                <w:bCs/>
                <w:szCs w:val="24"/>
              </w:rPr>
            </w:pPr>
            <w:r>
              <w:rPr>
                <w:rFonts w:hint="eastAsia" w:asci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vAlign w:val="center"/>
          </w:tcPr>
          <w:p w14:paraId="38902469">
            <w:pPr>
              <w:pStyle w:val="14"/>
              <w:spacing w:line="360" w:lineRule="exact"/>
              <w:jc w:val="center"/>
              <w:rPr>
                <w:rFonts w:ascii="仿宋" w:eastAsia="仿宋" w:cs="仿宋"/>
                <w:szCs w:val="24"/>
              </w:rPr>
            </w:pPr>
            <w:r>
              <w:rPr>
                <w:rFonts w:hint="eastAsia" w:ascii="仿宋" w:eastAsia="仿宋" w:cs="仿宋"/>
                <w:szCs w:val="24"/>
              </w:rPr>
              <w:t>开标程序</w:t>
            </w:r>
          </w:p>
        </w:tc>
        <w:tc>
          <w:tcPr>
            <w:tcW w:w="7605" w:type="dxa"/>
            <w:tcBorders>
              <w:top w:val="single" w:color="auto" w:sz="4" w:space="0"/>
              <w:left w:val="single" w:color="auto" w:sz="4" w:space="0"/>
              <w:bottom w:val="single" w:color="auto" w:sz="4" w:space="0"/>
              <w:right w:val="single" w:color="auto" w:sz="4" w:space="0"/>
            </w:tcBorders>
            <w:vAlign w:val="center"/>
          </w:tcPr>
          <w:p w14:paraId="5EA521B9">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1.开标会由采购代理机构主持，主持人宣布开标会议开始；</w:t>
            </w:r>
          </w:p>
          <w:p w14:paraId="7D5CE07E">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 xml:space="preserve">2.主持人介绍参加开标会的人员名单； </w:t>
            </w:r>
          </w:p>
          <w:p w14:paraId="4AD14961">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3.由主持人宣布评标期间的有关事项；告知应当回避的情形,提请有关人员回避；</w:t>
            </w:r>
          </w:p>
          <w:p w14:paraId="36E3776F">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4.投标人须在开标时间前准备好电脑（确保网络已连接）与本单位制作电子投标文件时的同一个CA数字证书，并登录“政府采购云平台”点击项目采购-开标评标功能进行解密投标文件(或登录“政采云电子投标客户端”点击项目开标-项目采购-开标评标)功能进行解密投标文件（解密的CA数字证书和制作电子投标文件时加密的CA数字证书必须相同）。投标供应商须在开标时间始30分钟内对投标文件进行解密。</w:t>
            </w:r>
          </w:p>
          <w:p w14:paraId="2141E063">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投标供应商应全程参加电子开标会议，若开标会议结束前中途退出的，其行为不影响评审结果。</w:t>
            </w:r>
          </w:p>
          <w:p w14:paraId="717E5E1D">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14:paraId="75EFED27">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14:paraId="6BA51EE6">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14:paraId="45A84B8C">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8.在线公布各投标人得分汇总，并宣布中标候选人， 同时由记录人、监督人当场在开标记录上签字确认。</w:t>
            </w:r>
          </w:p>
          <w:p w14:paraId="3761F2AD">
            <w:pPr>
              <w:pStyle w:val="11"/>
              <w:autoSpaceDE/>
              <w:autoSpaceDN/>
              <w:adjustRightInd/>
              <w:spacing w:after="0"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9.主持人宣布开标会议结束。</w:t>
            </w:r>
          </w:p>
          <w:p w14:paraId="76858F01">
            <w:pPr>
              <w:pStyle w:val="11"/>
              <w:autoSpaceDE/>
              <w:autoSpaceDN/>
              <w:adjustRightInd/>
              <w:spacing w:after="0" w:line="360" w:lineRule="exact"/>
              <w:ind w:firstLine="480" w:firstLineChars="200"/>
              <w:rPr>
                <w:rFonts w:ascii="仿宋" w:eastAsia="仿宋" w:cs="仿宋"/>
                <w:bCs/>
                <w:color w:val="auto"/>
                <w:sz w:val="24"/>
                <w:szCs w:val="24"/>
              </w:rPr>
            </w:pPr>
            <w:r>
              <w:rPr>
                <w:rFonts w:hint="eastAsia" w:ascii="仿宋" w:eastAsia="仿宋" w:cs="仿宋"/>
                <w:bCs/>
                <w:color w:val="auto"/>
                <w:sz w:val="24"/>
                <w:szCs w:val="24"/>
              </w:rPr>
              <w:t>特别说明：政采云公司如对电子化开标及评审程序有调整的，按调整后的程序操作。</w:t>
            </w:r>
          </w:p>
        </w:tc>
      </w:tr>
      <w:tr w14:paraId="69E58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45459248">
            <w:pPr>
              <w:pStyle w:val="14"/>
              <w:spacing w:line="360" w:lineRule="exact"/>
              <w:jc w:val="center"/>
              <w:rPr>
                <w:rFonts w:ascii="仿宋" w:eastAsia="仿宋" w:cs="仿宋"/>
                <w:bCs/>
                <w:szCs w:val="24"/>
              </w:rPr>
            </w:pPr>
            <w:r>
              <w:rPr>
                <w:rFonts w:hint="eastAsia" w:asci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vAlign w:val="center"/>
          </w:tcPr>
          <w:p w14:paraId="41D42EB3">
            <w:pPr>
              <w:pStyle w:val="14"/>
              <w:spacing w:line="360" w:lineRule="exact"/>
              <w:jc w:val="center"/>
              <w:rPr>
                <w:rFonts w:ascii="仿宋" w:eastAsia="仿宋" w:cs="仿宋"/>
                <w:szCs w:val="24"/>
              </w:rPr>
            </w:pPr>
            <w:r>
              <w:rPr>
                <w:rFonts w:ascii="仿宋" w:eastAsia="仿宋" w:cs="仿宋"/>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14:paraId="2ADAF7C4">
            <w:pPr>
              <w:pStyle w:val="14"/>
              <w:spacing w:line="360" w:lineRule="exact"/>
              <w:rPr>
                <w:rFonts w:ascii="仿宋" w:eastAsia="仿宋" w:cs="仿宋"/>
                <w:szCs w:val="24"/>
              </w:rPr>
            </w:pPr>
            <w:r>
              <w:rPr>
                <w:rFonts w:hint="eastAsia" w:ascii="仿宋" w:eastAsia="仿宋" w:cs="仿宋"/>
                <w:szCs w:val="24"/>
              </w:rPr>
              <w:t>评标委员会由采购人依法组建。评标委员会构成：</w:t>
            </w:r>
            <w:r>
              <w:rPr>
                <w:rFonts w:ascii="仿宋" w:eastAsia="仿宋" w:cs="仿宋"/>
                <w:szCs w:val="24"/>
                <w:u w:val="single"/>
              </w:rPr>
              <w:t xml:space="preserve"> </w:t>
            </w:r>
            <w:r>
              <w:rPr>
                <w:rFonts w:hint="eastAsia" w:ascii="仿宋" w:eastAsia="仿宋" w:cs="仿宋"/>
                <w:szCs w:val="24"/>
                <w:u w:val="single"/>
              </w:rPr>
              <w:t>5</w:t>
            </w:r>
            <w:r>
              <w:rPr>
                <w:rFonts w:ascii="仿宋" w:eastAsia="仿宋" w:cs="仿宋"/>
                <w:szCs w:val="24"/>
                <w:u w:val="single"/>
              </w:rPr>
              <w:t xml:space="preserve"> </w:t>
            </w:r>
            <w:r>
              <w:rPr>
                <w:rFonts w:hint="eastAsia" w:ascii="仿宋" w:eastAsia="仿宋" w:cs="仿宋"/>
                <w:szCs w:val="24"/>
              </w:rPr>
              <w:t>人，其中采购人代表</w:t>
            </w:r>
            <w:r>
              <w:rPr>
                <w:rFonts w:hint="eastAsia" w:ascii="仿宋" w:eastAsia="仿宋" w:cs="仿宋"/>
                <w:szCs w:val="24"/>
                <w:u w:val="single"/>
              </w:rPr>
              <w:t xml:space="preserve"> 1 </w:t>
            </w:r>
            <w:r>
              <w:rPr>
                <w:rFonts w:hint="eastAsia" w:ascii="仿宋" w:eastAsia="仿宋" w:cs="仿宋"/>
                <w:szCs w:val="24"/>
              </w:rPr>
              <w:t>人，专家</w:t>
            </w:r>
            <w:r>
              <w:rPr>
                <w:rFonts w:hint="eastAsia" w:ascii="仿宋" w:eastAsia="仿宋" w:cs="仿宋"/>
                <w:szCs w:val="24"/>
                <w:u w:val="single"/>
              </w:rPr>
              <w:t xml:space="preserve"> 4</w:t>
            </w:r>
            <w:r>
              <w:rPr>
                <w:rFonts w:ascii="仿宋" w:eastAsia="仿宋" w:cs="仿宋"/>
                <w:szCs w:val="24"/>
                <w:u w:val="single"/>
              </w:rPr>
              <w:t xml:space="preserve"> </w:t>
            </w:r>
            <w:r>
              <w:rPr>
                <w:rFonts w:hint="eastAsia" w:ascii="仿宋" w:eastAsia="仿宋" w:cs="仿宋"/>
                <w:szCs w:val="24"/>
              </w:rPr>
              <w:t>人。</w:t>
            </w:r>
          </w:p>
        </w:tc>
      </w:tr>
      <w:tr w14:paraId="263C4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79743A4">
            <w:pPr>
              <w:pStyle w:val="14"/>
              <w:spacing w:line="360" w:lineRule="exact"/>
              <w:jc w:val="center"/>
              <w:rPr>
                <w:rFonts w:ascii="仿宋" w:eastAsia="仿宋" w:cs="仿宋"/>
                <w:bCs/>
                <w:szCs w:val="24"/>
              </w:rPr>
            </w:pPr>
            <w:r>
              <w:rPr>
                <w:rFonts w:hint="eastAsia" w:ascii="仿宋" w:eastAsia="仿宋" w:cs="仿宋"/>
                <w:bCs/>
                <w:szCs w:val="24"/>
              </w:rPr>
              <w:t>29</w:t>
            </w:r>
          </w:p>
        </w:tc>
        <w:tc>
          <w:tcPr>
            <w:tcW w:w="1760" w:type="dxa"/>
            <w:tcBorders>
              <w:top w:val="single" w:color="auto" w:sz="4" w:space="0"/>
              <w:left w:val="single" w:color="auto" w:sz="4" w:space="0"/>
              <w:bottom w:val="single" w:color="auto" w:sz="4" w:space="0"/>
              <w:right w:val="single" w:color="auto" w:sz="4" w:space="0"/>
            </w:tcBorders>
            <w:vAlign w:val="center"/>
          </w:tcPr>
          <w:p w14:paraId="6024E7CA">
            <w:pPr>
              <w:pStyle w:val="14"/>
              <w:spacing w:line="360" w:lineRule="exact"/>
              <w:jc w:val="center"/>
              <w:rPr>
                <w:rFonts w:ascii="仿宋" w:eastAsia="仿宋" w:cs="仿宋"/>
                <w:szCs w:val="24"/>
              </w:rPr>
            </w:pPr>
            <w:r>
              <w:rPr>
                <w:rFonts w:ascii="仿宋" w:eastAsia="仿宋" w:cs="仿宋"/>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14:paraId="771CEC63">
            <w:pPr>
              <w:pStyle w:val="14"/>
              <w:spacing w:line="360" w:lineRule="exact"/>
              <w:rPr>
                <w:rFonts w:ascii="仿宋" w:eastAsia="仿宋" w:cs="仿宋"/>
                <w:szCs w:val="24"/>
              </w:rPr>
            </w:pPr>
            <w:r>
              <w:rPr>
                <w:rFonts w:hint="eastAsia" w:ascii="仿宋" w:eastAsia="仿宋" w:cs="仿宋"/>
                <w:szCs w:val="24"/>
              </w:rPr>
              <w:t>评标委员会推荐的中标候选人数：</w:t>
            </w:r>
            <w:r>
              <w:rPr>
                <w:rFonts w:ascii="仿宋" w:eastAsia="仿宋" w:cs="仿宋"/>
                <w:szCs w:val="24"/>
                <w:u w:val="single"/>
              </w:rPr>
              <w:t xml:space="preserve"> </w:t>
            </w:r>
            <w:r>
              <w:rPr>
                <w:rFonts w:hint="eastAsia" w:ascii="仿宋" w:eastAsia="仿宋" w:cs="仿宋"/>
                <w:szCs w:val="24"/>
                <w:u w:val="single"/>
              </w:rPr>
              <w:t>1</w:t>
            </w:r>
            <w:r>
              <w:rPr>
                <w:rFonts w:ascii="仿宋" w:eastAsia="仿宋" w:cs="仿宋"/>
                <w:szCs w:val="24"/>
                <w:u w:val="single"/>
              </w:rPr>
              <w:t xml:space="preserve"> </w:t>
            </w:r>
            <w:r>
              <w:rPr>
                <w:rFonts w:hint="eastAsia" w:ascii="仿宋" w:eastAsia="仿宋" w:cs="仿宋"/>
                <w:szCs w:val="24"/>
              </w:rPr>
              <w:t>名。</w:t>
            </w:r>
          </w:p>
        </w:tc>
      </w:tr>
      <w:tr w14:paraId="52D64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694A3152">
            <w:pPr>
              <w:pStyle w:val="14"/>
              <w:spacing w:line="360" w:lineRule="exact"/>
              <w:jc w:val="center"/>
              <w:rPr>
                <w:rFonts w:ascii="仿宋" w:eastAsia="仿宋" w:cs="仿宋"/>
                <w:bCs/>
                <w:szCs w:val="24"/>
              </w:rPr>
            </w:pPr>
            <w:r>
              <w:rPr>
                <w:rFonts w:hint="eastAsia" w:ascii="仿宋" w:eastAsia="仿宋" w:cs="仿宋"/>
                <w:bCs/>
                <w:szCs w:val="24"/>
              </w:rPr>
              <w:t>30</w:t>
            </w:r>
          </w:p>
        </w:tc>
        <w:tc>
          <w:tcPr>
            <w:tcW w:w="1760" w:type="dxa"/>
            <w:tcBorders>
              <w:top w:val="single" w:color="auto" w:sz="4" w:space="0"/>
              <w:left w:val="single" w:color="auto" w:sz="4" w:space="0"/>
              <w:bottom w:val="single" w:color="auto" w:sz="4" w:space="0"/>
              <w:right w:val="single" w:color="auto" w:sz="4" w:space="0"/>
            </w:tcBorders>
            <w:vAlign w:val="center"/>
          </w:tcPr>
          <w:p w14:paraId="7B78F1BB">
            <w:pPr>
              <w:pStyle w:val="14"/>
              <w:spacing w:line="360" w:lineRule="exact"/>
              <w:jc w:val="center"/>
              <w:rPr>
                <w:rFonts w:ascii="仿宋" w:eastAsia="仿宋" w:cs="仿宋"/>
                <w:szCs w:val="24"/>
              </w:rPr>
            </w:pPr>
            <w:r>
              <w:rPr>
                <w:rFonts w:ascii="仿宋" w:eastAsia="仿宋" w:cs="仿宋"/>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14:paraId="706F6BFF">
            <w:pPr>
              <w:pStyle w:val="14"/>
              <w:spacing w:line="360" w:lineRule="exact"/>
              <w:rPr>
                <w:rFonts w:ascii="仿宋" w:eastAsia="仿宋" w:cs="仿宋"/>
                <w:szCs w:val="24"/>
              </w:rPr>
            </w:pPr>
            <w:r>
              <w:rPr>
                <w:rFonts w:hint="eastAsia" w:ascii="仿宋" w:eastAsia="仿宋" w:cs="仿宋"/>
                <w:szCs w:val="24"/>
              </w:rPr>
              <w:t>是。</w:t>
            </w:r>
          </w:p>
        </w:tc>
      </w:tr>
      <w:tr w14:paraId="3D91D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DB0A2BD">
            <w:pPr>
              <w:pStyle w:val="14"/>
              <w:spacing w:line="360" w:lineRule="exact"/>
              <w:jc w:val="center"/>
              <w:rPr>
                <w:rFonts w:ascii="仿宋" w:eastAsia="仿宋" w:cs="仿宋"/>
                <w:bCs/>
                <w:szCs w:val="24"/>
              </w:rPr>
            </w:pPr>
            <w:r>
              <w:rPr>
                <w:rFonts w:hint="eastAsia" w:ascii="仿宋" w:eastAsia="仿宋" w:cs="仿宋"/>
                <w:bCs/>
                <w:szCs w:val="24"/>
              </w:rPr>
              <w:t>31</w:t>
            </w:r>
          </w:p>
        </w:tc>
        <w:tc>
          <w:tcPr>
            <w:tcW w:w="1760" w:type="dxa"/>
            <w:tcBorders>
              <w:top w:val="single" w:color="auto" w:sz="4" w:space="0"/>
              <w:left w:val="single" w:color="auto" w:sz="4" w:space="0"/>
              <w:bottom w:val="single" w:color="auto" w:sz="4" w:space="0"/>
              <w:right w:val="single" w:color="auto" w:sz="4" w:space="0"/>
            </w:tcBorders>
            <w:vAlign w:val="center"/>
          </w:tcPr>
          <w:p w14:paraId="54B7E199">
            <w:pPr>
              <w:pStyle w:val="14"/>
              <w:spacing w:line="360" w:lineRule="exact"/>
              <w:jc w:val="center"/>
              <w:rPr>
                <w:rFonts w:ascii="仿宋" w:eastAsia="仿宋" w:cs="仿宋"/>
                <w:szCs w:val="24"/>
              </w:rPr>
            </w:pPr>
            <w:r>
              <w:rPr>
                <w:rFonts w:ascii="仿宋" w:eastAsia="仿宋" w:cs="仿宋"/>
                <w:szCs w:val="24"/>
              </w:rPr>
              <w:t>中标结果公告</w:t>
            </w:r>
          </w:p>
          <w:p w14:paraId="25BCC55A">
            <w:pPr>
              <w:pStyle w:val="14"/>
              <w:spacing w:line="360" w:lineRule="exact"/>
              <w:jc w:val="center"/>
              <w:rPr>
                <w:rFonts w:ascii="仿宋" w:eastAsia="仿宋" w:cs="仿宋"/>
                <w:szCs w:val="24"/>
              </w:rPr>
            </w:pPr>
            <w:r>
              <w:rPr>
                <w:rFonts w:ascii="仿宋" w:eastAsia="仿宋" w:cs="仿宋"/>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14:paraId="16632C71">
            <w:pPr>
              <w:pStyle w:val="14"/>
              <w:spacing w:line="360" w:lineRule="exact"/>
              <w:rPr>
                <w:rFonts w:ascii="仿宋" w:eastAsia="仿宋" w:cs="仿宋"/>
                <w:szCs w:val="24"/>
              </w:rPr>
            </w:pPr>
            <w:r>
              <w:rPr>
                <w:rFonts w:hint="eastAsia" w:ascii="仿宋" w:eastAsia="仿宋" w:cs="仿宋"/>
                <w:szCs w:val="24"/>
              </w:rPr>
              <w:t>中标人确定之日起2个工作日内，中标结果在浙江政府采购网和武义县公共资源交易网公告不得少于1个工作日。</w:t>
            </w:r>
          </w:p>
        </w:tc>
      </w:tr>
      <w:tr w14:paraId="39183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04" w:type="dxa"/>
            <w:tcBorders>
              <w:top w:val="single" w:color="auto" w:sz="4" w:space="0"/>
              <w:left w:val="single" w:color="auto" w:sz="4" w:space="0"/>
              <w:bottom w:val="single" w:color="auto" w:sz="4" w:space="0"/>
              <w:right w:val="single" w:color="auto" w:sz="4" w:space="0"/>
            </w:tcBorders>
            <w:vAlign w:val="center"/>
          </w:tcPr>
          <w:p w14:paraId="7A1F8AD5">
            <w:pPr>
              <w:pStyle w:val="14"/>
              <w:spacing w:line="360" w:lineRule="exact"/>
              <w:jc w:val="center"/>
              <w:rPr>
                <w:rFonts w:ascii="仿宋" w:eastAsia="仿宋" w:cs="仿宋"/>
                <w:bCs/>
                <w:szCs w:val="24"/>
              </w:rPr>
            </w:pPr>
            <w:r>
              <w:rPr>
                <w:rFonts w:hint="eastAsia" w:ascii="仿宋" w:eastAsia="仿宋" w:cs="仿宋"/>
                <w:bCs/>
                <w:szCs w:val="24"/>
              </w:rPr>
              <w:t>32</w:t>
            </w:r>
          </w:p>
        </w:tc>
        <w:tc>
          <w:tcPr>
            <w:tcW w:w="1760" w:type="dxa"/>
            <w:tcBorders>
              <w:top w:val="single" w:color="auto" w:sz="4" w:space="0"/>
              <w:left w:val="single" w:color="auto" w:sz="4" w:space="0"/>
              <w:bottom w:val="single" w:color="auto" w:sz="4" w:space="0"/>
              <w:right w:val="single" w:color="auto" w:sz="4" w:space="0"/>
            </w:tcBorders>
            <w:vAlign w:val="center"/>
          </w:tcPr>
          <w:p w14:paraId="668F8FD8">
            <w:pPr>
              <w:pStyle w:val="14"/>
              <w:spacing w:line="360" w:lineRule="exact"/>
              <w:jc w:val="center"/>
              <w:rPr>
                <w:rFonts w:ascii="仿宋" w:eastAsia="仿宋" w:cs="仿宋"/>
                <w:szCs w:val="24"/>
              </w:rPr>
            </w:pPr>
            <w:r>
              <w:rPr>
                <w:rFonts w:asci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287478FD">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是否要求中标人提交履约保证金：</w:t>
            </w:r>
          </w:p>
          <w:p w14:paraId="48D9132A">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sym w:font="Wingdings 2" w:char="0052"/>
            </w:r>
            <w:r>
              <w:rPr>
                <w:rFonts w:hint="eastAsia" w:ascii="仿宋" w:hAnsi="仿宋" w:eastAsia="仿宋" w:cs="仿宋"/>
                <w:color w:val="auto"/>
                <w:sz w:val="24"/>
                <w:szCs w:val="24"/>
              </w:rPr>
              <w:t>不要求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14:paraId="778E09BE">
            <w:pPr>
              <w:pStyle w:val="14"/>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w:t>
            </w:r>
          </w:p>
          <w:p w14:paraId="63B79847">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（1）中标单位履约保证金的金额为合同价款的</w:t>
            </w:r>
            <w:r>
              <w:rPr>
                <w:rFonts w:hint="eastAsia" w:ascii="仿宋" w:hAnsi="仿宋" w:eastAsia="仿宋" w:cs="仿宋"/>
                <w:bCs/>
                <w:color w:val="auto"/>
                <w:szCs w:val="24"/>
                <w:u w:val="single"/>
                <w:lang w:val="en-US" w:eastAsia="zh-CN"/>
              </w:rPr>
              <w:t xml:space="preserve">   /   </w:t>
            </w:r>
            <w:r>
              <w:rPr>
                <w:rFonts w:hint="eastAsia" w:ascii="仿宋" w:hAnsi="仿宋" w:eastAsia="仿宋" w:cs="仿宋"/>
                <w:bCs/>
                <w:color w:val="auto"/>
                <w:szCs w:val="24"/>
              </w:rPr>
              <w:t>（供应商可采用现金转账、支票、汇票、本票、保函（包括银行保函、保险机构保证保险保单和融资担保公司保函）等非现金形式提交，中标单位可自主选择，其他相关单位不得以任何理由拒收）。</w:t>
            </w:r>
          </w:p>
          <w:p w14:paraId="5D833CDB">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 400-903-9583。</w:t>
            </w:r>
          </w:p>
          <w:p w14:paraId="34A59412">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（2）中标单位应在收到中标通知书后20日历天内缴纳至采购人，否则采购人有权取消中标资格。</w:t>
            </w:r>
          </w:p>
          <w:p w14:paraId="0BD3705B">
            <w:pPr>
              <w:pStyle w:val="14"/>
              <w:spacing w:line="360" w:lineRule="exact"/>
              <w:rPr>
                <w:rFonts w:ascii="仿宋" w:eastAsia="仿宋" w:cs="仿宋"/>
                <w:szCs w:val="24"/>
              </w:rPr>
            </w:pPr>
            <w:r>
              <w:rPr>
                <w:rFonts w:hint="eastAsia" w:ascii="仿宋" w:hAnsi="仿宋" w:eastAsia="仿宋" w:cs="仿宋"/>
                <w:bCs/>
                <w:color w:val="auto"/>
                <w:szCs w:val="24"/>
              </w:rPr>
              <w:t>（3）合同履行完毕后30日历天内无息退还。</w:t>
            </w:r>
          </w:p>
        </w:tc>
      </w:tr>
      <w:tr w14:paraId="06A7D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1E4CBDEF">
            <w:pPr>
              <w:pStyle w:val="14"/>
              <w:spacing w:line="360" w:lineRule="exact"/>
              <w:jc w:val="center"/>
              <w:rPr>
                <w:rFonts w:ascii="仿宋" w:eastAsia="仿宋" w:cs="仿宋"/>
                <w:bCs/>
                <w:szCs w:val="24"/>
              </w:rPr>
            </w:pPr>
            <w:r>
              <w:rPr>
                <w:rFonts w:hint="eastAsia" w:ascii="仿宋" w:eastAsia="仿宋" w:cs="仿宋"/>
                <w:bCs/>
                <w:szCs w:val="24"/>
              </w:rPr>
              <w:t>33</w:t>
            </w:r>
          </w:p>
        </w:tc>
        <w:tc>
          <w:tcPr>
            <w:tcW w:w="1760" w:type="dxa"/>
            <w:tcBorders>
              <w:top w:val="single" w:color="auto" w:sz="4" w:space="0"/>
              <w:left w:val="single" w:color="auto" w:sz="4" w:space="0"/>
              <w:bottom w:val="single" w:color="auto" w:sz="4" w:space="0"/>
              <w:right w:val="single" w:color="auto" w:sz="4" w:space="0"/>
            </w:tcBorders>
            <w:vAlign w:val="center"/>
          </w:tcPr>
          <w:p w14:paraId="5E380107">
            <w:pPr>
              <w:pStyle w:val="14"/>
              <w:spacing w:line="360" w:lineRule="exact"/>
              <w:jc w:val="center"/>
              <w:rPr>
                <w:rFonts w:ascii="仿宋" w:eastAsia="仿宋" w:cs="仿宋"/>
                <w:szCs w:val="24"/>
              </w:rPr>
            </w:pPr>
            <w:r>
              <w:rPr>
                <w:rFonts w:asci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14:paraId="711AF9AD">
            <w:pPr>
              <w:pStyle w:val="14"/>
              <w:spacing w:line="360" w:lineRule="exact"/>
              <w:rPr>
                <w:rFonts w:ascii="仿宋" w:eastAsia="仿宋" w:cs="仿宋"/>
                <w:szCs w:val="24"/>
              </w:rPr>
            </w:pPr>
            <w:r>
              <w:rPr>
                <w:rFonts w:hint="eastAsia" w:asci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19109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33BAB6D6">
            <w:pPr>
              <w:pStyle w:val="14"/>
              <w:spacing w:line="360" w:lineRule="exact"/>
              <w:jc w:val="center"/>
              <w:rPr>
                <w:rFonts w:ascii="仿宋" w:eastAsia="仿宋" w:cs="仿宋"/>
                <w:bCs/>
                <w:szCs w:val="24"/>
              </w:rPr>
            </w:pPr>
            <w:r>
              <w:rPr>
                <w:rFonts w:hint="eastAsia" w:ascii="仿宋" w:eastAsia="仿宋" w:cs="仿宋"/>
                <w:bCs/>
                <w:szCs w:val="24"/>
              </w:rPr>
              <w:t>34</w:t>
            </w:r>
          </w:p>
        </w:tc>
        <w:tc>
          <w:tcPr>
            <w:tcW w:w="1760" w:type="dxa"/>
            <w:tcBorders>
              <w:top w:val="single" w:color="auto" w:sz="4" w:space="0"/>
              <w:left w:val="single" w:color="auto" w:sz="4" w:space="0"/>
              <w:bottom w:val="single" w:color="auto" w:sz="4" w:space="0"/>
              <w:right w:val="single" w:color="auto" w:sz="4" w:space="0"/>
            </w:tcBorders>
            <w:vAlign w:val="center"/>
          </w:tcPr>
          <w:p w14:paraId="4D409607">
            <w:pPr>
              <w:snapToGrid w:val="0"/>
              <w:spacing w:line="360" w:lineRule="exact"/>
              <w:jc w:val="center"/>
              <w:rPr>
                <w:rFonts w:ascii="仿宋" w:eastAsia="仿宋" w:cs="仿宋"/>
                <w:color w:val="auto"/>
                <w:sz w:val="24"/>
                <w:szCs w:val="24"/>
              </w:rPr>
            </w:pPr>
            <w:r>
              <w:rPr>
                <w:rFonts w:hint="eastAsia" w:asci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14:paraId="15060F2D">
            <w:pPr>
              <w:pStyle w:val="14"/>
              <w:spacing w:line="360" w:lineRule="exact"/>
              <w:rPr>
                <w:rFonts w:ascii="仿宋" w:eastAsia="仿宋" w:cs="仿宋"/>
                <w:szCs w:val="24"/>
              </w:rPr>
            </w:pPr>
            <w:r>
              <w:rPr>
                <w:rFonts w:hint="eastAsia" w:ascii="仿宋" w:eastAsia="仿宋" w:cs="仿宋"/>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F0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526E3B4F">
            <w:pPr>
              <w:pStyle w:val="14"/>
              <w:spacing w:line="360" w:lineRule="exact"/>
              <w:jc w:val="center"/>
              <w:rPr>
                <w:rFonts w:ascii="仿宋" w:eastAsia="仿宋" w:cs="仿宋"/>
                <w:bCs/>
                <w:szCs w:val="24"/>
              </w:rPr>
            </w:pPr>
            <w:r>
              <w:rPr>
                <w:rFonts w:hint="eastAsia" w:ascii="仿宋" w:eastAsia="仿宋" w:cs="仿宋"/>
                <w:bCs/>
                <w:szCs w:val="24"/>
              </w:rPr>
              <w:t>35</w:t>
            </w:r>
          </w:p>
        </w:tc>
        <w:tc>
          <w:tcPr>
            <w:tcW w:w="1760" w:type="dxa"/>
            <w:tcBorders>
              <w:top w:val="single" w:color="auto" w:sz="4" w:space="0"/>
              <w:left w:val="single" w:color="auto" w:sz="4" w:space="0"/>
              <w:bottom w:val="single" w:color="auto" w:sz="4" w:space="0"/>
              <w:right w:val="single" w:color="auto" w:sz="4" w:space="0"/>
            </w:tcBorders>
            <w:vAlign w:val="center"/>
          </w:tcPr>
          <w:p w14:paraId="08E5C8B0">
            <w:pPr>
              <w:spacing w:line="360" w:lineRule="exact"/>
              <w:jc w:val="center"/>
              <w:rPr>
                <w:rFonts w:ascii="仿宋" w:eastAsia="仿宋" w:cs="仿宋"/>
                <w:color w:val="auto"/>
                <w:kern w:val="2"/>
                <w:sz w:val="24"/>
                <w:szCs w:val="24"/>
              </w:rPr>
            </w:pPr>
            <w:r>
              <w:rPr>
                <w:rFonts w:hint="eastAsia" w:asci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14:paraId="18C938F0">
            <w:pPr>
              <w:pStyle w:val="14"/>
              <w:spacing w:line="360" w:lineRule="exact"/>
              <w:rPr>
                <w:rFonts w:ascii="仿宋" w:eastAsia="仿宋" w:cs="仿宋"/>
                <w:szCs w:val="24"/>
              </w:rPr>
            </w:pPr>
            <w:r>
              <w:rPr>
                <w:rFonts w:hint="eastAsia" w:ascii="仿宋" w:eastAsia="仿宋" w:cs="仿宋"/>
                <w:bCs/>
                <w:szCs w:val="24"/>
                <w:lang w:val="zh-CN"/>
              </w:rPr>
              <w:t>根据财库</w:t>
            </w:r>
            <w:r>
              <w:rPr>
                <w:rFonts w:hint="eastAsia" w:ascii="仿宋" w:eastAsia="仿宋" w:cs="仿宋"/>
                <w:bCs/>
                <w:szCs w:val="24"/>
              </w:rPr>
              <w:t>[2019]9号、</w:t>
            </w:r>
            <w:r>
              <w:rPr>
                <w:rFonts w:hint="eastAsia" w:ascii="仿宋" w:eastAsia="仿宋" w:cs="仿宋"/>
                <w:bCs/>
                <w:szCs w:val="24"/>
                <w:lang w:val="zh-CN"/>
              </w:rPr>
              <w:t>财库</w:t>
            </w:r>
            <w:r>
              <w:rPr>
                <w:rFonts w:hint="eastAsia" w:ascii="仿宋" w:eastAsia="仿宋" w:cs="仿宋"/>
                <w:bCs/>
                <w:szCs w:val="24"/>
              </w:rPr>
              <w:t>[2019]18号、</w:t>
            </w:r>
            <w:r>
              <w:rPr>
                <w:rFonts w:hint="eastAsia" w:ascii="仿宋" w:eastAsia="仿宋" w:cs="仿宋"/>
                <w:bCs/>
                <w:szCs w:val="24"/>
                <w:lang w:val="zh-CN"/>
              </w:rPr>
              <w:t>财库</w:t>
            </w:r>
            <w:r>
              <w:rPr>
                <w:rFonts w:hint="eastAsia" w:ascii="仿宋" w:eastAsia="仿宋" w:cs="仿宋"/>
                <w:bCs/>
                <w:szCs w:val="24"/>
              </w:rPr>
              <w:t>[2019]19号规定，</w:t>
            </w:r>
            <w:r>
              <w:rPr>
                <w:rFonts w:hint="eastAsia" w:ascii="仿宋" w:eastAsia="仿宋" w:cs="仿宋"/>
                <w:bCs/>
                <w:szCs w:val="24"/>
                <w:lang w:val="zh-CN"/>
              </w:rPr>
              <w:t>采购人拟采购的产品属于品目清单范围的，采购人及其委托的采购代理机构将依据国家确定的认证机构</w:t>
            </w:r>
            <w:r>
              <w:rPr>
                <w:rFonts w:hint="eastAsia" w:ascii="仿宋" w:eastAsia="仿宋" w:cs="仿宋"/>
                <w:szCs w:val="24"/>
                <w:lang w:val="zh-CN"/>
              </w:rPr>
              <w:t>出具</w:t>
            </w:r>
            <w:r>
              <w:rPr>
                <w:rFonts w:hint="eastAsia" w:ascii="仿宋" w:eastAsia="仿宋" w:cs="仿宋"/>
                <w:bCs/>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eastAsia="仿宋" w:cs="仿宋"/>
                <w:bCs/>
                <w:szCs w:val="24"/>
              </w:rPr>
              <w:t>。</w:t>
            </w:r>
          </w:p>
        </w:tc>
      </w:tr>
      <w:tr w14:paraId="3E0A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20BB09D7">
            <w:pPr>
              <w:pStyle w:val="14"/>
              <w:spacing w:line="360" w:lineRule="exact"/>
              <w:jc w:val="center"/>
              <w:rPr>
                <w:rFonts w:ascii="仿宋" w:eastAsia="仿宋" w:cs="仿宋"/>
                <w:bCs/>
                <w:szCs w:val="24"/>
              </w:rPr>
            </w:pPr>
            <w:r>
              <w:rPr>
                <w:rFonts w:hint="eastAsia" w:ascii="仿宋" w:eastAsia="仿宋" w:cs="仿宋"/>
                <w:bCs/>
                <w:szCs w:val="24"/>
              </w:rPr>
              <w:t>36</w:t>
            </w:r>
          </w:p>
        </w:tc>
        <w:tc>
          <w:tcPr>
            <w:tcW w:w="1760" w:type="dxa"/>
            <w:tcBorders>
              <w:top w:val="single" w:color="auto" w:sz="4" w:space="0"/>
              <w:left w:val="single" w:color="auto" w:sz="4" w:space="0"/>
              <w:bottom w:val="single" w:color="auto" w:sz="4" w:space="0"/>
              <w:right w:val="single" w:color="auto" w:sz="4" w:space="0"/>
            </w:tcBorders>
            <w:vAlign w:val="center"/>
          </w:tcPr>
          <w:p w14:paraId="7F7FAD57">
            <w:pPr>
              <w:pStyle w:val="14"/>
              <w:spacing w:line="360" w:lineRule="exact"/>
              <w:jc w:val="center"/>
              <w:rPr>
                <w:rFonts w:ascii="仿宋" w:eastAsia="仿宋" w:cs="仿宋"/>
                <w:bCs/>
                <w:szCs w:val="24"/>
              </w:rPr>
            </w:pPr>
            <w:r>
              <w:rPr>
                <w:rFonts w:hint="eastAsia" w:ascii="仿宋" w:eastAsia="仿宋" w:cs="仿宋"/>
                <w:bCs/>
                <w:szCs w:val="24"/>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14:paraId="774FD30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1、扶持中小企业（监狱企业、残疾人福利性单位）：</w:t>
            </w:r>
          </w:p>
          <w:p w14:paraId="6E31A805">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325B8ED">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（1）项目预算：</w:t>
            </w:r>
            <w:r>
              <w:rPr>
                <w:rFonts w:hint="eastAsia" w:ascii="仿宋" w:eastAsia="仿宋" w:cs="仿宋"/>
                <w:color w:val="auto"/>
                <w:sz w:val="24"/>
                <w:szCs w:val="24"/>
                <w:u w:val="single"/>
                <w:lang w:eastAsia="zh-CN"/>
              </w:rPr>
              <w:t>1100000</w:t>
            </w:r>
            <w:r>
              <w:rPr>
                <w:rFonts w:hint="eastAsia" w:ascii="仿宋" w:eastAsia="仿宋" w:cs="仿宋"/>
                <w:color w:val="auto"/>
                <w:sz w:val="24"/>
                <w:szCs w:val="24"/>
              </w:rPr>
              <w:t>元</w:t>
            </w:r>
          </w:p>
          <w:p w14:paraId="0D1C96B3">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（2）项目属性：</w:t>
            </w:r>
            <w:r>
              <w:rPr>
                <w:rFonts w:hint="eastAsia" w:ascii="仿宋" w:eastAsia="仿宋" w:cs="仿宋"/>
                <w:color w:val="auto"/>
                <w:sz w:val="24"/>
                <w:szCs w:val="24"/>
                <w:u w:val="single"/>
              </w:rPr>
              <w:t>②服务类</w:t>
            </w:r>
            <w:r>
              <w:rPr>
                <w:rFonts w:hint="eastAsia" w:ascii="仿宋" w:eastAsia="仿宋" w:cs="仿宋"/>
                <w:color w:val="auto"/>
                <w:sz w:val="24"/>
                <w:szCs w:val="24"/>
              </w:rPr>
              <w:t>（①货物类/②服务类/③工程类）</w:t>
            </w:r>
          </w:p>
          <w:p w14:paraId="33DD7A1F">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（3）项目对应的中小企业划分标准所属行业：</w:t>
            </w:r>
            <w:r>
              <w:rPr>
                <w:rFonts w:hint="eastAsia" w:ascii="仿宋" w:eastAsia="仿宋" w:cs="仿宋"/>
                <w:color w:val="0000FF"/>
                <w:sz w:val="24"/>
                <w:szCs w:val="24"/>
                <w:u w:val="single"/>
              </w:rPr>
              <w:t>工业</w:t>
            </w:r>
            <w:r>
              <w:rPr>
                <w:rFonts w:hint="eastAsia" w:ascii="仿宋" w:eastAsia="仿宋" w:cs="仿宋"/>
                <w:color w:val="auto"/>
                <w:sz w:val="24"/>
                <w:szCs w:val="24"/>
              </w:rPr>
              <w:t>（具体根据《中小企业划型标准规定》执行）</w:t>
            </w:r>
          </w:p>
          <w:p w14:paraId="7AD708B3">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D5C2D7E">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（4）本项目</w:t>
            </w:r>
            <w:r>
              <w:rPr>
                <w:rFonts w:hint="eastAsia" w:ascii="仿宋" w:eastAsia="仿宋" w:cs="仿宋"/>
                <w:color w:val="0000FF"/>
                <w:sz w:val="24"/>
                <w:szCs w:val="24"/>
                <w:u w:val="single"/>
              </w:rPr>
              <w:t xml:space="preserve"> </w:t>
            </w:r>
            <w:r>
              <w:rPr>
                <w:rFonts w:hint="eastAsia" w:ascii="仿宋" w:eastAsia="仿宋" w:cs="仿宋"/>
                <w:b/>
                <w:bCs/>
                <w:color w:val="0000FF"/>
                <w:sz w:val="24"/>
                <w:szCs w:val="24"/>
                <w:u w:val="single"/>
              </w:rPr>
              <w:t>否</w:t>
            </w:r>
            <w:r>
              <w:rPr>
                <w:rFonts w:hint="eastAsia" w:ascii="仿宋" w:eastAsia="仿宋" w:cs="仿宋"/>
                <w:color w:val="0000FF"/>
                <w:sz w:val="24"/>
                <w:szCs w:val="24"/>
                <w:u w:val="single"/>
              </w:rPr>
              <w:t xml:space="preserve"> </w:t>
            </w:r>
            <w:r>
              <w:rPr>
                <w:rFonts w:hint="eastAsia" w:ascii="仿宋" w:eastAsia="仿宋" w:cs="仿宋"/>
                <w:color w:val="auto"/>
                <w:sz w:val="24"/>
                <w:szCs w:val="24"/>
              </w:rPr>
              <w:t>（是/否）属于预留份额专门面向中小企业采购的项目。</w:t>
            </w:r>
          </w:p>
          <w:p w14:paraId="378F1CAB">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（5）上述第4项中确定为“是”的采购项目，预留份额通过（①）措施进行：</w:t>
            </w:r>
          </w:p>
          <w:p w14:paraId="491C24D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 xml:space="preserve">①将采购项目整体或者设置采购包专门面向中小企业采购； </w:t>
            </w:r>
          </w:p>
          <w:p w14:paraId="3048F318">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②要求供应商以联合体形式参加采购活动，且联合体中中小企业承担的部分达到</w:t>
            </w:r>
            <w:r>
              <w:rPr>
                <w:rFonts w:hint="eastAsia" w:ascii="仿宋" w:eastAsia="仿宋" w:cs="仿宋"/>
                <w:color w:val="auto"/>
                <w:sz w:val="24"/>
                <w:szCs w:val="24"/>
                <w:u w:val="single"/>
              </w:rPr>
              <w:t> / </w:t>
            </w:r>
            <w:r>
              <w:rPr>
                <w:rFonts w:hint="eastAsia" w:ascii="仿宋" w:eastAsia="仿宋" w:cs="仿宋"/>
                <w:color w:val="auto"/>
                <w:sz w:val="24"/>
                <w:szCs w:val="24"/>
              </w:rPr>
              <w:t xml:space="preserve">(比例)； </w:t>
            </w:r>
          </w:p>
          <w:p w14:paraId="2A20B05E">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③要求获得采购合同的供应商将采购项目中的</w:t>
            </w:r>
            <w:r>
              <w:rPr>
                <w:rFonts w:hint="eastAsia" w:ascii="仿宋" w:eastAsia="仿宋" w:cs="仿宋"/>
                <w:color w:val="auto"/>
                <w:sz w:val="24"/>
                <w:szCs w:val="24"/>
                <w:u w:val="single"/>
              </w:rPr>
              <w:t xml:space="preserve"> / </w:t>
            </w:r>
            <w:r>
              <w:rPr>
                <w:rFonts w:hint="eastAsia" w:ascii="仿宋" w:eastAsia="仿宋" w:cs="仿宋"/>
                <w:color w:val="auto"/>
                <w:sz w:val="24"/>
                <w:szCs w:val="24"/>
              </w:rPr>
              <w:t>(比例)分包给一家或者多家中小企业。</w:t>
            </w:r>
          </w:p>
          <w:p w14:paraId="04F34A7B">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（6）对于经主管预算单位统筹后未预留份额专门面向中小企业采购的采购项目，以及预留份额项目中的非预留部分采购包，对小微企业报价给予</w:t>
            </w:r>
            <w:r>
              <w:rPr>
                <w:rFonts w:hint="eastAsia" w:ascii="仿宋" w:eastAsia="仿宋" w:cs="仿宋"/>
                <w:color w:val="auto"/>
                <w:sz w:val="24"/>
                <w:szCs w:val="24"/>
                <w:u w:val="single"/>
              </w:rPr>
              <w:t> 20%</w:t>
            </w:r>
            <w:r>
              <w:rPr>
                <w:rFonts w:hint="eastAsia" w:ascii="仿宋" w:eastAsia="仿宋" w:cs="仿宋"/>
                <w:color w:val="auto"/>
                <w:sz w:val="24"/>
                <w:szCs w:val="24"/>
              </w:rPr>
              <w:t> 的扣除，用扣除后的价格参加评审。</w:t>
            </w:r>
          </w:p>
          <w:p w14:paraId="312F8D11">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eastAsia="仿宋" w:cs="仿宋"/>
                <w:color w:val="auto"/>
                <w:sz w:val="24"/>
                <w:szCs w:val="24"/>
                <w:u w:val="single"/>
              </w:rPr>
              <w:t> /</w:t>
            </w:r>
            <w:r>
              <w:rPr>
                <w:rFonts w:hint="eastAsia" w:ascii="仿宋" w:eastAsia="仿宋" w:cs="仿宋"/>
                <w:color w:val="auto"/>
                <w:sz w:val="24"/>
                <w:szCs w:val="24"/>
              </w:rPr>
              <w:t>的扣除，用扣除后的价格参加评审。</w:t>
            </w:r>
          </w:p>
          <w:p w14:paraId="245D58AA">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注：货物和服务项目中未预留份额专门面向中小企业采购的，以及预留份额项目中的非预留部分采购包，采购单位、采购代理机构应结合项目实际，对符合规定的小微企业报价原则上按最高优惠幅度</w:t>
            </w:r>
            <w:r>
              <w:rPr>
                <w:rFonts w:hint="eastAsia" w:ascii="仿宋" w:eastAsia="仿宋" w:cs="仿宋"/>
                <w:color w:val="auto"/>
                <w:sz w:val="24"/>
                <w:szCs w:val="24"/>
                <w:lang w:val="en-US" w:eastAsia="zh-CN"/>
              </w:rPr>
              <w:t>10</w:t>
            </w:r>
            <w:r>
              <w:rPr>
                <w:rFonts w:hint="eastAsia" w:ascii="仿宋" w:eastAsia="仿宋" w:cs="仿宋"/>
                <w:color w:val="auto"/>
                <w:sz w:val="24"/>
                <w:szCs w:val="24"/>
              </w:rPr>
              <w:t>%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3D401589">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专门面向中小企业采购的项目或者标项，不再执行价格评审优惠的扶持政策。</w:t>
            </w:r>
          </w:p>
          <w:p w14:paraId="0C9C94BC">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2、节能产品、环境标志产品的强制采购政策</w:t>
            </w:r>
          </w:p>
          <w:p w14:paraId="33487B8C">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36D7645">
            <w:pPr>
              <w:widowControl/>
              <w:snapToGrid w:val="0"/>
              <w:spacing w:line="360" w:lineRule="exact"/>
              <w:ind w:firstLine="480" w:firstLineChars="200"/>
              <w:jc w:val="left"/>
              <w:rPr>
                <w:rFonts w:ascii="仿宋" w:eastAsia="仿宋" w:cs="仿宋"/>
                <w:color w:val="auto"/>
                <w:sz w:val="24"/>
                <w:szCs w:val="24"/>
              </w:rPr>
            </w:pPr>
            <w:r>
              <w:rPr>
                <w:rFonts w:hint="eastAsia" w:ascii="仿宋" w:eastAsia="仿宋" w:cs="仿宋"/>
                <w:color w:val="auto"/>
                <w:sz w:val="24"/>
                <w:szCs w:val="24"/>
              </w:rPr>
              <w:t>3、节能产品、环境标志产品的优先采购政策</w:t>
            </w:r>
          </w:p>
          <w:p w14:paraId="56D6E1D5">
            <w:pPr>
              <w:widowControl/>
              <w:snapToGrid w:val="0"/>
              <w:spacing w:line="360" w:lineRule="exact"/>
              <w:ind w:firstLine="480" w:firstLineChars="200"/>
              <w:jc w:val="left"/>
              <w:rPr>
                <w:rFonts w:ascii="仿宋" w:eastAsia="仿宋" w:cs="仿宋"/>
                <w:bCs/>
                <w:color w:val="auto"/>
                <w:sz w:val="24"/>
                <w:szCs w:val="24"/>
              </w:rPr>
            </w:pPr>
            <w:r>
              <w:rPr>
                <w:rFonts w:hint="eastAsia" w:ascii="仿宋" w:eastAsia="仿宋" w:cs="仿宋"/>
                <w:color w:val="auto"/>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6DB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073D93C1">
            <w:pPr>
              <w:pStyle w:val="14"/>
              <w:spacing w:line="360" w:lineRule="exact"/>
              <w:jc w:val="center"/>
              <w:rPr>
                <w:rFonts w:ascii="仿宋" w:eastAsia="仿宋" w:cs="仿宋"/>
                <w:bCs/>
                <w:szCs w:val="24"/>
              </w:rPr>
            </w:pPr>
            <w:r>
              <w:rPr>
                <w:rFonts w:hint="eastAsia" w:ascii="仿宋" w:eastAsia="仿宋" w:cs="仿宋"/>
                <w:bCs/>
                <w:szCs w:val="24"/>
              </w:rPr>
              <w:t>37</w:t>
            </w:r>
          </w:p>
        </w:tc>
        <w:tc>
          <w:tcPr>
            <w:tcW w:w="1760" w:type="dxa"/>
            <w:tcBorders>
              <w:top w:val="single" w:color="auto" w:sz="4" w:space="0"/>
              <w:left w:val="single" w:color="auto" w:sz="4" w:space="0"/>
              <w:bottom w:val="single" w:color="auto" w:sz="4" w:space="0"/>
              <w:right w:val="single" w:color="auto" w:sz="4" w:space="0"/>
            </w:tcBorders>
            <w:vAlign w:val="center"/>
          </w:tcPr>
          <w:p w14:paraId="6FC83489">
            <w:pPr>
              <w:pStyle w:val="14"/>
              <w:spacing w:line="360" w:lineRule="exact"/>
              <w:jc w:val="center"/>
              <w:rPr>
                <w:rFonts w:ascii="仿宋" w:eastAsia="仿宋" w:cs="仿宋"/>
                <w:bCs/>
                <w:szCs w:val="24"/>
              </w:rPr>
            </w:pPr>
            <w:r>
              <w:rPr>
                <w:rFonts w:hint="eastAsia" w:ascii="仿宋" w:eastAsia="仿宋" w:cs="仿宋"/>
                <w:bCs/>
                <w:szCs w:val="24"/>
              </w:rPr>
              <w:t>信用查询</w:t>
            </w:r>
          </w:p>
        </w:tc>
        <w:tc>
          <w:tcPr>
            <w:tcW w:w="7605" w:type="dxa"/>
            <w:tcBorders>
              <w:top w:val="single" w:color="auto" w:sz="4" w:space="0"/>
              <w:left w:val="single" w:color="auto" w:sz="4" w:space="0"/>
              <w:bottom w:val="single" w:color="auto" w:sz="4" w:space="0"/>
              <w:right w:val="single" w:color="auto" w:sz="4" w:space="0"/>
            </w:tcBorders>
            <w:vAlign w:val="center"/>
          </w:tcPr>
          <w:p w14:paraId="5B82186E">
            <w:pPr>
              <w:snapToGrid w:val="0"/>
              <w:spacing w:line="360" w:lineRule="exact"/>
              <w:ind w:firstLine="480" w:firstLineChars="200"/>
              <w:rPr>
                <w:rFonts w:ascii="仿宋" w:eastAsia="仿宋" w:cs="仿宋"/>
                <w:color w:val="auto"/>
                <w:sz w:val="24"/>
                <w:szCs w:val="24"/>
              </w:rPr>
            </w:pPr>
            <w:r>
              <w:rPr>
                <w:rFonts w:hint="eastAsia" w:ascii="仿宋" w:eastAsia="仿宋" w:cs="仿宋"/>
                <w:color w:val="auto"/>
                <w:sz w:val="24"/>
                <w:szCs w:val="24"/>
              </w:rPr>
              <w:t>根据《关于在政府采购活动中查询及使用信用记录有关问题的通知》财库[2016]125号的规定：</w:t>
            </w:r>
          </w:p>
          <w:p w14:paraId="0DA26E62">
            <w:pPr>
              <w:snapToGrid w:val="0"/>
              <w:spacing w:line="360" w:lineRule="exact"/>
              <w:rPr>
                <w:rFonts w:ascii="仿宋" w:eastAsia="仿宋" w:cs="仿宋"/>
                <w:color w:val="auto"/>
                <w:sz w:val="24"/>
                <w:szCs w:val="24"/>
              </w:rPr>
            </w:pPr>
            <w:r>
              <w:rPr>
                <w:rFonts w:hint="eastAsia" w:ascii="仿宋" w:eastAsia="仿宋" w:cs="仿宋"/>
                <w:color w:val="auto"/>
                <w:sz w:val="24"/>
                <w:szCs w:val="24"/>
              </w:rPr>
              <w:t>（1）招标人或采购代理机构将对本项目供应商的信用记录进行查询。查询渠道为信用中国网站（www.creditchina.gov.cn）、中国政府采购网（www.ccgp.gov.cn）；</w:t>
            </w:r>
          </w:p>
          <w:p w14:paraId="623112C4">
            <w:pPr>
              <w:snapToGrid w:val="0"/>
              <w:spacing w:line="360" w:lineRule="exact"/>
              <w:ind w:firstLine="120" w:firstLineChars="50"/>
              <w:rPr>
                <w:rFonts w:ascii="仿宋" w:eastAsia="仿宋" w:cs="仿宋"/>
                <w:color w:val="auto"/>
                <w:sz w:val="24"/>
                <w:szCs w:val="24"/>
              </w:rPr>
            </w:pPr>
            <w:r>
              <w:rPr>
                <w:rFonts w:hint="eastAsia" w:ascii="仿宋" w:eastAsia="仿宋" w:cs="仿宋"/>
                <w:color w:val="auto"/>
                <w:sz w:val="24"/>
                <w:szCs w:val="24"/>
              </w:rPr>
              <w:t>（2）截止时点：提交投标文件（响应文件）截止时间前3年内；</w:t>
            </w:r>
          </w:p>
          <w:p w14:paraId="09AB1B32">
            <w:pPr>
              <w:snapToGrid w:val="0"/>
              <w:spacing w:line="360" w:lineRule="exact"/>
              <w:rPr>
                <w:rFonts w:ascii="仿宋" w:eastAsia="仿宋" w:cs="仿宋"/>
                <w:color w:val="auto"/>
                <w:sz w:val="24"/>
                <w:szCs w:val="24"/>
              </w:rPr>
            </w:pPr>
            <w:r>
              <w:rPr>
                <w:rFonts w:hint="eastAsia" w:ascii="仿宋" w:eastAsia="仿宋" w:cs="仿宋"/>
                <w:color w:val="auto"/>
                <w:sz w:val="24"/>
                <w:szCs w:val="24"/>
              </w:rPr>
              <w:t>（3）查询记录和证据的留存：信用信息查询记录和证据以网页截图等方式留存。</w:t>
            </w:r>
          </w:p>
          <w:p w14:paraId="0F05EE91">
            <w:pPr>
              <w:snapToGrid w:val="0"/>
              <w:spacing w:line="360" w:lineRule="exact"/>
              <w:rPr>
                <w:rFonts w:ascii="仿宋" w:eastAsia="仿宋" w:cs="仿宋"/>
                <w:color w:val="auto"/>
                <w:sz w:val="24"/>
                <w:szCs w:val="24"/>
              </w:rPr>
            </w:pPr>
            <w:r>
              <w:rPr>
                <w:rFonts w:hint="eastAsia" w:ascii="仿宋" w:eastAsia="仿宋" w:cs="仿宋"/>
                <w:color w:val="auto"/>
                <w:sz w:val="24"/>
                <w:szCs w:val="24"/>
              </w:rPr>
              <w:t>（4）使用规则：被列入失信被执行人、重大税收违法案件当事人名单、政府采购严重违法失信行为记录名单及其它不符合《中华人民共和国政府采购法》第二十二条规定条件的，其投标将被拒绝。</w:t>
            </w:r>
          </w:p>
          <w:p w14:paraId="44F1BF95">
            <w:pPr>
              <w:snapToGrid w:val="0"/>
              <w:spacing w:line="360" w:lineRule="exact"/>
              <w:rPr>
                <w:rFonts w:ascii="仿宋" w:eastAsia="仿宋" w:cs="仿宋"/>
                <w:color w:val="auto"/>
                <w:sz w:val="24"/>
                <w:szCs w:val="24"/>
              </w:rPr>
            </w:pPr>
            <w:r>
              <w:rPr>
                <w:rFonts w:hint="eastAsia" w:ascii="仿宋" w:eastAsia="仿宋" w:cs="仿宋"/>
                <w:color w:val="auto"/>
                <w:sz w:val="24"/>
                <w:szCs w:val="24"/>
              </w:rPr>
              <w:t>（5）联合体成员任意一方存在不良信用记录的，视同联合体存在不良信用记录。</w:t>
            </w:r>
          </w:p>
        </w:tc>
      </w:tr>
      <w:tr w14:paraId="7514E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vAlign w:val="center"/>
          </w:tcPr>
          <w:p w14:paraId="781987BE">
            <w:pPr>
              <w:pStyle w:val="14"/>
              <w:spacing w:line="360" w:lineRule="exact"/>
              <w:jc w:val="center"/>
              <w:rPr>
                <w:rFonts w:ascii="仿宋" w:eastAsia="仿宋" w:cs="仿宋"/>
                <w:bCs/>
                <w:szCs w:val="24"/>
              </w:rPr>
            </w:pPr>
            <w:r>
              <w:rPr>
                <w:rFonts w:hint="eastAsia" w:ascii="仿宋" w:eastAsia="仿宋" w:cs="仿宋"/>
                <w:bCs/>
                <w:szCs w:val="24"/>
              </w:rPr>
              <w:t>38</w:t>
            </w:r>
          </w:p>
        </w:tc>
        <w:tc>
          <w:tcPr>
            <w:tcW w:w="1760" w:type="dxa"/>
            <w:tcBorders>
              <w:top w:val="single" w:color="auto" w:sz="4" w:space="0"/>
              <w:left w:val="single" w:color="auto" w:sz="4" w:space="0"/>
              <w:bottom w:val="single" w:color="auto" w:sz="4" w:space="0"/>
              <w:right w:val="single" w:color="auto" w:sz="4" w:space="0"/>
            </w:tcBorders>
            <w:vAlign w:val="center"/>
          </w:tcPr>
          <w:p w14:paraId="19EBBFFC">
            <w:pPr>
              <w:pStyle w:val="14"/>
              <w:spacing w:line="360" w:lineRule="exact"/>
              <w:jc w:val="center"/>
              <w:rPr>
                <w:rFonts w:ascii="仿宋" w:eastAsia="仿宋" w:cs="仿宋"/>
                <w:bCs/>
                <w:szCs w:val="24"/>
              </w:rPr>
            </w:pPr>
            <w:r>
              <w:rPr>
                <w:rFonts w:hint="eastAsia" w:asci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vAlign w:val="center"/>
          </w:tcPr>
          <w:p w14:paraId="326EF8E7">
            <w:pPr>
              <w:snapToGrid w:val="0"/>
              <w:spacing w:line="360" w:lineRule="exact"/>
              <w:rPr>
                <w:rFonts w:hint="eastAsia" w:ascii="仿宋" w:eastAsia="仿宋" w:cs="仿宋"/>
                <w:color w:val="auto"/>
                <w:sz w:val="24"/>
                <w:szCs w:val="24"/>
              </w:rPr>
            </w:pPr>
            <w:r>
              <w:rPr>
                <w:rFonts w:hint="eastAsia" w:ascii="仿宋" w:eastAsia="仿宋" w:cs="仿宋"/>
                <w:color w:val="auto"/>
                <w:sz w:val="24"/>
                <w:szCs w:val="24"/>
              </w:rPr>
              <w:t>根据《关于印发中小企业划型标准规定的通知》（工信部联企业〔2011〕300号），本企业按所属行业为</w:t>
            </w:r>
            <w:r>
              <w:rPr>
                <w:rFonts w:hint="eastAsia" w:ascii="仿宋" w:eastAsia="仿宋" w:cs="仿宋"/>
                <w:color w:val="0000FF"/>
                <w:sz w:val="24"/>
                <w:szCs w:val="24"/>
              </w:rPr>
              <w:t>“</w:t>
            </w:r>
            <w:r>
              <w:rPr>
                <w:rFonts w:hint="eastAsia" w:ascii="仿宋" w:eastAsia="仿宋" w:cs="仿宋"/>
                <w:color w:val="0000FF"/>
                <w:sz w:val="24"/>
                <w:szCs w:val="24"/>
                <w:u w:val="single"/>
              </w:rPr>
              <w:t>工业</w:t>
            </w:r>
            <w:r>
              <w:rPr>
                <w:rFonts w:hint="eastAsia" w:ascii="仿宋" w:eastAsia="仿宋" w:cs="仿宋"/>
                <w:color w:val="0000FF"/>
                <w:sz w:val="24"/>
                <w:szCs w:val="24"/>
              </w:rPr>
              <w:t>”</w:t>
            </w:r>
            <w:r>
              <w:rPr>
                <w:rFonts w:hint="eastAsia" w:ascii="仿宋" w:eastAsia="仿宋" w:cs="仿宋"/>
                <w:color w:val="auto"/>
                <w:sz w:val="24"/>
                <w:szCs w:val="24"/>
              </w:rPr>
              <w:t>。</w:t>
            </w:r>
          </w:p>
          <w:p w14:paraId="5576C52D">
            <w:pPr>
              <w:snapToGrid w:val="0"/>
              <w:spacing w:line="360" w:lineRule="exact"/>
              <w:rPr>
                <w:rFonts w:ascii="仿宋" w:eastAsia="仿宋" w:cs="仿宋"/>
                <w:color w:val="auto"/>
                <w:sz w:val="24"/>
                <w:szCs w:val="24"/>
              </w:rPr>
            </w:pPr>
            <w:r>
              <w:rPr>
                <w:rFonts w:hint="eastAsia" w:ascii="仿宋" w:hAnsi="仿宋" w:eastAsia="仿宋" w:cs="仿宋"/>
                <w:b/>
                <w:bCs/>
                <w:color w:val="0000FF"/>
                <w:kern w:val="0"/>
                <w:sz w:val="24"/>
                <w:szCs w:val="24"/>
                <w:highlight w:val="none"/>
                <w:lang w:eastAsia="zh-CN"/>
              </w:rPr>
              <w:t>工业：</w:t>
            </w:r>
            <w:r>
              <w:rPr>
                <w:rFonts w:hint="eastAsia" w:ascii="仿宋" w:hAnsi="仿宋" w:eastAsia="仿宋" w:cs="仿宋"/>
                <w:b/>
                <w:bCs/>
                <w:color w:val="0000FF"/>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F80D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12E2EFD">
            <w:pPr>
              <w:pStyle w:val="14"/>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Cs/>
                <w:color w:val="auto"/>
                <w:szCs w:val="24"/>
                <w:lang w:val="en-US" w:eastAsia="zh-CN"/>
              </w:rPr>
            </w:pPr>
            <w:r>
              <w:rPr>
                <w:rFonts w:hint="eastAsia" w:ascii="仿宋" w:hAnsi="仿宋" w:eastAsia="仿宋" w:cs="仿宋"/>
                <w:bCs/>
                <w:color w:val="auto"/>
                <w:szCs w:val="24"/>
                <w:lang w:val="en-US" w:eastAsia="zh-CN"/>
              </w:rPr>
              <w:t>39</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3B186CAE">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szCs w:val="24"/>
                <w:highlight w:val="none"/>
              </w:rPr>
              <w:t>是否允许采购进口产品</w:t>
            </w:r>
          </w:p>
        </w:tc>
        <w:tc>
          <w:tcPr>
            <w:tcW w:w="7605" w:type="dxa"/>
            <w:tcBorders>
              <w:top w:val="single" w:color="auto" w:sz="4" w:space="0"/>
              <w:left w:val="single" w:color="auto" w:sz="4" w:space="0"/>
              <w:bottom w:val="single" w:color="auto" w:sz="4" w:space="0"/>
              <w:right w:val="single" w:color="auto" w:sz="4" w:space="0"/>
            </w:tcBorders>
            <w:shd w:val="clear" w:color="auto" w:fill="auto"/>
            <w:vAlign w:val="center"/>
          </w:tcPr>
          <w:p w14:paraId="5C75D3B2">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0000FF"/>
                <w:szCs w:val="24"/>
                <w:highlight w:val="none"/>
                <w:lang w:val="zh-CN"/>
              </w:rPr>
            </w:pPr>
            <w:r>
              <w:rPr>
                <w:rFonts w:hint="eastAsia" w:ascii="仿宋" w:hAnsi="仿宋" w:eastAsia="仿宋" w:cs="仿宋"/>
                <w:bCs/>
                <w:color w:val="0000FF"/>
                <w:szCs w:val="24"/>
                <w:highlight w:val="none"/>
                <w:lang w:val="en-US" w:eastAsia="zh-CN"/>
              </w:rPr>
              <w:t></w:t>
            </w:r>
            <w:r>
              <w:rPr>
                <w:rFonts w:hint="eastAsia" w:ascii="仿宋" w:hAnsi="仿宋" w:eastAsia="仿宋" w:cs="仿宋"/>
                <w:b/>
                <w:bCs w:val="0"/>
                <w:color w:val="0000FF"/>
                <w:szCs w:val="24"/>
                <w:highlight w:val="none"/>
                <w:lang w:val="en-US" w:eastAsia="zh-CN"/>
              </w:rPr>
              <w:sym w:font="Wingdings 2" w:char="0052"/>
            </w:r>
            <w:r>
              <w:rPr>
                <w:rFonts w:hint="eastAsia" w:ascii="仿宋" w:hAnsi="仿宋" w:eastAsia="仿宋" w:cs="仿宋"/>
                <w:bCs/>
                <w:color w:val="0000FF"/>
                <w:szCs w:val="24"/>
                <w:highlight w:val="none"/>
                <w:lang w:val="en-US" w:eastAsia="zh-CN"/>
              </w:rPr>
              <w:t xml:space="preserve">本项目不允许采购进口产品（配件、零部件除外）。 </w:t>
            </w:r>
          </w:p>
          <w:p w14:paraId="74810DBA">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0000FF"/>
                <w:kern w:val="2"/>
                <w:sz w:val="24"/>
                <w:szCs w:val="24"/>
                <w:highlight w:val="none"/>
                <w:lang w:val="zh-CN" w:eastAsia="zh-CN" w:bidi="ar-SA"/>
              </w:rPr>
            </w:pPr>
            <w:r>
              <w:rPr>
                <w:rFonts w:hint="default" w:ascii="仿宋" w:hAnsi="仿宋" w:eastAsia="仿宋" w:cs="仿宋"/>
                <w:bCs/>
                <w:color w:val="0000FF"/>
                <w:szCs w:val="24"/>
                <w:highlight w:val="none"/>
                <w:lang w:val="en-US" w:eastAsia="zh-CN"/>
              </w:rPr>
              <w:t></w:t>
            </w:r>
            <w:r>
              <w:rPr>
                <w:rFonts w:hint="default" w:ascii="仿宋" w:hAnsi="仿宋" w:eastAsia="仿宋" w:cs="仿宋"/>
                <w:bCs/>
                <w:color w:val="0000FF"/>
                <w:szCs w:val="24"/>
                <w:highlight w:val="none"/>
                <w:lang w:val="en-US" w:eastAsia="zh-CN"/>
              </w:rPr>
              <w:sym w:font="Wingdings 2" w:char="00A3"/>
            </w:r>
            <w:r>
              <w:rPr>
                <w:rFonts w:hint="default" w:ascii="仿宋" w:hAnsi="仿宋" w:eastAsia="仿宋" w:cs="仿宋"/>
                <w:bCs/>
                <w:color w:val="0000FF"/>
                <w:szCs w:val="24"/>
                <w:highlight w:val="none"/>
                <w:lang w:val="en-US" w:eastAsia="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022E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0B4F907">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bCs w:val="0"/>
                <w:color w:val="0000FF"/>
                <w:kern w:val="2"/>
                <w:sz w:val="24"/>
                <w:szCs w:val="24"/>
                <w:highlight w:val="yellow"/>
                <w:lang w:val="en-US" w:eastAsia="zh-CN" w:bidi="ar-SA"/>
              </w:rPr>
            </w:pPr>
            <w:r>
              <w:rPr>
                <w:rFonts w:hint="eastAsia" w:ascii="仿宋" w:hAnsi="仿宋" w:eastAsia="仿宋" w:cs="仿宋"/>
                <w:bCs/>
                <w:color w:val="auto"/>
                <w:szCs w:val="24"/>
                <w:lang w:val="en-US" w:eastAsia="zh-CN"/>
              </w:rPr>
              <w:t>40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0C8507CF">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bCs w:val="0"/>
                <w:color w:val="0000FF"/>
                <w:kern w:val="2"/>
                <w:sz w:val="24"/>
                <w:szCs w:val="24"/>
                <w:highlight w:val="yellow"/>
                <w:lang w:val="en-US" w:eastAsia="zh-CN" w:bidi="ar-SA"/>
              </w:rPr>
            </w:pPr>
            <w:r>
              <w:rPr>
                <w:rFonts w:hint="eastAsia" w:ascii="仿宋" w:hAnsi="仿宋" w:eastAsia="仿宋" w:cs="仿宋"/>
                <w:bCs/>
                <w:color w:val="auto"/>
                <w:szCs w:val="24"/>
              </w:rPr>
              <w:t>其他</w:t>
            </w:r>
          </w:p>
        </w:tc>
        <w:tc>
          <w:tcPr>
            <w:tcW w:w="7605" w:type="dxa"/>
            <w:tcBorders>
              <w:top w:val="single" w:color="auto" w:sz="4" w:space="0"/>
              <w:left w:val="single" w:color="auto" w:sz="4" w:space="0"/>
              <w:bottom w:val="single" w:color="auto" w:sz="4" w:space="0"/>
              <w:right w:val="single" w:color="auto" w:sz="4" w:space="0"/>
            </w:tcBorders>
            <w:shd w:val="clear" w:color="auto" w:fill="auto"/>
            <w:vAlign w:val="center"/>
          </w:tcPr>
          <w:p w14:paraId="1481A791">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zh-CN"/>
              </w:rPr>
              <w:t>本前附表内容与投标人须知正文不符的，以本前附表为准。</w:t>
            </w:r>
          </w:p>
          <w:p w14:paraId="6D9C0805">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
                <w:bCs w:val="0"/>
                <w:color w:val="0000FF"/>
                <w:kern w:val="2"/>
                <w:sz w:val="24"/>
                <w:szCs w:val="20"/>
                <w:highlight w:val="yellow"/>
                <w:lang w:val="en-US" w:eastAsia="zh-CN" w:bidi="ar-SA"/>
              </w:rPr>
            </w:pPr>
            <w:r>
              <w:rPr>
                <w:rFonts w:hint="eastAsia" w:ascii="仿宋" w:hAnsi="仿宋" w:eastAsia="仿宋" w:cs="仿宋"/>
                <w:bCs/>
                <w:color w:val="auto"/>
                <w:szCs w:val="24"/>
                <w:lang w:val="zh-CN"/>
              </w:rPr>
              <w:t>凡涉及本采购文件的解释权均属于采购人和采购代理机构。</w:t>
            </w:r>
          </w:p>
        </w:tc>
      </w:tr>
    </w:tbl>
    <w:p w14:paraId="4CABDC91">
      <w:pPr>
        <w:pStyle w:val="3"/>
        <w:spacing w:before="0" w:after="0" w:line="420" w:lineRule="exact"/>
        <w:rPr>
          <w:rFonts w:ascii="仿宋" w:eastAsia="仿宋" w:cs="仿宋"/>
          <w:sz w:val="30"/>
          <w:szCs w:val="30"/>
        </w:rPr>
      </w:pPr>
    </w:p>
    <w:p w14:paraId="1B7B9554">
      <w:pPr>
        <w:rPr>
          <w:rFonts w:ascii="仿宋" w:eastAsia="仿宋" w:cs="仿宋"/>
          <w:color w:val="auto"/>
          <w:sz w:val="30"/>
          <w:szCs w:val="30"/>
        </w:rPr>
      </w:pPr>
    </w:p>
    <w:p w14:paraId="22BF1620">
      <w:pPr>
        <w:pStyle w:val="11"/>
      </w:pPr>
    </w:p>
    <w:p w14:paraId="0BADA960">
      <w:pPr>
        <w:pStyle w:val="30"/>
        <w:spacing w:line="312" w:lineRule="auto"/>
        <w:ind w:left="420" w:firstLine="602"/>
        <w:rPr>
          <w:rFonts w:asci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3"/>
    <w:p w14:paraId="4B4687A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一、总则</w:t>
      </w:r>
    </w:p>
    <w:p w14:paraId="04CE6F8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position w:val="1"/>
          <w:sz w:val="24"/>
          <w:szCs w:val="24"/>
        </w:rPr>
        <w:t>（</w:t>
      </w:r>
      <w:r>
        <w:rPr>
          <w:rFonts w:hint="eastAsia" w:ascii="仿宋" w:hAnsi="仿宋" w:eastAsia="仿宋" w:cs="仿宋"/>
          <w:spacing w:val="-68"/>
          <w:position w:val="1"/>
          <w:sz w:val="24"/>
          <w:szCs w:val="24"/>
        </w:rPr>
        <w:t xml:space="preserve"> </w:t>
      </w:r>
      <w:r>
        <w:rPr>
          <w:rFonts w:hint="eastAsia" w:ascii="仿宋" w:hAnsi="仿宋" w:eastAsia="仿宋" w:cs="仿宋"/>
          <w:b/>
          <w:bCs/>
          <w:spacing w:val="-14"/>
          <w:position w:val="1"/>
          <w:sz w:val="24"/>
          <w:szCs w:val="24"/>
        </w:rPr>
        <w:t>一）定义</w:t>
      </w:r>
    </w:p>
    <w:p w14:paraId="132A0EC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w:t>
      </w:r>
      <w:r>
        <w:rPr>
          <w:rFonts w:hint="eastAsia" w:ascii="仿宋" w:hAnsi="仿宋" w:eastAsia="仿宋" w:cs="仿宋"/>
          <w:spacing w:val="-21"/>
          <w:sz w:val="24"/>
          <w:szCs w:val="24"/>
        </w:rPr>
        <w:t xml:space="preserve"> </w:t>
      </w:r>
      <w:r>
        <w:rPr>
          <w:rFonts w:hint="eastAsia" w:ascii="仿宋" w:hAnsi="仿宋" w:eastAsia="仿宋" w:cs="仿宋"/>
          <w:spacing w:val="-21"/>
          <w:sz w:val="24"/>
          <w:szCs w:val="24"/>
          <w:lang w:eastAsia="zh-CN"/>
        </w:rPr>
        <w:t>：</w:t>
      </w:r>
      <w:r>
        <w:rPr>
          <w:rFonts w:hint="eastAsia" w:ascii="仿宋" w:hAnsi="仿宋" w:eastAsia="仿宋" w:cs="仿宋"/>
          <w:spacing w:val="-3"/>
          <w:sz w:val="24"/>
          <w:szCs w:val="24"/>
        </w:rPr>
        <w:t>系指投标人须知前附表说明的单位，在招标</w:t>
      </w:r>
      <w:r>
        <w:rPr>
          <w:rFonts w:hint="eastAsia" w:ascii="仿宋" w:hAnsi="仿宋" w:eastAsia="仿宋" w:cs="仿宋"/>
          <w:spacing w:val="-4"/>
          <w:sz w:val="24"/>
          <w:szCs w:val="24"/>
        </w:rPr>
        <w:t>采购阶段称</w:t>
      </w:r>
      <w:r>
        <w:rPr>
          <w:rFonts w:hint="eastAsia" w:ascii="仿宋" w:hAnsi="仿宋" w:eastAsia="仿宋" w:cs="仿宋"/>
          <w:spacing w:val="-1"/>
          <w:sz w:val="24"/>
          <w:szCs w:val="24"/>
        </w:rPr>
        <w:t>为采购人，在签订和执行合同阶段或被称为建设单位或业主或甲方或买方。为便于招标文件及附件直接转化为经济合同条款，在招标文件中被称为建设单位或业主或甲方或买方的招标投标阶段均指采购人。</w:t>
      </w:r>
    </w:p>
    <w:p w14:paraId="02A0BA34">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采购代理机构”</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：系指依法取得招标（采购</w:t>
      </w:r>
      <w:r>
        <w:rPr>
          <w:rFonts w:hint="eastAsia" w:ascii="仿宋" w:hAnsi="仿宋" w:eastAsia="仿宋" w:cs="仿宋"/>
          <w:spacing w:val="-3"/>
          <w:sz w:val="24"/>
          <w:szCs w:val="24"/>
        </w:rPr>
        <w:t>）资格、从事招标（采</w:t>
      </w:r>
      <w:r>
        <w:rPr>
          <w:rFonts w:hint="eastAsia" w:ascii="仿宋" w:hAnsi="仿宋" w:eastAsia="仿宋" w:cs="仿宋"/>
          <w:spacing w:val="-1"/>
          <w:sz w:val="24"/>
          <w:szCs w:val="24"/>
        </w:rPr>
        <w:t>购）代理业务并提供相关服务的专业机构，本文特指</w:t>
      </w:r>
      <w:r>
        <w:rPr>
          <w:rFonts w:hint="eastAsia" w:ascii="仿宋" w:hAnsi="仿宋" w:eastAsia="仿宋" w:cs="仿宋"/>
          <w:color w:val="0000FF"/>
          <w:spacing w:val="-1"/>
          <w:sz w:val="24"/>
          <w:szCs w:val="24"/>
          <w:u w:val="single" w:color="auto"/>
        </w:rPr>
        <w:t>金华同慷建设管理咨询有限公司</w:t>
      </w:r>
      <w:r>
        <w:rPr>
          <w:rFonts w:hint="eastAsia" w:ascii="仿宋" w:hAnsi="仿宋" w:eastAsia="仿宋" w:cs="仿宋"/>
          <w:spacing w:val="-1"/>
          <w:sz w:val="24"/>
          <w:szCs w:val="24"/>
        </w:rPr>
        <w:t>。是本次整个采购活动的组织者，依法负责编制和发布招标文件，</w:t>
      </w:r>
      <w:r>
        <w:rPr>
          <w:rFonts w:hint="eastAsia" w:ascii="仿宋" w:hAnsi="仿宋" w:eastAsia="仿宋" w:cs="仿宋"/>
          <w:spacing w:val="-2"/>
          <w:sz w:val="24"/>
          <w:szCs w:val="24"/>
        </w:rPr>
        <w:t>对招标文件拥有最终的解释权。</w:t>
      </w:r>
    </w:p>
    <w:p w14:paraId="3CC0D68B">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系指响应招标、参加投标竞争的法人、其他组织或者自然</w:t>
      </w:r>
      <w:r>
        <w:rPr>
          <w:rFonts w:hint="eastAsia" w:ascii="仿宋" w:hAnsi="仿宋" w:eastAsia="仿宋" w:cs="仿宋"/>
          <w:spacing w:val="-9"/>
          <w:sz w:val="24"/>
          <w:szCs w:val="24"/>
        </w:rPr>
        <w:t>人。</w:t>
      </w:r>
    </w:p>
    <w:p w14:paraId="5B95D2D6">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监督管理部门”</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：系指负责对采购人、采购代理</w:t>
      </w:r>
      <w:r>
        <w:rPr>
          <w:rFonts w:hint="eastAsia" w:ascii="仿宋" w:hAnsi="仿宋" w:eastAsia="仿宋" w:cs="仿宋"/>
          <w:spacing w:val="-3"/>
          <w:sz w:val="24"/>
          <w:szCs w:val="24"/>
        </w:rPr>
        <w:t>机构、投标人（投</w:t>
      </w:r>
      <w:r>
        <w:rPr>
          <w:rFonts w:hint="eastAsia" w:ascii="仿宋" w:hAnsi="仿宋" w:eastAsia="仿宋" w:cs="仿宋"/>
          <w:spacing w:val="-1"/>
          <w:sz w:val="24"/>
          <w:szCs w:val="24"/>
        </w:rPr>
        <w:t>标单位）和评审专家进行监督检查的相关部门。</w:t>
      </w:r>
    </w:p>
    <w:p w14:paraId="1E3621D5">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项目”</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系指投标人按招标采购文件规定向采购人提供的</w:t>
      </w:r>
      <w:r>
        <w:rPr>
          <w:rFonts w:hint="eastAsia" w:ascii="仿宋" w:hAnsi="仿宋" w:eastAsia="仿宋" w:cs="仿宋"/>
          <w:spacing w:val="-3"/>
          <w:sz w:val="24"/>
          <w:szCs w:val="24"/>
        </w:rPr>
        <w:t>产品和服</w:t>
      </w:r>
      <w:r>
        <w:rPr>
          <w:rFonts w:hint="eastAsia" w:ascii="仿宋" w:hAnsi="仿宋" w:eastAsia="仿宋" w:cs="仿宋"/>
          <w:spacing w:val="-10"/>
          <w:sz w:val="24"/>
          <w:szCs w:val="24"/>
        </w:rPr>
        <w:t>务。</w:t>
      </w:r>
    </w:p>
    <w:p w14:paraId="1E926F69">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产品”</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系指供方按招标采购文件规定，须向采购人提供的一切设备、</w:t>
      </w:r>
      <w:r>
        <w:rPr>
          <w:rFonts w:hint="eastAsia" w:ascii="仿宋" w:hAnsi="仿宋" w:eastAsia="仿宋" w:cs="仿宋"/>
          <w:spacing w:val="-1"/>
          <w:sz w:val="24"/>
          <w:szCs w:val="24"/>
        </w:rPr>
        <w:t>保险、税金、备品备件、工具、手册及其他有关技术资料和材料。</w:t>
      </w:r>
    </w:p>
    <w:p w14:paraId="0D22C291">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服务”</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系指招标采购文件规定投标人须承担的安装、调试、技术协</w:t>
      </w:r>
      <w:r>
        <w:rPr>
          <w:rFonts w:hint="eastAsia" w:ascii="仿宋" w:hAnsi="仿宋" w:eastAsia="仿宋" w:cs="仿宋"/>
          <w:spacing w:val="-1"/>
          <w:sz w:val="24"/>
          <w:szCs w:val="24"/>
        </w:rPr>
        <w:t>助、校准、培训、技术指导以及其他类似的义务。</w:t>
      </w:r>
    </w:p>
    <w:p w14:paraId="2938FC86">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8.“ 日期、天数、时间”</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：除非本招标文件另有规定，</w:t>
      </w:r>
      <w:r>
        <w:rPr>
          <w:rFonts w:hint="eastAsia" w:ascii="仿宋" w:hAnsi="仿宋" w:eastAsia="仿宋" w:cs="仿宋"/>
          <w:spacing w:val="-8"/>
          <w:sz w:val="24"/>
          <w:szCs w:val="24"/>
        </w:rPr>
        <w:t>均为公历</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日（天）</w:t>
      </w:r>
      <w:r>
        <w:rPr>
          <w:rFonts w:hint="eastAsia" w:ascii="仿宋" w:hAnsi="仿宋" w:eastAsia="仿宋" w:cs="仿宋"/>
          <w:spacing w:val="-2"/>
          <w:sz w:val="24"/>
          <w:szCs w:val="24"/>
        </w:rPr>
        <w:t>及北京时间。</w:t>
      </w:r>
    </w:p>
    <w:p w14:paraId="781B97E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9.“</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书面形式”包括信函、传真、电报、邮件等。</w:t>
      </w:r>
    </w:p>
    <w:p w14:paraId="2B91D55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10.“</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公章”</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系指单位法定名称章。</w:t>
      </w:r>
    </w:p>
    <w:p w14:paraId="307CFFB4">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电子交易平台：系指本项目政府采购活动所依托的政府采购云平</w:t>
      </w:r>
      <w:r>
        <w:rPr>
          <w:rFonts w:hint="eastAsia" w:ascii="仿宋" w:hAnsi="仿宋" w:eastAsia="仿宋" w:cs="仿宋"/>
          <w:spacing w:val="-24"/>
          <w:sz w:val="24"/>
          <w:szCs w:val="24"/>
        </w:rPr>
        <w:t>台。</w:t>
      </w:r>
    </w:p>
    <w:p w14:paraId="245654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系指实质性要求条款。</w:t>
      </w:r>
    </w:p>
    <w:p w14:paraId="2708E28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二）采购项目概况</w:t>
      </w:r>
    </w:p>
    <w:p w14:paraId="1D85D29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1.根据《中华人民共和国政府采购法》、《中华人民共和国政府采购法实施条例》</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政府采购货物和服务招标投标管理办法》、《浙江省财政厅关于进一步规范政府购买服务采购管理的通知》、《浙江省政府采购项目电子交易管理暂行办法》等有关法律、法规和规章的规定，本采购项目已具备采购条件，现对本项目进行采购。</w:t>
      </w:r>
    </w:p>
    <w:p w14:paraId="0D276F0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2.采购人：见投标人须知前附表。</w:t>
      </w:r>
    </w:p>
    <w:p w14:paraId="46D0D44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15"/>
          <w:sz w:val="24"/>
          <w:szCs w:val="24"/>
        </w:rPr>
      </w:pPr>
      <w:r>
        <w:rPr>
          <w:rFonts w:hint="eastAsia" w:ascii="仿宋" w:hAnsi="仿宋" w:eastAsia="仿宋" w:cs="仿宋"/>
          <w:spacing w:val="-3"/>
          <w:sz w:val="24"/>
          <w:szCs w:val="24"/>
        </w:rPr>
        <w:t>3.采购代理机构：见投标人须知前附表。</w:t>
      </w:r>
      <w:r>
        <w:rPr>
          <w:rFonts w:hint="eastAsia" w:ascii="仿宋" w:hAnsi="仿宋" w:eastAsia="仿宋" w:cs="仿宋"/>
          <w:spacing w:val="15"/>
          <w:sz w:val="24"/>
          <w:szCs w:val="24"/>
        </w:rPr>
        <w:t xml:space="preserve"> </w:t>
      </w:r>
    </w:p>
    <w:p w14:paraId="463624C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2"/>
          <w:sz w:val="24"/>
          <w:szCs w:val="24"/>
        </w:rPr>
        <w:t>4.采购项目名称：见投标人须知前附表。</w:t>
      </w:r>
      <w:r>
        <w:rPr>
          <w:rFonts w:hint="eastAsia" w:ascii="仿宋" w:hAnsi="仿宋" w:eastAsia="仿宋" w:cs="仿宋"/>
          <w:spacing w:val="3"/>
          <w:sz w:val="24"/>
          <w:szCs w:val="24"/>
        </w:rPr>
        <w:t xml:space="preserve"> </w:t>
      </w:r>
    </w:p>
    <w:p w14:paraId="7EA86D1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5.项</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目地点：见投标人须知前附表。</w:t>
      </w:r>
    </w:p>
    <w:p w14:paraId="62C263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6.项</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目属性及所属行业：见投标人须知前附表。</w:t>
      </w:r>
    </w:p>
    <w:p w14:paraId="3FCC760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59"/>
          <w:sz w:val="24"/>
          <w:szCs w:val="24"/>
        </w:rPr>
        <w:t xml:space="preserve"> </w:t>
      </w:r>
      <w:r>
        <w:rPr>
          <w:rFonts w:hint="eastAsia" w:ascii="仿宋" w:hAnsi="仿宋" w:eastAsia="仿宋" w:cs="仿宋"/>
          <w:b/>
          <w:bCs/>
          <w:spacing w:val="-6"/>
          <w:sz w:val="24"/>
          <w:szCs w:val="24"/>
        </w:rPr>
        <w:t>三）采购项目的资金来源和付款单位</w:t>
      </w:r>
    </w:p>
    <w:p w14:paraId="0008578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1.资金来源：见投标人须知前附表。</w:t>
      </w:r>
    </w:p>
    <w:p w14:paraId="5C924C8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2.付款单位：见投标人须知前附表。</w:t>
      </w:r>
    </w:p>
    <w:p w14:paraId="396FAB8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46"/>
          <w:sz w:val="24"/>
          <w:szCs w:val="24"/>
        </w:rPr>
        <w:t xml:space="preserve"> </w:t>
      </w:r>
      <w:r>
        <w:rPr>
          <w:rFonts w:hint="eastAsia" w:ascii="仿宋" w:hAnsi="仿宋" w:eastAsia="仿宋" w:cs="仿宋"/>
          <w:b/>
          <w:bCs/>
          <w:spacing w:val="-10"/>
          <w:sz w:val="24"/>
          <w:szCs w:val="24"/>
        </w:rPr>
        <w:t>四）投标人资格要求</w:t>
      </w:r>
    </w:p>
    <w:p w14:paraId="772F359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1.投标人应具备承担本采购项目资格（资质）条件、能力和</w:t>
      </w:r>
      <w:r>
        <w:rPr>
          <w:rFonts w:hint="eastAsia" w:ascii="仿宋" w:hAnsi="仿宋" w:eastAsia="仿宋" w:cs="仿宋"/>
          <w:spacing w:val="-2"/>
          <w:sz w:val="24"/>
          <w:szCs w:val="24"/>
        </w:rPr>
        <w:t>信誉；</w:t>
      </w:r>
    </w:p>
    <w:p w14:paraId="7DD13489">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金融、保险、通讯等特定行业的全国性企业所设立的区域性分支机构，</w:t>
      </w:r>
      <w:r>
        <w:rPr>
          <w:rFonts w:hint="eastAsia" w:ascii="仿宋" w:hAnsi="仿宋" w:eastAsia="仿宋" w:cs="仿宋"/>
          <w:spacing w:val="-3"/>
          <w:sz w:val="24"/>
          <w:szCs w:val="24"/>
        </w:rPr>
        <w:t>如果已经依法办理了工商、税务和社保登记手续，并且获得总公司（</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总机</w:t>
      </w:r>
      <w:r>
        <w:rPr>
          <w:rFonts w:hint="eastAsia" w:ascii="仿宋" w:hAnsi="仿宋" w:eastAsia="仿宋" w:cs="仿宋"/>
          <w:spacing w:val="-1"/>
          <w:sz w:val="24"/>
          <w:szCs w:val="24"/>
        </w:rPr>
        <w:t>构）授权（在投标文件中提供相关材料</w:t>
      </w:r>
      <w:r>
        <w:rPr>
          <w:rFonts w:hint="eastAsia" w:ascii="仿宋" w:hAnsi="仿宋" w:eastAsia="仿宋" w:cs="仿宋"/>
          <w:spacing w:val="8"/>
          <w:sz w:val="24"/>
          <w:szCs w:val="24"/>
        </w:rPr>
        <w:t>），</w:t>
      </w:r>
      <w:r>
        <w:rPr>
          <w:rFonts w:hint="eastAsia" w:ascii="仿宋" w:hAnsi="仿宋" w:eastAsia="仿宋" w:cs="仿宋"/>
          <w:spacing w:val="-1"/>
          <w:sz w:val="24"/>
          <w:szCs w:val="24"/>
        </w:rPr>
        <w:t>证明其具备实际</w:t>
      </w:r>
      <w:r>
        <w:rPr>
          <w:rFonts w:hint="eastAsia" w:ascii="仿宋" w:hAnsi="仿宋" w:eastAsia="仿宋" w:cs="仿宋"/>
          <w:spacing w:val="-2"/>
          <w:sz w:val="24"/>
          <w:szCs w:val="24"/>
        </w:rPr>
        <w:t>承担责任的能</w:t>
      </w:r>
      <w:r>
        <w:rPr>
          <w:rFonts w:hint="eastAsia" w:ascii="仿宋" w:hAnsi="仿宋" w:eastAsia="仿宋" w:cs="仿宋"/>
          <w:spacing w:val="-1"/>
          <w:sz w:val="24"/>
          <w:szCs w:val="24"/>
        </w:rPr>
        <w:t>力和法定的缔结合同能力，可以独立参加政府采购活动，由单位负责人签</w:t>
      </w:r>
      <w:r>
        <w:rPr>
          <w:rFonts w:hint="eastAsia" w:ascii="仿宋" w:hAnsi="仿宋" w:eastAsia="仿宋" w:cs="仿宋"/>
          <w:spacing w:val="-2"/>
          <w:sz w:val="24"/>
          <w:szCs w:val="24"/>
        </w:rPr>
        <w:t>署相关文件材料。</w:t>
      </w:r>
    </w:p>
    <w:p w14:paraId="3B820825">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2.如以联合体形式参加政府采购活动的，联合体各方应当指定牵头人，</w:t>
      </w:r>
      <w:r>
        <w:rPr>
          <w:rFonts w:hint="eastAsia" w:ascii="仿宋" w:hAnsi="仿宋" w:eastAsia="仿宋" w:cs="仿宋"/>
          <w:spacing w:val="1"/>
          <w:sz w:val="24"/>
          <w:szCs w:val="24"/>
        </w:rPr>
        <w:t>授权其代表所有联合体成员负责投标和合同实施阶段的主办、协调工作，</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并应当向采购代理机构提交由所有联合体成</w:t>
      </w:r>
      <w:r>
        <w:rPr>
          <w:rFonts w:hint="eastAsia" w:ascii="仿宋" w:hAnsi="仿宋" w:eastAsia="仿宋" w:cs="仿宋"/>
          <w:spacing w:val="8"/>
          <w:sz w:val="24"/>
          <w:szCs w:val="24"/>
        </w:rPr>
        <w:t>员各方法定代表人签署的授</w:t>
      </w:r>
      <w:r>
        <w:rPr>
          <w:rFonts w:hint="eastAsia" w:ascii="仿宋" w:hAnsi="仿宋" w:eastAsia="仿宋" w:cs="仿宋"/>
          <w:sz w:val="24"/>
          <w:szCs w:val="24"/>
        </w:rPr>
        <w:t>权书，同时应当提交联合体协议，载明联合</w:t>
      </w:r>
      <w:r>
        <w:rPr>
          <w:rFonts w:hint="eastAsia" w:ascii="仿宋" w:hAnsi="仿宋" w:eastAsia="仿宋" w:cs="仿宋"/>
          <w:spacing w:val="-1"/>
          <w:sz w:val="24"/>
          <w:szCs w:val="24"/>
        </w:rPr>
        <w:t>体各方承担的工作和义务。联</w:t>
      </w:r>
      <w:r>
        <w:rPr>
          <w:rFonts w:hint="eastAsia" w:ascii="仿宋" w:hAnsi="仿宋" w:eastAsia="仿宋" w:cs="仿宋"/>
          <w:sz w:val="24"/>
          <w:szCs w:val="24"/>
        </w:rPr>
        <w:t>合体协议中应当注明由联合体各成员方共同</w:t>
      </w:r>
      <w:r>
        <w:rPr>
          <w:rFonts w:hint="eastAsia" w:ascii="仿宋" w:hAnsi="仿宋" w:eastAsia="仿宋" w:cs="仿宋"/>
          <w:spacing w:val="-1"/>
          <w:sz w:val="24"/>
          <w:szCs w:val="24"/>
        </w:rPr>
        <w:t>与采购人签订合同，并就采购合同约定的事项对采购人承担连带责任。</w:t>
      </w:r>
    </w:p>
    <w:p w14:paraId="51261D5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3.联合体各方不得再以自</w:t>
      </w:r>
      <w:r>
        <w:rPr>
          <w:rFonts w:hint="eastAsia" w:ascii="仿宋" w:hAnsi="仿宋" w:eastAsia="仿宋" w:cs="仿宋"/>
          <w:spacing w:val="-81"/>
          <w:sz w:val="24"/>
          <w:szCs w:val="24"/>
        </w:rPr>
        <w:t xml:space="preserve"> </w:t>
      </w:r>
      <w:r>
        <w:rPr>
          <w:rFonts w:hint="eastAsia" w:ascii="仿宋" w:hAnsi="仿宋" w:eastAsia="仿宋" w:cs="仿宋"/>
          <w:sz w:val="24"/>
          <w:szCs w:val="24"/>
        </w:rPr>
        <w:t>己名义单独或参加其他联合体在</w:t>
      </w:r>
      <w:r>
        <w:rPr>
          <w:rFonts w:hint="eastAsia" w:ascii="仿宋" w:hAnsi="仿宋" w:eastAsia="仿宋" w:cs="仿宋"/>
          <w:spacing w:val="-1"/>
          <w:sz w:val="24"/>
          <w:szCs w:val="24"/>
        </w:rPr>
        <w:t>本采购项</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目</w:t>
      </w:r>
      <w:r>
        <w:rPr>
          <w:rFonts w:hint="eastAsia" w:ascii="仿宋" w:hAnsi="仿宋" w:eastAsia="仿宋" w:cs="仿宋"/>
          <w:spacing w:val="-4"/>
          <w:sz w:val="24"/>
          <w:szCs w:val="24"/>
        </w:rPr>
        <w:t>中投标，否则各相关投标均无效。</w:t>
      </w:r>
    </w:p>
    <w:p w14:paraId="5D523A6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4.投标人不得存在下列情形之一：</w:t>
      </w:r>
    </w:p>
    <w:p w14:paraId="255DC08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）为采购人不具有独立法人资格的附属机构（单位</w:t>
      </w:r>
      <w:r>
        <w:rPr>
          <w:rFonts w:hint="eastAsia" w:ascii="仿宋" w:hAnsi="仿宋" w:eastAsia="仿宋" w:cs="仿宋"/>
          <w:spacing w:val="1"/>
          <w:sz w:val="24"/>
          <w:szCs w:val="24"/>
        </w:rPr>
        <w:t>）；</w:t>
      </w:r>
    </w:p>
    <w:p w14:paraId="3DCD478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）与采购人存在利害关系且可能影响招标公正性；</w:t>
      </w:r>
    </w:p>
    <w:p w14:paraId="07A5A93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（3）与本采购项目的其他投标人为同一个单位负责人；</w:t>
      </w:r>
    </w:p>
    <w:p w14:paraId="79FF252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）与本采购项目的其他投标人存在控股、管理关系；</w:t>
      </w:r>
    </w:p>
    <w:p w14:paraId="242A956A">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）为本采购项</w:t>
      </w:r>
      <w:r>
        <w:rPr>
          <w:rFonts w:hint="eastAsia" w:ascii="仿宋" w:hAnsi="仿宋" w:eastAsia="仿宋" w:cs="仿宋"/>
          <w:spacing w:val="-62"/>
          <w:sz w:val="24"/>
          <w:szCs w:val="24"/>
        </w:rPr>
        <w:t xml:space="preserve"> </w:t>
      </w:r>
      <w:r>
        <w:rPr>
          <w:rFonts w:hint="eastAsia" w:ascii="仿宋" w:hAnsi="仿宋" w:eastAsia="仿宋" w:cs="仿宋"/>
          <w:spacing w:val="1"/>
          <w:sz w:val="24"/>
          <w:szCs w:val="24"/>
        </w:rPr>
        <w:t>目的设计单位、规范编制或者项目管理、监理、检</w:t>
      </w:r>
      <w:r>
        <w:rPr>
          <w:rFonts w:hint="eastAsia" w:ascii="仿宋" w:hAnsi="仿宋" w:eastAsia="仿宋" w:cs="仿宋"/>
          <w:spacing w:val="-3"/>
          <w:sz w:val="24"/>
          <w:szCs w:val="24"/>
        </w:rPr>
        <w:t>测等服务的供应商；</w:t>
      </w:r>
    </w:p>
    <w:p w14:paraId="6FA1829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（6）为本采购项目的采购代理机构；</w:t>
      </w:r>
    </w:p>
    <w:p w14:paraId="6566184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）与本采购项目的采购代理机构同为一个法定代表人；</w:t>
      </w:r>
    </w:p>
    <w:p w14:paraId="7EC3DF5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（8）与本采购项目的采购代理机构存在控股或参股关系；</w:t>
      </w:r>
    </w:p>
    <w:p w14:paraId="016C881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（9）被依法暂停或者取消投标资格；</w:t>
      </w:r>
    </w:p>
    <w:p w14:paraId="1FA33FC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10）被责令停产停业、暂扣或者吊销许可证</w:t>
      </w:r>
      <w:r>
        <w:rPr>
          <w:rFonts w:hint="eastAsia" w:ascii="仿宋" w:hAnsi="仿宋" w:eastAsia="仿宋" w:cs="仿宋"/>
          <w:spacing w:val="-4"/>
          <w:sz w:val="24"/>
          <w:szCs w:val="24"/>
        </w:rPr>
        <w:t>、暂扣或者吊销执照；</w:t>
      </w:r>
    </w:p>
    <w:p w14:paraId="235A716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）进入清算程序，或被宣告破产，或其他丧失履约</w:t>
      </w:r>
      <w:r>
        <w:rPr>
          <w:rFonts w:hint="eastAsia" w:ascii="仿宋" w:hAnsi="仿宋" w:eastAsia="仿宋" w:cs="仿宋"/>
          <w:spacing w:val="-4"/>
          <w:sz w:val="24"/>
          <w:szCs w:val="24"/>
        </w:rPr>
        <w:t>能力的情形；</w:t>
      </w:r>
    </w:p>
    <w:p w14:paraId="0EDA2DB9">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7"/>
          <w:sz w:val="24"/>
          <w:szCs w:val="24"/>
        </w:rPr>
        <w:t>12</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）被“</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信用中国”</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中国政府采购网”</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列入失信被执行人、重大税</w:t>
      </w:r>
      <w:r>
        <w:rPr>
          <w:rFonts w:hint="eastAsia" w:ascii="仿宋" w:hAnsi="仿宋" w:eastAsia="仿宋" w:cs="仿宋"/>
          <w:sz w:val="24"/>
          <w:szCs w:val="24"/>
        </w:rPr>
        <w:t xml:space="preserve"> </w:t>
      </w:r>
      <w:r>
        <w:rPr>
          <w:rFonts w:hint="eastAsia" w:ascii="仿宋" w:hAnsi="仿宋" w:eastAsia="仿宋" w:cs="仿宋"/>
          <w:spacing w:val="-1"/>
          <w:sz w:val="24"/>
          <w:szCs w:val="24"/>
        </w:rPr>
        <w:t>收违法案件当事人名单、政府采购严重违法失信行为记录名单或尚在行政</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处罚期内的；</w:t>
      </w:r>
    </w:p>
    <w:p w14:paraId="34D7B18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13）法律法规或投标人须知前附表规定的其他情形。</w:t>
      </w:r>
    </w:p>
    <w:p w14:paraId="731C964C">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5.单位负责人为同一人或者存在直接控股、管理关系的不同供应商，不得参加同一合同项下的政府采购活动。</w:t>
      </w:r>
    </w:p>
    <w:p w14:paraId="1A42CD5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6.公益一类事业单位不得参与承接政府购买服务。</w:t>
      </w:r>
    </w:p>
    <w:p w14:paraId="5576130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（五）投标费用和安全责任</w:t>
      </w:r>
    </w:p>
    <w:p w14:paraId="1D5D4365">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1.投标人准备和参加投标活动发生的费用自理。不论投标结果如何，投标人均应自行承担所有与投标有关的全部费用。</w:t>
      </w:r>
    </w:p>
    <w:p w14:paraId="696E1CD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2.本项目招标代理服务费由中标单位支付，招标代理服务费按</w:t>
      </w:r>
      <w:r>
        <w:rPr>
          <w:rFonts w:hint="eastAsia" w:ascii="仿宋" w:hAnsi="仿宋" w:eastAsia="仿宋" w:cs="仿宋"/>
          <w:spacing w:val="2"/>
          <w:sz w:val="24"/>
          <w:szCs w:val="24"/>
          <w:lang w:val="en-US" w:eastAsia="zh-CN"/>
        </w:rPr>
        <w:t>12670</w:t>
      </w:r>
      <w:r>
        <w:rPr>
          <w:rFonts w:hint="eastAsia" w:ascii="仿宋" w:hAnsi="仿宋" w:eastAsia="仿宋" w:cs="仿宋"/>
          <w:spacing w:val="-3"/>
          <w:sz w:val="24"/>
          <w:szCs w:val="24"/>
        </w:rPr>
        <w:t>元收取。</w:t>
      </w:r>
    </w:p>
    <w:p w14:paraId="0B6E27B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w:t>
      </w:r>
    </w:p>
    <w:p w14:paraId="3022C26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招标代理服务费缴纳形式：转账或现金；</w:t>
      </w:r>
    </w:p>
    <w:p w14:paraId="2091D4E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户 名：金华同慷建设管理咨询有限公司；</w:t>
      </w:r>
    </w:p>
    <w:p w14:paraId="4A3F9D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开户行及账号：武义农商营业部201000196279614。</w:t>
      </w:r>
    </w:p>
    <w:p w14:paraId="36963AC6">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3.在采购及合同执行过程中，供应商应承担由</w:t>
      </w:r>
      <w:r>
        <w:rPr>
          <w:rFonts w:hint="eastAsia" w:ascii="仿宋" w:hAnsi="仿宋" w:eastAsia="仿宋" w:cs="仿宋"/>
          <w:spacing w:val="-1"/>
          <w:sz w:val="24"/>
          <w:szCs w:val="24"/>
        </w:rPr>
        <w:t>于其行为所造成的人身</w:t>
      </w:r>
      <w:r>
        <w:rPr>
          <w:rFonts w:hint="eastAsia" w:ascii="仿宋" w:hAnsi="仿宋" w:eastAsia="仿宋" w:cs="仿宋"/>
          <w:spacing w:val="-6"/>
          <w:sz w:val="24"/>
          <w:szCs w:val="24"/>
        </w:rPr>
        <w:t>伤害、财产损失或损坏的责任，无论何种原因所造成的，采购人均不负责。</w:t>
      </w:r>
    </w:p>
    <w:p w14:paraId="242306E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六）语言文字和计量</w:t>
      </w:r>
    </w:p>
    <w:p w14:paraId="0BBBE90E">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1.招标投标文件使用的语言文字为中文。专用术语使用外文的，应附</w:t>
      </w:r>
      <w:r>
        <w:rPr>
          <w:rFonts w:hint="eastAsia" w:ascii="仿宋" w:hAnsi="仿宋" w:eastAsia="仿宋" w:cs="仿宋"/>
          <w:spacing w:val="-4"/>
          <w:sz w:val="24"/>
          <w:szCs w:val="24"/>
        </w:rPr>
        <w:t>有中文注释。</w:t>
      </w:r>
    </w:p>
    <w:p w14:paraId="3A803A8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2.投标计量单位，招标采购文件已有明确规定的，使用招</w:t>
      </w:r>
      <w:r>
        <w:rPr>
          <w:rFonts w:hint="eastAsia" w:ascii="仿宋" w:hAnsi="仿宋" w:eastAsia="仿宋" w:cs="仿宋"/>
          <w:spacing w:val="-1"/>
          <w:sz w:val="24"/>
          <w:szCs w:val="24"/>
        </w:rPr>
        <w:t>标采购文件规定的计量单位；招标采购文件没有规定的，应采用中华人民共和国法定</w:t>
      </w:r>
      <w:r>
        <w:rPr>
          <w:rFonts w:hint="eastAsia" w:ascii="仿宋" w:hAnsi="仿宋" w:eastAsia="仿宋" w:cs="仿宋"/>
          <w:spacing w:val="-2"/>
          <w:sz w:val="24"/>
          <w:szCs w:val="24"/>
        </w:rPr>
        <w:t>计量单位（货币单位：人民币元</w:t>
      </w:r>
      <w:r>
        <w:rPr>
          <w:rFonts w:hint="eastAsia" w:ascii="仿宋" w:hAnsi="仿宋" w:eastAsia="仿宋" w:cs="仿宋"/>
          <w:spacing w:val="12"/>
          <w:sz w:val="24"/>
          <w:szCs w:val="24"/>
        </w:rPr>
        <w:t>），</w:t>
      </w:r>
      <w:r>
        <w:rPr>
          <w:rFonts w:hint="eastAsia" w:ascii="仿宋" w:hAnsi="仿宋" w:eastAsia="仿宋" w:cs="仿宋"/>
          <w:spacing w:val="-2"/>
          <w:sz w:val="24"/>
          <w:szCs w:val="24"/>
        </w:rPr>
        <w:t>否则视同未响</w:t>
      </w:r>
      <w:r>
        <w:rPr>
          <w:rFonts w:hint="eastAsia" w:ascii="仿宋" w:hAnsi="仿宋" w:eastAsia="仿宋" w:cs="仿宋"/>
          <w:spacing w:val="-3"/>
          <w:sz w:val="24"/>
          <w:szCs w:val="24"/>
        </w:rPr>
        <w:t>应。</w:t>
      </w:r>
    </w:p>
    <w:p w14:paraId="5398638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七）计量单位</w:t>
      </w:r>
    </w:p>
    <w:p w14:paraId="0E2FADC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所有计量均采用中华人民共和国法定计量单位。</w:t>
      </w:r>
    </w:p>
    <w:p w14:paraId="105D83E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（八）踏勘现场</w:t>
      </w:r>
    </w:p>
    <w:p w14:paraId="348EA178">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1.投标人须知前附表规定组织踏勘现场的，采购人按投标人须知前附</w:t>
      </w:r>
      <w:r>
        <w:rPr>
          <w:rFonts w:hint="eastAsia" w:ascii="仿宋" w:hAnsi="仿宋" w:eastAsia="仿宋" w:cs="仿宋"/>
          <w:sz w:val="24"/>
          <w:szCs w:val="24"/>
        </w:rPr>
        <w:t xml:space="preserve"> </w:t>
      </w:r>
      <w:r>
        <w:rPr>
          <w:rFonts w:hint="eastAsia" w:ascii="仿宋" w:hAnsi="仿宋" w:eastAsia="仿宋" w:cs="仿宋"/>
          <w:spacing w:val="-1"/>
          <w:sz w:val="24"/>
          <w:szCs w:val="24"/>
        </w:rPr>
        <w:t>表规定的时间、地点组织投标人踏勘项目现场。部分投标人未按时参加踏</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勘现场的，不影响踏勘现场的正常进行。</w:t>
      </w:r>
    </w:p>
    <w:p w14:paraId="6677CB0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2.投标人踏勘现场发生的费用自理。</w:t>
      </w:r>
    </w:p>
    <w:p w14:paraId="649FB34F">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除采购人的原因外，投标人自行负责在踏勘现场中所发生的人员伤</w:t>
      </w:r>
      <w:r>
        <w:rPr>
          <w:rFonts w:hint="eastAsia" w:ascii="仿宋" w:hAnsi="仿宋" w:eastAsia="仿宋" w:cs="仿宋"/>
          <w:spacing w:val="-3"/>
          <w:sz w:val="24"/>
          <w:szCs w:val="24"/>
        </w:rPr>
        <w:t>亡和财产损失。</w:t>
      </w:r>
    </w:p>
    <w:p w14:paraId="4AA0119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2"/>
        <w:rPr>
          <w:rFonts w:hint="eastAsia" w:ascii="仿宋" w:hAnsi="仿宋" w:eastAsia="仿宋" w:cs="仿宋"/>
          <w:spacing w:val="-2"/>
          <w:sz w:val="24"/>
          <w:szCs w:val="24"/>
        </w:rPr>
      </w:pPr>
      <w:r>
        <w:rPr>
          <w:rFonts w:hint="eastAsia" w:ascii="仿宋" w:hAnsi="仿宋" w:eastAsia="仿宋" w:cs="仿宋"/>
          <w:sz w:val="24"/>
          <w:szCs w:val="24"/>
        </w:rPr>
        <w:t>4.采购人在踏勘现场中介绍的场地和相关的周边环境情况，供</w:t>
      </w:r>
      <w:r>
        <w:rPr>
          <w:rFonts w:hint="eastAsia" w:ascii="仿宋" w:hAnsi="仿宋" w:eastAsia="仿宋" w:cs="仿宋"/>
          <w:spacing w:val="-1"/>
          <w:sz w:val="24"/>
          <w:szCs w:val="24"/>
        </w:rPr>
        <w:t>投标人</w:t>
      </w:r>
      <w:r>
        <w:rPr>
          <w:rFonts w:hint="eastAsia" w:ascii="仿宋" w:hAnsi="仿宋" w:eastAsia="仿宋" w:cs="仿宋"/>
          <w:spacing w:val="-2"/>
          <w:sz w:val="24"/>
          <w:szCs w:val="24"/>
        </w:rPr>
        <w:t>在编制投标文件时参考，采购人不对投标人据此作出的判断和决策负责。</w:t>
      </w:r>
    </w:p>
    <w:p w14:paraId="4530EBC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（九）标前答疑会</w:t>
      </w:r>
    </w:p>
    <w:p w14:paraId="333D30B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1.投标人须知前附表规定召开标前答疑会的，采购人按投标人须知前附表规定的时间和地点召开标前答疑会，澄清</w:t>
      </w:r>
      <w:r>
        <w:rPr>
          <w:rFonts w:hint="eastAsia" w:ascii="仿宋" w:hAnsi="仿宋" w:eastAsia="仿宋" w:cs="仿宋"/>
          <w:spacing w:val="-2"/>
          <w:sz w:val="24"/>
          <w:szCs w:val="24"/>
        </w:rPr>
        <w:t>投标人提出的问题。</w:t>
      </w:r>
    </w:p>
    <w:p w14:paraId="1C926A16">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2.投标人应按投标人须知前附表规定的时间和形式将提出</w:t>
      </w:r>
      <w:r>
        <w:rPr>
          <w:rFonts w:hint="eastAsia" w:ascii="仿宋" w:hAnsi="仿宋" w:eastAsia="仿宋" w:cs="仿宋"/>
          <w:spacing w:val="-1"/>
          <w:sz w:val="24"/>
          <w:szCs w:val="24"/>
        </w:rPr>
        <w:t>的问题送达采购人，以便采购人在会议期间澄清。</w:t>
      </w:r>
    </w:p>
    <w:p w14:paraId="1A80E2B1">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3.标前答疑会后，采购人将对投标人所提问题</w:t>
      </w:r>
      <w:r>
        <w:rPr>
          <w:rFonts w:hint="eastAsia" w:ascii="仿宋" w:hAnsi="仿宋" w:eastAsia="仿宋" w:cs="仿宋"/>
          <w:spacing w:val="-1"/>
          <w:sz w:val="24"/>
          <w:szCs w:val="24"/>
        </w:rPr>
        <w:t>的澄清，以投标人须知前附表规定的形式通知潜在投标人。该澄清内容为招标采购文件的组成部</w:t>
      </w:r>
      <w:r>
        <w:rPr>
          <w:rFonts w:hint="eastAsia" w:ascii="仿宋" w:hAnsi="仿宋" w:eastAsia="仿宋" w:cs="仿宋"/>
          <w:spacing w:val="-8"/>
          <w:sz w:val="24"/>
          <w:szCs w:val="24"/>
        </w:rPr>
        <w:t>分。</w:t>
      </w:r>
    </w:p>
    <w:p w14:paraId="2E5CB40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十）转包与分包</w:t>
      </w:r>
    </w:p>
    <w:p w14:paraId="3706D1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outlineLvl w:val="2"/>
        <w:rPr>
          <w:rFonts w:hint="eastAsia" w:ascii="仿宋" w:hAnsi="仿宋" w:eastAsia="仿宋" w:cs="仿宋"/>
          <w:sz w:val="24"/>
          <w:szCs w:val="24"/>
        </w:rPr>
      </w:pPr>
      <w:r>
        <w:rPr>
          <w:rFonts w:hint="eastAsia" w:ascii="仿宋" w:hAnsi="仿宋" w:eastAsia="仿宋" w:cs="仿宋"/>
          <w:spacing w:val="-3"/>
          <w:sz w:val="24"/>
          <w:szCs w:val="24"/>
        </w:rPr>
        <w:t>1.转包：见投标人须知前附表。</w:t>
      </w:r>
    </w:p>
    <w:p w14:paraId="791D354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2.分包：见投标人须知前附表。</w:t>
      </w:r>
    </w:p>
    <w:p w14:paraId="20AC389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十一）特别说明</w:t>
      </w:r>
    </w:p>
    <w:p w14:paraId="093F732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▲1.投标人投标所使用的资格、信誉、荣誉、业绩与企业认证必须为</w:t>
      </w:r>
      <w:r>
        <w:rPr>
          <w:rFonts w:hint="eastAsia" w:ascii="仿宋" w:hAnsi="仿宋" w:eastAsia="仿宋" w:cs="仿宋"/>
          <w:spacing w:val="-3"/>
          <w:sz w:val="24"/>
          <w:szCs w:val="24"/>
        </w:rPr>
        <w:t>本法人所拥有。</w:t>
      </w:r>
    </w:p>
    <w:p w14:paraId="255D33C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▲2.投标人应仔细阅读招标文件的所有内容，按照招标文件的要求提</w:t>
      </w:r>
      <w:r>
        <w:rPr>
          <w:rFonts w:hint="eastAsia" w:ascii="仿宋" w:hAnsi="仿宋" w:eastAsia="仿宋" w:cs="仿宋"/>
          <w:spacing w:val="-1"/>
          <w:sz w:val="24"/>
          <w:szCs w:val="24"/>
        </w:rPr>
        <w:t>交投标文件。投标人必须对投标文件所提供的全部资料的真实性承担法律责任，并无条件接受采购代理机构、采购人及政府采购监督管理部门等对</w:t>
      </w:r>
      <w:r>
        <w:rPr>
          <w:rFonts w:hint="eastAsia" w:ascii="仿宋" w:hAnsi="仿宋" w:eastAsia="仿宋" w:cs="仿宋"/>
          <w:spacing w:val="-2"/>
          <w:sz w:val="24"/>
          <w:szCs w:val="24"/>
        </w:rPr>
        <w:t>其中任何资料进行核实的要求。</w:t>
      </w:r>
    </w:p>
    <w:p w14:paraId="5B9E094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▲3.投标人在投标活动中提供任何虚假材料，其投标无效，并报监管</w:t>
      </w:r>
      <w:r>
        <w:rPr>
          <w:rFonts w:hint="eastAsia" w:ascii="仿宋" w:hAnsi="仿宋" w:eastAsia="仿宋" w:cs="仿宋"/>
          <w:spacing w:val="2"/>
          <w:sz w:val="24"/>
          <w:szCs w:val="24"/>
        </w:rPr>
        <w:t>部门查处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中标后发现的，中标人须依照《中华人民共和国消费者权益</w:t>
      </w:r>
      <w:r>
        <w:rPr>
          <w:rFonts w:hint="eastAsia" w:ascii="仿宋" w:hAnsi="仿宋" w:eastAsia="仿宋" w:cs="仿宋"/>
          <w:sz w:val="24"/>
          <w:szCs w:val="24"/>
        </w:rPr>
        <w:t>保护法》第49条之规定双倍赔偿采购人</w:t>
      </w:r>
      <w:r>
        <w:rPr>
          <w:rFonts w:hint="eastAsia" w:ascii="仿宋" w:hAnsi="仿宋" w:eastAsia="仿宋" w:cs="仿宋"/>
          <w:spacing w:val="-1"/>
          <w:sz w:val="24"/>
          <w:szCs w:val="24"/>
        </w:rPr>
        <w:t>，且民事赔偿并不免除违法投标人的行政与刑事责任。</w:t>
      </w:r>
    </w:p>
    <w:p w14:paraId="423169A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outlineLvl w:val="2"/>
        <w:rPr>
          <w:rFonts w:hint="eastAsia" w:ascii="仿宋" w:hAnsi="仿宋" w:eastAsia="仿宋" w:cs="仿宋"/>
          <w:sz w:val="24"/>
          <w:szCs w:val="24"/>
        </w:rPr>
      </w:pPr>
      <w:r>
        <w:rPr>
          <w:rFonts w:hint="eastAsia" w:ascii="仿宋" w:hAnsi="仿宋" w:eastAsia="仿宋" w:cs="仿宋"/>
          <w:b/>
          <w:bCs/>
          <w:sz w:val="24"/>
          <w:szCs w:val="24"/>
        </w:rPr>
        <w:t>（十二）保密</w:t>
      </w:r>
    </w:p>
    <w:p w14:paraId="6D1A1F5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1.本项目评标过程实行全程录音、录像监控，投标人在评标过程中所进行的试图影响评标结果的不公正活动，可能导致其投标被拒绝。</w:t>
      </w:r>
    </w:p>
    <w:p w14:paraId="5CD3D8B4">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2.参与招标投标活动的各方应对招标采购文件和投标文件</w:t>
      </w:r>
      <w:r>
        <w:rPr>
          <w:rFonts w:hint="eastAsia" w:ascii="仿宋" w:hAnsi="仿宋" w:eastAsia="仿宋" w:cs="仿宋"/>
          <w:spacing w:val="-1"/>
          <w:sz w:val="24"/>
          <w:szCs w:val="24"/>
        </w:rPr>
        <w:t>中的商业和技术等秘密保密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否则应承担相应的法律责任。</w:t>
      </w:r>
    </w:p>
    <w:p w14:paraId="292C8983">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3.凡是与审查、澄清、评价和比较投标的有关资料以及授标建议等，</w:t>
      </w:r>
      <w:r>
        <w:rPr>
          <w:rFonts w:hint="eastAsia" w:ascii="仿宋" w:hAnsi="仿宋" w:eastAsia="仿宋" w:cs="仿宋"/>
          <w:spacing w:val="-1"/>
          <w:sz w:val="24"/>
          <w:szCs w:val="24"/>
        </w:rPr>
        <w:t>采购人、评委、采购代理机构均不得向投标人或与评标无关的其他人员透</w:t>
      </w:r>
      <w:r>
        <w:rPr>
          <w:rFonts w:hint="eastAsia" w:ascii="仿宋" w:hAnsi="仿宋" w:eastAsia="仿宋" w:cs="仿宋"/>
          <w:spacing w:val="-9"/>
          <w:sz w:val="24"/>
          <w:szCs w:val="24"/>
        </w:rPr>
        <w:t>露。</w:t>
      </w:r>
    </w:p>
    <w:p w14:paraId="0F9F3D64">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4.采购人和评标委员会不向未中标的投标人解释未中标原因，也不公</w:t>
      </w:r>
      <w:r>
        <w:rPr>
          <w:rFonts w:hint="eastAsia" w:ascii="仿宋" w:hAnsi="仿宋" w:eastAsia="仿宋" w:cs="仿宋"/>
          <w:spacing w:val="-2"/>
          <w:sz w:val="24"/>
          <w:szCs w:val="24"/>
        </w:rPr>
        <w:t>布评标过程中的相关细节。</w:t>
      </w:r>
    </w:p>
    <w:p w14:paraId="4178A4F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十三）知识产权</w:t>
      </w:r>
    </w:p>
    <w:p w14:paraId="5BAFF9FF">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须保证采购人在中华人民共和国境内使用投标资料、技术、服务或其任何一部分时，享有不受限制的无偿使用权，不会产生因第三方提出侵犯其专利权、商标权或其他知识产权而引起的法律或经济纠纷。如投</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标人不拥有相应的知识产权，则在投标报价中必须包括合法获取该知识产权的一切相关费用。如因此导致采购人损失的，投标人须承担全部赔偿责</w:t>
      </w:r>
      <w:r>
        <w:rPr>
          <w:rFonts w:hint="eastAsia" w:ascii="仿宋" w:hAnsi="仿宋" w:eastAsia="仿宋" w:cs="仿宋"/>
          <w:spacing w:val="-6"/>
          <w:sz w:val="24"/>
          <w:szCs w:val="24"/>
        </w:rPr>
        <w:t>任。</w:t>
      </w:r>
    </w:p>
    <w:p w14:paraId="533BFE4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1"/>
        <w:rPr>
          <w:rFonts w:hint="eastAsia" w:ascii="仿宋" w:hAnsi="仿宋" w:eastAsia="仿宋" w:cs="仿宋"/>
          <w:sz w:val="24"/>
          <w:szCs w:val="24"/>
        </w:rPr>
      </w:pPr>
      <w:r>
        <w:rPr>
          <w:rFonts w:hint="eastAsia" w:ascii="仿宋" w:hAnsi="仿宋" w:eastAsia="仿宋" w:cs="仿宋"/>
          <w:b/>
          <w:bCs/>
          <w:spacing w:val="-5"/>
          <w:sz w:val="24"/>
          <w:szCs w:val="24"/>
        </w:rPr>
        <w:t>二、招标采购文件</w:t>
      </w:r>
    </w:p>
    <w:p w14:paraId="636D839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一）招标采购文件的组成</w:t>
      </w:r>
    </w:p>
    <w:p w14:paraId="4C13C8D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pacing w:val="2"/>
          <w:sz w:val="24"/>
          <w:szCs w:val="24"/>
        </w:rPr>
      </w:pPr>
      <w:r>
        <w:rPr>
          <w:rFonts w:hint="eastAsia" w:ascii="仿宋" w:hAnsi="仿宋" w:eastAsia="仿宋" w:cs="仿宋"/>
          <w:spacing w:val="-7"/>
          <w:sz w:val="24"/>
          <w:szCs w:val="24"/>
        </w:rPr>
        <w:t>本招标采购文件包括：</w:t>
      </w:r>
      <w:r>
        <w:rPr>
          <w:rFonts w:hint="eastAsia" w:ascii="仿宋" w:hAnsi="仿宋" w:eastAsia="仿宋" w:cs="仿宋"/>
          <w:spacing w:val="2"/>
          <w:sz w:val="24"/>
          <w:szCs w:val="24"/>
        </w:rPr>
        <w:t xml:space="preserve"> </w:t>
      </w:r>
    </w:p>
    <w:p w14:paraId="6632C3D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1.招标公告；</w:t>
      </w:r>
    </w:p>
    <w:p w14:paraId="1F8F30E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2.投标人须知；</w:t>
      </w:r>
      <w:r>
        <w:rPr>
          <w:rFonts w:hint="eastAsia" w:ascii="仿宋" w:hAnsi="仿宋" w:eastAsia="仿宋" w:cs="仿宋"/>
          <w:sz w:val="24"/>
          <w:szCs w:val="24"/>
        </w:rPr>
        <w:t xml:space="preserve">  </w:t>
      </w:r>
    </w:p>
    <w:p w14:paraId="0A6FD85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3.招标采购需求；</w:t>
      </w:r>
      <w:r>
        <w:rPr>
          <w:rFonts w:hint="eastAsia" w:ascii="仿宋" w:hAnsi="仿宋" w:eastAsia="仿宋" w:cs="仿宋"/>
          <w:spacing w:val="4"/>
          <w:sz w:val="24"/>
          <w:szCs w:val="24"/>
        </w:rPr>
        <w:t xml:space="preserve"> </w:t>
      </w:r>
    </w:p>
    <w:p w14:paraId="698BEEE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4.合同主要条款；</w:t>
      </w:r>
      <w:r>
        <w:rPr>
          <w:rFonts w:hint="eastAsia" w:ascii="仿宋" w:hAnsi="仿宋" w:eastAsia="仿宋" w:cs="仿宋"/>
          <w:spacing w:val="4"/>
          <w:sz w:val="24"/>
          <w:szCs w:val="24"/>
        </w:rPr>
        <w:t xml:space="preserve"> </w:t>
      </w:r>
    </w:p>
    <w:p w14:paraId="22D0091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5.评标办法；</w:t>
      </w:r>
    </w:p>
    <w:p w14:paraId="1AE00F7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6.投标文件格式；</w:t>
      </w:r>
    </w:p>
    <w:p w14:paraId="0F64E80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7.投标人须知前附表规定的其他资料；</w:t>
      </w:r>
    </w:p>
    <w:p w14:paraId="49559B0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8.本项目招标采购文件的更正、澄清、修改的内容，构成招标采购文</w:t>
      </w:r>
      <w:r>
        <w:rPr>
          <w:rFonts w:hint="eastAsia" w:ascii="仿宋" w:hAnsi="仿宋" w:eastAsia="仿宋" w:cs="仿宋"/>
          <w:spacing w:val="-3"/>
          <w:sz w:val="24"/>
          <w:szCs w:val="24"/>
        </w:rPr>
        <w:t>件的组成部分。</w:t>
      </w:r>
    </w:p>
    <w:p w14:paraId="63DDB67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二）投标人的风险</w:t>
      </w:r>
    </w:p>
    <w:p w14:paraId="05CD027A">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投标人未按照招标采购文件要求提供全部资料，或者投标人未对招标采购文件在各方面作出实质性响应是投标人的风险，并可能导致其投标被</w:t>
      </w:r>
      <w:r>
        <w:rPr>
          <w:rFonts w:hint="eastAsia" w:ascii="仿宋" w:hAnsi="仿宋" w:eastAsia="仿宋" w:cs="仿宋"/>
          <w:spacing w:val="-6"/>
          <w:sz w:val="24"/>
          <w:szCs w:val="24"/>
        </w:rPr>
        <w:t>拒绝。</w:t>
      </w:r>
    </w:p>
    <w:p w14:paraId="29E3C4B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6"/>
          <w:sz w:val="24"/>
          <w:szCs w:val="24"/>
        </w:rPr>
        <w:t>三）招标采购文件的澄清与修改</w:t>
      </w:r>
    </w:p>
    <w:p w14:paraId="1E7D4D63">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1.投标人应认真阅读本招标采购文件所有的事项、格式、条款和技术</w:t>
      </w:r>
      <w:r>
        <w:rPr>
          <w:rFonts w:hint="eastAsia" w:ascii="仿宋" w:hAnsi="仿宋" w:eastAsia="仿宋" w:cs="仿宋"/>
          <w:sz w:val="24"/>
          <w:szCs w:val="24"/>
        </w:rPr>
        <w:t xml:space="preserve"> </w:t>
      </w:r>
      <w:r>
        <w:rPr>
          <w:rFonts w:hint="eastAsia" w:ascii="仿宋" w:hAnsi="仿宋" w:eastAsia="仿宋" w:cs="仿宋"/>
          <w:spacing w:val="-1"/>
          <w:sz w:val="24"/>
          <w:szCs w:val="24"/>
        </w:rPr>
        <w:t>规范等，发现其中有误或有不合理要求的，投标人必须在投标人须知前附表规定的时间前以书面形式要求采购代理机构澄清。采购代理机构对已发出的招标采购文件进行必要更正、澄清、修改的，应当在招标采购文件要</w:t>
      </w:r>
      <w:r>
        <w:rPr>
          <w:rFonts w:hint="eastAsia" w:ascii="仿宋" w:hAnsi="仿宋" w:eastAsia="仿宋" w:cs="仿宋"/>
          <w:spacing w:val="-4"/>
          <w:sz w:val="24"/>
          <w:szCs w:val="24"/>
        </w:rPr>
        <w:t>求提交投标文件截止时间15日前，在原公告发布媒体上发布更正公告。</w:t>
      </w:r>
    </w:p>
    <w:p w14:paraId="1B805A79">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2.采购代理机构必须以书面形式答复投标人要求澄清的问</w:t>
      </w:r>
      <w:r>
        <w:rPr>
          <w:rFonts w:hint="eastAsia" w:ascii="仿宋" w:hAnsi="仿宋" w:eastAsia="仿宋" w:cs="仿宋"/>
          <w:spacing w:val="-1"/>
          <w:sz w:val="24"/>
          <w:szCs w:val="24"/>
        </w:rPr>
        <w:t>题，并将不包含问题来源的答复书面通知潜在投标人；除书面答复以外的其他澄清方</w:t>
      </w:r>
      <w:r>
        <w:rPr>
          <w:rFonts w:hint="eastAsia" w:ascii="仿宋" w:hAnsi="仿宋" w:eastAsia="仿宋" w:cs="仿宋"/>
          <w:spacing w:val="-2"/>
          <w:sz w:val="24"/>
          <w:szCs w:val="24"/>
        </w:rPr>
        <w:t>式及澄清内容均无效。</w:t>
      </w:r>
    </w:p>
    <w:p w14:paraId="4A5A125D">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3.招标采购文件更正、澄清、修改的内容为招标采购文件的组成部分。</w:t>
      </w:r>
      <w:r>
        <w:rPr>
          <w:rFonts w:hint="eastAsia" w:ascii="仿宋" w:hAnsi="仿宋" w:eastAsia="仿宋" w:cs="仿宋"/>
          <w:spacing w:val="-1"/>
          <w:sz w:val="24"/>
          <w:szCs w:val="24"/>
        </w:rPr>
        <w:t>当招标采购文件与招标采购文件的更正、澄清、修改内容就同一内容的表述不一致时，以最后发出的公告为准。</w:t>
      </w:r>
    </w:p>
    <w:p w14:paraId="23EA50BD">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4.招标采购文件的更正、澄清、修改都应该通过采购代理机构</w:t>
      </w:r>
      <w:r>
        <w:rPr>
          <w:rFonts w:hint="eastAsia" w:ascii="仿宋" w:hAnsi="仿宋" w:eastAsia="仿宋" w:cs="仿宋"/>
          <w:spacing w:val="-1"/>
          <w:sz w:val="24"/>
          <w:szCs w:val="24"/>
        </w:rPr>
        <w:t>以法定形式发布，采购人非通过采购代理机构，不得擅自更正、澄清、修改招标</w:t>
      </w:r>
      <w:r>
        <w:rPr>
          <w:rFonts w:hint="eastAsia" w:ascii="仿宋" w:hAnsi="仿宋" w:eastAsia="仿宋" w:cs="仿宋"/>
          <w:spacing w:val="-4"/>
          <w:sz w:val="24"/>
          <w:szCs w:val="24"/>
        </w:rPr>
        <w:t>采购文件。</w:t>
      </w:r>
    </w:p>
    <w:p w14:paraId="3322982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pacing w:val="-2"/>
          <w:sz w:val="24"/>
          <w:szCs w:val="24"/>
        </w:rPr>
      </w:pPr>
      <w:r>
        <w:rPr>
          <w:rFonts w:hint="eastAsia" w:ascii="仿宋" w:hAnsi="仿宋" w:eastAsia="仿宋" w:cs="仿宋"/>
          <w:sz w:val="24"/>
          <w:szCs w:val="24"/>
        </w:rPr>
        <w:t>5.采购人可以视采购具体情况，延长投标</w:t>
      </w:r>
      <w:r>
        <w:rPr>
          <w:rFonts w:hint="eastAsia" w:ascii="仿宋" w:hAnsi="仿宋" w:eastAsia="仿宋" w:cs="仿宋"/>
          <w:spacing w:val="-1"/>
          <w:sz w:val="24"/>
          <w:szCs w:val="24"/>
        </w:rPr>
        <w:t>截止时间和开标时间，并依</w:t>
      </w:r>
      <w:r>
        <w:rPr>
          <w:rFonts w:hint="eastAsia" w:ascii="仿宋" w:hAnsi="仿宋" w:eastAsia="仿宋" w:cs="仿宋"/>
          <w:spacing w:val="-3"/>
          <w:sz w:val="24"/>
          <w:szCs w:val="24"/>
        </w:rPr>
        <w:t>法在招标采购文件要求提交投标文件的截止时间</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5日前，将变更时间在原</w:t>
      </w:r>
      <w:r>
        <w:rPr>
          <w:rFonts w:hint="eastAsia" w:ascii="仿宋" w:hAnsi="仿宋" w:eastAsia="仿宋" w:cs="仿宋"/>
          <w:spacing w:val="-2"/>
          <w:sz w:val="24"/>
          <w:szCs w:val="24"/>
        </w:rPr>
        <w:t>公告发布媒体上发布变更公告。</w:t>
      </w:r>
    </w:p>
    <w:p w14:paraId="6E1D17C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6.投标人应及时关注本项目原公告媒体上发</w:t>
      </w:r>
      <w:r>
        <w:rPr>
          <w:rFonts w:hint="eastAsia" w:ascii="仿宋" w:hAnsi="仿宋" w:eastAsia="仿宋" w:cs="仿宋"/>
          <w:spacing w:val="-1"/>
          <w:sz w:val="24"/>
          <w:szCs w:val="24"/>
        </w:rPr>
        <w:t>布的更正、澄清、修改内容并自行下载，采购人、采购代理机构不再另行通知。</w:t>
      </w:r>
    </w:p>
    <w:p w14:paraId="16A9DCB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bookmarkStart w:id="4" w:name="bookmark6"/>
      <w:bookmarkEnd w:id="4"/>
      <w:r>
        <w:rPr>
          <w:rFonts w:hint="eastAsia" w:ascii="仿宋" w:hAnsi="仿宋" w:eastAsia="仿宋" w:cs="仿宋"/>
          <w:b/>
          <w:bCs/>
          <w:spacing w:val="-8"/>
          <w:sz w:val="24"/>
          <w:szCs w:val="24"/>
        </w:rPr>
        <w:t>三、投标文件</w:t>
      </w:r>
    </w:p>
    <w:p w14:paraId="566FAB2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一）投标文件的组成</w:t>
      </w:r>
    </w:p>
    <w:p w14:paraId="2D3A7070">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投标文件的组成在投标人须知前附表中载明；投标人在评标过程中作出的符合法律法规和招标采购文件规定的澄清确认，构成投标文件的组成</w:t>
      </w:r>
      <w:r>
        <w:rPr>
          <w:rFonts w:hint="eastAsia" w:ascii="仿宋" w:hAnsi="仿宋" w:eastAsia="仿宋" w:cs="仿宋"/>
          <w:spacing w:val="-5"/>
          <w:sz w:val="24"/>
          <w:szCs w:val="24"/>
        </w:rPr>
        <w:t>部分。</w:t>
      </w:r>
    </w:p>
    <w:p w14:paraId="2C46479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二）投标报价</w:t>
      </w:r>
    </w:p>
    <w:p w14:paraId="267D9A78">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1.投标报价应包括国家规定的增值税税金，除投标人须知前附</w:t>
      </w:r>
      <w:r>
        <w:rPr>
          <w:rFonts w:hint="eastAsia" w:ascii="仿宋" w:hAnsi="仿宋" w:eastAsia="仿宋" w:cs="仿宋"/>
          <w:sz w:val="24"/>
          <w:szCs w:val="24"/>
        </w:rPr>
        <w:t>表另有</w:t>
      </w:r>
      <w:r>
        <w:rPr>
          <w:rFonts w:hint="eastAsia" w:ascii="仿宋" w:hAnsi="仿宋" w:eastAsia="仿宋" w:cs="仿宋"/>
          <w:spacing w:val="-6"/>
          <w:sz w:val="24"/>
          <w:szCs w:val="24"/>
        </w:rPr>
        <w:t>规定外。</w:t>
      </w:r>
    </w:p>
    <w:p w14:paraId="649A92FE">
      <w:pPr>
        <w:keepNext w:val="0"/>
        <w:keepLines w:val="0"/>
        <w:pageBreakBefore w:val="0"/>
        <w:widowControl w:val="0"/>
        <w:kinsoku/>
        <w:wordWrap/>
        <w:overflowPunct/>
        <w:topLinePunct w:val="0"/>
        <w:autoSpaceDE w:val="0"/>
        <w:autoSpaceDN w:val="0"/>
        <w:bidi w:val="0"/>
        <w:adjustRightInd w:val="0"/>
        <w:snapToGrid/>
        <w:spacing w:line="420" w:lineRule="exact"/>
        <w:ind w:right="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2.投标人应充分了解该项</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目的总体情况以及影响投标报价的其他要</w:t>
      </w:r>
      <w:r>
        <w:rPr>
          <w:rFonts w:hint="eastAsia" w:ascii="仿宋" w:hAnsi="仿宋" w:eastAsia="仿宋" w:cs="仿宋"/>
          <w:spacing w:val="-14"/>
          <w:sz w:val="24"/>
          <w:szCs w:val="24"/>
        </w:rPr>
        <w:t>素。</w:t>
      </w:r>
    </w:p>
    <w:p w14:paraId="6F3ACB7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3.本项目的报价方式见投标人须知前附表</w:t>
      </w:r>
      <w:r>
        <w:rPr>
          <w:rFonts w:hint="eastAsia" w:ascii="仿宋" w:hAnsi="仿宋" w:eastAsia="仿宋" w:cs="仿宋"/>
          <w:spacing w:val="1"/>
          <w:sz w:val="24"/>
          <w:szCs w:val="24"/>
        </w:rPr>
        <w:t>。投标人在投标截止时间前</w:t>
      </w:r>
      <w:r>
        <w:rPr>
          <w:rFonts w:hint="eastAsia" w:ascii="仿宋" w:hAnsi="仿宋" w:eastAsia="仿宋" w:cs="仿宋"/>
          <w:spacing w:val="-2"/>
          <w:sz w:val="24"/>
          <w:szCs w:val="24"/>
        </w:rPr>
        <w:t>修改报价一览表中的投标报价，应同时修改投标文件“</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清单报价”</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中的相应</w:t>
      </w:r>
      <w:r>
        <w:rPr>
          <w:rFonts w:hint="eastAsia" w:ascii="仿宋" w:hAnsi="仿宋" w:eastAsia="仿宋" w:cs="仿宋"/>
          <w:spacing w:val="-4"/>
          <w:sz w:val="24"/>
          <w:szCs w:val="24"/>
        </w:rPr>
        <w:t>报价。</w:t>
      </w:r>
    </w:p>
    <w:p w14:paraId="6F030342">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4.采购人设有最高限价的，投标人的投标报价不得超过最</w:t>
      </w:r>
      <w:r>
        <w:rPr>
          <w:rFonts w:hint="eastAsia" w:ascii="仿宋" w:hAnsi="仿宋" w:eastAsia="仿宋" w:cs="仿宋"/>
          <w:spacing w:val="1"/>
          <w:sz w:val="24"/>
          <w:szCs w:val="24"/>
        </w:rPr>
        <w:t>高限价，最</w:t>
      </w:r>
      <w:r>
        <w:rPr>
          <w:rFonts w:hint="eastAsia" w:ascii="仿宋" w:hAnsi="仿宋" w:eastAsia="仿宋" w:cs="仿宋"/>
          <w:spacing w:val="-3"/>
          <w:sz w:val="24"/>
          <w:szCs w:val="24"/>
        </w:rPr>
        <w:t>高限价在招标文件中载明。</w:t>
      </w:r>
    </w:p>
    <w:p w14:paraId="7EE2204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3"/>
        <w:rPr>
          <w:rFonts w:hint="eastAsia" w:ascii="仿宋" w:hAnsi="仿宋" w:eastAsia="仿宋" w:cs="仿宋"/>
          <w:sz w:val="24"/>
          <w:szCs w:val="24"/>
        </w:rPr>
      </w:pPr>
      <w:r>
        <w:rPr>
          <w:rFonts w:hint="eastAsia" w:ascii="仿宋" w:hAnsi="仿宋" w:eastAsia="仿宋" w:cs="仿宋"/>
          <w:spacing w:val="-1"/>
          <w:sz w:val="24"/>
          <w:szCs w:val="24"/>
        </w:rPr>
        <w:t>5.采购人不接受具有附加条件的报价或多个方案的报价。</w:t>
      </w:r>
    </w:p>
    <w:p w14:paraId="1AA1D9D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6.投标报价的其他要求见投标人须知前附表。</w:t>
      </w:r>
    </w:p>
    <w:p w14:paraId="4CF1ACF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64"/>
          <w:sz w:val="24"/>
          <w:szCs w:val="24"/>
        </w:rPr>
        <w:t xml:space="preserve"> </w:t>
      </w:r>
      <w:r>
        <w:rPr>
          <w:rFonts w:hint="eastAsia" w:ascii="仿宋" w:hAnsi="仿宋" w:eastAsia="仿宋" w:cs="仿宋"/>
          <w:b/>
          <w:bCs/>
          <w:spacing w:val="-10"/>
          <w:sz w:val="24"/>
          <w:szCs w:val="24"/>
        </w:rPr>
        <w:t>三）投标有效期</w:t>
      </w:r>
    </w:p>
    <w:p w14:paraId="201D975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除投标人须知前附表另有规定外，投标有效期为</w:t>
      </w:r>
      <w:r>
        <w:rPr>
          <w:rFonts w:hint="eastAsia" w:ascii="仿宋" w:hAnsi="仿宋" w:eastAsia="仿宋" w:cs="仿宋"/>
          <w:spacing w:val="-3"/>
          <w:sz w:val="24"/>
          <w:szCs w:val="24"/>
        </w:rPr>
        <w:t>90天。</w:t>
      </w:r>
    </w:p>
    <w:p w14:paraId="16AAB259">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2.在投标有效期内，投标人撤销投标文件的，应承担</w:t>
      </w:r>
      <w:r>
        <w:rPr>
          <w:rFonts w:hint="eastAsia" w:ascii="仿宋" w:hAnsi="仿宋" w:eastAsia="仿宋" w:cs="仿宋"/>
          <w:spacing w:val="1"/>
          <w:sz w:val="24"/>
          <w:szCs w:val="24"/>
        </w:rPr>
        <w:t>招标采购文件和</w:t>
      </w:r>
      <w:r>
        <w:rPr>
          <w:rFonts w:hint="eastAsia" w:ascii="仿宋" w:hAnsi="仿宋" w:eastAsia="仿宋" w:cs="仿宋"/>
          <w:spacing w:val="-4"/>
          <w:sz w:val="24"/>
          <w:szCs w:val="24"/>
        </w:rPr>
        <w:t>法律规定的责任。</w:t>
      </w:r>
    </w:p>
    <w:p w14:paraId="1CC7317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19"/>
          <w:sz w:val="24"/>
          <w:szCs w:val="24"/>
        </w:rPr>
        <w:t xml:space="preserve"> </w:t>
      </w:r>
      <w:r>
        <w:rPr>
          <w:rFonts w:hint="eastAsia" w:ascii="仿宋" w:hAnsi="仿宋" w:eastAsia="仿宋" w:cs="仿宋"/>
          <w:sz w:val="24"/>
          <w:szCs w:val="24"/>
        </w:rPr>
        <w:t>出现特殊情况需要延长投标有效期的，采购人以书面形式通知所有</w:t>
      </w:r>
      <w:r>
        <w:rPr>
          <w:rFonts w:hint="eastAsia" w:ascii="仿宋" w:hAnsi="仿宋" w:eastAsia="仿宋" w:cs="仿宋"/>
          <w:spacing w:val="-1"/>
          <w:sz w:val="24"/>
          <w:szCs w:val="24"/>
        </w:rPr>
        <w:t>投标人延长投标有效期。投标人应予以书面答复，同意延长但不得要求或被允许修改其投标文件；投标人拒绝延长的，其投标失效。</w:t>
      </w:r>
    </w:p>
    <w:p w14:paraId="1EFA220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36"/>
          <w:sz w:val="24"/>
          <w:szCs w:val="24"/>
        </w:rPr>
        <w:t xml:space="preserve"> </w:t>
      </w:r>
      <w:r>
        <w:rPr>
          <w:rFonts w:hint="eastAsia" w:ascii="仿宋" w:hAnsi="仿宋" w:eastAsia="仿宋" w:cs="仿宋"/>
          <w:b/>
          <w:bCs/>
          <w:spacing w:val="-7"/>
          <w:sz w:val="24"/>
          <w:szCs w:val="24"/>
        </w:rPr>
        <w:t>四）投标保证金</w:t>
      </w:r>
      <w:r>
        <w:rPr>
          <w:rFonts w:hint="eastAsia" w:ascii="仿宋" w:hAnsi="仿宋" w:eastAsia="仿宋" w:cs="仿宋"/>
          <w:b/>
          <w:bCs/>
          <w:color w:val="0000FF"/>
          <w:spacing w:val="-7"/>
          <w:sz w:val="24"/>
          <w:szCs w:val="24"/>
        </w:rPr>
        <w:t>（本项目不适用）</w:t>
      </w:r>
    </w:p>
    <w:p w14:paraId="19D1C98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（五）资格审查资料</w:t>
      </w:r>
    </w:p>
    <w:p w14:paraId="6CFF191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1.投标人应按要求提交资格文件及符合招标文</w:t>
      </w:r>
      <w:r>
        <w:rPr>
          <w:rFonts w:hint="eastAsia" w:ascii="仿宋" w:hAnsi="仿宋" w:eastAsia="仿宋" w:cs="仿宋"/>
          <w:spacing w:val="-2"/>
          <w:sz w:val="24"/>
          <w:szCs w:val="24"/>
        </w:rPr>
        <w:t>件规定的文件。</w:t>
      </w:r>
    </w:p>
    <w:p w14:paraId="16276926">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2.投标人应提交具有资格参加投标和中标后有能力独立</w:t>
      </w:r>
      <w:r>
        <w:rPr>
          <w:rFonts w:hint="eastAsia" w:ascii="仿宋" w:hAnsi="仿宋" w:eastAsia="仿宋" w:cs="仿宋"/>
          <w:spacing w:val="1"/>
          <w:sz w:val="24"/>
          <w:szCs w:val="24"/>
        </w:rPr>
        <w:t>履行合同的相</w:t>
      </w:r>
      <w:r>
        <w:rPr>
          <w:rFonts w:hint="eastAsia" w:ascii="仿宋" w:hAnsi="仿宋" w:eastAsia="仿宋" w:cs="仿宋"/>
          <w:spacing w:val="-6"/>
          <w:sz w:val="24"/>
          <w:szCs w:val="24"/>
        </w:rPr>
        <w:t>关文件。</w:t>
      </w:r>
    </w:p>
    <w:p w14:paraId="101FABB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3.投标人除必须具有履行合同所需提供的</w:t>
      </w:r>
      <w:r>
        <w:rPr>
          <w:rFonts w:hint="eastAsia" w:ascii="仿宋" w:hAnsi="仿宋" w:eastAsia="仿宋" w:cs="仿宋"/>
          <w:spacing w:val="1"/>
          <w:sz w:val="24"/>
          <w:szCs w:val="24"/>
        </w:rPr>
        <w:t>货物以及服务的能力外，还</w:t>
      </w:r>
      <w:r>
        <w:rPr>
          <w:rFonts w:hint="eastAsia" w:ascii="仿宋" w:hAnsi="仿宋" w:eastAsia="仿宋" w:cs="仿宋"/>
          <w:spacing w:val="-2"/>
          <w:sz w:val="24"/>
          <w:szCs w:val="24"/>
        </w:rPr>
        <w:t>必须具备相应的财务、技术方面的能力。</w:t>
      </w:r>
    </w:p>
    <w:p w14:paraId="441477B8">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4.投标人应提交根据合同要求提供的产品质量合格以及符</w:t>
      </w:r>
      <w:r>
        <w:rPr>
          <w:rFonts w:hint="eastAsia" w:ascii="仿宋" w:hAnsi="仿宋" w:eastAsia="仿宋" w:cs="仿宋"/>
          <w:spacing w:val="1"/>
          <w:sz w:val="24"/>
          <w:szCs w:val="24"/>
        </w:rPr>
        <w:t>合招标文件</w:t>
      </w:r>
      <w:r>
        <w:rPr>
          <w:rFonts w:hint="eastAsia" w:ascii="仿宋" w:hAnsi="仿宋" w:eastAsia="仿宋" w:cs="仿宋"/>
          <w:spacing w:val="-3"/>
          <w:sz w:val="24"/>
          <w:szCs w:val="24"/>
        </w:rPr>
        <w:t>规定的相关文件。</w:t>
      </w:r>
    </w:p>
    <w:p w14:paraId="5DF64B4A">
      <w:pPr>
        <w:keepNext w:val="0"/>
        <w:keepLines w:val="0"/>
        <w:pageBreakBefore w:val="0"/>
        <w:widowControl w:val="0"/>
        <w:kinsoku/>
        <w:wordWrap/>
        <w:overflowPunct/>
        <w:topLinePunct w:val="0"/>
        <w:autoSpaceDE w:val="0"/>
        <w:autoSpaceDN w:val="0"/>
        <w:bidi w:val="0"/>
        <w:adjustRightInd w:val="0"/>
        <w:snapToGrid/>
        <w:spacing w:line="420" w:lineRule="exact"/>
        <w:ind w:right="0"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5.投标人所提供产品与招标文件的要求相一致的相关文件可以</w:t>
      </w:r>
      <w:r>
        <w:rPr>
          <w:rFonts w:hint="eastAsia" w:ascii="仿宋" w:hAnsi="仿宋" w:eastAsia="仿宋" w:cs="仿宋"/>
          <w:spacing w:val="10"/>
          <w:sz w:val="24"/>
          <w:szCs w:val="24"/>
        </w:rPr>
        <w:t>是手</w:t>
      </w:r>
      <w:r>
        <w:rPr>
          <w:rFonts w:hint="eastAsia" w:ascii="仿宋" w:hAnsi="仿宋" w:eastAsia="仿宋" w:cs="仿宋"/>
          <w:spacing w:val="-2"/>
          <w:sz w:val="24"/>
          <w:szCs w:val="24"/>
        </w:rPr>
        <w:t>册、图纸、文字资料和数据等。</w:t>
      </w:r>
    </w:p>
    <w:p w14:paraId="6AE588C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六）投标文件的编制</w:t>
      </w:r>
    </w:p>
    <w:p w14:paraId="74D86B38">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1.投标文件（资格文件、商务技术文件、报价文件）应按第六章“投标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文件格式”及</w:t>
      </w:r>
      <w:r>
        <w:rPr>
          <w:rFonts w:hint="eastAsia" w:ascii="仿宋" w:hAnsi="仿宋" w:eastAsia="仿宋" w:cs="仿宋"/>
          <w:color w:val="0000FF"/>
          <w:spacing w:val="-4"/>
          <w:sz w:val="24"/>
          <w:szCs w:val="24"/>
        </w:rPr>
        <w:t>“</w:t>
      </w:r>
      <w:r>
        <w:rPr>
          <w:rFonts w:hint="eastAsia" w:ascii="仿宋" w:hAnsi="仿宋" w:eastAsia="仿宋" w:cs="仿宋"/>
          <w:color w:val="0000FF"/>
          <w:spacing w:val="-51"/>
          <w:sz w:val="24"/>
          <w:szCs w:val="24"/>
        </w:rPr>
        <w:t xml:space="preserve"> </w:t>
      </w:r>
      <w:r>
        <w:rPr>
          <w:rFonts w:hint="eastAsia" w:ascii="仿宋" w:hAnsi="仿宋" w:eastAsia="仿宋" w:cs="仿宋"/>
          <w:color w:val="0000FF"/>
          <w:spacing w:val="-4"/>
          <w:sz w:val="24"/>
          <w:szCs w:val="24"/>
        </w:rPr>
        <w:t>政采云电子投标客户端”</w:t>
      </w:r>
      <w:r>
        <w:rPr>
          <w:rFonts w:hint="eastAsia" w:ascii="仿宋" w:hAnsi="仿宋" w:eastAsia="仿宋" w:cs="仿宋"/>
          <w:spacing w:val="-4"/>
          <w:sz w:val="24"/>
          <w:szCs w:val="24"/>
        </w:rPr>
        <w:t>软件进行编写，如有必要，可以增加</w:t>
      </w:r>
      <w:r>
        <w:rPr>
          <w:rFonts w:hint="eastAsia" w:ascii="仿宋" w:hAnsi="仿宋" w:eastAsia="仿宋" w:cs="仿宋"/>
          <w:spacing w:val="-1"/>
          <w:sz w:val="24"/>
          <w:szCs w:val="24"/>
        </w:rPr>
        <w:t>附页，作为投标文件的组成部分。在满足招标采购文件实质性要求的基础上，可以提出比招标采购文件要求更有利于采购人的承诺。</w:t>
      </w:r>
    </w:p>
    <w:p w14:paraId="6E39201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2.投标文件应当对招标采购文件有关服务期限、投标有</w:t>
      </w:r>
      <w:r>
        <w:rPr>
          <w:rFonts w:hint="eastAsia" w:ascii="仿宋" w:hAnsi="仿宋" w:eastAsia="仿宋" w:cs="仿宋"/>
          <w:spacing w:val="1"/>
          <w:sz w:val="24"/>
          <w:szCs w:val="24"/>
        </w:rPr>
        <w:t>效期、采购人</w:t>
      </w:r>
      <w:r>
        <w:rPr>
          <w:rFonts w:hint="eastAsia" w:ascii="仿宋" w:hAnsi="仿宋" w:eastAsia="仿宋" w:cs="仿宋"/>
          <w:spacing w:val="-2"/>
          <w:sz w:val="24"/>
          <w:szCs w:val="24"/>
        </w:rPr>
        <w:t>要求、招标范围等实质性内容作出响应。</w:t>
      </w:r>
    </w:p>
    <w:p w14:paraId="0160D47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2" w:firstLineChars="200"/>
        <w:textAlignment w:val="auto"/>
        <w:rPr>
          <w:rFonts w:hint="eastAsia" w:ascii="仿宋" w:hAnsi="仿宋" w:eastAsia="仿宋" w:cs="仿宋"/>
          <w:sz w:val="24"/>
          <w:szCs w:val="24"/>
        </w:rPr>
      </w:pPr>
      <w:r>
        <w:rPr>
          <w:rFonts w:hint="eastAsia" w:ascii="仿宋" w:hAnsi="仿宋" w:eastAsia="仿宋" w:cs="仿宋"/>
          <w:b/>
          <w:bCs/>
          <w:spacing w:val="-15"/>
          <w:sz w:val="24"/>
          <w:szCs w:val="24"/>
        </w:rPr>
        <w:t>四、投标</w:t>
      </w:r>
    </w:p>
    <w:p w14:paraId="1FCF48D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一）投标文件的递交</w:t>
      </w:r>
    </w:p>
    <w:p w14:paraId="1DD436AC">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1.投标人应在投标人须知前附表规定的投标截止时间前将电子投</w:t>
      </w:r>
      <w:r>
        <w:rPr>
          <w:rFonts w:hint="eastAsia" w:ascii="仿宋" w:hAnsi="仿宋" w:eastAsia="仿宋" w:cs="仿宋"/>
          <w:sz w:val="24"/>
          <w:szCs w:val="24"/>
        </w:rPr>
        <w:t>标文</w:t>
      </w:r>
      <w:r>
        <w:rPr>
          <w:rFonts w:hint="eastAsia" w:ascii="仿宋" w:hAnsi="仿宋" w:eastAsia="仿宋" w:cs="仿宋"/>
          <w:spacing w:val="-3"/>
          <w:sz w:val="24"/>
          <w:szCs w:val="24"/>
        </w:rPr>
        <w:t>件传输递交。</w:t>
      </w:r>
    </w:p>
    <w:p w14:paraId="0FEA37C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pacing w:val="-1"/>
          <w:sz w:val="24"/>
          <w:szCs w:val="24"/>
        </w:rPr>
      </w:pPr>
      <w:r>
        <w:rPr>
          <w:rFonts w:hint="eastAsia" w:ascii="仿宋" w:hAnsi="仿宋" w:eastAsia="仿宋" w:cs="仿宋"/>
          <w:sz w:val="24"/>
          <w:szCs w:val="24"/>
        </w:rPr>
        <w:t>2.逾期上传或逾期解密的投标文件，电子交</w:t>
      </w:r>
      <w:r>
        <w:rPr>
          <w:rFonts w:hint="eastAsia" w:ascii="仿宋" w:hAnsi="仿宋" w:eastAsia="仿宋" w:cs="仿宋"/>
          <w:spacing w:val="-1"/>
          <w:sz w:val="24"/>
          <w:szCs w:val="24"/>
        </w:rPr>
        <w:t>易平台予以拒收。</w:t>
      </w:r>
    </w:p>
    <w:p w14:paraId="0E2573D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3.投标人递交投标文件的地点：见投标人须知前附表。</w:t>
      </w:r>
    </w:p>
    <w:p w14:paraId="4872681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7"/>
          <w:sz w:val="24"/>
          <w:szCs w:val="24"/>
        </w:rPr>
        <w:t xml:space="preserve"> </w:t>
      </w:r>
      <w:r>
        <w:rPr>
          <w:rFonts w:hint="eastAsia" w:ascii="仿宋" w:hAnsi="仿宋" w:eastAsia="仿宋" w:cs="仿宋"/>
          <w:b/>
          <w:bCs/>
          <w:spacing w:val="-6"/>
          <w:sz w:val="24"/>
          <w:szCs w:val="24"/>
        </w:rPr>
        <w:t>二）投标文件的修改与撤回</w:t>
      </w:r>
    </w:p>
    <w:p w14:paraId="2DDAB8C4">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1.投标人应当在投标截止时间前完成投标文件的传输递交，并可以补</w:t>
      </w:r>
      <w:r>
        <w:rPr>
          <w:rFonts w:hint="eastAsia" w:ascii="仿宋" w:hAnsi="仿宋" w:eastAsia="仿宋" w:cs="仿宋"/>
          <w:spacing w:val="-1"/>
          <w:sz w:val="24"/>
          <w:szCs w:val="24"/>
        </w:rPr>
        <w:t>充、修改或者撤回投标文件。补充或者修改投标文件的，应当先行撤回原文件，补充、修改后重新传输递交。投标截止时间前未完成传输的，视为</w:t>
      </w:r>
      <w:r>
        <w:rPr>
          <w:rFonts w:hint="eastAsia" w:ascii="仿宋" w:hAnsi="仿宋" w:eastAsia="仿宋" w:cs="仿宋"/>
          <w:spacing w:val="-6"/>
          <w:sz w:val="24"/>
          <w:szCs w:val="24"/>
        </w:rPr>
        <w:t>撤回投标文件。投标截止时间后递交的投标文件，电子交易平台予以拒收。</w:t>
      </w:r>
    </w:p>
    <w:p w14:paraId="61A49C2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2.在投标截止时间前，除投标人补充、修改或者撤回投标文件外，任</w:t>
      </w:r>
      <w:r>
        <w:rPr>
          <w:rFonts w:hint="eastAsia" w:ascii="仿宋" w:hAnsi="仿宋" w:eastAsia="仿宋" w:cs="仿宋"/>
          <w:spacing w:val="-1"/>
          <w:sz w:val="24"/>
          <w:szCs w:val="24"/>
        </w:rPr>
        <w:t>何单位和个人不得解密或提取投标文件。</w:t>
      </w:r>
    </w:p>
    <w:p w14:paraId="68ED63F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3.采购人、采购代理机构可以视情况延长投标文件提交的</w:t>
      </w:r>
      <w:r>
        <w:rPr>
          <w:rFonts w:hint="eastAsia" w:ascii="仿宋" w:hAnsi="仿宋" w:eastAsia="仿宋" w:cs="仿宋"/>
          <w:spacing w:val="1"/>
          <w:sz w:val="24"/>
          <w:szCs w:val="24"/>
        </w:rPr>
        <w:t>截止时</w:t>
      </w:r>
      <w:r>
        <w:rPr>
          <w:rFonts w:hint="eastAsia" w:ascii="仿宋" w:hAnsi="仿宋" w:eastAsia="仿宋" w:cs="仿宋"/>
          <w:spacing w:val="-1"/>
          <w:sz w:val="24"/>
          <w:szCs w:val="24"/>
        </w:rPr>
        <w:t>间。在上述情况下，采购代理机构与投标人以前在投标截止期方面的全部权利、责任和义务，将适用于延长至新的投标截止期。</w:t>
      </w:r>
    </w:p>
    <w:p w14:paraId="0064C5A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五、开标</w:t>
      </w:r>
    </w:p>
    <w:p w14:paraId="00ECA15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一）开标时间和地点</w:t>
      </w:r>
    </w:p>
    <w:p w14:paraId="059249F0">
      <w:pPr>
        <w:keepNext w:val="0"/>
        <w:keepLines w:val="0"/>
        <w:pageBreakBefore w:val="0"/>
        <w:widowControl w:val="0"/>
        <w:kinsoku/>
        <w:wordWrap/>
        <w:overflowPunct/>
        <w:topLinePunct w:val="0"/>
        <w:autoSpaceDE w:val="0"/>
        <w:autoSpaceDN w:val="0"/>
        <w:bidi w:val="0"/>
        <w:adjustRightInd w:val="0"/>
        <w:snapToGrid/>
        <w:spacing w:line="420" w:lineRule="exact"/>
        <w:ind w:right="0"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采购人在投标人须知前附表规定的开标时间和投标人须知前</w:t>
      </w:r>
      <w:r>
        <w:rPr>
          <w:rFonts w:hint="eastAsia" w:ascii="仿宋" w:hAnsi="仿宋" w:eastAsia="仿宋" w:cs="仿宋"/>
          <w:spacing w:val="8"/>
          <w:sz w:val="24"/>
          <w:szCs w:val="24"/>
        </w:rPr>
        <w:t>附表规</w:t>
      </w:r>
      <w:r>
        <w:rPr>
          <w:rFonts w:hint="eastAsia" w:ascii="仿宋" w:hAnsi="仿宋" w:eastAsia="仿宋" w:cs="仿宋"/>
          <w:spacing w:val="-3"/>
          <w:sz w:val="24"/>
          <w:szCs w:val="24"/>
        </w:rPr>
        <w:t>定的地点开标。</w:t>
      </w:r>
    </w:p>
    <w:p w14:paraId="72AA6AA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二）开标程序</w:t>
      </w:r>
    </w:p>
    <w:p w14:paraId="6A07502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1.具体开标程序见投标人须知前附表。</w:t>
      </w:r>
    </w:p>
    <w:p w14:paraId="73D08525">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2.开标过程中，因投标人自身原因造成电子版投标文件无法解密读取</w:t>
      </w:r>
      <w:r>
        <w:rPr>
          <w:rFonts w:hint="eastAsia" w:ascii="仿宋" w:hAnsi="仿宋" w:eastAsia="仿宋" w:cs="仿宋"/>
          <w:spacing w:val="-3"/>
          <w:sz w:val="24"/>
          <w:szCs w:val="24"/>
        </w:rPr>
        <w:t>的，经监标人确认后当场宣布为废标。</w:t>
      </w:r>
    </w:p>
    <w:p w14:paraId="53C483C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1"/>
          <w:sz w:val="24"/>
          <w:szCs w:val="24"/>
        </w:rPr>
        <w:t>（</w:t>
      </w:r>
      <w:r>
        <w:rPr>
          <w:rFonts w:hint="eastAsia" w:ascii="仿宋" w:hAnsi="仿宋" w:eastAsia="仿宋" w:cs="仿宋"/>
          <w:spacing w:val="-65"/>
          <w:sz w:val="24"/>
          <w:szCs w:val="24"/>
        </w:rPr>
        <w:t xml:space="preserve"> </w:t>
      </w:r>
      <w:r>
        <w:rPr>
          <w:rFonts w:hint="eastAsia" w:ascii="仿宋" w:hAnsi="仿宋" w:eastAsia="仿宋" w:cs="仿宋"/>
          <w:b/>
          <w:bCs/>
          <w:spacing w:val="-11"/>
          <w:sz w:val="24"/>
          <w:szCs w:val="24"/>
        </w:rPr>
        <w:t>三）开标异议</w:t>
      </w:r>
    </w:p>
    <w:p w14:paraId="191C4628">
      <w:pPr>
        <w:keepNext w:val="0"/>
        <w:keepLines w:val="0"/>
        <w:pageBreakBefore w:val="0"/>
        <w:widowControl w:val="0"/>
        <w:numPr>
          <w:ilvl w:val="0"/>
          <w:numId w:val="5"/>
        </w:numPr>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1"/>
          <w:sz w:val="24"/>
          <w:szCs w:val="24"/>
        </w:rPr>
        <w:t>投标人认为采购过程或中标结果使自己的合法权益受到损害的，应</w:t>
      </w:r>
      <w:r>
        <w:rPr>
          <w:rFonts w:hint="eastAsia" w:ascii="仿宋" w:hAnsi="仿宋" w:eastAsia="仿宋" w:cs="仿宋"/>
          <w:spacing w:val="-3"/>
          <w:sz w:val="24"/>
          <w:szCs w:val="24"/>
        </w:rPr>
        <w:t>当在中标结果公告之日起七个工作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日内，以书面形式向采购代理机构</w:t>
      </w:r>
      <w:r>
        <w:rPr>
          <w:rFonts w:hint="eastAsia" w:ascii="仿宋" w:hAnsi="仿宋" w:eastAsia="仿宋" w:cs="仿宋"/>
          <w:spacing w:val="-4"/>
          <w:sz w:val="24"/>
          <w:szCs w:val="24"/>
        </w:rPr>
        <w:t>提出</w:t>
      </w:r>
      <w:r>
        <w:rPr>
          <w:rFonts w:hint="eastAsia" w:ascii="仿宋" w:hAnsi="仿宋" w:eastAsia="仿宋" w:cs="仿宋"/>
          <w:spacing w:val="-1"/>
          <w:sz w:val="24"/>
          <w:szCs w:val="24"/>
        </w:rPr>
        <w:t>质疑。投标人对招标采购单位的质疑答复不满意或者招标采购单位未在规</w:t>
      </w:r>
      <w:r>
        <w:rPr>
          <w:rFonts w:hint="eastAsia" w:ascii="仿宋" w:hAnsi="仿宋" w:eastAsia="仿宋" w:cs="仿宋"/>
          <w:spacing w:val="-3"/>
          <w:sz w:val="24"/>
          <w:szCs w:val="24"/>
        </w:rPr>
        <w:t>定时间内做出答复的，可以在答复期满后十五个工作</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日内向同级政府采购监管部门投诉。</w:t>
      </w:r>
    </w:p>
    <w:p w14:paraId="7268FA64">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2.质疑、投诉应当采用书面形式，质疑书、投诉书均应明确阐述招标</w:t>
      </w:r>
      <w:r>
        <w:rPr>
          <w:rFonts w:hint="eastAsia" w:ascii="仿宋" w:hAnsi="仿宋" w:eastAsia="仿宋" w:cs="仿宋"/>
          <w:spacing w:val="-1"/>
          <w:sz w:val="24"/>
          <w:szCs w:val="24"/>
        </w:rPr>
        <w:t>采购过程或中标结果中使自己合法权益受到损害的实质性内容，提供相关事实、依据和证据及其来源或线索，便于有关单位调查、答复和处理，否</w:t>
      </w:r>
      <w:r>
        <w:rPr>
          <w:rFonts w:hint="eastAsia" w:ascii="仿宋" w:hAnsi="仿宋" w:eastAsia="仿宋" w:cs="仿宋"/>
          <w:spacing w:val="-3"/>
          <w:sz w:val="24"/>
          <w:szCs w:val="24"/>
        </w:rPr>
        <w:t>则，将不予受理。</w:t>
      </w:r>
    </w:p>
    <w:p w14:paraId="7F02EA2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六、评标</w:t>
      </w:r>
    </w:p>
    <w:p w14:paraId="0089988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一）组建评标委员会</w:t>
      </w:r>
    </w:p>
    <w:p w14:paraId="0FADC857">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1.评标由采购人依法组建的评标委员会负责。评标委员会由采购人有</w:t>
      </w:r>
      <w:r>
        <w:rPr>
          <w:rFonts w:hint="eastAsia" w:ascii="仿宋" w:hAnsi="仿宋" w:eastAsia="仿宋" w:cs="仿宋"/>
          <w:spacing w:val="-2"/>
          <w:sz w:val="24"/>
          <w:szCs w:val="24"/>
        </w:rPr>
        <w:t>关技术、经济等方面的专家组成。</w:t>
      </w:r>
    </w:p>
    <w:p w14:paraId="1277B1C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2.评标委员会成员有下列情形之一的，应</w:t>
      </w:r>
      <w:r>
        <w:rPr>
          <w:rFonts w:hint="eastAsia" w:ascii="仿宋" w:hAnsi="仿宋" w:eastAsia="仿宋" w:cs="仿宋"/>
          <w:spacing w:val="-1"/>
          <w:sz w:val="24"/>
          <w:szCs w:val="24"/>
        </w:rPr>
        <w:t>当回避：</w:t>
      </w:r>
    </w:p>
    <w:p w14:paraId="2CDD942B">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参加采购活动前三年内，与投标人存在劳动关系，或者担任过</w:t>
      </w:r>
      <w:r>
        <w:rPr>
          <w:rFonts w:hint="eastAsia" w:ascii="仿宋" w:hAnsi="仿宋" w:eastAsia="仿宋" w:cs="仿宋"/>
          <w:spacing w:val="-1"/>
          <w:sz w:val="24"/>
          <w:szCs w:val="24"/>
        </w:rPr>
        <w:t>投标人的董事、监事，或者是供应商的控股股东或实际控制人；</w:t>
      </w:r>
    </w:p>
    <w:p w14:paraId="6F366EBA">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与供应商的法定代表人或者负责人有夫妻、直系血亲、三代以</w:t>
      </w:r>
      <w:r>
        <w:rPr>
          <w:rFonts w:hint="eastAsia" w:ascii="仿宋" w:hAnsi="仿宋" w:eastAsia="仿宋" w:cs="仿宋"/>
          <w:spacing w:val="-5"/>
          <w:sz w:val="24"/>
          <w:szCs w:val="24"/>
        </w:rPr>
        <w:t>内旁系血亲或者近姻亲关系；</w:t>
      </w:r>
    </w:p>
    <w:p w14:paraId="6C76099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与供应商有其他可能影响政府采购活动公平、公正进行的关系。</w:t>
      </w:r>
    </w:p>
    <w:p w14:paraId="78325C06">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评审专家发现本人与参加采购活动的供</w:t>
      </w:r>
      <w:r>
        <w:rPr>
          <w:rFonts w:hint="eastAsia" w:ascii="仿宋" w:hAnsi="仿宋" w:eastAsia="仿宋" w:cs="仿宋"/>
          <w:spacing w:val="3"/>
          <w:sz w:val="24"/>
          <w:szCs w:val="24"/>
        </w:rPr>
        <w:t>应商有利害关系的，或</w:t>
      </w:r>
      <w:r>
        <w:rPr>
          <w:rFonts w:hint="eastAsia" w:ascii="仿宋" w:hAnsi="仿宋" w:eastAsia="仿宋" w:cs="仿宋"/>
          <w:spacing w:val="-1"/>
          <w:sz w:val="24"/>
          <w:szCs w:val="24"/>
        </w:rPr>
        <w:t>者已参加过该项目采购文件等论证活动的，应当主动提出回避。</w:t>
      </w:r>
    </w:p>
    <w:p w14:paraId="6E4E4BAA">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财政部门政府采购监督管理工作人员，</w:t>
      </w:r>
      <w:r>
        <w:rPr>
          <w:rFonts w:hint="eastAsia" w:ascii="仿宋" w:hAnsi="仿宋" w:eastAsia="仿宋" w:cs="仿宋"/>
          <w:spacing w:val="3"/>
          <w:sz w:val="24"/>
          <w:szCs w:val="24"/>
        </w:rPr>
        <w:t>不得作为评审专家参与</w:t>
      </w:r>
      <w:r>
        <w:rPr>
          <w:rFonts w:hint="eastAsia" w:ascii="仿宋" w:hAnsi="仿宋" w:eastAsia="仿宋" w:cs="仿宋"/>
          <w:spacing w:val="-8"/>
          <w:sz w:val="24"/>
          <w:szCs w:val="24"/>
        </w:rPr>
        <w:t>政府采购项</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目的评审活动。</w:t>
      </w:r>
    </w:p>
    <w:p w14:paraId="7A3E58E8">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采购代理机构工作人员不得参加由本机构代理的政府采购项</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目</w:t>
      </w:r>
      <w:r>
        <w:rPr>
          <w:rFonts w:hint="eastAsia" w:ascii="仿宋" w:hAnsi="仿宋" w:eastAsia="仿宋" w:cs="仿宋"/>
          <w:spacing w:val="-11"/>
          <w:sz w:val="24"/>
          <w:szCs w:val="24"/>
        </w:rPr>
        <w:t>的评审。</w:t>
      </w:r>
    </w:p>
    <w:p w14:paraId="48D8C7FC">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评审专家对本单位的政府采购项目只能</w:t>
      </w:r>
      <w:r>
        <w:rPr>
          <w:rFonts w:hint="eastAsia" w:ascii="仿宋" w:hAnsi="仿宋" w:eastAsia="仿宋" w:cs="仿宋"/>
          <w:spacing w:val="3"/>
          <w:sz w:val="24"/>
          <w:szCs w:val="24"/>
        </w:rPr>
        <w:t>作为采购人代表参与评</w:t>
      </w:r>
      <w:r>
        <w:rPr>
          <w:rFonts w:hint="eastAsia" w:ascii="仿宋" w:hAnsi="仿宋" w:eastAsia="仿宋" w:cs="仿宋"/>
          <w:spacing w:val="-10"/>
          <w:sz w:val="24"/>
          <w:szCs w:val="24"/>
        </w:rPr>
        <w:t>审活动。</w:t>
      </w:r>
    </w:p>
    <w:p w14:paraId="7CF9EE8C">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曾因在招标、评标以及其他与招标投标有关活动中从事违法行</w:t>
      </w:r>
      <w:r>
        <w:rPr>
          <w:rFonts w:hint="eastAsia" w:ascii="仿宋" w:hAnsi="仿宋" w:eastAsia="仿宋" w:cs="仿宋"/>
          <w:spacing w:val="-2"/>
          <w:sz w:val="24"/>
          <w:szCs w:val="24"/>
        </w:rPr>
        <w:t>为而受过行政处罚或刑事处罚的。</w:t>
      </w:r>
    </w:p>
    <w:p w14:paraId="7F98FD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3.评标过程中，评标委员会成员有回避事由、擅离职守或</w:t>
      </w:r>
      <w:r>
        <w:rPr>
          <w:rFonts w:hint="eastAsia" w:ascii="仿宋" w:hAnsi="仿宋" w:eastAsia="仿宋" w:cs="仿宋"/>
          <w:spacing w:val="1"/>
          <w:sz w:val="24"/>
          <w:szCs w:val="24"/>
        </w:rPr>
        <w:t>者因健康等</w:t>
      </w:r>
      <w:r>
        <w:rPr>
          <w:rFonts w:hint="eastAsia" w:ascii="仿宋" w:hAnsi="仿宋" w:eastAsia="仿宋" w:cs="仿宋"/>
          <w:spacing w:val="-1"/>
          <w:sz w:val="24"/>
          <w:szCs w:val="24"/>
        </w:rPr>
        <w:t>原因不能继续评标的，采购人有权更换。被更换的评标委员会成员作出的评审结论无效，由更换后的评标委员会成员重新进行评审。</w:t>
      </w:r>
    </w:p>
    <w:p w14:paraId="33FFA98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二）评标原则</w:t>
      </w:r>
    </w:p>
    <w:p w14:paraId="6658E3F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评标活动遵循公平、公正、科学和择优的原则。本项目采用不公开方</w:t>
      </w:r>
      <w:r>
        <w:rPr>
          <w:rFonts w:hint="eastAsia" w:ascii="仿宋" w:hAnsi="仿宋" w:eastAsia="仿宋" w:cs="仿宋"/>
          <w:spacing w:val="-2"/>
          <w:sz w:val="24"/>
          <w:szCs w:val="24"/>
        </w:rPr>
        <w:t>式评标，评标的依据为招标采购文件和投标文件。</w:t>
      </w:r>
    </w:p>
    <w:p w14:paraId="44FF506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14"/>
          <w:sz w:val="24"/>
          <w:szCs w:val="24"/>
        </w:rPr>
        <w:t>三）评标</w:t>
      </w:r>
    </w:p>
    <w:p w14:paraId="24DCBCEC">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1.评标委员会按照第五章“</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评标办法”规定的方法、评审因素、标准和</w:t>
      </w:r>
      <w:r>
        <w:rPr>
          <w:rFonts w:hint="eastAsia" w:ascii="仿宋" w:hAnsi="仿宋" w:eastAsia="仿宋" w:cs="仿宋"/>
          <w:spacing w:val="-5"/>
          <w:sz w:val="24"/>
          <w:szCs w:val="24"/>
        </w:rPr>
        <w:t>程序对投标文件进行评审。“评标办法”没有规定的</w:t>
      </w:r>
      <w:r>
        <w:rPr>
          <w:rFonts w:hint="eastAsia" w:ascii="仿宋" w:hAnsi="仿宋" w:eastAsia="仿宋" w:cs="仿宋"/>
          <w:spacing w:val="-6"/>
          <w:sz w:val="24"/>
          <w:szCs w:val="24"/>
        </w:rPr>
        <w:t>方法、评审因素和标准，</w:t>
      </w:r>
      <w:r>
        <w:rPr>
          <w:rFonts w:hint="eastAsia" w:ascii="仿宋" w:hAnsi="仿宋" w:eastAsia="仿宋" w:cs="仿宋"/>
          <w:spacing w:val="-3"/>
          <w:sz w:val="24"/>
          <w:szCs w:val="24"/>
        </w:rPr>
        <w:t>不作为评标依据。</w:t>
      </w:r>
    </w:p>
    <w:p w14:paraId="15B6D96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2.评标完成后，评标委员会应当向采购人提交书面评标</w:t>
      </w:r>
      <w:r>
        <w:rPr>
          <w:rFonts w:hint="eastAsia" w:ascii="仿宋" w:hAnsi="仿宋" w:eastAsia="仿宋" w:cs="仿宋"/>
          <w:spacing w:val="1"/>
          <w:sz w:val="24"/>
          <w:szCs w:val="24"/>
        </w:rPr>
        <w:t>报告和中标候</w:t>
      </w:r>
      <w:r>
        <w:rPr>
          <w:rFonts w:hint="eastAsia" w:ascii="仿宋" w:hAnsi="仿宋" w:eastAsia="仿宋" w:cs="仿宋"/>
          <w:spacing w:val="-1"/>
          <w:sz w:val="24"/>
          <w:szCs w:val="24"/>
        </w:rPr>
        <w:t>选人名单。评标委员会推荐中标候选人的人数见投标人须知前附表。</w:t>
      </w:r>
    </w:p>
    <w:p w14:paraId="593C08C9">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3.本项目评标过程实行全程录音、录像监</w:t>
      </w:r>
      <w:r>
        <w:rPr>
          <w:rFonts w:hint="eastAsia" w:ascii="仿宋" w:hAnsi="仿宋" w:eastAsia="仿宋" w:cs="仿宋"/>
          <w:spacing w:val="1"/>
          <w:sz w:val="24"/>
          <w:szCs w:val="24"/>
        </w:rPr>
        <w:t>控，投标人在评标过程中所</w:t>
      </w:r>
      <w:r>
        <w:rPr>
          <w:rFonts w:hint="eastAsia" w:ascii="仿宋" w:hAnsi="仿宋" w:eastAsia="仿宋" w:cs="仿宋"/>
          <w:spacing w:val="-1"/>
          <w:sz w:val="24"/>
          <w:szCs w:val="24"/>
        </w:rPr>
        <w:t>进行的试图影响评标结果的不公正活动，可能导致其投标被拒绝。</w:t>
      </w:r>
    </w:p>
    <w:p w14:paraId="3819948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七、合同授予</w:t>
      </w:r>
    </w:p>
    <w:p w14:paraId="2165978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9"/>
          <w:sz w:val="24"/>
          <w:szCs w:val="24"/>
        </w:rPr>
        <w:t>一）中标结果公告</w:t>
      </w:r>
    </w:p>
    <w:p w14:paraId="0840F53B">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中标人确定之日起2个工作</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日内，按照投标人须知前附表</w:t>
      </w:r>
      <w:r>
        <w:rPr>
          <w:rFonts w:hint="eastAsia" w:ascii="仿宋" w:hAnsi="仿宋" w:eastAsia="仿宋" w:cs="仿宋"/>
          <w:spacing w:val="-8"/>
          <w:sz w:val="24"/>
          <w:szCs w:val="24"/>
        </w:rPr>
        <w:t>规定的媒</w:t>
      </w:r>
      <w:r>
        <w:rPr>
          <w:rFonts w:hint="eastAsia" w:ascii="仿宋" w:hAnsi="仿宋" w:eastAsia="仿宋" w:cs="仿宋"/>
          <w:spacing w:val="-5"/>
          <w:sz w:val="24"/>
          <w:szCs w:val="24"/>
        </w:rPr>
        <w:t>介和期限公告中标结果，中标结果公告期限为1</w:t>
      </w:r>
      <w:r>
        <w:rPr>
          <w:rFonts w:hint="eastAsia" w:ascii="仿宋" w:hAnsi="仿宋" w:eastAsia="仿宋" w:cs="仿宋"/>
          <w:spacing w:val="-5"/>
          <w:sz w:val="24"/>
          <w:szCs w:val="24"/>
          <w:lang w:eastAsia="zh-CN"/>
        </w:rPr>
        <w:t>个</w:t>
      </w:r>
      <w:r>
        <w:rPr>
          <w:rFonts w:hint="eastAsia" w:ascii="仿宋" w:hAnsi="仿宋" w:eastAsia="仿宋" w:cs="仿宋"/>
          <w:spacing w:val="-5"/>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w:t>
      </w:r>
    </w:p>
    <w:p w14:paraId="33FDDAA5">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15"/>
          <w:sz w:val="24"/>
          <w:szCs w:val="24"/>
        </w:rPr>
        <w:t xml:space="preserve"> </w:t>
      </w:r>
      <w:r>
        <w:rPr>
          <w:rFonts w:hint="eastAsia" w:ascii="仿宋" w:hAnsi="仿宋" w:eastAsia="仿宋" w:cs="仿宋"/>
          <w:sz w:val="24"/>
          <w:szCs w:val="24"/>
        </w:rPr>
        <w:t>中标结果公告内容包括采购人及其委托的采购代理机构的名称、地</w:t>
      </w:r>
      <w:r>
        <w:rPr>
          <w:rFonts w:hint="eastAsia" w:ascii="仿宋" w:hAnsi="仿宋" w:eastAsia="仿宋" w:cs="仿宋"/>
          <w:spacing w:val="-1"/>
          <w:sz w:val="24"/>
          <w:szCs w:val="24"/>
        </w:rPr>
        <w:t>址、联系方式，项目名称和项目编号，中标人名称、地址和中标金额，主要中标标的的名称、规格型号、数量、单价、服务要求，中标公告期限以及评审专家抽取规则、开标情况、资格审查情况、符合性审查情况、专家评分情况、中标（成交）候选人推荐情况等。</w:t>
      </w:r>
    </w:p>
    <w:p w14:paraId="632B07D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二）评标结果异议</w:t>
      </w:r>
    </w:p>
    <w:p w14:paraId="1A17FF6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投标人或者其他利害关系人对评标结果有异议的，应当在中标候选人</w:t>
      </w:r>
      <w:r>
        <w:rPr>
          <w:rFonts w:hint="eastAsia" w:ascii="仿宋" w:hAnsi="仿宋" w:eastAsia="仿宋" w:cs="仿宋"/>
          <w:spacing w:val="-5"/>
          <w:sz w:val="24"/>
          <w:szCs w:val="24"/>
        </w:rPr>
        <w:t>公示期间提出。采购人将在收到异议之日起</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7个</w:t>
      </w:r>
      <w:r>
        <w:rPr>
          <w:rFonts w:hint="eastAsia" w:ascii="仿宋" w:hAnsi="仿宋" w:eastAsia="仿宋" w:cs="仿宋"/>
          <w:spacing w:val="-6"/>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6"/>
          <w:sz w:val="24"/>
          <w:szCs w:val="24"/>
        </w:rPr>
        <w:t>日内做出答复；做出</w:t>
      </w:r>
      <w:r>
        <w:rPr>
          <w:rFonts w:hint="eastAsia" w:ascii="仿宋" w:hAnsi="仿宋" w:eastAsia="仿宋" w:cs="仿宋"/>
          <w:spacing w:val="-2"/>
          <w:sz w:val="24"/>
          <w:szCs w:val="24"/>
        </w:rPr>
        <w:t>答复前，将暂停招标投标活动。</w:t>
      </w:r>
    </w:p>
    <w:p w14:paraId="50FEBCE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0"/>
          <w:sz w:val="24"/>
          <w:szCs w:val="24"/>
        </w:rPr>
        <w:t xml:space="preserve"> </w:t>
      </w:r>
      <w:r>
        <w:rPr>
          <w:rFonts w:hint="eastAsia" w:ascii="仿宋" w:hAnsi="仿宋" w:eastAsia="仿宋" w:cs="仿宋"/>
          <w:b/>
          <w:bCs/>
          <w:spacing w:val="-6"/>
          <w:sz w:val="24"/>
          <w:szCs w:val="24"/>
        </w:rPr>
        <w:t>三）中标候选人履约能力审查</w:t>
      </w:r>
    </w:p>
    <w:p w14:paraId="1CF0677D">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中标候选人的经营、财务状况发生较大变化或存在违法行</w:t>
      </w:r>
      <w:r>
        <w:rPr>
          <w:rFonts w:hint="eastAsia" w:ascii="仿宋" w:hAnsi="仿宋" w:eastAsia="仿宋" w:cs="仿宋"/>
          <w:spacing w:val="-5"/>
          <w:sz w:val="24"/>
          <w:szCs w:val="24"/>
        </w:rPr>
        <w:t>为，采购人</w:t>
      </w:r>
      <w:r>
        <w:rPr>
          <w:rFonts w:hint="eastAsia" w:ascii="仿宋" w:hAnsi="仿宋" w:eastAsia="仿宋" w:cs="仿宋"/>
          <w:spacing w:val="-3"/>
          <w:sz w:val="24"/>
          <w:szCs w:val="24"/>
        </w:rPr>
        <w:t>认为可能影响其履约能力的，将在发出中标通知书前提请原评标委员会按</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照招标采购文件规定的标准和方法进行审查确认。</w:t>
      </w:r>
    </w:p>
    <w:p w14:paraId="776AB6B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10" w:firstLineChars="200"/>
        <w:textAlignment w:val="auto"/>
        <w:outlineLvl w:val="2"/>
        <w:rPr>
          <w:rFonts w:hint="eastAsia" w:ascii="仿宋" w:hAnsi="仿宋" w:eastAsia="仿宋" w:cs="仿宋"/>
          <w:sz w:val="24"/>
          <w:szCs w:val="24"/>
        </w:rPr>
      </w:pPr>
      <w:r>
        <w:rPr>
          <w:rFonts w:hint="eastAsia" w:ascii="仿宋" w:hAnsi="仿宋" w:eastAsia="仿宋" w:cs="仿宋"/>
          <w:b/>
          <w:bCs/>
          <w:spacing w:val="-18"/>
          <w:sz w:val="24"/>
          <w:szCs w:val="24"/>
        </w:rPr>
        <w:t>（</w:t>
      </w:r>
      <w:r>
        <w:rPr>
          <w:rFonts w:hint="eastAsia" w:ascii="仿宋" w:hAnsi="仿宋" w:eastAsia="仿宋" w:cs="仿宋"/>
          <w:spacing w:val="-48"/>
          <w:sz w:val="24"/>
          <w:szCs w:val="24"/>
        </w:rPr>
        <w:t xml:space="preserve"> </w:t>
      </w:r>
      <w:r>
        <w:rPr>
          <w:rFonts w:hint="eastAsia" w:ascii="仿宋" w:hAnsi="仿宋" w:eastAsia="仿宋" w:cs="仿宋"/>
          <w:b/>
          <w:bCs/>
          <w:spacing w:val="-18"/>
          <w:sz w:val="24"/>
          <w:szCs w:val="24"/>
        </w:rPr>
        <w:t>四）定标</w:t>
      </w:r>
    </w:p>
    <w:p w14:paraId="65BA83FA">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1.按照投标人须知前附表的规定，采购人或采购人委托的评标</w:t>
      </w:r>
      <w:r>
        <w:rPr>
          <w:rFonts w:hint="eastAsia" w:ascii="仿宋" w:hAnsi="仿宋" w:eastAsia="仿宋" w:cs="仿宋"/>
          <w:spacing w:val="-2"/>
          <w:sz w:val="24"/>
          <w:szCs w:val="24"/>
        </w:rPr>
        <w:t>委员会依法确定中标人。</w:t>
      </w:r>
    </w:p>
    <w:p w14:paraId="600CCC87">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中标人应为浙江政府采购注册正式供应商，如尚未注册，必须在投</w:t>
      </w:r>
      <w:r>
        <w:rPr>
          <w:rFonts w:hint="eastAsia" w:ascii="仿宋" w:hAnsi="仿宋" w:eastAsia="仿宋" w:cs="仿宋"/>
          <w:spacing w:val="-5"/>
          <w:sz w:val="24"/>
          <w:szCs w:val="24"/>
        </w:rPr>
        <w:t>标截止前按照《浙江省政府采购供应商注册及诚信管理暂行办法》（</w:t>
      </w:r>
      <w:r>
        <w:rPr>
          <w:rFonts w:hint="eastAsia" w:ascii="仿宋" w:hAnsi="仿宋" w:eastAsia="仿宋" w:cs="仿宋"/>
          <w:spacing w:val="-64"/>
          <w:sz w:val="24"/>
          <w:szCs w:val="24"/>
        </w:rPr>
        <w:t xml:space="preserve"> </w:t>
      </w:r>
      <w:r>
        <w:rPr>
          <w:rFonts w:hint="eastAsia" w:ascii="仿宋" w:hAnsi="仿宋" w:eastAsia="仿宋" w:cs="仿宋"/>
          <w:spacing w:val="-5"/>
          <w:sz w:val="24"/>
          <w:szCs w:val="24"/>
        </w:rPr>
        <w:t>浙财</w:t>
      </w:r>
      <w:r>
        <w:rPr>
          <w:rFonts w:hint="eastAsia" w:ascii="仿宋" w:hAnsi="仿宋" w:eastAsia="仿宋" w:cs="仿宋"/>
          <w:sz w:val="24"/>
          <w:szCs w:val="24"/>
        </w:rPr>
        <w:t xml:space="preserve"> </w:t>
      </w:r>
      <w:r>
        <w:rPr>
          <w:rFonts w:hint="eastAsia" w:ascii="仿宋" w:hAnsi="仿宋" w:eastAsia="仿宋" w:cs="仿宋"/>
          <w:spacing w:val="-3"/>
          <w:sz w:val="24"/>
          <w:szCs w:val="24"/>
        </w:rPr>
        <w:t>采监字［2009］28号</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）的相关规定，及时办理更新或供应</w:t>
      </w:r>
      <w:r>
        <w:rPr>
          <w:rFonts w:hint="eastAsia" w:ascii="仿宋" w:hAnsi="仿宋" w:eastAsia="仿宋" w:cs="仿宋"/>
          <w:spacing w:val="-4"/>
          <w:sz w:val="24"/>
          <w:szCs w:val="24"/>
        </w:rPr>
        <w:t>商注册事项。</w:t>
      </w:r>
    </w:p>
    <w:p w14:paraId="6DD5331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（五）中标通知</w:t>
      </w:r>
    </w:p>
    <w:p w14:paraId="493430B2">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在本章规定的投标有效期内，在公告中标结果的同时，采购人或者采</w:t>
      </w:r>
      <w:r>
        <w:rPr>
          <w:rFonts w:hint="eastAsia" w:ascii="仿宋" w:hAnsi="仿宋" w:eastAsia="仿宋" w:cs="仿宋"/>
          <w:spacing w:val="-2"/>
          <w:sz w:val="24"/>
          <w:szCs w:val="24"/>
        </w:rPr>
        <w:t>购代理机构向中标人发出中标通知书。</w:t>
      </w:r>
    </w:p>
    <w:p w14:paraId="50A04D2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5"/>
          <w:sz w:val="24"/>
          <w:szCs w:val="24"/>
        </w:rPr>
        <w:t>六）履约保证金</w:t>
      </w:r>
      <w:r>
        <w:rPr>
          <w:rFonts w:hint="eastAsia" w:ascii="仿宋" w:hAnsi="仿宋" w:eastAsia="仿宋" w:cs="仿宋"/>
          <w:b/>
          <w:bCs/>
          <w:color w:val="0000FF"/>
          <w:spacing w:val="-5"/>
          <w:sz w:val="24"/>
          <w:szCs w:val="24"/>
        </w:rPr>
        <w:t>（本项目不适用）</w:t>
      </w:r>
    </w:p>
    <w:p w14:paraId="2851BA80">
      <w:pPr>
        <w:pStyle w:val="26"/>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textAlignment w:val="auto"/>
        <w:rPr>
          <w:rFonts w:ascii="仿宋" w:eastAsia="仿宋"/>
          <w:b w:val="0"/>
          <w:bCs w:val="0"/>
        </w:rPr>
      </w:pPr>
      <w:r>
        <w:rPr>
          <w:rFonts w:hint="eastAsia" w:ascii="仿宋" w:eastAsia="仿宋" w:cs="Helvetica"/>
          <w:b w:val="0"/>
          <w:bCs w:val="0"/>
        </w:rPr>
        <w:t>拟签订的合同文本要求成交人提交履约保证金的，供应商应当以支票、汇票、本票或者金融机构、担保机构出具的保函等非现金形式提交</w:t>
      </w:r>
      <w:r>
        <w:rPr>
          <w:rFonts w:hint="eastAsia" w:ascii="仿宋" w:eastAsia="仿宋"/>
          <w:b w:val="0"/>
          <w:bCs w:val="0"/>
        </w:rPr>
        <w:t>。履约保证金的数额不得超过政府采购合同总额的1</w:t>
      </w:r>
      <w:r>
        <w:rPr>
          <w:rFonts w:ascii="仿宋" w:eastAsia="仿宋"/>
          <w:b w:val="0"/>
          <w:bCs w:val="0"/>
        </w:rPr>
        <w:t>%。</w:t>
      </w:r>
      <w:r>
        <w:rPr>
          <w:rFonts w:hint="eastAsia" w:ascii="仿宋" w:eastAsia="仿宋"/>
          <w:b w:val="0"/>
          <w:bCs w:val="0"/>
        </w:rPr>
        <w:t>鼓励和支持供应商以履约保函形式提供履约保证金。中标人不能按要求提交履约保证金的，视为放弃中标，中标人应当对采购人的损失予以赔偿。</w:t>
      </w:r>
    </w:p>
    <w:p w14:paraId="613D936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eastAsia="仿宋" w:cs="仿宋_GB2312"/>
          <w:sz w:val="24"/>
          <w:szCs w:val="24"/>
        </w:rPr>
      </w:pPr>
      <w:r>
        <w:rPr>
          <w:rFonts w:hint="eastAsia" w:asci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D8B36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七）合同签订</w:t>
      </w:r>
    </w:p>
    <w:p w14:paraId="36F4EE9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8"/>
          <w:szCs w:val="28"/>
        </w:rPr>
      </w:pPr>
      <w:r>
        <w:rPr>
          <w:rFonts w:hint="eastAsia" w:ascii="仿宋" w:hAnsi="仿宋" w:eastAsia="仿宋" w:cs="仿宋"/>
          <w:spacing w:val="1"/>
          <w:sz w:val="24"/>
          <w:szCs w:val="24"/>
        </w:rPr>
        <w:t>1.采购人和中标人应当在中标通知书发出之日起</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20</w:t>
      </w:r>
      <w:r>
        <w:rPr>
          <w:rFonts w:hint="eastAsia" w:ascii="仿宋" w:hAnsi="仿宋" w:eastAsia="仿宋" w:cs="仿宋"/>
          <w:sz w:val="24"/>
          <w:szCs w:val="24"/>
        </w:rPr>
        <w:t>日历天内，根据</w:t>
      </w:r>
      <w:r>
        <w:rPr>
          <w:rFonts w:hint="eastAsia" w:ascii="仿宋" w:hAnsi="仿宋" w:eastAsia="仿宋" w:cs="仿宋"/>
          <w:spacing w:val="-3"/>
          <w:sz w:val="24"/>
          <w:szCs w:val="24"/>
        </w:rPr>
        <w:t>招标采购文件和中标人的投标文件订立书面合同，并在签订之日起</w:t>
      </w:r>
      <w:r>
        <w:rPr>
          <w:rFonts w:hint="eastAsia" w:ascii="仿宋" w:hAnsi="仿宋" w:eastAsia="仿宋" w:cs="仿宋"/>
          <w:spacing w:val="-56"/>
          <w:sz w:val="24"/>
          <w:szCs w:val="24"/>
        </w:rPr>
        <w:t xml:space="preserve"> </w:t>
      </w:r>
      <w:r>
        <w:rPr>
          <w:rFonts w:hint="eastAsia" w:ascii="仿宋" w:hAnsi="仿宋" w:eastAsia="仿宋" w:cs="仿宋"/>
          <w:spacing w:val="-3"/>
          <w:sz w:val="24"/>
          <w:szCs w:val="24"/>
        </w:rPr>
        <w:t>2个工</w:t>
      </w:r>
      <w:r>
        <w:rPr>
          <w:rFonts w:hint="eastAsia" w:ascii="仿宋" w:hAnsi="仿宋" w:eastAsia="仿宋" w:cs="仿宋"/>
          <w:spacing w:val="-5"/>
          <w:sz w:val="24"/>
          <w:szCs w:val="24"/>
        </w:rPr>
        <w:t>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日内将政府采购合同在浙江政府采购网上公告。鼓励有</w:t>
      </w:r>
      <w:r>
        <w:rPr>
          <w:rFonts w:hint="eastAsia" w:ascii="仿宋" w:hAnsi="仿宋" w:eastAsia="仿宋" w:cs="仿宋"/>
          <w:spacing w:val="-6"/>
          <w:sz w:val="24"/>
          <w:szCs w:val="24"/>
        </w:rPr>
        <w:t>条件的采购人视</w:t>
      </w:r>
      <w:r>
        <w:rPr>
          <w:rFonts w:hint="eastAsia" w:ascii="仿宋" w:hAnsi="仿宋" w:eastAsia="仿宋" w:cs="仿宋"/>
          <w:spacing w:val="-3"/>
          <w:sz w:val="24"/>
          <w:szCs w:val="24"/>
        </w:rPr>
        <w:t>情缩减采购合同签订时限，提高采购效率，杜绝“冷、硬、横、推”等不</w:t>
      </w:r>
      <w:r>
        <w:rPr>
          <w:rFonts w:hint="eastAsia" w:ascii="仿宋" w:hAnsi="仿宋" w:eastAsia="仿宋" w:cs="仿宋"/>
          <w:sz w:val="24"/>
          <w:szCs w:val="24"/>
        </w:rPr>
        <w:t xml:space="preserve"> </w:t>
      </w:r>
      <w:r>
        <w:rPr>
          <w:rFonts w:hint="eastAsia" w:ascii="仿宋" w:hAnsi="仿宋" w:eastAsia="仿宋" w:cs="仿宋"/>
          <w:spacing w:val="-2"/>
          <w:sz w:val="24"/>
          <w:szCs w:val="24"/>
        </w:rPr>
        <w:t>当行为。所签订的合同不得对招标文件确定的事项和中标人投</w:t>
      </w:r>
      <w:r>
        <w:rPr>
          <w:rFonts w:hint="eastAsia" w:ascii="仿宋" w:hAnsi="仿宋" w:eastAsia="仿宋" w:cs="仿宋"/>
          <w:spacing w:val="-3"/>
          <w:sz w:val="24"/>
          <w:szCs w:val="24"/>
        </w:rPr>
        <w:t>标文件作实</w:t>
      </w:r>
      <w:r>
        <w:rPr>
          <w:rFonts w:hint="eastAsia" w:ascii="仿宋" w:hAnsi="仿宋" w:eastAsia="仿宋" w:cs="仿宋"/>
          <w:sz w:val="24"/>
          <w:szCs w:val="24"/>
        </w:rPr>
        <w:t xml:space="preserve"> </w:t>
      </w:r>
      <w:r>
        <w:rPr>
          <w:rFonts w:hint="eastAsia" w:ascii="仿宋" w:hAnsi="仿宋" w:eastAsia="仿宋" w:cs="仿宋"/>
          <w:spacing w:val="-2"/>
          <w:sz w:val="24"/>
          <w:szCs w:val="24"/>
        </w:rPr>
        <w:t>质性修改。采购人不得向中标人提出任何不合理的要求作为签</w:t>
      </w:r>
      <w:r>
        <w:rPr>
          <w:rFonts w:hint="eastAsia" w:ascii="仿宋" w:hAnsi="仿宋" w:eastAsia="仿宋" w:cs="仿宋"/>
          <w:spacing w:val="-3"/>
          <w:sz w:val="24"/>
          <w:szCs w:val="24"/>
        </w:rPr>
        <w:t>订合同的条</w:t>
      </w:r>
      <w:r>
        <w:rPr>
          <w:rFonts w:hint="eastAsia" w:ascii="仿宋" w:hAnsi="仿宋" w:eastAsia="仿宋" w:cs="仿宋"/>
          <w:sz w:val="24"/>
          <w:szCs w:val="24"/>
        </w:rPr>
        <w:t>件。中标人无正当理由拒签合同，在签订合同时向采购人提出附加条件，</w:t>
      </w:r>
      <w:r>
        <w:rPr>
          <w:rFonts w:hint="eastAsia" w:ascii="仿宋" w:hAnsi="仿宋" w:eastAsia="仿宋" w:cs="仿宋"/>
          <w:spacing w:val="-2"/>
          <w:sz w:val="24"/>
          <w:szCs w:val="24"/>
        </w:rPr>
        <w:t>或者不按照招标采购文件要求提交履约保证金的，采购人有权</w:t>
      </w:r>
      <w:r>
        <w:rPr>
          <w:rFonts w:hint="eastAsia" w:ascii="仿宋" w:hAnsi="仿宋" w:eastAsia="仿宋" w:cs="仿宋"/>
          <w:spacing w:val="-3"/>
          <w:sz w:val="24"/>
          <w:szCs w:val="24"/>
        </w:rPr>
        <w:t>取消其中标</w:t>
      </w:r>
      <w:r>
        <w:rPr>
          <w:rFonts w:hint="eastAsia" w:ascii="仿宋" w:hAnsi="仿宋" w:eastAsia="仿宋" w:cs="仿宋"/>
          <w:spacing w:val="-1"/>
          <w:sz w:val="24"/>
          <w:szCs w:val="24"/>
        </w:rPr>
        <w:t>资格，给采购人造成损失的，中标人应当对采购人的损失予以赔偿。</w:t>
      </w:r>
      <w:r>
        <w:rPr>
          <w:rFonts w:hint="eastAsia" w:ascii="仿宋" w:hAnsi="仿宋" w:eastAsia="仿宋" w:cs="仿宋"/>
          <w:color w:val="0000FF"/>
          <w:spacing w:val="-2"/>
          <w:sz w:val="24"/>
          <w:szCs w:val="24"/>
          <w:u w:val="single"/>
        </w:rPr>
        <w:t>并上报主管部门列入黑名单、失信名单。</w:t>
      </w:r>
    </w:p>
    <w:p w14:paraId="72FBFE81">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2.中标人按规定的日期、时间、地点，由法定代表人或其授权代表与</w:t>
      </w:r>
      <w:r>
        <w:rPr>
          <w:rFonts w:hint="eastAsia" w:ascii="仿宋" w:hAnsi="仿宋" w:eastAsia="仿宋" w:cs="仿宋"/>
          <w:spacing w:val="-3"/>
          <w:sz w:val="24"/>
          <w:szCs w:val="24"/>
        </w:rPr>
        <w:t>采购人代表签订合同。如中标人为联合体的，由联合体成员各方法定代表</w:t>
      </w:r>
      <w:r>
        <w:rPr>
          <w:rFonts w:hint="eastAsia" w:ascii="仿宋" w:hAnsi="仿宋" w:eastAsia="仿宋" w:cs="仿宋"/>
          <w:spacing w:val="-1"/>
          <w:sz w:val="24"/>
          <w:szCs w:val="24"/>
        </w:rPr>
        <w:t>人或其授权代表与采购人代表签订合同。</w:t>
      </w:r>
    </w:p>
    <w:p w14:paraId="75D0B6F3">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3.如签订合同并生效后，供应商无故拒绝或延</w:t>
      </w:r>
      <w:r>
        <w:rPr>
          <w:rFonts w:hint="eastAsia" w:ascii="仿宋" w:hAnsi="仿宋" w:eastAsia="仿宋" w:cs="仿宋"/>
          <w:spacing w:val="-1"/>
          <w:sz w:val="24"/>
          <w:szCs w:val="24"/>
        </w:rPr>
        <w:t>期，除按照合同条款处理外，列入不良行为记录一次，并给予通报。</w:t>
      </w:r>
    </w:p>
    <w:p w14:paraId="49FCADF4">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4.中标人拒绝与采购人签订合同的，采购人可以按照评审报告推荐的</w:t>
      </w:r>
      <w:r>
        <w:rPr>
          <w:rFonts w:hint="eastAsia" w:ascii="仿宋" w:hAnsi="仿宋" w:eastAsia="仿宋" w:cs="仿宋"/>
          <w:spacing w:val="-3"/>
          <w:sz w:val="24"/>
          <w:szCs w:val="24"/>
        </w:rPr>
        <w:t>中标或者中标候选人名单排序，确定下一候选人为中标人，也可以重新开</w:t>
      </w:r>
      <w:r>
        <w:rPr>
          <w:rFonts w:hint="eastAsia" w:ascii="仿宋" w:hAnsi="仿宋" w:eastAsia="仿宋" w:cs="仿宋"/>
          <w:spacing w:val="-2"/>
          <w:sz w:val="24"/>
          <w:szCs w:val="24"/>
        </w:rPr>
        <w:t>展政府采购活动。</w:t>
      </w:r>
    </w:p>
    <w:p w14:paraId="093B1E44">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5.政府采购货物和服务项目不得收取质量</w:t>
      </w:r>
      <w:r>
        <w:rPr>
          <w:rFonts w:hint="eastAsia" w:ascii="仿宋" w:hAnsi="仿宋" w:eastAsia="仿宋" w:cs="仿宋"/>
          <w:spacing w:val="-1"/>
          <w:sz w:val="24"/>
          <w:szCs w:val="24"/>
        </w:rPr>
        <w:t>保证金。政府采购工程以及</w:t>
      </w:r>
      <w:r>
        <w:rPr>
          <w:rFonts w:hint="eastAsia" w:ascii="仿宋" w:hAnsi="仿宋" w:eastAsia="仿宋" w:cs="仿宋"/>
          <w:spacing w:val="-3"/>
          <w:sz w:val="24"/>
          <w:szCs w:val="24"/>
        </w:rPr>
        <w:t>与工程建设有关的货物、服务，采用招标方式采购的，按国家和省有关规</w:t>
      </w:r>
      <w:r>
        <w:rPr>
          <w:rFonts w:hint="eastAsia" w:ascii="仿宋" w:hAnsi="仿宋" w:eastAsia="仿宋" w:cs="仿宋"/>
          <w:spacing w:val="-4"/>
          <w:sz w:val="24"/>
          <w:szCs w:val="24"/>
        </w:rPr>
        <w:t>定执行。</w:t>
      </w:r>
    </w:p>
    <w:p w14:paraId="1B82A9B1">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6.投标人在本招标项目的竞争中应自觉遵循诚实信用原则，不得存在</w:t>
      </w:r>
      <w:r>
        <w:rPr>
          <w:rFonts w:hint="eastAsia" w:ascii="仿宋" w:hAnsi="仿宋" w:eastAsia="仿宋" w:cs="仿宋"/>
          <w:spacing w:val="-3"/>
          <w:sz w:val="24"/>
          <w:szCs w:val="24"/>
        </w:rPr>
        <w:t>腐败、欺诈或其他违背诚信原则的行为。如果采购人有证据表明投标人在本招标项目的竞争中存在腐败、欺诈、失信记录或其他严重违背诚信原则</w:t>
      </w:r>
      <w:r>
        <w:rPr>
          <w:rFonts w:hint="eastAsia" w:ascii="仿宋" w:hAnsi="仿宋" w:eastAsia="仿宋" w:cs="仿宋"/>
          <w:spacing w:val="-1"/>
          <w:sz w:val="24"/>
          <w:szCs w:val="24"/>
        </w:rPr>
        <w:t>的行为，则将拒绝其投标，或中标无效。</w:t>
      </w:r>
    </w:p>
    <w:p w14:paraId="0444C78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（八）验收</w:t>
      </w:r>
    </w:p>
    <w:p w14:paraId="52A5BE1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1.采购人组织对供应商履约的验收。大型或者复杂的政府采购项</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目，</w:t>
      </w:r>
      <w:r>
        <w:rPr>
          <w:rFonts w:hint="eastAsia" w:ascii="仿宋" w:hAnsi="仿宋" w:eastAsia="仿宋" w:cs="仿宋"/>
          <w:spacing w:val="-3"/>
          <w:sz w:val="24"/>
          <w:szCs w:val="24"/>
        </w:rPr>
        <w:t>应当邀请国家认可的质量检测机构参加验收工作。验收方成员应当在验收书上签字，并承担相应的法律责任。如果发现与合同中</w:t>
      </w:r>
      <w:r>
        <w:rPr>
          <w:rFonts w:hint="eastAsia" w:ascii="仿宋" w:hAnsi="仿宋" w:eastAsia="仿宋" w:cs="仿宋"/>
          <w:spacing w:val="-4"/>
          <w:sz w:val="24"/>
          <w:szCs w:val="24"/>
        </w:rPr>
        <w:t>要求不符，供应商</w:t>
      </w:r>
      <w:r>
        <w:rPr>
          <w:rFonts w:hint="eastAsia" w:ascii="仿宋" w:hAnsi="仿宋" w:eastAsia="仿宋" w:cs="仿宋"/>
          <w:spacing w:val="-1"/>
          <w:sz w:val="24"/>
          <w:szCs w:val="24"/>
        </w:rPr>
        <w:t>须承担由此发生的一切损失和费用，并接受相应的处理。</w:t>
      </w:r>
    </w:p>
    <w:p w14:paraId="72437DA2">
      <w:pPr>
        <w:keepNext w:val="0"/>
        <w:keepLines w:val="0"/>
        <w:pageBreakBefore w:val="0"/>
        <w:widowControl w:val="0"/>
        <w:kinsoku/>
        <w:wordWrap/>
        <w:overflowPunct/>
        <w:topLinePunct w:val="0"/>
        <w:autoSpaceDE w:val="0"/>
        <w:autoSpaceDN w:val="0"/>
        <w:bidi w:val="0"/>
        <w:adjustRightInd w:val="0"/>
        <w:snapToGrid/>
        <w:spacing w:line="420" w:lineRule="exact"/>
        <w:ind w:right="0" w:firstLine="504"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2.采购人可以邀请参加本项</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目的其他投标人或者第三方机构参与验</w:t>
      </w:r>
      <w:r>
        <w:rPr>
          <w:rFonts w:hint="eastAsia" w:ascii="仿宋" w:hAnsi="仿宋" w:eastAsia="仿宋" w:cs="仿宋"/>
          <w:spacing w:val="-3"/>
          <w:sz w:val="24"/>
          <w:szCs w:val="24"/>
        </w:rPr>
        <w:t>收。参与验收的投标人或者第三方机构的意见作为验收书的参考资料一并</w:t>
      </w:r>
      <w:r>
        <w:rPr>
          <w:rFonts w:hint="eastAsia" w:ascii="仿宋" w:hAnsi="仿宋" w:eastAsia="仿宋" w:cs="仿宋"/>
          <w:spacing w:val="-5"/>
          <w:sz w:val="24"/>
          <w:szCs w:val="24"/>
        </w:rPr>
        <w:t>存档。</w:t>
      </w:r>
    </w:p>
    <w:p w14:paraId="5FE965CB">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3.严格按照采购合同开展履约验收。采购</w:t>
      </w:r>
      <w:r>
        <w:rPr>
          <w:rFonts w:hint="eastAsia" w:ascii="仿宋" w:hAnsi="仿宋" w:eastAsia="仿宋" w:cs="仿宋"/>
          <w:spacing w:val="-1"/>
          <w:sz w:val="24"/>
          <w:szCs w:val="24"/>
        </w:rPr>
        <w:t>人成立验收小组，按照采购</w:t>
      </w:r>
      <w:r>
        <w:rPr>
          <w:rFonts w:hint="eastAsia" w:ascii="仿宋" w:hAnsi="仿宋" w:eastAsia="仿宋" w:cs="仿宋"/>
          <w:spacing w:val="-3"/>
          <w:sz w:val="24"/>
          <w:szCs w:val="24"/>
        </w:rPr>
        <w:t>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w:t>
      </w:r>
      <w:r>
        <w:rPr>
          <w:rFonts w:hint="eastAsia" w:ascii="仿宋" w:hAnsi="仿宋" w:eastAsia="仿宋" w:cs="仿宋"/>
          <w:spacing w:val="-1"/>
          <w:sz w:val="24"/>
          <w:szCs w:val="24"/>
        </w:rPr>
        <w:t>约验收的各项资料应当存档备查。</w:t>
      </w:r>
    </w:p>
    <w:p w14:paraId="43B9DB52">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4.采购人原则上应当在履约验收之日起</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2个工作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日内，将履约验收结</w:t>
      </w:r>
      <w:r>
        <w:rPr>
          <w:rFonts w:hint="eastAsia" w:ascii="仿宋" w:hAnsi="仿宋" w:eastAsia="仿宋" w:cs="仿宋"/>
          <w:spacing w:val="-2"/>
          <w:sz w:val="24"/>
          <w:szCs w:val="24"/>
        </w:rPr>
        <w:t>果在浙江政府采购网上公告。</w:t>
      </w:r>
    </w:p>
    <w:p w14:paraId="2C7E39C3">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5.验收合格的项</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目，采购人将根据采购合同的约定及时向供应商支付</w:t>
      </w:r>
      <w:r>
        <w:rPr>
          <w:rFonts w:hint="eastAsia" w:ascii="仿宋" w:hAnsi="仿宋" w:eastAsia="仿宋" w:cs="仿宋"/>
          <w:spacing w:val="-10"/>
          <w:sz w:val="24"/>
          <w:szCs w:val="24"/>
        </w:rPr>
        <w:t>采购资金、退还履约保证金。验收不合格的项</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目，采购人将依法及时</w:t>
      </w:r>
      <w:r>
        <w:rPr>
          <w:rFonts w:hint="eastAsia" w:ascii="仿宋" w:hAnsi="仿宋" w:eastAsia="仿宋" w:cs="仿宋"/>
          <w:spacing w:val="-11"/>
          <w:sz w:val="24"/>
          <w:szCs w:val="24"/>
        </w:rPr>
        <w:t>处理。</w:t>
      </w:r>
      <w:r>
        <w:rPr>
          <w:rFonts w:hint="eastAsia" w:ascii="仿宋" w:hAnsi="仿宋" w:eastAsia="仿宋" w:cs="仿宋"/>
          <w:spacing w:val="-3"/>
          <w:sz w:val="24"/>
          <w:szCs w:val="24"/>
        </w:rPr>
        <w:t>采购合同的履行、违约责任和解决争议的方式等适用《中华人民共和国民</w:t>
      </w:r>
      <w:r>
        <w:rPr>
          <w:rFonts w:hint="eastAsia" w:ascii="仿宋" w:hAnsi="仿宋" w:eastAsia="仿宋" w:cs="仿宋"/>
          <w:spacing w:val="-8"/>
          <w:sz w:val="24"/>
          <w:szCs w:val="24"/>
        </w:rPr>
        <w:t>法典》。供应商在履约过程中有政府采购法律法规规定的违法违规情形的，</w:t>
      </w:r>
      <w:r>
        <w:rPr>
          <w:rFonts w:hint="eastAsia" w:ascii="仿宋" w:hAnsi="仿宋" w:eastAsia="仿宋" w:cs="仿宋"/>
          <w:spacing w:val="-2"/>
          <w:sz w:val="24"/>
          <w:szCs w:val="24"/>
        </w:rPr>
        <w:t>采购人应当及时报告本级财政部门。</w:t>
      </w:r>
    </w:p>
    <w:p w14:paraId="6933C18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（九）资金支付</w:t>
      </w:r>
    </w:p>
    <w:p w14:paraId="4BBEB3B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pacing w:val="-1"/>
          <w:sz w:val="24"/>
          <w:szCs w:val="24"/>
        </w:rPr>
      </w:pPr>
      <w:r>
        <w:rPr>
          <w:rFonts w:hint="eastAsia" w:ascii="仿宋" w:hAnsi="仿宋" w:eastAsia="仿宋" w:cs="仿宋"/>
          <w:spacing w:val="-3"/>
          <w:sz w:val="24"/>
          <w:szCs w:val="24"/>
        </w:rPr>
        <w:t>采购单位应当及时组织项目验收，不得以政府部门审计作为支付供应商款项的条件。采购单位对于满足合同约定支付条件的，</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自收到发票后</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5"/>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日内将资金支付到合同约定的供应商账户。采购单位</w:t>
      </w:r>
      <w:r>
        <w:rPr>
          <w:rFonts w:hint="eastAsia" w:ascii="仿宋" w:hAnsi="仿宋" w:eastAsia="仿宋" w:cs="仿宋"/>
          <w:spacing w:val="-6"/>
          <w:sz w:val="24"/>
          <w:szCs w:val="24"/>
        </w:rPr>
        <w:t>不得以机构变</w:t>
      </w:r>
      <w:r>
        <w:rPr>
          <w:rFonts w:hint="eastAsia" w:ascii="仿宋" w:hAnsi="仿宋" w:eastAsia="仿宋" w:cs="仿宋"/>
          <w:spacing w:val="-3"/>
          <w:sz w:val="24"/>
          <w:szCs w:val="24"/>
        </w:rPr>
        <w:t>动、人员更替、政策调整、单位放假、履行内部付款流程，或者在合同未作约定的情况下以等待竣工验收批复、决算审计等为由迟延付款。迟延支</w:t>
      </w:r>
      <w:r>
        <w:rPr>
          <w:rFonts w:hint="eastAsia" w:ascii="仿宋" w:hAnsi="仿宋" w:eastAsia="仿宋" w:cs="仿宋"/>
          <w:spacing w:val="-1"/>
          <w:sz w:val="24"/>
          <w:szCs w:val="24"/>
        </w:rPr>
        <w:t>付中小企业款项的，供应商可要求采购单位支付逾期利息。</w:t>
      </w:r>
    </w:p>
    <w:p w14:paraId="0FE71D2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rPr>
          <w:rFonts w:hint="eastAsia" w:ascii="仿宋" w:hAnsi="仿宋" w:eastAsia="仿宋" w:cs="仿宋"/>
          <w:sz w:val="24"/>
          <w:szCs w:val="24"/>
        </w:rPr>
      </w:pPr>
      <w:r>
        <w:rPr>
          <w:rFonts w:hint="eastAsia" w:ascii="仿宋" w:hAnsi="仿宋" w:eastAsia="仿宋" w:cs="仿宋"/>
          <w:b/>
          <w:bCs/>
          <w:spacing w:val="-4"/>
          <w:sz w:val="24"/>
          <w:szCs w:val="24"/>
        </w:rPr>
        <w:t>八、纪律和监督</w:t>
      </w:r>
    </w:p>
    <w:p w14:paraId="2E9CE9A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一）对采购人的纪律要求</w:t>
      </w:r>
    </w:p>
    <w:p w14:paraId="5125B2E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采购人不得泄露招标投标活动中应当保密的情况和资料，不得与投标人串通损害国家利益、社会公共利益或者他人合法权益。</w:t>
      </w:r>
    </w:p>
    <w:p w14:paraId="7D3B3D9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二）对投标人的纪律要求</w:t>
      </w:r>
    </w:p>
    <w:p w14:paraId="2561A835">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投标人不得相互串通投标或者与采购人串通投标，不得向采购人或者评标委员会成员行贿谋取中标，不得以他人名义投标或者以其他方式弄虚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作假骗取中标；投标人不得以任何方式干扰、影响评标工作。</w:t>
      </w:r>
    </w:p>
    <w:p w14:paraId="3EB2034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3"/>
          <w:sz w:val="24"/>
          <w:szCs w:val="24"/>
        </w:rPr>
        <w:t xml:space="preserve"> </w:t>
      </w:r>
      <w:r>
        <w:rPr>
          <w:rFonts w:hint="eastAsia" w:ascii="仿宋" w:hAnsi="仿宋" w:eastAsia="仿宋" w:cs="仿宋"/>
          <w:b/>
          <w:bCs/>
          <w:spacing w:val="-6"/>
          <w:sz w:val="24"/>
          <w:szCs w:val="24"/>
        </w:rPr>
        <w:t>三）对评标委员会成员的纪律要求</w:t>
      </w:r>
    </w:p>
    <w:p w14:paraId="48CECD8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w:t>
      </w:r>
      <w:r>
        <w:rPr>
          <w:rFonts w:hint="eastAsia" w:ascii="仿宋" w:hAnsi="仿宋" w:eastAsia="仿宋" w:cs="仿宋"/>
          <w:spacing w:val="-4"/>
          <w:sz w:val="24"/>
          <w:szCs w:val="24"/>
        </w:rPr>
        <w:t>业道德，不得擅离职守，影响评标程序正常</w:t>
      </w:r>
      <w:r>
        <w:rPr>
          <w:rFonts w:hint="eastAsia" w:ascii="仿宋" w:hAnsi="仿宋" w:eastAsia="仿宋" w:cs="仿宋"/>
          <w:spacing w:val="-5"/>
          <w:sz w:val="24"/>
          <w:szCs w:val="24"/>
        </w:rPr>
        <w:t>进行，不得使用第五章“评标办</w:t>
      </w:r>
      <w:r>
        <w:rPr>
          <w:rFonts w:hint="eastAsia" w:ascii="仿宋" w:hAnsi="仿宋" w:eastAsia="仿宋" w:cs="仿宋"/>
          <w:spacing w:val="-2"/>
          <w:sz w:val="24"/>
          <w:szCs w:val="24"/>
        </w:rPr>
        <w:t>法”没有规定的评审因素和标准进行评标。</w:t>
      </w:r>
    </w:p>
    <w:p w14:paraId="2831EB0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42"/>
          <w:sz w:val="24"/>
          <w:szCs w:val="24"/>
        </w:rPr>
        <w:t xml:space="preserve"> </w:t>
      </w:r>
      <w:r>
        <w:rPr>
          <w:rFonts w:hint="eastAsia" w:ascii="仿宋" w:hAnsi="仿宋" w:eastAsia="仿宋" w:cs="仿宋"/>
          <w:b/>
          <w:bCs/>
          <w:spacing w:val="-6"/>
          <w:sz w:val="24"/>
          <w:szCs w:val="24"/>
        </w:rPr>
        <w:t>四）对与评标活动有关的工作人员的纪律要求</w:t>
      </w:r>
    </w:p>
    <w:p w14:paraId="698A955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与评标活动有关的工作人员不得收受他人的财物或者其他好处</w:t>
      </w:r>
      <w:r>
        <w:rPr>
          <w:rFonts w:hint="eastAsia" w:ascii="仿宋" w:hAnsi="仿宋" w:eastAsia="仿宋" w:cs="仿宋"/>
          <w:spacing w:val="-2"/>
          <w:sz w:val="24"/>
          <w:szCs w:val="24"/>
        </w:rPr>
        <w:t>，不得</w:t>
      </w:r>
      <w:r>
        <w:rPr>
          <w:rFonts w:hint="eastAsia" w:ascii="仿宋" w:hAnsi="仿宋" w:eastAsia="仿宋" w:cs="仿宋"/>
          <w:spacing w:val="-1"/>
          <w:sz w:val="24"/>
          <w:szCs w:val="24"/>
        </w:rPr>
        <w:t>向他人透露对投标文件的评审和比较、中标候选人的推荐情况以及评标有</w:t>
      </w:r>
      <w:r>
        <w:rPr>
          <w:rFonts w:hint="eastAsia" w:ascii="仿宋" w:hAnsi="仿宋" w:eastAsia="仿宋" w:cs="仿宋"/>
          <w:spacing w:val="-7"/>
          <w:sz w:val="24"/>
          <w:szCs w:val="24"/>
        </w:rPr>
        <w:t>关的其他情况。在评标活动中，与评标活动有关的工作人员不得擅离职守，</w:t>
      </w:r>
      <w:r>
        <w:rPr>
          <w:rFonts w:hint="eastAsia" w:ascii="仿宋" w:hAnsi="仿宋" w:eastAsia="仿宋" w:cs="仿宋"/>
          <w:spacing w:val="-3"/>
          <w:sz w:val="24"/>
          <w:szCs w:val="24"/>
        </w:rPr>
        <w:t>影响评标程序正常进行。</w:t>
      </w:r>
    </w:p>
    <w:p w14:paraId="111B446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rPr>
          <w:rFonts w:hint="eastAsia" w:ascii="仿宋" w:hAnsi="仿宋" w:eastAsia="仿宋" w:cs="仿宋"/>
          <w:sz w:val="24"/>
          <w:szCs w:val="24"/>
        </w:rPr>
      </w:pPr>
      <w:r>
        <w:rPr>
          <w:rFonts w:hint="eastAsia" w:ascii="仿宋" w:hAnsi="仿宋" w:eastAsia="仿宋" w:cs="仿宋"/>
          <w:b/>
          <w:bCs/>
          <w:spacing w:val="-5"/>
          <w:sz w:val="24"/>
          <w:szCs w:val="24"/>
        </w:rPr>
        <w:t>九、采购方式改变</w:t>
      </w:r>
    </w:p>
    <w:p w14:paraId="5EB4A373">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（一）在符合资格的投标人不足规定数量或投标人提供的货物（服务）</w:t>
      </w:r>
      <w:r>
        <w:rPr>
          <w:rFonts w:hint="eastAsia" w:ascii="仿宋" w:hAnsi="仿宋" w:eastAsia="仿宋" w:cs="仿宋"/>
          <w:spacing w:val="-1"/>
          <w:sz w:val="24"/>
          <w:szCs w:val="24"/>
        </w:rPr>
        <w:t>及其报价、售后服务承诺等不能满足采购人要求，以及招标采购过程中出</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现其他不正常情况时，采购人将需要重新选择合适的方式进行采购。</w:t>
      </w:r>
    </w:p>
    <w:p w14:paraId="5FA5E83B">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6"/>
          <w:sz w:val="24"/>
          <w:szCs w:val="24"/>
        </w:rPr>
        <w:t>二）出现下列情形之一的，应予废标：</w:t>
      </w:r>
      <w:r>
        <w:rPr>
          <w:rFonts w:hint="eastAsia" w:ascii="仿宋" w:hAnsi="仿宋" w:eastAsia="仿宋" w:cs="仿宋"/>
          <w:sz w:val="24"/>
          <w:szCs w:val="24"/>
        </w:rPr>
        <w:t xml:space="preserve"> </w:t>
      </w:r>
    </w:p>
    <w:p w14:paraId="78921112">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投标截止时间止，投标人少于三家的；</w:t>
      </w:r>
    </w:p>
    <w:p w14:paraId="56764AAC">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符合专业条件的供应商或者对招标文件作实质响应的供应商不足三</w:t>
      </w:r>
      <w:r>
        <w:rPr>
          <w:rFonts w:hint="eastAsia" w:ascii="仿宋" w:hAnsi="仿宋" w:eastAsia="仿宋" w:cs="仿宋"/>
          <w:spacing w:val="-9"/>
          <w:sz w:val="24"/>
          <w:szCs w:val="24"/>
        </w:rPr>
        <w:t>家的；</w:t>
      </w:r>
    </w:p>
    <w:p w14:paraId="4677DB4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3.出现影响采购公正的违法、违规行为的；</w:t>
      </w:r>
    </w:p>
    <w:p w14:paraId="447DA83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1"/>
          <w:sz w:val="24"/>
          <w:szCs w:val="24"/>
        </w:rPr>
      </w:pPr>
      <w:r>
        <w:rPr>
          <w:rFonts w:hint="eastAsia" w:ascii="仿宋" w:hAnsi="仿宋" w:eastAsia="仿宋" w:cs="仿宋"/>
          <w:spacing w:val="-2"/>
          <w:sz w:val="24"/>
          <w:szCs w:val="24"/>
        </w:rPr>
        <w:t>4.投标人的报价均超过了采购预算，采购人不能支付的；</w:t>
      </w:r>
      <w:r>
        <w:rPr>
          <w:rFonts w:hint="eastAsia" w:ascii="仿宋" w:hAnsi="仿宋" w:eastAsia="仿宋" w:cs="仿宋"/>
          <w:spacing w:val="1"/>
          <w:sz w:val="24"/>
          <w:szCs w:val="24"/>
        </w:rPr>
        <w:t xml:space="preserve"> </w:t>
      </w:r>
    </w:p>
    <w:p w14:paraId="6D2BDC7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5.因重大变故，采购任务取消的；</w:t>
      </w:r>
    </w:p>
    <w:p w14:paraId="561AE7D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法律、法规规定应当重新招标的其他情形。</w:t>
      </w:r>
    </w:p>
    <w:p w14:paraId="4153804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6"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11"/>
          <w:sz w:val="24"/>
          <w:szCs w:val="24"/>
        </w:rPr>
        <w:t>三</w:t>
      </w:r>
      <w:r>
        <w:rPr>
          <w:rFonts w:hint="eastAsia" w:ascii="仿宋" w:hAnsi="仿宋" w:eastAsia="仿宋" w:cs="仿宋"/>
          <w:spacing w:val="-66"/>
          <w:sz w:val="24"/>
          <w:szCs w:val="24"/>
        </w:rPr>
        <w:t xml:space="preserve"> </w:t>
      </w:r>
      <w:r>
        <w:rPr>
          <w:rFonts w:hint="eastAsia" w:ascii="仿宋" w:hAnsi="仿宋" w:eastAsia="仿宋" w:cs="仿宋"/>
          <w:spacing w:val="-11"/>
          <w:sz w:val="24"/>
          <w:szCs w:val="24"/>
        </w:rPr>
        <w:t>）电子交易活动的中止：</w:t>
      </w:r>
    </w:p>
    <w:p w14:paraId="1E625B75">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1.电子交易活动的中止。采购过程中出现以下情形，导致电子交易平台</w:t>
      </w:r>
      <w:r>
        <w:rPr>
          <w:rFonts w:hint="eastAsia" w:ascii="仿宋" w:hAnsi="仿宋" w:eastAsia="仿宋" w:cs="仿宋"/>
          <w:spacing w:val="-1"/>
          <w:sz w:val="24"/>
          <w:szCs w:val="24"/>
        </w:rPr>
        <w:t>无法正常运行，或者无法保证电子交易的公平、公正和安全时，采购机构</w:t>
      </w:r>
      <w:r>
        <w:rPr>
          <w:rFonts w:hint="eastAsia" w:ascii="仿宋" w:hAnsi="仿宋" w:eastAsia="仿宋" w:cs="仿宋"/>
          <w:spacing w:val="-3"/>
          <w:sz w:val="24"/>
          <w:szCs w:val="24"/>
        </w:rPr>
        <w:t>可中止电子交易活动：</w:t>
      </w:r>
    </w:p>
    <w:p w14:paraId="47438C1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电子交易平台发生故障而无法登录访问的；</w:t>
      </w:r>
    </w:p>
    <w:p w14:paraId="7C5C618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电子交易平台应用或数据库出现错误，不能进行正常操作的；</w:t>
      </w:r>
    </w:p>
    <w:p w14:paraId="1E6EC25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电子交易平台发现严重安全漏洞，有潜在泄密危险的；</w:t>
      </w:r>
    </w:p>
    <w:p w14:paraId="3D777AB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病毒发作导致不能进行正常操作的；</w:t>
      </w:r>
    </w:p>
    <w:p w14:paraId="232A37D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其他无法保证电子交易的公平、公正和安全的情况。</w:t>
      </w:r>
    </w:p>
    <w:p w14:paraId="455416EE">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2.出现以上情形，不影响采购公平、公正性的，采购组织机构可以待上</w:t>
      </w:r>
      <w:r>
        <w:rPr>
          <w:rFonts w:hint="eastAsia" w:ascii="仿宋" w:hAnsi="仿宋" w:eastAsia="仿宋" w:cs="仿宋"/>
          <w:spacing w:val="-1"/>
          <w:sz w:val="24"/>
          <w:szCs w:val="24"/>
        </w:rPr>
        <w:t>述情形消除后继续组织电子交易活动，也可以决定某些环节以纸质形式进行；影响或可能影响采购公平、公正性的，应当重新采购。</w:t>
      </w:r>
    </w:p>
    <w:p w14:paraId="6E8EA66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十、重新开展采购</w:t>
      </w:r>
    </w:p>
    <w:p w14:paraId="52C5C6C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有政府采购法第七十一条、第七十二条规定的违法行为之一</w:t>
      </w:r>
      <w:r>
        <w:rPr>
          <w:rFonts w:hint="eastAsia" w:ascii="仿宋" w:hAnsi="仿宋" w:eastAsia="仿宋" w:cs="仿宋"/>
          <w:spacing w:val="1"/>
          <w:sz w:val="24"/>
          <w:szCs w:val="24"/>
        </w:rPr>
        <w:t>，影响或</w:t>
      </w:r>
      <w:r>
        <w:rPr>
          <w:rFonts w:hint="eastAsia" w:ascii="仿宋" w:hAnsi="仿宋" w:eastAsia="仿宋" w:cs="仿宋"/>
          <w:spacing w:val="-1"/>
          <w:sz w:val="24"/>
          <w:szCs w:val="24"/>
        </w:rPr>
        <w:t>者可能影响中标、成交结果的，依照下列规定处理：</w:t>
      </w:r>
    </w:p>
    <w:p w14:paraId="534ED604">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pacing w:val="-3"/>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一）未确定中标或者中标人的，终止本次政府采购活动，重新开展</w:t>
      </w:r>
      <w:r>
        <w:rPr>
          <w:rFonts w:hint="eastAsia" w:ascii="仿宋" w:hAnsi="仿宋" w:eastAsia="仿宋" w:cs="仿宋"/>
          <w:spacing w:val="-3"/>
          <w:sz w:val="24"/>
          <w:szCs w:val="24"/>
        </w:rPr>
        <w:t>政府采购活动。</w:t>
      </w:r>
    </w:p>
    <w:p w14:paraId="799E2066">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二）已确定中标或者中标人但尚未签订政府采</w:t>
      </w:r>
      <w:r>
        <w:rPr>
          <w:rFonts w:hint="eastAsia" w:ascii="仿宋" w:hAnsi="仿宋" w:eastAsia="仿宋" w:cs="仿宋"/>
          <w:sz w:val="24"/>
          <w:szCs w:val="24"/>
        </w:rPr>
        <w:t>购合同的，中标或者</w:t>
      </w:r>
      <w:r>
        <w:rPr>
          <w:rFonts w:hint="eastAsia" w:ascii="仿宋" w:hAnsi="仿宋" w:eastAsia="仿宋" w:cs="仿宋"/>
          <w:spacing w:val="6"/>
          <w:sz w:val="24"/>
          <w:szCs w:val="24"/>
        </w:rPr>
        <w:t>成交结果无效</w:t>
      </w:r>
      <w:r>
        <w:rPr>
          <w:rFonts w:hint="eastAsia" w:ascii="仿宋" w:hAnsi="仿宋" w:eastAsia="仿宋" w:cs="仿宋"/>
          <w:spacing w:val="-67"/>
          <w:sz w:val="24"/>
          <w:szCs w:val="24"/>
        </w:rPr>
        <w:t xml:space="preserve"> </w:t>
      </w:r>
      <w:r>
        <w:rPr>
          <w:rFonts w:hint="eastAsia" w:ascii="仿宋" w:hAnsi="仿宋" w:eastAsia="仿宋" w:cs="仿宋"/>
          <w:spacing w:val="6"/>
          <w:sz w:val="24"/>
          <w:szCs w:val="24"/>
        </w:rPr>
        <w:t>，从合格的中标或者成交候选人中另行确定中标或者中标</w:t>
      </w:r>
      <w:r>
        <w:rPr>
          <w:rFonts w:hint="eastAsia" w:ascii="仿宋" w:hAnsi="仿宋" w:eastAsia="仿宋" w:cs="仿宋"/>
          <w:spacing w:val="-1"/>
          <w:sz w:val="24"/>
          <w:szCs w:val="24"/>
        </w:rPr>
        <w:t>人；没有合格的中标或者成交候选人的，重新开展政府采购活动。</w:t>
      </w:r>
    </w:p>
    <w:p w14:paraId="3F7A51A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三）政府采购合同已签订但尚未履行的，撤销合同，从合格的中标</w:t>
      </w:r>
      <w:r>
        <w:rPr>
          <w:rFonts w:hint="eastAsia" w:ascii="仿宋" w:hAnsi="仿宋" w:eastAsia="仿宋" w:cs="仿宋"/>
          <w:spacing w:val="-1"/>
          <w:sz w:val="24"/>
          <w:szCs w:val="24"/>
        </w:rPr>
        <w:t>或者成交候选人中另行确定中标或者中标人；没有合格的中标或者成交候选人的，重新开展政府采购活动。</w:t>
      </w:r>
    </w:p>
    <w:p w14:paraId="67089A97">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9"/>
          <w:sz w:val="24"/>
          <w:szCs w:val="24"/>
        </w:rPr>
        <w:t xml:space="preserve"> </w:t>
      </w:r>
      <w:r>
        <w:rPr>
          <w:rFonts w:hint="eastAsia" w:ascii="仿宋" w:hAnsi="仿宋" w:eastAsia="仿宋" w:cs="仿宋"/>
          <w:sz w:val="24"/>
          <w:szCs w:val="24"/>
        </w:rPr>
        <w:t>四）政府采购合同已经履行，给采购人、供应商造成损失</w:t>
      </w:r>
      <w:r>
        <w:rPr>
          <w:rFonts w:hint="eastAsia" w:ascii="仿宋" w:hAnsi="仿宋" w:eastAsia="仿宋" w:cs="仿宋"/>
          <w:spacing w:val="-1"/>
          <w:sz w:val="24"/>
          <w:szCs w:val="24"/>
        </w:rPr>
        <w:t>的，由责</w:t>
      </w:r>
      <w:r>
        <w:rPr>
          <w:rFonts w:hint="eastAsia" w:ascii="仿宋" w:hAnsi="仿宋" w:eastAsia="仿宋" w:cs="仿宋"/>
          <w:spacing w:val="-2"/>
          <w:sz w:val="24"/>
          <w:szCs w:val="24"/>
        </w:rPr>
        <w:t>任人承担赔偿责任。</w:t>
      </w:r>
    </w:p>
    <w:p w14:paraId="4AA9D704">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1"/>
          <w:sz w:val="24"/>
          <w:szCs w:val="24"/>
        </w:rPr>
        <w:t>五）政府采购当事人有其他违反政府采购法或者政府</w:t>
      </w:r>
      <w:r>
        <w:rPr>
          <w:rFonts w:hint="eastAsia" w:ascii="仿宋" w:hAnsi="仿宋" w:eastAsia="仿宋" w:cs="仿宋"/>
          <w:sz w:val="24"/>
          <w:szCs w:val="24"/>
        </w:rPr>
        <w:t>采购法实施条</w:t>
      </w:r>
      <w:r>
        <w:rPr>
          <w:rFonts w:hint="eastAsia" w:ascii="仿宋" w:hAnsi="仿宋" w:eastAsia="仿宋" w:cs="仿宋"/>
          <w:spacing w:val="-1"/>
          <w:sz w:val="24"/>
          <w:szCs w:val="24"/>
        </w:rPr>
        <w:t>例等法律法规规定的行为，经改正后仍然影响或者可能影响中标、成交结果或者依法被认定为中标、成交无效的，依照前款规定处理。</w:t>
      </w:r>
    </w:p>
    <w:p w14:paraId="31D7E43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2"/>
        <w:rPr>
          <w:rFonts w:hint="eastAsia" w:ascii="仿宋" w:hAnsi="仿宋" w:eastAsia="仿宋" w:cs="仿宋"/>
          <w:sz w:val="24"/>
          <w:szCs w:val="24"/>
        </w:rPr>
      </w:pPr>
      <w:r>
        <w:rPr>
          <w:rFonts w:hint="eastAsia" w:ascii="仿宋" w:hAnsi="仿宋" w:eastAsia="仿宋" w:cs="仿宋"/>
          <w:b/>
          <w:bCs/>
          <w:spacing w:val="-4"/>
          <w:sz w:val="24"/>
          <w:szCs w:val="24"/>
        </w:rPr>
        <w:t>十一、询问、质疑、投诉</w:t>
      </w:r>
    </w:p>
    <w:p w14:paraId="14D20EC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一）供应商询问</w:t>
      </w:r>
    </w:p>
    <w:p w14:paraId="0311EDD6">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供应商可以就采购文件中特定资格条件、采购需求、评分办法及采购</w:t>
      </w:r>
      <w:r>
        <w:rPr>
          <w:rFonts w:hint="eastAsia" w:ascii="仿宋" w:hAnsi="仿宋" w:eastAsia="仿宋" w:cs="仿宋"/>
          <w:spacing w:val="-1"/>
          <w:sz w:val="24"/>
          <w:szCs w:val="24"/>
        </w:rPr>
        <w:t>过程中有关现场考察或开标前答疑会事项向采购人提出询问，采购人将对此做出答复；供应商可以就采购活动中的其他事项向采购代理机构提出询问，采购代理机构将对此做出答复。答复的内容不得涉及商业秘密。</w:t>
      </w:r>
    </w:p>
    <w:p w14:paraId="4CB5C39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二）供应商质疑</w:t>
      </w:r>
    </w:p>
    <w:p w14:paraId="69B68658">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1.提出质疑的供应商应当是参与所质疑项目采购活动的供应</w:t>
      </w:r>
      <w:r>
        <w:rPr>
          <w:rFonts w:hint="eastAsia" w:ascii="仿宋" w:hAnsi="仿宋" w:eastAsia="仿宋" w:cs="仿宋"/>
          <w:spacing w:val="-6"/>
          <w:sz w:val="24"/>
          <w:szCs w:val="24"/>
        </w:rPr>
        <w:t>商。潜在供</w:t>
      </w:r>
      <w:r>
        <w:rPr>
          <w:rFonts w:hint="eastAsia" w:ascii="仿宋" w:hAnsi="仿宋" w:eastAsia="仿宋" w:cs="仿宋"/>
          <w:spacing w:val="-1"/>
          <w:sz w:val="24"/>
          <w:szCs w:val="24"/>
        </w:rPr>
        <w:t>应商已依法获取其可质疑的采购文件的，可以对该文件提出质疑。</w:t>
      </w:r>
    </w:p>
    <w:p w14:paraId="0E289F7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2.供应商认为采购文件、采购过程和成交结果使自己的权益受到损害</w:t>
      </w:r>
      <w:r>
        <w:rPr>
          <w:rFonts w:hint="eastAsia" w:ascii="仿宋" w:hAnsi="仿宋" w:eastAsia="仿宋" w:cs="仿宋"/>
          <w:spacing w:val="-3"/>
          <w:sz w:val="24"/>
          <w:szCs w:val="24"/>
        </w:rPr>
        <w:t>的，可以在知道或者应知其权益受到损害之</w:t>
      </w:r>
      <w:r>
        <w:rPr>
          <w:rFonts w:hint="eastAsia" w:ascii="仿宋" w:hAnsi="仿宋" w:eastAsia="仿宋" w:cs="仿宋"/>
          <w:spacing w:val="-4"/>
          <w:sz w:val="24"/>
          <w:szCs w:val="24"/>
        </w:rPr>
        <w:t>日起七个工作</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日内，以书面形</w:t>
      </w:r>
      <w:r>
        <w:rPr>
          <w:rFonts w:hint="eastAsia" w:ascii="仿宋" w:hAnsi="仿宋" w:eastAsia="仿宋" w:cs="仿宋"/>
          <w:spacing w:val="-1"/>
          <w:sz w:val="24"/>
          <w:szCs w:val="24"/>
        </w:rPr>
        <w:t>式向采购人或者采购代理机构提出质疑，质疑供应商应当在法定质疑期内一次性提出针对采购程序环节的质疑。否则，采购人或者采购代理机构不</w:t>
      </w:r>
      <w:r>
        <w:rPr>
          <w:rFonts w:hint="eastAsia" w:ascii="仿宋" w:hAnsi="仿宋" w:eastAsia="仿宋" w:cs="仿宋"/>
          <w:spacing w:val="-9"/>
          <w:sz w:val="24"/>
          <w:szCs w:val="24"/>
        </w:rPr>
        <w:t>予受理：</w:t>
      </w:r>
    </w:p>
    <w:p w14:paraId="4AC6D96C">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对采购文件提出质疑的，质疑期限为供应商获得采购文件之日或</w:t>
      </w:r>
      <w:r>
        <w:rPr>
          <w:rFonts w:hint="eastAsia" w:ascii="仿宋" w:hAnsi="仿宋" w:eastAsia="仿宋" w:cs="仿宋"/>
          <w:spacing w:val="-4"/>
          <w:sz w:val="24"/>
          <w:szCs w:val="24"/>
        </w:rPr>
        <w:t>者采购公告</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5个工作日期限届满之日起计算。采购文件在公告</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5个工作</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1"/>
          <w:sz w:val="24"/>
          <w:szCs w:val="24"/>
        </w:rPr>
        <w:t>期限届满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w:t>
      </w:r>
      <w:r>
        <w:rPr>
          <w:rFonts w:hint="eastAsia" w:ascii="仿宋" w:hAnsi="仿宋" w:eastAsia="仿宋" w:cs="仿宋"/>
          <w:spacing w:val="-2"/>
          <w:sz w:val="24"/>
          <w:szCs w:val="24"/>
        </w:rPr>
        <w:t>采购代理机构负责答复。</w:t>
      </w:r>
    </w:p>
    <w:p w14:paraId="512800CB">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对采购过程提出质疑的，质疑期限为各采购程序环节结束之日起</w:t>
      </w:r>
      <w:r>
        <w:rPr>
          <w:rFonts w:hint="eastAsia" w:ascii="仿宋" w:hAnsi="仿宋" w:eastAsia="仿宋" w:cs="仿宋"/>
          <w:spacing w:val="-1"/>
          <w:sz w:val="24"/>
          <w:szCs w:val="24"/>
        </w:rPr>
        <w:t>计算。根据采购人与采购代理机构签订的委托协议的规定：对采购过程中</w:t>
      </w:r>
      <w:r>
        <w:rPr>
          <w:rFonts w:hint="eastAsia" w:ascii="仿宋" w:hAnsi="仿宋" w:eastAsia="仿宋" w:cs="仿宋"/>
          <w:spacing w:val="6"/>
          <w:sz w:val="24"/>
          <w:szCs w:val="24"/>
        </w:rPr>
        <w:t>有关现场考察或开标前答疑会事项提出的质疑</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，原则上由采购人负责答</w:t>
      </w:r>
      <w:r>
        <w:rPr>
          <w:rFonts w:hint="eastAsia" w:ascii="仿宋" w:hAnsi="仿宋" w:eastAsia="仿宋" w:cs="仿宋"/>
          <w:spacing w:val="-6"/>
          <w:sz w:val="24"/>
          <w:szCs w:val="24"/>
        </w:rPr>
        <w:t>复；对采购过程中其他事项提出的质疑，原则上由采购代理机构负责答复。</w:t>
      </w:r>
    </w:p>
    <w:p w14:paraId="09B4CA6C">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对采购结果提出质疑的，质疑期限自采购结果公告</w:t>
      </w:r>
      <w:r>
        <w:rPr>
          <w:rFonts w:hint="eastAsia" w:ascii="仿宋" w:hAnsi="仿宋" w:eastAsia="仿宋" w:cs="仿宋"/>
          <w:spacing w:val="-5"/>
          <w:sz w:val="24"/>
          <w:szCs w:val="24"/>
        </w:rPr>
        <w:t>期限届满之</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日</w:t>
      </w:r>
      <w:r>
        <w:rPr>
          <w:rFonts w:hint="eastAsia" w:ascii="仿宋" w:hAnsi="仿宋" w:eastAsia="仿宋" w:cs="仿宋"/>
          <w:spacing w:val="-1"/>
          <w:sz w:val="24"/>
          <w:szCs w:val="24"/>
        </w:rPr>
        <w:t>起计算。对采购结果提出质疑的，采购代理机构负责答复。</w:t>
      </w:r>
    </w:p>
    <w:p w14:paraId="5BCA5D8B">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3.供应商提出质疑应当提交质疑函和必要的相关材料。质疑函应当包括下列内容：</w:t>
      </w:r>
    </w:p>
    <w:p w14:paraId="54F729F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供应商的姓名或者名称、地址、邮编、联系人及</w:t>
      </w:r>
      <w:r>
        <w:rPr>
          <w:rFonts w:hint="eastAsia" w:ascii="仿宋" w:hAnsi="仿宋" w:eastAsia="仿宋" w:cs="仿宋"/>
          <w:spacing w:val="-4"/>
          <w:sz w:val="24"/>
          <w:szCs w:val="24"/>
        </w:rPr>
        <w:t>联系电话</w:t>
      </w:r>
      <w:r>
        <w:rPr>
          <w:rFonts w:hint="eastAsia" w:ascii="仿宋" w:hAnsi="仿宋" w:eastAsia="仿宋" w:cs="仿宋"/>
          <w:spacing w:val="-4"/>
          <w:sz w:val="24"/>
          <w:szCs w:val="24"/>
          <w:lang w:eastAsia="zh-CN"/>
        </w:rPr>
        <w:t>；</w:t>
      </w:r>
    </w:p>
    <w:p w14:paraId="7E16242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质疑项目的名称、编号；</w:t>
      </w:r>
    </w:p>
    <w:p w14:paraId="16E72FE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53AA671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事实依据；</w:t>
      </w:r>
    </w:p>
    <w:p w14:paraId="7355097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必要的法律依据；</w:t>
      </w:r>
    </w:p>
    <w:p w14:paraId="5AC43E5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提出质疑的</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日期。</w:t>
      </w:r>
    </w:p>
    <w:p w14:paraId="1694D45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供应商提交的质疑函需一式三份。供应商为自然人的，应当由本人签</w:t>
      </w:r>
      <w:r>
        <w:rPr>
          <w:rFonts w:hint="eastAsia" w:ascii="仿宋" w:hAnsi="仿宋" w:eastAsia="仿宋" w:cs="仿宋"/>
          <w:spacing w:val="-1"/>
          <w:sz w:val="24"/>
          <w:szCs w:val="24"/>
        </w:rPr>
        <w:t>字；供应商为法人或者其他组织的，应当由法定代表人、主要负责人，或者其授权代表签字或者盖章，并加盖公章。</w:t>
      </w:r>
      <w:r>
        <w:rPr>
          <w:rFonts w:hint="eastAsia" w:ascii="仿宋" w:hAnsi="仿宋" w:eastAsia="仿宋" w:cs="仿宋"/>
          <w:spacing w:val="2"/>
          <w:sz w:val="24"/>
          <w:szCs w:val="24"/>
        </w:rPr>
        <w:t>质疑函范本及制作说明：格式见《政府采购质疑和投诉办法》</w:t>
      </w:r>
      <w:r>
        <w:rPr>
          <w:rFonts w:hint="eastAsia" w:ascii="仿宋" w:hAnsi="仿宋" w:eastAsia="仿宋" w:cs="仿宋"/>
          <w:spacing w:val="1"/>
          <w:sz w:val="24"/>
          <w:szCs w:val="24"/>
        </w:rPr>
        <w:t>（财政</w:t>
      </w:r>
      <w:r>
        <w:rPr>
          <w:rFonts w:hint="eastAsia" w:ascii="仿宋" w:hAnsi="仿宋" w:eastAsia="仿宋" w:cs="仿宋"/>
          <w:spacing w:val="-15"/>
          <w:sz w:val="24"/>
          <w:szCs w:val="24"/>
        </w:rPr>
        <w:t>部 令 第</w:t>
      </w:r>
      <w:r>
        <w:rPr>
          <w:rFonts w:hint="eastAsia" w:ascii="仿宋" w:hAnsi="仿宋" w:eastAsia="仿宋" w:cs="仿宋"/>
          <w:spacing w:val="50"/>
          <w:sz w:val="24"/>
          <w:szCs w:val="24"/>
        </w:rPr>
        <w:t xml:space="preserve"> </w:t>
      </w:r>
      <w:r>
        <w:rPr>
          <w:rFonts w:hint="eastAsia" w:ascii="仿宋" w:hAnsi="仿宋" w:eastAsia="仿宋" w:cs="仿宋"/>
          <w:spacing w:val="-15"/>
          <w:sz w:val="24"/>
          <w:szCs w:val="24"/>
        </w:rPr>
        <w:t>94   号 ） 附 件 范 本 ， 下 载 网 址</w:t>
      </w:r>
      <w:r>
        <w:rPr>
          <w:rFonts w:hint="eastAsia" w:ascii="仿宋" w:hAnsi="仿宋" w:eastAsia="仿宋" w:cs="仿宋"/>
          <w:spacing w:val="19"/>
          <w:sz w:val="24"/>
          <w:szCs w:val="24"/>
        </w:rPr>
        <w:t xml:space="preserve"> </w:t>
      </w:r>
      <w:r>
        <w:rPr>
          <w:rFonts w:hint="eastAsia" w:ascii="仿宋" w:hAnsi="仿宋" w:eastAsia="仿宋" w:cs="仿宋"/>
          <w:spacing w:val="-15"/>
          <w:sz w:val="24"/>
          <w:szCs w:val="24"/>
        </w:rPr>
        <w:t>： 浙 江 政 府 采 购 网</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"http://zfcg.czt.zj.gov.cn/" </w:instrText>
      </w:r>
      <w:r>
        <w:rPr>
          <w:rFonts w:hint="eastAsia" w:ascii="仿宋" w:hAnsi="仿宋" w:eastAsia="仿宋" w:cs="仿宋"/>
          <w:sz w:val="20"/>
          <w:szCs w:val="20"/>
        </w:rPr>
        <w:fldChar w:fldCharType="separate"/>
      </w:r>
      <w:r>
        <w:rPr>
          <w:rFonts w:hint="eastAsia" w:ascii="仿宋" w:hAnsi="仿宋" w:eastAsia="仿宋" w:cs="仿宋"/>
          <w:spacing w:val="-1"/>
          <w:sz w:val="24"/>
          <w:szCs w:val="24"/>
        </w:rPr>
        <w:t>http://zfcg.czt.zj</w:t>
      </w:r>
      <w:r>
        <w:rPr>
          <w:rFonts w:hint="eastAsia" w:ascii="仿宋" w:hAnsi="仿宋" w:eastAsia="仿宋" w:cs="仿宋"/>
          <w:spacing w:val="-2"/>
          <w:sz w:val="24"/>
          <w:szCs w:val="24"/>
        </w:rPr>
        <w:t>.gov.cn/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，位置：“</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首页-下载专区-质疑投诉模板”。</w:t>
      </w:r>
    </w:p>
    <w:p w14:paraId="110C037D">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4.采购人或者采购代理机构应当在收到供</w:t>
      </w:r>
      <w:r>
        <w:rPr>
          <w:rFonts w:hint="eastAsia" w:ascii="仿宋" w:hAnsi="仿宋" w:eastAsia="仿宋" w:cs="仿宋"/>
          <w:spacing w:val="4"/>
          <w:sz w:val="24"/>
          <w:szCs w:val="24"/>
        </w:rPr>
        <w:t>应商的书面质疑后七个工作</w:t>
      </w:r>
      <w:r>
        <w:rPr>
          <w:rFonts w:hint="eastAsia" w:ascii="仿宋" w:hAnsi="仿宋" w:eastAsia="仿宋" w:cs="仿宋"/>
          <w:spacing w:val="-1"/>
          <w:sz w:val="24"/>
          <w:szCs w:val="24"/>
        </w:rPr>
        <w:t>日内做出答复，并以书面形式通知质疑供应商和其他与质疑处理结果有利害关系的政府采购当事人，但答复的内容不得涉及商业秘密。</w:t>
      </w:r>
    </w:p>
    <w:p w14:paraId="54E7C552">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5.询问或者质疑事项可能影响采购结果的，采购人应当暂停签订合同，</w:t>
      </w:r>
      <w:r>
        <w:rPr>
          <w:rFonts w:hint="eastAsia" w:ascii="仿宋" w:hAnsi="仿宋" w:eastAsia="仿宋" w:cs="仿宋"/>
          <w:sz w:val="24"/>
          <w:szCs w:val="24"/>
        </w:rPr>
        <w:t xml:space="preserve"> </w:t>
      </w:r>
      <w:r>
        <w:rPr>
          <w:rFonts w:hint="eastAsia" w:ascii="仿宋" w:hAnsi="仿宋" w:eastAsia="仿宋" w:cs="仿宋"/>
          <w:spacing w:val="-4"/>
          <w:sz w:val="24"/>
          <w:szCs w:val="24"/>
        </w:rPr>
        <w:t>已经签订合同的，应当中止履行合同。</w:t>
      </w:r>
    </w:p>
    <w:p w14:paraId="4527F95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三）供应商投诉</w:t>
      </w:r>
    </w:p>
    <w:p w14:paraId="5AFE0925">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1.质疑供应商对采购人、采购代理机构的答复不满意或者采</w:t>
      </w:r>
      <w:r>
        <w:rPr>
          <w:rFonts w:hint="eastAsia" w:ascii="仿宋" w:hAnsi="仿宋" w:eastAsia="仿宋" w:cs="仿宋"/>
          <w:spacing w:val="-6"/>
          <w:sz w:val="24"/>
          <w:szCs w:val="24"/>
        </w:rPr>
        <w:t>购人、采购</w:t>
      </w:r>
      <w:r>
        <w:rPr>
          <w:rFonts w:hint="eastAsia" w:ascii="仿宋" w:hAnsi="仿宋" w:eastAsia="仿宋" w:cs="仿宋"/>
          <w:spacing w:val="-3"/>
          <w:sz w:val="24"/>
          <w:szCs w:val="24"/>
        </w:rPr>
        <w:t>代理机构未在规定的时间内做出答复的，可以在答复期满后十五个工作</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 xml:space="preserve"> </w:t>
      </w:r>
      <w:r>
        <w:rPr>
          <w:rFonts w:hint="eastAsia" w:ascii="仿宋" w:hAnsi="仿宋" w:eastAsia="仿宋" w:cs="仿宋"/>
          <w:spacing w:val="-1"/>
          <w:sz w:val="24"/>
          <w:szCs w:val="24"/>
        </w:rPr>
        <w:t>内向同级政府采购监督管理部门提出投诉。</w:t>
      </w:r>
    </w:p>
    <w:p w14:paraId="513C0F9A">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2.供应商投诉的事项不得超出已质疑事项的范围，基于质疑答复内容提出的投诉事项除外。</w:t>
      </w:r>
    </w:p>
    <w:p w14:paraId="4B476790">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3.供应商投诉应当有明确的请求和必要的佐证材料。</w:t>
      </w:r>
    </w:p>
    <w:p w14:paraId="02A2AD98">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4.以联合体形式参加政府采购活动的，其投诉应当由组成联合体的所有供应商共同提出。</w:t>
      </w:r>
    </w:p>
    <w:p w14:paraId="3D12B016">
      <w:pPr>
        <w:keepNext w:val="0"/>
        <w:keepLines w:val="0"/>
        <w:pageBreakBefore w:val="0"/>
        <w:widowControl w:val="0"/>
        <w:kinsoku/>
        <w:wordWrap/>
        <w:overflowPunct/>
        <w:topLinePunct w:val="0"/>
        <w:autoSpaceDE w:val="0"/>
        <w:autoSpaceDN w:val="0"/>
        <w:bidi w:val="0"/>
        <w:adjustRightInd w:val="0"/>
        <w:snapToGrid/>
        <w:spacing w:line="420" w:lineRule="exact"/>
        <w:ind w:right="0" w:firstLine="490" w:firstLineChars="200"/>
        <w:textAlignment w:val="auto"/>
        <w:rPr>
          <w:rFonts w:hint="eastAsia" w:ascii="仿宋" w:hAnsi="仿宋" w:eastAsia="仿宋" w:cs="仿宋"/>
          <w:b/>
          <w:bCs/>
          <w:spacing w:val="2"/>
          <w:sz w:val="24"/>
          <w:szCs w:val="24"/>
        </w:rPr>
      </w:pPr>
      <w:r>
        <w:rPr>
          <w:rFonts w:hint="eastAsia" w:ascii="仿宋" w:hAnsi="仿宋" w:eastAsia="仿宋" w:cs="仿宋"/>
          <w:b/>
          <w:bCs/>
          <w:spacing w:val="2"/>
          <w:sz w:val="24"/>
          <w:szCs w:val="24"/>
        </w:rPr>
        <w:t>十二、需要补充的其他内容</w:t>
      </w:r>
    </w:p>
    <w:p w14:paraId="1A20BE2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需要补充的其他内容：见投标人须知前附表。</w:t>
      </w:r>
    </w:p>
    <w:p w14:paraId="2BB40F8F">
      <w:pPr>
        <w:jc w:val="center"/>
        <w:outlineLvl w:val="0"/>
        <w:rPr>
          <w:rFonts w:ascii="仿宋" w:eastAsia="仿宋" w:cs="仿宋"/>
          <w:b/>
          <w:color w:val="auto"/>
          <w:kern w:val="44"/>
          <w:sz w:val="36"/>
          <w:szCs w:val="36"/>
        </w:rPr>
      </w:pPr>
      <w:r>
        <w:rPr>
          <w:rFonts w:hint="eastAsia" w:ascii="仿宋" w:eastAsia="仿宋" w:cs="仿宋"/>
          <w:b/>
          <w:color w:val="auto"/>
          <w:sz w:val="32"/>
          <w:szCs w:val="32"/>
        </w:rPr>
        <w:br w:type="page"/>
      </w:r>
      <w:r>
        <w:rPr>
          <w:rFonts w:hint="eastAsia" w:ascii="仿宋" w:eastAsia="仿宋" w:cs="仿宋"/>
          <w:b/>
          <w:color w:val="auto"/>
          <w:kern w:val="44"/>
          <w:sz w:val="36"/>
          <w:szCs w:val="36"/>
        </w:rPr>
        <w:t>第三章  招标需求</w:t>
      </w:r>
    </w:p>
    <w:p w14:paraId="253369E0">
      <w:pPr>
        <w:pStyle w:val="53"/>
        <w:ind w:firstLine="0" w:firstLineChars="0"/>
        <w:outlineLvl w:val="0"/>
        <w:rPr>
          <w:rFonts w:hint="eastAsia" w:ascii="仿宋" w:hAnsi="仿宋" w:eastAsia="仿宋" w:cs="仿宋"/>
          <w:b/>
          <w:bCs/>
          <w:sz w:val="28"/>
          <w:szCs w:val="28"/>
        </w:rPr>
      </w:pPr>
      <w:bookmarkStart w:id="5" w:name="OLE_LINK3"/>
      <w:bookmarkStart w:id="6" w:name="_Toc6155"/>
      <w:bookmarkStart w:id="7" w:name="_Toc19500"/>
      <w:bookmarkStart w:id="8" w:name="_Toc525892932"/>
      <w:bookmarkStart w:id="9" w:name="_Toc22941"/>
      <w:bookmarkStart w:id="10" w:name="_Toc18397360"/>
      <w:bookmarkStart w:id="11" w:name="_Toc23629"/>
      <w:bookmarkStart w:id="12" w:name="_Toc17845"/>
      <w:bookmarkStart w:id="13" w:name="_Toc20419"/>
      <w:r>
        <w:rPr>
          <w:rFonts w:hint="eastAsia" w:ascii="仿宋" w:hAnsi="仿宋" w:eastAsia="仿宋" w:cs="仿宋"/>
          <w:b/>
          <w:bCs/>
          <w:sz w:val="28"/>
          <w:szCs w:val="28"/>
          <w:lang w:eastAsia="zh-CN"/>
        </w:rPr>
        <w:t>一、</w:t>
      </w:r>
      <w:r>
        <w:rPr>
          <w:rFonts w:hint="eastAsia" w:ascii="仿宋" w:hAnsi="仿宋" w:eastAsia="仿宋" w:cs="仿宋"/>
          <w:b/>
          <w:bCs/>
          <w:sz w:val="28"/>
          <w:szCs w:val="28"/>
        </w:rPr>
        <w:t>采购项目设备清单：</w:t>
      </w:r>
    </w:p>
    <w:bookmarkEnd w:id="5"/>
    <w:tbl>
      <w:tblPr>
        <w:tblStyle w:val="31"/>
        <w:tblW w:w="93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983"/>
        <w:gridCol w:w="767"/>
        <w:gridCol w:w="960"/>
        <w:gridCol w:w="2430"/>
      </w:tblGrid>
      <w:tr w14:paraId="057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center"/>
          </w:tcPr>
          <w:p w14:paraId="3D07D82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3983" w:type="dxa"/>
            <w:noWrap w:val="0"/>
            <w:vAlign w:val="center"/>
          </w:tcPr>
          <w:p w14:paraId="35BD87C8">
            <w:pPr>
              <w:jc w:val="cente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sz w:val="24"/>
                <w:szCs w:val="24"/>
                <w:highlight w:val="none"/>
                <w:lang w:eastAsia="zh-CN"/>
              </w:rPr>
              <w:t>设备</w:t>
            </w:r>
            <w:r>
              <w:rPr>
                <w:rFonts w:hint="eastAsia" w:ascii="仿宋_GB2312" w:hAnsi="仿宋_GB2312" w:eastAsia="仿宋_GB2312" w:cs="仿宋_GB2312"/>
                <w:sz w:val="24"/>
                <w:szCs w:val="24"/>
                <w:highlight w:val="none"/>
              </w:rPr>
              <w:t>名称</w:t>
            </w:r>
          </w:p>
        </w:tc>
        <w:tc>
          <w:tcPr>
            <w:tcW w:w="767" w:type="dxa"/>
            <w:noWrap w:val="0"/>
            <w:vAlign w:val="center"/>
          </w:tcPr>
          <w:p w14:paraId="6EF10205">
            <w:pPr>
              <w:jc w:val="cente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sz w:val="24"/>
                <w:szCs w:val="24"/>
                <w:highlight w:val="none"/>
              </w:rPr>
              <w:t>数量</w:t>
            </w:r>
          </w:p>
        </w:tc>
        <w:tc>
          <w:tcPr>
            <w:tcW w:w="960" w:type="dxa"/>
            <w:noWrap w:val="0"/>
            <w:vAlign w:val="center"/>
          </w:tcPr>
          <w:p w14:paraId="2DC38C9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w:t>
            </w:r>
          </w:p>
        </w:tc>
        <w:tc>
          <w:tcPr>
            <w:tcW w:w="2430" w:type="dxa"/>
            <w:noWrap w:val="0"/>
            <w:vAlign w:val="center"/>
          </w:tcPr>
          <w:p w14:paraId="1210E05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14:paraId="2C48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0E60606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w:t>
            </w:r>
          </w:p>
        </w:tc>
        <w:tc>
          <w:tcPr>
            <w:tcW w:w="3983" w:type="dxa"/>
            <w:noWrap w:val="0"/>
            <w:vAlign w:val="top"/>
          </w:tcPr>
          <w:p w14:paraId="79BC5FFA">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无影灯</w:t>
            </w:r>
          </w:p>
        </w:tc>
        <w:tc>
          <w:tcPr>
            <w:tcW w:w="767" w:type="dxa"/>
            <w:noWrap w:val="0"/>
            <w:vAlign w:val="top"/>
          </w:tcPr>
          <w:p w14:paraId="426648C8">
            <w:pPr>
              <w:jc w:val="center"/>
              <w:rPr>
                <w:rFonts w:hint="eastAsia" w:ascii="仿宋_GB2312" w:hAnsi="仿宋_GB2312" w:eastAsia="仿宋_GB2312" w:cs="仿宋_GB2312"/>
                <w:sz w:val="24"/>
                <w:szCs w:val="24"/>
                <w:highlight w:val="none"/>
                <w:lang w:val="en-US" w:eastAsia="zh-CN"/>
              </w:rPr>
            </w:pPr>
          </w:p>
        </w:tc>
        <w:tc>
          <w:tcPr>
            <w:tcW w:w="960" w:type="dxa"/>
            <w:noWrap w:val="0"/>
            <w:vAlign w:val="top"/>
          </w:tcPr>
          <w:p w14:paraId="0030301F">
            <w:pPr>
              <w:jc w:val="center"/>
              <w:rPr>
                <w:rFonts w:hint="eastAsia" w:ascii="仿宋_GB2312" w:hAnsi="仿宋_GB2312" w:eastAsia="仿宋_GB2312" w:cs="仿宋_GB2312"/>
                <w:sz w:val="24"/>
                <w:szCs w:val="24"/>
                <w:highlight w:val="none"/>
                <w:lang w:val="en-US" w:eastAsia="zh-CN"/>
              </w:rPr>
            </w:pPr>
          </w:p>
        </w:tc>
        <w:tc>
          <w:tcPr>
            <w:tcW w:w="2430" w:type="dxa"/>
            <w:noWrap w:val="0"/>
            <w:vAlign w:val="top"/>
          </w:tcPr>
          <w:p w14:paraId="591FF8A8">
            <w:pPr>
              <w:jc w:val="center"/>
              <w:rPr>
                <w:rFonts w:hint="eastAsia" w:ascii="仿宋_GB2312" w:hAnsi="仿宋_GB2312" w:eastAsia="仿宋_GB2312" w:cs="仿宋_GB2312"/>
                <w:sz w:val="24"/>
                <w:szCs w:val="24"/>
                <w:highlight w:val="none"/>
              </w:rPr>
            </w:pPr>
          </w:p>
        </w:tc>
      </w:tr>
      <w:tr w14:paraId="2274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0B3FFAB3">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3983" w:type="dxa"/>
            <w:noWrap w:val="0"/>
            <w:vAlign w:val="top"/>
          </w:tcPr>
          <w:p w14:paraId="23F9C9B8">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LED无影灯双母灯</w:t>
            </w:r>
          </w:p>
        </w:tc>
        <w:tc>
          <w:tcPr>
            <w:tcW w:w="767" w:type="dxa"/>
            <w:noWrap w:val="0"/>
            <w:vAlign w:val="top"/>
          </w:tcPr>
          <w:p w14:paraId="0B18D9D8">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960" w:type="dxa"/>
            <w:noWrap w:val="0"/>
            <w:vAlign w:val="top"/>
          </w:tcPr>
          <w:p w14:paraId="2503D7B7">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套</w:t>
            </w:r>
          </w:p>
        </w:tc>
        <w:tc>
          <w:tcPr>
            <w:tcW w:w="2430" w:type="dxa"/>
            <w:noWrap w:val="0"/>
            <w:vAlign w:val="top"/>
          </w:tcPr>
          <w:p w14:paraId="65A21547">
            <w:pPr>
              <w:jc w:val="center"/>
              <w:rPr>
                <w:rFonts w:hint="eastAsia" w:ascii="仿宋_GB2312" w:hAnsi="仿宋_GB2312" w:eastAsia="仿宋_GB2312" w:cs="仿宋_GB2312"/>
                <w:sz w:val="24"/>
                <w:szCs w:val="24"/>
                <w:highlight w:val="none"/>
              </w:rPr>
            </w:pPr>
          </w:p>
        </w:tc>
      </w:tr>
      <w:tr w14:paraId="379D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3C4E8A75">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3983" w:type="dxa"/>
            <w:noWrap w:val="0"/>
            <w:vAlign w:val="top"/>
          </w:tcPr>
          <w:p w14:paraId="304F8D87">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LED无影灯</w:t>
            </w:r>
            <w:r>
              <w:rPr>
                <w:rFonts w:hint="eastAsia" w:ascii="仿宋_GB2312" w:hAnsi="仿宋_GB2312" w:eastAsia="仿宋_GB2312" w:cs="仿宋_GB2312"/>
                <w:sz w:val="24"/>
                <w:szCs w:val="24"/>
                <w:highlight w:val="none"/>
                <w:lang w:eastAsia="zh-CN"/>
              </w:rPr>
              <w:t>子</w:t>
            </w:r>
            <w:r>
              <w:rPr>
                <w:rFonts w:hint="eastAsia" w:ascii="仿宋_GB2312" w:hAnsi="仿宋_GB2312" w:eastAsia="仿宋_GB2312" w:cs="仿宋_GB2312"/>
                <w:sz w:val="24"/>
                <w:szCs w:val="24"/>
                <w:highlight w:val="none"/>
              </w:rPr>
              <w:t>母灯</w:t>
            </w:r>
          </w:p>
        </w:tc>
        <w:tc>
          <w:tcPr>
            <w:tcW w:w="767" w:type="dxa"/>
            <w:noWrap w:val="0"/>
            <w:vAlign w:val="top"/>
          </w:tcPr>
          <w:p w14:paraId="062E2005">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960" w:type="dxa"/>
            <w:noWrap w:val="0"/>
            <w:vAlign w:val="top"/>
          </w:tcPr>
          <w:p w14:paraId="4B67DE62">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套</w:t>
            </w:r>
          </w:p>
        </w:tc>
        <w:tc>
          <w:tcPr>
            <w:tcW w:w="2430" w:type="dxa"/>
            <w:noWrap w:val="0"/>
            <w:vAlign w:val="top"/>
          </w:tcPr>
          <w:p w14:paraId="7D3327EB">
            <w:pPr>
              <w:jc w:val="center"/>
              <w:rPr>
                <w:rFonts w:hint="eastAsia" w:ascii="仿宋_GB2312" w:hAnsi="仿宋_GB2312" w:eastAsia="仿宋_GB2312" w:cs="仿宋_GB2312"/>
                <w:sz w:val="24"/>
                <w:szCs w:val="24"/>
                <w:highlight w:val="none"/>
              </w:rPr>
            </w:pPr>
          </w:p>
        </w:tc>
      </w:tr>
      <w:tr w14:paraId="01E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1180" w:type="dxa"/>
            <w:noWrap w:val="0"/>
            <w:vAlign w:val="top"/>
          </w:tcPr>
          <w:p w14:paraId="534ED054">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3983" w:type="dxa"/>
            <w:noWrap w:val="0"/>
            <w:vAlign w:val="top"/>
          </w:tcPr>
          <w:p w14:paraId="4FA7C255">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LED无影</w:t>
            </w:r>
            <w:r>
              <w:rPr>
                <w:rFonts w:hint="eastAsia" w:ascii="仿宋_GB2312" w:hAnsi="仿宋_GB2312" w:eastAsia="仿宋_GB2312" w:cs="仿宋_GB2312"/>
                <w:sz w:val="24"/>
                <w:szCs w:val="24"/>
                <w:highlight w:val="none"/>
                <w:lang w:val="en-US" w:eastAsia="zh-CN"/>
              </w:rPr>
              <w:t>单灯</w:t>
            </w:r>
          </w:p>
        </w:tc>
        <w:tc>
          <w:tcPr>
            <w:tcW w:w="767" w:type="dxa"/>
            <w:noWrap w:val="0"/>
            <w:vAlign w:val="top"/>
          </w:tcPr>
          <w:p w14:paraId="29D4BE7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960" w:type="dxa"/>
            <w:noWrap w:val="0"/>
            <w:vAlign w:val="top"/>
          </w:tcPr>
          <w:p w14:paraId="1804DDC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套</w:t>
            </w:r>
          </w:p>
        </w:tc>
        <w:tc>
          <w:tcPr>
            <w:tcW w:w="2430" w:type="dxa"/>
            <w:noWrap w:val="0"/>
            <w:vAlign w:val="top"/>
          </w:tcPr>
          <w:p w14:paraId="77A77CCD">
            <w:pPr>
              <w:jc w:val="center"/>
              <w:rPr>
                <w:rFonts w:hint="default" w:ascii="仿宋_GB2312" w:hAnsi="仿宋_GB2312" w:eastAsia="仿宋_GB2312" w:cs="仿宋_GB2312"/>
                <w:sz w:val="24"/>
                <w:szCs w:val="24"/>
                <w:highlight w:val="none"/>
                <w:lang w:val="en-US" w:eastAsia="zh-CN"/>
              </w:rPr>
            </w:pPr>
          </w:p>
        </w:tc>
      </w:tr>
      <w:tr w14:paraId="5A51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488508AC">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二</w:t>
            </w:r>
          </w:p>
        </w:tc>
        <w:tc>
          <w:tcPr>
            <w:tcW w:w="3983" w:type="dxa"/>
            <w:noWrap w:val="0"/>
            <w:vAlign w:val="top"/>
          </w:tcPr>
          <w:p w14:paraId="05D8214F">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吊塔、吊柱</w:t>
            </w:r>
          </w:p>
        </w:tc>
        <w:tc>
          <w:tcPr>
            <w:tcW w:w="767" w:type="dxa"/>
            <w:noWrap w:val="0"/>
            <w:vAlign w:val="top"/>
          </w:tcPr>
          <w:p w14:paraId="670F136A">
            <w:pPr>
              <w:jc w:val="center"/>
              <w:rPr>
                <w:rFonts w:hint="eastAsia" w:ascii="仿宋_GB2312" w:hAnsi="仿宋_GB2312" w:eastAsia="仿宋_GB2312" w:cs="仿宋_GB2312"/>
                <w:sz w:val="24"/>
                <w:szCs w:val="24"/>
                <w:highlight w:val="none"/>
              </w:rPr>
            </w:pPr>
          </w:p>
        </w:tc>
        <w:tc>
          <w:tcPr>
            <w:tcW w:w="960" w:type="dxa"/>
            <w:noWrap w:val="0"/>
            <w:vAlign w:val="top"/>
          </w:tcPr>
          <w:p w14:paraId="7514AB54">
            <w:pPr>
              <w:jc w:val="center"/>
              <w:rPr>
                <w:rFonts w:hint="eastAsia" w:ascii="仿宋_GB2312" w:hAnsi="仿宋_GB2312" w:eastAsia="仿宋_GB2312" w:cs="仿宋_GB2312"/>
                <w:sz w:val="24"/>
                <w:szCs w:val="24"/>
                <w:highlight w:val="none"/>
              </w:rPr>
            </w:pPr>
          </w:p>
        </w:tc>
        <w:tc>
          <w:tcPr>
            <w:tcW w:w="2430" w:type="dxa"/>
            <w:noWrap w:val="0"/>
            <w:vAlign w:val="top"/>
          </w:tcPr>
          <w:p w14:paraId="42C843BA">
            <w:pPr>
              <w:jc w:val="center"/>
              <w:rPr>
                <w:rFonts w:hint="eastAsia" w:ascii="仿宋_GB2312" w:hAnsi="仿宋_GB2312" w:eastAsia="仿宋_GB2312" w:cs="仿宋_GB2312"/>
                <w:sz w:val="24"/>
                <w:szCs w:val="24"/>
                <w:highlight w:val="none"/>
              </w:rPr>
            </w:pPr>
          </w:p>
        </w:tc>
      </w:tr>
      <w:tr w14:paraId="7035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02574E96">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3983" w:type="dxa"/>
            <w:noWrap w:val="0"/>
            <w:vAlign w:val="center"/>
          </w:tcPr>
          <w:p w14:paraId="59097A63">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麻醉塔双臂</w:t>
            </w:r>
          </w:p>
        </w:tc>
        <w:tc>
          <w:tcPr>
            <w:tcW w:w="767" w:type="dxa"/>
            <w:noWrap w:val="0"/>
            <w:vAlign w:val="top"/>
          </w:tcPr>
          <w:p w14:paraId="777D6D6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960" w:type="dxa"/>
            <w:noWrap w:val="0"/>
            <w:vAlign w:val="top"/>
          </w:tcPr>
          <w:p w14:paraId="728D621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套</w:t>
            </w:r>
          </w:p>
        </w:tc>
        <w:tc>
          <w:tcPr>
            <w:tcW w:w="2430" w:type="dxa"/>
            <w:noWrap w:val="0"/>
            <w:vAlign w:val="top"/>
          </w:tcPr>
          <w:p w14:paraId="0BB462AC">
            <w:pPr>
              <w:jc w:val="center"/>
              <w:rPr>
                <w:rFonts w:hint="default" w:ascii="仿宋_GB2312" w:hAnsi="仿宋_GB2312" w:eastAsia="仿宋_GB2312" w:cs="仿宋_GB2312"/>
                <w:sz w:val="24"/>
                <w:szCs w:val="24"/>
                <w:highlight w:val="none"/>
                <w:lang w:val="en-US" w:eastAsia="zh-CN"/>
              </w:rPr>
            </w:pPr>
          </w:p>
        </w:tc>
      </w:tr>
      <w:tr w14:paraId="142D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1865E78C">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3983" w:type="dxa"/>
            <w:noWrap w:val="0"/>
            <w:vAlign w:val="center"/>
          </w:tcPr>
          <w:p w14:paraId="45F3FCE6">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腔镜塔双臂</w:t>
            </w:r>
          </w:p>
        </w:tc>
        <w:tc>
          <w:tcPr>
            <w:tcW w:w="767" w:type="dxa"/>
            <w:noWrap w:val="0"/>
            <w:vAlign w:val="top"/>
          </w:tcPr>
          <w:p w14:paraId="7D4B12A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960" w:type="dxa"/>
            <w:noWrap w:val="0"/>
            <w:vAlign w:val="top"/>
          </w:tcPr>
          <w:p w14:paraId="52DA955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套</w:t>
            </w:r>
          </w:p>
        </w:tc>
        <w:tc>
          <w:tcPr>
            <w:tcW w:w="2430" w:type="dxa"/>
            <w:noWrap w:val="0"/>
            <w:vAlign w:val="top"/>
          </w:tcPr>
          <w:p w14:paraId="0B07ED69">
            <w:pPr>
              <w:jc w:val="center"/>
              <w:rPr>
                <w:rFonts w:hint="eastAsia" w:ascii="仿宋_GB2312" w:hAnsi="仿宋_GB2312" w:eastAsia="仿宋_GB2312" w:cs="仿宋_GB2312"/>
                <w:sz w:val="24"/>
                <w:szCs w:val="24"/>
                <w:highlight w:val="none"/>
              </w:rPr>
            </w:pPr>
          </w:p>
        </w:tc>
      </w:tr>
      <w:tr w14:paraId="5769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80" w:type="dxa"/>
            <w:noWrap w:val="0"/>
            <w:vAlign w:val="top"/>
          </w:tcPr>
          <w:p w14:paraId="2AA82CBE">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3983" w:type="dxa"/>
            <w:noWrap w:val="0"/>
            <w:vAlign w:val="center"/>
          </w:tcPr>
          <w:p w14:paraId="57500FEC">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新生儿吊柱</w:t>
            </w:r>
          </w:p>
        </w:tc>
        <w:tc>
          <w:tcPr>
            <w:tcW w:w="767" w:type="dxa"/>
            <w:noWrap w:val="0"/>
            <w:vAlign w:val="top"/>
          </w:tcPr>
          <w:p w14:paraId="5AD32DD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c>
          <w:tcPr>
            <w:tcW w:w="960" w:type="dxa"/>
            <w:noWrap w:val="0"/>
            <w:vAlign w:val="top"/>
          </w:tcPr>
          <w:p w14:paraId="6BDE3C7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套</w:t>
            </w:r>
          </w:p>
        </w:tc>
        <w:tc>
          <w:tcPr>
            <w:tcW w:w="2430" w:type="dxa"/>
            <w:noWrap w:val="0"/>
            <w:vAlign w:val="top"/>
          </w:tcPr>
          <w:p w14:paraId="004B3E13">
            <w:pPr>
              <w:jc w:val="center"/>
              <w:rPr>
                <w:rFonts w:hint="eastAsia" w:ascii="仿宋_GB2312" w:hAnsi="仿宋_GB2312" w:eastAsia="仿宋_GB2312" w:cs="仿宋_GB2312"/>
                <w:sz w:val="24"/>
                <w:szCs w:val="24"/>
                <w:highlight w:val="none"/>
              </w:rPr>
            </w:pPr>
          </w:p>
        </w:tc>
      </w:tr>
    </w:tbl>
    <w:p w14:paraId="039A6758">
      <w:pPr>
        <w:pStyle w:val="53"/>
        <w:ind w:firstLine="0" w:firstLineChars="0"/>
        <w:outlineLvl w:val="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w:t>
      </w:r>
      <w:r>
        <w:rPr>
          <w:rFonts w:hint="eastAsia" w:ascii="仿宋" w:hAnsi="仿宋" w:eastAsia="仿宋" w:cs="仿宋"/>
          <w:b/>
          <w:bCs/>
          <w:sz w:val="28"/>
          <w:szCs w:val="28"/>
          <w:lang w:eastAsia="zh-CN"/>
        </w:rPr>
        <w:t>技术参数</w:t>
      </w:r>
    </w:p>
    <w:tbl>
      <w:tblPr>
        <w:tblStyle w:val="31"/>
        <w:tblW w:w="5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244"/>
        <w:gridCol w:w="6827"/>
      </w:tblGrid>
      <w:tr w14:paraId="1ED6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21" w:type="pct"/>
            <w:noWrap w:val="0"/>
            <w:vAlign w:val="center"/>
          </w:tcPr>
          <w:p w14:paraId="4846F9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0000FF"/>
                <w:sz w:val="22"/>
                <w:szCs w:val="22"/>
                <w:highlight w:val="none"/>
                <w:lang w:val="en-US" w:eastAsia="zh-CN"/>
              </w:rPr>
            </w:pPr>
            <w:r>
              <w:rPr>
                <w:rFonts w:hint="eastAsia" w:ascii="仿宋" w:hAnsi="仿宋" w:eastAsia="仿宋" w:cs="仿宋"/>
                <w:b/>
                <w:bCs/>
                <w:color w:val="0000FF"/>
                <w:sz w:val="22"/>
                <w:szCs w:val="22"/>
                <w:highlight w:val="none"/>
                <w:lang w:val="en-US" w:eastAsia="zh-CN"/>
              </w:rPr>
              <w:t>一</w:t>
            </w:r>
          </w:p>
        </w:tc>
        <w:tc>
          <w:tcPr>
            <w:tcW w:w="4378" w:type="pct"/>
            <w:gridSpan w:val="2"/>
            <w:noWrap w:val="0"/>
            <w:vAlign w:val="center"/>
          </w:tcPr>
          <w:p w14:paraId="55A1860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仿宋" w:hAnsi="仿宋" w:eastAsia="仿宋_GB2312" w:cs="仿宋"/>
                <w:b/>
                <w:bCs/>
                <w:color w:val="0000FF"/>
                <w:sz w:val="22"/>
                <w:szCs w:val="22"/>
                <w:highlight w:val="none"/>
                <w:lang w:val="en-US" w:eastAsia="zh-CN"/>
              </w:rPr>
            </w:pPr>
            <w:r>
              <w:rPr>
                <w:rFonts w:hint="eastAsia" w:ascii="仿宋_GB2312" w:hAnsi="仿宋_GB2312" w:eastAsia="仿宋_GB2312" w:cs="仿宋_GB2312"/>
                <w:b/>
                <w:bCs/>
                <w:color w:val="0000FF"/>
                <w:sz w:val="24"/>
                <w:szCs w:val="24"/>
                <w:highlight w:val="none"/>
              </w:rPr>
              <w:t>LED无影灯双母灯</w:t>
            </w:r>
            <w:r>
              <w:rPr>
                <w:rFonts w:hint="eastAsia" w:ascii="仿宋_GB2312" w:hAnsi="仿宋_GB2312" w:eastAsia="仿宋_GB2312" w:cs="仿宋_GB2312"/>
                <w:b/>
                <w:bCs/>
                <w:color w:val="0000FF"/>
                <w:sz w:val="24"/>
                <w:szCs w:val="24"/>
                <w:highlight w:val="none"/>
                <w:lang w:val="en-US" w:eastAsia="zh-CN"/>
              </w:rPr>
              <w:t>:2套</w:t>
            </w:r>
          </w:p>
        </w:tc>
      </w:tr>
      <w:tr w14:paraId="5E01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21" w:type="pct"/>
            <w:noWrap w:val="0"/>
            <w:vAlign w:val="center"/>
          </w:tcPr>
          <w:p w14:paraId="7C283D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1</w:t>
            </w:r>
            <w:r>
              <w:rPr>
                <w:rFonts w:hint="eastAsia" w:ascii="仿宋" w:hAnsi="仿宋" w:eastAsia="仿宋" w:cs="仿宋"/>
                <w:sz w:val="22"/>
                <w:szCs w:val="22"/>
              </w:rPr>
              <w:t>.1</w:t>
            </w:r>
          </w:p>
        </w:tc>
        <w:tc>
          <w:tcPr>
            <w:tcW w:w="1083" w:type="pct"/>
            <w:noWrap w:val="0"/>
            <w:vAlign w:val="center"/>
          </w:tcPr>
          <w:p w14:paraId="77A7A6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光源系统</w:t>
            </w:r>
          </w:p>
        </w:tc>
        <w:tc>
          <w:tcPr>
            <w:tcW w:w="3295" w:type="pct"/>
            <w:noWrap w:val="0"/>
            <w:vAlign w:val="center"/>
          </w:tcPr>
          <w:p w14:paraId="782F6FC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采用LED冷光技术，每组LED光源都有单独的透镜聚光。</w:t>
            </w:r>
          </w:p>
        </w:tc>
      </w:tr>
      <w:tr w14:paraId="168D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21" w:type="pct"/>
            <w:noWrap w:val="0"/>
            <w:vAlign w:val="center"/>
          </w:tcPr>
          <w:p w14:paraId="75E309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1.1</w:t>
            </w:r>
          </w:p>
        </w:tc>
        <w:tc>
          <w:tcPr>
            <w:tcW w:w="1083" w:type="pct"/>
            <w:noWrap w:val="0"/>
            <w:vAlign w:val="center"/>
          </w:tcPr>
          <w:p w14:paraId="2DA11F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层流认证</w:t>
            </w:r>
          </w:p>
        </w:tc>
        <w:tc>
          <w:tcPr>
            <w:tcW w:w="3295" w:type="pct"/>
            <w:noWrap w:val="0"/>
            <w:vAlign w:val="center"/>
          </w:tcPr>
          <w:p w14:paraId="4B7923ED">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灯头为风车型设计，具有良好的层流穿透效果，双母灯均符合DIN1946-4现代层流手术室感控要求，扰流指数</w:t>
            </w:r>
            <w:r>
              <w:rPr>
                <w:rFonts w:hint="eastAsia" w:ascii="仿宋" w:hAnsi="仿宋" w:eastAsia="仿宋" w:cs="仿宋"/>
                <w:sz w:val="22"/>
                <w:szCs w:val="22"/>
                <w:lang w:val="en-US" w:eastAsia="zh-CN"/>
              </w:rPr>
              <w:t>≤</w:t>
            </w:r>
            <w:r>
              <w:rPr>
                <w:rFonts w:hint="eastAsia" w:ascii="仿宋" w:hAnsi="仿宋" w:eastAsia="仿宋" w:cs="仿宋"/>
                <w:sz w:val="22"/>
                <w:szCs w:val="22"/>
              </w:rPr>
              <w:t>2</w:t>
            </w:r>
            <w:r>
              <w:rPr>
                <w:rFonts w:hint="eastAsia" w:ascii="仿宋" w:hAnsi="仿宋" w:eastAsia="仿宋" w:cs="仿宋"/>
                <w:sz w:val="22"/>
                <w:szCs w:val="22"/>
                <w:lang w:val="en-US" w:eastAsia="zh-CN"/>
              </w:rPr>
              <w:t>2</w:t>
            </w:r>
            <w:r>
              <w:rPr>
                <w:rFonts w:hint="eastAsia" w:ascii="仿宋" w:hAnsi="仿宋" w:eastAsia="仿宋" w:cs="仿宋"/>
                <w:sz w:val="22"/>
                <w:szCs w:val="22"/>
              </w:rPr>
              <w:t>%。</w:t>
            </w:r>
            <w:r>
              <w:rPr>
                <w:rFonts w:hint="eastAsia" w:ascii="仿宋" w:hAnsi="仿宋" w:eastAsia="仿宋" w:cs="仿宋"/>
                <w:b/>
                <w:bCs/>
                <w:kern w:val="0"/>
                <w:szCs w:val="21"/>
                <w:lang w:val="en-US" w:eastAsia="zh-CN"/>
              </w:rPr>
              <w:t>（提供第三方证明文件）</w:t>
            </w:r>
          </w:p>
        </w:tc>
      </w:tr>
      <w:tr w14:paraId="5FD3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21" w:type="pct"/>
            <w:noWrap w:val="0"/>
            <w:vAlign w:val="center"/>
          </w:tcPr>
          <w:p w14:paraId="607FEA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1.1.2</w:t>
            </w:r>
          </w:p>
        </w:tc>
        <w:tc>
          <w:tcPr>
            <w:tcW w:w="1083" w:type="pct"/>
            <w:noWrap w:val="0"/>
            <w:vAlign w:val="center"/>
          </w:tcPr>
          <w:p w14:paraId="3C962C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灯头操作扶手设计</w:t>
            </w:r>
          </w:p>
        </w:tc>
        <w:tc>
          <w:tcPr>
            <w:tcW w:w="3295" w:type="pct"/>
            <w:noWrap w:val="0"/>
            <w:vAlign w:val="center"/>
          </w:tcPr>
          <w:p w14:paraId="001849E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灯头操作扶手与灯头一体成型，便于非洁净区人员移动手术灯位置的同时，</w:t>
            </w:r>
            <w:r>
              <w:rPr>
                <w:rFonts w:hint="eastAsia" w:ascii="仿宋" w:hAnsi="仿宋" w:eastAsia="仿宋" w:cs="仿宋"/>
                <w:kern w:val="0"/>
                <w:sz w:val="22"/>
                <w:szCs w:val="22"/>
              </w:rPr>
              <w:t>医护人员清洁时不会留残留污染，影响洁净消毒效果。</w:t>
            </w:r>
            <w:r>
              <w:rPr>
                <w:rFonts w:hint="eastAsia" w:ascii="仿宋" w:hAnsi="仿宋" w:eastAsia="仿宋" w:cs="仿宋"/>
                <w:b/>
                <w:bCs/>
                <w:kern w:val="0"/>
                <w:szCs w:val="21"/>
                <w:lang w:eastAsia="zh-CN"/>
              </w:rPr>
              <w:t>（</w:t>
            </w:r>
            <w:r>
              <w:rPr>
                <w:rFonts w:hint="eastAsia" w:ascii="仿宋" w:hAnsi="仿宋" w:eastAsia="仿宋" w:cs="仿宋"/>
                <w:b/>
                <w:bCs/>
                <w:kern w:val="0"/>
                <w:szCs w:val="21"/>
                <w:lang w:val="en-US" w:eastAsia="zh-CN"/>
              </w:rPr>
              <w:t>提供图片证明</w:t>
            </w:r>
            <w:r>
              <w:rPr>
                <w:rFonts w:hint="eastAsia" w:ascii="仿宋" w:hAnsi="仿宋" w:eastAsia="仿宋" w:cs="仿宋"/>
                <w:b/>
                <w:bCs/>
                <w:kern w:val="0"/>
                <w:szCs w:val="21"/>
                <w:lang w:eastAsia="zh-CN"/>
              </w:rPr>
              <w:t>）</w:t>
            </w:r>
          </w:p>
        </w:tc>
      </w:tr>
      <w:tr w14:paraId="435F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1" w:type="pct"/>
            <w:noWrap w:val="0"/>
            <w:vAlign w:val="center"/>
          </w:tcPr>
          <w:p w14:paraId="6EB393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1.1.3</w:t>
            </w:r>
          </w:p>
        </w:tc>
        <w:tc>
          <w:tcPr>
            <w:tcW w:w="1083" w:type="pct"/>
            <w:noWrap w:val="0"/>
            <w:vAlign w:val="center"/>
          </w:tcPr>
          <w:p w14:paraId="22FC91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灯头设计</w:t>
            </w:r>
          </w:p>
        </w:tc>
        <w:tc>
          <w:tcPr>
            <w:tcW w:w="3295" w:type="pct"/>
            <w:noWrap w:val="0"/>
            <w:vAlign w:val="center"/>
          </w:tcPr>
          <w:p w14:paraId="6FCA387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灯头采用一体化无螺钉设计，无拼接缝隙，医护人员清洁更方便，不会留残留污染而影响洁净消毒效果。</w:t>
            </w:r>
            <w:r>
              <w:rPr>
                <w:rFonts w:hint="eastAsia" w:ascii="仿宋" w:hAnsi="仿宋" w:eastAsia="仿宋" w:cs="仿宋"/>
                <w:b/>
                <w:bCs/>
                <w:kern w:val="0"/>
                <w:szCs w:val="21"/>
                <w:lang w:eastAsia="zh-CN"/>
              </w:rPr>
              <w:t>（</w:t>
            </w:r>
            <w:r>
              <w:rPr>
                <w:rFonts w:hint="eastAsia" w:ascii="仿宋" w:hAnsi="仿宋" w:eastAsia="仿宋" w:cs="仿宋"/>
                <w:b/>
                <w:bCs/>
                <w:kern w:val="0"/>
                <w:szCs w:val="21"/>
                <w:lang w:val="en-US" w:eastAsia="zh-CN"/>
              </w:rPr>
              <w:t>提供图片证明</w:t>
            </w:r>
            <w:r>
              <w:rPr>
                <w:rFonts w:hint="eastAsia" w:ascii="仿宋" w:hAnsi="仿宋" w:eastAsia="仿宋" w:cs="仿宋"/>
                <w:b/>
                <w:bCs/>
                <w:kern w:val="0"/>
                <w:szCs w:val="21"/>
                <w:lang w:eastAsia="zh-CN"/>
              </w:rPr>
              <w:t>）</w:t>
            </w:r>
          </w:p>
        </w:tc>
      </w:tr>
      <w:tr w14:paraId="3E7E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21" w:type="pct"/>
            <w:noWrap w:val="0"/>
            <w:vAlign w:val="center"/>
          </w:tcPr>
          <w:p w14:paraId="56A120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1.1.4</w:t>
            </w:r>
          </w:p>
        </w:tc>
        <w:tc>
          <w:tcPr>
            <w:tcW w:w="1083" w:type="pct"/>
            <w:noWrap w:val="0"/>
            <w:vAlign w:val="center"/>
          </w:tcPr>
          <w:p w14:paraId="5E10AB4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灯泡数量和使用寿命</w:t>
            </w:r>
          </w:p>
        </w:tc>
        <w:tc>
          <w:tcPr>
            <w:tcW w:w="3295" w:type="pct"/>
            <w:noWrap w:val="0"/>
            <w:vAlign w:val="center"/>
          </w:tcPr>
          <w:p w14:paraId="2210532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单灯</w:t>
            </w:r>
            <w:r>
              <w:rPr>
                <w:rFonts w:hint="eastAsia" w:ascii="仿宋" w:hAnsi="仿宋" w:eastAsia="仿宋" w:cs="仿宋"/>
                <w:sz w:val="22"/>
                <w:szCs w:val="22"/>
              </w:rPr>
              <w:t>灯泡数量≤</w:t>
            </w:r>
            <w:r>
              <w:rPr>
                <w:rFonts w:hint="eastAsia" w:ascii="仿宋" w:hAnsi="仿宋" w:eastAsia="仿宋" w:cs="仿宋"/>
                <w:sz w:val="22"/>
                <w:szCs w:val="22"/>
                <w:lang w:val="en-US" w:eastAsia="zh-CN"/>
              </w:rPr>
              <w:t>36</w:t>
            </w:r>
            <w:r>
              <w:rPr>
                <w:rFonts w:hint="eastAsia" w:ascii="仿宋" w:hAnsi="仿宋" w:eastAsia="仿宋" w:cs="仿宋"/>
                <w:sz w:val="22"/>
                <w:szCs w:val="22"/>
              </w:rPr>
              <w:t>个，灯泡寿命≥60000小时</w:t>
            </w:r>
            <w:r>
              <w:rPr>
                <w:rFonts w:hint="eastAsia" w:ascii="仿宋" w:hAnsi="仿宋" w:eastAsia="仿宋" w:cs="仿宋"/>
                <w:b/>
                <w:bCs/>
                <w:kern w:val="0"/>
                <w:szCs w:val="21"/>
                <w:lang w:eastAsia="zh-CN"/>
              </w:rPr>
              <w:t>（</w:t>
            </w:r>
            <w:r>
              <w:rPr>
                <w:rFonts w:hint="eastAsia" w:ascii="仿宋" w:hAnsi="仿宋" w:eastAsia="仿宋" w:cs="仿宋"/>
                <w:b/>
                <w:bCs/>
                <w:kern w:val="0"/>
                <w:szCs w:val="21"/>
                <w:lang w:val="en-US" w:eastAsia="zh-CN"/>
              </w:rPr>
              <w:t>提供图片证明</w:t>
            </w:r>
            <w:r>
              <w:rPr>
                <w:rFonts w:hint="eastAsia" w:ascii="仿宋" w:hAnsi="仿宋" w:eastAsia="仿宋" w:cs="仿宋"/>
                <w:b/>
                <w:bCs/>
                <w:kern w:val="0"/>
                <w:szCs w:val="21"/>
                <w:lang w:eastAsia="zh-CN"/>
              </w:rPr>
              <w:t>）</w:t>
            </w:r>
          </w:p>
        </w:tc>
      </w:tr>
      <w:tr w14:paraId="269E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1" w:type="pct"/>
            <w:noWrap w:val="0"/>
            <w:vAlign w:val="center"/>
          </w:tcPr>
          <w:p w14:paraId="148733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1.1.5</w:t>
            </w:r>
          </w:p>
        </w:tc>
        <w:tc>
          <w:tcPr>
            <w:tcW w:w="1083" w:type="pct"/>
            <w:noWrap w:val="0"/>
            <w:vAlign w:val="center"/>
          </w:tcPr>
          <w:p w14:paraId="5A8EC1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防水防尘等级</w:t>
            </w:r>
          </w:p>
        </w:tc>
        <w:tc>
          <w:tcPr>
            <w:tcW w:w="3295" w:type="pct"/>
            <w:noWrap w:val="0"/>
            <w:vAlign w:val="center"/>
          </w:tcPr>
          <w:p w14:paraId="3194160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手术灯灯头≥IP54防水防尘等级。</w:t>
            </w:r>
            <w:r>
              <w:rPr>
                <w:rFonts w:hint="eastAsia" w:ascii="仿宋" w:hAnsi="仿宋" w:eastAsia="仿宋" w:cs="仿宋"/>
                <w:b/>
                <w:bCs/>
                <w:kern w:val="0"/>
                <w:szCs w:val="21"/>
                <w:lang w:val="en-US" w:eastAsia="zh-CN"/>
              </w:rPr>
              <w:t>（提供第三方证明文件）</w:t>
            </w:r>
          </w:p>
        </w:tc>
      </w:tr>
      <w:tr w14:paraId="1C98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21" w:type="pct"/>
            <w:noWrap w:val="0"/>
            <w:vAlign w:val="center"/>
          </w:tcPr>
          <w:p w14:paraId="36FF2F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1.1.6</w:t>
            </w:r>
          </w:p>
        </w:tc>
        <w:tc>
          <w:tcPr>
            <w:tcW w:w="1083" w:type="pct"/>
            <w:noWrap w:val="0"/>
            <w:vAlign w:val="center"/>
          </w:tcPr>
          <w:p w14:paraId="0BC3C9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最大中心照度</w:t>
            </w:r>
          </w:p>
        </w:tc>
        <w:tc>
          <w:tcPr>
            <w:tcW w:w="3295" w:type="pct"/>
            <w:noWrap w:val="0"/>
            <w:vAlign w:val="center"/>
          </w:tcPr>
          <w:p w14:paraId="430937B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双母灯中心照度≤160,000Lx</w:t>
            </w:r>
          </w:p>
        </w:tc>
      </w:tr>
      <w:tr w14:paraId="03F6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21" w:type="pct"/>
            <w:noWrap w:val="0"/>
            <w:vAlign w:val="center"/>
          </w:tcPr>
          <w:p w14:paraId="0AFC2A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1.1.7</w:t>
            </w:r>
          </w:p>
        </w:tc>
        <w:tc>
          <w:tcPr>
            <w:tcW w:w="1083" w:type="pct"/>
            <w:noWrap w:val="0"/>
            <w:vAlign w:val="center"/>
          </w:tcPr>
          <w:p w14:paraId="6A998A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光柱深度</w:t>
            </w:r>
          </w:p>
        </w:tc>
        <w:tc>
          <w:tcPr>
            <w:tcW w:w="3295" w:type="pct"/>
            <w:noWrap w:val="0"/>
            <w:vAlign w:val="center"/>
          </w:tcPr>
          <w:p w14:paraId="54D0015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20%光柱深度（大光斑）：≥1</w:t>
            </w:r>
            <w:r>
              <w:rPr>
                <w:rFonts w:hint="eastAsia" w:ascii="仿宋" w:hAnsi="仿宋" w:eastAsia="仿宋" w:cs="仿宋"/>
                <w:sz w:val="22"/>
                <w:szCs w:val="22"/>
                <w:lang w:val="en-US" w:eastAsia="zh-CN"/>
              </w:rPr>
              <w:t>30</w:t>
            </w:r>
            <w:r>
              <w:rPr>
                <w:rFonts w:hint="eastAsia" w:ascii="仿宋" w:hAnsi="仿宋" w:eastAsia="仿宋" w:cs="仿宋"/>
                <w:sz w:val="22"/>
                <w:szCs w:val="22"/>
              </w:rPr>
              <w:t>0mm；60%光柱深度（大光斑）：≥</w:t>
            </w:r>
            <w:r>
              <w:rPr>
                <w:rFonts w:hint="eastAsia" w:ascii="仿宋" w:hAnsi="仿宋" w:eastAsia="仿宋" w:cs="仿宋"/>
                <w:sz w:val="22"/>
                <w:szCs w:val="22"/>
                <w:lang w:val="en-US" w:eastAsia="zh-CN"/>
              </w:rPr>
              <w:t>8</w:t>
            </w:r>
            <w:r>
              <w:rPr>
                <w:rFonts w:hint="eastAsia" w:ascii="仿宋" w:hAnsi="仿宋" w:eastAsia="仿宋" w:cs="仿宋"/>
                <w:sz w:val="22"/>
                <w:szCs w:val="22"/>
              </w:rPr>
              <w:t>00mm</w:t>
            </w:r>
          </w:p>
        </w:tc>
      </w:tr>
      <w:tr w14:paraId="79B5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21" w:type="pct"/>
            <w:noWrap w:val="0"/>
            <w:vAlign w:val="center"/>
          </w:tcPr>
          <w:p w14:paraId="2EE1DC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1.1.8</w:t>
            </w:r>
          </w:p>
        </w:tc>
        <w:tc>
          <w:tcPr>
            <w:tcW w:w="1083" w:type="pct"/>
            <w:noWrap w:val="0"/>
            <w:vAlign w:val="center"/>
          </w:tcPr>
          <w:p w14:paraId="15B3F6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光斑直径</w:t>
            </w:r>
          </w:p>
        </w:tc>
        <w:tc>
          <w:tcPr>
            <w:tcW w:w="3295" w:type="pct"/>
            <w:noWrap w:val="0"/>
            <w:vAlign w:val="center"/>
          </w:tcPr>
          <w:p w14:paraId="7B3EF81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光斑直径可以调节，母灯及子灯均满足最小光斑直径d10为14</w:t>
            </w:r>
            <w:r>
              <w:rPr>
                <w:rFonts w:hint="eastAsia" w:ascii="仿宋" w:hAnsi="仿宋" w:eastAsia="仿宋" w:cs="仿宋"/>
                <w:sz w:val="22"/>
                <w:szCs w:val="22"/>
                <w:lang w:val="en-US" w:eastAsia="zh-CN"/>
              </w:rPr>
              <w:t>5</w:t>
            </w:r>
            <w:r>
              <w:rPr>
                <w:rFonts w:hint="eastAsia" w:ascii="仿宋" w:hAnsi="仿宋" w:eastAsia="仿宋" w:cs="仿宋"/>
                <w:sz w:val="22"/>
                <w:szCs w:val="22"/>
              </w:rPr>
              <w:t>mm，最大光斑直径d10为300mm</w:t>
            </w:r>
            <w:r>
              <w:rPr>
                <w:rFonts w:hint="eastAsia" w:ascii="仿宋" w:hAnsi="仿宋" w:eastAsia="仿宋" w:cs="仿宋"/>
                <w:sz w:val="22"/>
                <w:szCs w:val="22"/>
                <w:lang w:eastAsia="zh-CN"/>
              </w:rPr>
              <w:t>。</w:t>
            </w:r>
            <w:r>
              <w:rPr>
                <w:rFonts w:hint="eastAsia" w:ascii="宋体" w:hAnsi="宋体"/>
                <w:b/>
                <w:bCs/>
                <w:szCs w:val="21"/>
                <w:lang w:eastAsia="zh-CN"/>
              </w:rPr>
              <w:t>（</w:t>
            </w:r>
            <w:r>
              <w:rPr>
                <w:rFonts w:hint="eastAsia" w:ascii="宋体" w:hAnsi="宋体"/>
                <w:b/>
                <w:bCs/>
                <w:szCs w:val="21"/>
                <w:lang w:val="en-US" w:eastAsia="zh-CN"/>
              </w:rPr>
              <w:t>提供证明</w:t>
            </w:r>
            <w:r>
              <w:rPr>
                <w:rFonts w:hint="eastAsia" w:ascii="仿宋" w:hAnsi="仿宋" w:eastAsia="仿宋" w:cs="仿宋"/>
                <w:b/>
                <w:bCs/>
                <w:kern w:val="0"/>
                <w:szCs w:val="21"/>
                <w:lang w:val="en-US" w:eastAsia="zh-CN"/>
              </w:rPr>
              <w:t>文件</w:t>
            </w:r>
            <w:r>
              <w:rPr>
                <w:rFonts w:hint="eastAsia" w:ascii="宋体" w:hAnsi="宋体"/>
                <w:b/>
                <w:bCs/>
                <w:szCs w:val="21"/>
                <w:lang w:eastAsia="zh-CN"/>
              </w:rPr>
              <w:t>）</w:t>
            </w:r>
          </w:p>
        </w:tc>
      </w:tr>
      <w:tr w14:paraId="43E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21" w:type="pct"/>
            <w:noWrap w:val="0"/>
            <w:vAlign w:val="center"/>
          </w:tcPr>
          <w:p w14:paraId="4F8502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1.1.9</w:t>
            </w:r>
          </w:p>
        </w:tc>
        <w:tc>
          <w:tcPr>
            <w:tcW w:w="1083" w:type="pct"/>
            <w:noWrap w:val="0"/>
            <w:vAlign w:val="center"/>
          </w:tcPr>
          <w:p w14:paraId="46F98E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光斑均匀性</w:t>
            </w:r>
          </w:p>
        </w:tc>
        <w:tc>
          <w:tcPr>
            <w:tcW w:w="3295" w:type="pct"/>
            <w:noWrap w:val="0"/>
            <w:vAlign w:val="center"/>
          </w:tcPr>
          <w:p w14:paraId="38DBEA3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光斑均匀性：d50/d10 ≥60%。</w:t>
            </w:r>
          </w:p>
        </w:tc>
      </w:tr>
      <w:tr w14:paraId="6C29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21" w:type="pct"/>
            <w:noWrap w:val="0"/>
            <w:vAlign w:val="center"/>
          </w:tcPr>
          <w:p w14:paraId="47F69B2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1.1.10</w:t>
            </w:r>
          </w:p>
        </w:tc>
        <w:tc>
          <w:tcPr>
            <w:tcW w:w="1083" w:type="pct"/>
            <w:noWrap w:val="0"/>
            <w:vAlign w:val="center"/>
          </w:tcPr>
          <w:p w14:paraId="4CF6C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无影率</w:t>
            </w:r>
          </w:p>
        </w:tc>
        <w:tc>
          <w:tcPr>
            <w:tcW w:w="3295" w:type="pct"/>
            <w:noWrap w:val="0"/>
            <w:vAlign w:val="center"/>
          </w:tcPr>
          <w:p w14:paraId="4775178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6级照度模式下深腔照明率为100%，单遮板无影率为</w:t>
            </w:r>
            <w:r>
              <w:rPr>
                <w:rFonts w:hint="eastAsia" w:ascii="仿宋" w:hAnsi="仿宋" w:eastAsia="仿宋" w:cs="仿宋"/>
                <w:sz w:val="22"/>
                <w:szCs w:val="22"/>
                <w:lang w:val="en-US" w:eastAsia="zh-CN"/>
              </w:rPr>
              <w:t>60</w:t>
            </w:r>
            <w:r>
              <w:rPr>
                <w:rFonts w:hint="eastAsia" w:ascii="仿宋" w:hAnsi="仿宋" w:eastAsia="仿宋" w:cs="仿宋"/>
                <w:sz w:val="22"/>
                <w:szCs w:val="22"/>
              </w:rPr>
              <w:t>%，双遮板无影率为</w:t>
            </w:r>
            <w:r>
              <w:rPr>
                <w:rFonts w:hint="eastAsia" w:ascii="仿宋" w:hAnsi="仿宋" w:eastAsia="仿宋" w:cs="仿宋"/>
                <w:sz w:val="22"/>
                <w:szCs w:val="22"/>
                <w:lang w:val="en-US" w:eastAsia="zh-CN"/>
              </w:rPr>
              <w:t>56</w:t>
            </w:r>
            <w:r>
              <w:rPr>
                <w:rFonts w:hint="eastAsia" w:ascii="仿宋" w:hAnsi="仿宋" w:eastAsia="仿宋" w:cs="仿宋"/>
                <w:sz w:val="22"/>
                <w:szCs w:val="22"/>
              </w:rPr>
              <w:t xml:space="preserve">% </w:t>
            </w:r>
            <w:r>
              <w:rPr>
                <w:rFonts w:hint="eastAsia" w:ascii="仿宋" w:hAnsi="仿宋" w:eastAsia="仿宋" w:cs="仿宋"/>
                <w:sz w:val="22"/>
                <w:szCs w:val="22"/>
                <w:lang w:eastAsia="zh-CN"/>
              </w:rPr>
              <w:t>。</w:t>
            </w:r>
            <w:r>
              <w:rPr>
                <w:rFonts w:hint="eastAsia" w:ascii="宋体" w:hAnsi="宋体"/>
                <w:b/>
                <w:bCs/>
                <w:szCs w:val="21"/>
                <w:lang w:eastAsia="zh-CN"/>
              </w:rPr>
              <w:t>（</w:t>
            </w:r>
            <w:r>
              <w:rPr>
                <w:rFonts w:hint="eastAsia" w:ascii="宋体" w:hAnsi="宋体"/>
                <w:b/>
                <w:bCs/>
                <w:szCs w:val="21"/>
                <w:lang w:val="en-US" w:eastAsia="zh-CN"/>
              </w:rPr>
              <w:t>提供证明</w:t>
            </w:r>
            <w:r>
              <w:rPr>
                <w:rFonts w:hint="eastAsia" w:ascii="仿宋" w:hAnsi="仿宋" w:eastAsia="仿宋" w:cs="仿宋"/>
                <w:b/>
                <w:bCs/>
                <w:kern w:val="0"/>
                <w:szCs w:val="21"/>
                <w:lang w:val="en-US" w:eastAsia="zh-CN"/>
              </w:rPr>
              <w:t>文件</w:t>
            </w:r>
            <w:r>
              <w:rPr>
                <w:rFonts w:hint="eastAsia" w:ascii="宋体" w:hAnsi="宋体"/>
                <w:b/>
                <w:bCs/>
                <w:szCs w:val="21"/>
                <w:lang w:eastAsia="zh-CN"/>
              </w:rPr>
              <w:t>）</w:t>
            </w:r>
          </w:p>
        </w:tc>
      </w:tr>
      <w:tr w14:paraId="118D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1" w:type="pct"/>
            <w:noWrap w:val="0"/>
            <w:vAlign w:val="center"/>
          </w:tcPr>
          <w:p w14:paraId="6E6B7E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1.1.11</w:t>
            </w:r>
          </w:p>
        </w:tc>
        <w:tc>
          <w:tcPr>
            <w:tcW w:w="1083" w:type="pct"/>
            <w:noWrap w:val="0"/>
            <w:vAlign w:val="center"/>
          </w:tcPr>
          <w:p w14:paraId="5683DF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显色指数</w:t>
            </w:r>
          </w:p>
        </w:tc>
        <w:tc>
          <w:tcPr>
            <w:tcW w:w="3295" w:type="pct"/>
            <w:noWrap w:val="0"/>
            <w:vAlign w:val="center"/>
          </w:tcPr>
          <w:p w14:paraId="1415840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 xml:space="preserve">显色指数Ra： </w:t>
            </w:r>
            <w:r>
              <w:rPr>
                <w:rFonts w:hint="eastAsia" w:ascii="仿宋" w:hAnsi="仿宋" w:eastAsia="仿宋" w:cs="仿宋"/>
                <w:sz w:val="22"/>
                <w:szCs w:val="22"/>
                <w:lang w:val="en-US" w:eastAsia="zh-CN"/>
              </w:rPr>
              <w:t>≥</w:t>
            </w:r>
            <w:r>
              <w:rPr>
                <w:rFonts w:hint="eastAsia" w:ascii="仿宋" w:hAnsi="仿宋" w:eastAsia="仿宋" w:cs="仿宋"/>
                <w:sz w:val="22"/>
                <w:szCs w:val="22"/>
              </w:rPr>
              <w:t>99；显色指数R9：</w:t>
            </w:r>
            <w:r>
              <w:rPr>
                <w:rFonts w:hint="eastAsia" w:ascii="仿宋" w:hAnsi="仿宋" w:eastAsia="仿宋" w:cs="仿宋"/>
                <w:sz w:val="22"/>
                <w:szCs w:val="22"/>
                <w:lang w:val="en-US" w:eastAsia="zh-CN"/>
              </w:rPr>
              <w:t>≥</w:t>
            </w:r>
            <w:r>
              <w:rPr>
                <w:rFonts w:hint="eastAsia" w:ascii="仿宋" w:hAnsi="仿宋" w:eastAsia="仿宋" w:cs="仿宋"/>
                <w:sz w:val="22"/>
                <w:szCs w:val="22"/>
              </w:rPr>
              <w:t xml:space="preserve"> 97</w:t>
            </w:r>
            <w:r>
              <w:rPr>
                <w:rFonts w:hint="eastAsia" w:ascii="仿宋" w:hAnsi="仿宋" w:eastAsia="仿宋" w:cs="仿宋"/>
                <w:sz w:val="22"/>
                <w:szCs w:val="22"/>
                <w:lang w:eastAsia="zh-CN"/>
              </w:rPr>
              <w:t>。</w:t>
            </w:r>
            <w:r>
              <w:rPr>
                <w:rFonts w:hint="eastAsia" w:ascii="宋体" w:hAnsi="宋体"/>
                <w:b/>
                <w:bCs/>
                <w:szCs w:val="21"/>
                <w:lang w:eastAsia="zh-CN"/>
              </w:rPr>
              <w:t>（</w:t>
            </w:r>
            <w:r>
              <w:rPr>
                <w:rFonts w:hint="eastAsia" w:ascii="宋体" w:hAnsi="宋体"/>
                <w:b/>
                <w:bCs/>
                <w:szCs w:val="21"/>
                <w:lang w:val="en-US" w:eastAsia="zh-CN"/>
              </w:rPr>
              <w:t>提供证明</w:t>
            </w:r>
            <w:r>
              <w:rPr>
                <w:rFonts w:hint="eastAsia" w:ascii="仿宋" w:hAnsi="仿宋" w:eastAsia="仿宋" w:cs="仿宋"/>
                <w:b/>
                <w:bCs/>
                <w:kern w:val="0"/>
                <w:szCs w:val="21"/>
                <w:lang w:val="en-US" w:eastAsia="zh-CN"/>
              </w:rPr>
              <w:t>文件</w:t>
            </w:r>
            <w:r>
              <w:rPr>
                <w:rFonts w:hint="eastAsia" w:ascii="宋体" w:hAnsi="宋体"/>
                <w:b/>
                <w:bCs/>
                <w:szCs w:val="21"/>
                <w:lang w:eastAsia="zh-CN"/>
              </w:rPr>
              <w:t>）</w:t>
            </w:r>
          </w:p>
        </w:tc>
      </w:tr>
      <w:tr w14:paraId="2C3B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21" w:type="pct"/>
            <w:noWrap w:val="0"/>
            <w:vAlign w:val="center"/>
          </w:tcPr>
          <w:p w14:paraId="3EE518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1.1.12</w:t>
            </w:r>
          </w:p>
        </w:tc>
        <w:tc>
          <w:tcPr>
            <w:tcW w:w="1083" w:type="pct"/>
            <w:noWrap w:val="0"/>
            <w:vAlign w:val="center"/>
          </w:tcPr>
          <w:p w14:paraId="06D958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辐照度</w:t>
            </w:r>
          </w:p>
        </w:tc>
        <w:tc>
          <w:tcPr>
            <w:tcW w:w="3295" w:type="pct"/>
            <w:noWrap w:val="0"/>
            <w:vAlign w:val="center"/>
          </w:tcPr>
          <w:p w14:paraId="46DF5A2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辐照度/中心照度≤3.5 mW/( m2·lx)</w:t>
            </w:r>
          </w:p>
        </w:tc>
      </w:tr>
      <w:tr w14:paraId="14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1" w:type="pct"/>
            <w:noWrap w:val="0"/>
            <w:vAlign w:val="center"/>
          </w:tcPr>
          <w:p w14:paraId="100704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1.1.13</w:t>
            </w:r>
          </w:p>
        </w:tc>
        <w:tc>
          <w:tcPr>
            <w:tcW w:w="1083" w:type="pct"/>
            <w:noWrap w:val="0"/>
            <w:vAlign w:val="center"/>
          </w:tcPr>
          <w:p w14:paraId="47B098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安装结构</w:t>
            </w:r>
          </w:p>
        </w:tc>
        <w:tc>
          <w:tcPr>
            <w:tcW w:w="3295" w:type="pct"/>
            <w:noWrap w:val="0"/>
            <w:vAlign w:val="center"/>
          </w:tcPr>
          <w:p w14:paraId="0807514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2"/>
                <w:szCs w:val="22"/>
              </w:rPr>
            </w:pPr>
            <w:r>
              <w:rPr>
                <w:rFonts w:hint="eastAsia" w:ascii="仿宋" w:hAnsi="仿宋" w:eastAsia="仿宋" w:cs="仿宋"/>
                <w:sz w:val="22"/>
                <w:szCs w:val="22"/>
              </w:rPr>
              <w:t>无影灯采用模块化设计，安装时不需要拆卸天花且不会改变层流结构，即可于无影灯旋转体基础上升级第三臂或第四臂显示器悬挂系统。</w:t>
            </w:r>
          </w:p>
          <w:p w14:paraId="4FFDF87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b/>
                <w:bCs/>
                <w:sz w:val="22"/>
                <w:szCs w:val="22"/>
              </w:rPr>
              <w:t>（</w:t>
            </w:r>
            <w:r>
              <w:rPr>
                <w:rFonts w:hint="eastAsia" w:ascii="仿宋" w:hAnsi="仿宋" w:eastAsia="仿宋" w:cs="仿宋"/>
                <w:b/>
                <w:bCs/>
                <w:sz w:val="22"/>
                <w:szCs w:val="22"/>
                <w:lang w:val="en-US" w:eastAsia="zh-CN"/>
              </w:rPr>
              <w:t>提供彩页或者说明书证明</w:t>
            </w:r>
            <w:r>
              <w:rPr>
                <w:rFonts w:hint="eastAsia" w:ascii="仿宋" w:hAnsi="仿宋" w:eastAsia="仿宋" w:cs="仿宋"/>
                <w:b/>
                <w:bCs/>
                <w:sz w:val="22"/>
                <w:szCs w:val="22"/>
              </w:rPr>
              <w:t>）</w:t>
            </w:r>
          </w:p>
        </w:tc>
      </w:tr>
      <w:tr w14:paraId="01C4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21" w:type="pct"/>
            <w:noWrap w:val="0"/>
            <w:vAlign w:val="center"/>
          </w:tcPr>
          <w:p w14:paraId="202F0D2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1.1.14</w:t>
            </w:r>
          </w:p>
        </w:tc>
        <w:tc>
          <w:tcPr>
            <w:tcW w:w="1083" w:type="pct"/>
            <w:noWrap w:val="0"/>
            <w:vAlign w:val="center"/>
          </w:tcPr>
          <w:p w14:paraId="411333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运动范围</w:t>
            </w:r>
          </w:p>
        </w:tc>
        <w:tc>
          <w:tcPr>
            <w:tcW w:w="3295" w:type="pct"/>
            <w:noWrap w:val="0"/>
            <w:vAlign w:val="center"/>
          </w:tcPr>
          <w:p w14:paraId="260625C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小C臂绕大C臂旋转范围：无限位，且灯头绕C臂旋转范围：无限位</w:t>
            </w:r>
            <w:r>
              <w:rPr>
                <w:rFonts w:hint="eastAsia" w:ascii="仿宋" w:hAnsi="仿宋" w:eastAsia="仿宋" w:cs="仿宋"/>
                <w:sz w:val="22"/>
                <w:szCs w:val="22"/>
                <w:lang w:eastAsia="zh-CN"/>
              </w:rPr>
              <w:t>。</w:t>
            </w:r>
            <w:r>
              <w:rPr>
                <w:rFonts w:hint="eastAsia" w:ascii="仿宋" w:hAnsi="仿宋" w:eastAsia="仿宋" w:cs="仿宋"/>
                <w:b/>
                <w:bCs/>
                <w:sz w:val="22"/>
                <w:szCs w:val="22"/>
              </w:rPr>
              <w:t>（</w:t>
            </w:r>
            <w:r>
              <w:rPr>
                <w:rFonts w:hint="eastAsia" w:ascii="仿宋" w:hAnsi="仿宋" w:eastAsia="仿宋" w:cs="仿宋"/>
                <w:b/>
                <w:bCs/>
                <w:sz w:val="22"/>
                <w:szCs w:val="22"/>
                <w:lang w:val="en-US" w:eastAsia="zh-CN"/>
              </w:rPr>
              <w:t>提供彩页或者说明书证明</w:t>
            </w:r>
            <w:r>
              <w:rPr>
                <w:rFonts w:hint="eastAsia" w:ascii="仿宋" w:hAnsi="仿宋" w:eastAsia="仿宋" w:cs="仿宋"/>
                <w:b/>
                <w:bCs/>
                <w:sz w:val="22"/>
                <w:szCs w:val="22"/>
              </w:rPr>
              <w:t>）</w:t>
            </w:r>
          </w:p>
        </w:tc>
      </w:tr>
      <w:tr w14:paraId="3930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1" w:type="pct"/>
            <w:noWrap w:val="0"/>
            <w:vAlign w:val="center"/>
          </w:tcPr>
          <w:p w14:paraId="63F04B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1.1.15</w:t>
            </w:r>
          </w:p>
        </w:tc>
        <w:tc>
          <w:tcPr>
            <w:tcW w:w="1083" w:type="pct"/>
            <w:noWrap w:val="0"/>
            <w:vAlign w:val="center"/>
          </w:tcPr>
          <w:p w14:paraId="396649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使用寿命</w:t>
            </w:r>
          </w:p>
        </w:tc>
        <w:tc>
          <w:tcPr>
            <w:tcW w:w="3295" w:type="pct"/>
            <w:noWrap w:val="0"/>
            <w:vAlign w:val="center"/>
          </w:tcPr>
          <w:p w14:paraId="3DCB2DE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2"/>
                <w:szCs w:val="22"/>
              </w:rPr>
            </w:pPr>
            <w:r>
              <w:rPr>
                <w:rFonts w:hint="eastAsia" w:ascii="仿宋" w:hAnsi="仿宋" w:eastAsia="仿宋" w:cs="仿宋"/>
                <w:sz w:val="22"/>
                <w:szCs w:val="22"/>
              </w:rPr>
              <w:t>具备照度稳定技术，保证手术灯十年寿命周期内照度稳定。</w:t>
            </w:r>
          </w:p>
          <w:p w14:paraId="38C9260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b/>
                <w:bCs/>
                <w:sz w:val="22"/>
                <w:szCs w:val="22"/>
              </w:rPr>
              <w:t>（提供图片及铭牌证明）</w:t>
            </w:r>
          </w:p>
        </w:tc>
      </w:tr>
      <w:tr w14:paraId="620E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1" w:type="pct"/>
            <w:noWrap w:val="0"/>
            <w:vAlign w:val="center"/>
          </w:tcPr>
          <w:p w14:paraId="56F4CA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1.1.16</w:t>
            </w:r>
          </w:p>
        </w:tc>
        <w:tc>
          <w:tcPr>
            <w:tcW w:w="1083" w:type="pct"/>
            <w:noWrap w:val="0"/>
            <w:vAlign w:val="center"/>
          </w:tcPr>
          <w:p w14:paraId="7735D0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电磁兼容</w:t>
            </w:r>
          </w:p>
        </w:tc>
        <w:tc>
          <w:tcPr>
            <w:tcW w:w="3295" w:type="pct"/>
            <w:noWrap w:val="0"/>
            <w:vAlign w:val="center"/>
          </w:tcPr>
          <w:p w14:paraId="7DF1AE4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产品需通过电磁兼容性与生物相容性测试</w:t>
            </w:r>
            <w:r>
              <w:rPr>
                <w:rFonts w:hint="eastAsia" w:ascii="仿宋" w:hAnsi="仿宋" w:eastAsia="仿宋" w:cs="仿宋"/>
                <w:sz w:val="22"/>
                <w:szCs w:val="22"/>
                <w:lang w:eastAsia="zh-CN"/>
              </w:rPr>
              <w:t>。</w:t>
            </w:r>
            <w:r>
              <w:rPr>
                <w:rFonts w:hint="eastAsia" w:ascii="宋体" w:hAnsi="宋体"/>
                <w:b/>
                <w:bCs/>
                <w:szCs w:val="21"/>
                <w:lang w:eastAsia="zh-CN"/>
              </w:rPr>
              <w:t>（</w:t>
            </w:r>
            <w:r>
              <w:rPr>
                <w:rFonts w:hint="eastAsia" w:ascii="宋体" w:hAnsi="宋体"/>
                <w:b/>
                <w:bCs/>
                <w:szCs w:val="21"/>
                <w:lang w:val="en-US" w:eastAsia="zh-CN"/>
              </w:rPr>
              <w:t>提供相关证明材料</w:t>
            </w:r>
            <w:r>
              <w:rPr>
                <w:rFonts w:hint="eastAsia" w:ascii="宋体" w:hAnsi="宋体"/>
                <w:b/>
                <w:bCs/>
                <w:szCs w:val="21"/>
                <w:lang w:eastAsia="zh-CN"/>
              </w:rPr>
              <w:t>）</w:t>
            </w:r>
          </w:p>
        </w:tc>
      </w:tr>
      <w:tr w14:paraId="7094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noWrap w:val="0"/>
            <w:vAlign w:val="center"/>
          </w:tcPr>
          <w:p w14:paraId="7DDCE9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1.1.17</w:t>
            </w:r>
          </w:p>
        </w:tc>
        <w:tc>
          <w:tcPr>
            <w:tcW w:w="1083" w:type="pct"/>
            <w:noWrap w:val="0"/>
            <w:vAlign w:val="center"/>
          </w:tcPr>
          <w:p w14:paraId="0E1402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色温≧</w:t>
            </w:r>
          </w:p>
        </w:tc>
        <w:tc>
          <w:tcPr>
            <w:tcW w:w="3295" w:type="pct"/>
            <w:noWrap w:val="0"/>
            <w:vAlign w:val="center"/>
          </w:tcPr>
          <w:p w14:paraId="5C33784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5级色温可调。可调范围3500K-5000K。</w:t>
            </w:r>
          </w:p>
        </w:tc>
      </w:tr>
      <w:tr w14:paraId="27FE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1" w:type="pct"/>
            <w:noWrap w:val="0"/>
            <w:vAlign w:val="center"/>
          </w:tcPr>
          <w:p w14:paraId="73273C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000000"/>
                <w:sz w:val="22"/>
                <w:szCs w:val="22"/>
              </w:rPr>
              <w:t>▲</w:t>
            </w:r>
            <w:r>
              <w:rPr>
                <w:rFonts w:hint="eastAsia" w:ascii="仿宋" w:hAnsi="仿宋" w:eastAsia="仿宋" w:cs="仿宋"/>
                <w:kern w:val="2"/>
                <w:sz w:val="22"/>
                <w:szCs w:val="22"/>
                <w:lang w:val="en-US" w:eastAsia="zh-CN" w:bidi="ar-SA"/>
              </w:rPr>
              <w:t>1.1.18</w:t>
            </w:r>
          </w:p>
        </w:tc>
        <w:tc>
          <w:tcPr>
            <w:tcW w:w="1083" w:type="pct"/>
            <w:noWrap w:val="0"/>
            <w:vAlign w:val="center"/>
          </w:tcPr>
          <w:p w14:paraId="680CB1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配置</w:t>
            </w:r>
          </w:p>
        </w:tc>
        <w:tc>
          <w:tcPr>
            <w:tcW w:w="3295" w:type="pct"/>
            <w:noWrap w:val="0"/>
            <w:vAlign w:val="center"/>
          </w:tcPr>
          <w:p w14:paraId="075714C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highlight w:val="none"/>
                <w:lang w:val="en-US" w:eastAsia="zh-CN"/>
              </w:rPr>
              <w:t>配中置摄像头一个，分辨率≧1920*1080，而且两个无影灯可以通用。</w:t>
            </w:r>
          </w:p>
        </w:tc>
      </w:tr>
      <w:tr w14:paraId="478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noWrap w:val="0"/>
            <w:vAlign w:val="center"/>
          </w:tcPr>
          <w:p w14:paraId="5A26B1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1.1.19</w:t>
            </w:r>
          </w:p>
        </w:tc>
        <w:tc>
          <w:tcPr>
            <w:tcW w:w="1083" w:type="pct"/>
            <w:noWrap w:val="0"/>
            <w:vAlign w:val="center"/>
          </w:tcPr>
          <w:p w14:paraId="5D445D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消毒手柄</w:t>
            </w:r>
          </w:p>
        </w:tc>
        <w:tc>
          <w:tcPr>
            <w:tcW w:w="3295" w:type="pct"/>
            <w:noWrap w:val="0"/>
            <w:vAlign w:val="center"/>
          </w:tcPr>
          <w:p w14:paraId="5BB7826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每个灯头配5个消毒手柄。</w:t>
            </w:r>
          </w:p>
        </w:tc>
      </w:tr>
      <w:tr w14:paraId="2FE7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noWrap w:val="0"/>
            <w:vAlign w:val="center"/>
          </w:tcPr>
          <w:p w14:paraId="355A45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1.1.20</w:t>
            </w:r>
          </w:p>
        </w:tc>
        <w:tc>
          <w:tcPr>
            <w:tcW w:w="1083" w:type="pct"/>
            <w:noWrap w:val="0"/>
            <w:vAlign w:val="center"/>
          </w:tcPr>
          <w:p w14:paraId="48B457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配置</w:t>
            </w:r>
          </w:p>
        </w:tc>
        <w:tc>
          <w:tcPr>
            <w:tcW w:w="3295" w:type="pct"/>
            <w:noWrap w:val="0"/>
            <w:vAlign w:val="center"/>
          </w:tcPr>
          <w:p w14:paraId="576B0D5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配第三臂显示器支臂。</w:t>
            </w:r>
          </w:p>
        </w:tc>
      </w:tr>
      <w:tr w14:paraId="423C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noWrap w:val="0"/>
            <w:vAlign w:val="center"/>
          </w:tcPr>
          <w:p w14:paraId="250DC6C8">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b/>
                <w:bCs/>
                <w:color w:val="0000FF"/>
                <w:kern w:val="2"/>
                <w:sz w:val="22"/>
                <w:szCs w:val="22"/>
                <w:highlight w:val="none"/>
                <w:lang w:val="en-US" w:eastAsia="zh-CN" w:bidi="ar-SA"/>
              </w:rPr>
            </w:pPr>
            <w:r>
              <w:rPr>
                <w:rFonts w:hint="eastAsia" w:ascii="仿宋" w:hAnsi="仿宋" w:eastAsia="仿宋" w:cs="仿宋"/>
                <w:b/>
                <w:bCs/>
                <w:color w:val="0000FF"/>
                <w:sz w:val="22"/>
                <w:szCs w:val="22"/>
                <w:highlight w:val="none"/>
                <w:lang w:val="en-US" w:eastAsia="zh-CN"/>
              </w:rPr>
              <w:t>二．</w:t>
            </w:r>
          </w:p>
        </w:tc>
        <w:tc>
          <w:tcPr>
            <w:tcW w:w="4378" w:type="pct"/>
            <w:gridSpan w:val="2"/>
            <w:noWrap w:val="0"/>
            <w:vAlign w:val="center"/>
          </w:tcPr>
          <w:p w14:paraId="0C5F2917">
            <w:pPr>
              <w:keepNext w:val="0"/>
              <w:keepLines w:val="0"/>
              <w:pageBreakBefore w:val="0"/>
              <w:kinsoku/>
              <w:wordWrap/>
              <w:overflowPunct/>
              <w:topLinePunct w:val="0"/>
              <w:autoSpaceDE/>
              <w:autoSpaceDN/>
              <w:bidi w:val="0"/>
              <w:adjustRightInd/>
              <w:spacing w:line="260" w:lineRule="exact"/>
              <w:jc w:val="left"/>
              <w:textAlignment w:val="auto"/>
              <w:rPr>
                <w:rFonts w:hint="default" w:ascii="仿宋" w:hAnsi="仿宋" w:eastAsia="仿宋_GB2312" w:cs="仿宋"/>
                <w:b/>
                <w:bCs/>
                <w:color w:val="0000FF"/>
                <w:kern w:val="0"/>
                <w:sz w:val="22"/>
                <w:szCs w:val="22"/>
                <w:highlight w:val="none"/>
                <w:lang w:val="en-US" w:eastAsia="zh-CN" w:bidi="ar-SA"/>
              </w:rPr>
            </w:pPr>
            <w:r>
              <w:rPr>
                <w:rFonts w:hint="eastAsia" w:ascii="仿宋_GB2312" w:hAnsi="仿宋_GB2312" w:eastAsia="仿宋_GB2312" w:cs="仿宋_GB2312"/>
                <w:b/>
                <w:bCs/>
                <w:color w:val="0000FF"/>
                <w:sz w:val="24"/>
                <w:szCs w:val="24"/>
                <w:highlight w:val="none"/>
              </w:rPr>
              <w:t>LED无影灯</w:t>
            </w:r>
            <w:r>
              <w:rPr>
                <w:rFonts w:hint="eastAsia" w:ascii="仿宋_GB2312" w:hAnsi="仿宋_GB2312" w:eastAsia="仿宋_GB2312" w:cs="仿宋_GB2312"/>
                <w:b/>
                <w:bCs/>
                <w:color w:val="0000FF"/>
                <w:sz w:val="24"/>
                <w:szCs w:val="24"/>
                <w:highlight w:val="none"/>
                <w:lang w:eastAsia="zh-CN"/>
              </w:rPr>
              <w:t>子</w:t>
            </w:r>
            <w:r>
              <w:rPr>
                <w:rFonts w:hint="eastAsia" w:ascii="仿宋_GB2312" w:hAnsi="仿宋_GB2312" w:eastAsia="仿宋_GB2312" w:cs="仿宋_GB2312"/>
                <w:b/>
                <w:bCs/>
                <w:color w:val="0000FF"/>
                <w:sz w:val="24"/>
                <w:szCs w:val="24"/>
                <w:highlight w:val="none"/>
              </w:rPr>
              <w:t>母灯</w:t>
            </w:r>
            <w:r>
              <w:rPr>
                <w:rFonts w:hint="eastAsia" w:ascii="仿宋_GB2312" w:hAnsi="仿宋_GB2312" w:eastAsia="仿宋_GB2312" w:cs="仿宋_GB2312"/>
                <w:b/>
                <w:bCs/>
                <w:color w:val="0000FF"/>
                <w:sz w:val="24"/>
                <w:szCs w:val="24"/>
                <w:highlight w:val="none"/>
                <w:lang w:eastAsia="zh-CN"/>
              </w:rPr>
              <w:t>：</w:t>
            </w:r>
            <w:r>
              <w:rPr>
                <w:rFonts w:hint="eastAsia" w:ascii="仿宋_GB2312" w:hAnsi="仿宋_GB2312" w:eastAsia="仿宋_GB2312" w:cs="仿宋_GB2312"/>
                <w:b/>
                <w:bCs/>
                <w:color w:val="0000FF"/>
                <w:sz w:val="24"/>
                <w:szCs w:val="24"/>
                <w:highlight w:val="none"/>
                <w:lang w:val="en-US" w:eastAsia="zh-CN"/>
              </w:rPr>
              <w:t>3套</w:t>
            </w:r>
          </w:p>
        </w:tc>
      </w:tr>
      <w:tr w14:paraId="57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7CD37582">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w:t>
            </w:r>
          </w:p>
        </w:tc>
        <w:tc>
          <w:tcPr>
            <w:tcW w:w="1083" w:type="pct"/>
            <w:vAlign w:val="center"/>
          </w:tcPr>
          <w:p w14:paraId="4E0564A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无影灯技术参数</w:t>
            </w:r>
          </w:p>
        </w:tc>
        <w:tc>
          <w:tcPr>
            <w:tcW w:w="3295" w:type="pct"/>
            <w:vAlign w:val="center"/>
          </w:tcPr>
          <w:p w14:paraId="39561686">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p>
        </w:tc>
      </w:tr>
      <w:tr w14:paraId="28C6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21" w:type="pct"/>
            <w:vAlign w:val="center"/>
          </w:tcPr>
          <w:p w14:paraId="55C601D0">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2.1.1</w:t>
            </w:r>
          </w:p>
        </w:tc>
        <w:tc>
          <w:tcPr>
            <w:tcW w:w="1083" w:type="pct"/>
            <w:vAlign w:val="center"/>
          </w:tcPr>
          <w:p w14:paraId="6DF9A353">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光源</w:t>
            </w:r>
          </w:p>
        </w:tc>
        <w:tc>
          <w:tcPr>
            <w:tcW w:w="3295" w:type="pct"/>
            <w:vAlign w:val="center"/>
          </w:tcPr>
          <w:p w14:paraId="0A984382">
            <w:pPr>
              <w:keepNext w:val="0"/>
              <w:keepLines w:val="0"/>
              <w:pageBreakBefore w:val="0"/>
              <w:widowControl/>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采用LED冷光技术，每组LED光源都有单独的透镜聚光。</w:t>
            </w:r>
          </w:p>
        </w:tc>
      </w:tr>
      <w:tr w14:paraId="7507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21" w:type="pct"/>
            <w:vAlign w:val="center"/>
          </w:tcPr>
          <w:p w14:paraId="59CAFD6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2.1.2</w:t>
            </w:r>
          </w:p>
        </w:tc>
        <w:tc>
          <w:tcPr>
            <w:tcW w:w="1083" w:type="pct"/>
            <w:vAlign w:val="center"/>
          </w:tcPr>
          <w:p w14:paraId="01704E2F">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层流</w:t>
            </w:r>
          </w:p>
        </w:tc>
        <w:tc>
          <w:tcPr>
            <w:tcW w:w="3295" w:type="pct"/>
            <w:vAlign w:val="center"/>
          </w:tcPr>
          <w:p w14:paraId="753A1CC9">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灯头为风车型设计，具有良好的层流穿透效果，母灯及子灯均符合DIN1946-4现代层流手术室感控要求，扰流指数＜</w:t>
            </w:r>
            <w:r>
              <w:rPr>
                <w:rFonts w:hint="eastAsia" w:ascii="仿宋" w:hAnsi="仿宋" w:eastAsia="仿宋" w:cs="仿宋"/>
                <w:sz w:val="22"/>
                <w:szCs w:val="22"/>
                <w:lang w:val="en-US" w:eastAsia="zh-CN"/>
              </w:rPr>
              <w:t>22</w:t>
            </w:r>
            <w:r>
              <w:rPr>
                <w:rFonts w:hint="eastAsia" w:ascii="仿宋" w:hAnsi="仿宋" w:eastAsia="仿宋" w:cs="仿宋"/>
                <w:sz w:val="22"/>
                <w:szCs w:val="22"/>
              </w:rPr>
              <w:t>%。</w:t>
            </w:r>
            <w:r>
              <w:rPr>
                <w:rFonts w:hint="eastAsia" w:ascii="仿宋" w:hAnsi="仿宋" w:eastAsia="仿宋" w:cs="仿宋"/>
                <w:b/>
                <w:bCs/>
                <w:kern w:val="0"/>
                <w:szCs w:val="21"/>
                <w:lang w:val="en-US" w:eastAsia="zh-CN"/>
              </w:rPr>
              <w:t>（提供第三方证明文件）</w:t>
            </w:r>
          </w:p>
        </w:tc>
      </w:tr>
      <w:tr w14:paraId="5E02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21" w:type="pct"/>
            <w:vAlign w:val="center"/>
          </w:tcPr>
          <w:p w14:paraId="1915AF32">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2.1.3</w:t>
            </w:r>
          </w:p>
        </w:tc>
        <w:tc>
          <w:tcPr>
            <w:tcW w:w="1083" w:type="pct"/>
            <w:vAlign w:val="center"/>
          </w:tcPr>
          <w:p w14:paraId="5B2DCD7D">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灯头操作设计</w:t>
            </w:r>
          </w:p>
        </w:tc>
        <w:tc>
          <w:tcPr>
            <w:tcW w:w="3295" w:type="pct"/>
            <w:vAlign w:val="center"/>
          </w:tcPr>
          <w:p w14:paraId="59500E04">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灯头操作扶手与灯头一体成型，便于非洁净区人员移动手术灯位置的同时，</w:t>
            </w:r>
            <w:r>
              <w:rPr>
                <w:rFonts w:hint="eastAsia" w:ascii="仿宋" w:hAnsi="仿宋" w:eastAsia="仿宋" w:cs="仿宋"/>
                <w:kern w:val="0"/>
                <w:sz w:val="22"/>
                <w:szCs w:val="22"/>
              </w:rPr>
              <w:t>医护人员清洁时不会留残留污染，影响洁净消毒效果。</w:t>
            </w:r>
            <w:r>
              <w:rPr>
                <w:rFonts w:hint="eastAsia" w:ascii="仿宋" w:hAnsi="仿宋" w:eastAsia="仿宋" w:cs="仿宋"/>
                <w:b/>
                <w:bCs/>
                <w:kern w:val="0"/>
                <w:szCs w:val="21"/>
                <w:lang w:eastAsia="zh-CN"/>
              </w:rPr>
              <w:t>（</w:t>
            </w:r>
            <w:r>
              <w:rPr>
                <w:rFonts w:hint="eastAsia" w:ascii="仿宋" w:hAnsi="仿宋" w:eastAsia="仿宋" w:cs="仿宋"/>
                <w:b/>
                <w:bCs/>
                <w:kern w:val="0"/>
                <w:szCs w:val="21"/>
                <w:lang w:val="en-US" w:eastAsia="zh-CN"/>
              </w:rPr>
              <w:t>提供图片证明</w:t>
            </w:r>
            <w:r>
              <w:rPr>
                <w:rFonts w:hint="eastAsia" w:ascii="仿宋" w:hAnsi="仿宋" w:eastAsia="仿宋" w:cs="仿宋"/>
                <w:b/>
                <w:bCs/>
                <w:kern w:val="0"/>
                <w:szCs w:val="21"/>
                <w:lang w:eastAsia="zh-CN"/>
              </w:rPr>
              <w:t>）</w:t>
            </w:r>
          </w:p>
        </w:tc>
      </w:tr>
      <w:tr w14:paraId="75C8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21" w:type="pct"/>
            <w:vAlign w:val="center"/>
          </w:tcPr>
          <w:p w14:paraId="5952A89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2.1.4</w:t>
            </w:r>
          </w:p>
        </w:tc>
        <w:tc>
          <w:tcPr>
            <w:tcW w:w="1083" w:type="pct"/>
            <w:vAlign w:val="center"/>
          </w:tcPr>
          <w:p w14:paraId="0586130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灯头设计</w:t>
            </w:r>
          </w:p>
        </w:tc>
        <w:tc>
          <w:tcPr>
            <w:tcW w:w="3295" w:type="pct"/>
            <w:vAlign w:val="center"/>
          </w:tcPr>
          <w:p w14:paraId="4E8160A5">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灯头采用一体化无螺钉设计，无拼接缝隙，医护人员清洁更方便，不会留残留污染而影响洁净消毒效果。</w:t>
            </w:r>
          </w:p>
        </w:tc>
      </w:tr>
      <w:tr w14:paraId="5A45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20746F5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2.1.5</w:t>
            </w:r>
          </w:p>
        </w:tc>
        <w:tc>
          <w:tcPr>
            <w:tcW w:w="1083" w:type="pct"/>
            <w:vAlign w:val="center"/>
          </w:tcPr>
          <w:p w14:paraId="490E5AD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防水防尘</w:t>
            </w:r>
          </w:p>
        </w:tc>
        <w:tc>
          <w:tcPr>
            <w:tcW w:w="3295" w:type="pct"/>
            <w:vAlign w:val="center"/>
          </w:tcPr>
          <w:p w14:paraId="5B5AC954">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手术灯灯头≥IP54防水防尘等级。</w:t>
            </w:r>
            <w:r>
              <w:rPr>
                <w:rFonts w:hint="eastAsia" w:ascii="仿宋" w:hAnsi="仿宋" w:eastAsia="仿宋" w:cs="仿宋"/>
                <w:b/>
                <w:bCs/>
                <w:kern w:val="0"/>
                <w:szCs w:val="21"/>
                <w:lang w:val="en-US" w:eastAsia="zh-CN"/>
              </w:rPr>
              <w:t>（提供第三方证明文件）</w:t>
            </w:r>
          </w:p>
        </w:tc>
      </w:tr>
      <w:tr w14:paraId="497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1" w:type="pct"/>
            <w:vAlign w:val="center"/>
          </w:tcPr>
          <w:p w14:paraId="69DD552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2.1.6</w:t>
            </w:r>
          </w:p>
        </w:tc>
        <w:tc>
          <w:tcPr>
            <w:tcW w:w="1083" w:type="pct"/>
            <w:vAlign w:val="center"/>
          </w:tcPr>
          <w:p w14:paraId="2067F312">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光斑</w:t>
            </w:r>
          </w:p>
        </w:tc>
        <w:tc>
          <w:tcPr>
            <w:tcW w:w="3295" w:type="pct"/>
            <w:vAlign w:val="center"/>
          </w:tcPr>
          <w:p w14:paraId="3BEBDB7B">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20%光柱深度（大光斑）：1300mm。60%光柱深度（大光斑）：700mm。</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提供证明文件</w:t>
            </w:r>
            <w:r>
              <w:rPr>
                <w:rFonts w:hint="eastAsia" w:ascii="仿宋" w:hAnsi="仿宋" w:eastAsia="仿宋" w:cs="仿宋"/>
                <w:b/>
                <w:bCs/>
                <w:sz w:val="22"/>
                <w:szCs w:val="22"/>
                <w:lang w:eastAsia="zh-CN"/>
              </w:rPr>
              <w:t>）</w:t>
            </w:r>
          </w:p>
        </w:tc>
      </w:tr>
      <w:tr w14:paraId="688F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21" w:type="pct"/>
            <w:vAlign w:val="center"/>
          </w:tcPr>
          <w:p w14:paraId="7D07EC87">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2.1.7</w:t>
            </w:r>
          </w:p>
        </w:tc>
        <w:tc>
          <w:tcPr>
            <w:tcW w:w="1083" w:type="pct"/>
            <w:vAlign w:val="center"/>
          </w:tcPr>
          <w:p w14:paraId="13EF4E80">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光斑可调</w:t>
            </w:r>
          </w:p>
        </w:tc>
        <w:tc>
          <w:tcPr>
            <w:tcW w:w="3295" w:type="pct"/>
            <w:vAlign w:val="center"/>
          </w:tcPr>
          <w:p w14:paraId="034782D2">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光斑直径可以调节，母灯及子灯均满足最小光斑直径d10为1</w:t>
            </w:r>
            <w:r>
              <w:rPr>
                <w:rFonts w:hint="eastAsia" w:ascii="仿宋" w:hAnsi="仿宋" w:eastAsia="仿宋" w:cs="仿宋"/>
                <w:sz w:val="22"/>
                <w:szCs w:val="22"/>
                <w:lang w:val="en-US" w:eastAsia="zh-CN"/>
              </w:rPr>
              <w:t>5</w:t>
            </w:r>
            <w:r>
              <w:rPr>
                <w:rFonts w:hint="eastAsia" w:ascii="仿宋" w:hAnsi="仿宋" w:eastAsia="仿宋" w:cs="仿宋"/>
                <w:sz w:val="22"/>
                <w:szCs w:val="22"/>
              </w:rPr>
              <w:t>0mm，最大光斑直径d10为270mm</w:t>
            </w:r>
            <w:r>
              <w:rPr>
                <w:rFonts w:hint="eastAsia" w:ascii="仿宋" w:hAnsi="仿宋" w:eastAsia="仿宋" w:cs="仿宋"/>
                <w:sz w:val="22"/>
                <w:szCs w:val="22"/>
                <w:lang w:eastAsia="zh-CN"/>
              </w:rPr>
              <w:t>。</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提供证明文件</w:t>
            </w:r>
            <w:r>
              <w:rPr>
                <w:rFonts w:hint="eastAsia" w:ascii="仿宋" w:hAnsi="仿宋" w:eastAsia="仿宋" w:cs="仿宋"/>
                <w:b/>
                <w:bCs/>
                <w:sz w:val="22"/>
                <w:szCs w:val="22"/>
                <w:lang w:eastAsia="zh-CN"/>
              </w:rPr>
              <w:t>）</w:t>
            </w:r>
          </w:p>
        </w:tc>
      </w:tr>
      <w:tr w14:paraId="45B3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1" w:type="pct"/>
            <w:vAlign w:val="center"/>
          </w:tcPr>
          <w:p w14:paraId="6FF2ADBC">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2.1.8</w:t>
            </w:r>
          </w:p>
        </w:tc>
        <w:tc>
          <w:tcPr>
            <w:tcW w:w="1083" w:type="pct"/>
            <w:vAlign w:val="center"/>
          </w:tcPr>
          <w:p w14:paraId="6DEC2B1D">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光学性能</w:t>
            </w:r>
          </w:p>
        </w:tc>
        <w:tc>
          <w:tcPr>
            <w:tcW w:w="3295" w:type="pct"/>
            <w:vAlign w:val="center"/>
          </w:tcPr>
          <w:p w14:paraId="7597289F">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显色指数Ra： 99。显色指数R9： 97。</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提供第三方检测报告</w:t>
            </w:r>
            <w:r>
              <w:rPr>
                <w:rFonts w:hint="eastAsia" w:ascii="仿宋" w:hAnsi="仿宋" w:eastAsia="仿宋" w:cs="仿宋"/>
                <w:b/>
                <w:bCs/>
                <w:sz w:val="22"/>
                <w:szCs w:val="22"/>
                <w:lang w:eastAsia="zh-CN"/>
              </w:rPr>
              <w:t>）</w:t>
            </w:r>
          </w:p>
        </w:tc>
      </w:tr>
      <w:tr w14:paraId="3F30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21" w:type="pct"/>
            <w:vAlign w:val="center"/>
          </w:tcPr>
          <w:p w14:paraId="0F7DF9FD">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2.1.9</w:t>
            </w:r>
          </w:p>
        </w:tc>
        <w:tc>
          <w:tcPr>
            <w:tcW w:w="1083" w:type="pct"/>
            <w:vAlign w:val="center"/>
          </w:tcPr>
          <w:p w14:paraId="34BA4CD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模块化设计</w:t>
            </w:r>
          </w:p>
        </w:tc>
        <w:tc>
          <w:tcPr>
            <w:tcW w:w="3295" w:type="pct"/>
            <w:vAlign w:val="center"/>
          </w:tcPr>
          <w:p w14:paraId="12FAB392">
            <w:pPr>
              <w:keepNext w:val="0"/>
              <w:keepLines w:val="0"/>
              <w:pageBreakBefore w:val="0"/>
              <w:widowControl/>
              <w:numPr>
                <w:ilvl w:val="0"/>
                <w:numId w:val="0"/>
              </w:numPr>
              <w:kinsoku/>
              <w:wordWrap/>
              <w:overflowPunct/>
              <w:topLinePunct w:val="0"/>
              <w:autoSpaceDE/>
              <w:autoSpaceDN/>
              <w:bidi w:val="0"/>
              <w:adjustRightInd/>
              <w:spacing w:line="260" w:lineRule="exact"/>
              <w:ind w:leftChars="0"/>
              <w:jc w:val="left"/>
              <w:textAlignment w:val="auto"/>
              <w:rPr>
                <w:rFonts w:hint="eastAsia" w:ascii="仿宋" w:hAnsi="仿宋" w:eastAsia="仿宋" w:cs="仿宋"/>
                <w:sz w:val="22"/>
                <w:szCs w:val="22"/>
              </w:rPr>
            </w:pPr>
            <w:r>
              <w:rPr>
                <w:rFonts w:hint="eastAsia" w:ascii="仿宋" w:hAnsi="仿宋" w:eastAsia="仿宋" w:cs="仿宋"/>
                <w:sz w:val="22"/>
                <w:szCs w:val="22"/>
              </w:rPr>
              <w:t>无影灯采用模块化设计，安装时不需要拆卸天花且不会改变层流结构，即可于无影灯旋转体基础上升级第三臂或第四臂显示器悬挂系统。</w:t>
            </w:r>
          </w:p>
          <w:p w14:paraId="5A0B857E">
            <w:pPr>
              <w:keepNext w:val="0"/>
              <w:keepLines w:val="0"/>
              <w:pageBreakBefore w:val="0"/>
              <w:widowControl/>
              <w:numPr>
                <w:ilvl w:val="0"/>
                <w:numId w:val="0"/>
              </w:numPr>
              <w:kinsoku/>
              <w:wordWrap/>
              <w:overflowPunct/>
              <w:topLinePunct w:val="0"/>
              <w:autoSpaceDE/>
              <w:autoSpaceDN/>
              <w:bidi w:val="0"/>
              <w:adjustRightInd/>
              <w:spacing w:line="260" w:lineRule="exact"/>
              <w:ind w:leftChars="0"/>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b/>
                <w:bCs/>
                <w:sz w:val="22"/>
                <w:szCs w:val="22"/>
              </w:rPr>
              <w:t>（</w:t>
            </w:r>
            <w:r>
              <w:rPr>
                <w:rFonts w:hint="eastAsia" w:ascii="仿宋" w:hAnsi="仿宋" w:eastAsia="仿宋" w:cs="仿宋"/>
                <w:b/>
                <w:bCs/>
                <w:sz w:val="22"/>
                <w:szCs w:val="22"/>
                <w:lang w:val="en-US" w:eastAsia="zh-CN"/>
              </w:rPr>
              <w:t>提供彩页或者说明书证明</w:t>
            </w:r>
            <w:r>
              <w:rPr>
                <w:rFonts w:hint="eastAsia" w:ascii="仿宋" w:hAnsi="仿宋" w:eastAsia="仿宋" w:cs="仿宋"/>
                <w:b/>
                <w:bCs/>
                <w:sz w:val="22"/>
                <w:szCs w:val="22"/>
              </w:rPr>
              <w:t>）</w:t>
            </w:r>
          </w:p>
        </w:tc>
      </w:tr>
      <w:tr w14:paraId="50B8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21" w:type="pct"/>
            <w:vAlign w:val="center"/>
          </w:tcPr>
          <w:p w14:paraId="3E82D12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2.1.10</w:t>
            </w:r>
          </w:p>
        </w:tc>
        <w:tc>
          <w:tcPr>
            <w:tcW w:w="1083" w:type="pct"/>
            <w:vAlign w:val="center"/>
          </w:tcPr>
          <w:p w14:paraId="0CEE4BEE">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基础架</w:t>
            </w:r>
          </w:p>
        </w:tc>
        <w:tc>
          <w:tcPr>
            <w:tcW w:w="3295" w:type="pct"/>
            <w:vAlign w:val="center"/>
          </w:tcPr>
          <w:p w14:paraId="3500FC55">
            <w:pPr>
              <w:keepNext w:val="0"/>
              <w:keepLines w:val="0"/>
              <w:pageBreakBefore w:val="0"/>
              <w:widowControl/>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color w:val="000000"/>
                <w:kern w:val="0"/>
                <w:sz w:val="22"/>
                <w:szCs w:val="22"/>
              </w:rPr>
              <w:t>基础架平缓施加荷载至8000N.m的试验扭矩，法兰盘水平偏角≤0.4°</w:t>
            </w:r>
            <w:r>
              <w:rPr>
                <w:rFonts w:hint="eastAsia" w:ascii="仿宋" w:hAnsi="仿宋" w:eastAsia="仿宋" w:cs="仿宋"/>
                <w:b/>
                <w:bCs/>
                <w:color w:val="000000"/>
                <w:kern w:val="0"/>
                <w:sz w:val="22"/>
                <w:szCs w:val="22"/>
              </w:rPr>
              <w:t>（提供</w:t>
            </w:r>
            <w:r>
              <w:rPr>
                <w:rFonts w:hint="eastAsia" w:ascii="仿宋" w:hAnsi="仿宋" w:eastAsia="仿宋" w:cs="仿宋"/>
                <w:b/>
                <w:bCs/>
                <w:color w:val="000000"/>
                <w:kern w:val="0"/>
                <w:sz w:val="22"/>
                <w:szCs w:val="22"/>
                <w:lang w:eastAsia="zh-CN"/>
              </w:rPr>
              <w:t>第三方</w:t>
            </w:r>
            <w:r>
              <w:rPr>
                <w:rFonts w:hint="eastAsia" w:ascii="仿宋" w:hAnsi="仿宋" w:eastAsia="仿宋" w:cs="仿宋"/>
                <w:b/>
                <w:bCs/>
                <w:color w:val="000000"/>
                <w:kern w:val="0"/>
                <w:sz w:val="22"/>
                <w:szCs w:val="22"/>
              </w:rPr>
              <w:t>检测报告）</w:t>
            </w:r>
          </w:p>
        </w:tc>
      </w:tr>
      <w:tr w14:paraId="1B42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21" w:type="pct"/>
            <w:vAlign w:val="center"/>
          </w:tcPr>
          <w:p w14:paraId="6B5D1378">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2.1.11</w:t>
            </w:r>
          </w:p>
        </w:tc>
        <w:tc>
          <w:tcPr>
            <w:tcW w:w="1083" w:type="pct"/>
            <w:vAlign w:val="center"/>
          </w:tcPr>
          <w:p w14:paraId="6FA122F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使用寿命</w:t>
            </w:r>
          </w:p>
        </w:tc>
        <w:tc>
          <w:tcPr>
            <w:tcW w:w="3295" w:type="pct"/>
            <w:vAlign w:val="center"/>
          </w:tcPr>
          <w:p w14:paraId="7070E0C6">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sz w:val="22"/>
                <w:szCs w:val="22"/>
              </w:rPr>
            </w:pPr>
            <w:r>
              <w:rPr>
                <w:rFonts w:hint="eastAsia" w:ascii="仿宋" w:hAnsi="仿宋" w:eastAsia="仿宋" w:cs="仿宋"/>
                <w:sz w:val="22"/>
                <w:szCs w:val="22"/>
              </w:rPr>
              <w:t>具备照度稳定技术，保证手术灯十年寿命周期内照度稳定。</w:t>
            </w:r>
          </w:p>
          <w:p w14:paraId="5E81502B">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b/>
                <w:bCs/>
                <w:color w:val="000000"/>
                <w:kern w:val="0"/>
                <w:sz w:val="22"/>
                <w:szCs w:val="22"/>
              </w:rPr>
              <w:t>（提供</w:t>
            </w:r>
            <w:r>
              <w:rPr>
                <w:rFonts w:hint="eastAsia" w:ascii="仿宋" w:hAnsi="仿宋" w:eastAsia="仿宋" w:cs="仿宋"/>
                <w:b/>
                <w:bCs/>
                <w:color w:val="000000"/>
                <w:kern w:val="0"/>
                <w:sz w:val="22"/>
                <w:szCs w:val="22"/>
                <w:lang w:val="en-US" w:eastAsia="zh-CN"/>
              </w:rPr>
              <w:t>铭牌照片</w:t>
            </w:r>
            <w:r>
              <w:rPr>
                <w:rFonts w:hint="eastAsia" w:ascii="仿宋" w:hAnsi="仿宋" w:eastAsia="仿宋" w:cs="仿宋"/>
                <w:b/>
                <w:bCs/>
                <w:color w:val="000000"/>
                <w:kern w:val="0"/>
                <w:sz w:val="22"/>
                <w:szCs w:val="22"/>
                <w:lang w:eastAsia="zh-CN"/>
              </w:rPr>
              <w:t>）</w:t>
            </w:r>
          </w:p>
        </w:tc>
      </w:tr>
      <w:tr w14:paraId="2D9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1" w:type="pct"/>
            <w:vAlign w:val="center"/>
          </w:tcPr>
          <w:p w14:paraId="2B5C63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2.1.12</w:t>
            </w:r>
          </w:p>
        </w:tc>
        <w:tc>
          <w:tcPr>
            <w:tcW w:w="1083" w:type="pct"/>
            <w:vAlign w:val="center"/>
          </w:tcPr>
          <w:p w14:paraId="66017B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运动范围</w:t>
            </w:r>
          </w:p>
        </w:tc>
        <w:tc>
          <w:tcPr>
            <w:tcW w:w="3295" w:type="pct"/>
            <w:vAlign w:val="center"/>
          </w:tcPr>
          <w:p w14:paraId="5697B33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2"/>
                <w:szCs w:val="22"/>
                <w:lang w:eastAsia="zh-CN"/>
              </w:rPr>
            </w:pPr>
            <w:r>
              <w:rPr>
                <w:rFonts w:hint="eastAsia" w:ascii="仿宋" w:hAnsi="仿宋" w:eastAsia="仿宋" w:cs="仿宋"/>
                <w:sz w:val="22"/>
                <w:szCs w:val="22"/>
              </w:rPr>
              <w:t>小C臂绕大C臂旋转范围：无限位，且灯头绕C臂旋转范围：无限位</w:t>
            </w:r>
            <w:r>
              <w:rPr>
                <w:rFonts w:hint="eastAsia" w:ascii="仿宋" w:hAnsi="仿宋" w:eastAsia="仿宋" w:cs="仿宋"/>
                <w:sz w:val="22"/>
                <w:szCs w:val="22"/>
                <w:lang w:eastAsia="zh-CN"/>
              </w:rPr>
              <w:t>。</w:t>
            </w:r>
          </w:p>
          <w:p w14:paraId="73AFD88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b/>
                <w:bCs/>
                <w:sz w:val="22"/>
                <w:szCs w:val="22"/>
                <w:lang w:val="en-US" w:eastAsia="zh-CN"/>
              </w:rPr>
              <w:t>(提供彩页或者说明书证明)</w:t>
            </w:r>
          </w:p>
        </w:tc>
      </w:tr>
      <w:tr w14:paraId="275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5E2DA6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2.1.13</w:t>
            </w:r>
          </w:p>
        </w:tc>
        <w:tc>
          <w:tcPr>
            <w:tcW w:w="1083" w:type="pct"/>
            <w:vAlign w:val="center"/>
          </w:tcPr>
          <w:p w14:paraId="2A1AAA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色温</w:t>
            </w:r>
          </w:p>
        </w:tc>
        <w:tc>
          <w:tcPr>
            <w:tcW w:w="3295" w:type="pct"/>
            <w:vAlign w:val="center"/>
          </w:tcPr>
          <w:p w14:paraId="6972199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5级色温可调。可调范围3500K-5000K</w:t>
            </w:r>
          </w:p>
        </w:tc>
      </w:tr>
      <w:tr w14:paraId="21F9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21" w:type="pct"/>
            <w:vAlign w:val="center"/>
          </w:tcPr>
          <w:p w14:paraId="3C5A5EEF">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2.1</w:t>
            </w:r>
            <w:r>
              <w:rPr>
                <w:rFonts w:hint="eastAsia" w:ascii="仿宋" w:hAnsi="仿宋" w:eastAsia="仿宋" w:cs="仿宋"/>
                <w:color w:val="000000"/>
                <w:sz w:val="22"/>
                <w:szCs w:val="22"/>
              </w:rPr>
              <w:t>.</w:t>
            </w:r>
            <w:r>
              <w:rPr>
                <w:rFonts w:hint="eastAsia" w:ascii="仿宋" w:hAnsi="仿宋" w:eastAsia="仿宋" w:cs="仿宋"/>
                <w:color w:val="000000"/>
                <w:sz w:val="22"/>
                <w:szCs w:val="22"/>
                <w:lang w:val="en-US" w:eastAsia="zh-CN"/>
              </w:rPr>
              <w:t>14</w:t>
            </w:r>
          </w:p>
        </w:tc>
        <w:tc>
          <w:tcPr>
            <w:tcW w:w="1083" w:type="pct"/>
            <w:vAlign w:val="center"/>
          </w:tcPr>
          <w:p w14:paraId="69A8F0AC">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灯泡数量和使用寿命</w:t>
            </w:r>
          </w:p>
        </w:tc>
        <w:tc>
          <w:tcPr>
            <w:tcW w:w="3295" w:type="pct"/>
            <w:vAlign w:val="center"/>
          </w:tcPr>
          <w:p w14:paraId="41E9783E">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单灯</w:t>
            </w:r>
            <w:r>
              <w:rPr>
                <w:rFonts w:hint="eastAsia" w:ascii="仿宋" w:hAnsi="仿宋" w:eastAsia="仿宋" w:cs="仿宋"/>
                <w:sz w:val="22"/>
                <w:szCs w:val="22"/>
              </w:rPr>
              <w:t>灯泡数量≤</w:t>
            </w:r>
            <w:r>
              <w:rPr>
                <w:rFonts w:hint="eastAsia" w:ascii="仿宋" w:hAnsi="仿宋" w:eastAsia="仿宋" w:cs="仿宋"/>
                <w:sz w:val="22"/>
                <w:szCs w:val="22"/>
                <w:lang w:val="en-US" w:eastAsia="zh-CN"/>
              </w:rPr>
              <w:t>24</w:t>
            </w:r>
            <w:r>
              <w:rPr>
                <w:rFonts w:hint="eastAsia" w:ascii="仿宋" w:hAnsi="仿宋" w:eastAsia="仿宋" w:cs="仿宋"/>
                <w:sz w:val="22"/>
                <w:szCs w:val="22"/>
              </w:rPr>
              <w:t>个，灯泡寿命≥60000小时</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提供图片证明</w:t>
            </w:r>
            <w:r>
              <w:rPr>
                <w:rFonts w:hint="eastAsia" w:ascii="仿宋" w:hAnsi="仿宋" w:eastAsia="仿宋" w:cs="仿宋"/>
                <w:b/>
                <w:bCs/>
                <w:sz w:val="22"/>
                <w:szCs w:val="22"/>
                <w:lang w:eastAsia="zh-CN"/>
              </w:rPr>
              <w:t>）</w:t>
            </w:r>
          </w:p>
        </w:tc>
      </w:tr>
      <w:tr w14:paraId="35A6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1" w:type="pct"/>
            <w:vAlign w:val="center"/>
          </w:tcPr>
          <w:p w14:paraId="405609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2.1.15</w:t>
            </w:r>
          </w:p>
        </w:tc>
        <w:tc>
          <w:tcPr>
            <w:tcW w:w="1083" w:type="pct"/>
            <w:vAlign w:val="center"/>
          </w:tcPr>
          <w:p w14:paraId="121658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消毒手柄</w:t>
            </w:r>
          </w:p>
        </w:tc>
        <w:tc>
          <w:tcPr>
            <w:tcW w:w="3295" w:type="pct"/>
            <w:vAlign w:val="center"/>
          </w:tcPr>
          <w:p w14:paraId="07849A3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每个灯头配5个消毒手柄</w:t>
            </w:r>
          </w:p>
        </w:tc>
      </w:tr>
      <w:tr w14:paraId="1FCB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71F99694">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b/>
                <w:bCs/>
                <w:color w:val="0000FF"/>
                <w:kern w:val="2"/>
                <w:sz w:val="22"/>
                <w:szCs w:val="22"/>
                <w:highlight w:val="none"/>
                <w:lang w:val="en-US" w:eastAsia="zh-CN" w:bidi="ar-SA"/>
              </w:rPr>
            </w:pPr>
            <w:r>
              <w:rPr>
                <w:rFonts w:hint="eastAsia" w:ascii="仿宋" w:hAnsi="仿宋" w:eastAsia="仿宋" w:cs="仿宋"/>
                <w:b/>
                <w:bCs/>
                <w:color w:val="0000FF"/>
                <w:sz w:val="22"/>
                <w:szCs w:val="22"/>
                <w:highlight w:val="none"/>
                <w:lang w:val="en-US" w:eastAsia="zh-CN"/>
              </w:rPr>
              <w:t>三</w:t>
            </w:r>
          </w:p>
        </w:tc>
        <w:tc>
          <w:tcPr>
            <w:tcW w:w="4378" w:type="pct"/>
            <w:gridSpan w:val="2"/>
            <w:vAlign w:val="center"/>
          </w:tcPr>
          <w:p w14:paraId="1A280E0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仿宋" w:hAnsi="仿宋" w:eastAsia="仿宋" w:cs="仿宋"/>
                <w:b/>
                <w:bCs/>
                <w:color w:val="0000FF"/>
                <w:sz w:val="22"/>
                <w:szCs w:val="22"/>
                <w:highlight w:val="none"/>
                <w:lang w:val="en-US" w:eastAsia="zh-CN"/>
              </w:rPr>
            </w:pPr>
            <w:r>
              <w:rPr>
                <w:rFonts w:hint="eastAsia" w:ascii="仿宋_GB2312" w:hAnsi="仿宋_GB2312" w:eastAsia="仿宋_GB2312" w:cs="仿宋_GB2312"/>
                <w:b/>
                <w:bCs/>
                <w:color w:val="0000FF"/>
                <w:sz w:val="24"/>
                <w:szCs w:val="24"/>
                <w:highlight w:val="none"/>
              </w:rPr>
              <w:t>LED无影</w:t>
            </w:r>
            <w:r>
              <w:rPr>
                <w:rFonts w:hint="eastAsia" w:ascii="仿宋_GB2312" w:hAnsi="仿宋_GB2312" w:eastAsia="仿宋_GB2312" w:cs="仿宋_GB2312"/>
                <w:b/>
                <w:bCs/>
                <w:color w:val="0000FF"/>
                <w:sz w:val="24"/>
                <w:szCs w:val="24"/>
                <w:highlight w:val="none"/>
                <w:lang w:val="en-US" w:eastAsia="zh-CN"/>
              </w:rPr>
              <w:t>单灯：5套</w:t>
            </w:r>
          </w:p>
        </w:tc>
      </w:tr>
      <w:tr w14:paraId="4A68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234D0B2C">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3.1.1</w:t>
            </w:r>
          </w:p>
        </w:tc>
        <w:tc>
          <w:tcPr>
            <w:tcW w:w="1083" w:type="pct"/>
            <w:vAlign w:val="center"/>
          </w:tcPr>
          <w:p w14:paraId="07F85EBE">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光源系统</w:t>
            </w:r>
          </w:p>
        </w:tc>
        <w:tc>
          <w:tcPr>
            <w:tcW w:w="3295" w:type="pct"/>
            <w:vAlign w:val="center"/>
          </w:tcPr>
          <w:p w14:paraId="7D48B6A5">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采用 LED 冷光源，每一组光源由单独的透镜聚光。</w:t>
            </w:r>
          </w:p>
        </w:tc>
      </w:tr>
      <w:tr w14:paraId="1E81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21" w:type="pct"/>
            <w:vAlign w:val="center"/>
          </w:tcPr>
          <w:p w14:paraId="40F5301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3.1.2</w:t>
            </w:r>
          </w:p>
        </w:tc>
        <w:tc>
          <w:tcPr>
            <w:tcW w:w="1083" w:type="pct"/>
            <w:vAlign w:val="center"/>
          </w:tcPr>
          <w:p w14:paraId="5077FD87">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中置手柄</w:t>
            </w:r>
          </w:p>
        </w:tc>
        <w:tc>
          <w:tcPr>
            <w:tcW w:w="3295" w:type="pct"/>
            <w:vAlign w:val="center"/>
          </w:tcPr>
          <w:p w14:paraId="7640E5A6">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中置手柄可耐受 134℃、205.8kPa 的高温高压蒸汽菌。</w:t>
            </w:r>
          </w:p>
        </w:tc>
      </w:tr>
      <w:tr w14:paraId="2C73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21" w:type="pct"/>
            <w:vAlign w:val="center"/>
          </w:tcPr>
          <w:p w14:paraId="071DBDF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3.1.3</w:t>
            </w:r>
          </w:p>
        </w:tc>
        <w:tc>
          <w:tcPr>
            <w:tcW w:w="1083" w:type="pct"/>
            <w:vAlign w:val="center"/>
          </w:tcPr>
          <w:p w14:paraId="25DAFF7C">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灯泡</w:t>
            </w:r>
          </w:p>
        </w:tc>
        <w:tc>
          <w:tcPr>
            <w:tcW w:w="3295" w:type="pct"/>
            <w:vAlign w:val="center"/>
          </w:tcPr>
          <w:p w14:paraId="6EC18F6E">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灯泡数量</w:t>
            </w:r>
            <w:r>
              <w:rPr>
                <w:rFonts w:hint="eastAsia" w:ascii="仿宋" w:hAnsi="仿宋" w:eastAsia="仿宋" w:cs="仿宋"/>
                <w:sz w:val="22"/>
                <w:szCs w:val="22"/>
              </w:rPr>
              <w:t>≥</w:t>
            </w:r>
            <w:r>
              <w:rPr>
                <w:rFonts w:hint="eastAsia" w:ascii="仿宋" w:hAnsi="仿宋" w:eastAsia="仿宋" w:cs="仿宋"/>
                <w:sz w:val="22"/>
                <w:szCs w:val="22"/>
                <w:lang w:val="en-US" w:eastAsia="zh-CN"/>
              </w:rPr>
              <w:t>18个，</w:t>
            </w:r>
            <w:r>
              <w:rPr>
                <w:rFonts w:hint="eastAsia" w:ascii="仿宋" w:hAnsi="仿宋" w:eastAsia="仿宋" w:cs="仿宋"/>
                <w:sz w:val="22"/>
                <w:szCs w:val="22"/>
                <w:highlight w:val="none"/>
              </w:rPr>
              <w:t xml:space="preserve">采用进口 LED </w:t>
            </w:r>
            <w:r>
              <w:rPr>
                <w:rFonts w:hint="eastAsia" w:ascii="仿宋" w:hAnsi="仿宋" w:eastAsia="仿宋" w:cs="仿宋"/>
                <w:sz w:val="22"/>
                <w:szCs w:val="22"/>
              </w:rPr>
              <w:t>灯泡，灯泡寿命≥60000 小时；每个灯泡可单独更换，减少后续维护售后成本。</w:t>
            </w:r>
          </w:p>
        </w:tc>
      </w:tr>
      <w:tr w14:paraId="1EAA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6ADCDDA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3.1.4</w:t>
            </w:r>
          </w:p>
        </w:tc>
        <w:tc>
          <w:tcPr>
            <w:tcW w:w="1083" w:type="pct"/>
            <w:vAlign w:val="center"/>
          </w:tcPr>
          <w:p w14:paraId="009FBE05">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中心照度</w:t>
            </w:r>
          </w:p>
        </w:tc>
        <w:tc>
          <w:tcPr>
            <w:tcW w:w="3295" w:type="pct"/>
            <w:vAlign w:val="center"/>
          </w:tcPr>
          <w:p w14:paraId="787F0504">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灯头最大照度 130,000lux。</w:t>
            </w:r>
          </w:p>
        </w:tc>
      </w:tr>
      <w:tr w14:paraId="6C2D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21" w:type="pct"/>
            <w:vAlign w:val="center"/>
          </w:tcPr>
          <w:p w14:paraId="268D37D3">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3.1.5</w:t>
            </w:r>
          </w:p>
        </w:tc>
        <w:tc>
          <w:tcPr>
            <w:tcW w:w="1083" w:type="pct"/>
            <w:vAlign w:val="center"/>
          </w:tcPr>
          <w:p w14:paraId="145D8698">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光学性能</w:t>
            </w:r>
          </w:p>
        </w:tc>
        <w:tc>
          <w:tcPr>
            <w:tcW w:w="3295" w:type="pct"/>
            <w:vAlign w:val="center"/>
          </w:tcPr>
          <w:p w14:paraId="4ECEDD11">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色彩还原指数（Ra）和红外显色指数（R9）均≥96</w:t>
            </w:r>
            <w:r>
              <w:rPr>
                <w:rFonts w:hint="eastAsia" w:ascii="仿宋" w:hAnsi="仿宋" w:eastAsia="仿宋" w:cs="仿宋"/>
                <w:sz w:val="22"/>
                <w:szCs w:val="22"/>
                <w:lang w:eastAsia="zh-CN"/>
              </w:rPr>
              <w:t>。</w:t>
            </w:r>
            <w:r>
              <w:rPr>
                <w:rFonts w:hint="eastAsia" w:ascii="仿宋" w:hAnsi="仿宋" w:eastAsia="仿宋" w:cs="仿宋"/>
                <w:b/>
                <w:bCs/>
                <w:i w:val="0"/>
                <w:iCs w:val="0"/>
                <w:sz w:val="22"/>
                <w:szCs w:val="22"/>
                <w:lang w:eastAsia="zh-CN"/>
              </w:rPr>
              <w:t>（</w:t>
            </w:r>
            <w:r>
              <w:rPr>
                <w:rFonts w:hint="eastAsia" w:ascii="仿宋" w:hAnsi="仿宋" w:eastAsia="仿宋" w:cs="仿宋"/>
                <w:b/>
                <w:bCs/>
                <w:i w:val="0"/>
                <w:iCs w:val="0"/>
                <w:sz w:val="22"/>
                <w:szCs w:val="22"/>
                <w:lang w:val="en-US" w:eastAsia="zh-CN"/>
              </w:rPr>
              <w:t>提供证明文件</w:t>
            </w:r>
            <w:r>
              <w:rPr>
                <w:rFonts w:hint="eastAsia" w:ascii="仿宋" w:hAnsi="仿宋" w:eastAsia="仿宋" w:cs="仿宋"/>
                <w:b/>
                <w:bCs/>
                <w:i w:val="0"/>
                <w:iCs w:val="0"/>
                <w:sz w:val="22"/>
                <w:szCs w:val="22"/>
                <w:lang w:eastAsia="zh-CN"/>
              </w:rPr>
              <w:t>）</w:t>
            </w:r>
          </w:p>
        </w:tc>
      </w:tr>
      <w:tr w14:paraId="4B0C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61D9B1B2">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3.1.6</w:t>
            </w:r>
          </w:p>
        </w:tc>
        <w:tc>
          <w:tcPr>
            <w:tcW w:w="1083" w:type="pct"/>
            <w:vAlign w:val="center"/>
          </w:tcPr>
          <w:p w14:paraId="111F2CCE">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色温</w:t>
            </w:r>
          </w:p>
        </w:tc>
        <w:tc>
          <w:tcPr>
            <w:tcW w:w="3295" w:type="pct"/>
            <w:vAlign w:val="center"/>
          </w:tcPr>
          <w:p w14:paraId="0D2E0DAC">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色温</w:t>
            </w:r>
            <w:r>
              <w:rPr>
                <w:rFonts w:hint="eastAsia" w:ascii="仿宋" w:hAnsi="仿宋" w:eastAsia="仿宋" w:cs="仿宋"/>
                <w:sz w:val="22"/>
                <w:szCs w:val="22"/>
                <w:lang w:val="en-US" w:eastAsia="zh-CN"/>
              </w:rPr>
              <w:t>4000K-</w:t>
            </w:r>
            <w:r>
              <w:rPr>
                <w:rFonts w:hint="eastAsia" w:ascii="仿宋" w:hAnsi="仿宋" w:eastAsia="仿宋" w:cs="仿宋"/>
                <w:sz w:val="22"/>
                <w:szCs w:val="22"/>
              </w:rPr>
              <w:t>4350K</w:t>
            </w:r>
            <w:r>
              <w:rPr>
                <w:rFonts w:hint="eastAsia" w:ascii="仿宋" w:hAnsi="仿宋" w:eastAsia="仿宋" w:cs="仿宋"/>
                <w:sz w:val="22"/>
                <w:szCs w:val="22"/>
                <w:lang w:val="en-US" w:eastAsia="zh-CN"/>
              </w:rPr>
              <w:t>之间</w:t>
            </w:r>
            <w:r>
              <w:rPr>
                <w:rFonts w:hint="eastAsia" w:ascii="仿宋" w:hAnsi="仿宋" w:eastAsia="仿宋" w:cs="仿宋"/>
                <w:sz w:val="22"/>
                <w:szCs w:val="22"/>
              </w:rPr>
              <w:t>。</w:t>
            </w:r>
          </w:p>
        </w:tc>
      </w:tr>
      <w:tr w14:paraId="466B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pct"/>
            <w:vAlign w:val="center"/>
          </w:tcPr>
          <w:p w14:paraId="562B147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3.1.7</w:t>
            </w:r>
          </w:p>
        </w:tc>
        <w:tc>
          <w:tcPr>
            <w:tcW w:w="1083" w:type="pct"/>
            <w:vAlign w:val="center"/>
          </w:tcPr>
          <w:p w14:paraId="6315B7C5">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照度可调</w:t>
            </w:r>
          </w:p>
        </w:tc>
        <w:tc>
          <w:tcPr>
            <w:tcW w:w="3295" w:type="pct"/>
            <w:vAlign w:val="center"/>
          </w:tcPr>
          <w:p w14:paraId="21CE6261">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控制面板具备亮度提示和调节功能，照度 10 级可调。</w:t>
            </w:r>
          </w:p>
        </w:tc>
      </w:tr>
      <w:tr w14:paraId="4F3F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1" w:type="pct"/>
            <w:vAlign w:val="center"/>
          </w:tcPr>
          <w:p w14:paraId="57FA8D0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3.1.8</w:t>
            </w:r>
          </w:p>
        </w:tc>
        <w:tc>
          <w:tcPr>
            <w:tcW w:w="1083" w:type="pct"/>
            <w:vAlign w:val="center"/>
          </w:tcPr>
          <w:p w14:paraId="7DE83DF8">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一键还原</w:t>
            </w:r>
          </w:p>
        </w:tc>
        <w:tc>
          <w:tcPr>
            <w:tcW w:w="3295" w:type="pct"/>
            <w:vAlign w:val="center"/>
          </w:tcPr>
          <w:p w14:paraId="566EFBEA">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无影灯具备一键环境光模式及智能记忆功能，环境光切换后，快速进入先前记忆的手术 照度，提升手术效率。</w:t>
            </w:r>
            <w:r>
              <w:rPr>
                <w:rFonts w:hint="eastAsia" w:ascii="仿宋" w:hAnsi="仿宋" w:eastAsia="仿宋" w:cs="仿宋"/>
                <w:b/>
                <w:bCs/>
                <w:i w:val="0"/>
                <w:iCs w:val="0"/>
                <w:sz w:val="22"/>
                <w:szCs w:val="22"/>
                <w:lang w:eastAsia="zh-CN"/>
              </w:rPr>
              <w:t>（</w:t>
            </w:r>
            <w:r>
              <w:rPr>
                <w:rFonts w:hint="eastAsia" w:ascii="仿宋" w:hAnsi="仿宋" w:eastAsia="仿宋" w:cs="仿宋"/>
                <w:b/>
                <w:bCs/>
                <w:i w:val="0"/>
                <w:iCs w:val="0"/>
                <w:sz w:val="22"/>
                <w:szCs w:val="22"/>
                <w:lang w:val="en-US" w:eastAsia="zh-CN"/>
              </w:rPr>
              <w:t>提供证明文件</w:t>
            </w:r>
            <w:r>
              <w:rPr>
                <w:rFonts w:hint="eastAsia" w:ascii="仿宋" w:hAnsi="仿宋" w:eastAsia="仿宋" w:cs="仿宋"/>
                <w:b/>
                <w:bCs/>
                <w:i w:val="0"/>
                <w:iCs w:val="0"/>
                <w:sz w:val="22"/>
                <w:szCs w:val="22"/>
                <w:lang w:eastAsia="zh-CN"/>
              </w:rPr>
              <w:t>）</w:t>
            </w:r>
          </w:p>
        </w:tc>
      </w:tr>
      <w:tr w14:paraId="437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21" w:type="pct"/>
            <w:vAlign w:val="center"/>
          </w:tcPr>
          <w:p w14:paraId="2636B7ED">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3.1.9</w:t>
            </w:r>
          </w:p>
        </w:tc>
        <w:tc>
          <w:tcPr>
            <w:tcW w:w="1083" w:type="pct"/>
            <w:vAlign w:val="center"/>
          </w:tcPr>
          <w:p w14:paraId="7C1F80E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照明</w:t>
            </w:r>
          </w:p>
        </w:tc>
        <w:tc>
          <w:tcPr>
            <w:tcW w:w="3295" w:type="pct"/>
            <w:vAlign w:val="center"/>
          </w:tcPr>
          <w:p w14:paraId="5185F342">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 xml:space="preserve">深腔照明率≥100% </w:t>
            </w:r>
            <w:r>
              <w:rPr>
                <w:rFonts w:hint="eastAsia" w:ascii="仿宋" w:hAnsi="仿宋" w:eastAsia="仿宋" w:cs="仿宋"/>
                <w:sz w:val="22"/>
                <w:szCs w:val="22"/>
                <w:lang w:eastAsia="zh-CN"/>
              </w:rPr>
              <w:t>。</w:t>
            </w:r>
            <w:r>
              <w:rPr>
                <w:rFonts w:hint="eastAsia" w:ascii="仿宋" w:hAnsi="仿宋" w:eastAsia="仿宋" w:cs="仿宋"/>
                <w:sz w:val="22"/>
                <w:szCs w:val="22"/>
              </w:rPr>
              <w:t xml:space="preserve">聚焦深度≥1200mm </w:t>
            </w:r>
            <w:r>
              <w:rPr>
                <w:rFonts w:hint="eastAsia" w:ascii="仿宋" w:hAnsi="仿宋" w:eastAsia="仿宋" w:cs="仿宋"/>
                <w:b/>
                <w:bCs/>
                <w:i w:val="0"/>
                <w:iCs w:val="0"/>
                <w:sz w:val="22"/>
                <w:szCs w:val="22"/>
                <w:lang w:eastAsia="zh-CN"/>
              </w:rPr>
              <w:t>（</w:t>
            </w:r>
            <w:r>
              <w:rPr>
                <w:rFonts w:hint="eastAsia" w:ascii="仿宋" w:hAnsi="仿宋" w:eastAsia="仿宋" w:cs="仿宋"/>
                <w:b/>
                <w:bCs/>
                <w:i w:val="0"/>
                <w:iCs w:val="0"/>
                <w:sz w:val="22"/>
                <w:szCs w:val="22"/>
                <w:lang w:val="en-US" w:eastAsia="zh-CN"/>
              </w:rPr>
              <w:t>提供证明文件</w:t>
            </w:r>
            <w:r>
              <w:rPr>
                <w:rFonts w:hint="eastAsia" w:ascii="仿宋" w:hAnsi="仿宋" w:eastAsia="仿宋" w:cs="仿宋"/>
                <w:b/>
                <w:bCs/>
                <w:i w:val="0"/>
                <w:iCs w:val="0"/>
                <w:sz w:val="22"/>
                <w:szCs w:val="22"/>
                <w:lang w:eastAsia="zh-CN"/>
              </w:rPr>
              <w:t>）</w:t>
            </w:r>
          </w:p>
        </w:tc>
      </w:tr>
      <w:tr w14:paraId="5F9D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21" w:type="pct"/>
            <w:vAlign w:val="center"/>
          </w:tcPr>
          <w:p w14:paraId="2778D0F9">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3.1.10</w:t>
            </w:r>
          </w:p>
        </w:tc>
        <w:tc>
          <w:tcPr>
            <w:tcW w:w="1083" w:type="pct"/>
            <w:vAlign w:val="center"/>
          </w:tcPr>
          <w:p w14:paraId="55FCC53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消毒手柄</w:t>
            </w:r>
          </w:p>
        </w:tc>
        <w:tc>
          <w:tcPr>
            <w:tcW w:w="3295" w:type="pct"/>
            <w:vAlign w:val="center"/>
          </w:tcPr>
          <w:p w14:paraId="289D399C">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每个灯头配5个消毒手柄</w:t>
            </w:r>
          </w:p>
        </w:tc>
      </w:tr>
      <w:tr w14:paraId="299D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51E78B8F">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FF"/>
                <w:kern w:val="2"/>
                <w:sz w:val="22"/>
                <w:szCs w:val="22"/>
                <w:highlight w:val="none"/>
                <w:lang w:val="en-US" w:eastAsia="zh-CN" w:bidi="ar-SA"/>
              </w:rPr>
            </w:pPr>
            <w:r>
              <w:rPr>
                <w:rFonts w:hint="eastAsia" w:ascii="仿宋" w:hAnsi="仿宋" w:eastAsia="仿宋" w:cs="仿宋"/>
                <w:b/>
                <w:bCs/>
                <w:color w:val="0000FF"/>
                <w:sz w:val="22"/>
                <w:szCs w:val="22"/>
                <w:highlight w:val="none"/>
                <w:lang w:val="en-US" w:eastAsia="zh-CN"/>
              </w:rPr>
              <w:t>四</w:t>
            </w:r>
          </w:p>
        </w:tc>
        <w:tc>
          <w:tcPr>
            <w:tcW w:w="4378" w:type="pct"/>
            <w:gridSpan w:val="2"/>
            <w:vAlign w:val="center"/>
          </w:tcPr>
          <w:p w14:paraId="22ED572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FF"/>
                <w:sz w:val="22"/>
                <w:szCs w:val="22"/>
                <w:highlight w:val="none"/>
                <w:lang w:val="en-US" w:eastAsia="zh-CN"/>
              </w:rPr>
            </w:pPr>
            <w:r>
              <w:rPr>
                <w:rFonts w:hint="eastAsia" w:ascii="仿宋" w:hAnsi="仿宋" w:eastAsia="仿宋" w:cs="仿宋"/>
                <w:b/>
                <w:color w:val="0000FF"/>
                <w:sz w:val="22"/>
                <w:szCs w:val="22"/>
                <w:highlight w:val="none"/>
                <w:lang w:val="en-US" w:eastAsia="zh-CN"/>
              </w:rPr>
              <w:t>吊塔、吊柱：麻醉塔双臂5套、腔镜塔双臂2套、新生儿吊柱4套</w:t>
            </w:r>
          </w:p>
        </w:tc>
      </w:tr>
      <w:tr w14:paraId="4A59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pct"/>
            <w:vAlign w:val="center"/>
          </w:tcPr>
          <w:p w14:paraId="27FB9F60">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w:t>
            </w:r>
          </w:p>
        </w:tc>
        <w:tc>
          <w:tcPr>
            <w:tcW w:w="1083" w:type="pct"/>
            <w:vAlign w:val="center"/>
          </w:tcPr>
          <w:p w14:paraId="5AC04682">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b/>
                <w:sz w:val="22"/>
                <w:szCs w:val="22"/>
                <w:lang w:val="en-US" w:eastAsia="zh-CN"/>
              </w:rPr>
              <w:t>吊塔技术参数</w:t>
            </w:r>
          </w:p>
        </w:tc>
        <w:tc>
          <w:tcPr>
            <w:tcW w:w="3295" w:type="pct"/>
            <w:vAlign w:val="center"/>
          </w:tcPr>
          <w:p w14:paraId="19992B36">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p>
        </w:tc>
      </w:tr>
      <w:tr w14:paraId="7D24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621" w:type="pct"/>
            <w:vAlign w:val="center"/>
          </w:tcPr>
          <w:p w14:paraId="0E1DE059">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4.1.1</w:t>
            </w:r>
          </w:p>
        </w:tc>
        <w:tc>
          <w:tcPr>
            <w:tcW w:w="1083" w:type="pct"/>
            <w:vAlign w:val="center"/>
          </w:tcPr>
          <w:p w14:paraId="3BBD7E46">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吊塔/桥主材</w:t>
            </w:r>
          </w:p>
        </w:tc>
        <w:tc>
          <w:tcPr>
            <w:tcW w:w="3295" w:type="pct"/>
            <w:vAlign w:val="center"/>
          </w:tcPr>
          <w:p w14:paraId="27DA0E7F">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000000"/>
                <w:sz w:val="22"/>
                <w:szCs w:val="22"/>
              </w:rPr>
              <w:t>吊塔/桥主体材料要求为高强度铝合金 6005或6063材料，</w:t>
            </w:r>
            <w:r>
              <w:rPr>
                <w:rFonts w:hint="eastAsia" w:ascii="仿宋" w:hAnsi="仿宋" w:eastAsia="仿宋" w:cs="仿宋"/>
                <w:sz w:val="22"/>
                <w:szCs w:val="22"/>
              </w:rPr>
              <w:t>符合GB 6892产品执行检验保准，抗金属疲劳强度高，长时间承重不变形（提供型材证明文件）。表面无锐角，无螺丝钉外露。材质不含有害金属物质，符</w:t>
            </w:r>
            <w:r>
              <w:rPr>
                <w:rFonts w:hint="eastAsia" w:ascii="仿宋" w:hAnsi="仿宋" w:eastAsia="仿宋" w:cs="仿宋"/>
                <w:sz w:val="22"/>
                <w:szCs w:val="22"/>
                <w:highlight w:val="none"/>
              </w:rPr>
              <w:t>合欧盟强制性认证RoHs要求（提</w:t>
            </w:r>
            <w:r>
              <w:rPr>
                <w:rFonts w:hint="eastAsia" w:ascii="仿宋" w:hAnsi="仿宋" w:eastAsia="仿宋" w:cs="仿宋"/>
                <w:sz w:val="22"/>
                <w:szCs w:val="22"/>
              </w:rPr>
              <w:t>供证明文件）；且材料必须防腐蚀，便于清洗，设备表面喷塑采用优质环保抗菌粉末，其具有表面抑制细菌再生作用。</w:t>
            </w:r>
            <w:r>
              <w:rPr>
                <w:rFonts w:hint="eastAsia" w:ascii="仿宋_GB2312" w:hAnsi="仿宋_GB2312" w:eastAsia="仿宋_GB2312" w:cs="仿宋_GB2312"/>
                <w:b/>
                <w:bCs/>
                <w:color w:val="000000"/>
                <w:sz w:val="22"/>
                <w:szCs w:val="22"/>
                <w:highlight w:val="none"/>
                <w:lang w:val="en-US" w:eastAsia="zh-CN" w:bidi="ar-SA"/>
              </w:rPr>
              <w:t>（提供抗菌证明文件）</w:t>
            </w:r>
          </w:p>
        </w:tc>
      </w:tr>
      <w:tr w14:paraId="39B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21" w:type="pct"/>
            <w:vAlign w:val="center"/>
          </w:tcPr>
          <w:p w14:paraId="00A95DD1">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4.1.2</w:t>
            </w:r>
          </w:p>
        </w:tc>
        <w:tc>
          <w:tcPr>
            <w:tcW w:w="1083" w:type="pct"/>
            <w:vAlign w:val="center"/>
          </w:tcPr>
          <w:p w14:paraId="49ECBA33">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气体管路</w:t>
            </w:r>
          </w:p>
        </w:tc>
        <w:tc>
          <w:tcPr>
            <w:tcW w:w="3295" w:type="pct"/>
            <w:vAlign w:val="center"/>
          </w:tcPr>
          <w:p w14:paraId="6C7B8D48">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000000"/>
                <w:sz w:val="22"/>
                <w:szCs w:val="22"/>
              </w:rPr>
              <w:t>吊塔/桥内部气体管路采</w:t>
            </w:r>
            <w:r>
              <w:rPr>
                <w:rFonts w:hint="eastAsia" w:ascii="仿宋" w:hAnsi="仿宋" w:eastAsia="仿宋" w:cs="仿宋"/>
                <w:color w:val="000000"/>
                <w:sz w:val="22"/>
                <w:szCs w:val="22"/>
                <w:highlight w:val="none"/>
              </w:rPr>
              <w:t>用进口专</w:t>
            </w:r>
            <w:r>
              <w:rPr>
                <w:rFonts w:hint="eastAsia" w:ascii="仿宋" w:hAnsi="仿宋" w:eastAsia="仿宋" w:cs="仿宋"/>
                <w:color w:val="000000"/>
                <w:sz w:val="22"/>
                <w:szCs w:val="22"/>
              </w:rPr>
              <w:t>用医用气体管路，不同气体不同颜色区分，保障使用安全。软管符合生物兼容性要求</w:t>
            </w:r>
            <w:r>
              <w:rPr>
                <w:rFonts w:hint="eastAsia" w:ascii="仿宋" w:hAnsi="仿宋" w:eastAsia="仿宋" w:cs="仿宋"/>
                <w:b/>
                <w:bCs/>
                <w:sz w:val="22"/>
                <w:szCs w:val="22"/>
              </w:rPr>
              <w:t>（提供第三方检测报告）</w:t>
            </w:r>
            <w:r>
              <w:rPr>
                <w:rFonts w:hint="eastAsia" w:ascii="仿宋" w:hAnsi="仿宋" w:eastAsia="仿宋" w:cs="仿宋"/>
                <w:color w:val="000000"/>
                <w:sz w:val="22"/>
                <w:szCs w:val="22"/>
              </w:rPr>
              <w:t>，气体管路需提供报关单及相关证明文件。</w:t>
            </w:r>
          </w:p>
        </w:tc>
      </w:tr>
      <w:tr w14:paraId="5E46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21" w:type="pct"/>
            <w:vAlign w:val="center"/>
          </w:tcPr>
          <w:p w14:paraId="28E0D0A0">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4.1.3</w:t>
            </w:r>
          </w:p>
        </w:tc>
        <w:tc>
          <w:tcPr>
            <w:tcW w:w="1083" w:type="pct"/>
            <w:vAlign w:val="center"/>
          </w:tcPr>
          <w:p w14:paraId="171BB5DC">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气体终端</w:t>
            </w:r>
          </w:p>
        </w:tc>
        <w:tc>
          <w:tcPr>
            <w:tcW w:w="3295" w:type="pct"/>
            <w:vAlign w:val="center"/>
          </w:tcPr>
          <w:p w14:paraId="386EFA16">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气体终端要求：</w:t>
            </w:r>
            <w:r>
              <w:rPr>
                <w:rFonts w:hint="eastAsia" w:ascii="仿宋" w:hAnsi="仿宋" w:eastAsia="仿宋" w:cs="仿宋"/>
                <w:kern w:val="0"/>
                <w:sz w:val="22"/>
                <w:szCs w:val="22"/>
              </w:rPr>
              <w:t>要求所有气体插座和接头</w:t>
            </w:r>
            <w:r>
              <w:rPr>
                <w:rFonts w:hint="eastAsia" w:ascii="仿宋" w:hAnsi="仿宋" w:eastAsia="仿宋" w:cs="仿宋"/>
                <w:kern w:val="0"/>
                <w:sz w:val="22"/>
                <w:szCs w:val="22"/>
                <w:highlight w:val="none"/>
              </w:rPr>
              <w:t>为德国制式</w:t>
            </w:r>
            <w:r>
              <w:rPr>
                <w:rFonts w:hint="eastAsia" w:ascii="仿宋" w:hAnsi="仿宋" w:eastAsia="仿宋" w:cs="仿宋"/>
                <w:kern w:val="0"/>
                <w:sz w:val="22"/>
                <w:szCs w:val="22"/>
                <w:highlight w:val="none"/>
                <w:lang w:eastAsia="zh-CN"/>
              </w:rPr>
              <w:t>，推荐品牌：格尔森、德尔格、迈柯维或相当于同档次及以上</w:t>
            </w:r>
            <w:r>
              <w:rPr>
                <w:rFonts w:hint="eastAsia" w:ascii="仿宋" w:hAnsi="仿宋" w:eastAsia="仿宋" w:cs="仿宋"/>
                <w:kern w:val="0"/>
                <w:sz w:val="22"/>
                <w:szCs w:val="22"/>
                <w:highlight w:val="none"/>
              </w:rPr>
              <w:t>。</w:t>
            </w:r>
            <w:r>
              <w:rPr>
                <w:rFonts w:hint="eastAsia" w:ascii="仿宋" w:hAnsi="仿宋" w:eastAsia="仿宋" w:cs="仿宋"/>
                <w:kern w:val="0"/>
                <w:sz w:val="22"/>
                <w:szCs w:val="22"/>
              </w:rPr>
              <w:t>各种气体插座均为不同颜色和不同形状，防止误操作，具有Standby (原位待接通状态)功能，可带气维修。</w:t>
            </w:r>
          </w:p>
        </w:tc>
      </w:tr>
      <w:tr w14:paraId="42C4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1" w:type="pct"/>
            <w:vAlign w:val="center"/>
          </w:tcPr>
          <w:p w14:paraId="6AA4FD01">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4.1.4</w:t>
            </w:r>
          </w:p>
        </w:tc>
        <w:tc>
          <w:tcPr>
            <w:tcW w:w="1083" w:type="pct"/>
            <w:vAlign w:val="center"/>
          </w:tcPr>
          <w:p w14:paraId="1A2ADBBF">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承重</w:t>
            </w:r>
          </w:p>
        </w:tc>
        <w:tc>
          <w:tcPr>
            <w:tcW w:w="3295" w:type="pct"/>
            <w:vAlign w:val="center"/>
          </w:tcPr>
          <w:p w14:paraId="018930DB">
            <w:pPr>
              <w:pStyle w:val="10"/>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吊塔的最大承重</w:t>
            </w:r>
            <w:r>
              <w:rPr>
                <w:rFonts w:hint="eastAsia" w:ascii="仿宋" w:hAnsi="仿宋" w:eastAsia="仿宋" w:cs="仿宋"/>
                <w:kern w:val="0"/>
                <w:sz w:val="22"/>
                <w:szCs w:val="22"/>
                <w:lang w:val="en-US" w:eastAsia="zh-CN"/>
              </w:rPr>
              <w:t>≥650KG，并满足四倍承重</w:t>
            </w:r>
            <w:r>
              <w:rPr>
                <w:rFonts w:hint="eastAsia" w:ascii="仿宋" w:hAnsi="仿宋" w:eastAsia="仿宋" w:cs="仿宋"/>
                <w:kern w:val="0"/>
                <w:sz w:val="22"/>
                <w:szCs w:val="22"/>
              </w:rPr>
              <w:t>。</w:t>
            </w:r>
          </w:p>
          <w:p w14:paraId="389E5E84">
            <w:pPr>
              <w:pStyle w:val="10"/>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_GB2312" w:hAnsi="仿宋_GB2312" w:eastAsia="仿宋_GB2312" w:cs="仿宋_GB2312"/>
                <w:b/>
                <w:bCs/>
                <w:sz w:val="22"/>
                <w:szCs w:val="22"/>
                <w:highlight w:val="none"/>
              </w:rPr>
              <w:t>(提供第三方检测报告)</w:t>
            </w:r>
          </w:p>
        </w:tc>
      </w:tr>
      <w:tr w14:paraId="1FB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21" w:type="pct"/>
            <w:vAlign w:val="center"/>
          </w:tcPr>
          <w:p w14:paraId="739C4D3A">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4.1.5</w:t>
            </w:r>
          </w:p>
        </w:tc>
        <w:tc>
          <w:tcPr>
            <w:tcW w:w="1083" w:type="pct"/>
            <w:vAlign w:val="center"/>
          </w:tcPr>
          <w:p w14:paraId="69E5D6E0">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轴承及仪器平台标准</w:t>
            </w:r>
          </w:p>
        </w:tc>
        <w:tc>
          <w:tcPr>
            <w:tcW w:w="3295" w:type="pct"/>
            <w:vAlign w:val="center"/>
          </w:tcPr>
          <w:p w14:paraId="617DD59F">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吊塔的轴承采用滚针式，可转动次数≥10万次。</w:t>
            </w:r>
            <w:r>
              <w:rPr>
                <w:rFonts w:hint="eastAsia" w:ascii="仿宋" w:hAnsi="仿宋" w:eastAsia="仿宋" w:cs="仿宋"/>
                <w:b/>
                <w:bCs/>
                <w:sz w:val="22"/>
                <w:szCs w:val="22"/>
              </w:rPr>
              <w:t>（提供第三方检测报告）</w:t>
            </w:r>
            <w:r>
              <w:rPr>
                <w:rFonts w:hint="eastAsia" w:ascii="仿宋" w:hAnsi="仿宋" w:eastAsia="仿宋" w:cs="仿宋"/>
                <w:sz w:val="22"/>
                <w:szCs w:val="22"/>
              </w:rPr>
              <w:t>。采用铝合金型材，双层隔板中空设计，单层隔板厚度≥3mm，严禁采用钢板，镀锌板等易锈蚀材质，净载重≥90kg。两侧配有截面为20mm×10mm的不锈钢边轨，以便挂载其它设备，摆放高度可调节。投标文件中需提供仪器平台截面实物照片及承重测试报告。</w:t>
            </w:r>
          </w:p>
        </w:tc>
      </w:tr>
      <w:tr w14:paraId="3B9B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21" w:type="pct"/>
            <w:vAlign w:val="center"/>
          </w:tcPr>
          <w:p w14:paraId="7CBECC49">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4.1.6</w:t>
            </w:r>
          </w:p>
        </w:tc>
        <w:tc>
          <w:tcPr>
            <w:tcW w:w="1083" w:type="pct"/>
            <w:vAlign w:val="center"/>
          </w:tcPr>
          <w:p w14:paraId="199609A4">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电源模块</w:t>
            </w:r>
          </w:p>
        </w:tc>
        <w:tc>
          <w:tcPr>
            <w:tcW w:w="3295" w:type="pct"/>
            <w:vAlign w:val="center"/>
          </w:tcPr>
          <w:p w14:paraId="54D5E2DA">
            <w:pPr>
              <w:keepNext w:val="0"/>
              <w:keepLines w:val="0"/>
              <w:pageBreakBefore w:val="0"/>
              <w:numPr>
                <w:ilvl w:val="0"/>
                <w:numId w:val="0"/>
              </w:numPr>
              <w:kinsoku/>
              <w:wordWrap/>
              <w:overflowPunct/>
              <w:topLinePunct w:val="0"/>
              <w:autoSpaceDE/>
              <w:autoSpaceDN/>
              <w:bidi w:val="0"/>
              <w:adjustRightInd/>
              <w:spacing w:line="260" w:lineRule="exact"/>
              <w:ind w:left="0" w:leftChars="0" w:firstLine="0" w:firstLineChars="0"/>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0"/>
                <w:sz w:val="22"/>
                <w:szCs w:val="22"/>
              </w:rPr>
              <w:t>电源模块符合GB9706.1；</w:t>
            </w:r>
            <w:r>
              <w:rPr>
                <w:rFonts w:hint="eastAsia" w:ascii="仿宋" w:hAnsi="仿宋" w:eastAsia="仿宋" w:cs="仿宋"/>
                <w:b/>
                <w:bCs/>
                <w:sz w:val="22"/>
                <w:szCs w:val="22"/>
              </w:rPr>
              <w:t>（提供第三方检测报告）</w:t>
            </w:r>
          </w:p>
        </w:tc>
      </w:tr>
      <w:tr w14:paraId="315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21" w:type="pct"/>
            <w:vAlign w:val="center"/>
          </w:tcPr>
          <w:p w14:paraId="055B172C">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4.1.7</w:t>
            </w:r>
          </w:p>
        </w:tc>
        <w:tc>
          <w:tcPr>
            <w:tcW w:w="1083" w:type="pct"/>
            <w:vAlign w:val="center"/>
          </w:tcPr>
          <w:p w14:paraId="6CF202E9">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抗电磁干扰</w:t>
            </w:r>
          </w:p>
        </w:tc>
        <w:tc>
          <w:tcPr>
            <w:tcW w:w="3295" w:type="pct"/>
            <w:vAlign w:val="center"/>
          </w:tcPr>
          <w:p w14:paraId="56D1C872">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为防止手术室内设备间电磁干扰，提供EMC电磁兼容性检测报告。</w:t>
            </w:r>
          </w:p>
        </w:tc>
      </w:tr>
      <w:tr w14:paraId="42EC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21" w:type="pct"/>
            <w:vAlign w:val="center"/>
          </w:tcPr>
          <w:p w14:paraId="0F4F2697">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4.1.8</w:t>
            </w:r>
          </w:p>
        </w:tc>
        <w:tc>
          <w:tcPr>
            <w:tcW w:w="1083" w:type="pct"/>
            <w:vAlign w:val="center"/>
          </w:tcPr>
          <w:p w14:paraId="0A6AC8C0">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防护安全</w:t>
            </w:r>
          </w:p>
        </w:tc>
        <w:tc>
          <w:tcPr>
            <w:tcW w:w="3295" w:type="pct"/>
            <w:vAlign w:val="center"/>
          </w:tcPr>
          <w:p w14:paraId="22F05804">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吊塔防护等级不小于IP20，外壳防火等级至少为UL94-V1级，以保证使用安全。</w:t>
            </w:r>
          </w:p>
        </w:tc>
      </w:tr>
      <w:tr w14:paraId="7FCF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1" w:type="pct"/>
            <w:vAlign w:val="center"/>
          </w:tcPr>
          <w:p w14:paraId="78538D1F">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4</w:t>
            </w:r>
            <w:r>
              <w:rPr>
                <w:rFonts w:hint="eastAsia" w:ascii="仿宋" w:hAnsi="仿宋" w:eastAsia="仿宋" w:cs="仿宋"/>
                <w:sz w:val="22"/>
                <w:szCs w:val="22"/>
                <w:lang w:val="en-US" w:eastAsia="zh-CN"/>
              </w:rPr>
              <w:t>.1.9</w:t>
            </w:r>
          </w:p>
        </w:tc>
        <w:tc>
          <w:tcPr>
            <w:tcW w:w="1083" w:type="pct"/>
            <w:vAlign w:val="center"/>
          </w:tcPr>
          <w:p w14:paraId="750149A1">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托盘</w:t>
            </w:r>
          </w:p>
        </w:tc>
        <w:tc>
          <w:tcPr>
            <w:tcW w:w="3295" w:type="pct"/>
            <w:vAlign w:val="center"/>
          </w:tcPr>
          <w:p w14:paraId="50DDC0B6">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托盘必须为铝合金材质，一体成型，纯平设计，表面无螺钉。</w:t>
            </w:r>
          </w:p>
        </w:tc>
      </w:tr>
      <w:tr w14:paraId="42C9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1" w:type="pct"/>
            <w:vAlign w:val="center"/>
          </w:tcPr>
          <w:p w14:paraId="2990A615">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auto"/>
                <w:sz w:val="22"/>
                <w:szCs w:val="22"/>
                <w:highlight w:val="none"/>
              </w:rPr>
              <w:t>∆</w:t>
            </w:r>
            <w:r>
              <w:rPr>
                <w:rFonts w:hint="eastAsia" w:ascii="仿宋" w:hAnsi="仿宋" w:eastAsia="仿宋" w:cs="仿宋"/>
                <w:color w:val="000000"/>
                <w:sz w:val="22"/>
                <w:szCs w:val="22"/>
                <w:lang w:val="en-US" w:eastAsia="zh-CN"/>
              </w:rPr>
              <w:t>4.1.10</w:t>
            </w:r>
          </w:p>
        </w:tc>
        <w:tc>
          <w:tcPr>
            <w:tcW w:w="1083" w:type="pct"/>
            <w:vAlign w:val="center"/>
          </w:tcPr>
          <w:p w14:paraId="2921DE8A">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基础架</w:t>
            </w:r>
          </w:p>
        </w:tc>
        <w:tc>
          <w:tcPr>
            <w:tcW w:w="3295" w:type="pct"/>
            <w:vAlign w:val="center"/>
          </w:tcPr>
          <w:p w14:paraId="68BA4E76">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0"/>
                <w:sz w:val="22"/>
                <w:szCs w:val="22"/>
              </w:rPr>
              <w:t>安装</w:t>
            </w:r>
            <w:r>
              <w:rPr>
                <w:rFonts w:hint="eastAsia" w:ascii="仿宋" w:hAnsi="仿宋" w:eastAsia="仿宋" w:cs="仿宋"/>
                <w:sz w:val="22"/>
                <w:szCs w:val="22"/>
              </w:rPr>
              <w:t>预埋固定件吊架，</w:t>
            </w:r>
            <w:r>
              <w:rPr>
                <w:rFonts w:hint="eastAsia" w:ascii="仿宋" w:hAnsi="仿宋" w:eastAsia="仿宋" w:cs="仿宋"/>
                <w:kern w:val="0"/>
                <w:sz w:val="22"/>
                <w:szCs w:val="22"/>
              </w:rPr>
              <w:t>平缓施加荷载至</w:t>
            </w:r>
            <w:r>
              <w:rPr>
                <w:rFonts w:hint="eastAsia" w:ascii="仿宋" w:hAnsi="仿宋" w:eastAsia="仿宋" w:cs="仿宋"/>
                <w:kern w:val="0"/>
                <w:sz w:val="22"/>
                <w:szCs w:val="22"/>
                <w:lang w:val="en-US" w:eastAsia="zh-CN"/>
              </w:rPr>
              <w:t>10000</w:t>
            </w:r>
            <w:r>
              <w:rPr>
                <w:rFonts w:hint="eastAsia" w:ascii="仿宋" w:hAnsi="仿宋" w:eastAsia="仿宋" w:cs="仿宋"/>
                <w:kern w:val="0"/>
                <w:sz w:val="22"/>
                <w:szCs w:val="22"/>
              </w:rPr>
              <w:t>N.m的试验扭矩，法兰盘水平偏角≤0.4°</w:t>
            </w:r>
            <w:r>
              <w:rPr>
                <w:rFonts w:hint="eastAsia" w:ascii="仿宋" w:hAnsi="仿宋" w:eastAsia="仿宋" w:cs="仿宋"/>
                <w:kern w:val="0"/>
                <w:sz w:val="22"/>
                <w:szCs w:val="22"/>
                <w:lang w:eastAsia="zh-CN"/>
              </w:rPr>
              <w:t>。</w:t>
            </w:r>
            <w:r>
              <w:rPr>
                <w:rFonts w:hint="eastAsia" w:ascii="仿宋" w:hAnsi="仿宋" w:eastAsia="仿宋" w:cs="仿宋"/>
                <w:b/>
                <w:bCs/>
                <w:kern w:val="0"/>
                <w:sz w:val="22"/>
                <w:szCs w:val="22"/>
              </w:rPr>
              <w:t>（提供第三方检测报告）</w:t>
            </w:r>
          </w:p>
        </w:tc>
      </w:tr>
      <w:tr w14:paraId="2F4F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1" w:type="pct"/>
            <w:vAlign w:val="center"/>
          </w:tcPr>
          <w:p w14:paraId="014FF31D">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4.1.11</w:t>
            </w:r>
          </w:p>
        </w:tc>
        <w:tc>
          <w:tcPr>
            <w:tcW w:w="1083" w:type="pct"/>
            <w:vAlign w:val="center"/>
          </w:tcPr>
          <w:p w14:paraId="18FE2581">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盐雾测试</w:t>
            </w:r>
          </w:p>
        </w:tc>
        <w:tc>
          <w:tcPr>
            <w:tcW w:w="3295" w:type="pct"/>
            <w:vAlign w:val="center"/>
          </w:tcPr>
          <w:p w14:paraId="65727BDA">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eastAsia="zh-CN"/>
              </w:rPr>
            </w:pPr>
            <w:r>
              <w:rPr>
                <w:rFonts w:hint="eastAsia" w:ascii="仿宋" w:hAnsi="仿宋" w:eastAsia="仿宋" w:cs="仿宋"/>
                <w:sz w:val="22"/>
                <w:szCs w:val="22"/>
              </w:rPr>
              <w:t>吊塔外壳在中性盐雾试验中，测试方法参照ISO9227:2017标准，外观评价参照ISO10289-1999，评价等级最高为10</w:t>
            </w:r>
            <w:r>
              <w:rPr>
                <w:rFonts w:hint="eastAsia" w:ascii="仿宋" w:hAnsi="仿宋" w:eastAsia="仿宋" w:cs="仿宋"/>
                <w:kern w:val="0"/>
                <w:sz w:val="22"/>
                <w:szCs w:val="22"/>
                <w:lang w:eastAsia="zh-CN"/>
              </w:rPr>
              <w:t>。</w:t>
            </w:r>
          </w:p>
          <w:p w14:paraId="140AEF0A">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b/>
                <w:bCs/>
                <w:kern w:val="0"/>
                <w:sz w:val="22"/>
                <w:szCs w:val="22"/>
              </w:rPr>
              <w:t>（提供第三方检测报告）</w:t>
            </w:r>
          </w:p>
        </w:tc>
      </w:tr>
      <w:tr w14:paraId="0886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21" w:type="pct"/>
            <w:vAlign w:val="center"/>
          </w:tcPr>
          <w:p w14:paraId="04D03939">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4.1.12</w:t>
            </w:r>
          </w:p>
        </w:tc>
        <w:tc>
          <w:tcPr>
            <w:tcW w:w="1083" w:type="pct"/>
            <w:vAlign w:val="center"/>
          </w:tcPr>
          <w:p w14:paraId="5D624F91">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附着力测试</w:t>
            </w:r>
          </w:p>
        </w:tc>
        <w:tc>
          <w:tcPr>
            <w:tcW w:w="3295" w:type="pct"/>
            <w:vAlign w:val="center"/>
          </w:tcPr>
          <w:p w14:paraId="4AEB7177">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0"/>
                <w:sz w:val="22"/>
                <w:szCs w:val="22"/>
                <w:lang w:val="en-US" w:eastAsia="zh-CN" w:bidi="ar-SA"/>
              </w:rPr>
            </w:pPr>
            <w:r>
              <w:rPr>
                <w:rFonts w:hint="eastAsia" w:ascii="仿宋" w:hAnsi="仿宋" w:eastAsia="仿宋" w:cs="仿宋"/>
                <w:sz w:val="22"/>
                <w:szCs w:val="22"/>
              </w:rPr>
              <w:t>吊塔外壳涂膜附着力参照ISO2409-2013测试方法，附着力达到最高等级0，防止发生感控风险</w:t>
            </w:r>
            <w:r>
              <w:rPr>
                <w:rFonts w:hint="eastAsia" w:ascii="仿宋" w:hAnsi="仿宋" w:eastAsia="仿宋" w:cs="仿宋"/>
                <w:kern w:val="0"/>
                <w:sz w:val="22"/>
                <w:szCs w:val="22"/>
                <w:lang w:eastAsia="zh-CN"/>
              </w:rPr>
              <w:t>。</w:t>
            </w:r>
            <w:r>
              <w:rPr>
                <w:rFonts w:hint="eastAsia" w:ascii="仿宋" w:hAnsi="仿宋" w:eastAsia="仿宋" w:cs="仿宋"/>
                <w:b/>
                <w:bCs/>
                <w:kern w:val="0"/>
                <w:sz w:val="22"/>
                <w:szCs w:val="22"/>
              </w:rPr>
              <w:t>（提供第三方检测报告）</w:t>
            </w:r>
          </w:p>
        </w:tc>
      </w:tr>
      <w:tr w14:paraId="5391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21" w:type="pct"/>
            <w:vAlign w:val="center"/>
          </w:tcPr>
          <w:p w14:paraId="32AAEF7B">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4.1.13</w:t>
            </w:r>
          </w:p>
        </w:tc>
        <w:tc>
          <w:tcPr>
            <w:tcW w:w="1083" w:type="pct"/>
            <w:vAlign w:val="center"/>
          </w:tcPr>
          <w:p w14:paraId="77F42BF1">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抽屉</w:t>
            </w:r>
          </w:p>
        </w:tc>
        <w:tc>
          <w:tcPr>
            <w:tcW w:w="3295" w:type="pct"/>
            <w:vAlign w:val="center"/>
          </w:tcPr>
          <w:p w14:paraId="4B4706D3">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抽屉，采用抽拉式，且自带吸合功能；抽屉内部可进行分隔管理，同时具备标识功能；抽屉吸合后，具备防压线功能。</w:t>
            </w:r>
          </w:p>
        </w:tc>
      </w:tr>
      <w:tr w14:paraId="57F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21" w:type="pct"/>
            <w:vAlign w:val="center"/>
          </w:tcPr>
          <w:p w14:paraId="7059EBCB">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4.1.14</w:t>
            </w:r>
          </w:p>
        </w:tc>
        <w:tc>
          <w:tcPr>
            <w:tcW w:w="1083" w:type="pct"/>
            <w:vAlign w:val="center"/>
          </w:tcPr>
          <w:p w14:paraId="0B4EB36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箱体</w:t>
            </w:r>
          </w:p>
        </w:tc>
        <w:tc>
          <w:tcPr>
            <w:tcW w:w="3295" w:type="pct"/>
            <w:vAlign w:val="center"/>
          </w:tcPr>
          <w:p w14:paraId="48CBCDB3">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箱</w:t>
            </w:r>
            <w:r>
              <w:rPr>
                <w:rFonts w:hint="eastAsia" w:ascii="仿宋" w:hAnsi="仿宋" w:eastAsia="仿宋" w:cs="仿宋"/>
                <w:kern w:val="0"/>
                <w:sz w:val="22"/>
                <w:szCs w:val="22"/>
                <w:lang w:val="en-US" w:eastAsia="zh-CN"/>
              </w:rPr>
              <w:t>体结构≥5面。</w:t>
            </w:r>
          </w:p>
        </w:tc>
      </w:tr>
      <w:tr w14:paraId="4830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21" w:type="pct"/>
            <w:vAlign w:val="center"/>
          </w:tcPr>
          <w:p w14:paraId="2BC34CB5">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4.1.15</w:t>
            </w:r>
          </w:p>
        </w:tc>
        <w:tc>
          <w:tcPr>
            <w:tcW w:w="1083" w:type="pct"/>
            <w:vAlign w:val="center"/>
          </w:tcPr>
          <w:p w14:paraId="3DAD6C6E">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麻醉塔双臂5套</w:t>
            </w:r>
          </w:p>
        </w:tc>
        <w:tc>
          <w:tcPr>
            <w:tcW w:w="3295" w:type="pct"/>
            <w:vAlign w:val="center"/>
          </w:tcPr>
          <w:p w14:paraId="7F188E20">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kern w:val="0"/>
                <w:sz w:val="22"/>
                <w:szCs w:val="22"/>
                <w:highlight w:val="none"/>
                <w:lang w:val="en-US" w:eastAsia="zh-CN"/>
              </w:rPr>
              <w:t>单套要求：德式标准气体插座（氧气2个空气2个负压2个废气排放一个，220V/10A国标五插电源插座10个，推荐品牌：西门子、罗格朗、 施耐德或者同档次及以上品牌)。六类网络通讯接口RJ45 4个.等电位2个；一层设备托盘，一个抽屉。高度可调输液组合架1个。</w:t>
            </w:r>
          </w:p>
        </w:tc>
      </w:tr>
      <w:tr w14:paraId="1151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21" w:type="pct"/>
            <w:vAlign w:val="center"/>
          </w:tcPr>
          <w:p w14:paraId="4B465998">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4.1.16</w:t>
            </w:r>
          </w:p>
        </w:tc>
        <w:tc>
          <w:tcPr>
            <w:tcW w:w="1083" w:type="pct"/>
            <w:vAlign w:val="center"/>
          </w:tcPr>
          <w:p w14:paraId="4B4ED59F">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腔镜塔双臂2套</w:t>
            </w:r>
          </w:p>
        </w:tc>
        <w:tc>
          <w:tcPr>
            <w:tcW w:w="3295" w:type="pct"/>
            <w:vAlign w:val="center"/>
          </w:tcPr>
          <w:p w14:paraId="0F703C0D">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kern w:val="0"/>
                <w:sz w:val="22"/>
                <w:szCs w:val="22"/>
                <w:highlight w:val="none"/>
                <w:lang w:val="en-US" w:eastAsia="zh-CN"/>
              </w:rPr>
              <w:t>单套要求：德式标准气体插座（氧气2个空气2个负压2个二氧化碳1个，220V/10A国标五插电源插座10个，推荐品牌：西门子、罗格朗、 施耐德或者同档次及以上品牌)。六类网络通讯接口RJ45 4个.等电位2个；三层设备托盘，一个抽屉。视频接口3个，高度可调输液组合架1个。</w:t>
            </w:r>
          </w:p>
        </w:tc>
      </w:tr>
      <w:tr w14:paraId="155B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21" w:type="pct"/>
            <w:vAlign w:val="center"/>
          </w:tcPr>
          <w:p w14:paraId="2B9D0A83">
            <w:pPr>
              <w:keepNext w:val="0"/>
              <w:keepLines w:val="0"/>
              <w:pageBreakBefore w:val="0"/>
              <w:kinsoku/>
              <w:wordWrap/>
              <w:overflowPunct/>
              <w:topLinePunct w:val="0"/>
              <w:autoSpaceDE/>
              <w:autoSpaceDN/>
              <w:bidi w:val="0"/>
              <w:adjustRightInd/>
              <w:spacing w:line="260" w:lineRule="exact"/>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4.1.17</w:t>
            </w:r>
          </w:p>
        </w:tc>
        <w:tc>
          <w:tcPr>
            <w:tcW w:w="1083" w:type="pct"/>
            <w:vAlign w:val="center"/>
          </w:tcPr>
          <w:p w14:paraId="599C810B">
            <w:pPr>
              <w:keepNext w:val="0"/>
              <w:keepLines w:val="0"/>
              <w:pageBreakBefore w:val="0"/>
              <w:kinsoku/>
              <w:wordWrap/>
              <w:overflowPunct/>
              <w:topLinePunct w:val="0"/>
              <w:autoSpaceDE/>
              <w:autoSpaceDN/>
              <w:bidi w:val="0"/>
              <w:adjustRightInd/>
              <w:spacing w:line="260" w:lineRule="exact"/>
              <w:jc w:val="center"/>
              <w:textAlignment w:val="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新生儿吊柱4套</w:t>
            </w:r>
          </w:p>
        </w:tc>
        <w:tc>
          <w:tcPr>
            <w:tcW w:w="3295" w:type="pct"/>
            <w:vAlign w:val="center"/>
          </w:tcPr>
          <w:p w14:paraId="09F98B2B">
            <w:pPr>
              <w:keepNext w:val="0"/>
              <w:keepLines w:val="0"/>
              <w:pageBreakBefore w:val="0"/>
              <w:kinsoku/>
              <w:wordWrap/>
              <w:overflowPunct/>
              <w:topLinePunct w:val="0"/>
              <w:autoSpaceDE/>
              <w:autoSpaceDN/>
              <w:bidi w:val="0"/>
              <w:adjustRightInd/>
              <w:spacing w:line="260" w:lineRule="exact"/>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kern w:val="0"/>
                <w:sz w:val="22"/>
                <w:szCs w:val="22"/>
                <w:highlight w:val="none"/>
                <w:lang w:val="en-US" w:eastAsia="zh-CN"/>
              </w:rPr>
              <w:t>单套要求：德式标准气体插座（氧气4个空气4个负压4个，220V/10A国标五插电源插座12个，推荐品牌：西门子、罗格朗、 施耐德或者同档次及以上品牌)。六类网络通讯接口RJ45 4个.等电位2个；一层设备托盘，一个抽屉。高度可调输液组合架2个。</w:t>
            </w:r>
          </w:p>
        </w:tc>
      </w:tr>
    </w:tbl>
    <w:p w14:paraId="14CB5047">
      <w:pPr>
        <w:pStyle w:val="53"/>
        <w:spacing w:line="440" w:lineRule="exact"/>
        <w:ind w:firstLine="0" w:firstLineChars="0"/>
        <w:outlineLvl w:val="0"/>
        <w:rPr>
          <w:rFonts w:hint="eastAsia" w:ascii="仿宋" w:hAnsi="仿宋" w:eastAsia="仿宋" w:cs="仿宋"/>
          <w:b/>
          <w:bCs/>
          <w:sz w:val="28"/>
          <w:szCs w:val="28"/>
        </w:rPr>
      </w:pPr>
      <w:r>
        <w:rPr>
          <w:rFonts w:hint="eastAsia" w:ascii="仿宋" w:hAnsi="仿宋" w:eastAsia="仿宋" w:cs="仿宋"/>
          <w:b/>
          <w:bCs/>
          <w:sz w:val="28"/>
          <w:szCs w:val="28"/>
        </w:rPr>
        <w:t>三、商务要求</w:t>
      </w:r>
    </w:p>
    <w:p w14:paraId="5C1D418B">
      <w:pPr>
        <w:pStyle w:val="53"/>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工期</w:t>
      </w:r>
      <w:r>
        <w:rPr>
          <w:rFonts w:hint="eastAsia" w:ascii="仿宋" w:hAnsi="仿宋" w:eastAsia="仿宋" w:cs="仿宋"/>
          <w:b/>
          <w:bCs/>
          <w:sz w:val="24"/>
          <w:szCs w:val="24"/>
        </w:rPr>
        <w:t>：</w:t>
      </w:r>
    </w:p>
    <w:p w14:paraId="7A56D1F7">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基础施工：合同签订</w:t>
      </w:r>
      <w:r>
        <w:rPr>
          <w:rFonts w:hint="eastAsia" w:ascii="仿宋" w:hAnsi="仿宋" w:eastAsia="仿宋" w:cs="仿宋"/>
          <w:sz w:val="24"/>
          <w:szCs w:val="24"/>
          <w:lang w:eastAsia="zh-CN"/>
        </w:rPr>
        <w:t>生效</w:t>
      </w:r>
      <w:r>
        <w:rPr>
          <w:rFonts w:hint="eastAsia" w:ascii="仿宋" w:hAnsi="仿宋" w:eastAsia="仿宋" w:cs="仿宋"/>
          <w:sz w:val="24"/>
          <w:szCs w:val="24"/>
        </w:rPr>
        <w:t>后7个工作日内进场施工；</w:t>
      </w:r>
    </w:p>
    <w:p w14:paraId="6BC5BDE7">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安装完成时间：接</w:t>
      </w:r>
      <w:r>
        <w:rPr>
          <w:rFonts w:hint="eastAsia" w:ascii="仿宋" w:hAnsi="仿宋" w:eastAsia="仿宋" w:cs="仿宋"/>
          <w:sz w:val="24"/>
          <w:szCs w:val="24"/>
          <w:lang w:eastAsia="zh-CN"/>
        </w:rPr>
        <w:t>到</w:t>
      </w:r>
      <w:r>
        <w:rPr>
          <w:rFonts w:hint="eastAsia" w:ascii="仿宋" w:hAnsi="仿宋" w:eastAsia="仿宋" w:cs="仿宋"/>
          <w:sz w:val="24"/>
          <w:szCs w:val="24"/>
        </w:rPr>
        <w:t>采购人通知后30个工作日内安装调试完成。</w:t>
      </w:r>
    </w:p>
    <w:p w14:paraId="17E9296F">
      <w:pPr>
        <w:pStyle w:val="53"/>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、质保期</w:t>
      </w:r>
      <w:r>
        <w:rPr>
          <w:rFonts w:hint="eastAsia" w:ascii="仿宋" w:hAnsi="仿宋" w:eastAsia="仿宋" w:cs="仿宋"/>
          <w:b/>
          <w:bCs/>
          <w:sz w:val="24"/>
          <w:szCs w:val="24"/>
          <w:lang w:eastAsia="zh-CN"/>
        </w:rPr>
        <w:t>及售后服务要求</w:t>
      </w:r>
      <w:r>
        <w:rPr>
          <w:rFonts w:hint="eastAsia" w:ascii="仿宋" w:hAnsi="仿宋" w:eastAsia="仿宋" w:cs="仿宋"/>
          <w:b/>
          <w:bCs/>
          <w:sz w:val="24"/>
          <w:szCs w:val="24"/>
        </w:rPr>
        <w:t>：</w:t>
      </w:r>
    </w:p>
    <w:p w14:paraId="15C38956">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2.1质保期：</w:t>
      </w:r>
      <w:r>
        <w:rPr>
          <w:rFonts w:hint="eastAsia" w:ascii="仿宋" w:hAnsi="仿宋" w:eastAsia="仿宋" w:cs="仿宋"/>
          <w:sz w:val="24"/>
          <w:szCs w:val="24"/>
        </w:rPr>
        <w:t>整机自验收合格之日起原厂保修≥5年，并提供相应的原厂书面保修承诺，保修承诺内须注明保修范围外的易耗品或耗材，终身维修，软件终身免费升级。</w:t>
      </w:r>
    </w:p>
    <w:p w14:paraId="5C8D6AC8">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保质期内每年故障率不得超过14天，故障时间每超过一天质保期相应延长10天。保质期内因设备本身缺陷造成各种故障应由卖方免费技术服务和维修。保修期内每年对设备维护≥2次，提供24小时</w:t>
      </w:r>
      <w:r>
        <w:rPr>
          <w:rFonts w:hint="eastAsia" w:ascii="仿宋" w:hAnsi="仿宋" w:eastAsia="仿宋" w:cs="仿宋"/>
          <w:sz w:val="24"/>
          <w:szCs w:val="24"/>
          <w:lang w:val="en-US" w:eastAsia="zh-CN"/>
        </w:rPr>
        <w:t>*7的</w:t>
      </w:r>
      <w:r>
        <w:rPr>
          <w:rFonts w:hint="eastAsia" w:ascii="仿宋" w:hAnsi="仿宋" w:eastAsia="仿宋" w:cs="仿宋"/>
          <w:sz w:val="24"/>
          <w:szCs w:val="24"/>
        </w:rPr>
        <w:t>服务支持，服务响应时间小于2小时，到达现场时间小于24小时，48小时以内解决故障。保修期内由生产厂家负责技术和保养培训，承担售后服务，并出具相关材料。质保期后不收任何维修费、差旅费等，仅收取配件费，终身维护。</w:t>
      </w:r>
    </w:p>
    <w:p w14:paraId="313FA8F5">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提供离医院最近维修点及常驻维修工程师情况，备品仓库备件充足。</w:t>
      </w:r>
    </w:p>
    <w:p w14:paraId="54351B63">
      <w:pPr>
        <w:pStyle w:val="53"/>
        <w:numPr>
          <w:ilvl w:val="0"/>
          <w:numId w:val="0"/>
        </w:numPr>
        <w:spacing w:line="440" w:lineRule="exact"/>
        <w:ind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安装调试</w:t>
      </w:r>
      <w:r>
        <w:rPr>
          <w:rFonts w:hint="eastAsia" w:ascii="仿宋" w:hAnsi="仿宋" w:eastAsia="仿宋" w:cs="仿宋"/>
          <w:b/>
          <w:bCs/>
          <w:sz w:val="24"/>
          <w:szCs w:val="24"/>
        </w:rPr>
        <w:t>：</w:t>
      </w:r>
    </w:p>
    <w:p w14:paraId="0A2B6E99">
      <w:pPr>
        <w:pStyle w:val="53"/>
        <w:numPr>
          <w:ilvl w:val="0"/>
          <w:numId w:val="0"/>
        </w:numPr>
        <w:spacing w:line="440" w:lineRule="exact"/>
        <w:ind w:firstLine="480" w:firstLineChars="200"/>
        <w:outlineLvl w:val="0"/>
        <w:rPr>
          <w:rFonts w:hint="eastAsia" w:ascii="仿宋" w:hAnsi="仿宋" w:eastAsia="仿宋" w:cs="仿宋"/>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.1</w:t>
      </w:r>
      <w:r>
        <w:rPr>
          <w:rFonts w:hint="eastAsia" w:ascii="仿宋" w:hAnsi="仿宋" w:eastAsia="仿宋" w:cs="仿宋"/>
          <w:sz w:val="24"/>
          <w:szCs w:val="24"/>
        </w:rPr>
        <w:t>安装地点：</w:t>
      </w:r>
      <w:r>
        <w:rPr>
          <w:rFonts w:hint="eastAsia" w:ascii="仿宋" w:hAnsi="仿宋" w:eastAsia="仿宋" w:cs="仿宋"/>
          <w:sz w:val="24"/>
          <w:szCs w:val="24"/>
          <w:lang w:eastAsia="zh-CN"/>
        </w:rPr>
        <w:t>武义县妇幼保健院</w:t>
      </w:r>
    </w:p>
    <w:p w14:paraId="51EC22EB">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.2中标人需文明安装，保证安全，如在安装过程中发生事故，一切责任由中标人承担。</w:t>
      </w:r>
    </w:p>
    <w:p w14:paraId="5A33D78C">
      <w:pPr>
        <w:pStyle w:val="53"/>
        <w:spacing w:line="440" w:lineRule="exact"/>
        <w:ind w:firstLine="480"/>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3.3安装期间，中标人应妥善保管货物、产品、各种材料和器材，如有被盗或造成采购人其它损失的，一切责任由中标人承担。</w:t>
      </w:r>
    </w:p>
    <w:p w14:paraId="66D8AF55">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.4安装过程中发生的费用由中标人负责。</w:t>
      </w:r>
    </w:p>
    <w:p w14:paraId="44A031D8">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安装标准：符合我国国家有关技术规范要求和技术标准。</w:t>
      </w:r>
    </w:p>
    <w:p w14:paraId="7CD223C9">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随机资料：提供完整的中英文技术资料，包括操作手册2套、维修手册1套、软件手册1套和附件使用手册1套等，同时应提供设备出厂检验报告和质量合格证书等及电子版的操作规程。</w:t>
      </w:r>
    </w:p>
    <w:p w14:paraId="16E127F9">
      <w:pPr>
        <w:pStyle w:val="53"/>
        <w:numPr>
          <w:ilvl w:val="0"/>
          <w:numId w:val="6"/>
        </w:numPr>
        <w:spacing w:line="440" w:lineRule="exact"/>
        <w:ind w:firstLine="480"/>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验收：</w:t>
      </w:r>
    </w:p>
    <w:p w14:paraId="22AADB01">
      <w:pPr>
        <w:pStyle w:val="53"/>
        <w:numPr>
          <w:ilvl w:val="0"/>
          <w:numId w:val="0"/>
        </w:numPr>
        <w:spacing w:line="440" w:lineRule="exact"/>
        <w:ind w:firstLine="480" w:firstLineChars="2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质量标准：达到国家验收规范合格标准，符合省市县相关规范、标准及招标文件质量要求。中标人保证所提供的设备是全新的、未经使用过的，达到国家有关要求，所有设备要求无瑕疵和缺陷，质量为合格产品，交货时提交制造厂的合格证明。中标人提供的设备符合招标采购内容、技术条件中的规格型号和技术性能。</w:t>
      </w:r>
    </w:p>
    <w:p w14:paraId="78EFA8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4.2验收要求：</w:t>
      </w:r>
    </w:p>
    <w:p w14:paraId="38F6D579">
      <w:pPr>
        <w:spacing w:line="360" w:lineRule="auto"/>
        <w:ind w:firstLine="480" w:firstLineChars="200"/>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lang w:val="en-US" w:eastAsia="zh-CN"/>
        </w:rPr>
        <w:t>4.2.1</w:t>
      </w:r>
      <w:r>
        <w:rPr>
          <w:rFonts w:hint="eastAsia" w:ascii="仿宋_GB2312" w:hAnsi="仿宋_GB2312" w:eastAsia="仿宋_GB2312" w:cs="仿宋_GB2312"/>
          <w:kern w:val="2"/>
          <w:sz w:val="24"/>
          <w:szCs w:val="24"/>
          <w:highlight w:val="none"/>
        </w:rPr>
        <w:t>采购人对中标人提交的货物依据招标文件上的技术规格要求和国家有关质量标准进行现场初步验收，外观、说明书符合招标文件技术要求的，给予签收，初步验收不合格的不予签收。货到后，设备安装调试后先试运行,试运行没问题后进行验收.</w:t>
      </w:r>
    </w:p>
    <w:p w14:paraId="12388988">
      <w:pPr>
        <w:spacing w:line="360" w:lineRule="auto"/>
        <w:ind w:firstLine="480" w:firstLineChars="200"/>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lang w:val="en-US" w:eastAsia="zh-CN"/>
        </w:rPr>
        <w:t>4.2.2</w:t>
      </w:r>
      <w:r>
        <w:rPr>
          <w:rFonts w:hint="eastAsia" w:ascii="仿宋_GB2312" w:hAnsi="仿宋_GB2312" w:eastAsia="仿宋_GB2312" w:cs="仿宋_GB2312"/>
          <w:kern w:val="2"/>
          <w:sz w:val="24"/>
          <w:szCs w:val="24"/>
          <w:highlight w:val="none"/>
        </w:rPr>
        <w:t>中标人交货前应对产品作出全面检查和对验收文件进行整理，并列出清单，作为采购人收货验收和使用的技术条件依据，检验的结果应随货物交采购人。</w:t>
      </w:r>
    </w:p>
    <w:p w14:paraId="5A5E23A2">
      <w:pPr>
        <w:spacing w:line="360" w:lineRule="auto"/>
        <w:ind w:firstLine="480" w:firstLineChars="200"/>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lang w:val="en-US" w:eastAsia="zh-CN"/>
        </w:rPr>
        <w:t>4.2.3</w:t>
      </w:r>
      <w:r>
        <w:rPr>
          <w:rFonts w:hint="eastAsia" w:ascii="仿宋_GB2312" w:hAnsi="仿宋_GB2312" w:eastAsia="仿宋_GB2312" w:cs="仿宋_GB2312"/>
          <w:kern w:val="2"/>
          <w:sz w:val="24"/>
          <w:szCs w:val="24"/>
          <w:highlight w:val="none"/>
        </w:rPr>
        <w:t>采购人对中标人提供的货物在使用前进行调试时，中标人需负责安装并培训采购人的使用操作人员，并协助采购人一起调试，直到符合技术要求，采购人才做最终验收。</w:t>
      </w:r>
    </w:p>
    <w:p w14:paraId="7D6A6883">
      <w:pPr>
        <w:spacing w:line="360" w:lineRule="auto"/>
        <w:ind w:firstLine="480" w:firstLineChars="200"/>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lang w:val="en-US" w:eastAsia="zh-CN"/>
        </w:rPr>
        <w:t>4.2.4</w:t>
      </w:r>
      <w:r>
        <w:rPr>
          <w:rFonts w:hint="eastAsia" w:ascii="仿宋_GB2312" w:hAnsi="仿宋_GB2312" w:eastAsia="仿宋_GB2312" w:cs="仿宋_GB2312"/>
          <w:kern w:val="2"/>
          <w:sz w:val="24"/>
          <w:szCs w:val="24"/>
          <w:highlight w:val="none"/>
        </w:rPr>
        <w:t xml:space="preserve">验收时中标人必须在现场，验收完毕后作出验收结果报告；验收费用由中标人负责。 </w:t>
      </w:r>
    </w:p>
    <w:p w14:paraId="39DD98FF">
      <w:pPr>
        <w:pStyle w:val="53"/>
        <w:numPr>
          <w:ilvl w:val="0"/>
          <w:numId w:val="0"/>
        </w:numPr>
        <w:spacing w:line="440" w:lineRule="exact"/>
        <w:ind w:firstLine="480" w:firstLineChars="200"/>
        <w:outlineLvl w:val="0"/>
        <w:rPr>
          <w:rFonts w:hint="default" w:ascii="仿宋" w:hAnsi="仿宋" w:eastAsia="仿宋" w:cs="仿宋"/>
          <w:b/>
          <w:bCs/>
          <w:sz w:val="24"/>
          <w:szCs w:val="24"/>
          <w:lang w:val="en-US" w:eastAsia="zh-CN"/>
        </w:rPr>
      </w:pPr>
      <w:r>
        <w:rPr>
          <w:rFonts w:hint="eastAsia" w:ascii="仿宋_GB2312" w:hAnsi="仿宋_GB2312" w:eastAsia="仿宋_GB2312" w:cs="仿宋_GB2312"/>
          <w:kern w:val="2"/>
          <w:sz w:val="24"/>
          <w:szCs w:val="24"/>
          <w:highlight w:val="none"/>
          <w:lang w:val="en-US" w:eastAsia="zh-CN"/>
        </w:rPr>
        <w:t>4.2.5</w:t>
      </w:r>
      <w:r>
        <w:rPr>
          <w:rFonts w:hint="eastAsia" w:ascii="仿宋_GB2312" w:hAnsi="仿宋_GB2312" w:eastAsia="仿宋_GB2312" w:cs="仿宋_GB2312"/>
          <w:kern w:val="2"/>
          <w:sz w:val="24"/>
          <w:szCs w:val="24"/>
          <w:highlight w:val="none"/>
        </w:rPr>
        <w:t>投标单位必须保证货物能安全地到达采购人指定的地点并顺利地进行安装调试，货物在验收合格前发生的一切安全与费用问题由乙方全权负责。</w:t>
      </w:r>
    </w:p>
    <w:p w14:paraId="0A03384C">
      <w:pPr>
        <w:pStyle w:val="53"/>
        <w:spacing w:line="440" w:lineRule="exact"/>
        <w:ind w:firstLine="480"/>
        <w:outlineLvl w:val="0"/>
        <w:rPr>
          <w:rFonts w:hint="eastAsia" w:ascii="仿宋" w:hAnsi="仿宋" w:eastAsia="仿宋" w:cs="仿宋"/>
          <w:b w:val="0"/>
          <w:bCs w:val="0"/>
          <w:sz w:val="24"/>
          <w:szCs w:val="24"/>
        </w:rPr>
      </w:pPr>
      <w:r>
        <w:rPr>
          <w:rFonts w:hint="eastAsia" w:ascii="仿宋" w:hAnsi="仿宋" w:eastAsia="仿宋" w:cs="仿宋"/>
          <w:b/>
          <w:bCs/>
          <w:sz w:val="24"/>
          <w:szCs w:val="24"/>
        </w:rPr>
        <w:t>5、付款方法：</w:t>
      </w:r>
      <w:r>
        <w:rPr>
          <w:rFonts w:hint="eastAsia" w:ascii="仿宋" w:hAnsi="仿宋" w:eastAsia="仿宋" w:cs="仿宋"/>
          <w:sz w:val="24"/>
          <w:szCs w:val="24"/>
        </w:rPr>
        <w:t>全部设备</w:t>
      </w:r>
      <w:r>
        <w:rPr>
          <w:rFonts w:hint="eastAsia" w:ascii="仿宋" w:hAnsi="仿宋" w:eastAsia="仿宋" w:cs="仿宋"/>
          <w:sz w:val="24"/>
          <w:szCs w:val="24"/>
          <w:lang w:eastAsia="zh-CN"/>
        </w:rPr>
        <w:t>安装</w:t>
      </w:r>
      <w:r>
        <w:rPr>
          <w:rFonts w:hint="eastAsia" w:ascii="仿宋" w:hAnsi="仿宋" w:eastAsia="仿宋" w:cs="仿宋"/>
          <w:sz w:val="24"/>
          <w:szCs w:val="24"/>
        </w:rPr>
        <w:t>验收合格后，支付至合同金额全额。</w:t>
      </w:r>
      <w:r>
        <w:rPr>
          <w:rFonts w:hint="eastAsia" w:ascii="仿宋" w:hAnsi="仿宋" w:eastAsia="仿宋" w:cs="仿宋"/>
          <w:b w:val="0"/>
          <w:bCs w:val="0"/>
          <w:sz w:val="24"/>
          <w:szCs w:val="24"/>
        </w:rPr>
        <w:t>(注：货款发票卖方必须开具国家统一正式发票，否则货款不予支付)。</w:t>
      </w:r>
    </w:p>
    <w:p w14:paraId="287C10EE">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b/>
          <w:bCs/>
          <w:sz w:val="24"/>
          <w:szCs w:val="24"/>
        </w:rPr>
        <w:t>6、包装及运输：</w:t>
      </w:r>
      <w:r>
        <w:rPr>
          <w:rFonts w:hint="eastAsia" w:ascii="仿宋" w:hAnsi="仿宋" w:eastAsia="仿宋" w:cs="仿宋"/>
          <w:sz w:val="24"/>
          <w:szCs w:val="24"/>
        </w:rPr>
        <w:t>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技术资料文件。</w:t>
      </w:r>
    </w:p>
    <w:p w14:paraId="4321F27C">
      <w:pPr>
        <w:pStyle w:val="53"/>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rPr>
        <w:t>7、</w:t>
      </w:r>
      <w:r>
        <w:rPr>
          <w:rFonts w:hint="eastAsia" w:ascii="仿宋" w:hAnsi="仿宋" w:eastAsia="仿宋" w:cs="仿宋"/>
          <w:b/>
          <w:bCs/>
          <w:sz w:val="24"/>
          <w:szCs w:val="24"/>
          <w:lang w:eastAsia="zh-CN"/>
        </w:rPr>
        <w:t>培训</w:t>
      </w:r>
      <w:r>
        <w:rPr>
          <w:rFonts w:hint="eastAsia" w:ascii="仿宋" w:hAnsi="仿宋" w:eastAsia="仿宋" w:cs="仿宋"/>
          <w:b/>
          <w:bCs/>
          <w:sz w:val="24"/>
          <w:szCs w:val="24"/>
        </w:rPr>
        <w:t>：</w:t>
      </w:r>
    </w:p>
    <w:p w14:paraId="772ACB48">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负责技术和保养培训、技术培训，承担售后服务，并出具相关材料。提供相应的培训计划，包括设备操作、应用培训及维修维护培训，详细说明培训的方式、内容、地点、人数、时间等实质性内容。</w:t>
      </w:r>
    </w:p>
    <w:p w14:paraId="4D1F6309">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应对用户的维修人员提供培训，使其能对设备进行日常的维护保养及能对一般故障进行维修，并向培训人员提供维修图纸及维修手册、维修密码及软件备份。</w:t>
      </w:r>
    </w:p>
    <w:p w14:paraId="08F4264E">
      <w:pPr>
        <w:pStyle w:val="53"/>
        <w:spacing w:line="440" w:lineRule="exact"/>
        <w:ind w:firstLine="480"/>
        <w:outlineLvl w:val="0"/>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应对用户的操作人员进行操作培训，使其能对设备进行熟练的操作。</w:t>
      </w:r>
    </w:p>
    <w:p w14:paraId="7D7E5981">
      <w:pPr>
        <w:pStyle w:val="53"/>
        <w:numPr>
          <w:ilvl w:val="0"/>
          <w:numId w:val="0"/>
        </w:numPr>
        <w:spacing w:line="440" w:lineRule="exact"/>
        <w:ind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lang w:eastAsia="zh-CN"/>
        </w:rPr>
        <w:t>其他要求：</w:t>
      </w:r>
      <w:r>
        <w:rPr>
          <w:rFonts w:hint="eastAsia" w:ascii="仿宋" w:hAnsi="仿宋" w:eastAsia="仿宋" w:cs="仿宋"/>
          <w:sz w:val="24"/>
          <w:szCs w:val="24"/>
        </w:rPr>
        <w:t>涉及设备首次计量检测的相关检测费用由</w:t>
      </w:r>
      <w:r>
        <w:rPr>
          <w:rFonts w:hint="eastAsia" w:ascii="仿宋" w:hAnsi="仿宋" w:eastAsia="仿宋" w:cs="仿宋"/>
          <w:sz w:val="24"/>
          <w:szCs w:val="24"/>
          <w:lang w:val="en-US" w:eastAsia="zh-CN"/>
        </w:rPr>
        <w:t>中</w:t>
      </w:r>
      <w:r>
        <w:rPr>
          <w:rFonts w:hint="eastAsia" w:ascii="仿宋" w:hAnsi="仿宋" w:eastAsia="仿宋" w:cs="仿宋"/>
          <w:sz w:val="24"/>
          <w:szCs w:val="24"/>
        </w:rPr>
        <w:t>标人承担。</w:t>
      </w:r>
    </w:p>
    <w:p w14:paraId="6031A74B">
      <w:pPr>
        <w:pStyle w:val="53"/>
        <w:numPr>
          <w:ilvl w:val="0"/>
          <w:numId w:val="0"/>
        </w:numPr>
        <w:spacing w:line="440" w:lineRule="exact"/>
        <w:ind w:firstLine="482" w:firstLineChars="200"/>
        <w:outlineLvl w:val="0"/>
        <w:rPr>
          <w:rFonts w:hint="eastAsia" w:ascii="仿宋" w:hAnsi="仿宋" w:eastAsia="仿宋" w:cs="仿宋"/>
          <w:b/>
          <w:bCs/>
          <w:sz w:val="30"/>
          <w:szCs w:val="30"/>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lang w:eastAsia="zh-CN"/>
        </w:rPr>
        <w:t>中标人</w:t>
      </w:r>
      <w:r>
        <w:rPr>
          <w:rFonts w:hint="eastAsia" w:ascii="仿宋" w:hAnsi="仿宋" w:eastAsia="仿宋" w:cs="仿宋"/>
          <w:b/>
          <w:bCs/>
          <w:sz w:val="24"/>
          <w:szCs w:val="24"/>
        </w:rPr>
        <w:t>因提供假冒、劣质产品或不能履行产品质量售后服务保证的供应商将按《中华人民共和国政府采购法》和其他法规进行相应的处罚。</w:t>
      </w:r>
    </w:p>
    <w:bookmarkEnd w:id="6"/>
    <w:bookmarkEnd w:id="7"/>
    <w:bookmarkEnd w:id="8"/>
    <w:bookmarkEnd w:id="9"/>
    <w:bookmarkEnd w:id="10"/>
    <w:bookmarkEnd w:id="11"/>
    <w:bookmarkEnd w:id="12"/>
    <w:bookmarkEnd w:id="13"/>
    <w:p w14:paraId="4779F300">
      <w:pPr>
        <w:autoSpaceDE/>
        <w:autoSpaceDN/>
        <w:spacing w:line="420" w:lineRule="exact"/>
        <w:ind w:firstLine="723" w:firstLineChars="200"/>
        <w:jc w:val="left"/>
        <w:textAlignment w:val="baseline"/>
        <w:rPr>
          <w:rFonts w:ascii="仿宋" w:eastAsia="仿宋" w:cs="仿宋"/>
          <w:b/>
          <w:color w:val="auto"/>
          <w:kern w:val="44"/>
          <w:sz w:val="36"/>
          <w:szCs w:val="36"/>
        </w:rPr>
      </w:pPr>
    </w:p>
    <w:p w14:paraId="631926AB">
      <w:pPr>
        <w:jc w:val="center"/>
        <w:outlineLvl w:val="0"/>
        <w:rPr>
          <w:rFonts w:ascii="仿宋" w:eastAsia="仿宋" w:cs="仿宋"/>
          <w:b/>
          <w:color w:val="auto"/>
          <w:kern w:val="44"/>
          <w:sz w:val="36"/>
          <w:szCs w:val="36"/>
        </w:rPr>
      </w:pPr>
    </w:p>
    <w:p w14:paraId="0AAC988A">
      <w:pPr>
        <w:jc w:val="center"/>
        <w:outlineLvl w:val="0"/>
        <w:rPr>
          <w:rFonts w:ascii="仿宋" w:eastAsia="仿宋" w:cs="仿宋"/>
          <w:b/>
          <w:color w:val="auto"/>
          <w:kern w:val="44"/>
          <w:sz w:val="36"/>
          <w:szCs w:val="36"/>
        </w:rPr>
      </w:pPr>
    </w:p>
    <w:p w14:paraId="4C08520A">
      <w:pPr>
        <w:jc w:val="center"/>
        <w:outlineLvl w:val="0"/>
        <w:rPr>
          <w:rFonts w:ascii="仿宋" w:eastAsia="仿宋" w:cs="仿宋"/>
          <w:b/>
          <w:color w:val="auto"/>
          <w:kern w:val="44"/>
          <w:sz w:val="36"/>
          <w:szCs w:val="36"/>
        </w:rPr>
      </w:pPr>
    </w:p>
    <w:p w14:paraId="3001E3C8">
      <w:pPr>
        <w:jc w:val="center"/>
        <w:outlineLvl w:val="0"/>
        <w:rPr>
          <w:rFonts w:ascii="仿宋" w:eastAsia="仿宋" w:cs="仿宋"/>
          <w:b/>
          <w:color w:val="auto"/>
          <w:kern w:val="44"/>
          <w:sz w:val="36"/>
          <w:szCs w:val="36"/>
        </w:rPr>
      </w:pPr>
    </w:p>
    <w:p w14:paraId="65A16149">
      <w:pPr>
        <w:pStyle w:val="2"/>
        <w:rPr>
          <w:rFonts w:ascii="仿宋" w:eastAsia="仿宋" w:cs="仿宋"/>
          <w:b/>
          <w:color w:val="auto"/>
          <w:kern w:val="44"/>
          <w:sz w:val="36"/>
          <w:szCs w:val="36"/>
        </w:rPr>
      </w:pPr>
    </w:p>
    <w:p w14:paraId="00E4FD1E">
      <w:pPr>
        <w:rPr>
          <w:rFonts w:ascii="仿宋" w:eastAsia="仿宋" w:cs="仿宋"/>
          <w:b/>
          <w:color w:val="auto"/>
          <w:kern w:val="44"/>
          <w:sz w:val="36"/>
          <w:szCs w:val="36"/>
        </w:rPr>
      </w:pPr>
    </w:p>
    <w:p w14:paraId="2D57E7CA">
      <w:pPr>
        <w:pStyle w:val="2"/>
        <w:rPr>
          <w:rFonts w:ascii="仿宋" w:eastAsia="仿宋" w:cs="仿宋"/>
          <w:b/>
          <w:color w:val="auto"/>
          <w:kern w:val="44"/>
          <w:sz w:val="36"/>
          <w:szCs w:val="36"/>
        </w:rPr>
      </w:pPr>
    </w:p>
    <w:p w14:paraId="16EC6915">
      <w:pPr>
        <w:rPr>
          <w:rFonts w:ascii="仿宋" w:eastAsia="仿宋" w:cs="仿宋"/>
          <w:b/>
          <w:color w:val="auto"/>
          <w:kern w:val="44"/>
          <w:sz w:val="36"/>
          <w:szCs w:val="36"/>
        </w:rPr>
      </w:pPr>
    </w:p>
    <w:p w14:paraId="53F3EA5E">
      <w:pPr>
        <w:pStyle w:val="2"/>
        <w:rPr>
          <w:rFonts w:ascii="仿宋" w:eastAsia="仿宋" w:cs="仿宋"/>
          <w:b/>
          <w:color w:val="auto"/>
          <w:kern w:val="44"/>
          <w:sz w:val="36"/>
          <w:szCs w:val="36"/>
        </w:rPr>
      </w:pPr>
    </w:p>
    <w:p w14:paraId="21F398F1">
      <w:pPr>
        <w:pStyle w:val="2"/>
      </w:pPr>
    </w:p>
    <w:p w14:paraId="2DEE87B1">
      <w:pPr>
        <w:jc w:val="center"/>
        <w:outlineLvl w:val="0"/>
        <w:rPr>
          <w:rFonts w:hint="eastAsia" w:ascii="仿宋" w:eastAsia="仿宋" w:cs="仿宋"/>
          <w:b/>
          <w:color w:val="auto"/>
          <w:kern w:val="44"/>
          <w:sz w:val="36"/>
          <w:szCs w:val="36"/>
        </w:rPr>
      </w:pPr>
    </w:p>
    <w:p w14:paraId="03584B76">
      <w:pPr>
        <w:jc w:val="center"/>
        <w:outlineLvl w:val="0"/>
        <w:rPr>
          <w:rFonts w:hint="eastAsia" w:ascii="仿宋" w:eastAsia="仿宋" w:cs="仿宋"/>
          <w:b/>
          <w:color w:val="auto"/>
          <w:kern w:val="44"/>
          <w:sz w:val="36"/>
          <w:szCs w:val="36"/>
        </w:rPr>
      </w:pPr>
    </w:p>
    <w:p w14:paraId="4FB8AA07">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第四章  评标办法及评分标准</w:t>
      </w:r>
    </w:p>
    <w:p w14:paraId="76098AED">
      <w:pPr>
        <w:spacing w:line="420" w:lineRule="exact"/>
        <w:ind w:firstLine="480" w:firstLineChars="200"/>
        <w:rPr>
          <w:rFonts w:ascii="仿宋" w:eastAsia="仿宋" w:cs="仿宋"/>
          <w:color w:val="auto"/>
          <w:sz w:val="24"/>
          <w:szCs w:val="24"/>
        </w:rPr>
      </w:pPr>
    </w:p>
    <w:p w14:paraId="733E76DA">
      <w:pPr>
        <w:spacing w:line="360" w:lineRule="auto"/>
        <w:ind w:firstLine="480" w:firstLineChars="200"/>
        <w:outlineLvl w:val="1"/>
        <w:rPr>
          <w:rFonts w:ascii="仿宋" w:eastAsia="仿宋" w:cs="仿宋"/>
          <w:color w:val="auto"/>
          <w:sz w:val="24"/>
          <w:szCs w:val="24"/>
        </w:rPr>
      </w:pPr>
      <w:bookmarkStart w:id="14" w:name="_Hlk36476656"/>
      <w:r>
        <w:rPr>
          <w:rFonts w:hint="eastAsia" w:ascii="仿宋" w:eastAsia="仿宋" w:cs="仿宋"/>
          <w:color w:val="auto"/>
          <w:sz w:val="24"/>
          <w:szCs w:val="24"/>
        </w:rPr>
        <w:t>一、采用</w:t>
      </w:r>
      <w:r>
        <w:rPr>
          <w:rFonts w:hint="eastAsia" w:ascii="仿宋" w:eastAsia="仿宋" w:cs="仿宋"/>
          <w:color w:val="auto"/>
          <w:sz w:val="24"/>
          <w:szCs w:val="24"/>
          <w:u w:val="single"/>
        </w:rPr>
        <w:t>综合评分法</w:t>
      </w:r>
      <w:r>
        <w:rPr>
          <w:rFonts w:hint="eastAsia" w:ascii="仿宋" w:eastAsia="仿宋" w:cs="仿宋"/>
          <w:color w:val="auto"/>
          <w:sz w:val="24"/>
          <w:szCs w:val="24"/>
        </w:rPr>
        <w:t>。即在符合招标文件要求的前提下，择定最高得分者为第一中标候选人，即预中标人。</w:t>
      </w:r>
    </w:p>
    <w:p w14:paraId="7B781C20">
      <w:pPr>
        <w:spacing w:line="360" w:lineRule="auto"/>
        <w:ind w:firstLine="480" w:firstLineChars="200"/>
        <w:outlineLvl w:val="1"/>
        <w:rPr>
          <w:rFonts w:ascii="仿宋" w:eastAsia="仿宋" w:cs="仿宋"/>
          <w:color w:val="auto"/>
          <w:sz w:val="24"/>
          <w:szCs w:val="24"/>
        </w:rPr>
      </w:pPr>
      <w:r>
        <w:rPr>
          <w:rFonts w:hint="eastAsia" w:ascii="仿宋" w:eastAsia="仿宋" w:cs="仿宋"/>
          <w:color w:val="auto"/>
          <w:sz w:val="24"/>
          <w:szCs w:val="24"/>
        </w:rPr>
        <w:t>二、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eastAsia="仿宋" w:cs="仿宋"/>
          <w:bCs/>
          <w:color w:val="auto"/>
          <w:sz w:val="24"/>
          <w:szCs w:val="24"/>
        </w:rPr>
        <w:t>评分过程中采用四舍五入</w:t>
      </w:r>
      <w:r>
        <w:rPr>
          <w:rFonts w:hint="eastAsia" w:ascii="仿宋" w:eastAsia="仿宋" w:cs="仿宋"/>
          <w:color w:val="auto"/>
          <w:sz w:val="24"/>
          <w:szCs w:val="24"/>
        </w:rPr>
        <w:t>法，并保留小数2位。</w:t>
      </w:r>
    </w:p>
    <w:p w14:paraId="0950328C">
      <w:pPr>
        <w:spacing w:line="360" w:lineRule="auto"/>
        <w:ind w:firstLine="480" w:firstLineChars="200"/>
        <w:outlineLvl w:val="1"/>
        <w:rPr>
          <w:rFonts w:ascii="仿宋" w:eastAsia="仿宋" w:cs="仿宋"/>
          <w:color w:val="auto"/>
          <w:sz w:val="24"/>
          <w:szCs w:val="24"/>
        </w:rPr>
      </w:pPr>
      <w:r>
        <w:rPr>
          <w:rFonts w:hint="eastAsia" w:ascii="仿宋" w:eastAsia="仿宋" w:cs="仿宋"/>
          <w:color w:val="auto"/>
          <w:sz w:val="24"/>
          <w:szCs w:val="24"/>
        </w:rPr>
        <w:t>三、评分办法</w:t>
      </w:r>
    </w:p>
    <w:p w14:paraId="5DF4C15C">
      <w:pPr>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（一）满分为100分。总得分=商务技术分（70分）+报价分（30分）；</w:t>
      </w:r>
    </w:p>
    <w:p w14:paraId="4A0A6ACC">
      <w:pPr>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（二）商务技术分=所有评委的有效评分的算术平均数</w:t>
      </w:r>
      <w:r>
        <w:rPr>
          <w:rFonts w:hint="eastAsia" w:ascii="仿宋" w:eastAsia="仿宋" w:cs="仿宋"/>
          <w:color w:val="auto"/>
          <w:kern w:val="2"/>
          <w:sz w:val="24"/>
          <w:szCs w:val="24"/>
        </w:rPr>
        <w:t>，计算结果四舍五入小数点保留2位小数</w:t>
      </w:r>
      <w:r>
        <w:rPr>
          <w:rFonts w:hint="eastAsia" w:ascii="仿宋" w:eastAsia="仿宋" w:cs="仿宋"/>
          <w:color w:val="auto"/>
          <w:sz w:val="24"/>
          <w:szCs w:val="24"/>
        </w:rPr>
        <w:t>。</w:t>
      </w:r>
    </w:p>
    <w:p w14:paraId="67C96D1C">
      <w:pPr>
        <w:spacing w:line="360" w:lineRule="auto"/>
        <w:ind w:firstLine="480" w:firstLineChars="200"/>
        <w:rPr>
          <w:rFonts w:ascii="仿宋" w:eastAsia="仿宋" w:cs="仿宋"/>
          <w:color w:val="auto"/>
          <w:kern w:val="2"/>
          <w:sz w:val="24"/>
          <w:szCs w:val="24"/>
        </w:rPr>
      </w:pPr>
      <w:r>
        <w:rPr>
          <w:rFonts w:hint="eastAsia" w:ascii="仿宋" w:eastAsia="仿宋" w:cs="仿宋"/>
          <w:color w:val="auto"/>
          <w:sz w:val="24"/>
          <w:szCs w:val="24"/>
        </w:rPr>
        <w:t>（三）</w:t>
      </w:r>
      <w:r>
        <w:rPr>
          <w:rFonts w:hint="eastAsia" w:ascii="仿宋" w:eastAsia="仿宋" w:cs="仿宋"/>
          <w:color w:val="auto"/>
          <w:kern w:val="2"/>
          <w:sz w:val="24"/>
          <w:szCs w:val="24"/>
        </w:rPr>
        <w:t>报价评分将在有效投标人范围内进行，最高得30分，计算结果四舍五入小数点保留2位小数。</w:t>
      </w:r>
    </w:p>
    <w:p w14:paraId="1A2C6318">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评定评标基准价：以合格投标人且投标报价最低的为评标基准价，其报价分为满分。</w:t>
      </w:r>
    </w:p>
    <w:p w14:paraId="7A57C2C6">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计算公式：报价得分=评标基准价/投标报价×30,计算结果保留2位小数。</w:t>
      </w:r>
    </w:p>
    <w:p w14:paraId="4AFF5B19">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（四）落实政府采购政策说明：</w:t>
      </w:r>
    </w:p>
    <w:p w14:paraId="667FD401">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依据财政部和工业和信息化部《关于印发《政府采购促进中小企业发展管理办法》的通知》（财库〔2020〕46号的规定，对小型和微型企业产品的价格</w:t>
      </w:r>
      <w:r>
        <w:rPr>
          <w:rFonts w:hint="eastAsia" w:ascii="仿宋" w:eastAsia="仿宋" w:cs="仿宋"/>
          <w:color w:val="auto"/>
          <w:kern w:val="2"/>
          <w:sz w:val="24"/>
          <w:szCs w:val="24"/>
          <w:highlight w:val="yellow"/>
        </w:rPr>
        <w:t>给予</w:t>
      </w:r>
      <w:r>
        <w:rPr>
          <w:rFonts w:hint="eastAsia" w:ascii="仿宋" w:eastAsia="仿宋" w:cs="仿宋"/>
          <w:color w:val="auto"/>
          <w:kern w:val="2"/>
          <w:sz w:val="24"/>
          <w:szCs w:val="24"/>
          <w:highlight w:val="yellow"/>
          <w:lang w:val="en-US" w:eastAsia="zh-CN"/>
        </w:rPr>
        <w:t>10</w:t>
      </w:r>
      <w:r>
        <w:rPr>
          <w:rFonts w:hint="eastAsia" w:ascii="仿宋" w:eastAsia="仿宋" w:cs="仿宋"/>
          <w:color w:val="auto"/>
          <w:kern w:val="2"/>
          <w:sz w:val="24"/>
          <w:szCs w:val="24"/>
          <w:highlight w:val="yellow"/>
        </w:rPr>
        <w:t>%的扣除</w:t>
      </w:r>
      <w:r>
        <w:rPr>
          <w:rFonts w:hint="eastAsia" w:ascii="仿宋" w:eastAsia="仿宋" w:cs="仿宋"/>
          <w:color w:val="auto"/>
          <w:kern w:val="2"/>
          <w:sz w:val="24"/>
          <w:szCs w:val="24"/>
        </w:rPr>
        <w:t>，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14:paraId="295C0758">
      <w:pPr>
        <w:spacing w:line="360" w:lineRule="auto"/>
        <w:ind w:firstLine="480" w:firstLineChars="200"/>
        <w:rPr>
          <w:rFonts w:ascii="仿宋" w:eastAsia="仿宋" w:cs="仿宋"/>
          <w:color w:val="0000FF"/>
          <w:kern w:val="2"/>
          <w:sz w:val="24"/>
          <w:szCs w:val="24"/>
        </w:rPr>
      </w:pPr>
      <w:r>
        <w:rPr>
          <w:rFonts w:hint="eastAsia" w:ascii="仿宋" w:eastAsia="仿宋" w:cs="仿宋"/>
          <w:color w:val="auto"/>
          <w:kern w:val="2"/>
          <w:sz w:val="24"/>
          <w:szCs w:val="24"/>
        </w:rPr>
        <w:t>若投标人是中小企业优惠政策的应按照规定，在报价文件中按照规定格式，提供《中小型企业声明函》及“国家企业信用信息公示系统—小微企业名录”投标截止时间前5天内页面查询结果网页截图；若投标人是残疾人福利单位的须按照规定格式，提供《残疾人福利性单位声明函》及财库【2017】141号文第一条（一）至（五）的材料。若投标人是监狱企业须提供（省级以上监狱管理局、戒毒管理局（含新疆生产建设兵团）出具的属于监狱企业的资格文件）。</w:t>
      </w:r>
      <w:r>
        <w:rPr>
          <w:rFonts w:hint="eastAsia" w:ascii="仿宋" w:eastAsia="仿宋" w:cs="仿宋"/>
          <w:color w:val="auto"/>
          <w:kern w:val="2"/>
          <w:sz w:val="24"/>
          <w:szCs w:val="24"/>
          <w:highlight w:val="yellow"/>
        </w:rPr>
        <w:t>其报价扣减</w:t>
      </w:r>
      <w:r>
        <w:rPr>
          <w:rFonts w:hint="eastAsia" w:ascii="仿宋" w:eastAsia="仿宋" w:cs="仿宋"/>
          <w:color w:val="auto"/>
          <w:kern w:val="2"/>
          <w:sz w:val="24"/>
          <w:szCs w:val="24"/>
          <w:highlight w:val="yellow"/>
          <w:lang w:val="en-US" w:eastAsia="zh-CN"/>
        </w:rPr>
        <w:t>10</w:t>
      </w:r>
      <w:r>
        <w:rPr>
          <w:rFonts w:hint="eastAsia" w:ascii="仿宋" w:eastAsia="仿宋" w:cs="仿宋"/>
          <w:color w:val="auto"/>
          <w:kern w:val="2"/>
          <w:sz w:val="24"/>
          <w:szCs w:val="24"/>
          <w:highlight w:val="yellow"/>
        </w:rPr>
        <w:t>%后</w:t>
      </w:r>
      <w:r>
        <w:rPr>
          <w:rFonts w:hint="eastAsia" w:ascii="仿宋" w:eastAsia="仿宋" w:cs="仿宋"/>
          <w:color w:val="auto"/>
          <w:kern w:val="2"/>
          <w:sz w:val="24"/>
          <w:szCs w:val="24"/>
        </w:rPr>
        <w:t>再计入报价得分的评审（不累计扣减）。即投标报价得分=(评标基准价／</w:t>
      </w:r>
      <w:r>
        <w:rPr>
          <w:rFonts w:hint="eastAsia" w:ascii="仿宋" w:eastAsia="仿宋" w:cs="仿宋"/>
          <w:color w:val="auto"/>
          <w:kern w:val="2"/>
          <w:sz w:val="24"/>
          <w:szCs w:val="24"/>
          <w:highlight w:val="yellow"/>
        </w:rPr>
        <w:t>(投标报价*</w:t>
      </w:r>
      <w:r>
        <w:rPr>
          <w:rFonts w:hint="eastAsia" w:ascii="仿宋" w:eastAsia="仿宋" w:cs="仿宋"/>
          <w:color w:val="auto"/>
          <w:kern w:val="2"/>
          <w:sz w:val="24"/>
          <w:szCs w:val="24"/>
          <w:highlight w:val="yellow"/>
          <w:lang w:val="en-US" w:eastAsia="zh-CN"/>
        </w:rPr>
        <w:t>10</w:t>
      </w:r>
      <w:r>
        <w:rPr>
          <w:rFonts w:hint="eastAsia" w:ascii="仿宋" w:eastAsia="仿宋" w:cs="仿宋"/>
          <w:color w:val="auto"/>
          <w:kern w:val="2"/>
          <w:sz w:val="24"/>
          <w:szCs w:val="24"/>
          <w:highlight w:val="yellow"/>
        </w:rPr>
        <w:t>%)</w:t>
      </w:r>
      <w:r>
        <w:rPr>
          <w:rFonts w:hint="eastAsia" w:ascii="仿宋" w:eastAsia="仿宋" w:cs="仿宋"/>
          <w:color w:val="auto"/>
          <w:kern w:val="2"/>
          <w:sz w:val="24"/>
          <w:szCs w:val="24"/>
        </w:rPr>
        <w:t>×报价分权重。</w:t>
      </w:r>
    </w:p>
    <w:p w14:paraId="1880E7FC">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注：1.若本项目所有供应商均属小型、微型企业或监狱企业或残疾人福利性单位的，按原报价进行评审。</w:t>
      </w:r>
    </w:p>
    <w:p w14:paraId="040E9B6E">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2.监狱企业、残疾人福利性单位属于小型、微型企业的，不重复享受政策。</w:t>
      </w:r>
    </w:p>
    <w:p w14:paraId="780498BA">
      <w:pPr>
        <w:spacing w:line="360" w:lineRule="auto"/>
        <w:ind w:firstLine="480" w:firstLineChars="200"/>
        <w:rPr>
          <w:rFonts w:ascii="仿宋" w:eastAsia="仿宋" w:cs="仿宋"/>
          <w:color w:val="auto"/>
          <w:kern w:val="2"/>
          <w:sz w:val="24"/>
          <w:szCs w:val="24"/>
        </w:rPr>
      </w:pPr>
      <w:r>
        <w:rPr>
          <w:rFonts w:hint="eastAsia" w:ascii="仿宋" w:eastAsia="仿宋" w:cs="仿宋"/>
          <w:color w:val="auto"/>
          <w:kern w:val="2"/>
          <w:sz w:val="24"/>
          <w:szCs w:val="24"/>
        </w:rPr>
        <w:t>3.若投标人提供的中小企业声明函与实际情况不符的，视为投标人提供虚假材料投标，投标无效。</w:t>
      </w:r>
    </w:p>
    <w:p w14:paraId="486931C7">
      <w:pPr>
        <w:spacing w:line="360" w:lineRule="auto"/>
        <w:ind w:firstLine="480" w:firstLineChars="200"/>
        <w:rPr>
          <w:rFonts w:ascii="仿宋" w:eastAsia="仿宋" w:cs="仿宋"/>
          <w:color w:val="auto"/>
          <w:sz w:val="24"/>
          <w:szCs w:val="24"/>
        </w:rPr>
      </w:pPr>
      <w:r>
        <w:rPr>
          <w:rFonts w:hint="eastAsia" w:ascii="仿宋" w:eastAsia="仿宋" w:cs="仿宋"/>
          <w:color w:val="auto"/>
          <w:kern w:val="2"/>
          <w:sz w:val="24"/>
          <w:szCs w:val="24"/>
        </w:rPr>
        <w:t>4.投标人未提供上述相关材料的，不享受上述扶持政策。</w:t>
      </w:r>
    </w:p>
    <w:p w14:paraId="437E732D">
      <w:pPr>
        <w:spacing w:line="360" w:lineRule="auto"/>
        <w:ind w:firstLine="482" w:firstLineChars="200"/>
        <w:outlineLvl w:val="2"/>
        <w:rPr>
          <w:color w:val="auto"/>
        </w:rPr>
      </w:pPr>
      <w:r>
        <w:rPr>
          <w:rFonts w:hint="eastAsia" w:ascii="仿宋" w:eastAsia="仿宋" w:cs="仿宋"/>
          <w:b/>
          <w:color w:val="auto"/>
          <w:sz w:val="24"/>
          <w:szCs w:val="24"/>
        </w:rPr>
        <w:t>（五）</w:t>
      </w:r>
      <w:r>
        <w:rPr>
          <w:rFonts w:ascii="仿宋" w:eastAsia="仿宋"/>
          <w:b/>
          <w:bCs/>
          <w:color w:val="auto"/>
          <w:sz w:val="24"/>
          <w:szCs w:val="24"/>
        </w:rPr>
        <w:t>评标办法前附表</w:t>
      </w:r>
    </w:p>
    <w:tbl>
      <w:tblPr>
        <w:tblStyle w:val="31"/>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28"/>
        <w:gridCol w:w="934"/>
        <w:gridCol w:w="6416"/>
        <w:gridCol w:w="936"/>
      </w:tblGrid>
      <w:tr w14:paraId="0794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8" w:type="dxa"/>
            <w:vAlign w:val="center"/>
          </w:tcPr>
          <w:p w14:paraId="7ECBAB50">
            <w:pPr>
              <w:pStyle w:val="47"/>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序号</w:t>
            </w:r>
          </w:p>
        </w:tc>
        <w:tc>
          <w:tcPr>
            <w:tcW w:w="9514" w:type="dxa"/>
            <w:gridSpan w:val="4"/>
            <w:vAlign w:val="center"/>
          </w:tcPr>
          <w:p w14:paraId="61199281">
            <w:pPr>
              <w:pStyle w:val="47"/>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编列内容</w:t>
            </w:r>
          </w:p>
        </w:tc>
      </w:tr>
      <w:tr w14:paraId="7DFC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788" w:type="dxa"/>
            <w:tcBorders>
              <w:top w:val="single" w:color="auto" w:sz="4" w:space="0"/>
              <w:left w:val="single" w:color="auto" w:sz="4" w:space="0"/>
              <w:right w:val="single" w:color="auto" w:sz="4" w:space="0"/>
            </w:tcBorders>
            <w:vAlign w:val="center"/>
          </w:tcPr>
          <w:p w14:paraId="06BF7C6A">
            <w:pPr>
              <w:pStyle w:val="47"/>
              <w:spacing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1</w:t>
            </w:r>
          </w:p>
        </w:tc>
        <w:tc>
          <w:tcPr>
            <w:tcW w:w="9514" w:type="dxa"/>
            <w:gridSpan w:val="4"/>
            <w:tcBorders>
              <w:top w:val="single" w:color="auto" w:sz="4" w:space="0"/>
              <w:left w:val="single" w:color="auto" w:sz="4" w:space="0"/>
              <w:right w:val="single" w:color="auto" w:sz="4" w:space="0"/>
            </w:tcBorders>
            <w:vAlign w:val="center"/>
          </w:tcPr>
          <w:p w14:paraId="1A24F10D">
            <w:pPr>
              <w:numPr>
                <w:ilvl w:val="0"/>
                <w:numId w:val="7"/>
              </w:numPr>
              <w:ind w:firstLine="480" w:firstLineChars="200"/>
              <w:outlineLvl w:val="0"/>
              <w:rPr>
                <w:rFonts w:ascii="仿宋" w:eastAsia="仿宋" w:cs="宋体"/>
                <w:color w:val="auto"/>
                <w:sz w:val="24"/>
              </w:rPr>
            </w:pPr>
            <w:r>
              <w:rPr>
                <w:rFonts w:hint="eastAsia" w:ascii="仿宋" w:eastAsia="仿宋" w:cs="宋体"/>
                <w:color w:val="auto"/>
                <w:sz w:val="24"/>
              </w:rPr>
              <w:t>本次评标采用综合评分法。</w:t>
            </w:r>
          </w:p>
          <w:p w14:paraId="4B41B0CC">
            <w:pPr>
              <w:numPr>
                <w:ilvl w:val="0"/>
                <w:numId w:val="7"/>
              </w:numPr>
              <w:ind w:firstLine="480" w:firstLineChars="200"/>
              <w:outlineLvl w:val="0"/>
              <w:rPr>
                <w:rFonts w:ascii="仿宋" w:eastAsia="仿宋" w:cs="宋体"/>
                <w:color w:val="auto"/>
                <w:sz w:val="24"/>
              </w:rPr>
            </w:pPr>
            <w:r>
              <w:rPr>
                <w:rFonts w:hint="eastAsia" w:ascii="仿宋" w:eastAsia="仿宋" w:cs="宋体"/>
                <w:color w:val="auto"/>
                <w:sz w:val="24"/>
              </w:rPr>
              <w:t>评标委员会先对投标文件进行符合性审查，对满足招标采购文件实质性要求的投标文件再进行资格文件、商务技术文件评审，最后对报价文件进行评审。</w:t>
            </w:r>
          </w:p>
          <w:p w14:paraId="43BC474B">
            <w:pPr>
              <w:numPr>
                <w:ilvl w:val="0"/>
                <w:numId w:val="7"/>
              </w:numPr>
              <w:ind w:firstLine="480" w:firstLineChars="200"/>
              <w:outlineLvl w:val="0"/>
              <w:rPr>
                <w:rFonts w:ascii="仿宋" w:eastAsia="仿宋" w:cs="宋体"/>
                <w:color w:val="auto"/>
                <w:sz w:val="24"/>
              </w:rPr>
            </w:pPr>
            <w:r>
              <w:rPr>
                <w:rFonts w:hint="eastAsia" w:ascii="仿宋" w:eastAsia="仿宋" w:cs="宋体"/>
                <w:color w:val="auto"/>
                <w:sz w:val="24"/>
              </w:rPr>
              <w:t>投标人的评标总得分=商务技术文件得分+报价文件得分；评标委员会按照投标人最终总得分从高到低的顺序对投标人排名并编号，确定第一名为中标候选人。如岀现总得分相同的，以商务技术文件得分高者优先；若商务技术文件得分和报价文件得分均相同的，由评标委员会进行投票表决得票多者为中标候选人。</w:t>
            </w:r>
          </w:p>
        </w:tc>
      </w:tr>
      <w:tr w14:paraId="1B90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3DA324D5">
            <w:pPr>
              <w:pStyle w:val="47"/>
              <w:spacing w:after="0" w:line="240" w:lineRule="auto"/>
              <w:ind w:firstLine="0"/>
              <w:jc w:val="left"/>
              <w:rPr>
                <w:rFonts w:ascii="仿宋" w:eastAsia="仿宋"/>
                <w:color w:val="auto"/>
              </w:rPr>
            </w:pPr>
            <w:r>
              <w:rPr>
                <w:rFonts w:hint="eastAsia" w:ascii="仿宋" w:eastAsia="仿宋"/>
                <w:b/>
                <w:bCs/>
                <w:color w:val="auto"/>
                <w:sz w:val="24"/>
                <w:lang w:val="en-US" w:eastAsia="zh-CN" w:bidi="ar-SA"/>
              </w:rPr>
              <w:t>（一）资格评审</w:t>
            </w:r>
          </w:p>
        </w:tc>
      </w:tr>
      <w:tr w14:paraId="7B5A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12519CA5">
            <w:pPr>
              <w:pStyle w:val="47"/>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序号</w:t>
            </w:r>
          </w:p>
        </w:tc>
        <w:tc>
          <w:tcPr>
            <w:tcW w:w="2162" w:type="dxa"/>
            <w:gridSpan w:val="2"/>
            <w:tcBorders>
              <w:top w:val="single" w:color="auto" w:sz="4" w:space="0"/>
              <w:left w:val="single" w:color="auto" w:sz="4" w:space="0"/>
              <w:right w:val="single" w:color="auto" w:sz="4" w:space="0"/>
            </w:tcBorders>
            <w:vAlign w:val="center"/>
          </w:tcPr>
          <w:p w14:paraId="1A836646">
            <w:pPr>
              <w:pStyle w:val="47"/>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评审因素</w:t>
            </w:r>
          </w:p>
        </w:tc>
        <w:tc>
          <w:tcPr>
            <w:tcW w:w="7352" w:type="dxa"/>
            <w:gridSpan w:val="2"/>
            <w:tcBorders>
              <w:top w:val="single" w:color="auto" w:sz="4" w:space="0"/>
              <w:left w:val="single" w:color="auto" w:sz="4" w:space="0"/>
              <w:right w:val="single" w:color="auto" w:sz="4" w:space="0"/>
            </w:tcBorders>
            <w:vAlign w:val="center"/>
          </w:tcPr>
          <w:p w14:paraId="2B8590E5">
            <w:pPr>
              <w:pStyle w:val="47"/>
              <w:spacing w:after="0" w:line="240" w:lineRule="auto"/>
              <w:ind w:firstLine="0"/>
              <w:jc w:val="center"/>
              <w:rPr>
                <w:rFonts w:ascii="仿宋" w:eastAsia="仿宋"/>
                <w:b/>
                <w:bCs/>
                <w:color w:val="auto"/>
                <w:sz w:val="24"/>
                <w:lang w:val="en-US" w:eastAsia="zh-CN" w:bidi="ar-SA"/>
              </w:rPr>
            </w:pPr>
            <w:r>
              <w:rPr>
                <w:rFonts w:hint="eastAsia" w:ascii="仿宋" w:eastAsia="仿宋"/>
                <w:b/>
                <w:bCs/>
                <w:color w:val="auto"/>
                <w:sz w:val="24"/>
                <w:lang w:val="en-US" w:eastAsia="zh-CN" w:bidi="ar-SA"/>
              </w:rPr>
              <w:t>评审标准</w:t>
            </w:r>
          </w:p>
        </w:tc>
      </w:tr>
      <w:tr w14:paraId="4955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88" w:type="dxa"/>
            <w:tcBorders>
              <w:top w:val="single" w:color="auto" w:sz="4" w:space="0"/>
              <w:left w:val="single" w:color="auto" w:sz="4" w:space="0"/>
              <w:right w:val="single" w:color="auto" w:sz="4" w:space="0"/>
            </w:tcBorders>
            <w:vAlign w:val="center"/>
          </w:tcPr>
          <w:p w14:paraId="3358BBA3">
            <w:pPr>
              <w:pStyle w:val="47"/>
              <w:spacing w:after="0" w:line="240" w:lineRule="auto"/>
              <w:ind w:firstLine="0"/>
              <w:jc w:val="center"/>
              <w:rPr>
                <w:rFonts w:ascii="仿宋" w:eastAsia="仿宋"/>
                <w:color w:val="auto"/>
                <w:sz w:val="24"/>
                <w:szCs w:val="24"/>
              </w:rPr>
            </w:pPr>
            <w:r>
              <w:rPr>
                <w:rFonts w:hint="eastAsia" w:ascii="仿宋" w:eastAsia="仿宋"/>
                <w:color w:val="auto"/>
                <w:sz w:val="24"/>
                <w:szCs w:val="24"/>
              </w:rPr>
              <w:t>1</w:t>
            </w:r>
          </w:p>
        </w:tc>
        <w:tc>
          <w:tcPr>
            <w:tcW w:w="2162" w:type="dxa"/>
            <w:gridSpan w:val="2"/>
            <w:tcBorders>
              <w:top w:val="single" w:color="auto" w:sz="4" w:space="0"/>
              <w:left w:val="single" w:color="auto" w:sz="4" w:space="0"/>
              <w:right w:val="single" w:color="auto" w:sz="4" w:space="0"/>
            </w:tcBorders>
            <w:vAlign w:val="center"/>
          </w:tcPr>
          <w:p w14:paraId="58A4C273">
            <w:pPr>
              <w:pStyle w:val="47"/>
              <w:spacing w:after="0" w:line="240" w:lineRule="auto"/>
              <w:ind w:firstLine="0"/>
              <w:jc w:val="center"/>
              <w:rPr>
                <w:rFonts w:ascii="仿宋" w:eastAsia="仿宋"/>
                <w:color w:val="auto"/>
                <w:sz w:val="24"/>
                <w:szCs w:val="24"/>
              </w:rPr>
            </w:pPr>
            <w:r>
              <w:rPr>
                <w:rFonts w:hint="eastAsia" w:ascii="仿宋" w:eastAsia="仿宋"/>
                <w:color w:val="auto"/>
                <w:sz w:val="24"/>
                <w:szCs w:val="24"/>
              </w:rPr>
              <w:t>营业执照</w:t>
            </w:r>
          </w:p>
        </w:tc>
        <w:tc>
          <w:tcPr>
            <w:tcW w:w="7352" w:type="dxa"/>
            <w:gridSpan w:val="2"/>
            <w:tcBorders>
              <w:top w:val="single" w:color="auto" w:sz="4" w:space="0"/>
              <w:left w:val="single" w:color="auto" w:sz="4" w:space="0"/>
              <w:right w:val="single" w:color="auto" w:sz="4" w:space="0"/>
            </w:tcBorders>
            <w:vAlign w:val="center"/>
          </w:tcPr>
          <w:p w14:paraId="7C4D35E2">
            <w:pPr>
              <w:pStyle w:val="47"/>
              <w:spacing w:after="0" w:line="240" w:lineRule="auto"/>
              <w:ind w:firstLine="0"/>
              <w:jc w:val="left"/>
              <w:rPr>
                <w:rFonts w:ascii="仿宋" w:eastAsia="仿宋"/>
                <w:color w:val="auto"/>
                <w:sz w:val="24"/>
                <w:szCs w:val="24"/>
                <w:lang w:eastAsia="zh-CN"/>
              </w:rPr>
            </w:pPr>
            <w:r>
              <w:rPr>
                <w:rFonts w:hint="eastAsia" w:ascii="仿宋" w:hAnsi="仿宋" w:eastAsia="仿宋"/>
                <w:color w:val="auto"/>
                <w:sz w:val="24"/>
                <w:szCs w:val="24"/>
                <w:lang w:eastAsia="zh-CN"/>
              </w:rPr>
              <w:t>具备</w:t>
            </w:r>
            <w:r>
              <w:rPr>
                <w:rFonts w:hint="eastAsia" w:ascii="仿宋" w:hAnsi="仿宋" w:eastAsia="仿宋"/>
                <w:color w:val="auto"/>
                <w:sz w:val="24"/>
                <w:szCs w:val="24"/>
              </w:rPr>
              <w:t>有效的营业执照</w:t>
            </w:r>
            <w:r>
              <w:rPr>
                <w:rFonts w:hint="eastAsia" w:ascii="仿宋" w:hAnsi="仿宋" w:eastAsia="仿宋"/>
                <w:color w:val="auto"/>
                <w:sz w:val="24"/>
                <w:szCs w:val="24"/>
                <w:lang w:eastAsia="zh-CN"/>
              </w:rPr>
              <w:t>。</w:t>
            </w:r>
          </w:p>
        </w:tc>
      </w:tr>
      <w:tr w14:paraId="7C65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shd w:val="clear" w:color="auto" w:fill="auto"/>
            <w:vAlign w:val="center"/>
          </w:tcPr>
          <w:p w14:paraId="04103D68">
            <w:pPr>
              <w:pStyle w:val="47"/>
              <w:spacing w:after="0" w:line="240" w:lineRule="auto"/>
              <w:ind w:firstLine="0" w:firstLineChars="0"/>
              <w:jc w:val="center"/>
              <w:rPr>
                <w:rFonts w:hint="eastAsia" w:ascii="仿宋" w:hAnsi="Times New Roman" w:eastAsia="仿宋" w:cs="宋体"/>
                <w:color w:val="auto"/>
                <w:sz w:val="24"/>
                <w:szCs w:val="24"/>
                <w:lang w:val="en-US" w:eastAsia="zh-CN" w:bidi="zh-TW"/>
              </w:rPr>
            </w:pPr>
            <w:r>
              <w:rPr>
                <w:rFonts w:hint="eastAsia" w:ascii="仿宋" w:eastAsia="仿宋"/>
                <w:color w:val="auto"/>
                <w:sz w:val="24"/>
                <w:szCs w:val="24"/>
                <w:lang w:val="en-US" w:eastAsia="zh-CN"/>
              </w:rPr>
              <w:t>2</w:t>
            </w:r>
          </w:p>
        </w:tc>
        <w:tc>
          <w:tcPr>
            <w:tcW w:w="2162" w:type="dxa"/>
            <w:gridSpan w:val="2"/>
            <w:tcBorders>
              <w:top w:val="single" w:color="auto" w:sz="4" w:space="0"/>
              <w:left w:val="single" w:color="auto" w:sz="4" w:space="0"/>
              <w:right w:val="single" w:color="auto" w:sz="4" w:space="0"/>
            </w:tcBorders>
            <w:vAlign w:val="center"/>
          </w:tcPr>
          <w:p w14:paraId="6B8786C8">
            <w:pPr>
              <w:autoSpaceDE/>
              <w:autoSpaceDN/>
              <w:adjustRightInd/>
              <w:spacing w:line="280" w:lineRule="exact"/>
              <w:jc w:val="center"/>
              <w:rPr>
                <w:rFonts w:hint="eastAsia" w:ascii="仿宋" w:hAnsi="仿宋" w:eastAsia="仿宋" w:cs="Times New Roman"/>
                <w:b/>
                <w:bCs w:val="0"/>
                <w:color w:val="0000FF"/>
                <w:sz w:val="24"/>
                <w:szCs w:val="24"/>
                <w:lang w:val="zh-TW" w:eastAsia="zh-CN" w:bidi="ar-SA"/>
              </w:rPr>
            </w:pPr>
            <w:r>
              <w:rPr>
                <w:rFonts w:hint="eastAsia" w:ascii="仿宋" w:hAnsi="仿宋" w:eastAsia="仿宋" w:cs="Times New Roman"/>
                <w:b/>
                <w:bCs w:val="0"/>
                <w:color w:val="0000FF"/>
                <w:sz w:val="24"/>
                <w:szCs w:val="24"/>
                <w:lang w:val="zh-TW" w:eastAsia="zh-CN" w:bidi="ar-SA"/>
              </w:rPr>
              <w:t>特定资格要求</w:t>
            </w:r>
          </w:p>
        </w:tc>
        <w:tc>
          <w:tcPr>
            <w:tcW w:w="7352" w:type="dxa"/>
            <w:gridSpan w:val="2"/>
            <w:tcBorders>
              <w:top w:val="single" w:color="auto" w:sz="4" w:space="0"/>
              <w:left w:val="single" w:color="auto" w:sz="4" w:space="0"/>
              <w:right w:val="single" w:color="auto" w:sz="4" w:space="0"/>
            </w:tcBorders>
            <w:vAlign w:val="center"/>
          </w:tcPr>
          <w:p w14:paraId="0D1EE087">
            <w:pPr>
              <w:spacing w:line="280" w:lineRule="exact"/>
              <w:jc w:val="left"/>
              <w:rPr>
                <w:rFonts w:hint="eastAsia" w:ascii="仿宋" w:hAnsi="仿宋" w:eastAsia="仿宋" w:cs="仿宋"/>
                <w:b/>
                <w:bCs w:val="0"/>
                <w:color w:val="0000FF"/>
                <w:sz w:val="24"/>
                <w:szCs w:val="24"/>
                <w:lang w:val="zh-TW" w:eastAsia="zh-CN" w:bidi="ar-SA"/>
              </w:rPr>
            </w:pPr>
            <w:r>
              <w:rPr>
                <w:rFonts w:hint="eastAsia" w:ascii="仿宋" w:hAnsi="仿宋" w:eastAsia="仿宋" w:cs="仿宋"/>
                <w:b/>
                <w:bCs w:val="0"/>
                <w:color w:val="0000FF"/>
                <w:sz w:val="24"/>
                <w:szCs w:val="24"/>
                <w:lang w:val="zh-TW" w:eastAsia="zh-CN" w:bidi="ar-SA"/>
              </w:rPr>
              <w:t>（</w:t>
            </w:r>
            <w:r>
              <w:rPr>
                <w:rFonts w:hint="eastAsia" w:ascii="仿宋" w:hAnsi="仿宋" w:eastAsia="仿宋" w:cs="仿宋"/>
                <w:b/>
                <w:bCs w:val="0"/>
                <w:color w:val="0000FF"/>
                <w:sz w:val="24"/>
                <w:szCs w:val="24"/>
                <w:lang w:val="en-US" w:eastAsia="zh-CN" w:bidi="ar-SA"/>
              </w:rPr>
              <w:t>1</w:t>
            </w:r>
            <w:r>
              <w:rPr>
                <w:rFonts w:hint="eastAsia" w:ascii="仿宋" w:hAnsi="仿宋" w:eastAsia="仿宋" w:cs="仿宋"/>
                <w:b/>
                <w:bCs w:val="0"/>
                <w:color w:val="0000FF"/>
                <w:sz w:val="24"/>
                <w:szCs w:val="24"/>
                <w:lang w:val="zh-TW" w:eastAsia="zh-CN" w:bidi="ar-SA"/>
              </w:rPr>
              <w:t>）投标人为医疗器械生产企业的：第二类、第三类医疗器械生产企业须提供《医疗器械生产许可证》、第一类医疗器械生产企业须提供第一类医疗器械生产备案凭证；投标人为医疗器械经营企业的：第三类医疗器械经营企业提供《医疗器械经营许可证》、第二类医疗器械经营企业提供第二类医疗器械经营备案凭证。</w:t>
            </w:r>
          </w:p>
          <w:p w14:paraId="026C9E7C">
            <w:pPr>
              <w:spacing w:line="280" w:lineRule="exact"/>
              <w:jc w:val="left"/>
              <w:rPr>
                <w:rFonts w:hint="eastAsia" w:ascii="仿宋" w:hAnsi="仿宋" w:eastAsia="仿宋" w:cs="仿宋"/>
                <w:b/>
                <w:bCs w:val="0"/>
                <w:color w:val="0000FF"/>
                <w:sz w:val="24"/>
                <w:szCs w:val="24"/>
                <w:lang w:val="zh-TW" w:eastAsia="zh-CN" w:bidi="ar-SA"/>
              </w:rPr>
            </w:pPr>
            <w:r>
              <w:rPr>
                <w:rFonts w:hint="eastAsia" w:ascii="仿宋" w:hAnsi="仿宋" w:eastAsia="仿宋" w:cs="仿宋"/>
                <w:b/>
                <w:bCs w:val="0"/>
                <w:color w:val="0000FF"/>
                <w:sz w:val="24"/>
                <w:szCs w:val="24"/>
                <w:lang w:val="zh-TW" w:eastAsia="zh-CN" w:bidi="ar-SA"/>
              </w:rPr>
              <w:t>（</w:t>
            </w:r>
            <w:r>
              <w:rPr>
                <w:rFonts w:hint="eastAsia" w:ascii="仿宋" w:hAnsi="仿宋" w:eastAsia="仿宋" w:cs="仿宋"/>
                <w:b/>
                <w:bCs w:val="0"/>
                <w:color w:val="0000FF"/>
                <w:sz w:val="24"/>
                <w:szCs w:val="24"/>
                <w:lang w:val="en-US" w:eastAsia="zh-CN" w:bidi="ar-SA"/>
              </w:rPr>
              <w:t>2</w:t>
            </w:r>
            <w:r>
              <w:rPr>
                <w:rFonts w:hint="eastAsia" w:ascii="仿宋" w:hAnsi="仿宋" w:eastAsia="仿宋" w:cs="仿宋"/>
                <w:b/>
                <w:bCs w:val="0"/>
                <w:color w:val="0000FF"/>
                <w:sz w:val="24"/>
                <w:szCs w:val="24"/>
                <w:lang w:val="zh-TW" w:eastAsia="zh-CN" w:bidi="ar-SA"/>
              </w:rPr>
              <w:t>）医疗器械生产企业须具有食品药品监督管理部门核发的完整有效的医疗器械注册或备案证明。</w:t>
            </w:r>
          </w:p>
        </w:tc>
      </w:tr>
      <w:tr w14:paraId="1A85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shd w:val="clear" w:color="auto" w:fill="auto"/>
            <w:vAlign w:val="center"/>
          </w:tcPr>
          <w:p w14:paraId="6D20DF8B">
            <w:pPr>
              <w:pStyle w:val="47"/>
              <w:spacing w:after="0" w:line="240" w:lineRule="auto"/>
              <w:ind w:firstLine="0" w:firstLineChars="0"/>
              <w:jc w:val="center"/>
              <w:rPr>
                <w:rFonts w:ascii="仿宋" w:hAnsi="Times New Roman" w:eastAsia="仿宋" w:cs="宋体"/>
                <w:color w:val="auto"/>
                <w:sz w:val="24"/>
                <w:szCs w:val="24"/>
                <w:lang w:val="en-US" w:eastAsia="zh-CN" w:bidi="zh-TW"/>
              </w:rPr>
            </w:pPr>
            <w:r>
              <w:rPr>
                <w:rFonts w:hint="eastAsia" w:ascii="仿宋" w:eastAsia="仿宋"/>
                <w:color w:val="auto"/>
                <w:sz w:val="24"/>
                <w:szCs w:val="24"/>
                <w:lang w:val="en-US" w:eastAsia="zh-CN"/>
              </w:rPr>
              <w:t>3</w:t>
            </w:r>
          </w:p>
        </w:tc>
        <w:tc>
          <w:tcPr>
            <w:tcW w:w="2162" w:type="dxa"/>
            <w:gridSpan w:val="2"/>
            <w:tcBorders>
              <w:top w:val="single" w:color="auto" w:sz="4" w:space="0"/>
              <w:left w:val="single" w:color="auto" w:sz="4" w:space="0"/>
              <w:right w:val="single" w:color="auto" w:sz="4" w:space="0"/>
            </w:tcBorders>
            <w:vAlign w:val="center"/>
          </w:tcPr>
          <w:p w14:paraId="159F9136">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eastAsia="zh-CN"/>
              </w:rPr>
              <w:t>基本资质</w:t>
            </w:r>
          </w:p>
        </w:tc>
        <w:tc>
          <w:tcPr>
            <w:tcW w:w="7352" w:type="dxa"/>
            <w:gridSpan w:val="2"/>
            <w:tcBorders>
              <w:top w:val="single" w:color="auto" w:sz="4" w:space="0"/>
              <w:left w:val="single" w:color="auto" w:sz="4" w:space="0"/>
              <w:right w:val="single" w:color="auto" w:sz="4" w:space="0"/>
            </w:tcBorders>
            <w:vAlign w:val="center"/>
          </w:tcPr>
          <w:p w14:paraId="321B5F2F">
            <w:pPr>
              <w:pStyle w:val="47"/>
              <w:spacing w:after="0" w:line="240" w:lineRule="auto"/>
              <w:ind w:firstLine="0"/>
              <w:rPr>
                <w:rFonts w:ascii="仿宋" w:eastAsia="仿宋"/>
                <w:color w:val="auto"/>
                <w:sz w:val="24"/>
                <w:szCs w:val="24"/>
                <w:lang w:eastAsia="zh-CN"/>
              </w:rPr>
            </w:pPr>
            <w:r>
              <w:rPr>
                <w:rFonts w:hint="eastAsia" w:ascii="仿宋" w:eastAsia="仿宋"/>
                <w:color w:val="auto"/>
                <w:sz w:val="24"/>
                <w:szCs w:val="24"/>
                <w:lang w:eastAsia="zh-CN"/>
              </w:rPr>
              <w:t>符合参加政府采购活动应当具备的一般条件的承诺函。</w:t>
            </w:r>
          </w:p>
        </w:tc>
      </w:tr>
      <w:tr w14:paraId="7346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shd w:val="clear" w:color="auto" w:fill="auto"/>
            <w:vAlign w:val="center"/>
          </w:tcPr>
          <w:p w14:paraId="78597D3C">
            <w:pPr>
              <w:pStyle w:val="47"/>
              <w:spacing w:after="0" w:line="240" w:lineRule="auto"/>
              <w:ind w:firstLine="0" w:firstLineChars="0"/>
              <w:jc w:val="center"/>
              <w:rPr>
                <w:rFonts w:ascii="仿宋" w:hAnsi="Times New Roman" w:eastAsia="仿宋" w:cs="宋体"/>
                <w:color w:val="auto"/>
                <w:sz w:val="24"/>
                <w:szCs w:val="24"/>
                <w:lang w:val="en-US" w:eastAsia="zh-CN" w:bidi="zh-TW"/>
              </w:rPr>
            </w:pPr>
            <w:r>
              <w:rPr>
                <w:rFonts w:hint="eastAsia" w:ascii="仿宋" w:eastAsia="仿宋"/>
                <w:color w:val="auto"/>
                <w:sz w:val="24"/>
                <w:szCs w:val="24"/>
                <w:lang w:val="en-US" w:eastAsia="zh-CN"/>
              </w:rPr>
              <w:t>4</w:t>
            </w:r>
          </w:p>
        </w:tc>
        <w:tc>
          <w:tcPr>
            <w:tcW w:w="2162" w:type="dxa"/>
            <w:gridSpan w:val="2"/>
            <w:tcBorders>
              <w:top w:val="single" w:color="auto" w:sz="4" w:space="0"/>
              <w:left w:val="single" w:color="auto" w:sz="4" w:space="0"/>
              <w:right w:val="single" w:color="auto" w:sz="4" w:space="0"/>
            </w:tcBorders>
            <w:vAlign w:val="center"/>
          </w:tcPr>
          <w:p w14:paraId="1A0E162A">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lang w:eastAsia="zh-CN"/>
              </w:rPr>
              <w:t>基本资质</w:t>
            </w:r>
          </w:p>
        </w:tc>
        <w:tc>
          <w:tcPr>
            <w:tcW w:w="7352" w:type="dxa"/>
            <w:gridSpan w:val="2"/>
            <w:tcBorders>
              <w:top w:val="single" w:color="auto" w:sz="4" w:space="0"/>
              <w:left w:val="single" w:color="auto" w:sz="4" w:space="0"/>
              <w:right w:val="single" w:color="auto" w:sz="4" w:space="0"/>
            </w:tcBorders>
            <w:vAlign w:val="center"/>
          </w:tcPr>
          <w:p w14:paraId="2CA3E45C">
            <w:pPr>
              <w:pStyle w:val="47"/>
              <w:spacing w:after="0" w:line="240" w:lineRule="auto"/>
              <w:ind w:firstLine="0"/>
              <w:rPr>
                <w:rFonts w:ascii="仿宋" w:eastAsia="仿宋"/>
                <w:color w:val="auto"/>
                <w:sz w:val="24"/>
                <w:szCs w:val="24"/>
              </w:rPr>
            </w:pPr>
            <w:r>
              <w:rPr>
                <w:rFonts w:hint="eastAsia" w:ascii="仿宋" w:eastAsia="仿宋" w:cs="仿宋"/>
                <w:color w:val="auto"/>
                <w:sz w:val="24"/>
                <w:szCs w:val="24"/>
              </w:rPr>
              <w:t>法定代表人资格书或法定代表人授权委托书</w:t>
            </w:r>
            <w:r>
              <w:rPr>
                <w:rFonts w:hint="eastAsia" w:ascii="仿宋" w:eastAsia="仿宋" w:cs="仿宋"/>
                <w:color w:val="auto"/>
                <w:sz w:val="24"/>
                <w:szCs w:val="24"/>
                <w:lang w:eastAsia="zh-CN"/>
              </w:rPr>
              <w:t>。</w:t>
            </w:r>
          </w:p>
        </w:tc>
      </w:tr>
      <w:tr w14:paraId="1840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788" w:type="dxa"/>
            <w:tcBorders>
              <w:top w:val="single" w:color="auto" w:sz="4" w:space="0"/>
              <w:left w:val="single" w:color="auto" w:sz="4" w:space="0"/>
              <w:right w:val="single" w:color="auto" w:sz="4" w:space="0"/>
            </w:tcBorders>
            <w:shd w:val="clear" w:color="auto" w:fill="auto"/>
            <w:vAlign w:val="center"/>
          </w:tcPr>
          <w:p w14:paraId="40C57B91">
            <w:pPr>
              <w:pStyle w:val="47"/>
              <w:spacing w:after="0" w:line="240" w:lineRule="auto"/>
              <w:ind w:firstLine="0" w:firstLineChars="0"/>
              <w:jc w:val="center"/>
              <w:rPr>
                <w:rFonts w:ascii="仿宋" w:hAnsi="Times New Roman" w:eastAsia="仿宋" w:cs="宋体"/>
                <w:color w:val="auto"/>
                <w:sz w:val="24"/>
                <w:szCs w:val="24"/>
                <w:lang w:val="en-US" w:eastAsia="zh-CN" w:bidi="zh-TW"/>
              </w:rPr>
            </w:pPr>
            <w:r>
              <w:rPr>
                <w:rFonts w:hint="eastAsia" w:ascii="仿宋" w:eastAsia="仿宋"/>
                <w:color w:val="auto"/>
                <w:sz w:val="24"/>
                <w:szCs w:val="24"/>
                <w:lang w:val="en-US" w:eastAsia="zh-CN"/>
              </w:rPr>
              <w:t>5</w:t>
            </w:r>
          </w:p>
        </w:tc>
        <w:tc>
          <w:tcPr>
            <w:tcW w:w="2162" w:type="dxa"/>
            <w:gridSpan w:val="2"/>
            <w:tcBorders>
              <w:top w:val="single" w:color="auto" w:sz="4" w:space="0"/>
              <w:left w:val="single" w:color="auto" w:sz="4" w:space="0"/>
              <w:right w:val="single" w:color="auto" w:sz="4" w:space="0"/>
            </w:tcBorders>
            <w:vAlign w:val="center"/>
          </w:tcPr>
          <w:p w14:paraId="38102BA1">
            <w:pPr>
              <w:pStyle w:val="47"/>
              <w:spacing w:after="0" w:line="240" w:lineRule="auto"/>
              <w:ind w:firstLine="0"/>
              <w:jc w:val="center"/>
              <w:rPr>
                <w:rFonts w:ascii="仿宋" w:eastAsia="仿宋"/>
                <w:color w:val="auto"/>
                <w:sz w:val="24"/>
                <w:szCs w:val="24"/>
                <w:lang w:val="en-US" w:eastAsia="zh-CN"/>
              </w:rPr>
            </w:pPr>
            <w:r>
              <w:rPr>
                <w:rFonts w:hint="eastAsia" w:ascii="仿宋" w:eastAsia="仿宋"/>
                <w:color w:val="auto"/>
                <w:sz w:val="24"/>
                <w:szCs w:val="24"/>
              </w:rPr>
              <w:t>信用</w:t>
            </w:r>
            <w:r>
              <w:rPr>
                <w:rFonts w:hint="eastAsia" w:ascii="仿宋" w:eastAsia="仿宋"/>
                <w:color w:val="auto"/>
                <w:sz w:val="24"/>
                <w:szCs w:val="24"/>
                <w:lang w:eastAsia="zh-CN"/>
              </w:rPr>
              <w:t>记录</w:t>
            </w:r>
          </w:p>
        </w:tc>
        <w:tc>
          <w:tcPr>
            <w:tcW w:w="7352" w:type="dxa"/>
            <w:gridSpan w:val="2"/>
            <w:tcBorders>
              <w:top w:val="single" w:color="auto" w:sz="4" w:space="0"/>
              <w:left w:val="single" w:color="auto" w:sz="4" w:space="0"/>
              <w:right w:val="single" w:color="auto" w:sz="4" w:space="0"/>
            </w:tcBorders>
            <w:vAlign w:val="center"/>
          </w:tcPr>
          <w:p w14:paraId="4E757362">
            <w:pPr>
              <w:pStyle w:val="47"/>
              <w:spacing w:after="0" w:line="240" w:lineRule="auto"/>
              <w:ind w:firstLine="0"/>
              <w:rPr>
                <w:rFonts w:ascii="仿宋" w:eastAsia="仿宋"/>
                <w:color w:val="auto"/>
                <w:sz w:val="24"/>
                <w:szCs w:val="24"/>
              </w:rPr>
            </w:pPr>
            <w:r>
              <w:rPr>
                <w:rFonts w:hint="eastAsia" w:ascii="仿宋" w:hAnsi="仿宋" w:eastAsia="仿宋"/>
                <w:color w:val="auto"/>
                <w:sz w:val="24"/>
                <w:szCs w:val="24"/>
                <w:lang w:eastAsia="zh-CN"/>
              </w:rPr>
              <w:t>未被“信用中国”、“中国政府采购网”列入失信被执行人、重大税收违法案件当事人名单、政府采购严重违法失信行为记录名单或尚在行政处罚期内的。</w:t>
            </w:r>
          </w:p>
        </w:tc>
      </w:tr>
      <w:tr w14:paraId="6EA9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8" w:type="dxa"/>
            <w:tcBorders>
              <w:top w:val="single" w:color="auto" w:sz="4" w:space="0"/>
              <w:left w:val="single" w:color="auto" w:sz="4" w:space="0"/>
              <w:right w:val="single" w:color="auto" w:sz="4" w:space="0"/>
            </w:tcBorders>
            <w:vAlign w:val="center"/>
          </w:tcPr>
          <w:p w14:paraId="36395D00">
            <w:pPr>
              <w:pStyle w:val="47"/>
              <w:spacing w:after="0" w:line="240" w:lineRule="auto"/>
              <w:ind w:firstLine="0"/>
              <w:jc w:val="center"/>
              <w:rPr>
                <w:rFonts w:hint="default" w:ascii="仿宋" w:eastAsia="仿宋"/>
                <w:color w:val="auto"/>
                <w:sz w:val="24"/>
                <w:szCs w:val="24"/>
                <w:lang w:val="en-US" w:eastAsia="zh-CN"/>
              </w:rPr>
            </w:pPr>
            <w:r>
              <w:rPr>
                <w:rFonts w:hint="eastAsia" w:ascii="仿宋" w:eastAsia="仿宋"/>
                <w:color w:val="auto"/>
                <w:sz w:val="24"/>
                <w:szCs w:val="24"/>
                <w:lang w:val="en-US" w:eastAsia="zh-CN"/>
              </w:rPr>
              <w:t>6</w:t>
            </w:r>
          </w:p>
        </w:tc>
        <w:tc>
          <w:tcPr>
            <w:tcW w:w="2162" w:type="dxa"/>
            <w:gridSpan w:val="2"/>
            <w:tcBorders>
              <w:top w:val="single" w:color="auto" w:sz="4" w:space="0"/>
              <w:left w:val="single" w:color="auto" w:sz="4" w:space="0"/>
              <w:right w:val="single" w:color="auto" w:sz="4" w:space="0"/>
            </w:tcBorders>
            <w:vAlign w:val="center"/>
          </w:tcPr>
          <w:p w14:paraId="50C44ACE">
            <w:pPr>
              <w:autoSpaceDE/>
              <w:autoSpaceDN/>
              <w:adjustRightInd/>
              <w:jc w:val="center"/>
              <w:rPr>
                <w:rFonts w:ascii="仿宋" w:eastAsia="仿宋"/>
                <w:bCs/>
                <w:color w:val="auto"/>
                <w:sz w:val="24"/>
                <w:szCs w:val="24"/>
                <w:lang w:val="zh-TW"/>
              </w:rPr>
            </w:pPr>
            <w:r>
              <w:rPr>
                <w:rFonts w:ascii="仿宋" w:eastAsia="仿宋"/>
                <w:bCs/>
                <w:color w:val="auto"/>
                <w:sz w:val="24"/>
                <w:szCs w:val="24"/>
              </w:rPr>
              <w:t>其他要求</w:t>
            </w:r>
          </w:p>
        </w:tc>
        <w:tc>
          <w:tcPr>
            <w:tcW w:w="7352" w:type="dxa"/>
            <w:gridSpan w:val="2"/>
            <w:tcBorders>
              <w:top w:val="single" w:color="auto" w:sz="4" w:space="0"/>
              <w:left w:val="single" w:color="auto" w:sz="4" w:space="0"/>
              <w:right w:val="single" w:color="auto" w:sz="4" w:space="0"/>
            </w:tcBorders>
            <w:vAlign w:val="center"/>
          </w:tcPr>
          <w:p w14:paraId="5BA53A7E">
            <w:pPr>
              <w:jc w:val="left"/>
              <w:rPr>
                <w:rFonts w:ascii="仿宋" w:eastAsia="仿宋" w:cs="仿宋"/>
                <w:b/>
                <w:bCs/>
                <w:color w:val="auto"/>
                <w:sz w:val="24"/>
                <w:szCs w:val="24"/>
                <w:lang w:val="zh-TW"/>
              </w:rPr>
            </w:pPr>
            <w:r>
              <w:rPr>
                <w:rFonts w:ascii="仿宋" w:eastAsia="仿宋"/>
                <w:bCs/>
                <w:color w:val="auto"/>
                <w:sz w:val="24"/>
                <w:szCs w:val="24"/>
              </w:rPr>
              <w:t>符合招标文件中规定的资格要求。</w:t>
            </w:r>
          </w:p>
        </w:tc>
      </w:tr>
      <w:tr w14:paraId="0580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5A6D016E">
            <w:pPr>
              <w:jc w:val="left"/>
              <w:rPr>
                <w:rFonts w:ascii="仿宋" w:eastAsia="仿宋" w:cs="仿宋"/>
                <w:b/>
                <w:bCs/>
                <w:color w:val="auto"/>
                <w:sz w:val="24"/>
                <w:szCs w:val="24"/>
              </w:rPr>
            </w:pPr>
            <w:r>
              <w:rPr>
                <w:rFonts w:ascii="仿宋" w:eastAsia="仿宋"/>
                <w:b/>
                <w:color w:val="auto"/>
                <w:sz w:val="24"/>
                <w:szCs w:val="24"/>
              </w:rPr>
              <w:t>（二）符合性评审</w:t>
            </w:r>
          </w:p>
        </w:tc>
      </w:tr>
      <w:tr w14:paraId="13AF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28A50E03">
            <w:pPr>
              <w:autoSpaceDE/>
              <w:autoSpaceDN/>
              <w:adjustRightInd/>
              <w:jc w:val="center"/>
              <w:rPr>
                <w:rFonts w:ascii="仿宋" w:eastAsia="仿宋"/>
                <w:b/>
                <w:bCs/>
                <w:color w:val="auto"/>
                <w:sz w:val="24"/>
                <w:szCs w:val="24"/>
              </w:rPr>
            </w:pPr>
            <w:r>
              <w:rPr>
                <w:rFonts w:ascii="仿宋" w:eastAsia="仿宋"/>
                <w:b/>
                <w:bCs/>
                <w:color w:val="auto"/>
                <w:sz w:val="24"/>
                <w:szCs w:val="24"/>
              </w:rPr>
              <w:t>序号</w:t>
            </w:r>
          </w:p>
        </w:tc>
        <w:tc>
          <w:tcPr>
            <w:tcW w:w="2162" w:type="dxa"/>
            <w:gridSpan w:val="2"/>
            <w:tcBorders>
              <w:top w:val="single" w:color="auto" w:sz="4" w:space="0"/>
              <w:left w:val="single" w:color="auto" w:sz="4" w:space="0"/>
              <w:right w:val="single" w:color="auto" w:sz="4" w:space="0"/>
            </w:tcBorders>
            <w:vAlign w:val="center"/>
          </w:tcPr>
          <w:p w14:paraId="4E0DF1DD">
            <w:pPr>
              <w:autoSpaceDE/>
              <w:autoSpaceDN/>
              <w:adjustRightInd/>
              <w:jc w:val="center"/>
              <w:rPr>
                <w:rFonts w:ascii="仿宋" w:eastAsia="仿宋"/>
                <w:bCs/>
                <w:color w:val="auto"/>
                <w:sz w:val="24"/>
                <w:szCs w:val="24"/>
              </w:rPr>
            </w:pPr>
            <w:r>
              <w:rPr>
                <w:rFonts w:ascii="仿宋" w:eastAsia="仿宋"/>
                <w:b/>
                <w:bCs/>
                <w:color w:val="auto"/>
                <w:sz w:val="24"/>
                <w:szCs w:val="24"/>
              </w:rPr>
              <w:t>评审因素</w:t>
            </w:r>
          </w:p>
        </w:tc>
        <w:tc>
          <w:tcPr>
            <w:tcW w:w="7352" w:type="dxa"/>
            <w:gridSpan w:val="2"/>
            <w:tcBorders>
              <w:top w:val="single" w:color="auto" w:sz="4" w:space="0"/>
              <w:left w:val="single" w:color="auto" w:sz="4" w:space="0"/>
              <w:right w:val="single" w:color="auto" w:sz="4" w:space="0"/>
            </w:tcBorders>
            <w:vAlign w:val="center"/>
          </w:tcPr>
          <w:p w14:paraId="59C7BA53">
            <w:pPr>
              <w:jc w:val="center"/>
              <w:rPr>
                <w:rFonts w:ascii="仿宋" w:eastAsia="仿宋" w:cs="仿宋"/>
                <w:b/>
                <w:bCs/>
                <w:color w:val="auto"/>
                <w:sz w:val="24"/>
                <w:szCs w:val="24"/>
              </w:rPr>
            </w:pPr>
            <w:r>
              <w:rPr>
                <w:rFonts w:ascii="仿宋" w:eastAsia="仿宋"/>
                <w:b/>
                <w:color w:val="auto"/>
                <w:sz w:val="24"/>
                <w:szCs w:val="24"/>
              </w:rPr>
              <w:t>评审标准</w:t>
            </w:r>
          </w:p>
        </w:tc>
      </w:tr>
      <w:tr w14:paraId="7C0C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4EEA6E05">
            <w:pPr>
              <w:autoSpaceDE/>
              <w:autoSpaceDN/>
              <w:adjustRightInd/>
              <w:jc w:val="center"/>
              <w:rPr>
                <w:rFonts w:ascii="仿宋" w:eastAsia="仿宋"/>
                <w:bCs/>
                <w:color w:val="auto"/>
                <w:sz w:val="24"/>
                <w:szCs w:val="24"/>
              </w:rPr>
            </w:pPr>
            <w:r>
              <w:rPr>
                <w:rFonts w:hint="eastAsia" w:ascii="仿宋" w:eastAsia="仿宋"/>
                <w:bCs/>
                <w:color w:val="auto"/>
                <w:sz w:val="24"/>
                <w:szCs w:val="24"/>
              </w:rPr>
              <w:t>1</w:t>
            </w:r>
          </w:p>
        </w:tc>
        <w:tc>
          <w:tcPr>
            <w:tcW w:w="2162" w:type="dxa"/>
            <w:gridSpan w:val="2"/>
            <w:tcBorders>
              <w:top w:val="single" w:color="auto" w:sz="4" w:space="0"/>
              <w:left w:val="single" w:color="auto" w:sz="4" w:space="0"/>
              <w:right w:val="single" w:color="auto" w:sz="4" w:space="0"/>
            </w:tcBorders>
            <w:vAlign w:val="center"/>
          </w:tcPr>
          <w:p w14:paraId="7EE7315C">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投标人名称</w:t>
            </w:r>
          </w:p>
        </w:tc>
        <w:tc>
          <w:tcPr>
            <w:tcW w:w="7352" w:type="dxa"/>
            <w:gridSpan w:val="2"/>
            <w:tcBorders>
              <w:top w:val="single" w:color="auto" w:sz="4" w:space="0"/>
              <w:left w:val="single" w:color="auto" w:sz="4" w:space="0"/>
              <w:right w:val="single" w:color="auto" w:sz="4" w:space="0"/>
            </w:tcBorders>
            <w:vAlign w:val="center"/>
          </w:tcPr>
          <w:p w14:paraId="3B60B141">
            <w:pPr>
              <w:jc w:val="left"/>
              <w:rPr>
                <w:rFonts w:ascii="仿宋" w:eastAsia="仿宋" w:cs="仿宋"/>
                <w:b/>
                <w:bCs/>
                <w:color w:val="auto"/>
                <w:sz w:val="24"/>
                <w:szCs w:val="24"/>
              </w:rPr>
            </w:pPr>
            <w:r>
              <w:rPr>
                <w:rFonts w:ascii="仿宋" w:eastAsia="仿宋"/>
                <w:color w:val="auto"/>
                <w:sz w:val="24"/>
                <w:szCs w:val="24"/>
              </w:rPr>
              <w:t>与有效的营业执照一致</w:t>
            </w:r>
          </w:p>
        </w:tc>
      </w:tr>
      <w:tr w14:paraId="0C0F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4DA10612">
            <w:pPr>
              <w:autoSpaceDE/>
              <w:autoSpaceDN/>
              <w:adjustRightInd/>
              <w:jc w:val="center"/>
              <w:rPr>
                <w:rFonts w:ascii="仿宋" w:eastAsia="仿宋"/>
                <w:bCs/>
                <w:color w:val="auto"/>
                <w:sz w:val="24"/>
                <w:szCs w:val="24"/>
              </w:rPr>
            </w:pPr>
            <w:r>
              <w:rPr>
                <w:rFonts w:hint="eastAsia" w:ascii="仿宋" w:eastAsia="仿宋"/>
                <w:bCs/>
                <w:color w:val="auto"/>
                <w:sz w:val="24"/>
                <w:szCs w:val="24"/>
              </w:rPr>
              <w:t>2</w:t>
            </w:r>
          </w:p>
        </w:tc>
        <w:tc>
          <w:tcPr>
            <w:tcW w:w="2162" w:type="dxa"/>
            <w:gridSpan w:val="2"/>
            <w:tcBorders>
              <w:top w:val="single" w:color="auto" w:sz="4" w:space="0"/>
              <w:left w:val="single" w:color="auto" w:sz="4" w:space="0"/>
              <w:right w:val="single" w:color="auto" w:sz="4" w:space="0"/>
            </w:tcBorders>
            <w:vAlign w:val="center"/>
          </w:tcPr>
          <w:p w14:paraId="2C8D98DF">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投标文件签字盖章</w:t>
            </w:r>
          </w:p>
        </w:tc>
        <w:tc>
          <w:tcPr>
            <w:tcW w:w="7352" w:type="dxa"/>
            <w:gridSpan w:val="2"/>
            <w:tcBorders>
              <w:top w:val="single" w:color="auto" w:sz="4" w:space="0"/>
              <w:left w:val="single" w:color="auto" w:sz="4" w:space="0"/>
              <w:right w:val="single" w:color="auto" w:sz="4" w:space="0"/>
            </w:tcBorders>
            <w:vAlign w:val="center"/>
          </w:tcPr>
          <w:p w14:paraId="311A15DE">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15BF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326E0764">
            <w:pPr>
              <w:autoSpaceDE/>
              <w:autoSpaceDN/>
              <w:adjustRightInd/>
              <w:jc w:val="center"/>
              <w:rPr>
                <w:rFonts w:ascii="仿宋" w:eastAsia="仿宋"/>
                <w:bCs/>
                <w:color w:val="auto"/>
                <w:sz w:val="24"/>
                <w:szCs w:val="24"/>
              </w:rPr>
            </w:pPr>
            <w:r>
              <w:rPr>
                <w:rFonts w:hint="eastAsia" w:ascii="仿宋" w:eastAsia="仿宋"/>
                <w:bCs/>
                <w:color w:val="auto"/>
                <w:sz w:val="24"/>
                <w:szCs w:val="24"/>
              </w:rPr>
              <w:t>3</w:t>
            </w:r>
          </w:p>
        </w:tc>
        <w:tc>
          <w:tcPr>
            <w:tcW w:w="2162" w:type="dxa"/>
            <w:gridSpan w:val="2"/>
            <w:tcBorders>
              <w:top w:val="single" w:color="auto" w:sz="4" w:space="0"/>
              <w:left w:val="single" w:color="auto" w:sz="4" w:space="0"/>
              <w:right w:val="single" w:color="auto" w:sz="4" w:space="0"/>
            </w:tcBorders>
            <w:vAlign w:val="center"/>
          </w:tcPr>
          <w:p w14:paraId="3AF578B6">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投标文件格式</w:t>
            </w:r>
          </w:p>
        </w:tc>
        <w:tc>
          <w:tcPr>
            <w:tcW w:w="7352" w:type="dxa"/>
            <w:gridSpan w:val="2"/>
            <w:tcBorders>
              <w:top w:val="single" w:color="auto" w:sz="4" w:space="0"/>
              <w:left w:val="single" w:color="auto" w:sz="4" w:space="0"/>
              <w:right w:val="single" w:color="auto" w:sz="4" w:space="0"/>
            </w:tcBorders>
            <w:vAlign w:val="center"/>
          </w:tcPr>
          <w:p w14:paraId="2C183376">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67ED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5FE526CC">
            <w:pPr>
              <w:autoSpaceDE/>
              <w:autoSpaceDN/>
              <w:adjustRightInd/>
              <w:jc w:val="center"/>
              <w:rPr>
                <w:rFonts w:ascii="仿宋" w:eastAsia="仿宋"/>
                <w:bCs/>
                <w:color w:val="auto"/>
                <w:sz w:val="24"/>
                <w:szCs w:val="24"/>
              </w:rPr>
            </w:pPr>
            <w:r>
              <w:rPr>
                <w:rFonts w:hint="eastAsia" w:ascii="仿宋" w:eastAsia="仿宋"/>
                <w:bCs/>
                <w:color w:val="auto"/>
                <w:sz w:val="24"/>
                <w:szCs w:val="24"/>
              </w:rPr>
              <w:t>4</w:t>
            </w:r>
          </w:p>
        </w:tc>
        <w:tc>
          <w:tcPr>
            <w:tcW w:w="2162" w:type="dxa"/>
            <w:gridSpan w:val="2"/>
            <w:tcBorders>
              <w:top w:val="single" w:color="auto" w:sz="4" w:space="0"/>
              <w:left w:val="single" w:color="auto" w:sz="4" w:space="0"/>
              <w:right w:val="single" w:color="auto" w:sz="4" w:space="0"/>
            </w:tcBorders>
            <w:vAlign w:val="center"/>
          </w:tcPr>
          <w:p w14:paraId="26AB9F47">
            <w:pPr>
              <w:autoSpaceDE/>
              <w:autoSpaceDN/>
              <w:adjustRightInd/>
              <w:jc w:val="center"/>
              <w:rPr>
                <w:rFonts w:hint="eastAsia" w:ascii="仿宋" w:hAnsi="仿宋" w:eastAsia="仿宋"/>
                <w:color w:val="auto"/>
                <w:sz w:val="24"/>
                <w:szCs w:val="24"/>
              </w:rPr>
            </w:pPr>
            <w:r>
              <w:rPr>
                <w:rFonts w:hint="eastAsia" w:ascii="仿宋" w:hAnsi="仿宋" w:eastAsia="仿宋"/>
                <w:color w:val="auto"/>
                <w:sz w:val="24"/>
                <w:szCs w:val="24"/>
              </w:rPr>
              <w:t>投标内容</w:t>
            </w:r>
          </w:p>
        </w:tc>
        <w:tc>
          <w:tcPr>
            <w:tcW w:w="7352" w:type="dxa"/>
            <w:gridSpan w:val="2"/>
            <w:tcBorders>
              <w:top w:val="single" w:color="auto" w:sz="4" w:space="0"/>
              <w:left w:val="single" w:color="auto" w:sz="4" w:space="0"/>
              <w:right w:val="single" w:color="auto" w:sz="4" w:space="0"/>
            </w:tcBorders>
            <w:vAlign w:val="center"/>
          </w:tcPr>
          <w:p w14:paraId="56997DC5">
            <w:pPr>
              <w:jc w:val="left"/>
              <w:rPr>
                <w:rFonts w:ascii="仿宋" w:eastAsia="仿宋"/>
                <w:color w:val="auto"/>
                <w:sz w:val="24"/>
                <w:szCs w:val="24"/>
              </w:rPr>
            </w:pPr>
            <w:r>
              <w:rPr>
                <w:rFonts w:ascii="仿宋" w:eastAsia="仿宋"/>
                <w:color w:val="auto"/>
                <w:sz w:val="24"/>
                <w:szCs w:val="24"/>
              </w:rPr>
              <w:t>符合招标采购文件要求</w:t>
            </w:r>
          </w:p>
        </w:tc>
      </w:tr>
      <w:tr w14:paraId="4C1A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88" w:type="dxa"/>
            <w:tcBorders>
              <w:top w:val="single" w:color="auto" w:sz="4" w:space="0"/>
              <w:left w:val="single" w:color="auto" w:sz="4" w:space="0"/>
              <w:right w:val="single" w:color="auto" w:sz="4" w:space="0"/>
            </w:tcBorders>
            <w:vAlign w:val="center"/>
          </w:tcPr>
          <w:p w14:paraId="39C48E62">
            <w:pPr>
              <w:autoSpaceDE/>
              <w:autoSpaceDN/>
              <w:adjustRightInd/>
              <w:jc w:val="center"/>
              <w:rPr>
                <w:rFonts w:ascii="仿宋" w:eastAsia="仿宋"/>
                <w:bCs/>
                <w:color w:val="auto"/>
                <w:sz w:val="24"/>
                <w:szCs w:val="24"/>
              </w:rPr>
            </w:pPr>
            <w:r>
              <w:rPr>
                <w:rFonts w:hint="eastAsia" w:ascii="仿宋" w:eastAsia="仿宋"/>
                <w:bCs/>
                <w:color w:val="auto"/>
                <w:sz w:val="24"/>
                <w:szCs w:val="24"/>
              </w:rPr>
              <w:t>5</w:t>
            </w:r>
          </w:p>
        </w:tc>
        <w:tc>
          <w:tcPr>
            <w:tcW w:w="2162" w:type="dxa"/>
            <w:gridSpan w:val="2"/>
            <w:tcBorders>
              <w:top w:val="single" w:color="auto" w:sz="4" w:space="0"/>
              <w:left w:val="single" w:color="auto" w:sz="4" w:space="0"/>
              <w:right w:val="single" w:color="auto" w:sz="4" w:space="0"/>
            </w:tcBorders>
            <w:vAlign w:val="center"/>
          </w:tcPr>
          <w:p w14:paraId="6011583D">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投标有效期</w:t>
            </w:r>
          </w:p>
        </w:tc>
        <w:tc>
          <w:tcPr>
            <w:tcW w:w="7352" w:type="dxa"/>
            <w:gridSpan w:val="2"/>
            <w:tcBorders>
              <w:top w:val="single" w:color="auto" w:sz="4" w:space="0"/>
              <w:left w:val="single" w:color="auto" w:sz="4" w:space="0"/>
              <w:right w:val="single" w:color="auto" w:sz="4" w:space="0"/>
            </w:tcBorders>
            <w:vAlign w:val="center"/>
          </w:tcPr>
          <w:p w14:paraId="49720A32">
            <w:pPr>
              <w:jc w:val="left"/>
              <w:rPr>
                <w:rFonts w:ascii="仿宋" w:eastAsia="仿宋"/>
                <w:color w:val="auto"/>
                <w:sz w:val="24"/>
                <w:szCs w:val="24"/>
              </w:rPr>
            </w:pPr>
            <w:r>
              <w:rPr>
                <w:rFonts w:ascii="仿宋" w:eastAsia="仿宋"/>
                <w:color w:val="auto"/>
                <w:sz w:val="24"/>
                <w:szCs w:val="24"/>
              </w:rPr>
              <w:t>符合招标采购文件要求</w:t>
            </w:r>
          </w:p>
        </w:tc>
      </w:tr>
      <w:tr w14:paraId="42A5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63F1AA2C">
            <w:pPr>
              <w:autoSpaceDE/>
              <w:autoSpaceDN/>
              <w:adjustRightInd/>
              <w:jc w:val="center"/>
              <w:rPr>
                <w:rFonts w:ascii="仿宋" w:eastAsia="仿宋"/>
                <w:bCs/>
                <w:color w:val="auto"/>
                <w:sz w:val="24"/>
                <w:szCs w:val="24"/>
              </w:rPr>
            </w:pPr>
            <w:r>
              <w:rPr>
                <w:rFonts w:hint="eastAsia" w:ascii="仿宋" w:eastAsia="仿宋"/>
                <w:bCs/>
                <w:color w:val="auto"/>
                <w:sz w:val="24"/>
                <w:szCs w:val="24"/>
              </w:rPr>
              <w:t>6</w:t>
            </w:r>
          </w:p>
        </w:tc>
        <w:tc>
          <w:tcPr>
            <w:tcW w:w="2162" w:type="dxa"/>
            <w:gridSpan w:val="2"/>
            <w:tcBorders>
              <w:top w:val="single" w:color="auto" w:sz="4" w:space="0"/>
              <w:left w:val="single" w:color="auto" w:sz="4" w:space="0"/>
              <w:right w:val="single" w:color="auto" w:sz="4" w:space="0"/>
            </w:tcBorders>
            <w:vAlign w:val="center"/>
          </w:tcPr>
          <w:p w14:paraId="3E78F243">
            <w:pPr>
              <w:autoSpaceDE/>
              <w:autoSpaceDN/>
              <w:adjustRightInd/>
              <w:jc w:val="center"/>
              <w:rPr>
                <w:rFonts w:hint="eastAsia" w:ascii="仿宋" w:hAnsi="仿宋" w:eastAsia="仿宋"/>
                <w:color w:val="auto"/>
                <w:sz w:val="24"/>
                <w:szCs w:val="24"/>
              </w:rPr>
            </w:pPr>
            <w:r>
              <w:rPr>
                <w:rFonts w:ascii="仿宋" w:hAnsi="仿宋" w:eastAsia="仿宋"/>
                <w:color w:val="auto"/>
                <w:sz w:val="24"/>
                <w:szCs w:val="24"/>
              </w:rPr>
              <w:t>投标</w:t>
            </w:r>
            <w:r>
              <w:rPr>
                <w:rFonts w:hint="eastAsia" w:ascii="仿宋" w:hAnsi="仿宋" w:eastAsia="仿宋"/>
                <w:color w:val="auto"/>
                <w:sz w:val="24"/>
                <w:szCs w:val="24"/>
              </w:rPr>
              <w:t>报价</w:t>
            </w:r>
          </w:p>
        </w:tc>
        <w:tc>
          <w:tcPr>
            <w:tcW w:w="7352" w:type="dxa"/>
            <w:gridSpan w:val="2"/>
            <w:tcBorders>
              <w:top w:val="single" w:color="auto" w:sz="4" w:space="0"/>
              <w:left w:val="single" w:color="auto" w:sz="4" w:space="0"/>
              <w:right w:val="single" w:color="auto" w:sz="4" w:space="0"/>
            </w:tcBorders>
            <w:vAlign w:val="center"/>
          </w:tcPr>
          <w:p w14:paraId="69A8A9FF">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2E05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23E8D8C7">
            <w:pPr>
              <w:autoSpaceDE/>
              <w:autoSpaceDN/>
              <w:adjustRightInd/>
              <w:jc w:val="center"/>
              <w:rPr>
                <w:rFonts w:ascii="仿宋" w:eastAsia="仿宋"/>
                <w:bCs/>
                <w:color w:val="auto"/>
                <w:sz w:val="24"/>
                <w:szCs w:val="24"/>
              </w:rPr>
            </w:pPr>
            <w:r>
              <w:rPr>
                <w:rFonts w:hint="eastAsia" w:ascii="仿宋" w:eastAsia="仿宋"/>
                <w:bCs/>
                <w:color w:val="auto"/>
                <w:sz w:val="24"/>
                <w:szCs w:val="24"/>
              </w:rPr>
              <w:t>7</w:t>
            </w:r>
          </w:p>
        </w:tc>
        <w:tc>
          <w:tcPr>
            <w:tcW w:w="2162" w:type="dxa"/>
            <w:gridSpan w:val="2"/>
            <w:tcBorders>
              <w:top w:val="single" w:color="auto" w:sz="4" w:space="0"/>
              <w:left w:val="single" w:color="auto" w:sz="4" w:space="0"/>
              <w:right w:val="single" w:color="auto" w:sz="4" w:space="0"/>
            </w:tcBorders>
            <w:vAlign w:val="center"/>
          </w:tcPr>
          <w:p w14:paraId="09FA2012">
            <w:pPr>
              <w:autoSpaceDE/>
              <w:autoSpaceDN/>
              <w:adjustRightInd/>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工期</w:t>
            </w:r>
          </w:p>
        </w:tc>
        <w:tc>
          <w:tcPr>
            <w:tcW w:w="7352" w:type="dxa"/>
            <w:gridSpan w:val="2"/>
            <w:tcBorders>
              <w:top w:val="single" w:color="auto" w:sz="4" w:space="0"/>
              <w:left w:val="single" w:color="auto" w:sz="4" w:space="0"/>
              <w:right w:val="single" w:color="auto" w:sz="4" w:space="0"/>
            </w:tcBorders>
            <w:vAlign w:val="center"/>
          </w:tcPr>
          <w:p w14:paraId="7DA2F88F">
            <w:pPr>
              <w:jc w:val="left"/>
              <w:rPr>
                <w:rFonts w:ascii="仿宋" w:eastAsia="仿宋"/>
                <w:color w:val="auto"/>
                <w:sz w:val="24"/>
                <w:szCs w:val="24"/>
              </w:rPr>
            </w:pPr>
            <w:r>
              <w:rPr>
                <w:rFonts w:ascii="仿宋" w:eastAsia="仿宋"/>
                <w:color w:val="auto"/>
                <w:sz w:val="24"/>
                <w:szCs w:val="24"/>
              </w:rPr>
              <w:t>符合招标采购文件要求</w:t>
            </w:r>
          </w:p>
        </w:tc>
      </w:tr>
      <w:tr w14:paraId="279B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8" w:type="dxa"/>
            <w:tcBorders>
              <w:top w:val="single" w:color="auto" w:sz="4" w:space="0"/>
              <w:left w:val="single" w:color="auto" w:sz="4" w:space="0"/>
              <w:right w:val="single" w:color="auto" w:sz="4" w:space="0"/>
            </w:tcBorders>
            <w:vAlign w:val="center"/>
          </w:tcPr>
          <w:p w14:paraId="2E79F74C">
            <w:pPr>
              <w:autoSpaceDE/>
              <w:autoSpaceDN/>
              <w:adjustRightInd/>
              <w:jc w:val="center"/>
              <w:rPr>
                <w:rFonts w:ascii="仿宋" w:eastAsia="仿宋"/>
                <w:bCs/>
                <w:color w:val="auto"/>
                <w:sz w:val="24"/>
                <w:szCs w:val="24"/>
              </w:rPr>
            </w:pPr>
            <w:r>
              <w:rPr>
                <w:rFonts w:hint="eastAsia" w:ascii="仿宋" w:eastAsia="仿宋"/>
                <w:bCs/>
                <w:color w:val="auto"/>
                <w:sz w:val="24"/>
                <w:szCs w:val="24"/>
              </w:rPr>
              <w:t>8</w:t>
            </w:r>
          </w:p>
        </w:tc>
        <w:tc>
          <w:tcPr>
            <w:tcW w:w="2162" w:type="dxa"/>
            <w:gridSpan w:val="2"/>
            <w:tcBorders>
              <w:top w:val="single" w:color="auto" w:sz="4" w:space="0"/>
              <w:left w:val="single" w:color="auto" w:sz="4" w:space="0"/>
              <w:right w:val="single" w:color="auto" w:sz="4" w:space="0"/>
            </w:tcBorders>
            <w:vAlign w:val="center"/>
          </w:tcPr>
          <w:p w14:paraId="00DD6293">
            <w:pPr>
              <w:autoSpaceDE/>
              <w:autoSpaceDN/>
              <w:adjustRightInd/>
              <w:jc w:val="center"/>
              <w:rPr>
                <w:rFonts w:hint="eastAsia" w:ascii="仿宋" w:hAnsi="仿宋" w:eastAsia="仿宋"/>
                <w:color w:val="auto"/>
                <w:sz w:val="24"/>
                <w:szCs w:val="24"/>
              </w:rPr>
            </w:pPr>
            <w:r>
              <w:rPr>
                <w:rFonts w:hint="eastAsia" w:ascii="仿宋" w:hAnsi="仿宋" w:eastAsia="仿宋" w:cs="仿宋"/>
                <w:sz w:val="24"/>
                <w:szCs w:val="24"/>
              </w:rPr>
              <w:t>质保期</w:t>
            </w:r>
          </w:p>
        </w:tc>
        <w:tc>
          <w:tcPr>
            <w:tcW w:w="7352" w:type="dxa"/>
            <w:gridSpan w:val="2"/>
            <w:tcBorders>
              <w:top w:val="single" w:color="auto" w:sz="4" w:space="0"/>
              <w:left w:val="single" w:color="auto" w:sz="4" w:space="0"/>
              <w:right w:val="single" w:color="auto" w:sz="4" w:space="0"/>
            </w:tcBorders>
            <w:vAlign w:val="center"/>
          </w:tcPr>
          <w:p w14:paraId="24844BAF">
            <w:pPr>
              <w:jc w:val="left"/>
              <w:rPr>
                <w:rFonts w:ascii="仿宋" w:eastAsia="仿宋" w:cs="仿宋"/>
                <w:b/>
                <w:bCs/>
                <w:color w:val="auto"/>
                <w:sz w:val="24"/>
                <w:szCs w:val="24"/>
              </w:rPr>
            </w:pPr>
            <w:r>
              <w:rPr>
                <w:rFonts w:ascii="仿宋" w:eastAsia="仿宋"/>
                <w:color w:val="auto"/>
                <w:sz w:val="24"/>
                <w:szCs w:val="24"/>
              </w:rPr>
              <w:t>符合招标采购文件要求</w:t>
            </w:r>
          </w:p>
        </w:tc>
      </w:tr>
      <w:tr w14:paraId="47BE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302" w:type="dxa"/>
            <w:gridSpan w:val="5"/>
            <w:tcBorders>
              <w:top w:val="single" w:color="auto" w:sz="4" w:space="0"/>
              <w:left w:val="single" w:color="auto" w:sz="4" w:space="0"/>
              <w:right w:val="single" w:color="auto" w:sz="4" w:space="0"/>
            </w:tcBorders>
            <w:vAlign w:val="center"/>
          </w:tcPr>
          <w:p w14:paraId="1CB836B4">
            <w:pPr>
              <w:autoSpaceDE/>
              <w:autoSpaceDN/>
              <w:adjustRightInd/>
              <w:spacing w:before="156" w:beforeLines="50" w:after="156" w:afterLines="50"/>
              <w:rPr>
                <w:rFonts w:ascii="仿宋" w:eastAsia="仿宋"/>
                <w:b/>
                <w:color w:val="auto"/>
                <w:sz w:val="24"/>
                <w:szCs w:val="24"/>
              </w:rPr>
            </w:pPr>
            <w:r>
              <w:rPr>
                <w:rFonts w:ascii="仿宋" w:eastAsia="仿宋"/>
                <w:b/>
                <w:color w:val="auto"/>
                <w:sz w:val="24"/>
                <w:szCs w:val="24"/>
              </w:rPr>
              <w:t>（三）商务技术分（</w:t>
            </w:r>
            <w:r>
              <w:rPr>
                <w:rFonts w:hint="eastAsia" w:ascii="仿宋" w:eastAsia="仿宋"/>
                <w:b/>
                <w:color w:val="auto"/>
                <w:sz w:val="24"/>
                <w:szCs w:val="24"/>
              </w:rPr>
              <w:t>70分</w:t>
            </w:r>
            <w:r>
              <w:rPr>
                <w:rFonts w:ascii="仿宋" w:eastAsia="仿宋"/>
                <w:b/>
                <w:color w:val="auto"/>
                <w:sz w:val="24"/>
                <w:szCs w:val="24"/>
              </w:rPr>
              <w:t>）</w:t>
            </w:r>
          </w:p>
          <w:p w14:paraId="17A021AE">
            <w:pPr>
              <w:outlineLvl w:val="0"/>
              <w:rPr>
                <w:rFonts w:ascii="仿宋" w:eastAsia="仿宋"/>
                <w:color w:val="auto"/>
                <w:sz w:val="24"/>
                <w:szCs w:val="24"/>
              </w:rPr>
            </w:pPr>
            <w:r>
              <w:rPr>
                <w:rFonts w:ascii="仿宋" w:eastAsia="仿宋"/>
                <w:bCs/>
                <w:color w:val="auto"/>
                <w:sz w:val="24"/>
                <w:szCs w:val="24"/>
              </w:rPr>
              <w:t>评标委员会成员应</w:t>
            </w:r>
            <w:r>
              <w:rPr>
                <w:rFonts w:hint="eastAsia" w:ascii="仿宋" w:eastAsia="仿宋" w:cs="宋体"/>
                <w:color w:val="auto"/>
                <w:sz w:val="24"/>
              </w:rPr>
              <w:t>独立</w:t>
            </w:r>
            <w:r>
              <w:rPr>
                <w:rFonts w:ascii="仿宋" w:eastAsia="仿宋"/>
                <w:bCs/>
                <w:color w:val="auto"/>
                <w:sz w:val="24"/>
                <w:szCs w:val="24"/>
              </w:rPr>
              <w:t>对投标人的商务技术文件打分，打分时保留小数1位，投标人最终得分为评标委员会所有成员的算术平均值，评分分值计算保留小数点后两位，小数点后第三位“四舍五入”。</w:t>
            </w:r>
          </w:p>
        </w:tc>
      </w:tr>
      <w:tr w14:paraId="7F1E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88" w:type="dxa"/>
            <w:tcBorders>
              <w:top w:val="single" w:color="auto" w:sz="4" w:space="0"/>
              <w:left w:val="single" w:color="auto" w:sz="4" w:space="0"/>
              <w:right w:val="single" w:color="auto" w:sz="4" w:space="0"/>
            </w:tcBorders>
            <w:vAlign w:val="center"/>
          </w:tcPr>
          <w:p w14:paraId="4FA028AA">
            <w:pPr>
              <w:autoSpaceDE/>
              <w:autoSpaceDN/>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28" w:type="dxa"/>
            <w:tcBorders>
              <w:top w:val="single" w:color="auto" w:sz="4" w:space="0"/>
              <w:left w:val="single" w:color="auto" w:sz="4" w:space="0"/>
              <w:right w:val="single" w:color="auto" w:sz="4" w:space="0"/>
            </w:tcBorders>
            <w:vAlign w:val="center"/>
          </w:tcPr>
          <w:p w14:paraId="6CA85DFA">
            <w:pPr>
              <w:autoSpaceDE/>
              <w:autoSpaceDN/>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评标要素</w:t>
            </w:r>
          </w:p>
        </w:tc>
        <w:tc>
          <w:tcPr>
            <w:tcW w:w="7350" w:type="dxa"/>
            <w:gridSpan w:val="2"/>
            <w:tcBorders>
              <w:top w:val="single" w:color="auto" w:sz="4" w:space="0"/>
              <w:left w:val="single" w:color="auto" w:sz="4" w:space="0"/>
              <w:right w:val="single" w:color="auto" w:sz="4" w:space="0"/>
            </w:tcBorders>
            <w:vAlign w:val="center"/>
          </w:tcPr>
          <w:p w14:paraId="2B260A4E">
            <w:pPr>
              <w:pStyle w:val="43"/>
              <w:autoSpaceDE/>
              <w:autoSpaceDN/>
              <w:snapToGrid w:val="0"/>
              <w:spacing w:after="0"/>
              <w:jc w:val="center"/>
              <w:rPr>
                <w:rFonts w:hint="eastAsia" w:ascii="仿宋" w:hAnsi="仿宋" w:eastAsia="仿宋" w:cs="仿宋"/>
                <w:b/>
                <w:bCs/>
                <w:color w:val="auto"/>
                <w:spacing w:val="0"/>
                <w:kern w:val="2"/>
              </w:rPr>
            </w:pPr>
            <w:r>
              <w:rPr>
                <w:rFonts w:hint="eastAsia" w:ascii="仿宋" w:hAnsi="仿宋" w:eastAsia="仿宋" w:cs="仿宋"/>
                <w:b/>
                <w:bCs/>
                <w:color w:val="auto"/>
                <w:spacing w:val="0"/>
                <w:kern w:val="2"/>
              </w:rPr>
              <w:t>评  分  标  准</w:t>
            </w:r>
          </w:p>
        </w:tc>
        <w:tc>
          <w:tcPr>
            <w:tcW w:w="936" w:type="dxa"/>
            <w:tcBorders>
              <w:top w:val="single" w:color="auto" w:sz="4" w:space="0"/>
              <w:left w:val="single" w:color="auto" w:sz="4" w:space="0"/>
              <w:right w:val="single" w:color="auto" w:sz="4" w:space="0"/>
            </w:tcBorders>
            <w:vAlign w:val="center"/>
          </w:tcPr>
          <w:p w14:paraId="1A0A6043">
            <w:pPr>
              <w:autoSpaceDE/>
              <w:autoSpaceDN/>
              <w:snapToGrid w:val="0"/>
              <w:jc w:val="center"/>
              <w:rPr>
                <w:rFonts w:hint="eastAsia" w:ascii="仿宋" w:hAnsi="仿宋" w:eastAsia="仿宋" w:cs="仿宋"/>
                <w:b/>
                <w:bCs/>
                <w:color w:val="auto"/>
                <w:kern w:val="2"/>
                <w:sz w:val="24"/>
                <w:szCs w:val="24"/>
              </w:rPr>
            </w:pPr>
            <w:r>
              <w:rPr>
                <w:rFonts w:hint="eastAsia" w:ascii="仿宋" w:hAnsi="仿宋" w:eastAsia="仿宋" w:cs="仿宋"/>
                <w:b/>
                <w:bCs/>
                <w:color w:val="auto"/>
                <w:sz w:val="24"/>
                <w:szCs w:val="24"/>
              </w:rPr>
              <w:t>分值（分）</w:t>
            </w:r>
          </w:p>
        </w:tc>
      </w:tr>
      <w:tr w14:paraId="1F60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788" w:type="dxa"/>
            <w:tcBorders>
              <w:top w:val="single" w:color="auto" w:sz="4" w:space="0"/>
              <w:left w:val="single" w:color="auto" w:sz="4" w:space="0"/>
              <w:right w:val="single" w:color="auto" w:sz="4" w:space="0"/>
            </w:tcBorders>
            <w:vAlign w:val="center"/>
          </w:tcPr>
          <w:p w14:paraId="4D37C900">
            <w:pPr>
              <w:tabs>
                <w:tab w:val="left" w:pos="540"/>
              </w:tabs>
              <w:snapToGrid w:val="0"/>
              <w:spacing w:line="240" w:lineRule="exact"/>
              <w:jc w:val="center"/>
              <w:rPr>
                <w:rFonts w:hint="eastAsia" w:ascii="仿宋" w:hAnsi="仿宋" w:eastAsia="仿宋" w:cs="仿宋"/>
                <w:color w:val="auto"/>
              </w:rPr>
            </w:pPr>
            <w:r>
              <w:rPr>
                <w:rFonts w:hint="eastAsia" w:ascii="仿宋" w:hAnsi="仿宋" w:eastAsia="仿宋" w:cs="仿宋"/>
              </w:rPr>
              <w:t>1</w:t>
            </w:r>
          </w:p>
        </w:tc>
        <w:tc>
          <w:tcPr>
            <w:tcW w:w="1228" w:type="dxa"/>
            <w:tcBorders>
              <w:top w:val="single" w:color="auto" w:sz="4" w:space="0"/>
              <w:left w:val="single" w:color="auto" w:sz="4" w:space="0"/>
              <w:right w:val="single" w:color="auto" w:sz="4" w:space="0"/>
            </w:tcBorders>
            <w:vAlign w:val="center"/>
          </w:tcPr>
          <w:p w14:paraId="75946FFA">
            <w:pPr>
              <w:widowControl/>
              <w:spacing w:line="240" w:lineRule="exact"/>
              <w:jc w:val="center"/>
              <w:rPr>
                <w:rFonts w:hint="eastAsia" w:ascii="仿宋" w:hAnsi="仿宋" w:eastAsia="仿宋" w:cs="仿宋"/>
                <w:color w:val="auto"/>
                <w:kern w:val="2"/>
                <w:lang w:eastAsia="zh-CN"/>
              </w:rPr>
            </w:pPr>
            <w:r>
              <w:rPr>
                <w:rFonts w:hint="eastAsia" w:ascii="仿宋" w:hAnsi="仿宋" w:eastAsia="仿宋" w:cs="仿宋"/>
                <w:lang w:eastAsia="zh-CN"/>
              </w:rPr>
              <w:t>企业实力</w:t>
            </w:r>
          </w:p>
        </w:tc>
        <w:tc>
          <w:tcPr>
            <w:tcW w:w="7350" w:type="dxa"/>
            <w:gridSpan w:val="2"/>
            <w:tcBorders>
              <w:top w:val="single" w:color="auto" w:sz="4" w:space="0"/>
              <w:left w:val="single" w:color="auto" w:sz="4" w:space="0"/>
              <w:right w:val="single" w:color="auto" w:sz="4" w:space="0"/>
            </w:tcBorders>
            <w:shd w:val="clear" w:color="auto" w:fill="auto"/>
            <w:vAlign w:val="center"/>
          </w:tcPr>
          <w:p w14:paraId="2BEEE639">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投标人或生产厂家具有质量管理体系、环境管理体系、职业健康安全管理体系认证证书的每个得1分。本项最高得3分。</w:t>
            </w:r>
          </w:p>
          <w:p w14:paraId="4378FDBA">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注：需提供有效期内的证书扫描件，否则不得分。</w:t>
            </w:r>
          </w:p>
        </w:tc>
        <w:tc>
          <w:tcPr>
            <w:tcW w:w="936" w:type="dxa"/>
            <w:tcBorders>
              <w:top w:val="single" w:color="auto" w:sz="4" w:space="0"/>
              <w:left w:val="single" w:color="auto" w:sz="4" w:space="0"/>
              <w:right w:val="single" w:color="auto" w:sz="4" w:space="0"/>
            </w:tcBorders>
            <w:vAlign w:val="center"/>
          </w:tcPr>
          <w:p w14:paraId="59BC729F">
            <w:pPr>
              <w:spacing w:line="240" w:lineRule="exact"/>
              <w:jc w:val="center"/>
              <w:rPr>
                <w:rFonts w:hint="eastAsia"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3</w:t>
            </w:r>
          </w:p>
          <w:p w14:paraId="7B498BDC">
            <w:pPr>
              <w:spacing w:line="240" w:lineRule="exact"/>
              <w:jc w:val="center"/>
              <w:rPr>
                <w:rFonts w:ascii="仿宋" w:eastAsia="仿宋" w:cs="仿宋"/>
                <w:color w:val="auto"/>
                <w:kern w:val="2"/>
              </w:rPr>
            </w:pPr>
            <w:r>
              <w:rPr>
                <w:rFonts w:hint="eastAsia" w:ascii="仿宋" w:hAnsi="仿宋" w:eastAsia="仿宋" w:cs="仿宋"/>
                <w:sz w:val="15"/>
                <w:szCs w:val="15"/>
              </w:rPr>
              <w:t>（客观分）</w:t>
            </w:r>
          </w:p>
        </w:tc>
      </w:tr>
      <w:tr w14:paraId="0E1D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788" w:type="dxa"/>
            <w:tcBorders>
              <w:left w:val="single" w:color="auto" w:sz="4" w:space="0"/>
              <w:right w:val="single" w:color="auto" w:sz="4" w:space="0"/>
            </w:tcBorders>
            <w:vAlign w:val="center"/>
          </w:tcPr>
          <w:p w14:paraId="5C7B9AE6">
            <w:pPr>
              <w:tabs>
                <w:tab w:val="left" w:pos="540"/>
              </w:tabs>
              <w:snapToGrid w:val="0"/>
              <w:spacing w:line="240" w:lineRule="exact"/>
              <w:jc w:val="center"/>
              <w:rPr>
                <w:rFonts w:hint="eastAsia" w:ascii="仿宋" w:hAnsi="仿宋" w:eastAsia="仿宋" w:cs="仿宋"/>
              </w:rPr>
            </w:pPr>
            <w:r>
              <w:rPr>
                <w:rFonts w:hint="eastAsia" w:ascii="仿宋" w:hAnsi="仿宋" w:eastAsia="仿宋" w:cs="仿宋"/>
              </w:rPr>
              <w:t>2</w:t>
            </w:r>
          </w:p>
        </w:tc>
        <w:tc>
          <w:tcPr>
            <w:tcW w:w="1228" w:type="dxa"/>
            <w:tcBorders>
              <w:top w:val="single" w:color="auto" w:sz="4" w:space="0"/>
              <w:left w:val="single" w:color="auto" w:sz="4" w:space="0"/>
              <w:right w:val="single" w:color="auto" w:sz="4" w:space="0"/>
            </w:tcBorders>
            <w:vAlign w:val="center"/>
          </w:tcPr>
          <w:p w14:paraId="5AA3648B">
            <w:pPr>
              <w:widowControl/>
              <w:spacing w:line="240" w:lineRule="exact"/>
              <w:jc w:val="center"/>
              <w:rPr>
                <w:rFonts w:hint="eastAsia" w:ascii="仿宋" w:hAnsi="仿宋" w:eastAsia="仿宋" w:cs="仿宋"/>
                <w:color w:val="auto"/>
                <w:kern w:val="2"/>
              </w:rPr>
            </w:pPr>
            <w:r>
              <w:rPr>
                <w:rFonts w:hint="eastAsia" w:ascii="仿宋" w:hAnsi="仿宋" w:eastAsia="仿宋" w:cs="仿宋"/>
              </w:rPr>
              <w:t>同类业绩</w:t>
            </w:r>
          </w:p>
        </w:tc>
        <w:tc>
          <w:tcPr>
            <w:tcW w:w="7350" w:type="dxa"/>
            <w:gridSpan w:val="2"/>
            <w:tcBorders>
              <w:top w:val="single" w:color="auto" w:sz="4" w:space="0"/>
              <w:left w:val="single" w:color="auto" w:sz="4" w:space="0"/>
              <w:right w:val="single" w:color="auto" w:sz="4" w:space="0"/>
            </w:tcBorders>
            <w:vAlign w:val="center"/>
          </w:tcPr>
          <w:p w14:paraId="229AE633">
            <w:pPr>
              <w:widowControl/>
              <w:spacing w:line="240" w:lineRule="exact"/>
              <w:rPr>
                <w:rFonts w:hint="eastAsia" w:ascii="仿宋" w:hAnsi="仿宋" w:eastAsia="仿宋" w:cs="仿宋"/>
              </w:rPr>
            </w:pPr>
            <w:r>
              <w:rPr>
                <w:rFonts w:hint="eastAsia" w:ascii="仿宋" w:hAnsi="仿宋" w:eastAsia="仿宋" w:cs="仿宋"/>
              </w:rPr>
              <w:t>投标人</w:t>
            </w:r>
            <w:r>
              <w:rPr>
                <w:rFonts w:hint="eastAsia" w:ascii="仿宋" w:hAnsi="仿宋" w:eastAsia="仿宋" w:cs="仿宋"/>
                <w:lang w:eastAsia="zh-CN"/>
              </w:rPr>
              <w:t>或生产厂家</w:t>
            </w:r>
            <w:r>
              <w:rPr>
                <w:rFonts w:hint="eastAsia" w:ascii="仿宋" w:hAnsi="仿宋" w:eastAsia="仿宋" w:cs="仿宋"/>
              </w:rPr>
              <w:t>提供自202</w:t>
            </w:r>
            <w:r>
              <w:rPr>
                <w:rFonts w:hint="eastAsia" w:ascii="仿宋" w:hAnsi="仿宋" w:eastAsia="仿宋" w:cs="仿宋"/>
                <w:lang w:val="en-US" w:eastAsia="zh-CN"/>
              </w:rPr>
              <w:t>2</w:t>
            </w:r>
            <w:r>
              <w:rPr>
                <w:rFonts w:hint="eastAsia" w:ascii="仿宋" w:hAnsi="仿宋" w:eastAsia="仿宋" w:cs="仿宋"/>
              </w:rPr>
              <w:t>年1月1日以来</w:t>
            </w:r>
            <w:r>
              <w:rPr>
                <w:rFonts w:hint="eastAsia" w:ascii="仿宋" w:hAnsi="仿宋" w:eastAsia="仿宋" w:cs="仿宋"/>
                <w:position w:val="-2"/>
              </w:rPr>
              <w:t>（以合同签订时间为准）</w:t>
            </w:r>
            <w:r>
              <w:rPr>
                <w:rFonts w:hint="eastAsia" w:ascii="仿宋" w:hAnsi="仿宋" w:eastAsia="仿宋" w:cs="仿宋"/>
              </w:rPr>
              <w:t>，承担过同类项目的，每提供1个合同得1分，本项最高得3分。</w:t>
            </w:r>
          </w:p>
          <w:p w14:paraId="750C2AB4">
            <w:pPr>
              <w:widowControl/>
              <w:spacing w:line="240" w:lineRule="exact"/>
              <w:rPr>
                <w:rFonts w:hint="eastAsia" w:ascii="仿宋" w:hAnsi="仿宋" w:eastAsia="仿宋" w:cs="仿宋"/>
                <w:position w:val="-2"/>
              </w:rPr>
            </w:pPr>
            <w:r>
              <w:rPr>
                <w:rFonts w:hint="eastAsia" w:ascii="仿宋" w:hAnsi="仿宋" w:eastAsia="仿宋" w:cs="仿宋"/>
                <w:b/>
                <w:bCs/>
                <w:lang w:eastAsia="zh-CN"/>
              </w:rPr>
              <w:t>注：</w:t>
            </w:r>
            <w:r>
              <w:rPr>
                <w:rFonts w:hint="eastAsia" w:ascii="仿宋" w:hAnsi="仿宋" w:eastAsia="仿宋" w:cs="仿宋"/>
                <w:b/>
                <w:bCs/>
              </w:rPr>
              <w:t>需提供相关合同扫描件及相应发票扫描件。未提供合同扫描件、对应发票或提供的合同扫描件字迹模糊无法辨识的、或提供的业绩无效的，该项业绩均不予计分。</w:t>
            </w:r>
          </w:p>
        </w:tc>
        <w:tc>
          <w:tcPr>
            <w:tcW w:w="936" w:type="dxa"/>
            <w:tcBorders>
              <w:top w:val="single" w:color="auto" w:sz="4" w:space="0"/>
              <w:left w:val="single" w:color="auto" w:sz="4" w:space="0"/>
              <w:right w:val="single" w:color="auto" w:sz="4" w:space="0"/>
            </w:tcBorders>
            <w:vAlign w:val="center"/>
          </w:tcPr>
          <w:p w14:paraId="168FCE46">
            <w:pPr>
              <w:spacing w:line="240" w:lineRule="exact"/>
              <w:jc w:val="center"/>
              <w:rPr>
                <w:rFonts w:hint="eastAsia" w:ascii="仿宋" w:hAnsi="仿宋" w:eastAsia="仿宋" w:cs="仿宋"/>
              </w:rPr>
            </w:pPr>
            <w:r>
              <w:rPr>
                <w:rFonts w:hint="eastAsia" w:ascii="仿宋" w:hAnsi="仿宋" w:eastAsia="仿宋" w:cs="仿宋"/>
              </w:rPr>
              <w:t>0-3</w:t>
            </w:r>
          </w:p>
          <w:p w14:paraId="1B3952B7">
            <w:pPr>
              <w:spacing w:line="240" w:lineRule="exact"/>
              <w:jc w:val="center"/>
              <w:rPr>
                <w:rFonts w:hint="eastAsia" w:ascii="仿宋" w:hAnsi="仿宋" w:eastAsia="仿宋" w:cs="仿宋"/>
              </w:rPr>
            </w:pPr>
            <w:r>
              <w:rPr>
                <w:rFonts w:hint="eastAsia" w:ascii="仿宋" w:hAnsi="仿宋" w:eastAsia="仿宋" w:cs="仿宋"/>
                <w:sz w:val="15"/>
                <w:szCs w:val="15"/>
              </w:rPr>
              <w:t>（客观分）</w:t>
            </w:r>
          </w:p>
        </w:tc>
      </w:tr>
      <w:tr w14:paraId="005C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788" w:type="dxa"/>
            <w:tcBorders>
              <w:left w:val="single" w:color="auto" w:sz="4" w:space="0"/>
              <w:right w:val="single" w:color="auto" w:sz="4" w:space="0"/>
            </w:tcBorders>
            <w:vAlign w:val="center"/>
          </w:tcPr>
          <w:p w14:paraId="476B72C4">
            <w:pPr>
              <w:tabs>
                <w:tab w:val="left" w:pos="540"/>
              </w:tabs>
              <w:snapToGrid w:val="0"/>
              <w:spacing w:line="240" w:lineRule="exact"/>
              <w:jc w:val="center"/>
              <w:rPr>
                <w:rFonts w:hint="eastAsia" w:ascii="仿宋" w:hAnsi="仿宋" w:eastAsia="仿宋" w:cs="仿宋"/>
                <w:color w:val="auto"/>
              </w:rPr>
            </w:pPr>
            <w:r>
              <w:rPr>
                <w:rFonts w:hint="eastAsia" w:ascii="仿宋" w:hAnsi="仿宋" w:eastAsia="仿宋" w:cs="仿宋"/>
              </w:rPr>
              <w:t>3</w:t>
            </w:r>
          </w:p>
        </w:tc>
        <w:tc>
          <w:tcPr>
            <w:tcW w:w="1228" w:type="dxa"/>
            <w:tcBorders>
              <w:left w:val="single" w:color="auto" w:sz="4" w:space="0"/>
              <w:right w:val="single" w:color="auto" w:sz="4" w:space="0"/>
            </w:tcBorders>
            <w:vAlign w:val="center"/>
          </w:tcPr>
          <w:p w14:paraId="595BE387">
            <w:pPr>
              <w:widowControl/>
              <w:spacing w:line="240" w:lineRule="exact"/>
              <w:jc w:val="center"/>
              <w:rPr>
                <w:rFonts w:hint="eastAsia" w:ascii="仿宋" w:hAnsi="仿宋" w:eastAsia="仿宋" w:cs="仿宋"/>
                <w:color w:val="auto"/>
                <w:kern w:val="2"/>
              </w:rPr>
            </w:pPr>
            <w:r>
              <w:rPr>
                <w:rFonts w:hint="eastAsia" w:ascii="仿宋" w:hAnsi="仿宋" w:eastAsia="仿宋" w:cs="仿宋"/>
              </w:rPr>
              <w:t>技术指标</w:t>
            </w:r>
          </w:p>
        </w:tc>
        <w:tc>
          <w:tcPr>
            <w:tcW w:w="7350" w:type="dxa"/>
            <w:gridSpan w:val="2"/>
            <w:tcBorders>
              <w:top w:val="single" w:color="auto" w:sz="4" w:space="0"/>
              <w:left w:val="single" w:color="auto" w:sz="4" w:space="0"/>
              <w:right w:val="single" w:color="auto" w:sz="4" w:space="0"/>
            </w:tcBorders>
            <w:vAlign w:val="center"/>
          </w:tcPr>
          <w:p w14:paraId="6837BC2F">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000000"/>
                <w:sz w:val="21"/>
                <w:szCs w:val="21"/>
                <w:lang w:val="en-US" w:eastAsia="zh-CN" w:bidi="ar-SA"/>
              </w:rPr>
              <w:t>对项目具体技术要求进行逐条响应，应如实填写《技术规格偏离表》，各项要求全部满足的得35分，</w:t>
            </w:r>
            <w:r>
              <w:rPr>
                <w:rFonts w:hint="eastAsia" w:ascii="仿宋" w:hAnsi="仿宋" w:eastAsia="仿宋" w:cs="仿宋"/>
                <w:b w:val="0"/>
                <w:bCs/>
                <w:color w:val="auto"/>
                <w:kern w:val="2"/>
                <w:sz w:val="21"/>
                <w:szCs w:val="21"/>
                <w:highlight w:val="none"/>
                <w:lang w:val="en-US" w:eastAsia="zh-CN" w:bidi="ar-SA"/>
              </w:rPr>
              <w:t>带“▲”的条款为实质性要求，任有一项负偏离，作无效标处理；带“△”的条款为重要指标参数，每有一项不响应或负偏离的扣2分，一般技术指标每有一项不响应或负偏离的扣1分，扣完为止。</w:t>
            </w:r>
          </w:p>
          <w:p w14:paraId="725DD32B">
            <w:pPr>
              <w:pStyle w:val="19"/>
              <w:spacing w:line="240" w:lineRule="exact"/>
              <w:jc w:val="both"/>
              <w:rPr>
                <w:rFonts w:hint="eastAsia" w:ascii="仿宋" w:hAnsi="仿宋" w:eastAsia="仿宋" w:cs="仿宋"/>
                <w:position w:val="-2"/>
              </w:rPr>
            </w:pPr>
            <w:r>
              <w:rPr>
                <w:rFonts w:hint="eastAsia" w:ascii="仿宋" w:hAnsi="仿宋" w:eastAsia="仿宋" w:cs="仿宋"/>
                <w:b/>
                <w:bCs w:val="0"/>
                <w:color w:val="auto"/>
                <w:kern w:val="2"/>
                <w:sz w:val="21"/>
                <w:szCs w:val="21"/>
                <w:highlight w:val="none"/>
                <w:lang w:val="en-US" w:eastAsia="zh-CN" w:bidi="ar-SA"/>
              </w:rPr>
              <w:t>注：投标方对参数需求进行响应时，需提供相关技术参数佐证资料(包括但不限于产品彩页、官网链接、宣传材料、技术材料等内容)，如参数没有相应佐证材料的，有可能被评标委员会认定为负偏离。</w:t>
            </w:r>
          </w:p>
        </w:tc>
        <w:tc>
          <w:tcPr>
            <w:tcW w:w="936" w:type="dxa"/>
            <w:tcBorders>
              <w:top w:val="single" w:color="auto" w:sz="4" w:space="0"/>
              <w:left w:val="single" w:color="auto" w:sz="4" w:space="0"/>
              <w:right w:val="single" w:color="auto" w:sz="4" w:space="0"/>
            </w:tcBorders>
            <w:vAlign w:val="center"/>
          </w:tcPr>
          <w:p w14:paraId="3E1D93AA">
            <w:pPr>
              <w:spacing w:line="240" w:lineRule="exact"/>
              <w:jc w:val="center"/>
              <w:rPr>
                <w:rFonts w:hint="default" w:ascii="仿宋" w:hAnsi="仿宋" w:eastAsia="仿宋" w:cs="仿宋"/>
                <w:lang w:val="en-US" w:eastAsia="zh-CN"/>
              </w:rPr>
            </w:pPr>
            <w:r>
              <w:rPr>
                <w:rFonts w:hint="eastAsia" w:ascii="仿宋" w:hAnsi="仿宋" w:eastAsia="仿宋" w:cs="仿宋"/>
              </w:rPr>
              <w:t>0-</w:t>
            </w:r>
            <w:r>
              <w:rPr>
                <w:rFonts w:hint="eastAsia" w:ascii="仿宋" w:hAnsi="仿宋" w:eastAsia="仿宋" w:cs="仿宋"/>
                <w:lang w:val="en-US" w:eastAsia="zh-CN"/>
              </w:rPr>
              <w:t>35</w:t>
            </w:r>
          </w:p>
          <w:p w14:paraId="227AAC1C">
            <w:pPr>
              <w:spacing w:line="240" w:lineRule="exact"/>
              <w:jc w:val="center"/>
              <w:rPr>
                <w:rFonts w:hint="eastAsia" w:ascii="仿宋" w:hAnsi="仿宋" w:eastAsia="仿宋" w:cs="仿宋"/>
                <w:color w:val="auto"/>
                <w:kern w:val="2"/>
              </w:rPr>
            </w:pPr>
            <w:r>
              <w:rPr>
                <w:rFonts w:hint="eastAsia" w:ascii="仿宋" w:hAnsi="仿宋" w:eastAsia="仿宋" w:cs="仿宋"/>
                <w:sz w:val="15"/>
                <w:szCs w:val="15"/>
              </w:rPr>
              <w:t>（客观分）</w:t>
            </w:r>
          </w:p>
        </w:tc>
      </w:tr>
      <w:tr w14:paraId="07EE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88" w:type="dxa"/>
            <w:tcBorders>
              <w:left w:val="single" w:color="auto" w:sz="4" w:space="0"/>
              <w:right w:val="single" w:color="auto" w:sz="4" w:space="0"/>
            </w:tcBorders>
            <w:vAlign w:val="center"/>
          </w:tcPr>
          <w:p w14:paraId="01300049">
            <w:pPr>
              <w:tabs>
                <w:tab w:val="left" w:pos="540"/>
              </w:tabs>
              <w:snapToGrid w:val="0"/>
              <w:spacing w:line="240" w:lineRule="exact"/>
              <w:jc w:val="center"/>
              <w:rPr>
                <w:rFonts w:hint="eastAsia" w:ascii="仿宋" w:hAnsi="仿宋" w:eastAsia="仿宋" w:cs="仿宋"/>
                <w:color w:val="auto"/>
              </w:rPr>
            </w:pPr>
            <w:r>
              <w:rPr>
                <w:rFonts w:hint="eastAsia" w:ascii="仿宋" w:hAnsi="仿宋" w:eastAsia="仿宋" w:cs="仿宋"/>
              </w:rPr>
              <w:t>4</w:t>
            </w:r>
          </w:p>
        </w:tc>
        <w:tc>
          <w:tcPr>
            <w:tcW w:w="1228" w:type="dxa"/>
            <w:tcBorders>
              <w:left w:val="single" w:color="auto" w:sz="4" w:space="0"/>
              <w:right w:val="single" w:color="auto" w:sz="4" w:space="0"/>
            </w:tcBorders>
            <w:vAlign w:val="center"/>
          </w:tcPr>
          <w:p w14:paraId="1B13658B">
            <w:pPr>
              <w:widowControl/>
              <w:spacing w:line="240" w:lineRule="exact"/>
              <w:jc w:val="center"/>
              <w:rPr>
                <w:rFonts w:hint="eastAsia" w:ascii="仿宋" w:hAnsi="仿宋" w:eastAsia="仿宋" w:cs="仿宋"/>
                <w:color w:val="auto"/>
                <w:kern w:val="2"/>
                <w:lang w:eastAsia="zh-CN"/>
              </w:rPr>
            </w:pPr>
            <w:r>
              <w:rPr>
                <w:rFonts w:hint="eastAsia" w:ascii="仿宋" w:hAnsi="仿宋" w:eastAsia="仿宋" w:cs="仿宋"/>
                <w:color w:val="auto"/>
                <w:kern w:val="2"/>
                <w:lang w:eastAsia="zh-CN"/>
              </w:rPr>
              <w:t>拟派团队人员力量</w:t>
            </w:r>
          </w:p>
        </w:tc>
        <w:tc>
          <w:tcPr>
            <w:tcW w:w="7350" w:type="dxa"/>
            <w:gridSpan w:val="2"/>
            <w:tcBorders>
              <w:top w:val="single" w:color="auto" w:sz="4" w:space="0"/>
              <w:left w:val="single" w:color="auto" w:sz="4" w:space="0"/>
              <w:right w:val="single" w:color="auto" w:sz="4" w:space="0"/>
            </w:tcBorders>
            <w:vAlign w:val="center"/>
          </w:tcPr>
          <w:p w14:paraId="04478FDA">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 xml:space="preserve">1.拟派本项目的服务团队人员数量在5人及以上的得2分，3人（含）以上5人以下的得1分，3人以下的得0.5分。 </w:t>
            </w:r>
          </w:p>
          <w:p w14:paraId="6BCD7455">
            <w:pPr>
              <w:keepNext w:val="0"/>
              <w:keepLines w:val="0"/>
              <w:pageBreakBefore w:val="0"/>
              <w:kinsoku/>
              <w:wordWrap/>
              <w:overflowPunct/>
              <w:topLinePunct w:val="0"/>
              <w:bidi w:val="0"/>
              <w:snapToGrid w:val="0"/>
              <w:spacing w:line="240" w:lineRule="exact"/>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color w:val="000000"/>
                <w:sz w:val="21"/>
                <w:szCs w:val="21"/>
                <w:lang w:val="en-US" w:eastAsia="zh-CN" w:bidi="ar-SA"/>
              </w:rPr>
              <w:t>2.拟派本项目的服务团队成员中具有高级及以上工程师职称的每个得2分，中级职称的每个得1分，最高得4分。</w:t>
            </w:r>
            <w:r>
              <w:rPr>
                <w:rFonts w:hint="eastAsia" w:ascii="仿宋" w:hAnsi="仿宋" w:eastAsia="仿宋" w:cs="仿宋"/>
                <w:b/>
                <w:bCs w:val="0"/>
                <w:color w:val="auto"/>
                <w:kern w:val="2"/>
                <w:sz w:val="21"/>
                <w:szCs w:val="21"/>
                <w:highlight w:val="none"/>
                <w:lang w:val="en-US" w:eastAsia="zh-CN" w:bidi="ar-SA"/>
              </w:rPr>
              <w:t>（一人多种专业，只能按其中一种，按最高职称计分，不能重复计分）。</w:t>
            </w:r>
          </w:p>
          <w:p w14:paraId="07B84F48">
            <w:pPr>
              <w:keepNext w:val="0"/>
              <w:keepLines w:val="0"/>
              <w:pageBreakBefore w:val="0"/>
              <w:widowControl/>
              <w:kinsoku/>
              <w:wordWrap/>
              <w:overflowPunct/>
              <w:topLinePunct w:val="0"/>
              <w:bidi w:val="0"/>
              <w:spacing w:line="240" w:lineRule="exact"/>
              <w:textAlignment w:val="auto"/>
              <w:rPr>
                <w:rFonts w:hint="eastAsia" w:ascii="仿宋" w:hAnsi="仿宋" w:eastAsia="仿宋" w:cs="仿宋"/>
                <w:position w:val="-2"/>
              </w:rPr>
            </w:pPr>
            <w:r>
              <w:rPr>
                <w:rFonts w:hint="eastAsia" w:ascii="仿宋" w:hAnsi="仿宋" w:eastAsia="仿宋" w:cs="仿宋"/>
                <w:b/>
                <w:bCs/>
                <w:sz w:val="21"/>
                <w:szCs w:val="21"/>
                <w:highlight w:val="none"/>
                <w:lang w:eastAsia="zh-CN"/>
              </w:rPr>
              <w:t>注：需提供</w:t>
            </w:r>
            <w:r>
              <w:rPr>
                <w:rFonts w:hint="eastAsia" w:ascii="仿宋" w:hAnsi="仿宋" w:eastAsia="仿宋" w:cs="仿宋"/>
                <w:b/>
                <w:bCs/>
                <w:sz w:val="21"/>
                <w:szCs w:val="21"/>
                <w:highlight w:val="none"/>
              </w:rPr>
              <w:t>本单位为其缴纳的2024年</w:t>
            </w:r>
            <w:r>
              <w:rPr>
                <w:rFonts w:hint="eastAsia" w:ascii="仿宋" w:hAnsi="仿宋" w:eastAsia="仿宋" w:cs="仿宋"/>
                <w:b/>
                <w:bCs/>
                <w:sz w:val="21"/>
                <w:szCs w:val="21"/>
                <w:highlight w:val="none"/>
                <w:lang w:val="en-US" w:eastAsia="zh-CN"/>
              </w:rPr>
              <w:t>12</w:t>
            </w:r>
            <w:r>
              <w:rPr>
                <w:rFonts w:hint="eastAsia" w:ascii="仿宋" w:hAnsi="仿宋" w:eastAsia="仿宋" w:cs="仿宋"/>
                <w:b/>
                <w:bCs/>
                <w:sz w:val="21"/>
                <w:szCs w:val="21"/>
                <w:highlight w:val="none"/>
              </w:rPr>
              <w:t>月的社保缴纳证明，不提供或提供不全的不得分。</w:t>
            </w:r>
          </w:p>
        </w:tc>
        <w:tc>
          <w:tcPr>
            <w:tcW w:w="936" w:type="dxa"/>
            <w:tcBorders>
              <w:top w:val="single" w:color="auto" w:sz="4" w:space="0"/>
              <w:left w:val="single" w:color="auto" w:sz="4" w:space="0"/>
              <w:right w:val="single" w:color="auto" w:sz="4" w:space="0"/>
            </w:tcBorders>
            <w:vAlign w:val="center"/>
          </w:tcPr>
          <w:p w14:paraId="6F41A685">
            <w:pPr>
              <w:spacing w:line="240" w:lineRule="exact"/>
              <w:jc w:val="center"/>
              <w:rPr>
                <w:rFonts w:hint="eastAsia" w:ascii="仿宋" w:hAnsi="仿宋" w:eastAsia="仿宋" w:cs="仿宋"/>
                <w:lang w:eastAsia="zh-CN"/>
              </w:rPr>
            </w:pPr>
            <w:r>
              <w:rPr>
                <w:rFonts w:hint="eastAsia" w:ascii="仿宋" w:hAnsi="仿宋" w:eastAsia="仿宋" w:cs="仿宋"/>
              </w:rPr>
              <w:t>0-</w:t>
            </w:r>
            <w:r>
              <w:rPr>
                <w:rFonts w:hint="eastAsia" w:ascii="仿宋" w:hAnsi="仿宋" w:eastAsia="仿宋" w:cs="仿宋"/>
                <w:lang w:val="en-US" w:eastAsia="zh-CN"/>
              </w:rPr>
              <w:t>6</w:t>
            </w:r>
          </w:p>
          <w:p w14:paraId="5B607942">
            <w:pPr>
              <w:widowControl/>
              <w:spacing w:line="240" w:lineRule="exact"/>
              <w:jc w:val="center"/>
              <w:rPr>
                <w:rFonts w:hint="eastAsia" w:ascii="仿宋" w:hAnsi="仿宋" w:eastAsia="仿宋" w:cs="仿宋"/>
                <w:color w:val="auto"/>
                <w:kern w:val="2"/>
              </w:rPr>
            </w:pPr>
            <w:r>
              <w:rPr>
                <w:rFonts w:hint="eastAsia" w:ascii="仿宋" w:hAnsi="仿宋" w:eastAsia="仿宋" w:cs="仿宋"/>
                <w:sz w:val="15"/>
                <w:szCs w:val="15"/>
              </w:rPr>
              <w:t>（客观分）</w:t>
            </w:r>
          </w:p>
        </w:tc>
      </w:tr>
      <w:tr w14:paraId="4B72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88" w:type="dxa"/>
            <w:tcBorders>
              <w:left w:val="single" w:color="auto" w:sz="4" w:space="0"/>
              <w:right w:val="single" w:color="auto" w:sz="4" w:space="0"/>
            </w:tcBorders>
            <w:vAlign w:val="center"/>
          </w:tcPr>
          <w:p w14:paraId="1620A890">
            <w:pPr>
              <w:tabs>
                <w:tab w:val="left" w:pos="540"/>
              </w:tabs>
              <w:snapToGrid w:val="0"/>
              <w:spacing w:line="240" w:lineRule="exact"/>
              <w:jc w:val="center"/>
              <w:rPr>
                <w:rFonts w:hint="eastAsia" w:ascii="仿宋" w:hAnsi="仿宋" w:eastAsia="仿宋" w:cs="仿宋"/>
                <w:color w:val="auto"/>
              </w:rPr>
            </w:pPr>
            <w:r>
              <w:rPr>
                <w:rFonts w:hint="eastAsia" w:ascii="仿宋" w:hAnsi="仿宋" w:eastAsia="仿宋" w:cs="仿宋"/>
              </w:rPr>
              <w:t>5</w:t>
            </w:r>
          </w:p>
        </w:tc>
        <w:tc>
          <w:tcPr>
            <w:tcW w:w="1228" w:type="dxa"/>
            <w:tcBorders>
              <w:left w:val="single" w:color="auto" w:sz="4" w:space="0"/>
              <w:right w:val="single" w:color="auto" w:sz="4" w:space="0"/>
            </w:tcBorders>
            <w:vAlign w:val="center"/>
          </w:tcPr>
          <w:p w14:paraId="7D859D9D">
            <w:pPr>
              <w:widowControl/>
              <w:spacing w:line="240" w:lineRule="exact"/>
              <w:jc w:val="center"/>
              <w:rPr>
                <w:rFonts w:hint="eastAsia" w:ascii="仿宋" w:hAnsi="仿宋" w:eastAsia="仿宋" w:cs="仿宋"/>
                <w:color w:val="auto"/>
                <w:kern w:val="2"/>
              </w:rPr>
            </w:pPr>
            <w:r>
              <w:rPr>
                <w:rFonts w:hint="eastAsia" w:ascii="仿宋" w:hAnsi="仿宋" w:eastAsia="仿宋" w:cs="仿宋"/>
                <w:color w:val="auto"/>
                <w:kern w:val="2"/>
                <w:lang w:eastAsia="zh-CN"/>
              </w:rPr>
              <w:t>安装调试</w:t>
            </w:r>
          </w:p>
        </w:tc>
        <w:tc>
          <w:tcPr>
            <w:tcW w:w="7350" w:type="dxa"/>
            <w:gridSpan w:val="2"/>
            <w:tcBorders>
              <w:top w:val="single" w:color="auto" w:sz="4" w:space="0"/>
              <w:left w:val="single" w:color="auto" w:sz="4" w:space="0"/>
              <w:right w:val="single" w:color="auto" w:sz="4" w:space="0"/>
            </w:tcBorders>
            <w:vAlign w:val="center"/>
          </w:tcPr>
          <w:p w14:paraId="037766F6">
            <w:pPr>
              <w:keepNext w:val="0"/>
              <w:keepLines w:val="0"/>
              <w:pageBreakBefore w:val="0"/>
              <w:kinsoku/>
              <w:wordWrap/>
              <w:overflowPunct/>
              <w:topLinePunct w:val="0"/>
              <w:bidi w:val="0"/>
              <w:snapToGrid w:val="0"/>
              <w:spacing w:line="240" w:lineRule="exact"/>
              <w:textAlignment w:val="auto"/>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安装调试方案：根据人员的安排（0、1、2分）、工作进度的规划（0、1、2分），对设备调试的步骤、措施，问题的解决方案（0、1、2分）等内容进行打分。</w:t>
            </w:r>
          </w:p>
        </w:tc>
        <w:tc>
          <w:tcPr>
            <w:tcW w:w="936" w:type="dxa"/>
            <w:tcBorders>
              <w:top w:val="single" w:color="auto" w:sz="4" w:space="0"/>
              <w:left w:val="single" w:color="auto" w:sz="4" w:space="0"/>
              <w:right w:val="single" w:color="auto" w:sz="4" w:space="0"/>
            </w:tcBorders>
            <w:vAlign w:val="center"/>
          </w:tcPr>
          <w:p w14:paraId="2C509322">
            <w:pPr>
              <w:spacing w:line="240" w:lineRule="exact"/>
              <w:jc w:val="center"/>
              <w:rPr>
                <w:rFonts w:hint="default" w:ascii="仿宋" w:hAnsi="仿宋" w:eastAsia="仿宋" w:cs="仿宋"/>
                <w:color w:val="auto"/>
                <w:kern w:val="2"/>
                <w:lang w:val="en-US" w:eastAsia="zh-CN"/>
              </w:rPr>
            </w:pPr>
            <w:r>
              <w:rPr>
                <w:rFonts w:hint="eastAsia" w:ascii="仿宋" w:hAnsi="仿宋" w:eastAsia="仿宋" w:cs="仿宋"/>
                <w:color w:val="auto"/>
                <w:kern w:val="2"/>
                <w:lang w:val="en-US" w:eastAsia="zh-CN"/>
              </w:rPr>
              <w:t>0-6</w:t>
            </w:r>
          </w:p>
        </w:tc>
      </w:tr>
      <w:tr w14:paraId="3F53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88" w:type="dxa"/>
            <w:tcBorders>
              <w:left w:val="single" w:color="auto" w:sz="4" w:space="0"/>
              <w:right w:val="single" w:color="auto" w:sz="4" w:space="0"/>
            </w:tcBorders>
            <w:vAlign w:val="center"/>
          </w:tcPr>
          <w:p w14:paraId="14E56438">
            <w:pPr>
              <w:tabs>
                <w:tab w:val="left" w:pos="540"/>
              </w:tabs>
              <w:snapToGrid w:val="0"/>
              <w:spacing w:line="240" w:lineRule="exact"/>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228" w:type="dxa"/>
            <w:tcBorders>
              <w:left w:val="single" w:color="auto" w:sz="4" w:space="0"/>
              <w:right w:val="single" w:color="auto" w:sz="4" w:space="0"/>
            </w:tcBorders>
            <w:shd w:val="clear" w:color="auto" w:fill="auto"/>
            <w:vAlign w:val="center"/>
          </w:tcPr>
          <w:p w14:paraId="075B920F">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eastAsia="zh-CN"/>
              </w:rPr>
              <w:t>质量保障措施</w:t>
            </w:r>
          </w:p>
        </w:tc>
        <w:tc>
          <w:tcPr>
            <w:tcW w:w="7350" w:type="dxa"/>
            <w:gridSpan w:val="2"/>
            <w:tcBorders>
              <w:top w:val="single" w:color="auto" w:sz="4" w:space="0"/>
              <w:left w:val="single" w:color="auto" w:sz="4" w:space="0"/>
              <w:right w:val="single" w:color="auto" w:sz="4" w:space="0"/>
            </w:tcBorders>
            <w:shd w:val="clear" w:color="auto" w:fill="auto"/>
            <w:vAlign w:val="center"/>
          </w:tcPr>
          <w:p w14:paraId="463D3E9D">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根据投标人针对本项目的质量保障制度和措施进行综合评分（0、1、2、3分）。</w:t>
            </w:r>
          </w:p>
        </w:tc>
        <w:tc>
          <w:tcPr>
            <w:tcW w:w="936" w:type="dxa"/>
            <w:tcBorders>
              <w:top w:val="single" w:color="auto" w:sz="4" w:space="0"/>
              <w:left w:val="single" w:color="auto" w:sz="4" w:space="0"/>
              <w:right w:val="single" w:color="auto" w:sz="4" w:space="0"/>
            </w:tcBorders>
            <w:shd w:val="clear" w:color="auto" w:fill="auto"/>
            <w:vAlign w:val="center"/>
          </w:tcPr>
          <w:p w14:paraId="45062674">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0-3</w:t>
            </w:r>
          </w:p>
        </w:tc>
      </w:tr>
      <w:tr w14:paraId="4628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88" w:type="dxa"/>
            <w:tcBorders>
              <w:left w:val="single" w:color="auto" w:sz="4" w:space="0"/>
              <w:right w:val="single" w:color="auto" w:sz="4" w:space="0"/>
            </w:tcBorders>
            <w:vAlign w:val="center"/>
          </w:tcPr>
          <w:p w14:paraId="3FF4C8E4">
            <w:pPr>
              <w:tabs>
                <w:tab w:val="left" w:pos="540"/>
              </w:tabs>
              <w:snapToGrid w:val="0"/>
              <w:spacing w:line="240" w:lineRule="exact"/>
              <w:jc w:val="center"/>
              <w:rPr>
                <w:rFonts w:hint="default" w:ascii="仿宋" w:hAnsi="仿宋" w:eastAsia="仿宋" w:cs="仿宋"/>
                <w:lang w:val="en-US" w:eastAsia="zh-CN"/>
              </w:rPr>
            </w:pPr>
            <w:r>
              <w:rPr>
                <w:rFonts w:hint="eastAsia" w:ascii="仿宋" w:hAnsi="仿宋" w:eastAsia="仿宋" w:cs="仿宋"/>
                <w:lang w:val="en-US" w:eastAsia="zh-CN"/>
              </w:rPr>
              <w:t>7</w:t>
            </w:r>
          </w:p>
        </w:tc>
        <w:tc>
          <w:tcPr>
            <w:tcW w:w="1228" w:type="dxa"/>
            <w:tcBorders>
              <w:left w:val="single" w:color="auto" w:sz="4" w:space="0"/>
              <w:right w:val="single" w:color="auto" w:sz="4" w:space="0"/>
            </w:tcBorders>
            <w:shd w:val="clear" w:color="auto" w:fill="auto"/>
            <w:vAlign w:val="center"/>
          </w:tcPr>
          <w:p w14:paraId="1693ACE1">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交货方案</w:t>
            </w:r>
          </w:p>
        </w:tc>
        <w:tc>
          <w:tcPr>
            <w:tcW w:w="7350" w:type="dxa"/>
            <w:gridSpan w:val="2"/>
            <w:tcBorders>
              <w:top w:val="single" w:color="auto" w:sz="4" w:space="0"/>
              <w:left w:val="single" w:color="auto" w:sz="4" w:space="0"/>
              <w:right w:val="single" w:color="auto" w:sz="4" w:space="0"/>
            </w:tcBorders>
            <w:shd w:val="clear" w:color="auto" w:fill="auto"/>
            <w:vAlign w:val="center"/>
          </w:tcPr>
          <w:p w14:paraId="065731C5">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根据投标人提供的供货方案（包括但不限于供货期安排、交货方式、供货保障流程等、供货流程要点、供货实施步骤等）进行综合评分（0、1、2、3分）。</w:t>
            </w:r>
          </w:p>
        </w:tc>
        <w:tc>
          <w:tcPr>
            <w:tcW w:w="936" w:type="dxa"/>
            <w:tcBorders>
              <w:top w:val="single" w:color="auto" w:sz="4" w:space="0"/>
              <w:left w:val="single" w:color="auto" w:sz="4" w:space="0"/>
              <w:right w:val="single" w:color="auto" w:sz="4" w:space="0"/>
            </w:tcBorders>
            <w:shd w:val="clear" w:color="auto" w:fill="auto"/>
            <w:vAlign w:val="center"/>
          </w:tcPr>
          <w:p w14:paraId="602B0EE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0-3</w:t>
            </w:r>
          </w:p>
        </w:tc>
      </w:tr>
      <w:tr w14:paraId="1B93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88" w:type="dxa"/>
            <w:vMerge w:val="restart"/>
            <w:tcBorders>
              <w:left w:val="single" w:color="auto" w:sz="4" w:space="0"/>
              <w:right w:val="single" w:color="auto" w:sz="4" w:space="0"/>
            </w:tcBorders>
            <w:vAlign w:val="center"/>
          </w:tcPr>
          <w:p w14:paraId="5046BBB7">
            <w:pPr>
              <w:tabs>
                <w:tab w:val="left" w:pos="540"/>
              </w:tabs>
              <w:snapToGrid w:val="0"/>
              <w:spacing w:line="240" w:lineRule="exact"/>
              <w:jc w:val="center"/>
              <w:rPr>
                <w:rFonts w:hint="default" w:ascii="仿宋" w:hAnsi="仿宋" w:eastAsia="仿宋" w:cs="仿宋"/>
                <w:lang w:val="en-US" w:eastAsia="zh-CN"/>
              </w:rPr>
            </w:pPr>
            <w:r>
              <w:rPr>
                <w:rFonts w:hint="eastAsia" w:ascii="仿宋" w:hAnsi="仿宋" w:eastAsia="仿宋" w:cs="仿宋"/>
                <w:lang w:val="en-US" w:eastAsia="zh-CN"/>
              </w:rPr>
              <w:t>8</w:t>
            </w:r>
          </w:p>
        </w:tc>
        <w:tc>
          <w:tcPr>
            <w:tcW w:w="1228" w:type="dxa"/>
            <w:vMerge w:val="restart"/>
            <w:tcBorders>
              <w:left w:val="single" w:color="auto" w:sz="4" w:space="0"/>
              <w:right w:val="single" w:color="auto" w:sz="4" w:space="0"/>
            </w:tcBorders>
            <w:vAlign w:val="center"/>
          </w:tcPr>
          <w:p w14:paraId="2FC042E0">
            <w:pPr>
              <w:widowControl/>
              <w:spacing w:line="24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lang w:eastAsia="zh-CN"/>
              </w:rPr>
              <w:t>售后服务</w:t>
            </w:r>
          </w:p>
        </w:tc>
        <w:tc>
          <w:tcPr>
            <w:tcW w:w="7350" w:type="dxa"/>
            <w:gridSpan w:val="2"/>
            <w:tcBorders>
              <w:top w:val="single" w:color="auto" w:sz="4" w:space="0"/>
              <w:left w:val="single" w:color="auto" w:sz="4" w:space="0"/>
              <w:right w:val="single" w:color="auto" w:sz="4" w:space="0"/>
            </w:tcBorders>
            <w:vAlign w:val="center"/>
          </w:tcPr>
          <w:p w14:paraId="59637EE4">
            <w:pPr>
              <w:spacing w:line="240" w:lineRule="exact"/>
              <w:rPr>
                <w:rFonts w:hint="eastAsia" w:ascii="仿宋" w:hAnsi="仿宋" w:eastAsia="仿宋" w:cs="仿宋"/>
                <w:color w:val="000000"/>
                <w:position w:val="-2"/>
                <w:sz w:val="21"/>
                <w:szCs w:val="21"/>
                <w:lang w:val="en-US" w:eastAsia="zh-CN" w:bidi="ar-SA"/>
              </w:rPr>
            </w:pPr>
            <w:r>
              <w:rPr>
                <w:rFonts w:hint="eastAsia" w:ascii="仿宋" w:hAnsi="仿宋" w:eastAsia="仿宋" w:cs="仿宋"/>
                <w:position w:val="-2"/>
              </w:rPr>
              <w:t>提供详细的售后服务方案，包括</w:t>
            </w:r>
            <w:r>
              <w:rPr>
                <w:rFonts w:hint="eastAsia" w:ascii="仿宋" w:hAnsi="仿宋" w:eastAsia="仿宋" w:cs="仿宋"/>
                <w:position w:val="-2"/>
                <w:lang w:eastAsia="zh-CN"/>
              </w:rPr>
              <w:t>但不限于：</w:t>
            </w:r>
            <w:r>
              <w:rPr>
                <w:rFonts w:hint="eastAsia" w:ascii="仿宋" w:hAnsi="仿宋" w:eastAsia="仿宋" w:cs="仿宋"/>
                <w:position w:val="-2"/>
              </w:rPr>
              <w:t>技术支持、服务措施、故障解决方案、应急措施等综合评审</w:t>
            </w:r>
            <w:r>
              <w:rPr>
                <w:rFonts w:hint="eastAsia" w:ascii="仿宋" w:hAnsi="仿宋" w:eastAsia="仿宋" w:cs="仿宋"/>
                <w:b w:val="0"/>
                <w:bCs/>
                <w:color w:val="auto"/>
                <w:kern w:val="2"/>
                <w:sz w:val="21"/>
                <w:szCs w:val="21"/>
                <w:highlight w:val="none"/>
                <w:lang w:val="en-US" w:eastAsia="zh-CN" w:bidi="ar-SA"/>
              </w:rPr>
              <w:t>（0、1、2、3、4</w:t>
            </w:r>
            <w:bookmarkStart w:id="17" w:name="_GoBack"/>
            <w:bookmarkEnd w:id="17"/>
            <w:r>
              <w:rPr>
                <w:rFonts w:hint="eastAsia" w:ascii="仿宋" w:hAnsi="仿宋" w:eastAsia="仿宋" w:cs="仿宋"/>
                <w:b w:val="0"/>
                <w:bCs/>
                <w:color w:val="auto"/>
                <w:kern w:val="2"/>
                <w:sz w:val="21"/>
                <w:szCs w:val="21"/>
                <w:highlight w:val="none"/>
                <w:lang w:val="en-US" w:eastAsia="zh-CN" w:bidi="ar-SA"/>
              </w:rPr>
              <w:t>分）</w:t>
            </w:r>
            <w:r>
              <w:rPr>
                <w:rFonts w:hint="eastAsia" w:ascii="仿宋" w:hAnsi="仿宋" w:eastAsia="仿宋" w:cs="仿宋"/>
                <w:position w:val="-2"/>
              </w:rPr>
              <w:t>。</w:t>
            </w:r>
          </w:p>
        </w:tc>
        <w:tc>
          <w:tcPr>
            <w:tcW w:w="936" w:type="dxa"/>
            <w:tcBorders>
              <w:top w:val="single" w:color="auto" w:sz="4" w:space="0"/>
              <w:left w:val="single" w:color="auto" w:sz="4" w:space="0"/>
              <w:right w:val="single" w:color="auto" w:sz="4" w:space="0"/>
            </w:tcBorders>
            <w:vAlign w:val="center"/>
          </w:tcPr>
          <w:p w14:paraId="51512077">
            <w:pPr>
              <w:spacing w:line="24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lang w:val="en-US" w:eastAsia="zh-CN"/>
              </w:rPr>
              <w:t>0-4</w:t>
            </w:r>
          </w:p>
        </w:tc>
      </w:tr>
      <w:tr w14:paraId="58D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88" w:type="dxa"/>
            <w:vMerge w:val="continue"/>
            <w:tcBorders>
              <w:left w:val="single" w:color="auto" w:sz="4" w:space="0"/>
              <w:right w:val="single" w:color="auto" w:sz="4" w:space="0"/>
            </w:tcBorders>
            <w:vAlign w:val="center"/>
          </w:tcPr>
          <w:p w14:paraId="7168ADC3">
            <w:pPr>
              <w:tabs>
                <w:tab w:val="left" w:pos="540"/>
              </w:tabs>
              <w:snapToGrid w:val="0"/>
              <w:spacing w:line="240" w:lineRule="exact"/>
              <w:jc w:val="center"/>
              <w:rPr>
                <w:rFonts w:hint="eastAsia" w:ascii="仿宋" w:hAnsi="仿宋" w:eastAsia="仿宋" w:cs="仿宋"/>
                <w:lang w:val="en-US" w:eastAsia="zh-CN"/>
              </w:rPr>
            </w:pPr>
          </w:p>
        </w:tc>
        <w:tc>
          <w:tcPr>
            <w:tcW w:w="1228" w:type="dxa"/>
            <w:vMerge w:val="continue"/>
            <w:tcBorders>
              <w:left w:val="single" w:color="auto" w:sz="4" w:space="0"/>
              <w:right w:val="single" w:color="auto" w:sz="4" w:space="0"/>
            </w:tcBorders>
            <w:vAlign w:val="center"/>
          </w:tcPr>
          <w:p w14:paraId="2EC417DC">
            <w:pPr>
              <w:widowControl/>
              <w:spacing w:line="240" w:lineRule="exact"/>
              <w:jc w:val="center"/>
              <w:rPr>
                <w:rFonts w:hint="eastAsia" w:ascii="仿宋" w:hAnsi="仿宋" w:eastAsia="仿宋" w:cs="仿宋"/>
                <w:color w:val="auto"/>
                <w:kern w:val="2"/>
                <w:lang w:eastAsia="zh-CN"/>
              </w:rPr>
            </w:pPr>
          </w:p>
        </w:tc>
        <w:tc>
          <w:tcPr>
            <w:tcW w:w="7350" w:type="dxa"/>
            <w:gridSpan w:val="2"/>
            <w:tcBorders>
              <w:top w:val="single" w:color="auto" w:sz="4" w:space="0"/>
              <w:left w:val="single" w:color="auto" w:sz="4" w:space="0"/>
              <w:right w:val="single" w:color="auto" w:sz="4" w:space="0"/>
            </w:tcBorders>
            <w:vAlign w:val="center"/>
          </w:tcPr>
          <w:p w14:paraId="7AE211DE">
            <w:pPr>
              <w:spacing w:line="240" w:lineRule="exact"/>
              <w:rPr>
                <w:rFonts w:hint="eastAsia" w:ascii="仿宋" w:hAnsi="仿宋" w:eastAsia="仿宋" w:cs="仿宋"/>
                <w:color w:val="000000"/>
                <w:position w:val="-2"/>
                <w:sz w:val="21"/>
                <w:szCs w:val="21"/>
                <w:lang w:val="en-US" w:eastAsia="zh-CN" w:bidi="ar-SA"/>
              </w:rPr>
            </w:pPr>
            <w:r>
              <w:rPr>
                <w:rFonts w:hint="eastAsia" w:ascii="仿宋" w:hAnsi="仿宋" w:eastAsia="仿宋" w:cs="仿宋"/>
                <w:b w:val="0"/>
                <w:bCs/>
                <w:color w:val="auto"/>
                <w:kern w:val="2"/>
                <w:sz w:val="21"/>
                <w:szCs w:val="21"/>
                <w:highlight w:val="none"/>
                <w:lang w:val="en-US" w:eastAsia="zh-CN" w:bidi="ar-SA"/>
              </w:rPr>
              <w:t>售后服务机构备品备件储备情况，备品备件是否充足，是否能满足售后需求（0、1、2分）。</w:t>
            </w:r>
          </w:p>
        </w:tc>
        <w:tc>
          <w:tcPr>
            <w:tcW w:w="936" w:type="dxa"/>
            <w:tcBorders>
              <w:top w:val="single" w:color="auto" w:sz="4" w:space="0"/>
              <w:left w:val="single" w:color="auto" w:sz="4" w:space="0"/>
              <w:right w:val="single" w:color="auto" w:sz="4" w:space="0"/>
            </w:tcBorders>
            <w:vAlign w:val="center"/>
          </w:tcPr>
          <w:p w14:paraId="1B9A04A0">
            <w:pPr>
              <w:spacing w:line="24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lang w:val="en-US" w:eastAsia="zh-CN"/>
              </w:rPr>
              <w:t>0-2</w:t>
            </w:r>
          </w:p>
        </w:tc>
      </w:tr>
      <w:tr w14:paraId="7412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88" w:type="dxa"/>
            <w:vMerge w:val="continue"/>
            <w:tcBorders>
              <w:left w:val="single" w:color="auto" w:sz="4" w:space="0"/>
              <w:right w:val="single" w:color="auto" w:sz="4" w:space="0"/>
            </w:tcBorders>
            <w:vAlign w:val="center"/>
          </w:tcPr>
          <w:p w14:paraId="197C8C72">
            <w:pPr>
              <w:tabs>
                <w:tab w:val="left" w:pos="540"/>
              </w:tabs>
              <w:snapToGrid w:val="0"/>
              <w:spacing w:line="240" w:lineRule="exact"/>
              <w:jc w:val="center"/>
              <w:rPr>
                <w:rFonts w:hint="eastAsia" w:ascii="仿宋" w:hAnsi="仿宋" w:eastAsia="仿宋" w:cs="仿宋"/>
                <w:lang w:val="en-US" w:eastAsia="zh-CN"/>
              </w:rPr>
            </w:pPr>
          </w:p>
        </w:tc>
        <w:tc>
          <w:tcPr>
            <w:tcW w:w="1228" w:type="dxa"/>
            <w:vMerge w:val="continue"/>
            <w:tcBorders>
              <w:left w:val="single" w:color="auto" w:sz="4" w:space="0"/>
              <w:right w:val="single" w:color="auto" w:sz="4" w:space="0"/>
            </w:tcBorders>
            <w:vAlign w:val="center"/>
          </w:tcPr>
          <w:p w14:paraId="4A5CC977">
            <w:pPr>
              <w:widowControl/>
              <w:spacing w:line="240" w:lineRule="exact"/>
              <w:jc w:val="center"/>
              <w:rPr>
                <w:rFonts w:hint="eastAsia" w:ascii="仿宋" w:hAnsi="仿宋" w:eastAsia="仿宋" w:cs="仿宋"/>
                <w:color w:val="auto"/>
                <w:kern w:val="2"/>
                <w:lang w:eastAsia="zh-CN"/>
              </w:rPr>
            </w:pPr>
          </w:p>
        </w:tc>
        <w:tc>
          <w:tcPr>
            <w:tcW w:w="7350" w:type="dxa"/>
            <w:gridSpan w:val="2"/>
            <w:tcBorders>
              <w:top w:val="single" w:color="auto" w:sz="4" w:space="0"/>
              <w:left w:val="single" w:color="auto" w:sz="4" w:space="0"/>
              <w:right w:val="single" w:color="auto" w:sz="4" w:space="0"/>
            </w:tcBorders>
            <w:vAlign w:val="center"/>
          </w:tcPr>
          <w:p w14:paraId="5719BFD5">
            <w:pPr>
              <w:spacing w:line="240" w:lineRule="exact"/>
              <w:rPr>
                <w:rFonts w:hint="eastAsia" w:ascii="仿宋" w:hAnsi="仿宋" w:eastAsia="仿宋" w:cs="仿宋"/>
                <w:color w:val="000000"/>
                <w:position w:val="-2"/>
                <w:sz w:val="21"/>
                <w:szCs w:val="21"/>
                <w:lang w:val="en-US" w:eastAsia="zh-CN" w:bidi="ar-SA"/>
              </w:rPr>
            </w:pPr>
            <w:r>
              <w:rPr>
                <w:rFonts w:hint="eastAsia" w:ascii="仿宋" w:hAnsi="仿宋" w:eastAsia="仿宋" w:cs="仿宋"/>
                <w:b w:val="0"/>
                <w:bCs/>
                <w:color w:val="auto"/>
                <w:kern w:val="2"/>
                <w:sz w:val="21"/>
                <w:szCs w:val="21"/>
                <w:highlight w:val="none"/>
                <w:lang w:val="en-US" w:eastAsia="zh-CN" w:bidi="ar-SA"/>
              </w:rPr>
              <w:t>在招标文件要求的质保期基础上，承诺整体质保期每延长1年得1分，最高得2分（延长不足1年的不计分，不承诺不得分）。</w:t>
            </w:r>
          </w:p>
        </w:tc>
        <w:tc>
          <w:tcPr>
            <w:tcW w:w="936" w:type="dxa"/>
            <w:tcBorders>
              <w:top w:val="single" w:color="auto" w:sz="4" w:space="0"/>
              <w:left w:val="single" w:color="auto" w:sz="4" w:space="0"/>
              <w:right w:val="single" w:color="auto" w:sz="4" w:space="0"/>
            </w:tcBorders>
            <w:vAlign w:val="center"/>
          </w:tcPr>
          <w:p w14:paraId="0FE1BC91">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0-2</w:t>
            </w:r>
          </w:p>
          <w:p w14:paraId="456209F0">
            <w:pPr>
              <w:spacing w:line="24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16"/>
                <w:szCs w:val="16"/>
                <w:highlight w:val="none"/>
                <w:lang w:val="en-US" w:eastAsia="zh-CN" w:bidi="ar-SA"/>
              </w:rPr>
              <w:t>（客观分）</w:t>
            </w:r>
          </w:p>
        </w:tc>
      </w:tr>
      <w:tr w14:paraId="0C2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88" w:type="dxa"/>
            <w:tcBorders>
              <w:left w:val="single" w:color="auto" w:sz="4" w:space="0"/>
              <w:right w:val="single" w:color="auto" w:sz="4" w:space="0"/>
            </w:tcBorders>
            <w:vAlign w:val="center"/>
          </w:tcPr>
          <w:p w14:paraId="6204A924">
            <w:pPr>
              <w:tabs>
                <w:tab w:val="left" w:pos="540"/>
              </w:tabs>
              <w:snapToGrid w:val="0"/>
              <w:spacing w:line="240" w:lineRule="exact"/>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1228" w:type="dxa"/>
            <w:tcBorders>
              <w:left w:val="single" w:color="auto" w:sz="4" w:space="0"/>
              <w:right w:val="single" w:color="auto" w:sz="4" w:space="0"/>
            </w:tcBorders>
            <w:vAlign w:val="center"/>
          </w:tcPr>
          <w:p w14:paraId="7FB033FE">
            <w:pPr>
              <w:widowControl/>
              <w:spacing w:line="240" w:lineRule="exact"/>
              <w:jc w:val="center"/>
              <w:rPr>
                <w:rFonts w:hint="eastAsia" w:ascii="仿宋" w:hAnsi="仿宋" w:eastAsia="仿宋" w:cs="仿宋"/>
                <w:color w:val="auto"/>
                <w:kern w:val="2"/>
              </w:rPr>
            </w:pPr>
            <w:r>
              <w:rPr>
                <w:rFonts w:hint="eastAsia" w:ascii="仿宋" w:hAnsi="仿宋" w:eastAsia="仿宋" w:cs="仿宋"/>
                <w:color w:val="auto"/>
                <w:kern w:val="2"/>
                <w:lang w:eastAsia="zh-CN"/>
              </w:rPr>
              <w:t>技术培训</w:t>
            </w:r>
          </w:p>
        </w:tc>
        <w:tc>
          <w:tcPr>
            <w:tcW w:w="7350" w:type="dxa"/>
            <w:gridSpan w:val="2"/>
            <w:tcBorders>
              <w:top w:val="single" w:color="auto" w:sz="4" w:space="0"/>
              <w:left w:val="single" w:color="auto" w:sz="4" w:space="0"/>
              <w:right w:val="single" w:color="auto" w:sz="4" w:space="0"/>
            </w:tcBorders>
            <w:vAlign w:val="center"/>
          </w:tcPr>
          <w:p w14:paraId="4F948A48">
            <w:pPr>
              <w:spacing w:line="240" w:lineRule="exac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投标人需对用户进行培训，要求提供详细的培训计划，包括培训内容、培训时间等：</w:t>
            </w:r>
          </w:p>
          <w:p w14:paraId="3D511BA0">
            <w:pPr>
              <w:numPr>
                <w:ilvl w:val="0"/>
                <w:numId w:val="0"/>
              </w:numPr>
              <w:spacing w:line="240" w:lineRule="exac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1、培训内容至少应包括下列内容：原理、构成和功能的描述（0、0.5、1分）；</w:t>
            </w:r>
          </w:p>
          <w:p w14:paraId="7CEBFB91">
            <w:pPr>
              <w:numPr>
                <w:ilvl w:val="0"/>
                <w:numId w:val="0"/>
              </w:numPr>
              <w:spacing w:line="240" w:lineRule="exact"/>
              <w:rPr>
                <w:rFonts w:hint="eastAsia" w:ascii="仿宋" w:hAnsi="仿宋" w:eastAsia="仿宋" w:cs="仿宋"/>
                <w:position w:val="-2"/>
              </w:rPr>
            </w:pPr>
            <w:r>
              <w:rPr>
                <w:rFonts w:hint="eastAsia" w:ascii="仿宋" w:hAnsi="仿宋" w:eastAsia="仿宋" w:cs="仿宋"/>
                <w:b w:val="0"/>
                <w:bCs/>
                <w:color w:val="auto"/>
                <w:kern w:val="2"/>
                <w:sz w:val="21"/>
                <w:szCs w:val="21"/>
                <w:highlight w:val="none"/>
                <w:lang w:val="en-US" w:eastAsia="zh-CN" w:bidi="ar-SA"/>
              </w:rPr>
              <w:t>2、常见故障的处理或排除；各系统部件（设备）的检查、调整和维护（0、0.5、1分）；</w:t>
            </w:r>
          </w:p>
          <w:p w14:paraId="031F665E">
            <w:pPr>
              <w:numPr>
                <w:ilvl w:val="0"/>
                <w:numId w:val="0"/>
              </w:numPr>
              <w:spacing w:line="240" w:lineRule="exact"/>
              <w:rPr>
                <w:rFonts w:hint="eastAsia" w:ascii="仿宋" w:hAnsi="仿宋" w:eastAsia="仿宋" w:cs="仿宋"/>
                <w:position w:val="-2"/>
              </w:rPr>
            </w:pPr>
            <w:r>
              <w:rPr>
                <w:rFonts w:hint="eastAsia" w:ascii="仿宋" w:hAnsi="仿宋" w:eastAsia="仿宋" w:cs="仿宋"/>
                <w:b w:val="0"/>
                <w:bCs/>
                <w:color w:val="auto"/>
                <w:kern w:val="2"/>
                <w:sz w:val="21"/>
                <w:szCs w:val="21"/>
                <w:highlight w:val="none"/>
                <w:lang w:val="en-US" w:eastAsia="zh-CN" w:bidi="ar-SA"/>
              </w:rPr>
              <w:t>3、对使用者关于设备基本操作技能的培训（0、0.5、1分）。</w:t>
            </w:r>
          </w:p>
        </w:tc>
        <w:tc>
          <w:tcPr>
            <w:tcW w:w="936" w:type="dxa"/>
            <w:tcBorders>
              <w:top w:val="single" w:color="auto" w:sz="4" w:space="0"/>
              <w:left w:val="single" w:color="auto" w:sz="4" w:space="0"/>
              <w:right w:val="single" w:color="auto" w:sz="4" w:space="0"/>
            </w:tcBorders>
            <w:vAlign w:val="center"/>
          </w:tcPr>
          <w:p w14:paraId="7ED75BAD">
            <w:pPr>
              <w:spacing w:line="240" w:lineRule="exact"/>
              <w:jc w:val="center"/>
              <w:rPr>
                <w:rFonts w:hint="default" w:ascii="仿宋" w:hAnsi="仿宋" w:eastAsia="仿宋" w:cs="仿宋"/>
                <w:color w:val="auto"/>
                <w:kern w:val="2"/>
                <w:lang w:val="en-US"/>
              </w:rPr>
            </w:pPr>
            <w:r>
              <w:rPr>
                <w:rFonts w:hint="eastAsia" w:ascii="仿宋" w:hAnsi="仿宋" w:eastAsia="仿宋" w:cs="仿宋"/>
                <w:b w:val="0"/>
                <w:bCs/>
                <w:color w:val="auto"/>
                <w:kern w:val="2"/>
                <w:sz w:val="21"/>
                <w:szCs w:val="21"/>
                <w:highlight w:val="none"/>
                <w:lang w:val="en-US" w:eastAsia="zh-CN" w:bidi="ar-SA"/>
              </w:rPr>
              <w:t>0-3</w:t>
            </w:r>
          </w:p>
        </w:tc>
      </w:tr>
      <w:tr w14:paraId="4F17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302" w:type="dxa"/>
            <w:gridSpan w:val="5"/>
            <w:tcBorders>
              <w:top w:val="single" w:color="auto" w:sz="4" w:space="0"/>
              <w:left w:val="single" w:color="auto" w:sz="4" w:space="0"/>
              <w:right w:val="single" w:color="auto" w:sz="4" w:space="0"/>
            </w:tcBorders>
            <w:vAlign w:val="center"/>
          </w:tcPr>
          <w:p w14:paraId="404EC584">
            <w:pPr>
              <w:pStyle w:val="49"/>
              <w:spacing w:before="0" w:beforeAutospacing="0" w:after="0" w:afterAutospacing="0"/>
              <w:rPr>
                <w:rFonts w:ascii="仿宋" w:eastAsia="仿宋" w:cs="Times New Roman"/>
                <w:kern w:val="2"/>
              </w:rPr>
            </w:pPr>
            <w:r>
              <w:rPr>
                <w:rFonts w:ascii="仿宋" w:eastAsia="仿宋" w:cs="Times New Roman"/>
                <w:kern w:val="2"/>
              </w:rPr>
              <w:t>注：1.如在投标文件中未涉及上述评分内容的，均按0分计。</w:t>
            </w:r>
          </w:p>
          <w:p w14:paraId="199B1FC4">
            <w:pPr>
              <w:ind w:firstLine="480" w:firstLineChars="200"/>
              <w:jc w:val="left"/>
              <w:rPr>
                <w:rFonts w:ascii="仿宋" w:eastAsia="仿宋" w:cs="仿宋"/>
                <w:color w:val="auto"/>
                <w:sz w:val="24"/>
                <w:szCs w:val="24"/>
              </w:rPr>
            </w:pPr>
            <w:r>
              <w:rPr>
                <w:rFonts w:ascii="仿宋" w:eastAsia="仿宋"/>
                <w:color w:val="auto"/>
                <w:kern w:val="2"/>
                <w:sz w:val="24"/>
                <w:szCs w:val="24"/>
              </w:rPr>
              <w:t>2.投标文件中提供的材料均应清晰可辨，否则不得分。</w:t>
            </w:r>
          </w:p>
        </w:tc>
      </w:tr>
    </w:tbl>
    <w:p w14:paraId="377A4DC1">
      <w:pPr>
        <w:pStyle w:val="23"/>
        <w:ind w:left="0" w:leftChars="0"/>
        <w:rPr>
          <w:rFonts w:ascii="仿宋" w:eastAsia="仿宋" w:cs="仿宋"/>
          <w:b/>
          <w:color w:val="auto"/>
          <w:sz w:val="24"/>
          <w:szCs w:val="24"/>
        </w:rPr>
      </w:pPr>
      <w:r>
        <w:rPr>
          <w:rFonts w:hint="eastAsia" w:ascii="仿宋" w:eastAsia="仿宋" w:cs="仿宋"/>
          <w:b/>
          <w:color w:val="auto"/>
          <w:sz w:val="24"/>
          <w:szCs w:val="24"/>
        </w:rPr>
        <w:t>注：本次评审通过资格审查和符合性评审的单位全部入围进行后续评审。</w:t>
      </w:r>
      <w:bookmarkEnd w:id="14"/>
    </w:p>
    <w:p w14:paraId="77E8652C">
      <w:pPr>
        <w:rPr>
          <w:rFonts w:ascii="仿宋" w:eastAsia="仿宋" w:cs="仿宋"/>
          <w:b/>
          <w:color w:val="auto"/>
          <w:sz w:val="24"/>
          <w:szCs w:val="24"/>
        </w:rPr>
      </w:pPr>
      <w:r>
        <w:rPr>
          <w:rFonts w:hint="eastAsia" w:ascii="仿宋" w:eastAsia="仿宋" w:cs="仿宋"/>
          <w:b/>
          <w:color w:val="auto"/>
          <w:sz w:val="24"/>
          <w:szCs w:val="24"/>
        </w:rPr>
        <w:br w:type="page"/>
      </w:r>
    </w:p>
    <w:p w14:paraId="085EF001">
      <w:pPr>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第五章  武义县政府采购合同（参考范本）</w:t>
      </w:r>
    </w:p>
    <w:p w14:paraId="4DE02DB3">
      <w:pPr>
        <w:spacing w:line="420" w:lineRule="exact"/>
        <w:jc w:val="center"/>
        <w:rPr>
          <w:rFonts w:ascii="仿宋" w:eastAsia="仿宋" w:cs="仿宋"/>
          <w:color w:val="auto"/>
          <w:sz w:val="24"/>
          <w:szCs w:val="24"/>
        </w:rPr>
      </w:pPr>
    </w:p>
    <w:p w14:paraId="04E5CCDF">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700CB83">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095E47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0000FF"/>
          <w:sz w:val="24"/>
          <w:szCs w:val="24"/>
          <w:u w:val="single"/>
          <w:lang w:eastAsia="zh-CN"/>
        </w:rPr>
        <w:t>武义县妇幼保健院手术室吊塔、无影灯设备采购项目</w:t>
      </w:r>
      <w:r>
        <w:rPr>
          <w:rFonts w:hint="eastAsia" w:ascii="仿宋" w:hAnsi="仿宋" w:eastAsia="仿宋" w:cs="仿宋"/>
          <w:color w:val="0000FF"/>
          <w:sz w:val="24"/>
          <w:szCs w:val="24"/>
        </w:rPr>
        <w:t>（项目编号：</w:t>
      </w:r>
      <w:r>
        <w:rPr>
          <w:rFonts w:hint="eastAsia" w:ascii="仿宋" w:hAnsi="仿宋" w:eastAsia="仿宋" w:cs="仿宋"/>
          <w:color w:val="0000FF"/>
          <w:sz w:val="24"/>
          <w:szCs w:val="24"/>
          <w:u w:val="single"/>
          <w:lang w:eastAsia="zh-CN"/>
        </w:rPr>
        <w:t>JHTK-ZB2025008</w:t>
      </w:r>
      <w:r>
        <w:rPr>
          <w:rFonts w:hint="eastAsia" w:ascii="仿宋" w:hAnsi="仿宋" w:eastAsia="仿宋" w:cs="仿宋"/>
          <w:color w:val="0000FF"/>
          <w:sz w:val="24"/>
          <w:szCs w:val="24"/>
        </w:rPr>
        <w:t>）</w:t>
      </w:r>
      <w:r>
        <w:rPr>
          <w:rFonts w:hint="eastAsia" w:ascii="仿宋" w:hAnsi="仿宋" w:eastAsia="仿宋" w:cs="仿宋"/>
          <w:color w:val="auto"/>
          <w:sz w:val="24"/>
          <w:szCs w:val="24"/>
        </w:rPr>
        <w:t>采购文件相关要求，经法定程序采购，双方同意签订以下合同条款，以便双方共同遵守、履行合同。</w:t>
      </w:r>
    </w:p>
    <w:p w14:paraId="3A8D84E0">
      <w:pPr>
        <w:keepNext w:val="0"/>
        <w:keepLines w:val="0"/>
        <w:pageBreakBefore w:val="0"/>
        <w:widowControl w:val="0"/>
        <w:numPr>
          <w:ilvl w:val="0"/>
          <w:numId w:val="8"/>
        </w:numPr>
        <w:kinsoku/>
        <w:wordWrap/>
        <w:overflowPunct/>
        <w:topLinePunct w:val="0"/>
        <w:autoSpaceDE w:val="0"/>
        <w:autoSpaceDN w:val="0"/>
        <w:bidi w:val="0"/>
        <w:adjustRightInd w:val="0"/>
        <w:snapToGrid/>
        <w:spacing w:line="320" w:lineRule="exact"/>
        <w:ind w:left="600" w:leftChars="0" w:right="0"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合同货物</w:t>
      </w:r>
    </w:p>
    <w:tbl>
      <w:tblPr>
        <w:tblStyle w:val="3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78"/>
        <w:gridCol w:w="1380"/>
        <w:gridCol w:w="1850"/>
        <w:gridCol w:w="1255"/>
        <w:gridCol w:w="1312"/>
        <w:gridCol w:w="1683"/>
      </w:tblGrid>
      <w:tr w14:paraId="5688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2" w:type="dxa"/>
            <w:noWrap w:val="0"/>
            <w:vAlign w:val="center"/>
          </w:tcPr>
          <w:p w14:paraId="43C898C9">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序号</w:t>
            </w:r>
          </w:p>
        </w:tc>
        <w:tc>
          <w:tcPr>
            <w:tcW w:w="1678" w:type="dxa"/>
            <w:noWrap w:val="0"/>
            <w:vAlign w:val="center"/>
          </w:tcPr>
          <w:p w14:paraId="24272F69">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设备名称</w:t>
            </w:r>
          </w:p>
        </w:tc>
        <w:tc>
          <w:tcPr>
            <w:tcW w:w="1380" w:type="dxa"/>
            <w:noWrap w:val="0"/>
            <w:vAlign w:val="center"/>
          </w:tcPr>
          <w:p w14:paraId="3885C23D">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生产厂家</w:t>
            </w:r>
          </w:p>
        </w:tc>
        <w:tc>
          <w:tcPr>
            <w:tcW w:w="1850" w:type="dxa"/>
            <w:noWrap w:val="0"/>
            <w:vAlign w:val="center"/>
          </w:tcPr>
          <w:p w14:paraId="335D4F3E">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品牌型号或技术参数</w:t>
            </w:r>
          </w:p>
        </w:tc>
        <w:tc>
          <w:tcPr>
            <w:tcW w:w="1255" w:type="dxa"/>
            <w:noWrap w:val="0"/>
            <w:vAlign w:val="center"/>
          </w:tcPr>
          <w:p w14:paraId="1A281C76">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数量及单位</w:t>
            </w:r>
          </w:p>
        </w:tc>
        <w:tc>
          <w:tcPr>
            <w:tcW w:w="1312" w:type="dxa"/>
            <w:noWrap w:val="0"/>
            <w:vAlign w:val="center"/>
          </w:tcPr>
          <w:p w14:paraId="70C858E0">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单价</w:t>
            </w:r>
          </w:p>
          <w:p w14:paraId="202D0390">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（元）</w:t>
            </w:r>
          </w:p>
        </w:tc>
        <w:tc>
          <w:tcPr>
            <w:tcW w:w="1683" w:type="dxa"/>
            <w:noWrap w:val="0"/>
            <w:vAlign w:val="center"/>
          </w:tcPr>
          <w:p w14:paraId="031BE32F">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小计金额（元）</w:t>
            </w:r>
          </w:p>
        </w:tc>
      </w:tr>
      <w:tr w14:paraId="2D28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2" w:type="dxa"/>
            <w:noWrap w:val="0"/>
            <w:vAlign w:val="center"/>
          </w:tcPr>
          <w:p w14:paraId="7D1B2363">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78" w:type="dxa"/>
            <w:noWrap w:val="0"/>
            <w:vAlign w:val="center"/>
          </w:tcPr>
          <w:p w14:paraId="3B2F46BA">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80" w:type="dxa"/>
            <w:noWrap w:val="0"/>
            <w:vAlign w:val="center"/>
          </w:tcPr>
          <w:p w14:paraId="11D70F59">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850" w:type="dxa"/>
            <w:noWrap w:val="0"/>
            <w:vAlign w:val="center"/>
          </w:tcPr>
          <w:p w14:paraId="6F16B722">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255" w:type="dxa"/>
            <w:noWrap w:val="0"/>
            <w:vAlign w:val="center"/>
          </w:tcPr>
          <w:p w14:paraId="22B19134">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12" w:type="dxa"/>
            <w:noWrap w:val="0"/>
            <w:vAlign w:val="center"/>
          </w:tcPr>
          <w:p w14:paraId="30780B0A">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83" w:type="dxa"/>
            <w:noWrap w:val="0"/>
            <w:vAlign w:val="center"/>
          </w:tcPr>
          <w:p w14:paraId="2692B496">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r>
      <w:tr w14:paraId="028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185ACC1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78" w:type="dxa"/>
            <w:noWrap w:val="0"/>
            <w:vAlign w:val="center"/>
          </w:tcPr>
          <w:p w14:paraId="653EF7A2">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80" w:type="dxa"/>
            <w:noWrap w:val="0"/>
            <w:vAlign w:val="center"/>
          </w:tcPr>
          <w:p w14:paraId="123D839D">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850" w:type="dxa"/>
            <w:noWrap w:val="0"/>
            <w:vAlign w:val="center"/>
          </w:tcPr>
          <w:p w14:paraId="5AD57311">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255" w:type="dxa"/>
            <w:noWrap w:val="0"/>
            <w:vAlign w:val="center"/>
          </w:tcPr>
          <w:p w14:paraId="544B2A77">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12" w:type="dxa"/>
            <w:noWrap w:val="0"/>
            <w:vAlign w:val="center"/>
          </w:tcPr>
          <w:p w14:paraId="28FDF2C8">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83" w:type="dxa"/>
            <w:noWrap w:val="0"/>
            <w:vAlign w:val="center"/>
          </w:tcPr>
          <w:p w14:paraId="00C0882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r>
      <w:tr w14:paraId="6670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20" w:type="dxa"/>
            <w:gridSpan w:val="7"/>
            <w:noWrap w:val="0"/>
            <w:vAlign w:val="center"/>
          </w:tcPr>
          <w:p w14:paraId="32B6D1B9">
            <w:pPr>
              <w:pStyle w:val="14"/>
              <w:keepNext w:val="0"/>
              <w:keepLines w:val="0"/>
              <w:pageBreakBefore w:val="0"/>
              <w:widowControl w:val="0"/>
              <w:kinsoku/>
              <w:wordWrap w:val="0"/>
              <w:overflowPunct/>
              <w:topLinePunct w:val="0"/>
              <w:bidi w:val="0"/>
              <w:snapToGrid/>
              <w:spacing w:line="240" w:lineRule="exact"/>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b/>
                <w:bCs/>
                <w:kern w:val="2"/>
                <w:sz w:val="21"/>
                <w:szCs w:val="21"/>
                <w:highlight w:val="none"/>
                <w:lang w:val="en-US" w:eastAsia="zh-CN"/>
              </w:rPr>
              <w:t>合计人民币金额（大写）：</w:t>
            </w:r>
          </w:p>
        </w:tc>
      </w:tr>
    </w:tbl>
    <w:p w14:paraId="6E83A325">
      <w:pPr>
        <w:pStyle w:val="53"/>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w:t>
      </w:r>
      <w:r>
        <w:rPr>
          <w:rFonts w:hint="eastAsia" w:ascii="仿宋" w:hAnsi="仿宋" w:eastAsia="仿宋" w:cs="仿宋"/>
          <w:b/>
          <w:bCs/>
          <w:sz w:val="24"/>
          <w:szCs w:val="24"/>
          <w:lang w:eastAsia="zh-CN"/>
        </w:rPr>
        <w:t>工期</w:t>
      </w:r>
      <w:r>
        <w:rPr>
          <w:rFonts w:hint="eastAsia" w:ascii="仿宋" w:hAnsi="仿宋" w:eastAsia="仿宋" w:cs="仿宋"/>
          <w:b/>
          <w:bCs/>
          <w:sz w:val="24"/>
          <w:szCs w:val="24"/>
        </w:rPr>
        <w:t>：</w:t>
      </w:r>
    </w:p>
    <w:p w14:paraId="55F3749A">
      <w:pPr>
        <w:pStyle w:val="53"/>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7DC93DF2">
      <w:pPr>
        <w:pStyle w:val="53"/>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、质保期</w:t>
      </w:r>
      <w:r>
        <w:rPr>
          <w:rFonts w:hint="eastAsia" w:ascii="仿宋" w:hAnsi="仿宋" w:eastAsia="仿宋" w:cs="仿宋"/>
          <w:b/>
          <w:bCs/>
          <w:sz w:val="24"/>
          <w:szCs w:val="24"/>
          <w:lang w:eastAsia="zh-CN"/>
        </w:rPr>
        <w:t>及售后服务要求</w:t>
      </w:r>
      <w:r>
        <w:rPr>
          <w:rFonts w:hint="eastAsia" w:ascii="仿宋" w:hAnsi="仿宋" w:eastAsia="仿宋" w:cs="仿宋"/>
          <w:b/>
          <w:bCs/>
          <w:sz w:val="24"/>
          <w:szCs w:val="24"/>
        </w:rPr>
        <w:t>：</w:t>
      </w:r>
    </w:p>
    <w:p w14:paraId="0DD82B9A">
      <w:pPr>
        <w:pStyle w:val="53"/>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5E842493">
      <w:pPr>
        <w:pStyle w:val="53"/>
        <w:numPr>
          <w:ilvl w:val="0"/>
          <w:numId w:val="0"/>
        </w:numPr>
        <w:spacing w:line="440" w:lineRule="exact"/>
        <w:ind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安装调试</w:t>
      </w:r>
      <w:r>
        <w:rPr>
          <w:rFonts w:hint="eastAsia" w:ascii="仿宋" w:hAnsi="仿宋" w:eastAsia="仿宋" w:cs="仿宋"/>
          <w:b/>
          <w:bCs/>
          <w:sz w:val="24"/>
          <w:szCs w:val="24"/>
        </w:rPr>
        <w:t>：</w:t>
      </w:r>
    </w:p>
    <w:p w14:paraId="3E32B54D">
      <w:pPr>
        <w:pStyle w:val="53"/>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5A8EC673">
      <w:pPr>
        <w:pStyle w:val="53"/>
        <w:numPr>
          <w:ilvl w:val="0"/>
          <w:numId w:val="0"/>
        </w:numPr>
        <w:spacing w:line="440" w:lineRule="exact"/>
        <w:ind w:firstLine="482" w:firstLineChars="200"/>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五、验收：</w:t>
      </w:r>
    </w:p>
    <w:p w14:paraId="1C107D34">
      <w:pPr>
        <w:pStyle w:val="53"/>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34EECFD9">
      <w:pPr>
        <w:pStyle w:val="53"/>
        <w:numPr>
          <w:ilvl w:val="0"/>
          <w:numId w:val="0"/>
        </w:numPr>
        <w:spacing w:line="440" w:lineRule="exact"/>
        <w:ind w:leftChars="20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付款方法：</w:t>
      </w:r>
    </w:p>
    <w:p w14:paraId="794A1851">
      <w:pPr>
        <w:pStyle w:val="53"/>
        <w:numPr>
          <w:ilvl w:val="0"/>
          <w:numId w:val="0"/>
        </w:numPr>
        <w:spacing w:line="440" w:lineRule="exact"/>
        <w:ind w:leftChars="200"/>
        <w:outlineLvl w:val="0"/>
        <w:rPr>
          <w:rFonts w:hint="eastAsia" w:ascii="仿宋" w:hAnsi="仿宋" w:eastAsia="仿宋" w:cs="仿宋"/>
          <w:b w:val="0"/>
          <w:bCs w:val="0"/>
          <w:sz w:val="24"/>
          <w:szCs w:val="24"/>
        </w:rPr>
      </w:pPr>
      <w:r>
        <w:rPr>
          <w:rFonts w:hint="eastAsia" w:ascii="仿宋" w:hAnsi="仿宋" w:eastAsia="仿宋" w:cs="仿宋"/>
          <w:sz w:val="24"/>
          <w:szCs w:val="24"/>
          <w:u w:val="single"/>
          <w:lang w:val="en-US" w:eastAsia="zh-CN"/>
        </w:rPr>
        <w:t xml:space="preserve">                                        </w:t>
      </w:r>
    </w:p>
    <w:p w14:paraId="09DB9C4A">
      <w:pPr>
        <w:pStyle w:val="53"/>
        <w:numPr>
          <w:ilvl w:val="0"/>
          <w:numId w:val="0"/>
        </w:numPr>
        <w:spacing w:line="440" w:lineRule="exact"/>
        <w:ind w:leftChars="0"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包装及运输：</w:t>
      </w:r>
    </w:p>
    <w:p w14:paraId="20069BF2">
      <w:pPr>
        <w:pStyle w:val="53"/>
        <w:numPr>
          <w:ilvl w:val="0"/>
          <w:numId w:val="0"/>
        </w:numPr>
        <w:spacing w:line="440" w:lineRule="exact"/>
        <w:ind w:leftChars="200"/>
        <w:outlineLvl w:val="0"/>
        <w:rPr>
          <w:rFonts w:hint="eastAsia" w:ascii="仿宋" w:hAnsi="仿宋" w:eastAsia="仿宋" w:cs="仿宋"/>
          <w:b w:val="0"/>
          <w:bCs w:val="0"/>
          <w:sz w:val="24"/>
          <w:szCs w:val="24"/>
        </w:rPr>
      </w:pPr>
      <w:r>
        <w:rPr>
          <w:rFonts w:hint="eastAsia" w:ascii="仿宋" w:hAnsi="仿宋" w:eastAsia="仿宋" w:cs="仿宋"/>
          <w:sz w:val="24"/>
          <w:szCs w:val="24"/>
          <w:u w:val="single"/>
          <w:lang w:val="en-US" w:eastAsia="zh-CN"/>
        </w:rPr>
        <w:t xml:space="preserve">                                        </w:t>
      </w:r>
    </w:p>
    <w:p w14:paraId="7A62342D">
      <w:pPr>
        <w:pStyle w:val="53"/>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八、培训</w:t>
      </w:r>
      <w:r>
        <w:rPr>
          <w:rFonts w:hint="eastAsia" w:ascii="仿宋" w:hAnsi="仿宋" w:eastAsia="仿宋" w:cs="仿宋"/>
          <w:b/>
          <w:bCs/>
          <w:sz w:val="24"/>
          <w:szCs w:val="24"/>
        </w:rPr>
        <w:t>：</w:t>
      </w:r>
    </w:p>
    <w:p w14:paraId="4F2E233F">
      <w:pPr>
        <w:pStyle w:val="53"/>
        <w:numPr>
          <w:ilvl w:val="0"/>
          <w:numId w:val="0"/>
        </w:numPr>
        <w:spacing w:line="440" w:lineRule="exact"/>
        <w:ind w:leftChars="200"/>
        <w:outlineLvl w:val="0"/>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p>
    <w:p w14:paraId="519C314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九</w:t>
      </w:r>
      <w:r>
        <w:rPr>
          <w:rFonts w:hint="eastAsia" w:ascii="仿宋" w:hAnsi="仿宋" w:eastAsia="仿宋" w:cs="仿宋"/>
          <w:b/>
          <w:color w:val="auto"/>
          <w:sz w:val="24"/>
          <w:szCs w:val="24"/>
        </w:rPr>
        <w:t>、产品数量变更</w:t>
      </w:r>
    </w:p>
    <w:p w14:paraId="36BD536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14:paraId="098ABC09">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十</w:t>
      </w:r>
      <w:r>
        <w:rPr>
          <w:rFonts w:hint="eastAsia" w:ascii="仿宋" w:hAnsi="仿宋" w:eastAsia="仿宋" w:cs="仿宋"/>
          <w:b/>
          <w:color w:val="auto"/>
          <w:sz w:val="24"/>
          <w:szCs w:val="24"/>
        </w:rPr>
        <w:t>、违约责任</w:t>
      </w:r>
    </w:p>
    <w:p w14:paraId="186D989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1、乙方不能交付产品（或服务），乙方向甲方支付合同款总价5%的违约金。</w:t>
      </w:r>
    </w:p>
    <w:p w14:paraId="36CF59B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2、乙方逾期交付产品（或服务）的，每延误1天扣罚1000元，如乙方逾期15天，甲方有权解除合同，解除合同的通知自到达乙方时生效。</w:t>
      </w:r>
    </w:p>
    <w:p w14:paraId="6F80C3A2">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一</w:t>
      </w:r>
      <w:r>
        <w:rPr>
          <w:rFonts w:hint="eastAsia" w:ascii="仿宋" w:hAnsi="仿宋" w:eastAsia="仿宋" w:cs="仿宋"/>
          <w:b/>
          <w:color w:val="auto"/>
          <w:sz w:val="24"/>
          <w:szCs w:val="24"/>
        </w:rPr>
        <w:t>、其他约定事项</w:t>
      </w:r>
    </w:p>
    <w:p w14:paraId="603E64D8">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14:paraId="1F0DA88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二</w:t>
      </w:r>
      <w:r>
        <w:rPr>
          <w:rFonts w:hint="eastAsia" w:ascii="仿宋" w:hAnsi="仿宋" w:eastAsia="仿宋" w:cs="仿宋"/>
          <w:b/>
          <w:color w:val="auto"/>
          <w:sz w:val="24"/>
          <w:szCs w:val="24"/>
        </w:rPr>
        <w:t>、解决合同纠纷方式</w:t>
      </w:r>
    </w:p>
    <w:p w14:paraId="6DA8A86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14:paraId="7A50464B">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、其它</w:t>
      </w:r>
    </w:p>
    <w:p w14:paraId="7EAD63D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14:paraId="35179D2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14:paraId="4425400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3、本合同一式陆份，甲乙双方各执两份，采监科备案一份，代理机构存档一份。</w:t>
      </w:r>
    </w:p>
    <w:p w14:paraId="645E4CD3">
      <w:pPr>
        <w:pStyle w:val="30"/>
        <w:ind w:left="420" w:firstLine="480"/>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7B00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exact"/>
          <w:jc w:val="center"/>
        </w:trPr>
        <w:tc>
          <w:tcPr>
            <w:tcW w:w="4809" w:type="dxa"/>
          </w:tcPr>
          <w:p w14:paraId="15F2E44C">
            <w:pPr>
              <w:autoSpaceDE/>
              <w:autoSpaceDN/>
              <w:spacing w:line="400" w:lineRule="exact"/>
              <w:ind w:left="-78" w:leftChars="-37" w:right="-57" w:rightChars="-27"/>
              <w:jc w:val="center"/>
              <w:rPr>
                <w:rFonts w:ascii="仿宋" w:eastAsia="仿宋" w:cs="仿宋"/>
                <w:color w:val="auto"/>
                <w:sz w:val="24"/>
              </w:rPr>
            </w:pPr>
            <w:r>
              <w:rPr>
                <w:rFonts w:hint="eastAsia" w:ascii="仿宋" w:eastAsia="仿宋" w:cs="仿宋"/>
                <w:color w:val="auto"/>
                <w:sz w:val="24"/>
              </w:rPr>
              <w:t>甲  方</w:t>
            </w:r>
          </w:p>
          <w:p w14:paraId="53905B0B">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单位名称（盖章）：</w:t>
            </w:r>
          </w:p>
          <w:p w14:paraId="4FDF3B28">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单位地址：</w:t>
            </w:r>
          </w:p>
          <w:p w14:paraId="09F13E33">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法定代表人（签字）：</w:t>
            </w:r>
          </w:p>
          <w:p w14:paraId="7DA07692">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或项目经办人（签字）：</w:t>
            </w:r>
          </w:p>
          <w:p w14:paraId="50A855EE">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电话：</w:t>
            </w:r>
          </w:p>
          <w:p w14:paraId="49BD2530">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邮政编码：</w:t>
            </w:r>
          </w:p>
          <w:p w14:paraId="34C18D08">
            <w:pPr>
              <w:autoSpaceDE/>
              <w:autoSpaceDN/>
              <w:spacing w:line="400" w:lineRule="exact"/>
              <w:ind w:left="-78" w:leftChars="-37" w:right="-57" w:rightChars="-27"/>
              <w:rPr>
                <w:rFonts w:ascii="仿宋" w:eastAsia="仿宋" w:cs="仿宋"/>
                <w:color w:val="auto"/>
                <w:sz w:val="24"/>
              </w:rPr>
            </w:pPr>
          </w:p>
          <w:p w14:paraId="5C45BD75">
            <w:pPr>
              <w:autoSpaceDE/>
              <w:autoSpaceDN/>
              <w:spacing w:line="400" w:lineRule="exact"/>
              <w:ind w:left="-78" w:leftChars="-37" w:right="-57" w:rightChars="-27"/>
              <w:rPr>
                <w:rFonts w:ascii="仿宋" w:eastAsia="仿宋" w:cs="仿宋"/>
                <w:color w:val="auto"/>
                <w:sz w:val="24"/>
              </w:rPr>
            </w:pPr>
          </w:p>
          <w:p w14:paraId="79B7C89B">
            <w:pPr>
              <w:autoSpaceDE/>
              <w:autoSpaceDN/>
              <w:spacing w:line="400" w:lineRule="exact"/>
              <w:ind w:left="-78" w:leftChars="-37" w:right="-57" w:rightChars="-27"/>
              <w:rPr>
                <w:rFonts w:ascii="仿宋" w:eastAsia="仿宋" w:cs="仿宋"/>
                <w:color w:val="auto"/>
                <w:sz w:val="24"/>
              </w:rPr>
            </w:pPr>
          </w:p>
        </w:tc>
        <w:tc>
          <w:tcPr>
            <w:tcW w:w="4727" w:type="dxa"/>
          </w:tcPr>
          <w:p w14:paraId="43DF4FBE">
            <w:pPr>
              <w:autoSpaceDE/>
              <w:autoSpaceDN/>
              <w:spacing w:line="400" w:lineRule="exact"/>
              <w:ind w:left="-78" w:leftChars="-37" w:right="-57" w:rightChars="-27"/>
              <w:jc w:val="center"/>
              <w:rPr>
                <w:rFonts w:ascii="仿宋" w:eastAsia="仿宋" w:cs="仿宋"/>
                <w:color w:val="auto"/>
                <w:sz w:val="24"/>
              </w:rPr>
            </w:pPr>
            <w:r>
              <w:rPr>
                <w:rFonts w:hint="eastAsia" w:ascii="仿宋" w:eastAsia="仿宋" w:cs="仿宋"/>
                <w:color w:val="auto"/>
                <w:sz w:val="24"/>
              </w:rPr>
              <w:t>乙  方</w:t>
            </w:r>
          </w:p>
          <w:p w14:paraId="6378EB17">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单位名称（盖章）：</w:t>
            </w:r>
          </w:p>
          <w:p w14:paraId="1E70D208">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单位地址：</w:t>
            </w:r>
          </w:p>
          <w:p w14:paraId="778CA65B">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法定代表人（签字）：</w:t>
            </w:r>
          </w:p>
          <w:p w14:paraId="23A215BE">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或委托代理人（签字）：</w:t>
            </w:r>
          </w:p>
          <w:p w14:paraId="7A1A9457">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电话：</w:t>
            </w:r>
          </w:p>
          <w:p w14:paraId="3A56ABFD">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开户银行（必填）：</w:t>
            </w:r>
          </w:p>
          <w:p w14:paraId="07182206">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账号（必填）：</w:t>
            </w:r>
          </w:p>
          <w:p w14:paraId="6AF5AD4B">
            <w:pPr>
              <w:autoSpaceDE/>
              <w:autoSpaceDN/>
              <w:spacing w:line="400" w:lineRule="exact"/>
              <w:ind w:left="-78" w:leftChars="-37" w:right="-57" w:rightChars="-27"/>
              <w:rPr>
                <w:rFonts w:ascii="仿宋" w:eastAsia="仿宋" w:cs="仿宋"/>
                <w:color w:val="auto"/>
                <w:sz w:val="24"/>
              </w:rPr>
            </w:pPr>
            <w:r>
              <w:rPr>
                <w:rFonts w:hint="eastAsia" w:ascii="仿宋" w:eastAsia="仿宋" w:cs="仿宋"/>
                <w:color w:val="auto"/>
                <w:sz w:val="24"/>
              </w:rPr>
              <w:t xml:space="preserve">邮政编码： </w:t>
            </w:r>
          </w:p>
        </w:tc>
      </w:tr>
      <w:tr w14:paraId="59F0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9536" w:type="dxa"/>
            <w:gridSpan w:val="2"/>
            <w:tcBorders>
              <w:top w:val="single" w:color="auto" w:sz="4" w:space="0"/>
              <w:left w:val="single" w:color="auto" w:sz="4" w:space="0"/>
              <w:right w:val="single" w:color="auto" w:sz="4" w:space="0"/>
            </w:tcBorders>
            <w:vAlign w:val="center"/>
          </w:tcPr>
          <w:p w14:paraId="2D48BAB2">
            <w:pPr>
              <w:tabs>
                <w:tab w:val="left" w:pos="760"/>
              </w:tabs>
              <w:autoSpaceDE/>
              <w:autoSpaceDN/>
              <w:spacing w:line="400" w:lineRule="exact"/>
              <w:rPr>
                <w:rFonts w:ascii="仿宋" w:eastAsia="仿宋" w:cs="仿宋"/>
                <w:color w:val="auto"/>
              </w:rPr>
            </w:pPr>
            <w:r>
              <w:rPr>
                <w:rFonts w:hint="eastAsia" w:ascii="仿宋" w:eastAsia="仿宋" w:cs="仿宋"/>
                <w:color w:val="auto"/>
                <w:sz w:val="24"/>
              </w:rPr>
              <w:t>见证方（盖章）：金华同慷建设管理咨询有限公司</w:t>
            </w:r>
          </w:p>
        </w:tc>
      </w:tr>
    </w:tbl>
    <w:p w14:paraId="5F4A4088">
      <w:pPr>
        <w:spacing w:line="312" w:lineRule="auto"/>
        <w:rPr>
          <w:rFonts w:ascii="仿宋" w:eastAsia="仿宋" w:cs="仿宋"/>
          <w:color w:val="auto"/>
          <w:sz w:val="44"/>
          <w:szCs w:val="44"/>
        </w:rPr>
      </w:pPr>
    </w:p>
    <w:p w14:paraId="135C11BD">
      <w:pPr>
        <w:widowControl/>
        <w:tabs>
          <w:tab w:val="left" w:pos="450"/>
          <w:tab w:val="left" w:pos="2520"/>
          <w:tab w:val="left" w:pos="8280"/>
        </w:tabs>
        <w:spacing w:line="312" w:lineRule="auto"/>
        <w:jc w:val="center"/>
        <w:outlineLvl w:val="0"/>
        <w:rPr>
          <w:rFonts w:hint="eastAsia" w:ascii="仿宋" w:eastAsia="仿宋" w:cs="仿宋"/>
          <w:b/>
          <w:color w:val="auto"/>
          <w:kern w:val="44"/>
          <w:sz w:val="36"/>
          <w:szCs w:val="36"/>
        </w:rPr>
      </w:pPr>
    </w:p>
    <w:p w14:paraId="7044E956">
      <w:pPr>
        <w:widowControl/>
        <w:tabs>
          <w:tab w:val="left" w:pos="450"/>
          <w:tab w:val="left" w:pos="2520"/>
          <w:tab w:val="left" w:pos="8280"/>
        </w:tabs>
        <w:spacing w:line="312" w:lineRule="auto"/>
        <w:jc w:val="center"/>
        <w:outlineLvl w:val="0"/>
        <w:rPr>
          <w:rFonts w:hint="eastAsia" w:ascii="仿宋" w:eastAsia="仿宋" w:cs="仿宋"/>
          <w:b/>
          <w:color w:val="auto"/>
          <w:kern w:val="44"/>
          <w:sz w:val="36"/>
          <w:szCs w:val="36"/>
        </w:rPr>
      </w:pPr>
    </w:p>
    <w:p w14:paraId="4ECDD2F2">
      <w:pPr>
        <w:widowControl/>
        <w:tabs>
          <w:tab w:val="left" w:pos="450"/>
          <w:tab w:val="left" w:pos="2520"/>
          <w:tab w:val="left" w:pos="8280"/>
        </w:tabs>
        <w:spacing w:line="312" w:lineRule="auto"/>
        <w:jc w:val="center"/>
        <w:outlineLvl w:val="0"/>
        <w:rPr>
          <w:rFonts w:hint="eastAsia" w:ascii="仿宋" w:eastAsia="仿宋" w:cs="仿宋"/>
          <w:b/>
          <w:color w:val="auto"/>
          <w:kern w:val="44"/>
          <w:sz w:val="36"/>
          <w:szCs w:val="36"/>
        </w:rPr>
      </w:pPr>
    </w:p>
    <w:p w14:paraId="2B1C73CE">
      <w:pPr>
        <w:widowControl/>
        <w:tabs>
          <w:tab w:val="left" w:pos="450"/>
          <w:tab w:val="left" w:pos="2520"/>
          <w:tab w:val="left" w:pos="8280"/>
        </w:tabs>
        <w:spacing w:line="312" w:lineRule="auto"/>
        <w:jc w:val="center"/>
        <w:outlineLvl w:val="0"/>
        <w:rPr>
          <w:rFonts w:ascii="仿宋" w:eastAsia="仿宋" w:cs="仿宋"/>
          <w:b/>
          <w:color w:val="auto"/>
          <w:kern w:val="44"/>
          <w:sz w:val="36"/>
          <w:szCs w:val="36"/>
        </w:rPr>
      </w:pPr>
      <w:r>
        <w:rPr>
          <w:rFonts w:hint="eastAsia" w:ascii="仿宋" w:eastAsia="仿宋" w:cs="仿宋"/>
          <w:b/>
          <w:color w:val="auto"/>
          <w:kern w:val="44"/>
          <w:sz w:val="36"/>
          <w:szCs w:val="36"/>
        </w:rPr>
        <w:t>第六章  应提交的有关格式范例</w:t>
      </w:r>
    </w:p>
    <w:p w14:paraId="30B87C92">
      <w:pPr>
        <w:widowControl/>
        <w:tabs>
          <w:tab w:val="left" w:pos="450"/>
          <w:tab w:val="left" w:pos="8280"/>
        </w:tabs>
        <w:spacing w:line="312" w:lineRule="auto"/>
        <w:ind w:firstLine="480"/>
        <w:jc w:val="center"/>
        <w:rPr>
          <w:rFonts w:ascii="仿宋" w:eastAsia="仿宋" w:cs="仿宋"/>
          <w:b/>
          <w:bCs/>
          <w:color w:val="auto"/>
          <w:sz w:val="32"/>
          <w:szCs w:val="32"/>
        </w:rPr>
      </w:pPr>
    </w:p>
    <w:p w14:paraId="51191914">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一、封面格式</w:t>
      </w:r>
    </w:p>
    <w:p w14:paraId="1A20CC28">
      <w:pPr>
        <w:widowControl/>
        <w:tabs>
          <w:tab w:val="left" w:pos="8280"/>
        </w:tabs>
        <w:spacing w:line="312" w:lineRule="auto"/>
        <w:ind w:firstLine="480"/>
        <w:jc w:val="center"/>
        <w:rPr>
          <w:rFonts w:ascii="仿宋" w:eastAsia="仿宋" w:cs="仿宋"/>
          <w:b/>
          <w:color w:val="auto"/>
          <w:sz w:val="30"/>
          <w:szCs w:val="30"/>
        </w:rPr>
      </w:pPr>
    </w:p>
    <w:p w14:paraId="0EE82632">
      <w:pPr>
        <w:widowControl/>
        <w:tabs>
          <w:tab w:val="left" w:pos="450"/>
          <w:tab w:val="left" w:pos="2520"/>
          <w:tab w:val="left" w:pos="8280"/>
        </w:tabs>
        <w:spacing w:line="312" w:lineRule="auto"/>
        <w:jc w:val="center"/>
        <w:rPr>
          <w:rFonts w:ascii="仿宋" w:eastAsia="仿宋" w:cs="仿宋"/>
          <w:b/>
          <w:color w:val="auto"/>
          <w:sz w:val="30"/>
          <w:szCs w:val="30"/>
        </w:rPr>
      </w:pPr>
      <w:r>
        <w:rPr>
          <w:rFonts w:hint="eastAsia" w:ascii="仿宋" w:eastAsia="仿宋" w:cs="仿宋"/>
          <w:b/>
          <w:color w:val="auto"/>
          <w:sz w:val="30"/>
          <w:szCs w:val="30"/>
        </w:rPr>
        <w:t>资格文件/商务</w:t>
      </w:r>
      <w:r>
        <w:rPr>
          <w:rFonts w:hint="eastAsia" w:ascii="仿宋" w:eastAsia="仿宋" w:cs="仿宋"/>
          <w:b/>
          <w:bCs/>
          <w:color w:val="auto"/>
          <w:sz w:val="30"/>
          <w:szCs w:val="30"/>
        </w:rPr>
        <w:t>技术</w:t>
      </w:r>
      <w:r>
        <w:rPr>
          <w:rFonts w:hint="eastAsia" w:ascii="仿宋" w:eastAsia="仿宋" w:cs="仿宋"/>
          <w:b/>
          <w:color w:val="auto"/>
          <w:sz w:val="30"/>
          <w:szCs w:val="30"/>
        </w:rPr>
        <w:t>文件/报价文件</w:t>
      </w:r>
    </w:p>
    <w:p w14:paraId="1425AFFB">
      <w:pPr>
        <w:widowControl/>
        <w:tabs>
          <w:tab w:val="left" w:pos="275"/>
          <w:tab w:val="left" w:pos="8280"/>
        </w:tabs>
        <w:spacing w:line="312" w:lineRule="auto"/>
        <w:ind w:firstLine="480"/>
        <w:jc w:val="left"/>
        <w:rPr>
          <w:rFonts w:ascii="仿宋" w:eastAsia="仿宋" w:cs="仿宋"/>
          <w:b/>
          <w:color w:val="auto"/>
          <w:sz w:val="30"/>
          <w:szCs w:val="30"/>
        </w:rPr>
      </w:pPr>
      <w:r>
        <w:rPr>
          <w:rFonts w:hint="eastAsia" w:ascii="仿宋" w:eastAsia="仿宋" w:cs="仿宋"/>
          <w:b/>
          <w:color w:val="auto"/>
          <w:sz w:val="30"/>
          <w:szCs w:val="30"/>
        </w:rPr>
        <w:tab/>
      </w:r>
    </w:p>
    <w:p w14:paraId="56174411">
      <w:pPr>
        <w:widowControl/>
        <w:tabs>
          <w:tab w:val="left" w:pos="275"/>
          <w:tab w:val="left" w:pos="8280"/>
        </w:tabs>
        <w:spacing w:line="312" w:lineRule="auto"/>
        <w:ind w:firstLine="904" w:firstLineChars="300"/>
        <w:jc w:val="left"/>
        <w:rPr>
          <w:rFonts w:ascii="仿宋" w:eastAsia="仿宋" w:cs="仿宋"/>
          <w:b/>
          <w:color w:val="auto"/>
          <w:sz w:val="30"/>
          <w:szCs w:val="30"/>
          <w:u w:val="single"/>
        </w:rPr>
      </w:pPr>
      <w:r>
        <w:rPr>
          <w:rFonts w:hint="eastAsia" w:ascii="仿宋" w:eastAsia="仿宋" w:cs="仿宋"/>
          <w:b/>
          <w:color w:val="auto"/>
          <w:sz w:val="30"/>
          <w:szCs w:val="30"/>
        </w:rPr>
        <w:t>项目名称：</w:t>
      </w:r>
      <w:r>
        <w:rPr>
          <w:rFonts w:hint="eastAsia" w:ascii="仿宋" w:eastAsia="仿宋" w:cs="仿宋"/>
          <w:b/>
          <w:color w:val="auto"/>
          <w:sz w:val="30"/>
          <w:szCs w:val="30"/>
          <w:u w:val="single"/>
        </w:rPr>
        <w:t xml:space="preserve">                                     </w:t>
      </w:r>
    </w:p>
    <w:p w14:paraId="21962615">
      <w:pPr>
        <w:widowControl/>
        <w:tabs>
          <w:tab w:val="left" w:pos="765"/>
          <w:tab w:val="left" w:pos="8280"/>
        </w:tabs>
        <w:spacing w:line="312" w:lineRule="auto"/>
        <w:ind w:firstLine="904" w:firstLineChars="300"/>
        <w:jc w:val="left"/>
        <w:rPr>
          <w:rFonts w:ascii="仿宋" w:eastAsia="仿宋" w:cs="仿宋"/>
          <w:b/>
          <w:color w:val="auto"/>
          <w:sz w:val="30"/>
          <w:szCs w:val="30"/>
        </w:rPr>
      </w:pPr>
    </w:p>
    <w:p w14:paraId="2BC06B0B">
      <w:pPr>
        <w:widowControl/>
        <w:tabs>
          <w:tab w:val="left" w:pos="27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项目编号：</w:t>
      </w:r>
      <w:r>
        <w:rPr>
          <w:rFonts w:hint="eastAsia" w:ascii="仿宋" w:eastAsia="仿宋" w:cs="仿宋"/>
          <w:b/>
          <w:color w:val="auto"/>
          <w:sz w:val="30"/>
          <w:szCs w:val="30"/>
          <w:u w:val="single"/>
        </w:rPr>
        <w:t xml:space="preserve">                                     </w:t>
      </w:r>
    </w:p>
    <w:p w14:paraId="57046314">
      <w:pPr>
        <w:widowControl/>
        <w:tabs>
          <w:tab w:val="left" w:pos="76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ab/>
      </w:r>
    </w:p>
    <w:p w14:paraId="7E4837A7">
      <w:pPr>
        <w:widowControl/>
        <w:tabs>
          <w:tab w:val="left" w:pos="765"/>
          <w:tab w:val="left" w:pos="8280"/>
        </w:tabs>
        <w:spacing w:line="312" w:lineRule="auto"/>
        <w:ind w:firstLine="904" w:firstLineChars="300"/>
        <w:jc w:val="left"/>
        <w:rPr>
          <w:rFonts w:ascii="仿宋" w:eastAsia="仿宋" w:cs="仿宋"/>
          <w:b/>
          <w:color w:val="auto"/>
          <w:sz w:val="30"/>
          <w:szCs w:val="30"/>
          <w:u w:val="single"/>
        </w:rPr>
      </w:pPr>
      <w:r>
        <w:rPr>
          <w:rFonts w:hint="eastAsia" w:ascii="仿宋" w:eastAsia="仿宋" w:cs="仿宋"/>
          <w:b/>
          <w:color w:val="auto"/>
          <w:sz w:val="30"/>
          <w:szCs w:val="30"/>
        </w:rPr>
        <w:t>投标人：</w:t>
      </w:r>
      <w:r>
        <w:rPr>
          <w:rFonts w:hint="eastAsia" w:ascii="仿宋" w:eastAsia="仿宋" w:cs="仿宋"/>
          <w:b/>
          <w:color w:val="auto"/>
          <w:sz w:val="30"/>
          <w:szCs w:val="30"/>
          <w:u w:val="single"/>
        </w:rPr>
        <w:t xml:space="preserve">          （盖章）                     </w:t>
      </w:r>
    </w:p>
    <w:p w14:paraId="6869CA20">
      <w:pPr>
        <w:widowControl/>
        <w:tabs>
          <w:tab w:val="left" w:pos="8280"/>
        </w:tabs>
        <w:spacing w:line="312" w:lineRule="auto"/>
        <w:ind w:firstLine="904" w:firstLineChars="300"/>
        <w:rPr>
          <w:rFonts w:ascii="仿宋" w:eastAsia="仿宋" w:cs="仿宋"/>
          <w:b/>
          <w:color w:val="auto"/>
          <w:sz w:val="30"/>
          <w:szCs w:val="30"/>
        </w:rPr>
      </w:pPr>
    </w:p>
    <w:p w14:paraId="6D0F86D1">
      <w:pPr>
        <w:widowControl/>
        <w:tabs>
          <w:tab w:val="left" w:pos="765"/>
          <w:tab w:val="left" w:pos="8280"/>
        </w:tabs>
        <w:spacing w:line="312" w:lineRule="auto"/>
        <w:ind w:firstLine="904" w:firstLineChars="300"/>
        <w:jc w:val="left"/>
        <w:rPr>
          <w:rFonts w:ascii="仿宋" w:eastAsia="仿宋" w:cs="仿宋"/>
          <w:b/>
          <w:color w:val="auto"/>
          <w:sz w:val="30"/>
          <w:szCs w:val="30"/>
        </w:rPr>
      </w:pPr>
      <w:r>
        <w:rPr>
          <w:rFonts w:hint="eastAsia" w:ascii="仿宋" w:eastAsia="仿宋" w:cs="仿宋"/>
          <w:b/>
          <w:color w:val="auto"/>
          <w:sz w:val="30"/>
          <w:szCs w:val="30"/>
        </w:rPr>
        <w:t>日期：      年     月     日</w:t>
      </w:r>
    </w:p>
    <w:p w14:paraId="461EAEBE">
      <w:pPr>
        <w:widowControl/>
        <w:tabs>
          <w:tab w:val="left" w:pos="450"/>
          <w:tab w:val="left" w:pos="2520"/>
          <w:tab w:val="left" w:pos="8280"/>
        </w:tabs>
        <w:spacing w:line="312" w:lineRule="auto"/>
        <w:ind w:firstLine="480"/>
        <w:jc w:val="center"/>
        <w:rPr>
          <w:rFonts w:ascii="仿宋" w:eastAsia="仿宋" w:cs="仿宋"/>
          <w:b/>
          <w:bCs/>
          <w:color w:val="auto"/>
          <w:sz w:val="32"/>
          <w:szCs w:val="32"/>
        </w:rPr>
        <w:sectPr>
          <w:pgSz w:w="11906" w:h="16838"/>
          <w:pgMar w:top="1247" w:right="1134" w:bottom="1020" w:left="1418" w:header="1134" w:footer="1134" w:gutter="0"/>
          <w:pgNumType w:fmt="numberInDash"/>
          <w:cols w:space="720" w:num="1"/>
          <w:titlePg/>
          <w:docGrid w:type="lines" w:linePitch="312" w:charSpace="0"/>
        </w:sectPr>
      </w:pPr>
    </w:p>
    <w:p w14:paraId="18F375D7">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二、符合参加政府采购活动应当具备的一般条件的承诺函</w:t>
      </w:r>
    </w:p>
    <w:p w14:paraId="2305E244">
      <w:pPr>
        <w:autoSpaceDE/>
        <w:autoSpaceDN/>
        <w:adjustRightInd/>
        <w:spacing w:line="520" w:lineRule="exact"/>
        <w:rPr>
          <w:rFonts w:ascii="仿宋_GB2312" w:eastAsia="仿宋_GB2312"/>
          <w:color w:val="auto"/>
          <w:sz w:val="24"/>
        </w:rPr>
      </w:pPr>
      <w:r>
        <w:rPr>
          <w:rFonts w:hint="eastAsia" w:ascii="仿宋_GB2312" w:eastAsia="仿宋_GB2312"/>
          <w:color w:val="auto"/>
          <w:sz w:val="24"/>
          <w:u w:val="single"/>
        </w:rPr>
        <w:t>（采购人）、（采购代理机构）</w:t>
      </w:r>
      <w:r>
        <w:rPr>
          <w:rFonts w:hint="eastAsia" w:ascii="仿宋_GB2312" w:eastAsia="仿宋_GB2312"/>
          <w:color w:val="auto"/>
          <w:sz w:val="24"/>
        </w:rPr>
        <w:t>：</w:t>
      </w:r>
    </w:p>
    <w:p w14:paraId="0424EB73">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我方参与</w:t>
      </w:r>
      <w:r>
        <w:rPr>
          <w:rFonts w:hint="eastAsia" w:ascii="仿宋_GB2312" w:eastAsia="仿宋_GB2312"/>
          <w:color w:val="auto"/>
          <w:sz w:val="24"/>
          <w:u w:val="single"/>
        </w:rPr>
        <w:t xml:space="preserve">                </w:t>
      </w:r>
      <w:r>
        <w:rPr>
          <w:rFonts w:hint="eastAsia" w:ascii="仿宋_GB2312" w:eastAsia="仿宋_GB2312"/>
          <w:color w:val="auto"/>
          <w:sz w:val="24"/>
        </w:rPr>
        <w:t>项目【项目编号：</w:t>
      </w:r>
      <w:r>
        <w:rPr>
          <w:rFonts w:hint="eastAsia" w:ascii="仿宋_GB2312" w:eastAsia="仿宋_GB2312"/>
          <w:color w:val="auto"/>
          <w:sz w:val="24"/>
          <w:u w:val="single"/>
        </w:rPr>
        <w:t xml:space="preserve">               </w:t>
      </w:r>
      <w:r>
        <w:rPr>
          <w:rFonts w:hint="eastAsia" w:ascii="仿宋_GB2312" w:eastAsia="仿宋_GB2312"/>
          <w:color w:val="auto"/>
          <w:sz w:val="24"/>
        </w:rPr>
        <w:t>】政府采购活动，郑重承诺：</w:t>
      </w:r>
    </w:p>
    <w:p w14:paraId="6C7AEC3F">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（一）具备《中华人民共和国政府采购法》</w:t>
      </w:r>
      <w:r>
        <w:rPr>
          <w:rFonts w:hint="eastAsia" w:ascii="仿宋_GB2312" w:eastAsia="仿宋_GB2312"/>
          <w:color w:val="auto"/>
          <w:sz w:val="24"/>
          <w:highlight w:val="none"/>
        </w:rPr>
        <w:t>第二十二条第一款</w:t>
      </w:r>
      <w:r>
        <w:rPr>
          <w:rFonts w:hint="eastAsia" w:ascii="仿宋_GB2312" w:eastAsia="仿宋_GB2312"/>
          <w:color w:val="auto"/>
          <w:sz w:val="24"/>
        </w:rPr>
        <w:t>规定的条件：</w:t>
      </w:r>
    </w:p>
    <w:p w14:paraId="38FE78C0">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1、具有独立承担民事责任的能力；</w:t>
      </w:r>
    </w:p>
    <w:p w14:paraId="2BE2EC0A">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 xml:space="preserve">2、具有良好的商业信誉和健全的财务会计制度； </w:t>
      </w:r>
    </w:p>
    <w:p w14:paraId="4312F5B7">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3、具有履行合同所必需的设备和专业技术能力；</w:t>
      </w:r>
    </w:p>
    <w:p w14:paraId="452CD640">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4、有依法缴纳税收和社会保障资金的良好记录；</w:t>
      </w:r>
    </w:p>
    <w:p w14:paraId="208698C9">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5、参加政府采购活动前三年内，在经营活动中没有重大违法记录；</w:t>
      </w:r>
    </w:p>
    <w:p w14:paraId="7E0FF815">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6、具有法律、行政法规规定的其他条件。</w:t>
      </w:r>
    </w:p>
    <w:p w14:paraId="0B50AB8C">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（二）未被信用中国（www.creditchina.gov.cn)、中国政府采购网（www.ccgp.gov.cn）列入失信被执行人、重大税收违法案件当事人名单、政府采购严重违法失信行为记录名单。</w:t>
      </w:r>
    </w:p>
    <w:p w14:paraId="3839D978">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（三）不存在以下情况：</w:t>
      </w:r>
    </w:p>
    <w:p w14:paraId="67E19EF9">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1、单位负责人为同一人或者存在直接控股、管理关系的不同供应商参加同一合同项下的政府采购活动的；</w:t>
      </w:r>
    </w:p>
    <w:p w14:paraId="3CC2385B">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2、为采购项目提供整体设计、规范编制或者项目管理、监理、检测等服务后再参加该采购项目的其他采购活动的。</w:t>
      </w:r>
    </w:p>
    <w:p w14:paraId="166D9ECF">
      <w:pPr>
        <w:autoSpaceDE/>
        <w:autoSpaceDN/>
        <w:adjustRightInd/>
        <w:spacing w:line="520" w:lineRule="exact"/>
        <w:ind w:firstLine="600" w:firstLineChars="250"/>
        <w:rPr>
          <w:rFonts w:ascii="仿宋_GB2312" w:eastAsia="仿宋_GB2312"/>
          <w:color w:val="auto"/>
          <w:sz w:val="24"/>
        </w:rPr>
      </w:pPr>
      <w:r>
        <w:rPr>
          <w:rFonts w:hint="eastAsia" w:ascii="仿宋_GB2312" w:eastAsia="仿宋_GB2312"/>
          <w:color w:val="auto"/>
          <w:sz w:val="24"/>
        </w:rPr>
        <w:t>（四）投标有效期：</w:t>
      </w:r>
      <w:r>
        <w:rPr>
          <w:rFonts w:hint="eastAsia" w:ascii="仿宋_GB2312" w:eastAsia="仿宋_GB2312"/>
          <w:color w:val="auto"/>
          <w:sz w:val="24"/>
          <w:u w:val="single"/>
        </w:rPr>
        <w:t>90</w:t>
      </w:r>
      <w:r>
        <w:rPr>
          <w:rFonts w:hint="eastAsia" w:ascii="仿宋_GB2312" w:eastAsia="仿宋_GB2312"/>
          <w:color w:val="auto"/>
          <w:sz w:val="24"/>
        </w:rPr>
        <w:t>天。</w:t>
      </w:r>
    </w:p>
    <w:p w14:paraId="01D47130">
      <w:pPr>
        <w:pStyle w:val="12"/>
        <w:ind w:left="420"/>
        <w:rPr>
          <w:rFonts w:ascii="仿宋_GB2312" w:eastAsia="仿宋_GB2312"/>
          <w:color w:val="auto"/>
          <w:sz w:val="24"/>
        </w:rPr>
      </w:pPr>
    </w:p>
    <w:p w14:paraId="242D1F86">
      <w:pPr>
        <w:pStyle w:val="8"/>
        <w:rPr>
          <w:rFonts w:ascii="仿宋_GB2312" w:eastAsia="仿宋_GB2312"/>
        </w:rPr>
      </w:pPr>
    </w:p>
    <w:p w14:paraId="33AE51B5">
      <w:pPr>
        <w:spacing w:before="156" w:beforeLines="50"/>
        <w:ind w:firstLine="3600" w:firstLineChars="1500"/>
        <w:rPr>
          <w:rFonts w:ascii="仿宋_GB2312" w:eastAsia="仿宋_GB2312"/>
          <w:color w:val="auto"/>
          <w:sz w:val="24"/>
        </w:rPr>
      </w:pPr>
      <w:r>
        <w:rPr>
          <w:rFonts w:hint="eastAsia" w:ascii="仿宋_GB2312" w:eastAsia="仿宋_GB2312"/>
          <w:color w:val="auto"/>
          <w:sz w:val="24"/>
        </w:rPr>
        <w:t>投标人：</w:t>
      </w:r>
      <w:r>
        <w:rPr>
          <w:rFonts w:hint="eastAsia" w:ascii="仿宋_GB2312" w:eastAsia="仿宋_GB2312"/>
          <w:color w:val="auto"/>
          <w:sz w:val="24"/>
          <w:u w:val="single"/>
        </w:rPr>
        <w:t>（盖章）</w:t>
      </w:r>
    </w:p>
    <w:p w14:paraId="3E2ADF18">
      <w:pPr>
        <w:spacing w:before="156" w:beforeLines="50"/>
        <w:ind w:firstLine="3600" w:firstLineChars="1500"/>
        <w:rPr>
          <w:rFonts w:ascii="仿宋_GB2312" w:eastAsia="仿宋_GB2312"/>
          <w:color w:val="auto"/>
          <w:sz w:val="24"/>
          <w:u w:val="single"/>
        </w:rPr>
      </w:pPr>
      <w:r>
        <w:rPr>
          <w:rFonts w:hint="eastAsia" w:ascii="仿宋_GB2312" w:eastAsia="仿宋_GB2312"/>
          <w:color w:val="auto"/>
          <w:sz w:val="24"/>
        </w:rPr>
        <w:t>法定代表人或委托代理人：</w:t>
      </w:r>
      <w:r>
        <w:rPr>
          <w:rFonts w:hint="eastAsia" w:ascii="仿宋_GB2312" w:eastAsia="仿宋_GB2312"/>
          <w:color w:val="auto"/>
          <w:sz w:val="24"/>
          <w:u w:val="single"/>
        </w:rPr>
        <w:t>（签字或盖章）</w:t>
      </w:r>
    </w:p>
    <w:p w14:paraId="06BDCD72">
      <w:pPr>
        <w:spacing w:before="156" w:beforeLines="50"/>
        <w:ind w:firstLine="3600" w:firstLineChars="1500"/>
        <w:rPr>
          <w:rFonts w:eastAsia="方正仿宋_GB2312"/>
          <w:color w:val="auto"/>
          <w:kern w:val="2"/>
          <w:sz w:val="28"/>
          <w:szCs w:val="28"/>
          <w:lang w:val="zh-CN"/>
        </w:rPr>
      </w:pPr>
      <w:r>
        <w:rPr>
          <w:rFonts w:hint="eastAsia" w:ascii="仿宋_GB2312" w:eastAsia="仿宋_GB2312"/>
          <w:color w:val="auto"/>
          <w:sz w:val="24"/>
        </w:rPr>
        <w:t>日期：</w:t>
      </w:r>
    </w:p>
    <w:p w14:paraId="10748737">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eastAsia="方正仿宋_GB2312"/>
          <w:b/>
          <w:bCs/>
          <w:color w:val="auto"/>
          <w:sz w:val="28"/>
          <w:szCs w:val="28"/>
        </w:rPr>
        <w:br w:type="page"/>
      </w:r>
      <w:r>
        <w:rPr>
          <w:rFonts w:hint="eastAsia" w:ascii="仿宋" w:eastAsia="仿宋" w:cs="仿宋"/>
          <w:b/>
          <w:bCs/>
          <w:color w:val="auto"/>
          <w:sz w:val="30"/>
          <w:szCs w:val="30"/>
        </w:rPr>
        <w:t>三、法定代表人资格书</w:t>
      </w:r>
    </w:p>
    <w:p w14:paraId="34F15DBB">
      <w:pPr>
        <w:pStyle w:val="29"/>
        <w:ind w:firstLine="0" w:firstLineChars="0"/>
        <w:rPr>
          <w:rFonts w:ascii="宋体"/>
          <w:sz w:val="24"/>
        </w:rPr>
      </w:pPr>
    </w:p>
    <w:p w14:paraId="1FBF73C2">
      <w:pPr>
        <w:pStyle w:val="29"/>
        <w:spacing w:line="660" w:lineRule="exact"/>
        <w:ind w:firstLine="480" w:firstLineChars="200"/>
        <w:rPr>
          <w:rFonts w:ascii="仿宋" w:eastAsia="仿宋" w:cs="仿宋"/>
          <w:sz w:val="24"/>
        </w:rPr>
      </w:pPr>
      <w:r>
        <w:rPr>
          <w:rFonts w:hint="eastAsia" w:ascii="仿宋" w:eastAsia="仿宋" w:cs="仿宋"/>
          <w:sz w:val="24"/>
        </w:rPr>
        <w:t>单位名称：</w:t>
      </w:r>
    </w:p>
    <w:p w14:paraId="4D199DE3">
      <w:pPr>
        <w:pStyle w:val="29"/>
        <w:spacing w:line="660" w:lineRule="exact"/>
        <w:ind w:firstLine="480" w:firstLineChars="200"/>
        <w:rPr>
          <w:rFonts w:ascii="仿宋" w:eastAsia="仿宋" w:cs="仿宋"/>
          <w:sz w:val="24"/>
        </w:rPr>
      </w:pPr>
      <w:r>
        <w:rPr>
          <w:rFonts w:hint="eastAsia" w:ascii="仿宋" w:eastAsia="仿宋" w:cs="仿宋"/>
          <w:sz w:val="24"/>
        </w:rPr>
        <w:t>地址：</w:t>
      </w:r>
    </w:p>
    <w:p w14:paraId="2EF9DE9D">
      <w:pPr>
        <w:pStyle w:val="29"/>
        <w:spacing w:line="660" w:lineRule="exact"/>
        <w:ind w:firstLine="480" w:firstLineChars="200"/>
        <w:rPr>
          <w:rFonts w:ascii="仿宋" w:eastAsia="仿宋" w:cs="仿宋"/>
          <w:sz w:val="24"/>
        </w:rPr>
      </w:pPr>
      <w:r>
        <w:rPr>
          <w:rFonts w:hint="eastAsia" w:ascii="仿宋" w:eastAsia="仿宋" w:cs="仿宋"/>
          <w:sz w:val="24"/>
          <w:u w:val="single"/>
        </w:rPr>
        <w:t xml:space="preserve">姓名：       性别：       年龄：         职务：           </w:t>
      </w:r>
    </w:p>
    <w:p w14:paraId="0E6ED422">
      <w:pPr>
        <w:pStyle w:val="29"/>
        <w:spacing w:line="660" w:lineRule="exact"/>
        <w:ind w:firstLine="480" w:firstLineChars="200"/>
        <w:rPr>
          <w:rFonts w:ascii="仿宋" w:eastAsia="仿宋" w:cs="仿宋"/>
          <w:sz w:val="24"/>
        </w:rPr>
      </w:pPr>
      <w:r>
        <w:rPr>
          <w:rFonts w:hint="eastAsia" w:ascii="仿宋" w:eastAsia="仿宋" w:cs="仿宋"/>
          <w:sz w:val="24"/>
        </w:rPr>
        <w:t>系</w:t>
      </w:r>
      <w:r>
        <w:rPr>
          <w:rFonts w:hint="eastAsia" w:ascii="仿宋" w:eastAsia="仿宋" w:cs="仿宋"/>
          <w:sz w:val="24"/>
          <w:u w:val="single"/>
        </w:rPr>
        <w:t xml:space="preserve">                    </w:t>
      </w:r>
      <w:r>
        <w:rPr>
          <w:rFonts w:hint="eastAsia" w:ascii="仿宋" w:eastAsia="仿宋" w:cs="仿宋"/>
          <w:sz w:val="24"/>
        </w:rPr>
        <w:t>的法定代表人。为</w:t>
      </w:r>
      <w:r>
        <w:rPr>
          <w:rFonts w:hint="eastAsia" w:ascii="仿宋" w:eastAsia="仿宋" w:cs="仿宋"/>
          <w:sz w:val="24"/>
          <w:u w:val="single"/>
        </w:rPr>
        <w:t xml:space="preserve">            （项目名称）</w:t>
      </w:r>
      <w:r>
        <w:rPr>
          <w:rFonts w:hint="eastAsia" w:ascii="仿宋" w:eastAsia="仿宋" w:cs="仿宋"/>
          <w:sz w:val="24"/>
        </w:rPr>
        <w:t>，签署上述投标文件、进行合同谈判、签署合同和处理与之有关的一切事务。</w:t>
      </w:r>
    </w:p>
    <w:p w14:paraId="27B49219">
      <w:pPr>
        <w:pStyle w:val="29"/>
        <w:spacing w:line="660" w:lineRule="exact"/>
        <w:ind w:firstLine="480" w:firstLineChars="200"/>
        <w:rPr>
          <w:rFonts w:ascii="宋体"/>
          <w:sz w:val="24"/>
        </w:rPr>
      </w:pPr>
      <w:r>
        <w:rPr>
          <w:rFonts w:hint="eastAsia" w:ascii="仿宋" w:eastAsia="仿宋" w:cs="仿宋"/>
          <w:sz w:val="24"/>
        </w:rPr>
        <w:t>特此说明。</w:t>
      </w:r>
    </w:p>
    <w:p w14:paraId="5214D04D">
      <w:pPr>
        <w:pStyle w:val="29"/>
        <w:spacing w:line="660" w:lineRule="exact"/>
        <w:ind w:firstLine="482" w:firstLineChars="200"/>
        <w:rPr>
          <w:rFonts w:ascii="宋体"/>
          <w:b/>
          <w:bCs/>
          <w:sz w:val="24"/>
        </w:rPr>
      </w:pPr>
      <w:r>
        <w:rPr>
          <w:rFonts w:hint="eastAsia" w:ascii="仿宋" w:eastAsia="仿宋" w:cs="仿宋"/>
          <w:b/>
          <w:bCs/>
          <w:sz w:val="24"/>
        </w:rPr>
        <w:t>附：法定代表人身份证复印件（正反面）</w:t>
      </w:r>
    </w:p>
    <w:p w14:paraId="52B4DA31">
      <w:pPr>
        <w:pStyle w:val="29"/>
        <w:spacing w:line="660" w:lineRule="exact"/>
        <w:ind w:firstLine="0" w:firstLineChars="0"/>
        <w:rPr>
          <w:rFonts w:ascii="宋体"/>
          <w:sz w:val="24"/>
        </w:rPr>
      </w:pPr>
    </w:p>
    <w:p w14:paraId="465C2B28">
      <w:pPr>
        <w:pStyle w:val="29"/>
        <w:spacing w:line="660" w:lineRule="exact"/>
        <w:ind w:firstLine="480" w:firstLineChars="200"/>
        <w:rPr>
          <w:rFonts w:ascii="仿宋" w:eastAsia="仿宋" w:cs="仿宋"/>
          <w:sz w:val="24"/>
          <w:u w:val="single"/>
        </w:rPr>
      </w:pPr>
      <w:r>
        <w:rPr>
          <w:rFonts w:hint="eastAsia" w:ascii="仿宋" w:eastAsia="仿宋" w:cs="仿宋"/>
          <w:sz w:val="24"/>
        </w:rPr>
        <w:t>投标人名称：</w:t>
      </w:r>
      <w:r>
        <w:rPr>
          <w:rFonts w:hint="eastAsia" w:ascii="仿宋" w:eastAsia="仿宋" w:cs="仿宋"/>
          <w:sz w:val="24"/>
          <w:u w:val="single"/>
        </w:rPr>
        <w:t xml:space="preserve">            （盖章）          </w:t>
      </w:r>
    </w:p>
    <w:p w14:paraId="239D6672">
      <w:pPr>
        <w:spacing w:line="420" w:lineRule="exact"/>
        <w:ind w:firstLine="480" w:firstLineChars="200"/>
        <w:rPr>
          <w:rFonts w:ascii="仿宋" w:eastAsia="仿宋" w:cs="仿宋"/>
          <w:color w:val="auto"/>
          <w:sz w:val="24"/>
          <w:szCs w:val="24"/>
        </w:rPr>
      </w:pPr>
    </w:p>
    <w:p w14:paraId="38AC3E08">
      <w:pPr>
        <w:pStyle w:val="29"/>
        <w:spacing w:line="660" w:lineRule="exact"/>
        <w:ind w:firstLine="480" w:firstLineChars="200"/>
        <w:rPr>
          <w:rFonts w:ascii="宋体"/>
          <w:sz w:val="28"/>
          <w:szCs w:val="28"/>
        </w:rPr>
      </w:pPr>
      <w:r>
        <w:rPr>
          <w:rFonts w:hint="eastAsia" w:ascii="仿宋" w:eastAsia="仿宋" w:cs="仿宋"/>
          <w:sz w:val="24"/>
        </w:rPr>
        <w:t>日期：</w:t>
      </w:r>
      <w:r>
        <w:rPr>
          <w:rFonts w:hint="eastAsia" w:ascii="仿宋" w:eastAsia="仿宋" w:cs="仿宋"/>
          <w:sz w:val="24"/>
          <w:u w:val="single"/>
        </w:rPr>
        <w:t xml:space="preserve">       </w:t>
      </w:r>
      <w:r>
        <w:rPr>
          <w:rFonts w:hint="eastAsia" w:ascii="仿宋" w:eastAsia="仿宋" w:cs="仿宋"/>
          <w:sz w:val="24"/>
        </w:rPr>
        <w:t>年</w:t>
      </w:r>
      <w:r>
        <w:rPr>
          <w:rFonts w:hint="eastAsia" w:ascii="仿宋" w:eastAsia="仿宋" w:cs="仿宋"/>
          <w:sz w:val="24"/>
          <w:u w:val="single"/>
        </w:rPr>
        <w:t xml:space="preserve">       </w:t>
      </w:r>
      <w:r>
        <w:rPr>
          <w:rFonts w:hint="eastAsia" w:ascii="仿宋" w:eastAsia="仿宋" w:cs="仿宋"/>
          <w:sz w:val="24"/>
        </w:rPr>
        <w:t>月</w:t>
      </w:r>
      <w:r>
        <w:rPr>
          <w:rFonts w:hint="eastAsia" w:ascii="仿宋" w:eastAsia="仿宋" w:cs="仿宋"/>
          <w:sz w:val="24"/>
          <w:u w:val="single"/>
        </w:rPr>
        <w:t xml:space="preserve">       </w:t>
      </w:r>
      <w:r>
        <w:rPr>
          <w:rFonts w:hint="eastAsia" w:ascii="仿宋" w:eastAsia="仿宋" w:cs="仿宋"/>
          <w:sz w:val="24"/>
        </w:rPr>
        <w:t>日</w:t>
      </w:r>
    </w:p>
    <w:p w14:paraId="6F42884B">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宋体"/>
          <w:color w:val="auto"/>
          <w:sz w:val="28"/>
          <w:szCs w:val="28"/>
        </w:rPr>
        <w:br w:type="page"/>
      </w:r>
      <w:r>
        <w:rPr>
          <w:rFonts w:hint="eastAsia" w:ascii="仿宋" w:eastAsia="仿宋" w:cs="仿宋"/>
          <w:b/>
          <w:bCs/>
          <w:color w:val="auto"/>
          <w:sz w:val="30"/>
          <w:szCs w:val="30"/>
        </w:rPr>
        <w:t>或三、法定代表人授权委托书</w:t>
      </w:r>
    </w:p>
    <w:p w14:paraId="02F8115D">
      <w:pPr>
        <w:pStyle w:val="29"/>
        <w:ind w:firstLine="562" w:firstLineChars="0"/>
        <w:jc w:val="center"/>
        <w:rPr>
          <w:rFonts w:ascii="宋体"/>
          <w:sz w:val="24"/>
        </w:rPr>
      </w:pPr>
    </w:p>
    <w:p w14:paraId="20153DD4">
      <w:pPr>
        <w:pStyle w:val="48"/>
        <w:tabs>
          <w:tab w:val="left" w:pos="3025"/>
          <w:tab w:val="left" w:pos="4105"/>
          <w:tab w:val="left" w:pos="8800"/>
        </w:tabs>
        <w:spacing w:after="120" w:line="457" w:lineRule="exact"/>
        <w:ind w:left="280" w:firstLine="600"/>
        <w:rPr>
          <w:rFonts w:ascii="仿宋" w:eastAsia="仿宋" w:cs="仿宋"/>
          <w:color w:val="auto"/>
          <w:sz w:val="24"/>
          <w:szCs w:val="24"/>
        </w:rPr>
      </w:pPr>
      <w:r>
        <w:rPr>
          <w:rFonts w:hint="eastAsia" w:ascii="仿宋" w:eastAsia="仿宋" w:cs="仿宋"/>
          <w:color w:val="auto"/>
          <w:sz w:val="24"/>
          <w:szCs w:val="24"/>
        </w:rPr>
        <w:t>本人作为</w:t>
      </w:r>
      <w:r>
        <w:rPr>
          <w:rFonts w:hint="eastAsia" w:ascii="仿宋" w:eastAsia="仿宋" w:cs="仿宋"/>
          <w:color w:val="auto"/>
          <w:sz w:val="24"/>
          <w:szCs w:val="24"/>
          <w:u w:val="single"/>
        </w:rPr>
        <w:t>（投标人名称）</w:t>
      </w:r>
      <w:r>
        <w:rPr>
          <w:rFonts w:hint="eastAsia" w:ascii="仿宋" w:eastAsia="仿宋" w:cs="仿宋"/>
          <w:color w:val="auto"/>
          <w:sz w:val="24"/>
          <w:szCs w:val="24"/>
        </w:rPr>
        <w:t>的法定代表人,在此授权我公司的</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lang w:eastAsia="zh-CN"/>
        </w:rPr>
        <w:t>，</w:t>
      </w:r>
      <w:r>
        <w:rPr>
          <w:rFonts w:hint="eastAsia" w:ascii="仿宋" w:eastAsia="仿宋" w:cs="仿宋"/>
          <w:color w:val="auto"/>
          <w:sz w:val="24"/>
          <w:szCs w:val="24"/>
        </w:rPr>
        <w:t>身份证件号码</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lang w:val="en-US" w:eastAsia="zh-CN"/>
        </w:rPr>
        <w:t xml:space="preserve">           </w:t>
      </w:r>
      <w:r>
        <w:rPr>
          <w:rFonts w:hint="eastAsia" w:ascii="仿宋" w:eastAsia="仿宋" w:cs="仿宋"/>
          <w:color w:val="auto"/>
          <w:sz w:val="24"/>
          <w:szCs w:val="24"/>
        </w:rPr>
        <w:t>,作为我的合法的委托代理人，以我的名义并代表我公司全权处理</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lang w:val="en-US" w:eastAsia="zh-CN"/>
        </w:rPr>
        <w:t xml:space="preserve">                                   </w:t>
      </w:r>
      <w:r>
        <w:rPr>
          <w:rFonts w:hint="eastAsia" w:ascii="仿宋" w:eastAsia="仿宋" w:cs="仿宋"/>
          <w:color w:val="auto"/>
          <w:sz w:val="24"/>
          <w:szCs w:val="24"/>
        </w:rPr>
        <w:t>项目投标的各项事宜</w:t>
      </w:r>
      <w:r>
        <w:rPr>
          <w:rFonts w:hint="eastAsia" w:ascii="仿宋" w:eastAsia="仿宋" w:cs="仿宋"/>
          <w:i/>
          <w:iCs/>
          <w:color w:val="auto"/>
          <w:sz w:val="24"/>
          <w:szCs w:val="24"/>
        </w:rPr>
        <w:t>。</w:t>
      </w:r>
    </w:p>
    <w:p w14:paraId="7AB22F18">
      <w:pPr>
        <w:pStyle w:val="48"/>
        <w:tabs>
          <w:tab w:val="left" w:pos="3070"/>
          <w:tab w:val="left" w:pos="3910"/>
          <w:tab w:val="left" w:pos="4750"/>
          <w:tab w:val="left" w:pos="6085"/>
          <w:tab w:val="left" w:pos="6925"/>
          <w:tab w:val="left" w:pos="7765"/>
        </w:tabs>
        <w:spacing w:after="120" w:line="461" w:lineRule="exact"/>
        <w:ind w:firstLine="760"/>
        <w:rPr>
          <w:rFonts w:ascii="仿宋" w:eastAsia="仿宋" w:cs="仿宋"/>
          <w:color w:val="auto"/>
          <w:sz w:val="24"/>
          <w:szCs w:val="24"/>
        </w:rPr>
      </w:pPr>
      <w:r>
        <w:rPr>
          <w:rFonts w:hint="eastAsia" w:ascii="仿宋" w:eastAsia="仿宋" w:cs="仿宋"/>
          <w:color w:val="auto"/>
          <w:sz w:val="24"/>
          <w:szCs w:val="24"/>
        </w:rPr>
        <w:t>本授权书期限自</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日起至</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年</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月</w:t>
      </w:r>
      <w:r>
        <w:rPr>
          <w:rFonts w:hint="eastAsia" w:ascii="仿宋" w:eastAsia="仿宋" w:cs="仿宋"/>
          <w:color w:val="auto"/>
          <w:sz w:val="24"/>
          <w:szCs w:val="24"/>
          <w:u w:val="single"/>
        </w:rPr>
        <w:t xml:space="preserve"> </w:t>
      </w:r>
      <w:r>
        <w:rPr>
          <w:rFonts w:hint="eastAsia" w:ascii="仿宋" w:eastAsia="仿宋" w:cs="仿宋"/>
          <w:color w:val="auto"/>
          <w:sz w:val="24"/>
          <w:szCs w:val="24"/>
          <w:u w:val="single"/>
        </w:rPr>
        <w:tab/>
      </w:r>
      <w:r>
        <w:rPr>
          <w:rFonts w:hint="eastAsia" w:ascii="仿宋" w:eastAsia="仿宋" w:cs="仿宋"/>
          <w:color w:val="auto"/>
          <w:sz w:val="24"/>
          <w:szCs w:val="24"/>
        </w:rPr>
        <w:t>日止。</w:t>
      </w:r>
    </w:p>
    <w:p w14:paraId="3FBF307B">
      <w:pPr>
        <w:pStyle w:val="48"/>
        <w:spacing w:after="120" w:line="465" w:lineRule="exact"/>
        <w:ind w:left="280" w:firstLine="480"/>
        <w:rPr>
          <w:rFonts w:ascii="仿宋" w:eastAsia="仿宋" w:cs="仿宋"/>
          <w:color w:val="auto"/>
          <w:sz w:val="24"/>
          <w:szCs w:val="24"/>
        </w:rPr>
      </w:pPr>
      <w:r>
        <w:rPr>
          <w:rFonts w:hint="eastAsia" w:ascii="仿宋" w:eastAsia="仿宋" w:cs="仿宋"/>
          <w:color w:val="auto"/>
          <w:sz w:val="24"/>
          <w:szCs w:val="24"/>
        </w:rPr>
        <w:t>在此授权范围和期限内，被授权人所实施的行为具有法律效力，授权人予以认可。</w:t>
      </w:r>
    </w:p>
    <w:p w14:paraId="4C6EE74D">
      <w:pPr>
        <w:pStyle w:val="48"/>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委托代理人无权转让委托权，特此委托。</w:t>
      </w:r>
    </w:p>
    <w:p w14:paraId="78F41E64">
      <w:pPr>
        <w:pStyle w:val="48"/>
        <w:tabs>
          <w:tab w:val="left" w:pos="3385"/>
          <w:tab w:val="left" w:pos="4835"/>
        </w:tabs>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委托代理人：</w:t>
      </w:r>
      <w:r>
        <w:rPr>
          <w:rFonts w:hint="eastAsia" w:ascii="仿宋" w:eastAsia="仿宋" w:cs="仿宋"/>
          <w:color w:val="auto"/>
          <w:sz w:val="24"/>
          <w:szCs w:val="24"/>
        </w:rPr>
        <w:tab/>
      </w:r>
      <w:r>
        <w:rPr>
          <w:rFonts w:hint="eastAsia" w:ascii="仿宋" w:eastAsia="仿宋" w:cs="仿宋"/>
          <w:color w:val="auto"/>
          <w:sz w:val="24"/>
          <w:szCs w:val="24"/>
        </w:rPr>
        <w:t>性别</w:t>
      </w:r>
      <w:r>
        <w:rPr>
          <w:rFonts w:hint="eastAsia" w:ascii="仿宋" w:eastAsia="仿宋" w:cs="仿宋"/>
          <w:color w:val="auto"/>
          <w:sz w:val="24"/>
          <w:szCs w:val="24"/>
          <w:lang w:eastAsia="zh-CN"/>
        </w:rPr>
        <w:t>：</w:t>
      </w:r>
      <w:r>
        <w:rPr>
          <w:rFonts w:hint="eastAsia" w:ascii="仿宋" w:eastAsia="仿宋" w:cs="仿宋"/>
          <w:color w:val="auto"/>
          <w:sz w:val="24"/>
          <w:szCs w:val="24"/>
        </w:rPr>
        <w:tab/>
      </w:r>
      <w:r>
        <w:rPr>
          <w:rFonts w:hint="eastAsia" w:ascii="仿宋" w:eastAsia="仿宋" w:cs="仿宋"/>
          <w:color w:val="auto"/>
          <w:sz w:val="24"/>
          <w:szCs w:val="24"/>
        </w:rPr>
        <w:t>年龄：</w:t>
      </w:r>
    </w:p>
    <w:p w14:paraId="11F06BE9">
      <w:pPr>
        <w:pStyle w:val="48"/>
        <w:tabs>
          <w:tab w:val="left" w:pos="3385"/>
        </w:tabs>
        <w:spacing w:after="120" w:line="461" w:lineRule="exact"/>
        <w:ind w:firstLine="760"/>
        <w:jc w:val="left"/>
        <w:rPr>
          <w:rFonts w:ascii="仿宋" w:eastAsia="仿宋" w:cs="仿宋"/>
          <w:color w:val="auto"/>
          <w:sz w:val="24"/>
          <w:szCs w:val="24"/>
        </w:rPr>
      </w:pPr>
      <w:r>
        <w:rPr>
          <w:rFonts w:hint="eastAsia" w:ascii="仿宋" w:eastAsia="仿宋" w:cs="仿宋"/>
          <w:color w:val="auto"/>
          <w:sz w:val="24"/>
          <w:szCs w:val="24"/>
        </w:rPr>
        <w:t>身份证号码：</w:t>
      </w:r>
      <w:r>
        <w:rPr>
          <w:rFonts w:hint="eastAsia" w:ascii="仿宋" w:eastAsia="仿宋" w:cs="仿宋"/>
          <w:color w:val="auto"/>
          <w:sz w:val="24"/>
          <w:szCs w:val="24"/>
        </w:rPr>
        <w:tab/>
      </w: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rPr>
        <w:t>职务：</w:t>
      </w:r>
    </w:p>
    <w:p w14:paraId="30B06B28">
      <w:pPr>
        <w:pStyle w:val="48"/>
        <w:spacing w:after="300" w:line="461" w:lineRule="exact"/>
        <w:ind w:firstLine="760"/>
        <w:rPr>
          <w:rFonts w:ascii="仿宋" w:eastAsia="仿宋" w:cs="仿宋"/>
          <w:color w:val="auto"/>
          <w:sz w:val="24"/>
          <w:szCs w:val="24"/>
        </w:rPr>
      </w:pPr>
      <w:r>
        <w:rPr>
          <w:rFonts w:hint="eastAsia" w:ascii="仿宋" w:eastAsia="仿宋" w:cs="仿宋"/>
          <w:color w:val="auto"/>
          <w:sz w:val="24"/>
          <w:szCs w:val="24"/>
        </w:rPr>
        <w:t>委托代理人手机号码：</w:t>
      </w:r>
    </w:p>
    <w:p w14:paraId="43E6A901">
      <w:pPr>
        <w:snapToGrid w:val="0"/>
        <w:spacing w:line="360" w:lineRule="auto"/>
        <w:rPr>
          <w:rFonts w:ascii="仿宋" w:eastAsia="仿宋" w:cs="仿宋"/>
          <w:color w:val="auto"/>
          <w:sz w:val="24"/>
          <w:szCs w:val="24"/>
        </w:rPr>
      </w:pPr>
    </w:p>
    <w:p w14:paraId="742E3AA1">
      <w:pPr>
        <w:spacing w:line="360" w:lineRule="auto"/>
        <w:rPr>
          <w:rFonts w:ascii="仿宋" w:eastAsia="仿宋" w:cs="仿宋"/>
          <w:color w:val="auto"/>
          <w:sz w:val="24"/>
          <w:szCs w:val="24"/>
        </w:rPr>
      </w:pPr>
    </w:p>
    <w:p w14:paraId="096AF7F6">
      <w:pPr>
        <w:spacing w:line="360" w:lineRule="auto"/>
        <w:rPr>
          <w:rFonts w:ascii="仿宋" w:eastAsia="仿宋" w:cs="仿宋"/>
          <w:color w:val="auto"/>
          <w:sz w:val="24"/>
          <w:szCs w:val="24"/>
        </w:rPr>
      </w:pPr>
    </w:p>
    <w:p w14:paraId="0CFC6A78">
      <w:pPr>
        <w:spacing w:line="400" w:lineRule="exact"/>
        <w:rPr>
          <w:rFonts w:hint="eastAsia" w:ascii="仿宋" w:hAnsi="仿宋" w:eastAsia="仿宋" w:cs="仿宋"/>
          <w:b/>
          <w:bCs/>
          <w:color w:val="auto"/>
          <w:sz w:val="24"/>
          <w:szCs w:val="24"/>
          <w:lang w:eastAsia="zh-CN"/>
        </w:rPr>
      </w:pPr>
      <w:r>
        <w:rPr>
          <w:rFonts w:hint="eastAsia" w:ascii="仿宋" w:eastAsia="仿宋" w:cs="仿宋"/>
          <w:b/>
          <w:bCs/>
          <w:color w:val="auto"/>
          <w:sz w:val="24"/>
          <w:szCs w:val="24"/>
        </w:rPr>
        <w:t>附：</w:t>
      </w:r>
      <w:r>
        <w:rPr>
          <w:rFonts w:hint="eastAsia" w:ascii="仿宋" w:hAnsi="仿宋" w:eastAsia="仿宋" w:cs="仿宋"/>
          <w:b/>
          <w:bCs/>
          <w:color w:val="auto"/>
          <w:sz w:val="24"/>
          <w:szCs w:val="24"/>
          <w:highlight w:val="none"/>
        </w:rPr>
        <w:t>法定代表人和被授权人身份证复印件（</w:t>
      </w:r>
      <w:r>
        <w:rPr>
          <w:rFonts w:hint="eastAsia" w:ascii="仿宋" w:hAnsi="仿宋" w:eastAsia="仿宋" w:cs="仿宋"/>
          <w:b/>
          <w:bCs/>
          <w:color w:val="auto"/>
          <w:sz w:val="24"/>
          <w:szCs w:val="24"/>
        </w:rPr>
        <w:t>正反面）</w:t>
      </w:r>
      <w:r>
        <w:rPr>
          <w:rFonts w:hint="eastAsia" w:ascii="仿宋" w:hAnsi="仿宋" w:eastAsia="仿宋" w:cs="仿宋"/>
          <w:b/>
          <w:bCs/>
          <w:color w:val="auto"/>
          <w:sz w:val="24"/>
          <w:szCs w:val="24"/>
          <w:lang w:eastAsia="zh-CN"/>
        </w:rPr>
        <w:t>。</w:t>
      </w:r>
    </w:p>
    <w:p w14:paraId="7AFDCA24">
      <w:pPr>
        <w:spacing w:line="360" w:lineRule="auto"/>
        <w:ind w:firstLine="4440" w:firstLineChars="1850"/>
        <w:rPr>
          <w:rFonts w:ascii="仿宋" w:eastAsia="仿宋" w:cs="仿宋"/>
          <w:color w:val="auto"/>
          <w:sz w:val="24"/>
          <w:szCs w:val="24"/>
        </w:rPr>
      </w:pPr>
    </w:p>
    <w:p w14:paraId="16742BDE">
      <w:pPr>
        <w:spacing w:before="156" w:beforeLines="50"/>
        <w:ind w:firstLine="3600" w:firstLineChars="1500"/>
        <w:rPr>
          <w:rFonts w:eastAsia="方正仿宋_GB2312"/>
          <w:color w:val="auto"/>
          <w:sz w:val="24"/>
        </w:rPr>
      </w:pPr>
    </w:p>
    <w:p w14:paraId="25C8BBE6">
      <w:pPr>
        <w:spacing w:before="156" w:beforeLines="50"/>
        <w:ind w:firstLine="3600" w:firstLineChars="1500"/>
        <w:rPr>
          <w:rFonts w:eastAsia="方正仿宋_GB2312"/>
          <w:color w:val="auto"/>
          <w:sz w:val="24"/>
        </w:rPr>
      </w:pPr>
    </w:p>
    <w:p w14:paraId="179BACE9">
      <w:pPr>
        <w:spacing w:before="156" w:beforeLines="50"/>
        <w:ind w:firstLine="3600" w:firstLineChars="1500"/>
        <w:rPr>
          <w:rFonts w:eastAsia="方正仿宋_GB2312"/>
          <w:color w:val="auto"/>
          <w:sz w:val="24"/>
        </w:rPr>
      </w:pPr>
    </w:p>
    <w:p w14:paraId="3CE5C2B8">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76F01CA1">
      <w:pPr>
        <w:spacing w:before="156" w:beforeLines="50"/>
        <w:ind w:firstLine="3600" w:firstLineChars="1500"/>
        <w:rPr>
          <w:rFonts w:eastAsia="方正仿宋_GB2312"/>
          <w:color w:val="auto"/>
          <w:sz w:val="24"/>
          <w:u w:val="single"/>
        </w:rPr>
      </w:pPr>
      <w:r>
        <w:rPr>
          <w:rFonts w:eastAsia="方正仿宋_GB2312"/>
          <w:color w:val="auto"/>
          <w:sz w:val="24"/>
        </w:rPr>
        <w:t>法定代表人：</w:t>
      </w:r>
      <w:r>
        <w:rPr>
          <w:rFonts w:eastAsia="方正仿宋_GB2312"/>
          <w:color w:val="auto"/>
          <w:sz w:val="24"/>
          <w:u w:val="single"/>
        </w:rPr>
        <w:t>（签字或盖章）</w:t>
      </w:r>
    </w:p>
    <w:p w14:paraId="0413628F">
      <w:pPr>
        <w:spacing w:before="156" w:beforeLines="50"/>
        <w:ind w:firstLine="3600" w:firstLineChars="1500"/>
        <w:rPr>
          <w:rFonts w:eastAsia="方正仿宋_GB2312"/>
          <w:color w:val="auto"/>
          <w:sz w:val="24"/>
        </w:rPr>
      </w:pPr>
      <w:r>
        <w:rPr>
          <w:rFonts w:hint="eastAsia" w:eastAsia="方正仿宋_GB2312"/>
          <w:color w:val="auto"/>
          <w:sz w:val="24"/>
        </w:rPr>
        <w:t>日期：</w:t>
      </w:r>
    </w:p>
    <w:p w14:paraId="04B14AFE">
      <w:pPr>
        <w:pStyle w:val="3"/>
        <w:rPr>
          <w:rFonts w:ascii="仿宋" w:eastAsia="仿宋" w:cs="仿宋"/>
          <w:sz w:val="30"/>
          <w:szCs w:val="30"/>
        </w:rPr>
      </w:pPr>
    </w:p>
    <w:p w14:paraId="5EF22346">
      <w:pPr>
        <w:rPr>
          <w:rFonts w:ascii="仿宋" w:eastAsia="仿宋" w:cs="仿宋"/>
          <w:b/>
          <w:bCs/>
          <w:color w:val="auto"/>
          <w:sz w:val="30"/>
          <w:szCs w:val="30"/>
        </w:rPr>
      </w:pPr>
    </w:p>
    <w:p w14:paraId="4DB3970E">
      <w:pPr>
        <w:pStyle w:val="3"/>
        <w:jc w:val="center"/>
        <w:rPr>
          <w:rFonts w:ascii="Times New Roman" w:hAnsi="Times New Roman" w:eastAsia="方正仿宋_GB2312"/>
          <w:szCs w:val="21"/>
        </w:rPr>
      </w:pPr>
      <w:r>
        <w:rPr>
          <w:rFonts w:hint="eastAsia" w:ascii="仿宋" w:eastAsia="仿宋" w:cs="仿宋"/>
          <w:sz w:val="30"/>
          <w:szCs w:val="30"/>
        </w:rPr>
        <w:t>四、</w:t>
      </w:r>
      <w:bookmarkStart w:id="15" w:name="_Toc331876394"/>
      <w:bookmarkStart w:id="16" w:name="_Toc48672384"/>
      <w:r>
        <w:rPr>
          <w:rFonts w:ascii="Times New Roman" w:hAnsi="Times New Roman" w:eastAsia="方正仿宋_GB2312"/>
          <w:szCs w:val="40"/>
        </w:rPr>
        <w:t>投标声明函</w:t>
      </w:r>
    </w:p>
    <w:p w14:paraId="1434A894">
      <w:pPr>
        <w:pStyle w:val="14"/>
        <w:spacing w:before="120" w:after="120" w:line="288" w:lineRule="auto"/>
        <w:rPr>
          <w:rFonts w:hint="eastAsia" w:ascii="仿宋" w:hAnsi="仿宋" w:eastAsia="仿宋"/>
          <w:szCs w:val="24"/>
        </w:rPr>
      </w:pPr>
      <w:r>
        <w:rPr>
          <w:rFonts w:ascii="仿宋" w:hAnsi="仿宋" w:eastAsia="仿宋"/>
          <w:szCs w:val="24"/>
        </w:rPr>
        <w:t>致：</w:t>
      </w:r>
      <w:r>
        <w:rPr>
          <w:rFonts w:ascii="仿宋" w:hAnsi="仿宋" w:eastAsia="仿宋"/>
          <w:szCs w:val="24"/>
          <w:u w:val="single"/>
        </w:rPr>
        <w:t xml:space="preserve">              （采购人） </w:t>
      </w:r>
    </w:p>
    <w:p w14:paraId="42E41267">
      <w:pPr>
        <w:autoSpaceDE/>
        <w:autoSpaceDN/>
        <w:adjustRightInd/>
        <w:snapToGrid w:val="0"/>
        <w:spacing w:line="288" w:lineRule="auto"/>
        <w:rPr>
          <w:rFonts w:hint="eastAsia" w:ascii="仿宋" w:hAnsi="仿宋" w:eastAsia="仿宋"/>
          <w:color w:val="auto"/>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（投标人名称）系中华人民共和国合法企业，经营地址</w:t>
      </w:r>
      <w:r>
        <w:rPr>
          <w:rFonts w:ascii="仿宋" w:hAnsi="仿宋" w:eastAsia="仿宋"/>
          <w:color w:val="auto"/>
          <w:sz w:val="24"/>
          <w:szCs w:val="24"/>
          <w:u w:val="single"/>
        </w:rPr>
        <w:t xml:space="preserve">                               </w:t>
      </w:r>
      <w:r>
        <w:rPr>
          <w:rFonts w:ascii="仿宋" w:hAnsi="仿宋" w:eastAsia="仿宋"/>
          <w:color w:val="auto"/>
          <w:sz w:val="24"/>
          <w:szCs w:val="24"/>
        </w:rPr>
        <w:t>。</w:t>
      </w:r>
    </w:p>
    <w:p w14:paraId="1A2BC717">
      <w:pPr>
        <w:autoSpaceDE/>
        <w:autoSpaceDN/>
        <w:adjustRightInd/>
        <w:snapToGrid w:val="0"/>
        <w:spacing w:line="288" w:lineRule="auto"/>
        <w:ind w:firstLine="480" w:firstLineChars="200"/>
        <w:rPr>
          <w:rFonts w:hint="eastAsia" w:ascii="仿宋" w:hAnsi="仿宋" w:eastAsia="仿宋"/>
          <w:color w:val="auto"/>
          <w:sz w:val="24"/>
          <w:szCs w:val="24"/>
        </w:rPr>
      </w:pPr>
      <w:r>
        <w:rPr>
          <w:rFonts w:ascii="仿宋" w:hAnsi="仿宋" w:eastAsia="仿宋"/>
          <w:color w:val="auto"/>
          <w:sz w:val="24"/>
          <w:szCs w:val="24"/>
        </w:rPr>
        <w:t>我</w:t>
      </w:r>
      <w:r>
        <w:rPr>
          <w:rFonts w:ascii="仿宋" w:hAnsi="仿宋" w:eastAsia="仿宋"/>
          <w:color w:val="auto"/>
          <w:sz w:val="24"/>
          <w:szCs w:val="24"/>
          <w:u w:val="single"/>
        </w:rPr>
        <w:t xml:space="preserve">        （</w:t>
      </w:r>
      <w:r>
        <w:rPr>
          <w:rFonts w:ascii="仿宋" w:hAnsi="仿宋" w:eastAsia="仿宋"/>
          <w:color w:val="auto"/>
          <w:sz w:val="24"/>
          <w:szCs w:val="24"/>
        </w:rPr>
        <w:t>姓名）系</w:t>
      </w:r>
      <w:r>
        <w:rPr>
          <w:rFonts w:ascii="仿宋" w:hAnsi="仿宋" w:eastAsia="仿宋"/>
          <w:color w:val="auto"/>
          <w:sz w:val="24"/>
          <w:szCs w:val="24"/>
          <w:u w:val="single"/>
        </w:rPr>
        <w:t xml:space="preserve">                           </w:t>
      </w:r>
      <w:r>
        <w:rPr>
          <w:rFonts w:ascii="仿宋" w:hAnsi="仿宋" w:eastAsia="仿宋"/>
          <w:color w:val="auto"/>
          <w:sz w:val="24"/>
          <w:szCs w:val="24"/>
        </w:rPr>
        <w:t>（投标人名称）的法定代表人，我方愿意参加贵方组织的</w:t>
      </w:r>
      <w:r>
        <w:rPr>
          <w:rFonts w:ascii="仿宋" w:hAnsi="仿宋" w:eastAsia="仿宋"/>
          <w:color w:val="auto"/>
          <w:sz w:val="24"/>
          <w:szCs w:val="24"/>
          <w:u w:val="single"/>
        </w:rPr>
        <w:t xml:space="preserve">                          </w:t>
      </w:r>
      <w:r>
        <w:rPr>
          <w:rFonts w:ascii="仿宋" w:hAnsi="仿宋" w:eastAsia="仿宋"/>
          <w:color w:val="auto"/>
          <w:sz w:val="24"/>
          <w:szCs w:val="24"/>
        </w:rPr>
        <w:t>项目的投标，为便于贵方公正、择优地确定中标人，我方就本次投标有关事项郑重声明如下：</w:t>
      </w:r>
    </w:p>
    <w:p w14:paraId="10E9FF74">
      <w:pPr>
        <w:autoSpaceDE/>
        <w:autoSpaceDN/>
        <w:adjustRightInd/>
        <w:snapToGrid w:val="0"/>
        <w:spacing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w:t>
      </w:r>
      <w:r>
        <w:rPr>
          <w:rFonts w:ascii="仿宋" w:hAnsi="仿宋" w:eastAsia="仿宋"/>
          <w:color w:val="auto"/>
          <w:sz w:val="24"/>
          <w:szCs w:val="24"/>
        </w:rPr>
        <w:t>我方向贵方提交的所有投标文件、资料都是准确的和真实的；</w:t>
      </w:r>
    </w:p>
    <w:p w14:paraId="0B05A095">
      <w:pPr>
        <w:autoSpaceDE/>
        <w:autoSpaceDN/>
        <w:adjustRightInd/>
        <w:snapToGrid w:val="0"/>
        <w:spacing w:before="156" w:beforeLines="50"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w:t>
      </w:r>
      <w:r>
        <w:rPr>
          <w:rFonts w:ascii="仿宋" w:hAnsi="仿宋" w:eastAsia="仿宋"/>
          <w:color w:val="auto"/>
          <w:sz w:val="24"/>
          <w:szCs w:val="24"/>
        </w:rPr>
        <w:t>我方不是采购人的附属机构；在获知本项目采购信息后，与采购人聘请的为此项目提供咨询服务的公司及其附属机构没有任何联系。</w:t>
      </w:r>
    </w:p>
    <w:p w14:paraId="5AD0BA15">
      <w:pPr>
        <w:autoSpaceDE/>
        <w:autoSpaceDN/>
        <w:adjustRightInd/>
        <w:snapToGrid w:val="0"/>
        <w:spacing w:line="288" w:lineRule="auto"/>
        <w:ind w:firstLine="480" w:firstLineChars="200"/>
        <w:rPr>
          <w:rFonts w:hint="eastAsia" w:ascii="仿宋" w:hAnsi="仿宋" w:eastAsia="仿宋"/>
          <w:b/>
          <w:bCs/>
          <w:color w:val="auto"/>
          <w:sz w:val="24"/>
          <w:szCs w:val="24"/>
          <w:u w:val="single"/>
        </w:rPr>
      </w:pPr>
      <w:r>
        <w:rPr>
          <w:rFonts w:hint="eastAsia" w:ascii="仿宋" w:hAnsi="仿宋" w:eastAsia="仿宋" w:cs="仿宋_GB2312"/>
          <w:color w:val="auto"/>
          <w:sz w:val="24"/>
          <w:szCs w:val="24"/>
        </w:rPr>
        <w:t>（三）我方拟在中标后将</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工作分包，分包承担主体是</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，我方承诺分包承担主体具备相应资质条件</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，且不再次分包。</w:t>
      </w:r>
      <w:r>
        <w:rPr>
          <w:rFonts w:hint="eastAsia" w:ascii="仿宋" w:hAnsi="仿宋" w:eastAsia="仿宋" w:cs="仿宋_GB2312"/>
          <w:b/>
          <w:bCs/>
          <w:color w:val="auto"/>
          <w:sz w:val="24"/>
          <w:szCs w:val="24"/>
          <w:u w:val="single"/>
        </w:rPr>
        <w:t>（不再将工作进行分包或本项目不允许分包的，下划线处填写“/”。）</w:t>
      </w:r>
    </w:p>
    <w:p w14:paraId="5D3F4DC1">
      <w:pPr>
        <w:autoSpaceDE/>
        <w:autoSpaceDN/>
        <w:adjustRightInd/>
        <w:snapToGrid w:val="0"/>
        <w:spacing w:before="156" w:beforeLines="50" w:line="288"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w:t>
      </w:r>
      <w:r>
        <w:rPr>
          <w:rFonts w:ascii="仿宋" w:hAnsi="仿宋" w:eastAsia="仿宋"/>
          <w:color w:val="auto"/>
          <w:sz w:val="24"/>
          <w:szCs w:val="24"/>
        </w:rPr>
        <w:t>我方在此声明，所递交的投标文件及有关资料内容完整、真实和准确，如有虚假或隐瞒，我方愿意承担一切后果和责任。严格遵守《中华人民共和国政府采购法》等相关法律法规的规定：</w:t>
      </w:r>
      <w:r>
        <w:rPr>
          <w:rFonts w:hint="eastAsia" w:ascii="仿宋" w:hAnsi="仿宋" w:eastAsia="仿宋"/>
          <w:color w:val="auto"/>
          <w:sz w:val="24"/>
          <w:szCs w:val="24"/>
        </w:rPr>
        <w:t>投标人</w:t>
      </w:r>
      <w:r>
        <w:rPr>
          <w:rFonts w:ascii="仿宋" w:hAnsi="仿宋" w:eastAsia="仿宋"/>
          <w:color w:val="auto"/>
          <w:sz w:val="24"/>
          <w:szCs w:val="24"/>
        </w:rPr>
        <w:t>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6328D9EA">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提供虚假材料谋取中标、成交的；</w:t>
      </w:r>
    </w:p>
    <w:p w14:paraId="2AEA4229">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采取不正当手段诋毁、排挤其他投标</w:t>
      </w:r>
      <w:r>
        <w:rPr>
          <w:rFonts w:hint="eastAsia" w:ascii="仿宋" w:hAnsi="仿宋" w:eastAsia="仿宋"/>
          <w:color w:val="auto"/>
          <w:sz w:val="24"/>
          <w:szCs w:val="24"/>
        </w:rPr>
        <w:t>人</w:t>
      </w:r>
      <w:r>
        <w:rPr>
          <w:rFonts w:ascii="仿宋" w:hAnsi="仿宋" w:eastAsia="仿宋"/>
          <w:color w:val="auto"/>
          <w:sz w:val="24"/>
          <w:szCs w:val="24"/>
        </w:rPr>
        <w:t>的；</w:t>
      </w:r>
    </w:p>
    <w:p w14:paraId="159CFF5E">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3.与其他</w:t>
      </w:r>
      <w:r>
        <w:rPr>
          <w:rFonts w:ascii="仿宋" w:hAnsi="仿宋" w:eastAsia="仿宋"/>
          <w:color w:val="auto"/>
          <w:sz w:val="24"/>
          <w:szCs w:val="24"/>
        </w:rPr>
        <w:t>投标</w:t>
      </w:r>
      <w:r>
        <w:rPr>
          <w:rFonts w:hint="eastAsia" w:ascii="仿宋" w:hAnsi="仿宋" w:eastAsia="仿宋"/>
          <w:color w:val="auto"/>
          <w:sz w:val="24"/>
          <w:szCs w:val="24"/>
        </w:rPr>
        <w:t>人</w:t>
      </w:r>
      <w:r>
        <w:rPr>
          <w:rFonts w:ascii="仿宋" w:hAnsi="仿宋" w:eastAsia="仿宋"/>
          <w:color w:val="auto"/>
          <w:sz w:val="24"/>
          <w:szCs w:val="24"/>
        </w:rPr>
        <w:t>恶意串通的；</w:t>
      </w:r>
    </w:p>
    <w:p w14:paraId="7D4474E5">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向采购单位行贿或者提供其他不正当利益的；</w:t>
      </w:r>
    </w:p>
    <w:p w14:paraId="6A19113F">
      <w:pPr>
        <w:autoSpaceDE/>
        <w:autoSpaceDN/>
        <w:adjustRightInd/>
        <w:snapToGrid w:val="0"/>
        <w:spacing w:line="288" w:lineRule="auto"/>
        <w:ind w:left="420" w:leftChars="200"/>
        <w:rPr>
          <w:rFonts w:hint="eastAsia"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拒绝有关部门监督检查或提供虚假情况的。</w:t>
      </w:r>
    </w:p>
    <w:p w14:paraId="29758681">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投 标 人：</w:t>
      </w:r>
      <w:r>
        <w:rPr>
          <w:rFonts w:ascii="仿宋" w:hAnsi="仿宋" w:eastAsia="仿宋"/>
          <w:color w:val="auto"/>
          <w:sz w:val="24"/>
          <w:szCs w:val="24"/>
          <w:u w:val="single"/>
        </w:rPr>
        <w:t xml:space="preserve">                      </w:t>
      </w:r>
      <w:r>
        <w:rPr>
          <w:rFonts w:ascii="仿宋" w:hAnsi="仿宋" w:eastAsia="仿宋"/>
          <w:color w:val="auto"/>
          <w:sz w:val="24"/>
          <w:szCs w:val="24"/>
        </w:rPr>
        <w:t>（盖单位章）</w:t>
      </w:r>
    </w:p>
    <w:p w14:paraId="061322D7">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法定代表人或其委托代理人：</w:t>
      </w:r>
      <w:r>
        <w:rPr>
          <w:rFonts w:ascii="仿宋" w:hAnsi="仿宋" w:eastAsia="仿宋"/>
          <w:color w:val="auto"/>
          <w:sz w:val="24"/>
          <w:szCs w:val="24"/>
          <w:u w:val="single"/>
        </w:rPr>
        <w:t xml:space="preserve">       </w:t>
      </w:r>
      <w:r>
        <w:rPr>
          <w:rFonts w:ascii="仿宋" w:hAnsi="仿宋" w:eastAsia="仿宋"/>
          <w:color w:val="auto"/>
          <w:sz w:val="24"/>
          <w:szCs w:val="24"/>
        </w:rPr>
        <w:t>（签字或盖章）</w:t>
      </w:r>
    </w:p>
    <w:p w14:paraId="268253DA">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电话：</w:t>
      </w:r>
      <w:r>
        <w:rPr>
          <w:rFonts w:ascii="仿宋" w:hAnsi="仿宋" w:eastAsia="仿宋"/>
          <w:color w:val="auto"/>
          <w:sz w:val="24"/>
          <w:szCs w:val="24"/>
          <w:u w:val="single"/>
        </w:rPr>
        <w:t xml:space="preserve">                                     </w:t>
      </w:r>
    </w:p>
    <w:p w14:paraId="3DCCD6EC">
      <w:pPr>
        <w:autoSpaceDE/>
        <w:autoSpaceDN/>
        <w:adjustRightInd/>
        <w:spacing w:line="460" w:lineRule="exact"/>
        <w:ind w:firstLine="2400" w:firstLineChars="1000"/>
        <w:rPr>
          <w:rFonts w:hint="eastAsia" w:ascii="仿宋" w:hAnsi="仿宋" w:eastAsia="仿宋"/>
          <w:color w:val="auto"/>
          <w:sz w:val="24"/>
          <w:szCs w:val="24"/>
        </w:rPr>
      </w:pPr>
      <w:r>
        <w:rPr>
          <w:rFonts w:ascii="仿宋" w:hAnsi="仿宋" w:eastAsia="仿宋"/>
          <w:color w:val="auto"/>
          <w:sz w:val="24"/>
          <w:szCs w:val="24"/>
        </w:rPr>
        <w:t>电子邮件：</w:t>
      </w:r>
      <w:r>
        <w:rPr>
          <w:rFonts w:ascii="仿宋" w:hAnsi="仿宋" w:eastAsia="仿宋"/>
          <w:color w:val="auto"/>
          <w:sz w:val="24"/>
          <w:szCs w:val="24"/>
          <w:u w:val="single"/>
        </w:rPr>
        <w:t xml:space="preserve">                                     </w:t>
      </w:r>
    </w:p>
    <w:p w14:paraId="0A78CBB9">
      <w:pPr>
        <w:pStyle w:val="30"/>
        <w:spacing w:after="0" w:line="460" w:lineRule="exact"/>
        <w:ind w:left="0" w:leftChars="0" w:firstLine="2400" w:firstLineChars="1000"/>
        <w:rPr>
          <w:rFonts w:ascii="Times New Roman" w:hAnsi="Times New Roman" w:eastAsia="方正仿宋_GB2312"/>
          <w:sz w:val="21"/>
          <w:szCs w:val="21"/>
          <w:u w:val="single"/>
        </w:rPr>
      </w:pPr>
      <w:r>
        <w:rPr>
          <w:rFonts w:ascii="仿宋" w:hAnsi="仿宋" w:eastAsia="仿宋"/>
          <w:szCs w:val="24"/>
        </w:rPr>
        <w:t>日    期：</w:t>
      </w:r>
      <w:r>
        <w:rPr>
          <w:rFonts w:ascii="仿宋" w:hAnsi="仿宋" w:eastAsia="仿宋"/>
          <w:szCs w:val="24"/>
          <w:u w:val="single"/>
        </w:rPr>
        <w:t xml:space="preserve">                   </w:t>
      </w:r>
      <w:r>
        <w:rPr>
          <w:rFonts w:hint="eastAsia" w:ascii="仿宋" w:hAnsi="仿宋" w:eastAsia="仿宋"/>
          <w:szCs w:val="24"/>
          <w:u w:val="single"/>
        </w:rPr>
        <w:t xml:space="preserve">               </w:t>
      </w:r>
      <w:r>
        <w:rPr>
          <w:rFonts w:hint="eastAsia" w:ascii="Times New Roman" w:hAnsi="Times New Roman" w:eastAsia="方正仿宋_GB2312"/>
          <w:sz w:val="21"/>
          <w:szCs w:val="21"/>
          <w:u w:val="single"/>
        </w:rPr>
        <w:t xml:space="preserve">  </w:t>
      </w:r>
    </w:p>
    <w:p w14:paraId="5F5E4DA5">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6F64CF26">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4371D85D">
      <w:pPr>
        <w:widowControl/>
        <w:tabs>
          <w:tab w:val="left" w:pos="450"/>
          <w:tab w:val="left" w:pos="2520"/>
          <w:tab w:val="left" w:pos="8280"/>
        </w:tabs>
        <w:spacing w:line="312" w:lineRule="auto"/>
        <w:jc w:val="center"/>
        <w:outlineLvl w:val="1"/>
        <w:rPr>
          <w:rFonts w:ascii="仿宋" w:eastAsia="仿宋" w:cs="仿宋"/>
          <w:b/>
          <w:bCs/>
          <w:color w:val="auto"/>
          <w:sz w:val="30"/>
          <w:szCs w:val="30"/>
        </w:rPr>
      </w:pPr>
    </w:p>
    <w:p w14:paraId="1B39B13D">
      <w:pPr>
        <w:widowControl/>
        <w:tabs>
          <w:tab w:val="left" w:pos="450"/>
          <w:tab w:val="left" w:pos="2520"/>
          <w:tab w:val="left" w:pos="8280"/>
        </w:tabs>
        <w:spacing w:line="312" w:lineRule="auto"/>
        <w:jc w:val="center"/>
        <w:outlineLvl w:val="1"/>
        <w:rPr>
          <w:rFonts w:ascii="仿宋" w:eastAsia="仿宋" w:cs="仿宋"/>
          <w:color w:val="auto"/>
          <w:sz w:val="30"/>
          <w:szCs w:val="30"/>
        </w:rPr>
      </w:pPr>
      <w:r>
        <w:rPr>
          <w:rFonts w:hint="eastAsia" w:ascii="仿宋" w:eastAsia="仿宋" w:cs="仿宋"/>
          <w:b/>
          <w:bCs/>
          <w:color w:val="auto"/>
          <w:sz w:val="30"/>
          <w:szCs w:val="30"/>
        </w:rPr>
        <w:t>五、开标一览表</w:t>
      </w:r>
    </w:p>
    <w:p w14:paraId="14CE9F68">
      <w:pPr>
        <w:spacing w:line="420" w:lineRule="exact"/>
        <w:rPr>
          <w:rFonts w:ascii="仿宋" w:eastAsia="仿宋" w:cs="仿宋"/>
          <w:color w:val="auto"/>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14:paraId="29F4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vAlign w:val="center"/>
          </w:tcPr>
          <w:p w14:paraId="2B30A5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990" w:type="dxa"/>
            <w:vAlign w:val="center"/>
          </w:tcPr>
          <w:p w14:paraId="093AED21">
            <w:pPr>
              <w:jc w:val="left"/>
              <w:rPr>
                <w:rFonts w:hint="eastAsia" w:ascii="仿宋" w:hAnsi="仿宋" w:eastAsia="仿宋" w:cs="仿宋"/>
                <w:color w:val="auto"/>
                <w:sz w:val="24"/>
                <w:szCs w:val="24"/>
              </w:rPr>
            </w:pPr>
          </w:p>
        </w:tc>
      </w:tr>
      <w:tr w14:paraId="06AC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vAlign w:val="center"/>
          </w:tcPr>
          <w:p w14:paraId="1402F3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990" w:type="dxa"/>
            <w:vAlign w:val="center"/>
          </w:tcPr>
          <w:p w14:paraId="75FA52C4">
            <w:pPr>
              <w:jc w:val="left"/>
              <w:rPr>
                <w:rFonts w:hint="eastAsia" w:ascii="仿宋" w:hAnsi="仿宋" w:eastAsia="仿宋" w:cs="仿宋"/>
                <w:color w:val="auto"/>
                <w:sz w:val="24"/>
                <w:szCs w:val="24"/>
              </w:rPr>
            </w:pPr>
          </w:p>
        </w:tc>
      </w:tr>
      <w:tr w14:paraId="369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2209" w:type="dxa"/>
            <w:vAlign w:val="center"/>
          </w:tcPr>
          <w:p w14:paraId="1A25DA7C">
            <w:pPr>
              <w:spacing w:line="360" w:lineRule="auto"/>
              <w:jc w:val="center"/>
              <w:rPr>
                <w:rFonts w:hint="eastAsia" w:ascii="仿宋" w:hAnsi="仿宋" w:eastAsia="仿宋" w:cs="仿宋"/>
                <w:bCs/>
                <w:color w:val="0000FF"/>
                <w:sz w:val="24"/>
                <w:szCs w:val="24"/>
                <w:highlight w:val="yellow"/>
              </w:rPr>
            </w:pPr>
            <w:r>
              <w:rPr>
                <w:rFonts w:hint="eastAsia" w:ascii="仿宋" w:hAnsi="仿宋" w:eastAsia="仿宋" w:cs="仿宋"/>
                <w:color w:val="auto"/>
                <w:sz w:val="24"/>
                <w:szCs w:val="24"/>
              </w:rPr>
              <w:t>投标总报价</w:t>
            </w:r>
          </w:p>
        </w:tc>
        <w:tc>
          <w:tcPr>
            <w:tcW w:w="6990" w:type="dxa"/>
            <w:vAlign w:val="center"/>
          </w:tcPr>
          <w:p w14:paraId="63F1E79F">
            <w:pPr>
              <w:spacing w:line="700" w:lineRule="exact"/>
              <w:jc w:val="left"/>
              <w:rPr>
                <w:rFonts w:hint="eastAsia" w:ascii="仿宋" w:hAnsi="仿宋" w:eastAsia="仿宋" w:cs="仿宋"/>
                <w:bCs/>
                <w:sz w:val="24"/>
                <w:szCs w:val="24"/>
              </w:rPr>
            </w:pPr>
            <w:r>
              <w:rPr>
                <w:rFonts w:hint="eastAsia" w:ascii="仿宋" w:hAnsi="仿宋" w:eastAsia="仿宋" w:cs="仿宋"/>
                <w:bCs/>
                <w:sz w:val="24"/>
                <w:szCs w:val="24"/>
              </w:rPr>
              <w:t>小写：</w:t>
            </w:r>
            <w:r>
              <w:rPr>
                <w:rFonts w:hint="eastAsia" w:ascii="仿宋" w:hAnsi="仿宋" w:eastAsia="仿宋" w:cs="仿宋"/>
                <w:bCs/>
                <w:sz w:val="24"/>
                <w:szCs w:val="24"/>
                <w:u w:val="single"/>
              </w:rPr>
              <w:t>¥                   元</w:t>
            </w:r>
            <w:r>
              <w:rPr>
                <w:rFonts w:hint="eastAsia" w:ascii="仿宋" w:hAnsi="仿宋" w:eastAsia="仿宋" w:cs="仿宋"/>
                <w:b/>
                <w:sz w:val="24"/>
                <w:szCs w:val="24"/>
              </w:rPr>
              <w:t xml:space="preserve"> </w:t>
            </w:r>
          </w:p>
          <w:p w14:paraId="025878F5">
            <w:pPr>
              <w:spacing w:line="700" w:lineRule="exact"/>
              <w:jc w:val="left"/>
              <w:rPr>
                <w:rFonts w:hint="eastAsia" w:ascii="仿宋" w:hAnsi="仿宋" w:eastAsia="仿宋" w:cs="仿宋"/>
                <w:b/>
                <w:iCs/>
                <w:color w:val="0000FF"/>
                <w:sz w:val="24"/>
                <w:szCs w:val="24"/>
                <w:highlight w:val="yellow"/>
              </w:rPr>
            </w:pPr>
            <w:r>
              <w:rPr>
                <w:rFonts w:hint="eastAsia" w:ascii="仿宋" w:hAnsi="仿宋" w:eastAsia="仿宋" w:cs="仿宋"/>
                <w:bCs/>
                <w:sz w:val="24"/>
                <w:szCs w:val="24"/>
              </w:rPr>
              <w:t>大写：</w:t>
            </w:r>
            <w:r>
              <w:rPr>
                <w:rFonts w:hint="eastAsia" w:ascii="仿宋" w:hAnsi="仿宋" w:eastAsia="仿宋" w:cs="仿宋"/>
                <w:bCs/>
                <w:sz w:val="24"/>
                <w:szCs w:val="24"/>
                <w:u w:val="single"/>
              </w:rPr>
              <w:t>人民币              元整</w:t>
            </w:r>
          </w:p>
        </w:tc>
      </w:tr>
      <w:tr w14:paraId="527E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vAlign w:val="center"/>
          </w:tcPr>
          <w:p w14:paraId="3F2AEBD1">
            <w:pPr>
              <w:autoSpaceDE/>
              <w:autoSpaceDN/>
              <w:adjustRightInd/>
              <w:jc w:val="center"/>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工期</w:t>
            </w:r>
          </w:p>
        </w:tc>
        <w:tc>
          <w:tcPr>
            <w:tcW w:w="6990" w:type="dxa"/>
            <w:vAlign w:val="center"/>
          </w:tcPr>
          <w:p w14:paraId="2A0E3B0F">
            <w:pPr>
              <w:jc w:val="center"/>
              <w:rPr>
                <w:rFonts w:hint="eastAsia" w:ascii="仿宋" w:hAnsi="仿宋" w:eastAsia="仿宋" w:cs="仿宋"/>
                <w:bCs/>
                <w:color w:val="auto"/>
                <w:sz w:val="24"/>
                <w:szCs w:val="24"/>
              </w:rPr>
            </w:pPr>
          </w:p>
        </w:tc>
      </w:tr>
      <w:tr w14:paraId="7F4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vAlign w:val="center"/>
          </w:tcPr>
          <w:p w14:paraId="59979AF6">
            <w:pPr>
              <w:autoSpaceDE/>
              <w:autoSpaceDN/>
              <w:adjustRightInd/>
              <w:jc w:val="center"/>
              <w:rPr>
                <w:rFonts w:hint="eastAsia" w:ascii="仿宋" w:hAnsi="仿宋" w:eastAsia="仿宋" w:cs="仿宋"/>
                <w:bCs/>
                <w:color w:val="auto"/>
                <w:sz w:val="24"/>
                <w:szCs w:val="24"/>
              </w:rPr>
            </w:pPr>
            <w:r>
              <w:rPr>
                <w:rFonts w:hint="eastAsia" w:ascii="仿宋" w:hAnsi="仿宋" w:eastAsia="仿宋" w:cs="仿宋"/>
                <w:sz w:val="24"/>
                <w:szCs w:val="24"/>
              </w:rPr>
              <w:t>质保期</w:t>
            </w:r>
          </w:p>
        </w:tc>
        <w:tc>
          <w:tcPr>
            <w:tcW w:w="6990" w:type="dxa"/>
            <w:vAlign w:val="center"/>
          </w:tcPr>
          <w:p w14:paraId="5B286E7C">
            <w:pPr>
              <w:jc w:val="center"/>
              <w:rPr>
                <w:rFonts w:hint="eastAsia" w:ascii="仿宋" w:hAnsi="仿宋" w:eastAsia="仿宋" w:cs="仿宋"/>
                <w:bCs/>
                <w:color w:val="auto"/>
                <w:sz w:val="24"/>
                <w:szCs w:val="24"/>
              </w:rPr>
            </w:pPr>
          </w:p>
        </w:tc>
      </w:tr>
      <w:tr w14:paraId="659A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vAlign w:val="center"/>
          </w:tcPr>
          <w:p w14:paraId="57F7B65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6990" w:type="dxa"/>
            <w:vAlign w:val="center"/>
          </w:tcPr>
          <w:p w14:paraId="26AB33D4">
            <w:pPr>
              <w:jc w:val="center"/>
              <w:rPr>
                <w:rFonts w:hint="eastAsia" w:ascii="仿宋" w:hAnsi="仿宋" w:eastAsia="仿宋" w:cs="仿宋"/>
                <w:bCs/>
                <w:color w:val="auto"/>
                <w:sz w:val="24"/>
                <w:szCs w:val="24"/>
              </w:rPr>
            </w:pPr>
          </w:p>
        </w:tc>
      </w:tr>
    </w:tbl>
    <w:p w14:paraId="633ABA00">
      <w:pPr>
        <w:pStyle w:val="11"/>
        <w:rPr>
          <w:rFonts w:ascii="仿宋" w:eastAsia="仿宋" w:cs="仿宋"/>
          <w:color w:val="auto"/>
          <w:sz w:val="24"/>
          <w:szCs w:val="24"/>
        </w:rPr>
      </w:pPr>
    </w:p>
    <w:p w14:paraId="33F0309B">
      <w:pPr>
        <w:snapToGrid w:val="0"/>
        <w:jc w:val="left"/>
        <w:rPr>
          <w:rFonts w:ascii="仿宋" w:eastAsia="仿宋" w:cs="仿宋"/>
          <w:color w:val="auto"/>
          <w:sz w:val="30"/>
          <w:szCs w:val="30"/>
        </w:rPr>
      </w:pPr>
    </w:p>
    <w:p w14:paraId="7B52A6E7">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1504E998">
      <w:pPr>
        <w:spacing w:before="156"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0A295BCF">
      <w:pPr>
        <w:spacing w:before="156" w:beforeLines="50"/>
        <w:ind w:firstLine="3600" w:firstLineChars="1500"/>
        <w:rPr>
          <w:rFonts w:eastAsia="方正仿宋_GB2312"/>
          <w:color w:val="auto"/>
          <w:sz w:val="24"/>
        </w:rPr>
      </w:pPr>
      <w:r>
        <w:rPr>
          <w:rFonts w:hint="eastAsia" w:eastAsia="方正仿宋_GB2312"/>
          <w:color w:val="auto"/>
          <w:sz w:val="24"/>
        </w:rPr>
        <w:t>日期：</w:t>
      </w:r>
    </w:p>
    <w:p w14:paraId="3D2DB9A6">
      <w:pPr>
        <w:rPr>
          <w:rFonts w:ascii="仿宋" w:eastAsia="仿宋" w:cs="仿宋"/>
          <w:b/>
          <w:bCs/>
          <w:color w:val="auto"/>
          <w:sz w:val="30"/>
          <w:szCs w:val="30"/>
        </w:rPr>
      </w:pPr>
    </w:p>
    <w:p w14:paraId="73892D47">
      <w:pPr>
        <w:rPr>
          <w:rFonts w:ascii="仿宋" w:eastAsia="仿宋" w:cs="仿宋"/>
          <w:b/>
          <w:bCs/>
          <w:color w:val="auto"/>
          <w:sz w:val="30"/>
          <w:szCs w:val="30"/>
        </w:rPr>
      </w:pPr>
    </w:p>
    <w:p w14:paraId="375B540D">
      <w:pPr>
        <w:spacing w:line="460" w:lineRule="exact"/>
        <w:rPr>
          <w:rFonts w:hint="eastAsia" w:ascii="仿宋" w:hAnsi="仿宋" w:eastAsia="仿宋" w:cs="仿宋"/>
          <w:b/>
          <w:bCs/>
          <w:sz w:val="24"/>
        </w:rPr>
      </w:pPr>
      <w:r>
        <w:rPr>
          <w:rFonts w:hint="eastAsia" w:ascii="仿宋" w:hAnsi="仿宋" w:eastAsia="仿宋" w:cs="仿宋"/>
          <w:b/>
          <w:bCs/>
          <w:sz w:val="24"/>
        </w:rPr>
        <w:t>注：1.请在最高限价范围内作合理报价；</w:t>
      </w:r>
    </w:p>
    <w:p w14:paraId="09119FEA">
      <w:pPr>
        <w:spacing w:line="460" w:lineRule="exact"/>
        <w:ind w:left="834" w:leftChars="225" w:hanging="361" w:hangingChars="150"/>
        <w:rPr>
          <w:rFonts w:hint="eastAsia" w:ascii="仿宋" w:hAnsi="仿宋" w:eastAsia="仿宋" w:cs="仿宋"/>
          <w:b/>
          <w:bCs/>
          <w:sz w:val="24"/>
        </w:rPr>
      </w:pPr>
      <w:r>
        <w:rPr>
          <w:rFonts w:hint="eastAsia" w:ascii="仿宋" w:hAnsi="仿宋" w:eastAsia="仿宋" w:cs="仿宋"/>
          <w:b/>
          <w:bCs/>
          <w:sz w:val="24"/>
        </w:rPr>
        <w:t>2.投标报价为投标人对此项目的最终报价，包含一切税费及相关费用；</w:t>
      </w:r>
    </w:p>
    <w:p w14:paraId="5F9B7621">
      <w:pPr>
        <w:spacing w:line="460" w:lineRule="exact"/>
        <w:ind w:left="955" w:leftChars="225" w:hanging="482" w:hangingChars="200"/>
        <w:rPr>
          <w:rFonts w:hint="eastAsia" w:ascii="仿宋" w:hAnsi="仿宋" w:eastAsia="仿宋" w:cs="仿宋"/>
          <w:b/>
          <w:bCs/>
          <w:sz w:val="24"/>
        </w:rPr>
      </w:pPr>
      <w:r>
        <w:rPr>
          <w:rFonts w:hint="eastAsia" w:ascii="仿宋" w:hAnsi="仿宋" w:eastAsia="仿宋" w:cs="仿宋"/>
          <w:b/>
          <w:bCs/>
          <w:sz w:val="24"/>
        </w:rPr>
        <w:t>3.小写与大写不一致的，以大写为准；</w:t>
      </w:r>
    </w:p>
    <w:p w14:paraId="7C7E8952">
      <w:pPr>
        <w:spacing w:line="460" w:lineRule="exact"/>
        <w:ind w:left="955" w:leftChars="225" w:hanging="482" w:hangingChars="200"/>
        <w:rPr>
          <w:rFonts w:hint="eastAsia" w:ascii="仿宋" w:hAnsi="仿宋" w:eastAsia="仿宋" w:cs="仿宋"/>
        </w:rPr>
      </w:pPr>
      <w:r>
        <w:rPr>
          <w:rFonts w:hint="eastAsia" w:ascii="仿宋" w:hAnsi="仿宋" w:eastAsia="仿宋" w:cs="仿宋"/>
          <w:b/>
          <w:bCs/>
          <w:sz w:val="24"/>
        </w:rPr>
        <w:t>4.对含糊不清或不确定的报价将视为无效报价。</w:t>
      </w:r>
    </w:p>
    <w:bookmarkEnd w:id="15"/>
    <w:bookmarkEnd w:id="16"/>
    <w:p w14:paraId="6C8B7D59">
      <w:pPr>
        <w:pStyle w:val="26"/>
        <w:spacing w:before="0" w:beforeAutospacing="0" w:after="0" w:afterAutospacing="0" w:line="420" w:lineRule="exact"/>
        <w:jc w:val="both"/>
        <w:rPr>
          <w:rFonts w:hint="eastAsia" w:ascii="仿宋" w:eastAsia="仿宋" w:cs="仿宋"/>
          <w:b/>
          <w:bCs/>
          <w:sz w:val="30"/>
          <w:szCs w:val="30"/>
        </w:rPr>
      </w:pPr>
    </w:p>
    <w:p w14:paraId="18178A91">
      <w:pPr>
        <w:pStyle w:val="26"/>
        <w:spacing w:before="0" w:beforeAutospacing="0" w:after="0" w:afterAutospacing="0" w:line="420" w:lineRule="exact"/>
        <w:jc w:val="center"/>
        <w:rPr>
          <w:rFonts w:hint="eastAsia" w:ascii="仿宋" w:eastAsia="仿宋" w:cs="仿宋"/>
          <w:b/>
          <w:bCs/>
          <w:sz w:val="30"/>
          <w:szCs w:val="30"/>
        </w:rPr>
      </w:pPr>
    </w:p>
    <w:p w14:paraId="7685B32F">
      <w:pPr>
        <w:pStyle w:val="26"/>
        <w:spacing w:before="0" w:beforeAutospacing="0" w:after="0" w:afterAutospacing="0" w:line="420" w:lineRule="exact"/>
        <w:jc w:val="center"/>
        <w:rPr>
          <w:rFonts w:hint="eastAsia" w:ascii="仿宋" w:eastAsia="仿宋" w:cs="仿宋"/>
          <w:b/>
          <w:bCs/>
          <w:sz w:val="30"/>
          <w:szCs w:val="30"/>
          <w:lang w:eastAsia="zh-CN"/>
        </w:rPr>
      </w:pPr>
      <w:r>
        <w:rPr>
          <w:rFonts w:hint="eastAsia" w:ascii="仿宋" w:eastAsia="仿宋" w:cs="仿宋"/>
          <w:b/>
          <w:bCs/>
          <w:sz w:val="30"/>
          <w:szCs w:val="30"/>
        </w:rPr>
        <w:t>六、</w:t>
      </w:r>
      <w:r>
        <w:rPr>
          <w:rFonts w:hint="eastAsia" w:ascii="仿宋" w:eastAsia="仿宋" w:cs="仿宋"/>
          <w:b/>
          <w:bCs/>
          <w:sz w:val="30"/>
          <w:szCs w:val="30"/>
          <w:lang w:eastAsia="zh-CN"/>
        </w:rPr>
        <w:t>投标报价明细表</w:t>
      </w:r>
    </w:p>
    <w:p w14:paraId="4C77B319">
      <w:pPr>
        <w:pStyle w:val="26"/>
        <w:spacing w:before="0" w:beforeAutospacing="0" w:after="0" w:afterAutospacing="0" w:line="420" w:lineRule="exact"/>
        <w:rPr>
          <w:rFonts w:hint="eastAsia" w:ascii="仿宋" w:hAnsi="仿宋" w:eastAsia="仿宋" w:cs="仿宋"/>
          <w:sz w:val="28"/>
          <w:szCs w:val="28"/>
        </w:rPr>
      </w:pPr>
    </w:p>
    <w:p w14:paraId="3652495D">
      <w:pPr>
        <w:pStyle w:val="26"/>
        <w:spacing w:before="0" w:beforeAutospacing="0" w:after="0" w:afterAutospacing="0" w:line="420" w:lineRule="exact"/>
        <w:rPr>
          <w:rFonts w:hint="eastAsia" w:ascii="仿宋" w:hAnsi="仿宋" w:eastAsia="仿宋" w:cs="仿宋"/>
          <w:sz w:val="28"/>
          <w:szCs w:val="28"/>
        </w:rPr>
      </w:pPr>
      <w:r>
        <w:rPr>
          <w:rFonts w:hint="eastAsia" w:ascii="仿宋" w:hAnsi="仿宋" w:eastAsia="仿宋" w:cs="仿宋"/>
          <w:sz w:val="28"/>
          <w:szCs w:val="28"/>
        </w:rPr>
        <w:t>项目名称：</w:t>
      </w:r>
    </w:p>
    <w:p w14:paraId="0B6DA79D">
      <w:pPr>
        <w:pStyle w:val="26"/>
        <w:spacing w:before="0" w:beforeAutospacing="0" w:after="0" w:afterAutospacing="0" w:line="420" w:lineRule="exact"/>
        <w:rPr>
          <w:rFonts w:hint="eastAsia" w:ascii="仿宋" w:hAnsi="仿宋" w:eastAsia="仿宋" w:cs="仿宋"/>
          <w:sz w:val="28"/>
          <w:szCs w:val="28"/>
        </w:rPr>
      </w:pPr>
      <w:r>
        <w:rPr>
          <w:rFonts w:hint="eastAsia" w:ascii="仿宋" w:hAnsi="仿宋" w:eastAsia="仿宋" w:cs="仿宋"/>
          <w:sz w:val="28"/>
          <w:szCs w:val="28"/>
        </w:rPr>
        <w:t>项目编号：</w:t>
      </w:r>
    </w:p>
    <w:tbl>
      <w:tblPr>
        <w:tblStyle w:val="31"/>
        <w:tblW w:w="10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83"/>
        <w:gridCol w:w="1858"/>
        <w:gridCol w:w="1405"/>
        <w:gridCol w:w="881"/>
        <w:gridCol w:w="881"/>
        <w:gridCol w:w="893"/>
        <w:gridCol w:w="1278"/>
        <w:gridCol w:w="1147"/>
      </w:tblGrid>
      <w:tr w14:paraId="1EB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8" w:type="dxa"/>
            <w:vAlign w:val="center"/>
          </w:tcPr>
          <w:p w14:paraId="043C20CB">
            <w:pPr>
              <w:spacing w:line="360" w:lineRule="auto"/>
              <w:jc w:val="center"/>
              <w:rPr>
                <w:rFonts w:hint="eastAsia" w:ascii="仿宋" w:hAnsi="仿宋" w:eastAsia="仿宋" w:cs="仿宋"/>
                <w:sz w:val="22"/>
              </w:rPr>
            </w:pPr>
            <w:r>
              <w:rPr>
                <w:rFonts w:hint="eastAsia" w:ascii="仿宋" w:hAnsi="仿宋" w:eastAsia="仿宋" w:cs="仿宋"/>
                <w:sz w:val="22"/>
              </w:rPr>
              <w:t>序号</w:t>
            </w:r>
          </w:p>
        </w:tc>
        <w:tc>
          <w:tcPr>
            <w:tcW w:w="1483" w:type="dxa"/>
            <w:vAlign w:val="center"/>
          </w:tcPr>
          <w:p w14:paraId="1AE2DD0F">
            <w:pPr>
              <w:spacing w:line="360" w:lineRule="auto"/>
              <w:jc w:val="center"/>
              <w:rPr>
                <w:rFonts w:hint="eastAsia" w:ascii="仿宋" w:hAnsi="仿宋" w:eastAsia="仿宋" w:cs="仿宋"/>
                <w:sz w:val="22"/>
              </w:rPr>
            </w:pPr>
            <w:r>
              <w:rPr>
                <w:rFonts w:hint="eastAsia" w:ascii="仿宋" w:hAnsi="仿宋" w:eastAsia="仿宋" w:cs="仿宋"/>
                <w:sz w:val="22"/>
              </w:rPr>
              <w:t>设备名称</w:t>
            </w:r>
          </w:p>
        </w:tc>
        <w:tc>
          <w:tcPr>
            <w:tcW w:w="1858" w:type="dxa"/>
            <w:vAlign w:val="center"/>
          </w:tcPr>
          <w:p w14:paraId="6743F8C4">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sz w:val="22"/>
              </w:rPr>
            </w:pPr>
            <w:r>
              <w:rPr>
                <w:rFonts w:hint="eastAsia" w:ascii="仿宋" w:hAnsi="仿宋" w:eastAsia="仿宋" w:cs="仿宋"/>
                <w:sz w:val="22"/>
                <w:lang w:val="en-US" w:eastAsia="zh-CN"/>
              </w:rPr>
              <w:t>规格</w:t>
            </w:r>
            <w:r>
              <w:rPr>
                <w:rFonts w:hint="eastAsia" w:ascii="仿宋" w:hAnsi="仿宋" w:eastAsia="仿宋" w:cs="仿宋"/>
                <w:sz w:val="22"/>
              </w:rPr>
              <w:t>型号或技术参数</w:t>
            </w:r>
          </w:p>
        </w:tc>
        <w:tc>
          <w:tcPr>
            <w:tcW w:w="1405" w:type="dxa"/>
            <w:vAlign w:val="center"/>
          </w:tcPr>
          <w:p w14:paraId="350C10AD">
            <w:pPr>
              <w:spacing w:line="360" w:lineRule="auto"/>
              <w:jc w:val="center"/>
              <w:rPr>
                <w:rFonts w:hint="eastAsia" w:ascii="仿宋" w:hAnsi="仿宋" w:eastAsia="仿宋" w:cs="仿宋"/>
                <w:sz w:val="22"/>
              </w:rPr>
            </w:pPr>
            <w:r>
              <w:rPr>
                <w:rFonts w:hint="eastAsia" w:ascii="仿宋" w:hAnsi="仿宋" w:eastAsia="仿宋" w:cs="仿宋"/>
                <w:sz w:val="22"/>
              </w:rPr>
              <w:t>生产厂家</w:t>
            </w:r>
          </w:p>
        </w:tc>
        <w:tc>
          <w:tcPr>
            <w:tcW w:w="881" w:type="dxa"/>
            <w:vAlign w:val="center"/>
          </w:tcPr>
          <w:p w14:paraId="1FDC06A2">
            <w:pPr>
              <w:spacing w:line="360" w:lineRule="auto"/>
              <w:jc w:val="center"/>
              <w:rPr>
                <w:rFonts w:hint="eastAsia" w:ascii="仿宋" w:hAnsi="仿宋" w:eastAsia="仿宋" w:cs="仿宋"/>
                <w:sz w:val="22"/>
                <w:lang w:val="en-US" w:eastAsia="zh-CN"/>
              </w:rPr>
            </w:pPr>
            <w:r>
              <w:rPr>
                <w:rFonts w:hint="eastAsia" w:ascii="仿宋" w:hAnsi="仿宋" w:eastAsia="仿宋" w:cs="仿宋"/>
                <w:sz w:val="22"/>
                <w:lang w:val="en-US" w:eastAsia="zh-CN"/>
              </w:rPr>
              <w:t>品牌</w:t>
            </w:r>
          </w:p>
        </w:tc>
        <w:tc>
          <w:tcPr>
            <w:tcW w:w="881" w:type="dxa"/>
            <w:vAlign w:val="center"/>
          </w:tcPr>
          <w:p w14:paraId="7BCC79B7">
            <w:pPr>
              <w:spacing w:line="360" w:lineRule="auto"/>
              <w:jc w:val="center"/>
              <w:rPr>
                <w:rFonts w:hint="eastAsia" w:ascii="仿宋" w:hAnsi="仿宋" w:eastAsia="仿宋" w:cs="仿宋"/>
                <w:sz w:val="22"/>
              </w:rPr>
            </w:pPr>
            <w:r>
              <w:rPr>
                <w:rFonts w:hint="eastAsia" w:ascii="仿宋" w:hAnsi="仿宋" w:eastAsia="仿宋" w:cs="仿宋"/>
                <w:sz w:val="22"/>
              </w:rPr>
              <w:t>数量</w:t>
            </w:r>
          </w:p>
        </w:tc>
        <w:tc>
          <w:tcPr>
            <w:tcW w:w="893" w:type="dxa"/>
            <w:vAlign w:val="center"/>
          </w:tcPr>
          <w:p w14:paraId="51483D3E">
            <w:pPr>
              <w:spacing w:line="360" w:lineRule="auto"/>
              <w:jc w:val="center"/>
              <w:rPr>
                <w:rFonts w:hint="eastAsia" w:ascii="仿宋" w:hAnsi="仿宋" w:eastAsia="仿宋" w:cs="仿宋"/>
                <w:sz w:val="22"/>
              </w:rPr>
            </w:pPr>
            <w:r>
              <w:rPr>
                <w:rFonts w:hint="eastAsia" w:ascii="仿宋" w:hAnsi="仿宋" w:eastAsia="仿宋" w:cs="仿宋"/>
                <w:sz w:val="22"/>
              </w:rPr>
              <w:t>单位</w:t>
            </w:r>
          </w:p>
        </w:tc>
        <w:tc>
          <w:tcPr>
            <w:tcW w:w="1278" w:type="dxa"/>
            <w:vAlign w:val="center"/>
          </w:tcPr>
          <w:p w14:paraId="35ECCCF0">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仿宋" w:hAnsi="仿宋" w:eastAsia="仿宋" w:cs="仿宋"/>
                <w:sz w:val="22"/>
              </w:rPr>
            </w:pPr>
            <w:r>
              <w:rPr>
                <w:rFonts w:hint="eastAsia" w:ascii="仿宋" w:hAnsi="仿宋" w:eastAsia="仿宋" w:cs="仿宋"/>
                <w:sz w:val="22"/>
              </w:rPr>
              <w:t>全费用单 价（ 元）</w:t>
            </w:r>
          </w:p>
        </w:tc>
        <w:tc>
          <w:tcPr>
            <w:tcW w:w="1147" w:type="dxa"/>
            <w:vAlign w:val="center"/>
          </w:tcPr>
          <w:p w14:paraId="3A0DA115">
            <w:pPr>
              <w:spacing w:line="360" w:lineRule="auto"/>
              <w:jc w:val="center"/>
              <w:rPr>
                <w:rFonts w:hint="eastAsia" w:ascii="仿宋" w:hAnsi="仿宋" w:eastAsia="仿宋" w:cs="仿宋"/>
                <w:sz w:val="22"/>
              </w:rPr>
            </w:pPr>
            <w:r>
              <w:rPr>
                <w:rFonts w:hint="eastAsia" w:ascii="仿宋" w:hAnsi="仿宋" w:eastAsia="仿宋" w:cs="仿宋"/>
                <w:sz w:val="22"/>
              </w:rPr>
              <w:t>小计(元)</w:t>
            </w:r>
          </w:p>
        </w:tc>
      </w:tr>
      <w:tr w14:paraId="0D4D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8" w:type="dxa"/>
            <w:vAlign w:val="center"/>
          </w:tcPr>
          <w:p w14:paraId="79030C21">
            <w:pPr>
              <w:spacing w:line="360" w:lineRule="auto"/>
              <w:jc w:val="center"/>
              <w:rPr>
                <w:rFonts w:hint="eastAsia" w:ascii="仿宋" w:hAnsi="仿宋" w:eastAsia="仿宋" w:cs="仿宋"/>
                <w:sz w:val="22"/>
              </w:rPr>
            </w:pPr>
            <w:r>
              <w:rPr>
                <w:rFonts w:hint="eastAsia" w:ascii="仿宋" w:hAnsi="仿宋" w:eastAsia="仿宋" w:cs="仿宋"/>
                <w:sz w:val="22"/>
              </w:rPr>
              <w:t>1</w:t>
            </w:r>
          </w:p>
        </w:tc>
        <w:tc>
          <w:tcPr>
            <w:tcW w:w="1483" w:type="dxa"/>
            <w:vAlign w:val="center"/>
          </w:tcPr>
          <w:p w14:paraId="3C0C5D21">
            <w:pPr>
              <w:widowControl/>
              <w:jc w:val="center"/>
              <w:rPr>
                <w:rFonts w:hint="eastAsia" w:ascii="仿宋" w:hAnsi="仿宋" w:eastAsia="仿宋" w:cs="仿宋"/>
                <w:sz w:val="22"/>
              </w:rPr>
            </w:pPr>
          </w:p>
        </w:tc>
        <w:tc>
          <w:tcPr>
            <w:tcW w:w="1858" w:type="dxa"/>
          </w:tcPr>
          <w:p w14:paraId="44596C9E">
            <w:pPr>
              <w:spacing w:line="360" w:lineRule="auto"/>
              <w:rPr>
                <w:rFonts w:hint="eastAsia" w:ascii="仿宋" w:hAnsi="仿宋" w:eastAsia="仿宋" w:cs="仿宋"/>
                <w:sz w:val="22"/>
              </w:rPr>
            </w:pPr>
          </w:p>
        </w:tc>
        <w:tc>
          <w:tcPr>
            <w:tcW w:w="1405" w:type="dxa"/>
          </w:tcPr>
          <w:p w14:paraId="33F0BC28">
            <w:pPr>
              <w:spacing w:line="360" w:lineRule="auto"/>
              <w:rPr>
                <w:rFonts w:hint="eastAsia" w:ascii="仿宋" w:hAnsi="仿宋" w:eastAsia="仿宋" w:cs="仿宋"/>
                <w:sz w:val="22"/>
              </w:rPr>
            </w:pPr>
          </w:p>
        </w:tc>
        <w:tc>
          <w:tcPr>
            <w:tcW w:w="881" w:type="dxa"/>
            <w:vAlign w:val="center"/>
          </w:tcPr>
          <w:p w14:paraId="0BAC3195">
            <w:pPr>
              <w:widowControl/>
              <w:jc w:val="center"/>
              <w:rPr>
                <w:rFonts w:hint="eastAsia" w:ascii="仿宋" w:hAnsi="仿宋" w:eastAsia="仿宋" w:cs="仿宋"/>
                <w:sz w:val="22"/>
              </w:rPr>
            </w:pPr>
          </w:p>
        </w:tc>
        <w:tc>
          <w:tcPr>
            <w:tcW w:w="881" w:type="dxa"/>
            <w:vAlign w:val="center"/>
          </w:tcPr>
          <w:p w14:paraId="16514FF2">
            <w:pPr>
              <w:widowControl/>
              <w:jc w:val="center"/>
              <w:rPr>
                <w:rFonts w:hint="eastAsia" w:ascii="仿宋" w:hAnsi="仿宋" w:eastAsia="仿宋" w:cs="仿宋"/>
                <w:sz w:val="22"/>
              </w:rPr>
            </w:pPr>
          </w:p>
        </w:tc>
        <w:tc>
          <w:tcPr>
            <w:tcW w:w="893" w:type="dxa"/>
            <w:vAlign w:val="center"/>
          </w:tcPr>
          <w:p w14:paraId="3ABD21DA">
            <w:pPr>
              <w:widowControl/>
              <w:jc w:val="center"/>
              <w:rPr>
                <w:rFonts w:hint="eastAsia" w:ascii="仿宋" w:hAnsi="仿宋" w:eastAsia="仿宋" w:cs="仿宋"/>
                <w:sz w:val="22"/>
              </w:rPr>
            </w:pPr>
          </w:p>
        </w:tc>
        <w:tc>
          <w:tcPr>
            <w:tcW w:w="1278" w:type="dxa"/>
          </w:tcPr>
          <w:p w14:paraId="09AEC847">
            <w:pPr>
              <w:spacing w:line="360" w:lineRule="auto"/>
              <w:rPr>
                <w:rFonts w:hint="eastAsia" w:ascii="仿宋" w:hAnsi="仿宋" w:eastAsia="仿宋" w:cs="仿宋"/>
                <w:sz w:val="22"/>
              </w:rPr>
            </w:pPr>
          </w:p>
        </w:tc>
        <w:tc>
          <w:tcPr>
            <w:tcW w:w="1147" w:type="dxa"/>
          </w:tcPr>
          <w:p w14:paraId="6A65CE05">
            <w:pPr>
              <w:spacing w:line="360" w:lineRule="auto"/>
              <w:rPr>
                <w:rFonts w:hint="eastAsia" w:ascii="仿宋" w:hAnsi="仿宋" w:eastAsia="仿宋" w:cs="仿宋"/>
                <w:sz w:val="22"/>
              </w:rPr>
            </w:pPr>
          </w:p>
        </w:tc>
      </w:tr>
      <w:tr w14:paraId="6EEF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48" w:type="dxa"/>
            <w:vAlign w:val="center"/>
          </w:tcPr>
          <w:p w14:paraId="5A5085A5">
            <w:pPr>
              <w:spacing w:line="360" w:lineRule="auto"/>
              <w:jc w:val="center"/>
              <w:rPr>
                <w:rFonts w:hint="eastAsia" w:ascii="仿宋" w:hAnsi="仿宋" w:eastAsia="仿宋" w:cs="仿宋"/>
                <w:sz w:val="22"/>
              </w:rPr>
            </w:pPr>
            <w:r>
              <w:rPr>
                <w:rFonts w:hint="eastAsia" w:ascii="仿宋" w:hAnsi="仿宋" w:eastAsia="仿宋" w:cs="仿宋"/>
                <w:sz w:val="22"/>
              </w:rPr>
              <w:t>2</w:t>
            </w:r>
          </w:p>
        </w:tc>
        <w:tc>
          <w:tcPr>
            <w:tcW w:w="1483" w:type="dxa"/>
            <w:vAlign w:val="center"/>
          </w:tcPr>
          <w:p w14:paraId="6E089644">
            <w:pPr>
              <w:widowControl/>
              <w:jc w:val="center"/>
              <w:rPr>
                <w:rFonts w:hint="eastAsia" w:ascii="仿宋" w:hAnsi="仿宋" w:eastAsia="仿宋" w:cs="仿宋"/>
                <w:sz w:val="22"/>
              </w:rPr>
            </w:pPr>
          </w:p>
        </w:tc>
        <w:tc>
          <w:tcPr>
            <w:tcW w:w="1858" w:type="dxa"/>
          </w:tcPr>
          <w:p w14:paraId="485FFABB">
            <w:pPr>
              <w:spacing w:line="360" w:lineRule="auto"/>
              <w:rPr>
                <w:rFonts w:hint="eastAsia" w:ascii="仿宋" w:hAnsi="仿宋" w:eastAsia="仿宋" w:cs="仿宋"/>
                <w:sz w:val="22"/>
              </w:rPr>
            </w:pPr>
          </w:p>
        </w:tc>
        <w:tc>
          <w:tcPr>
            <w:tcW w:w="1405" w:type="dxa"/>
          </w:tcPr>
          <w:p w14:paraId="07A278FB">
            <w:pPr>
              <w:spacing w:line="360" w:lineRule="auto"/>
              <w:rPr>
                <w:rFonts w:hint="eastAsia" w:ascii="仿宋" w:hAnsi="仿宋" w:eastAsia="仿宋" w:cs="仿宋"/>
                <w:sz w:val="22"/>
              </w:rPr>
            </w:pPr>
          </w:p>
        </w:tc>
        <w:tc>
          <w:tcPr>
            <w:tcW w:w="881" w:type="dxa"/>
            <w:vAlign w:val="center"/>
          </w:tcPr>
          <w:p w14:paraId="1F7B83A4">
            <w:pPr>
              <w:widowControl/>
              <w:jc w:val="center"/>
              <w:rPr>
                <w:rFonts w:hint="eastAsia" w:ascii="仿宋" w:hAnsi="仿宋" w:eastAsia="仿宋" w:cs="仿宋"/>
                <w:sz w:val="22"/>
              </w:rPr>
            </w:pPr>
          </w:p>
        </w:tc>
        <w:tc>
          <w:tcPr>
            <w:tcW w:w="881" w:type="dxa"/>
            <w:vAlign w:val="center"/>
          </w:tcPr>
          <w:p w14:paraId="30E50993">
            <w:pPr>
              <w:widowControl/>
              <w:jc w:val="center"/>
              <w:rPr>
                <w:rFonts w:hint="eastAsia" w:ascii="仿宋" w:hAnsi="仿宋" w:eastAsia="仿宋" w:cs="仿宋"/>
                <w:sz w:val="22"/>
              </w:rPr>
            </w:pPr>
          </w:p>
        </w:tc>
        <w:tc>
          <w:tcPr>
            <w:tcW w:w="893" w:type="dxa"/>
            <w:vAlign w:val="center"/>
          </w:tcPr>
          <w:p w14:paraId="3C4BBB94">
            <w:pPr>
              <w:widowControl/>
              <w:jc w:val="center"/>
              <w:rPr>
                <w:rFonts w:hint="eastAsia" w:ascii="仿宋" w:hAnsi="仿宋" w:eastAsia="仿宋" w:cs="仿宋"/>
                <w:sz w:val="22"/>
              </w:rPr>
            </w:pPr>
          </w:p>
        </w:tc>
        <w:tc>
          <w:tcPr>
            <w:tcW w:w="1278" w:type="dxa"/>
          </w:tcPr>
          <w:p w14:paraId="33D93F32">
            <w:pPr>
              <w:spacing w:line="360" w:lineRule="auto"/>
              <w:rPr>
                <w:rFonts w:hint="eastAsia" w:ascii="仿宋" w:hAnsi="仿宋" w:eastAsia="仿宋" w:cs="仿宋"/>
                <w:sz w:val="22"/>
              </w:rPr>
            </w:pPr>
          </w:p>
        </w:tc>
        <w:tc>
          <w:tcPr>
            <w:tcW w:w="1147" w:type="dxa"/>
          </w:tcPr>
          <w:p w14:paraId="47C4614A">
            <w:pPr>
              <w:spacing w:line="360" w:lineRule="auto"/>
              <w:rPr>
                <w:rFonts w:hint="eastAsia" w:ascii="仿宋" w:hAnsi="仿宋" w:eastAsia="仿宋" w:cs="仿宋"/>
                <w:sz w:val="22"/>
              </w:rPr>
            </w:pPr>
          </w:p>
        </w:tc>
      </w:tr>
      <w:tr w14:paraId="0DDA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48" w:type="dxa"/>
            <w:vAlign w:val="center"/>
          </w:tcPr>
          <w:p w14:paraId="5C74500F">
            <w:pPr>
              <w:spacing w:line="360" w:lineRule="auto"/>
              <w:jc w:val="center"/>
              <w:rPr>
                <w:rFonts w:hint="eastAsia" w:ascii="仿宋" w:hAnsi="仿宋" w:eastAsia="仿宋" w:cs="仿宋"/>
                <w:sz w:val="22"/>
              </w:rPr>
            </w:pPr>
            <w:r>
              <w:rPr>
                <w:rFonts w:hint="eastAsia" w:ascii="仿宋" w:hAnsi="仿宋" w:eastAsia="仿宋" w:cs="仿宋"/>
                <w:sz w:val="22"/>
              </w:rPr>
              <w:t>3</w:t>
            </w:r>
          </w:p>
        </w:tc>
        <w:tc>
          <w:tcPr>
            <w:tcW w:w="1483" w:type="dxa"/>
            <w:vAlign w:val="center"/>
          </w:tcPr>
          <w:p w14:paraId="22B36680">
            <w:pPr>
              <w:widowControl/>
              <w:jc w:val="center"/>
              <w:rPr>
                <w:rFonts w:hint="eastAsia" w:ascii="仿宋" w:hAnsi="仿宋" w:eastAsia="仿宋" w:cs="仿宋"/>
                <w:sz w:val="22"/>
              </w:rPr>
            </w:pPr>
          </w:p>
        </w:tc>
        <w:tc>
          <w:tcPr>
            <w:tcW w:w="1858" w:type="dxa"/>
          </w:tcPr>
          <w:p w14:paraId="161B2B08">
            <w:pPr>
              <w:spacing w:line="360" w:lineRule="auto"/>
              <w:rPr>
                <w:rFonts w:hint="eastAsia" w:ascii="仿宋" w:hAnsi="仿宋" w:eastAsia="仿宋" w:cs="仿宋"/>
                <w:sz w:val="22"/>
              </w:rPr>
            </w:pPr>
          </w:p>
        </w:tc>
        <w:tc>
          <w:tcPr>
            <w:tcW w:w="1405" w:type="dxa"/>
          </w:tcPr>
          <w:p w14:paraId="102BEAE8">
            <w:pPr>
              <w:spacing w:line="360" w:lineRule="auto"/>
              <w:rPr>
                <w:rFonts w:hint="eastAsia" w:ascii="仿宋" w:hAnsi="仿宋" w:eastAsia="仿宋" w:cs="仿宋"/>
                <w:sz w:val="22"/>
              </w:rPr>
            </w:pPr>
          </w:p>
        </w:tc>
        <w:tc>
          <w:tcPr>
            <w:tcW w:w="881" w:type="dxa"/>
            <w:vAlign w:val="center"/>
          </w:tcPr>
          <w:p w14:paraId="1363F320">
            <w:pPr>
              <w:widowControl/>
              <w:jc w:val="center"/>
              <w:rPr>
                <w:rFonts w:hint="eastAsia" w:ascii="仿宋" w:hAnsi="仿宋" w:eastAsia="仿宋" w:cs="仿宋"/>
                <w:sz w:val="22"/>
              </w:rPr>
            </w:pPr>
          </w:p>
        </w:tc>
        <w:tc>
          <w:tcPr>
            <w:tcW w:w="881" w:type="dxa"/>
            <w:vAlign w:val="center"/>
          </w:tcPr>
          <w:p w14:paraId="43A9562D">
            <w:pPr>
              <w:widowControl/>
              <w:jc w:val="center"/>
              <w:rPr>
                <w:rFonts w:hint="eastAsia" w:ascii="仿宋" w:hAnsi="仿宋" w:eastAsia="仿宋" w:cs="仿宋"/>
                <w:sz w:val="22"/>
              </w:rPr>
            </w:pPr>
          </w:p>
        </w:tc>
        <w:tc>
          <w:tcPr>
            <w:tcW w:w="893" w:type="dxa"/>
            <w:vAlign w:val="center"/>
          </w:tcPr>
          <w:p w14:paraId="36B20540">
            <w:pPr>
              <w:widowControl/>
              <w:jc w:val="center"/>
              <w:rPr>
                <w:rFonts w:hint="eastAsia" w:ascii="仿宋" w:hAnsi="仿宋" w:eastAsia="仿宋" w:cs="仿宋"/>
                <w:sz w:val="22"/>
              </w:rPr>
            </w:pPr>
          </w:p>
        </w:tc>
        <w:tc>
          <w:tcPr>
            <w:tcW w:w="1278" w:type="dxa"/>
          </w:tcPr>
          <w:p w14:paraId="7CE2CED6">
            <w:pPr>
              <w:spacing w:line="360" w:lineRule="auto"/>
              <w:rPr>
                <w:rFonts w:hint="eastAsia" w:ascii="仿宋" w:hAnsi="仿宋" w:eastAsia="仿宋" w:cs="仿宋"/>
                <w:sz w:val="22"/>
              </w:rPr>
            </w:pPr>
          </w:p>
        </w:tc>
        <w:tc>
          <w:tcPr>
            <w:tcW w:w="1147" w:type="dxa"/>
          </w:tcPr>
          <w:p w14:paraId="71908494">
            <w:pPr>
              <w:spacing w:line="360" w:lineRule="auto"/>
              <w:rPr>
                <w:rFonts w:hint="eastAsia" w:ascii="仿宋" w:hAnsi="仿宋" w:eastAsia="仿宋" w:cs="仿宋"/>
                <w:sz w:val="22"/>
              </w:rPr>
            </w:pPr>
          </w:p>
        </w:tc>
      </w:tr>
      <w:tr w14:paraId="2FB6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48" w:type="dxa"/>
            <w:vAlign w:val="center"/>
          </w:tcPr>
          <w:p w14:paraId="1A629CAF">
            <w:pPr>
              <w:spacing w:line="360" w:lineRule="auto"/>
              <w:jc w:val="center"/>
              <w:rPr>
                <w:rFonts w:hint="eastAsia" w:ascii="仿宋" w:hAnsi="仿宋" w:eastAsia="仿宋" w:cs="仿宋"/>
                <w:sz w:val="22"/>
              </w:rPr>
            </w:pPr>
            <w:r>
              <w:rPr>
                <w:rFonts w:hint="eastAsia" w:ascii="仿宋" w:hAnsi="仿宋" w:eastAsia="仿宋" w:cs="仿宋"/>
                <w:sz w:val="22"/>
              </w:rPr>
              <w:t>4</w:t>
            </w:r>
          </w:p>
        </w:tc>
        <w:tc>
          <w:tcPr>
            <w:tcW w:w="1483" w:type="dxa"/>
            <w:vAlign w:val="center"/>
          </w:tcPr>
          <w:p w14:paraId="75B4330C">
            <w:pPr>
              <w:widowControl/>
              <w:jc w:val="center"/>
              <w:rPr>
                <w:rFonts w:hint="eastAsia" w:ascii="仿宋" w:hAnsi="仿宋" w:eastAsia="仿宋" w:cs="仿宋"/>
                <w:sz w:val="22"/>
              </w:rPr>
            </w:pPr>
          </w:p>
        </w:tc>
        <w:tc>
          <w:tcPr>
            <w:tcW w:w="1858" w:type="dxa"/>
          </w:tcPr>
          <w:p w14:paraId="3BBADC52">
            <w:pPr>
              <w:spacing w:line="360" w:lineRule="auto"/>
              <w:rPr>
                <w:rFonts w:hint="eastAsia" w:ascii="仿宋" w:hAnsi="仿宋" w:eastAsia="仿宋" w:cs="仿宋"/>
                <w:sz w:val="22"/>
              </w:rPr>
            </w:pPr>
          </w:p>
        </w:tc>
        <w:tc>
          <w:tcPr>
            <w:tcW w:w="1405" w:type="dxa"/>
          </w:tcPr>
          <w:p w14:paraId="74394973">
            <w:pPr>
              <w:spacing w:line="360" w:lineRule="auto"/>
              <w:rPr>
                <w:rFonts w:hint="eastAsia" w:ascii="仿宋" w:hAnsi="仿宋" w:eastAsia="仿宋" w:cs="仿宋"/>
                <w:sz w:val="22"/>
              </w:rPr>
            </w:pPr>
          </w:p>
        </w:tc>
        <w:tc>
          <w:tcPr>
            <w:tcW w:w="881" w:type="dxa"/>
            <w:vAlign w:val="center"/>
          </w:tcPr>
          <w:p w14:paraId="5680A76E">
            <w:pPr>
              <w:widowControl/>
              <w:jc w:val="center"/>
              <w:rPr>
                <w:rFonts w:hint="eastAsia" w:ascii="仿宋" w:hAnsi="仿宋" w:eastAsia="仿宋" w:cs="仿宋"/>
                <w:sz w:val="22"/>
              </w:rPr>
            </w:pPr>
          </w:p>
        </w:tc>
        <w:tc>
          <w:tcPr>
            <w:tcW w:w="881" w:type="dxa"/>
            <w:vAlign w:val="center"/>
          </w:tcPr>
          <w:p w14:paraId="067E3D61">
            <w:pPr>
              <w:widowControl/>
              <w:jc w:val="center"/>
              <w:rPr>
                <w:rFonts w:hint="eastAsia" w:ascii="仿宋" w:hAnsi="仿宋" w:eastAsia="仿宋" w:cs="仿宋"/>
                <w:sz w:val="22"/>
              </w:rPr>
            </w:pPr>
          </w:p>
        </w:tc>
        <w:tc>
          <w:tcPr>
            <w:tcW w:w="893" w:type="dxa"/>
            <w:vAlign w:val="center"/>
          </w:tcPr>
          <w:p w14:paraId="2EAAD497">
            <w:pPr>
              <w:widowControl/>
              <w:jc w:val="center"/>
              <w:rPr>
                <w:rFonts w:hint="eastAsia" w:ascii="仿宋" w:hAnsi="仿宋" w:eastAsia="仿宋" w:cs="仿宋"/>
                <w:sz w:val="22"/>
              </w:rPr>
            </w:pPr>
          </w:p>
        </w:tc>
        <w:tc>
          <w:tcPr>
            <w:tcW w:w="1278" w:type="dxa"/>
          </w:tcPr>
          <w:p w14:paraId="536B68CF">
            <w:pPr>
              <w:spacing w:line="360" w:lineRule="auto"/>
              <w:rPr>
                <w:rFonts w:hint="eastAsia" w:ascii="仿宋" w:hAnsi="仿宋" w:eastAsia="仿宋" w:cs="仿宋"/>
                <w:sz w:val="22"/>
              </w:rPr>
            </w:pPr>
          </w:p>
        </w:tc>
        <w:tc>
          <w:tcPr>
            <w:tcW w:w="1147" w:type="dxa"/>
          </w:tcPr>
          <w:p w14:paraId="1558B758">
            <w:pPr>
              <w:spacing w:line="360" w:lineRule="auto"/>
              <w:rPr>
                <w:rFonts w:hint="eastAsia" w:ascii="仿宋" w:hAnsi="仿宋" w:eastAsia="仿宋" w:cs="仿宋"/>
                <w:sz w:val="22"/>
              </w:rPr>
            </w:pPr>
          </w:p>
        </w:tc>
      </w:tr>
      <w:tr w14:paraId="19C6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48" w:type="dxa"/>
            <w:vAlign w:val="center"/>
          </w:tcPr>
          <w:p w14:paraId="355579F9">
            <w:pPr>
              <w:spacing w:line="360" w:lineRule="auto"/>
              <w:jc w:val="center"/>
              <w:rPr>
                <w:rFonts w:hint="default" w:ascii="仿宋" w:hAnsi="仿宋" w:eastAsia="仿宋" w:cs="仿宋"/>
                <w:sz w:val="22"/>
                <w:lang w:val="en-US" w:eastAsia="zh-CN"/>
              </w:rPr>
            </w:pPr>
            <w:r>
              <w:rPr>
                <w:rFonts w:hint="eastAsia" w:ascii="仿宋" w:hAnsi="仿宋" w:eastAsia="仿宋" w:cs="仿宋"/>
                <w:sz w:val="22"/>
                <w:lang w:val="en-US" w:eastAsia="zh-CN"/>
              </w:rPr>
              <w:t>........</w:t>
            </w:r>
          </w:p>
        </w:tc>
        <w:tc>
          <w:tcPr>
            <w:tcW w:w="1483" w:type="dxa"/>
            <w:vAlign w:val="center"/>
          </w:tcPr>
          <w:p w14:paraId="37B40A4B">
            <w:pPr>
              <w:widowControl/>
              <w:jc w:val="center"/>
              <w:rPr>
                <w:rFonts w:hint="eastAsia" w:ascii="仿宋" w:hAnsi="仿宋" w:eastAsia="仿宋" w:cs="仿宋"/>
                <w:sz w:val="22"/>
              </w:rPr>
            </w:pPr>
          </w:p>
        </w:tc>
        <w:tc>
          <w:tcPr>
            <w:tcW w:w="1858" w:type="dxa"/>
          </w:tcPr>
          <w:p w14:paraId="7CE07789">
            <w:pPr>
              <w:spacing w:line="360" w:lineRule="auto"/>
              <w:rPr>
                <w:rFonts w:hint="eastAsia" w:ascii="仿宋" w:hAnsi="仿宋" w:eastAsia="仿宋" w:cs="仿宋"/>
                <w:sz w:val="22"/>
              </w:rPr>
            </w:pPr>
          </w:p>
        </w:tc>
        <w:tc>
          <w:tcPr>
            <w:tcW w:w="1405" w:type="dxa"/>
          </w:tcPr>
          <w:p w14:paraId="09808B0A">
            <w:pPr>
              <w:spacing w:line="360" w:lineRule="auto"/>
              <w:rPr>
                <w:rFonts w:hint="eastAsia" w:ascii="仿宋" w:hAnsi="仿宋" w:eastAsia="仿宋" w:cs="仿宋"/>
                <w:sz w:val="22"/>
              </w:rPr>
            </w:pPr>
          </w:p>
        </w:tc>
        <w:tc>
          <w:tcPr>
            <w:tcW w:w="881" w:type="dxa"/>
            <w:vAlign w:val="center"/>
          </w:tcPr>
          <w:p w14:paraId="7B5A9E69">
            <w:pPr>
              <w:widowControl/>
              <w:jc w:val="center"/>
              <w:rPr>
                <w:rFonts w:hint="eastAsia" w:ascii="仿宋" w:hAnsi="仿宋" w:eastAsia="仿宋" w:cs="仿宋"/>
              </w:rPr>
            </w:pPr>
          </w:p>
        </w:tc>
        <w:tc>
          <w:tcPr>
            <w:tcW w:w="881" w:type="dxa"/>
            <w:vAlign w:val="center"/>
          </w:tcPr>
          <w:p w14:paraId="28EA53BF">
            <w:pPr>
              <w:widowControl/>
              <w:jc w:val="center"/>
              <w:rPr>
                <w:rFonts w:hint="eastAsia" w:ascii="仿宋" w:hAnsi="仿宋" w:eastAsia="仿宋" w:cs="仿宋"/>
              </w:rPr>
            </w:pPr>
          </w:p>
        </w:tc>
        <w:tc>
          <w:tcPr>
            <w:tcW w:w="893" w:type="dxa"/>
            <w:vAlign w:val="center"/>
          </w:tcPr>
          <w:p w14:paraId="4442022D">
            <w:pPr>
              <w:widowControl/>
              <w:jc w:val="center"/>
              <w:rPr>
                <w:rFonts w:hint="eastAsia" w:ascii="仿宋" w:hAnsi="仿宋" w:eastAsia="仿宋" w:cs="仿宋"/>
              </w:rPr>
            </w:pPr>
          </w:p>
        </w:tc>
        <w:tc>
          <w:tcPr>
            <w:tcW w:w="1278" w:type="dxa"/>
          </w:tcPr>
          <w:p w14:paraId="65E6196D">
            <w:pPr>
              <w:spacing w:line="360" w:lineRule="auto"/>
              <w:rPr>
                <w:rFonts w:hint="eastAsia" w:ascii="仿宋" w:hAnsi="仿宋" w:eastAsia="仿宋" w:cs="仿宋"/>
                <w:sz w:val="22"/>
              </w:rPr>
            </w:pPr>
          </w:p>
        </w:tc>
        <w:tc>
          <w:tcPr>
            <w:tcW w:w="1147" w:type="dxa"/>
          </w:tcPr>
          <w:p w14:paraId="08FEF648">
            <w:pPr>
              <w:spacing w:line="360" w:lineRule="auto"/>
              <w:rPr>
                <w:rFonts w:hint="eastAsia" w:ascii="仿宋" w:hAnsi="仿宋" w:eastAsia="仿宋" w:cs="仿宋"/>
                <w:sz w:val="22"/>
              </w:rPr>
            </w:pPr>
          </w:p>
        </w:tc>
      </w:tr>
      <w:tr w14:paraId="4869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1" w:type="dxa"/>
            <w:gridSpan w:val="2"/>
            <w:vMerge w:val="restart"/>
            <w:vAlign w:val="center"/>
          </w:tcPr>
          <w:p w14:paraId="53528836">
            <w:pPr>
              <w:spacing w:line="360" w:lineRule="auto"/>
              <w:jc w:val="center"/>
              <w:rPr>
                <w:rFonts w:hint="eastAsia" w:ascii="仿宋" w:hAnsi="仿宋" w:eastAsia="仿宋" w:cs="仿宋"/>
                <w:sz w:val="18"/>
                <w:szCs w:val="16"/>
              </w:rPr>
            </w:pPr>
            <w:r>
              <w:rPr>
                <w:rFonts w:hint="eastAsia" w:ascii="仿宋" w:hAnsi="仿宋" w:eastAsia="仿宋" w:cs="仿宋"/>
                <w:sz w:val="22"/>
                <w:szCs w:val="22"/>
              </w:rPr>
              <w:t>合计（元）</w:t>
            </w:r>
          </w:p>
        </w:tc>
        <w:tc>
          <w:tcPr>
            <w:tcW w:w="8343" w:type="dxa"/>
            <w:gridSpan w:val="7"/>
          </w:tcPr>
          <w:p w14:paraId="5F55E2B9">
            <w:pPr>
              <w:spacing w:line="360" w:lineRule="auto"/>
              <w:rPr>
                <w:rFonts w:hint="eastAsia" w:ascii="仿宋" w:hAnsi="仿宋" w:eastAsia="仿宋" w:cs="仿宋"/>
              </w:rPr>
            </w:pPr>
            <w:r>
              <w:rPr>
                <w:rFonts w:hint="eastAsia" w:ascii="仿宋" w:hAnsi="仿宋" w:eastAsia="仿宋" w:cs="仿宋"/>
              </w:rPr>
              <w:t>（小写）：       元</w:t>
            </w:r>
          </w:p>
        </w:tc>
      </w:tr>
      <w:tr w14:paraId="1252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31" w:type="dxa"/>
            <w:gridSpan w:val="2"/>
            <w:vMerge w:val="continue"/>
          </w:tcPr>
          <w:p w14:paraId="13598980">
            <w:pPr>
              <w:spacing w:line="360" w:lineRule="auto"/>
              <w:rPr>
                <w:rFonts w:hint="eastAsia" w:ascii="仿宋" w:hAnsi="仿宋" w:eastAsia="仿宋" w:cs="仿宋"/>
                <w:sz w:val="18"/>
                <w:szCs w:val="16"/>
              </w:rPr>
            </w:pPr>
          </w:p>
        </w:tc>
        <w:tc>
          <w:tcPr>
            <w:tcW w:w="8343" w:type="dxa"/>
            <w:gridSpan w:val="7"/>
          </w:tcPr>
          <w:p w14:paraId="4AD34682">
            <w:pPr>
              <w:spacing w:line="360" w:lineRule="auto"/>
              <w:rPr>
                <w:rFonts w:hint="eastAsia" w:ascii="仿宋" w:hAnsi="仿宋" w:eastAsia="仿宋" w:cs="仿宋"/>
              </w:rPr>
            </w:pPr>
            <w:r>
              <w:rPr>
                <w:rFonts w:hint="eastAsia" w:ascii="仿宋" w:hAnsi="仿宋" w:eastAsia="仿宋" w:cs="仿宋"/>
              </w:rPr>
              <w:t>（大写）：       元</w:t>
            </w:r>
          </w:p>
        </w:tc>
      </w:tr>
    </w:tbl>
    <w:p w14:paraId="2C661E08">
      <w:pPr>
        <w:spacing w:line="300" w:lineRule="auto"/>
        <w:jc w:val="left"/>
        <w:rPr>
          <w:rFonts w:hint="eastAsia" w:ascii="仿宋" w:hAnsi="仿宋" w:eastAsia="仿宋" w:cs="仿宋"/>
          <w:sz w:val="24"/>
        </w:rPr>
      </w:pPr>
      <w:r>
        <w:rPr>
          <w:rFonts w:hint="eastAsia" w:ascii="仿宋" w:hAnsi="仿宋" w:eastAsia="仿宋" w:cs="仿宋"/>
          <w:sz w:val="24"/>
        </w:rPr>
        <w:t>注：</w:t>
      </w:r>
    </w:p>
    <w:p w14:paraId="2B3E2C5D">
      <w:pPr>
        <w:autoSpaceDE/>
        <w:autoSpaceDN/>
        <w:adjustRightInd/>
        <w:spacing w:line="300" w:lineRule="auto"/>
        <w:ind w:firstLine="480" w:firstLineChars="200"/>
        <w:jc w:val="left"/>
        <w:rPr>
          <w:rFonts w:hint="eastAsia" w:ascii="仿宋" w:hAnsi="仿宋" w:eastAsia="仿宋" w:cs="仿宋"/>
          <w:sz w:val="24"/>
        </w:rPr>
      </w:pPr>
      <w:r>
        <w:rPr>
          <w:rFonts w:hint="eastAsia" w:ascii="仿宋" w:hAnsi="仿宋" w:eastAsia="仿宋" w:cs="仿宋"/>
          <w:sz w:val="24"/>
        </w:rPr>
        <w:t>1、投标报价明细表应逐条进行报价，不允许缺漏项，否则按无效标处理。且投标报价明细表的投标总价金额需与报价一览表中的投标报价一致，否则按无效标处理。</w:t>
      </w:r>
    </w:p>
    <w:p w14:paraId="471F0BC4">
      <w:pPr>
        <w:autoSpaceDE/>
        <w:autoSpaceDN/>
        <w:adjustRightInd/>
        <w:spacing w:line="300" w:lineRule="auto"/>
        <w:ind w:firstLine="480" w:firstLineChars="200"/>
        <w:jc w:val="left"/>
        <w:rPr>
          <w:rFonts w:hint="eastAsia" w:ascii="仿宋" w:hAnsi="仿宋" w:eastAsia="仿宋" w:cs="仿宋"/>
          <w:sz w:val="24"/>
        </w:rPr>
      </w:pPr>
      <w:r>
        <w:rPr>
          <w:rFonts w:hint="eastAsia" w:ascii="仿宋" w:hAnsi="仿宋" w:eastAsia="仿宋" w:cs="仿宋"/>
          <w:sz w:val="24"/>
        </w:rPr>
        <w:t>2、单价、小计和投标总价为包干价，即三者均应包含设备的价款、包装、运输、装卸技术指导、培训、咨询、服务、保险、税费、检测、验收合格交付使用之前以及技术和售后服务等其他各项有关费用。</w:t>
      </w:r>
    </w:p>
    <w:p w14:paraId="5E7D7353">
      <w:pPr>
        <w:pStyle w:val="30"/>
        <w:ind w:left="420" w:firstLine="480"/>
      </w:pPr>
    </w:p>
    <w:p w14:paraId="5E2DAE85">
      <w:pPr>
        <w:spacing w:before="156"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rPr>
        <w:t>盖章</w:t>
      </w:r>
      <w:r>
        <w:rPr>
          <w:rFonts w:eastAsia="方正仿宋_GB2312"/>
          <w:color w:val="auto"/>
          <w:sz w:val="24"/>
          <w:u w:val="single"/>
        </w:rPr>
        <w:t>）</w:t>
      </w:r>
    </w:p>
    <w:p w14:paraId="7A21986C">
      <w:pPr>
        <w:spacing w:before="156"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377C25B1">
      <w:pPr>
        <w:spacing w:before="156" w:beforeLines="50"/>
        <w:ind w:firstLine="3600" w:firstLineChars="1500"/>
        <w:rPr>
          <w:rFonts w:eastAsia="方正仿宋_GB2312"/>
          <w:color w:val="auto"/>
          <w:sz w:val="24"/>
        </w:rPr>
      </w:pPr>
      <w:r>
        <w:rPr>
          <w:rFonts w:hint="eastAsia" w:eastAsia="方正仿宋_GB2312"/>
          <w:color w:val="auto"/>
          <w:sz w:val="24"/>
        </w:rPr>
        <w:t>日期：</w:t>
      </w:r>
    </w:p>
    <w:p w14:paraId="16157972">
      <w:pPr>
        <w:widowControl/>
        <w:tabs>
          <w:tab w:val="left" w:pos="450"/>
          <w:tab w:val="left" w:pos="2520"/>
          <w:tab w:val="left" w:pos="8280"/>
        </w:tabs>
        <w:spacing w:line="312" w:lineRule="auto"/>
        <w:jc w:val="both"/>
        <w:outlineLvl w:val="1"/>
        <w:rPr>
          <w:rFonts w:ascii="仿宋" w:eastAsia="仿宋" w:cs="仿宋"/>
          <w:b/>
          <w:bCs/>
          <w:color w:val="auto"/>
          <w:sz w:val="30"/>
          <w:szCs w:val="30"/>
        </w:rPr>
      </w:pPr>
    </w:p>
    <w:p w14:paraId="40053374">
      <w:pPr>
        <w:widowControl/>
        <w:tabs>
          <w:tab w:val="left" w:pos="450"/>
          <w:tab w:val="left" w:pos="2520"/>
          <w:tab w:val="left" w:pos="8280"/>
        </w:tabs>
        <w:spacing w:line="312" w:lineRule="auto"/>
        <w:jc w:val="both"/>
        <w:outlineLvl w:val="1"/>
        <w:rPr>
          <w:rFonts w:hint="eastAsia" w:ascii="仿宋" w:eastAsia="仿宋" w:cs="仿宋"/>
          <w:b/>
          <w:bCs/>
          <w:color w:val="auto"/>
          <w:sz w:val="30"/>
          <w:szCs w:val="30"/>
        </w:rPr>
      </w:pPr>
    </w:p>
    <w:p w14:paraId="11AD796D">
      <w:pPr>
        <w:widowControl/>
        <w:tabs>
          <w:tab w:val="left" w:pos="450"/>
          <w:tab w:val="left" w:pos="2520"/>
          <w:tab w:val="left" w:pos="8280"/>
        </w:tabs>
        <w:spacing w:line="312" w:lineRule="auto"/>
        <w:jc w:val="both"/>
        <w:outlineLvl w:val="1"/>
        <w:rPr>
          <w:rFonts w:hint="eastAsia" w:ascii="仿宋" w:eastAsia="仿宋" w:cs="仿宋"/>
          <w:b/>
          <w:bCs/>
          <w:color w:val="auto"/>
          <w:sz w:val="30"/>
          <w:szCs w:val="30"/>
        </w:rPr>
      </w:pPr>
    </w:p>
    <w:p w14:paraId="74D9A3CA">
      <w:pPr>
        <w:widowControl/>
        <w:tabs>
          <w:tab w:val="left" w:pos="450"/>
          <w:tab w:val="left" w:pos="2520"/>
          <w:tab w:val="left" w:pos="8280"/>
        </w:tabs>
        <w:spacing w:line="312" w:lineRule="auto"/>
        <w:jc w:val="center"/>
        <w:outlineLvl w:val="1"/>
        <w:rPr>
          <w:rFonts w:ascii="仿宋" w:eastAsia="仿宋" w:cs="仿宋"/>
          <w:b/>
          <w:bCs/>
          <w:color w:val="auto"/>
          <w:sz w:val="30"/>
          <w:szCs w:val="30"/>
        </w:rPr>
      </w:pPr>
      <w:r>
        <w:rPr>
          <w:rFonts w:hint="eastAsia" w:ascii="仿宋" w:eastAsia="仿宋" w:cs="仿宋"/>
          <w:b/>
          <w:bCs/>
          <w:color w:val="auto"/>
          <w:sz w:val="30"/>
          <w:szCs w:val="30"/>
        </w:rPr>
        <w:t>七、投标承诺书</w:t>
      </w:r>
    </w:p>
    <w:p w14:paraId="236A3A39">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我公司已详细阅读了</w:t>
      </w:r>
      <w:r>
        <w:rPr>
          <w:rFonts w:hint="eastAsia" w:ascii="仿宋" w:eastAsia="仿宋" w:cs="仿宋"/>
          <w:color w:val="auto"/>
          <w:sz w:val="24"/>
          <w:szCs w:val="24"/>
          <w:u w:val="single"/>
        </w:rPr>
        <w:t xml:space="preserve">  （项目名称）  </w:t>
      </w:r>
      <w:r>
        <w:rPr>
          <w:rFonts w:hint="eastAsia" w:ascii="仿宋" w:eastAsia="仿宋" w:cs="仿宋"/>
          <w:color w:val="auto"/>
          <w:sz w:val="24"/>
          <w:szCs w:val="24"/>
        </w:rPr>
        <w:t>项目（项目编号：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）招标文件，现参加该项目投标，并就有关事项作出如下承诺：</w:t>
      </w:r>
    </w:p>
    <w:p w14:paraId="4C04A9E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3C8A9C1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（1）已报名但无故放弃投标(开标前已有书面说明并证实的除外)一年内累计3次以上的；</w:t>
      </w:r>
    </w:p>
    <w:p w14:paraId="330C69D6">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（2）在招标采购过程中，与采购人进行协商谈判的；</w:t>
      </w:r>
    </w:p>
    <w:p w14:paraId="323DFEE0">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（3）投标有效期内撤回其投标文件的；</w:t>
      </w:r>
    </w:p>
    <w:p w14:paraId="66A9A41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（4）拒绝有关部门监督检查或提供虚假情况的；</w:t>
      </w:r>
    </w:p>
    <w:p w14:paraId="6F752DE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（5）不积极配合采购人做好标的验收工作的；</w:t>
      </w:r>
    </w:p>
    <w:p w14:paraId="3FBBBC04">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（6）在有关部门的监督检查或考核中被通报批评或处以警告及以上处罚的；</w:t>
      </w:r>
    </w:p>
    <w:p w14:paraId="7B3ECF5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（7）不遵守投标会场纪律，无理取闹，扰乱交易秩序的；</w:t>
      </w:r>
    </w:p>
    <w:p w14:paraId="147CAEF3">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14:paraId="41551FB2">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（9）虚假投诉、恶意投诉或未按层级和相关程序逐级质疑、投诉而影响采购工作正常进行或造成不良影响的；</w:t>
      </w:r>
    </w:p>
    <w:p w14:paraId="0B566B5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（10）不按照与采购人订立的合同履行义务（包括提供标的、售后服务、技术支持等），严重违反合同规定和廉政合同要求的；</w:t>
      </w:r>
    </w:p>
    <w:p w14:paraId="26D8C2D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（11）项目负责人不到位，或擅自变换项目负责人，或不认真履行职责造成采购人损失的；</w:t>
      </w:r>
    </w:p>
    <w:p w14:paraId="35C42EE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14:paraId="536C8E85">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（13）与采购人、其他供应商或者采购代理机构相互串通的；</w:t>
      </w:r>
    </w:p>
    <w:p w14:paraId="01DBFF6E">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（14）采取不正当手段排挤其他供应商，进行不公平竞争的；</w:t>
      </w:r>
    </w:p>
    <w:p w14:paraId="59E06555">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（15）中标后与采购人另行订立背离合同实质内容的协议的；</w:t>
      </w:r>
    </w:p>
    <w:p w14:paraId="271D1B4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（16）事先有承诺，而事后违反承诺内容的；</w:t>
      </w:r>
    </w:p>
    <w:p w14:paraId="7B372642">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（17）将中标项目转包或违反规定进行分包的；</w:t>
      </w:r>
    </w:p>
    <w:p w14:paraId="2711A754">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（18）以他人名义投标或允许他人以自己名义投标，或者以其他方式弄虚作假的；</w:t>
      </w:r>
    </w:p>
    <w:p w14:paraId="77FE616F">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（19）为获取自身利益，向采购人及其他有利害关系的单位或个人提供不正当利益的；</w:t>
      </w:r>
    </w:p>
    <w:p w14:paraId="2FB612BA">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（20）擅自变更、中止、终止或解除政府采购合同的；</w:t>
      </w:r>
    </w:p>
    <w:p w14:paraId="03CFFB65">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（21）向有关人员行贿或者提供不正当利益谋取中标的；</w:t>
      </w:r>
    </w:p>
    <w:p w14:paraId="74968911">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（22）在政府采购活动期间，对管理机构、采购人、其他投标人、评标专家、中介机构等政府采购相关机构和人员，采取诋毁、诽谤、胁迫、暴力等不正当手段的；</w:t>
      </w:r>
    </w:p>
    <w:p w14:paraId="65D2DA48">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20684A97">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1、质疑人须为投标人和其他利害关系人；</w:t>
      </w:r>
    </w:p>
    <w:p w14:paraId="5A4A8C80">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2、投诉时，应当递交质疑书，质疑书应当包括下列内容：</w:t>
      </w:r>
    </w:p>
    <w:p w14:paraId="7052ABB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（1）质疑人的名称、地址及有效联系方式；</w:t>
      </w:r>
    </w:p>
    <w:p w14:paraId="37098833">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（2）被质疑人的名称、地址及联系方式；</w:t>
      </w:r>
    </w:p>
    <w:p w14:paraId="1BE9B20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（3）质疑事项的基本事实；</w:t>
      </w:r>
    </w:p>
    <w:p w14:paraId="5C9C3AEE">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（4）相关请求及主张；</w:t>
      </w:r>
    </w:p>
    <w:p w14:paraId="780EC749">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（5）有效线索和相关证明材料；</w:t>
      </w:r>
    </w:p>
    <w:p w14:paraId="67CA12BB">
      <w:pPr>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14:paraId="18F6CEED">
      <w:pPr>
        <w:spacing w:line="420" w:lineRule="exact"/>
        <w:ind w:firstLine="964" w:firstLineChars="400"/>
        <w:rPr>
          <w:rFonts w:ascii="仿宋" w:eastAsia="仿宋" w:cs="仿宋"/>
          <w:b/>
          <w:color w:val="auto"/>
          <w:sz w:val="24"/>
          <w:szCs w:val="24"/>
        </w:rPr>
      </w:pPr>
    </w:p>
    <w:p w14:paraId="16ECC79A">
      <w:pPr>
        <w:spacing w:line="420" w:lineRule="exact"/>
        <w:ind w:firstLine="960" w:firstLineChars="400"/>
        <w:rPr>
          <w:rFonts w:ascii="仿宋" w:eastAsia="仿宋" w:cs="仿宋"/>
          <w:color w:val="auto"/>
          <w:sz w:val="24"/>
          <w:szCs w:val="24"/>
        </w:rPr>
      </w:pPr>
    </w:p>
    <w:p w14:paraId="28064C29">
      <w:pPr>
        <w:spacing w:line="420" w:lineRule="exact"/>
        <w:ind w:firstLine="960" w:firstLineChars="400"/>
        <w:rPr>
          <w:rFonts w:ascii="仿宋" w:eastAsia="仿宋" w:cs="仿宋"/>
          <w:color w:val="auto"/>
          <w:sz w:val="24"/>
          <w:szCs w:val="24"/>
        </w:rPr>
      </w:pPr>
    </w:p>
    <w:p w14:paraId="567FC11A">
      <w:pPr>
        <w:spacing w:line="420" w:lineRule="exact"/>
        <w:rPr>
          <w:rFonts w:ascii="仿宋" w:eastAsia="仿宋" w:cs="仿宋"/>
          <w:color w:val="auto"/>
          <w:sz w:val="24"/>
          <w:szCs w:val="24"/>
        </w:rPr>
      </w:pPr>
      <w:r>
        <w:rPr>
          <w:rFonts w:hint="eastAsia" w:ascii="仿宋" w:eastAsia="仿宋" w:cs="仿宋"/>
          <w:color w:val="auto"/>
          <w:sz w:val="24"/>
          <w:szCs w:val="24"/>
        </w:rPr>
        <w:t>投标人：</w:t>
      </w:r>
      <w:r>
        <w:rPr>
          <w:rFonts w:hint="eastAsia" w:ascii="仿宋" w:eastAsia="仿宋" w:cs="仿宋"/>
          <w:color w:val="auto"/>
          <w:sz w:val="24"/>
          <w:szCs w:val="24"/>
          <w:u w:val="single"/>
        </w:rPr>
        <w:t xml:space="preserve">        （盖章）           </w:t>
      </w:r>
      <w:r>
        <w:rPr>
          <w:rFonts w:hint="eastAsia" w:ascii="仿宋" w:eastAsia="仿宋" w:cs="仿宋"/>
          <w:color w:val="auto"/>
          <w:sz w:val="24"/>
          <w:szCs w:val="24"/>
        </w:rPr>
        <w:t xml:space="preserve">      </w:t>
      </w:r>
    </w:p>
    <w:p w14:paraId="4115ED2F">
      <w:pPr>
        <w:spacing w:line="420" w:lineRule="exact"/>
        <w:rPr>
          <w:rFonts w:ascii="仿宋" w:eastAsia="仿宋" w:cs="仿宋"/>
          <w:color w:val="auto"/>
          <w:sz w:val="24"/>
          <w:szCs w:val="24"/>
        </w:rPr>
      </w:pPr>
    </w:p>
    <w:p w14:paraId="0C987C5D">
      <w:pPr>
        <w:spacing w:line="420" w:lineRule="exact"/>
        <w:rPr>
          <w:rFonts w:ascii="仿宋" w:eastAsia="仿宋" w:cs="仿宋"/>
          <w:color w:val="auto"/>
          <w:sz w:val="24"/>
          <w:szCs w:val="24"/>
        </w:rPr>
      </w:pPr>
      <w:r>
        <w:rPr>
          <w:rFonts w:hint="eastAsia" w:ascii="仿宋" w:eastAsia="仿宋" w:cs="仿宋"/>
          <w:color w:val="auto"/>
          <w:sz w:val="24"/>
          <w:szCs w:val="24"/>
        </w:rPr>
        <w:t>日      期：    年    月    日</w:t>
      </w:r>
    </w:p>
    <w:p w14:paraId="571973AE">
      <w:pPr>
        <w:rPr>
          <w:rFonts w:ascii="仿宋" w:eastAsia="仿宋" w:cs="仿宋"/>
          <w:color w:val="auto"/>
          <w:sz w:val="24"/>
          <w:szCs w:val="24"/>
        </w:rPr>
      </w:pPr>
      <w:r>
        <w:rPr>
          <w:rFonts w:hint="eastAsia" w:ascii="仿宋" w:eastAsia="仿宋" w:cs="仿宋"/>
          <w:color w:val="auto"/>
          <w:sz w:val="24"/>
          <w:szCs w:val="24"/>
        </w:rPr>
        <w:br w:type="page"/>
      </w:r>
    </w:p>
    <w:p w14:paraId="422094A3">
      <w:pPr>
        <w:widowControl/>
        <w:tabs>
          <w:tab w:val="left" w:pos="450"/>
          <w:tab w:val="left" w:pos="2520"/>
          <w:tab w:val="left" w:pos="8280"/>
        </w:tabs>
        <w:spacing w:line="312" w:lineRule="auto"/>
        <w:jc w:val="center"/>
        <w:outlineLvl w:val="1"/>
        <w:rPr>
          <w:rFonts w:ascii="仿宋" w:eastAsia="仿宋" w:cs="仿宋"/>
          <w:b/>
          <w:color w:val="auto"/>
          <w:sz w:val="36"/>
          <w:szCs w:val="36"/>
        </w:rPr>
      </w:pPr>
      <w:r>
        <w:rPr>
          <w:rFonts w:hint="eastAsia" w:ascii="仿宋" w:eastAsia="仿宋" w:cs="仿宋"/>
          <w:b/>
          <w:color w:val="auto"/>
          <w:sz w:val="30"/>
          <w:szCs w:val="30"/>
        </w:rPr>
        <w:t>八、中小型、微型企业的优惠政策（如有）</w:t>
      </w:r>
    </w:p>
    <w:p w14:paraId="627FB765">
      <w:pPr>
        <w:jc w:val="center"/>
        <w:rPr>
          <w:rFonts w:ascii="仿宋" w:eastAsia="仿宋" w:cs="仿宋"/>
          <w:b/>
          <w:color w:val="auto"/>
          <w:sz w:val="24"/>
          <w:szCs w:val="24"/>
        </w:rPr>
      </w:pPr>
    </w:p>
    <w:p w14:paraId="28258AFF">
      <w:pPr>
        <w:jc w:val="center"/>
        <w:rPr>
          <w:rFonts w:hint="eastAsia" w:ascii="仿宋" w:hAnsi="仿宋" w:eastAsia="仿宋" w:cs="仿宋"/>
          <w:b/>
          <w:color w:val="auto"/>
          <w:sz w:val="24"/>
          <w:szCs w:val="24"/>
        </w:rPr>
      </w:pPr>
    </w:p>
    <w:p w14:paraId="2577FFC5">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中小企业声明函（货物）</w:t>
      </w:r>
    </w:p>
    <w:p w14:paraId="2B3FFACF">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2C3BD477">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44844A52">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lang w:eastAsia="zh-CN"/>
        </w:rPr>
        <w:t>工业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0F6F9034">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lang w:eastAsia="zh-CN"/>
        </w:rPr>
        <w:t>工业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19517D53">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lang w:eastAsia="zh-CN"/>
        </w:rPr>
        <w:t>工业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4A4EA5E3">
      <w:pPr>
        <w:numPr>
          <w:ilvl w:val="0"/>
          <w:numId w:val="9"/>
        </w:num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lang w:eastAsia="zh-CN"/>
        </w:rPr>
        <w:t>工业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713641D9">
      <w:pPr>
        <w:pStyle w:val="5"/>
        <w:keepNext/>
        <w:keepLines/>
        <w:pageBreakBefore w:val="0"/>
        <w:widowControl w:val="0"/>
        <w:kinsoku/>
        <w:wordWrap/>
        <w:overflowPunct/>
        <w:topLinePunct w:val="0"/>
        <w:autoSpaceDE w:val="0"/>
        <w:autoSpaceDN w:val="0"/>
        <w:bidi w:val="0"/>
        <w:adjustRightInd w:val="0"/>
        <w:snapToGrid/>
        <w:spacing w:before="0" w:after="0" w:line="400" w:lineRule="exact"/>
        <w:textAlignment w:val="auto"/>
        <w:rPr>
          <w:rFonts w:hint="default" w:eastAsia="仿宋"/>
          <w:lang w:val="en-US" w:eastAsia="zh-CN"/>
        </w:rPr>
      </w:pPr>
      <w:r>
        <w:rPr>
          <w:rFonts w:hint="eastAsia" w:ascii="仿宋" w:hAnsi="仿宋" w:eastAsia="仿宋" w:cs="仿宋"/>
          <w:color w:val="auto"/>
          <w:sz w:val="24"/>
          <w:szCs w:val="24"/>
          <w:lang w:val="en-US" w:eastAsia="zh-CN"/>
        </w:rPr>
        <w:t>........</w:t>
      </w:r>
    </w:p>
    <w:p w14:paraId="7F00105D">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03E10F9F">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4EB7E30A">
      <w:pPr>
        <w:spacing w:line="420" w:lineRule="exact"/>
        <w:ind w:right="420" w:firstLine="5880" w:firstLineChars="2450"/>
        <w:jc w:val="left"/>
        <w:rPr>
          <w:rFonts w:hint="eastAsia" w:ascii="仿宋" w:hAnsi="仿宋" w:eastAsia="仿宋" w:cs="仿宋"/>
          <w:color w:val="auto"/>
          <w:sz w:val="24"/>
          <w:szCs w:val="24"/>
        </w:rPr>
      </w:pPr>
    </w:p>
    <w:p w14:paraId="4A276E3D">
      <w:pPr>
        <w:spacing w:line="420" w:lineRule="exact"/>
        <w:ind w:right="420" w:firstLine="5880" w:firstLineChars="2450"/>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14:paraId="628ED825">
      <w:pPr>
        <w:spacing w:line="420" w:lineRule="exact"/>
        <w:ind w:right="420"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6B69AD4E">
      <w:pPr>
        <w:spacing w:line="312" w:lineRule="auto"/>
        <w:jc w:val="center"/>
        <w:outlineLvl w:val="1"/>
        <w:rPr>
          <w:rFonts w:ascii="仿宋" w:eastAsia="仿宋" w:cs="仿宋"/>
          <w:b/>
          <w:bCs/>
          <w:color w:val="auto"/>
          <w:sz w:val="30"/>
          <w:szCs w:val="30"/>
        </w:rPr>
      </w:pPr>
      <w:r>
        <w:rPr>
          <w:rFonts w:hint="eastAsia" w:ascii="仿宋" w:eastAsia="仿宋" w:cs="仿宋"/>
          <w:b/>
          <w:color w:val="auto"/>
          <w:sz w:val="24"/>
          <w:szCs w:val="24"/>
        </w:rPr>
        <w:br w:type="page"/>
      </w:r>
      <w:r>
        <w:rPr>
          <w:rFonts w:hint="eastAsia" w:ascii="仿宋" w:eastAsia="仿宋" w:cs="仿宋"/>
          <w:b/>
          <w:bCs/>
          <w:color w:val="auto"/>
          <w:sz w:val="30"/>
          <w:szCs w:val="30"/>
        </w:rPr>
        <w:t>九、残疾人福利性单位声明函</w:t>
      </w:r>
      <w:r>
        <w:rPr>
          <w:rFonts w:hint="eastAsia" w:ascii="仿宋" w:eastAsia="仿宋" w:cs="仿宋"/>
          <w:b/>
          <w:color w:val="auto"/>
          <w:sz w:val="30"/>
          <w:szCs w:val="30"/>
        </w:rPr>
        <w:t>（如有）</w:t>
      </w:r>
    </w:p>
    <w:p w14:paraId="6EE4A454">
      <w:pPr>
        <w:snapToGrid w:val="0"/>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ascii="仿宋" w:eastAsia="仿宋" w:cs="仿宋"/>
          <w:color w:val="auto"/>
          <w:sz w:val="24"/>
          <w:szCs w:val="24"/>
          <w:u w:val="single"/>
        </w:rPr>
        <w:t xml:space="preserve">         </w:t>
      </w:r>
      <w:r>
        <w:rPr>
          <w:rFonts w:hint="eastAsia" w:ascii="仿宋" w:eastAsia="仿宋" w:cs="仿宋"/>
          <w:color w:val="auto"/>
          <w:sz w:val="24"/>
          <w:szCs w:val="24"/>
        </w:rPr>
        <w:t>单位的</w:t>
      </w:r>
      <w:r>
        <w:rPr>
          <w:rFonts w:ascii="仿宋" w:eastAsia="仿宋" w:cs="仿宋"/>
          <w:color w:val="auto"/>
          <w:sz w:val="24"/>
          <w:szCs w:val="24"/>
          <w:u w:val="single"/>
        </w:rPr>
        <w:t xml:space="preserve">         </w:t>
      </w:r>
      <w:r>
        <w:rPr>
          <w:rFonts w:hint="eastAsia" w:ascii="仿宋" w:eastAsia="仿宋" w:cs="仿宋"/>
          <w:color w:val="auto"/>
          <w:sz w:val="24"/>
          <w:szCs w:val="24"/>
        </w:rPr>
        <w:t>项目采购活动提供本单位制造的货物（由本单位承担工程/提供服务），或者提供其他残疾人福利性单位制造的货物（不包括使用非残疾人福利性单位注册商标的货物）。</w:t>
      </w:r>
    </w:p>
    <w:p w14:paraId="6D0F32BE">
      <w:pPr>
        <w:snapToGrid w:val="0"/>
        <w:spacing w:line="420" w:lineRule="exact"/>
        <w:ind w:firstLine="480" w:firstLineChars="200"/>
        <w:rPr>
          <w:rFonts w:ascii="仿宋" w:eastAsia="仿宋" w:cs="仿宋"/>
          <w:color w:val="auto"/>
          <w:sz w:val="24"/>
          <w:szCs w:val="24"/>
        </w:rPr>
      </w:pPr>
      <w:r>
        <w:rPr>
          <w:rFonts w:hint="eastAsia" w:ascii="仿宋" w:eastAsia="仿宋" w:cs="仿宋"/>
          <w:color w:val="auto"/>
          <w:sz w:val="24"/>
          <w:szCs w:val="24"/>
        </w:rPr>
        <w:t>本单位对上述声明的真实性负责。如有虚假，将依法承担相应责任。</w:t>
      </w:r>
    </w:p>
    <w:p w14:paraId="69B5EEC0">
      <w:pPr>
        <w:snapToGrid w:val="0"/>
        <w:spacing w:line="420" w:lineRule="exact"/>
        <w:ind w:firstLine="504" w:firstLineChars="200"/>
        <w:jc w:val="right"/>
        <w:rPr>
          <w:rFonts w:ascii="仿宋" w:eastAsia="仿宋" w:cs="仿宋"/>
          <w:color w:val="auto"/>
          <w:sz w:val="24"/>
          <w:szCs w:val="24"/>
        </w:rPr>
      </w:pPr>
      <w:r>
        <w:rPr>
          <w:rFonts w:hint="eastAsia" w:ascii="仿宋" w:eastAsia="仿宋" w:cs="仿宋"/>
          <w:color w:val="auto"/>
          <w:spacing w:val="6"/>
          <w:sz w:val="24"/>
          <w:szCs w:val="24"/>
        </w:rPr>
        <w:t xml:space="preserve">         </w:t>
      </w:r>
      <w:r>
        <w:rPr>
          <w:rFonts w:hint="eastAsia" w:ascii="仿宋" w:eastAsia="仿宋" w:cs="仿宋"/>
          <w:color w:val="auto"/>
          <w:sz w:val="24"/>
          <w:szCs w:val="24"/>
        </w:rPr>
        <w:t xml:space="preserve">      单位名称（盖章）：</w:t>
      </w:r>
    </w:p>
    <w:p w14:paraId="1D940F49">
      <w:pPr>
        <w:snapToGrid w:val="0"/>
        <w:spacing w:line="420" w:lineRule="exact"/>
        <w:ind w:firstLine="480" w:firstLineChars="200"/>
        <w:jc w:val="center"/>
        <w:rPr>
          <w:rFonts w:ascii="仿宋" w:eastAsia="仿宋" w:cs="仿宋"/>
          <w:color w:val="auto"/>
          <w:sz w:val="24"/>
          <w:szCs w:val="24"/>
        </w:rPr>
      </w:pPr>
      <w:r>
        <w:rPr>
          <w:rFonts w:hint="eastAsia" w:ascii="仿宋" w:eastAsia="仿宋" w:cs="仿宋"/>
          <w:color w:val="auto"/>
          <w:sz w:val="24"/>
          <w:szCs w:val="24"/>
        </w:rPr>
        <w:t>　　　　　　　　　　　　　　　　　　        　日  期：</w:t>
      </w:r>
    </w:p>
    <w:p w14:paraId="3DFE9345">
      <w:pPr>
        <w:snapToGrid w:val="0"/>
        <w:spacing w:line="420" w:lineRule="exact"/>
        <w:rPr>
          <w:rFonts w:ascii="仿宋" w:eastAsia="仿宋" w:cs="仿宋"/>
          <w:b/>
          <w:bCs/>
          <w:color w:val="auto"/>
          <w:sz w:val="24"/>
          <w:szCs w:val="24"/>
        </w:rPr>
      </w:pPr>
      <w:r>
        <w:rPr>
          <w:rFonts w:hint="eastAsia" w:ascii="仿宋" w:eastAsia="仿宋" w:cs="仿宋"/>
          <w:b/>
          <w:bCs/>
          <w:color w:val="auto"/>
          <w:sz w:val="24"/>
          <w:szCs w:val="24"/>
        </w:rPr>
        <w:t>注：１、残疾人福利性单位视同小型、微型企业，享受价格扣除。</w:t>
      </w:r>
    </w:p>
    <w:p w14:paraId="2A72E2A9">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２、残疾人福利性单位属于小型、微型企业的，不重复享受政策。</w:t>
      </w:r>
    </w:p>
    <w:p w14:paraId="145EB063">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３、如中标人声明为残疾人福利性单位，本声明函将随中标结果同时公告，接受社会监督。</w:t>
      </w:r>
    </w:p>
    <w:p w14:paraId="7CC8AEC8">
      <w:pPr>
        <w:snapToGrid w:val="0"/>
        <w:spacing w:line="420" w:lineRule="exact"/>
        <w:ind w:firstLine="482" w:firstLineChars="200"/>
        <w:rPr>
          <w:rFonts w:ascii="仿宋" w:eastAsia="仿宋" w:cs="仿宋"/>
          <w:b/>
          <w:color w:val="auto"/>
          <w:sz w:val="24"/>
          <w:szCs w:val="24"/>
        </w:rPr>
      </w:pPr>
      <w:r>
        <w:rPr>
          <w:rFonts w:hint="eastAsia" w:ascii="仿宋" w:eastAsia="仿宋" w:cs="仿宋"/>
          <w:b/>
          <w:color w:val="auto"/>
          <w:sz w:val="24"/>
          <w:szCs w:val="24"/>
        </w:rPr>
        <w:t>4、享受政府采购支持政策的残疾人福利性单位应当同时满足以下条件：</w:t>
      </w:r>
    </w:p>
    <w:p w14:paraId="1C387B1A">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（一）安置的残疾人占本单位在职职工人数的比例不低于25%（含25%），并且安置的残疾人人数不少于10人（含10人）；</w:t>
      </w:r>
    </w:p>
    <w:p w14:paraId="00000DB5">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（二）依法与安置的每位残疾人签订了一年以上（含一年）的劳动合同或服务协议；</w:t>
      </w:r>
    </w:p>
    <w:p w14:paraId="1B518908">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（三）为安置的每位残疾人按月足额缴纳了基本养老保险、基本医疗保险、失业保险、工伤保险和生育保险等社会保险费；</w:t>
      </w:r>
    </w:p>
    <w:p w14:paraId="7B1B2F36">
      <w:pPr>
        <w:snapToGrid w:val="0"/>
        <w:spacing w:line="420" w:lineRule="exact"/>
        <w:rPr>
          <w:rFonts w:ascii="仿宋" w:eastAsia="仿宋" w:cs="仿宋"/>
          <w:b/>
          <w:color w:val="auto"/>
          <w:sz w:val="24"/>
          <w:szCs w:val="24"/>
        </w:rPr>
      </w:pPr>
      <w:r>
        <w:rPr>
          <w:rFonts w:hint="eastAsia" w:ascii="仿宋" w:eastAsia="仿宋" w:cs="仿宋"/>
          <w:b/>
          <w:color w:val="auto"/>
          <w:sz w:val="24"/>
          <w:szCs w:val="24"/>
        </w:rPr>
        <w:t>（四）通过银行等金融机构向安置的每位残疾人，按月支付了不低于单位所在区县适用的经省级人民政府批准的月最低工资标准的工资；</w:t>
      </w:r>
    </w:p>
    <w:p w14:paraId="1E126063">
      <w:pPr>
        <w:snapToGrid w:val="0"/>
        <w:spacing w:line="420" w:lineRule="exact"/>
        <w:rPr>
          <w:rFonts w:eastAsia="方正仿宋_GB2312"/>
          <w:color w:val="auto"/>
          <w:sz w:val="24"/>
        </w:rPr>
      </w:pPr>
      <w:r>
        <w:rPr>
          <w:rFonts w:hint="eastAsia" w:asci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14:paraId="38CC2E03">
      <w:pPr>
        <w:spacing w:line="312" w:lineRule="auto"/>
        <w:ind w:firstLine="2711" w:firstLineChars="900"/>
        <w:rPr>
          <w:rFonts w:hint="eastAsia" w:ascii="仿宋" w:hAnsi="仿宋" w:eastAsia="仿宋" w:cs="仿宋"/>
          <w:b/>
          <w:color w:val="auto"/>
          <w:sz w:val="30"/>
          <w:szCs w:val="30"/>
        </w:rPr>
      </w:pPr>
    </w:p>
    <w:p w14:paraId="557378CB">
      <w:pPr>
        <w:spacing w:line="312" w:lineRule="auto"/>
        <w:ind w:firstLine="2711" w:firstLineChars="900"/>
        <w:rPr>
          <w:rFonts w:hint="eastAsia" w:ascii="仿宋" w:hAnsi="仿宋" w:eastAsia="仿宋" w:cs="仿宋"/>
          <w:b/>
          <w:color w:val="auto"/>
          <w:sz w:val="30"/>
          <w:szCs w:val="30"/>
        </w:rPr>
      </w:pPr>
      <w:r>
        <w:rPr>
          <w:rFonts w:hint="eastAsia" w:ascii="仿宋" w:hAnsi="仿宋" w:eastAsia="仿宋" w:cs="仿宋"/>
          <w:b/>
          <w:color w:val="auto"/>
          <w:sz w:val="30"/>
          <w:szCs w:val="30"/>
        </w:rPr>
        <w:t>十、监狱企业资格材料</w:t>
      </w:r>
      <w:r>
        <w:rPr>
          <w:rFonts w:hint="eastAsia" w:ascii="仿宋" w:eastAsia="仿宋" w:cs="仿宋"/>
          <w:b/>
          <w:color w:val="auto"/>
          <w:sz w:val="30"/>
          <w:szCs w:val="30"/>
        </w:rPr>
        <w:t>（如有）</w:t>
      </w:r>
    </w:p>
    <w:p w14:paraId="49393BD3">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t>（省级以上监狱管理局、戒毒管理局（含新疆生产建设兵团）出具的属于监狱企业的资格文件）</w:t>
      </w:r>
    </w:p>
    <w:p w14:paraId="6358F500"/>
    <w:p w14:paraId="35587674">
      <w:pPr>
        <w:spacing w:line="312" w:lineRule="auto"/>
        <w:jc w:val="center"/>
        <w:outlineLvl w:val="1"/>
        <w:rPr>
          <w:rFonts w:ascii="仿宋" w:eastAsia="仿宋" w:cs="仿宋"/>
          <w:b/>
          <w:color w:val="auto"/>
          <w:sz w:val="30"/>
          <w:szCs w:val="30"/>
        </w:rPr>
      </w:pPr>
    </w:p>
    <w:p w14:paraId="1EF9B8A2">
      <w:pPr>
        <w:spacing w:line="312" w:lineRule="auto"/>
        <w:jc w:val="center"/>
        <w:outlineLvl w:val="1"/>
        <w:rPr>
          <w:rFonts w:ascii="仿宋" w:eastAsia="仿宋" w:cs="仿宋"/>
          <w:b/>
          <w:color w:val="auto"/>
          <w:sz w:val="30"/>
          <w:szCs w:val="30"/>
        </w:rPr>
      </w:pPr>
    </w:p>
    <w:p w14:paraId="45185234">
      <w:pPr>
        <w:spacing w:line="312" w:lineRule="auto"/>
        <w:jc w:val="center"/>
        <w:outlineLvl w:val="1"/>
        <w:rPr>
          <w:rFonts w:ascii="仿宋" w:eastAsia="仿宋" w:cs="仿宋"/>
          <w:b/>
          <w:color w:val="auto"/>
          <w:sz w:val="30"/>
          <w:szCs w:val="30"/>
        </w:rPr>
      </w:pPr>
    </w:p>
    <w:p w14:paraId="58036088">
      <w:pPr>
        <w:spacing w:line="312" w:lineRule="auto"/>
        <w:jc w:val="center"/>
        <w:outlineLvl w:val="1"/>
        <w:rPr>
          <w:rFonts w:ascii="仿宋" w:eastAsia="仿宋" w:cs="仿宋"/>
          <w:b/>
          <w:color w:val="auto"/>
          <w:sz w:val="30"/>
          <w:szCs w:val="30"/>
        </w:rPr>
      </w:pPr>
      <w:r>
        <w:rPr>
          <w:rFonts w:hint="eastAsia" w:ascii="仿宋" w:eastAsia="仿宋" w:cs="仿宋"/>
          <w:b/>
          <w:color w:val="auto"/>
          <w:sz w:val="30"/>
          <w:szCs w:val="30"/>
        </w:rPr>
        <w:t>十一、商务技术文件评分索引（按页码对应填写）</w:t>
      </w:r>
    </w:p>
    <w:tbl>
      <w:tblPr>
        <w:tblStyle w:val="31"/>
        <w:tblpPr w:leftFromText="180" w:rightFromText="180" w:vertAnchor="text" w:horzAnchor="margin" w:tblpY="27"/>
        <w:tblOverlap w:val="never"/>
        <w:tblW w:w="0" w:type="auto"/>
        <w:tblInd w:w="0" w:type="dxa"/>
        <w:tblLayout w:type="fixed"/>
        <w:tblCellMar>
          <w:top w:w="0" w:type="dxa"/>
          <w:left w:w="108" w:type="dxa"/>
          <w:bottom w:w="0" w:type="dxa"/>
          <w:right w:w="108" w:type="dxa"/>
        </w:tblCellMar>
      </w:tblPr>
      <w:tblGrid>
        <w:gridCol w:w="817"/>
        <w:gridCol w:w="1134"/>
        <w:gridCol w:w="5268"/>
        <w:gridCol w:w="934"/>
        <w:gridCol w:w="927"/>
      </w:tblGrid>
      <w:tr w14:paraId="1F16A259">
        <w:trPr>
          <w:trHeight w:val="2012" w:hRule="atLeast"/>
        </w:trPr>
        <w:tc>
          <w:tcPr>
            <w:tcW w:w="817" w:type="dxa"/>
            <w:tcBorders>
              <w:top w:val="single" w:color="auto" w:sz="4" w:space="0"/>
              <w:left w:val="single" w:color="auto" w:sz="4" w:space="0"/>
              <w:bottom w:val="single" w:color="auto" w:sz="4" w:space="0"/>
              <w:right w:val="single" w:color="auto" w:sz="4" w:space="0"/>
            </w:tcBorders>
            <w:vAlign w:val="center"/>
          </w:tcPr>
          <w:p w14:paraId="712C6FBB">
            <w:pPr>
              <w:widowControl/>
              <w:jc w:val="center"/>
              <w:rPr>
                <w:rFonts w:ascii="仿宋_GB2312" w:eastAsia="仿宋_GB2312"/>
                <w:color w:val="auto"/>
              </w:rPr>
            </w:pPr>
            <w:r>
              <w:rPr>
                <w:rFonts w:hint="eastAsia" w:ascii="仿宋_GB2312" w:eastAsia="仿宋_GB2312"/>
                <w:color w:val="auto"/>
              </w:rPr>
              <w:t>序号</w:t>
            </w:r>
          </w:p>
        </w:tc>
        <w:tc>
          <w:tcPr>
            <w:tcW w:w="1134" w:type="dxa"/>
            <w:tcBorders>
              <w:top w:val="single" w:color="auto" w:sz="4" w:space="0"/>
              <w:left w:val="nil"/>
              <w:bottom w:val="single" w:color="auto" w:sz="4" w:space="0"/>
              <w:right w:val="single" w:color="auto" w:sz="4" w:space="0"/>
            </w:tcBorders>
            <w:vAlign w:val="center"/>
          </w:tcPr>
          <w:p w14:paraId="33A33E88">
            <w:pPr>
              <w:widowControl/>
              <w:jc w:val="center"/>
              <w:rPr>
                <w:rFonts w:ascii="仿宋_GB2312" w:eastAsia="仿宋_GB2312"/>
                <w:color w:val="auto"/>
              </w:rPr>
            </w:pPr>
            <w:r>
              <w:rPr>
                <w:rFonts w:hint="eastAsia" w:ascii="仿宋_GB2312" w:eastAsia="仿宋_GB2312"/>
                <w:color w:val="auto"/>
              </w:rPr>
              <w:t>评审内容</w:t>
            </w:r>
          </w:p>
        </w:tc>
        <w:tc>
          <w:tcPr>
            <w:tcW w:w="5268" w:type="dxa"/>
            <w:tcBorders>
              <w:top w:val="single" w:color="auto" w:sz="4" w:space="0"/>
              <w:left w:val="nil"/>
              <w:bottom w:val="single" w:color="auto" w:sz="4" w:space="0"/>
              <w:right w:val="single" w:color="auto" w:sz="4" w:space="0"/>
            </w:tcBorders>
            <w:vAlign w:val="center"/>
          </w:tcPr>
          <w:p w14:paraId="7AE5429A">
            <w:pPr>
              <w:widowControl/>
              <w:jc w:val="center"/>
              <w:rPr>
                <w:rFonts w:ascii="仿宋_GB2312" w:eastAsia="仿宋_GB2312"/>
                <w:color w:val="auto"/>
              </w:rPr>
            </w:pPr>
            <w:r>
              <w:rPr>
                <w:rFonts w:hint="eastAsia" w:ascii="仿宋_GB2312" w:eastAsia="仿宋_GB2312"/>
                <w:color w:val="auto"/>
              </w:rPr>
              <w:t>评审标准</w:t>
            </w:r>
          </w:p>
        </w:tc>
        <w:tc>
          <w:tcPr>
            <w:tcW w:w="934" w:type="dxa"/>
            <w:tcBorders>
              <w:top w:val="single" w:color="auto" w:sz="4" w:space="0"/>
              <w:left w:val="nil"/>
              <w:bottom w:val="single" w:color="auto" w:sz="4" w:space="0"/>
              <w:right w:val="single" w:color="auto" w:sz="4" w:space="0"/>
            </w:tcBorders>
            <w:vAlign w:val="center"/>
          </w:tcPr>
          <w:p w14:paraId="26F7EFD9">
            <w:pPr>
              <w:jc w:val="center"/>
              <w:rPr>
                <w:rFonts w:ascii="仿宋_GB2312" w:eastAsia="仿宋_GB2312"/>
                <w:color w:val="auto"/>
              </w:rPr>
            </w:pPr>
            <w:r>
              <w:rPr>
                <w:rFonts w:hint="eastAsia" w:ascii="仿宋_GB2312" w:eastAsia="仿宋_GB2312"/>
                <w:color w:val="auto"/>
              </w:rPr>
              <w:t>自评分</w:t>
            </w:r>
          </w:p>
        </w:tc>
        <w:tc>
          <w:tcPr>
            <w:tcW w:w="927" w:type="dxa"/>
            <w:tcBorders>
              <w:top w:val="single" w:color="auto" w:sz="4" w:space="0"/>
              <w:left w:val="nil"/>
              <w:bottom w:val="single" w:color="auto" w:sz="4" w:space="0"/>
              <w:right w:val="single" w:color="auto" w:sz="4" w:space="0"/>
            </w:tcBorders>
            <w:vAlign w:val="center"/>
          </w:tcPr>
          <w:p w14:paraId="08300C39">
            <w:pPr>
              <w:jc w:val="center"/>
              <w:rPr>
                <w:rFonts w:ascii="仿宋_GB2312" w:eastAsia="仿宋_GB2312"/>
                <w:color w:val="auto"/>
              </w:rPr>
            </w:pPr>
            <w:r>
              <w:rPr>
                <w:rFonts w:hint="eastAsia" w:ascii="仿宋_GB2312" w:eastAsia="仿宋_GB2312"/>
                <w:color w:val="auto"/>
              </w:rPr>
              <w:t>内容所在对应页码</w:t>
            </w:r>
          </w:p>
        </w:tc>
      </w:tr>
      <w:tr w14:paraId="249578EB">
        <w:tblPrEx>
          <w:tblCellMar>
            <w:top w:w="0" w:type="dxa"/>
            <w:left w:w="108" w:type="dxa"/>
            <w:bottom w:w="0" w:type="dxa"/>
            <w:right w:w="108" w:type="dxa"/>
          </w:tblCellMar>
        </w:tblPrEx>
        <w:trPr>
          <w:trHeight w:val="1647" w:hRule="atLeast"/>
        </w:trPr>
        <w:tc>
          <w:tcPr>
            <w:tcW w:w="817" w:type="dxa"/>
            <w:tcBorders>
              <w:top w:val="single" w:color="auto" w:sz="4" w:space="0"/>
              <w:left w:val="single" w:color="auto" w:sz="4" w:space="0"/>
              <w:bottom w:val="single" w:color="auto" w:sz="4" w:space="0"/>
              <w:right w:val="single" w:color="auto" w:sz="4" w:space="0"/>
            </w:tcBorders>
            <w:vAlign w:val="center"/>
          </w:tcPr>
          <w:p w14:paraId="6E455796">
            <w:pPr>
              <w:jc w:val="center"/>
              <w:rPr>
                <w:rFonts w:ascii="仿宋_GB2312" w:eastAsia="仿宋_GB2312"/>
                <w:color w:val="auto"/>
              </w:rPr>
            </w:pPr>
          </w:p>
        </w:tc>
        <w:tc>
          <w:tcPr>
            <w:tcW w:w="1134" w:type="dxa"/>
            <w:tcBorders>
              <w:top w:val="single" w:color="auto" w:sz="4" w:space="0"/>
              <w:left w:val="nil"/>
              <w:bottom w:val="single" w:color="auto" w:sz="4" w:space="0"/>
              <w:right w:val="single" w:color="auto" w:sz="4" w:space="0"/>
            </w:tcBorders>
            <w:vAlign w:val="center"/>
          </w:tcPr>
          <w:p w14:paraId="37E6AE74">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1FDE701B">
            <w:pPr>
              <w:pStyle w:val="58"/>
              <w:widowControl/>
              <w:rPr>
                <w:rFonts w:hint="eastAsia" w:ascii="仿宋_GB2312" w:eastAsia="仿宋_GB2312" w:cs="Times New Roman"/>
                <w:bCs/>
                <w:color w:val="auto"/>
              </w:rPr>
            </w:pPr>
          </w:p>
        </w:tc>
        <w:tc>
          <w:tcPr>
            <w:tcW w:w="934" w:type="dxa"/>
            <w:tcBorders>
              <w:top w:val="single" w:color="auto" w:sz="4" w:space="0"/>
              <w:left w:val="nil"/>
              <w:bottom w:val="single" w:color="auto" w:sz="4" w:space="0"/>
              <w:right w:val="single" w:color="auto" w:sz="4" w:space="0"/>
            </w:tcBorders>
            <w:vAlign w:val="center"/>
          </w:tcPr>
          <w:p w14:paraId="56EC7C81">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105277BF">
            <w:pPr>
              <w:jc w:val="center"/>
              <w:rPr>
                <w:rFonts w:ascii="仿宋_GB2312" w:eastAsia="仿宋_GB2312"/>
                <w:color w:val="auto"/>
              </w:rPr>
            </w:pPr>
          </w:p>
        </w:tc>
      </w:tr>
      <w:tr w14:paraId="77017EDB">
        <w:tblPrEx>
          <w:tblCellMar>
            <w:top w:w="0" w:type="dxa"/>
            <w:left w:w="108" w:type="dxa"/>
            <w:bottom w:w="0" w:type="dxa"/>
            <w:right w:w="108" w:type="dxa"/>
          </w:tblCellMar>
        </w:tblPrEx>
        <w:trPr>
          <w:trHeight w:val="1530" w:hRule="atLeast"/>
        </w:trPr>
        <w:tc>
          <w:tcPr>
            <w:tcW w:w="817" w:type="dxa"/>
            <w:tcBorders>
              <w:top w:val="single" w:color="auto" w:sz="4" w:space="0"/>
              <w:left w:val="single" w:color="auto" w:sz="4" w:space="0"/>
              <w:bottom w:val="single" w:color="auto" w:sz="4" w:space="0"/>
              <w:right w:val="single" w:color="auto" w:sz="4" w:space="0"/>
            </w:tcBorders>
            <w:vAlign w:val="center"/>
          </w:tcPr>
          <w:p w14:paraId="0C3CC21A">
            <w:pPr>
              <w:jc w:val="center"/>
              <w:rPr>
                <w:rFonts w:ascii="仿宋_GB2312" w:eastAsia="仿宋_GB2312"/>
                <w:color w:val="auto"/>
              </w:rPr>
            </w:pPr>
          </w:p>
        </w:tc>
        <w:tc>
          <w:tcPr>
            <w:tcW w:w="1134" w:type="dxa"/>
            <w:tcBorders>
              <w:top w:val="single" w:color="auto" w:sz="4" w:space="0"/>
              <w:left w:val="nil"/>
              <w:bottom w:val="single" w:color="auto" w:sz="4" w:space="0"/>
              <w:right w:val="single" w:color="auto" w:sz="4" w:space="0"/>
            </w:tcBorders>
            <w:vAlign w:val="center"/>
          </w:tcPr>
          <w:p w14:paraId="64CEE30D">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18AC82DB">
            <w:pPr>
              <w:pStyle w:val="58"/>
              <w:widowControl/>
              <w:rPr>
                <w:rFonts w:hint="eastAsia" w:ascii="仿宋_GB2312" w:eastAsia="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14:paraId="24AFCB85">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30B9749D">
            <w:pPr>
              <w:jc w:val="center"/>
              <w:rPr>
                <w:rFonts w:ascii="仿宋_GB2312" w:eastAsia="仿宋_GB2312"/>
                <w:color w:val="auto"/>
              </w:rPr>
            </w:pPr>
          </w:p>
        </w:tc>
      </w:tr>
      <w:tr w14:paraId="591EF03C">
        <w:tblPrEx>
          <w:tblCellMar>
            <w:top w:w="0" w:type="dxa"/>
            <w:left w:w="108" w:type="dxa"/>
            <w:bottom w:w="0" w:type="dxa"/>
            <w:right w:w="108" w:type="dxa"/>
          </w:tblCellMar>
        </w:tblPrEx>
        <w:trPr>
          <w:trHeight w:val="1623" w:hRule="atLeast"/>
        </w:trPr>
        <w:tc>
          <w:tcPr>
            <w:tcW w:w="817" w:type="dxa"/>
            <w:tcBorders>
              <w:top w:val="single" w:color="auto" w:sz="4" w:space="0"/>
              <w:left w:val="single" w:color="auto" w:sz="4" w:space="0"/>
              <w:bottom w:val="single" w:color="auto" w:sz="4" w:space="0"/>
              <w:right w:val="single" w:color="auto" w:sz="4" w:space="0"/>
            </w:tcBorders>
            <w:vAlign w:val="center"/>
          </w:tcPr>
          <w:p w14:paraId="2AEB4CB9">
            <w:pPr>
              <w:jc w:val="center"/>
              <w:rPr>
                <w:rFonts w:ascii="仿宋_GB2312" w:eastAsia="仿宋_GB2312"/>
                <w:color w:val="auto"/>
              </w:rPr>
            </w:pPr>
            <w:r>
              <w:rPr>
                <w:rFonts w:hint="eastAsia" w:ascii="仿宋_GB2312" w:eastAsia="仿宋_GB2312"/>
                <w:color w:val="auto"/>
              </w:rPr>
              <w:t>……</w:t>
            </w:r>
          </w:p>
        </w:tc>
        <w:tc>
          <w:tcPr>
            <w:tcW w:w="1134" w:type="dxa"/>
            <w:tcBorders>
              <w:top w:val="single" w:color="auto" w:sz="4" w:space="0"/>
              <w:left w:val="nil"/>
              <w:bottom w:val="single" w:color="auto" w:sz="4" w:space="0"/>
              <w:right w:val="single" w:color="auto" w:sz="4" w:space="0"/>
            </w:tcBorders>
            <w:vAlign w:val="center"/>
          </w:tcPr>
          <w:p w14:paraId="5301B9E7">
            <w:pPr>
              <w:jc w:val="center"/>
              <w:rPr>
                <w:rFonts w:ascii="仿宋_GB2312" w:eastAsia="仿宋_GB2312"/>
                <w:color w:val="auto"/>
              </w:rPr>
            </w:pPr>
          </w:p>
        </w:tc>
        <w:tc>
          <w:tcPr>
            <w:tcW w:w="5268" w:type="dxa"/>
            <w:tcBorders>
              <w:top w:val="single" w:color="auto" w:sz="4" w:space="0"/>
              <w:left w:val="nil"/>
              <w:bottom w:val="single" w:color="auto" w:sz="4" w:space="0"/>
              <w:right w:val="single" w:color="auto" w:sz="4" w:space="0"/>
            </w:tcBorders>
            <w:vAlign w:val="center"/>
          </w:tcPr>
          <w:p w14:paraId="60A2A900">
            <w:pPr>
              <w:pStyle w:val="58"/>
              <w:widowControl/>
              <w:rPr>
                <w:rFonts w:hint="eastAsia" w:ascii="仿宋_GB2312" w:eastAsia="仿宋_GB2312" w:cs="Times New Roman"/>
                <w:color w:val="auto"/>
              </w:rPr>
            </w:pPr>
          </w:p>
        </w:tc>
        <w:tc>
          <w:tcPr>
            <w:tcW w:w="934" w:type="dxa"/>
            <w:tcBorders>
              <w:top w:val="single" w:color="auto" w:sz="4" w:space="0"/>
              <w:left w:val="nil"/>
              <w:bottom w:val="single" w:color="auto" w:sz="4" w:space="0"/>
              <w:right w:val="single" w:color="auto" w:sz="4" w:space="0"/>
            </w:tcBorders>
            <w:vAlign w:val="center"/>
          </w:tcPr>
          <w:p w14:paraId="26C437BB">
            <w:pPr>
              <w:jc w:val="center"/>
              <w:rPr>
                <w:rFonts w:ascii="仿宋_GB2312" w:eastAsia="仿宋_GB2312"/>
                <w:color w:val="auto"/>
              </w:rPr>
            </w:pPr>
          </w:p>
        </w:tc>
        <w:tc>
          <w:tcPr>
            <w:tcW w:w="927" w:type="dxa"/>
            <w:tcBorders>
              <w:top w:val="single" w:color="auto" w:sz="4" w:space="0"/>
              <w:left w:val="nil"/>
              <w:bottom w:val="single" w:color="auto" w:sz="4" w:space="0"/>
              <w:right w:val="single" w:color="auto" w:sz="4" w:space="0"/>
            </w:tcBorders>
            <w:vAlign w:val="center"/>
          </w:tcPr>
          <w:p w14:paraId="02CB4179">
            <w:pPr>
              <w:jc w:val="center"/>
              <w:rPr>
                <w:rFonts w:ascii="仿宋_GB2312" w:eastAsia="仿宋_GB2312"/>
                <w:color w:val="auto"/>
              </w:rPr>
            </w:pPr>
          </w:p>
        </w:tc>
      </w:tr>
    </w:tbl>
    <w:p w14:paraId="576816DC">
      <w:pPr>
        <w:snapToGrid w:val="0"/>
        <w:spacing w:before="50" w:after="156" w:afterLines="50"/>
        <w:jc w:val="left"/>
        <w:rPr>
          <w:rFonts w:eastAsia="方正仿宋_GB2312"/>
          <w:color w:val="auto"/>
          <w:sz w:val="24"/>
          <w:szCs w:val="20"/>
        </w:rPr>
      </w:pPr>
    </w:p>
    <w:p w14:paraId="67EB9F6B">
      <w:pPr>
        <w:pStyle w:val="30"/>
        <w:ind w:left="0" w:leftChars="0" w:firstLine="0" w:firstLineChars="0"/>
        <w:rPr>
          <w:rFonts w:ascii="仿宋_GB2312" w:eastAsia="仿宋_GB2312"/>
        </w:rPr>
      </w:pPr>
      <w:r>
        <w:rPr>
          <w:rFonts w:hint="eastAsia" w:ascii="仿宋_GB2312" w:eastAsia="仿宋_GB2312"/>
          <w:szCs w:val="20"/>
        </w:rPr>
        <w:t>注：若投标人的商务技术文件中的自评分或相关材料对应页码造成混乱的，后果由投标人自负。</w:t>
      </w:r>
    </w:p>
    <w:sectPr>
      <w:headerReference r:id="rId9" w:type="default"/>
      <w:footerReference r:id="rId10" w:type="default"/>
      <w:pgSz w:w="11906" w:h="16838"/>
      <w:pgMar w:top="1247" w:right="1134" w:bottom="1020" w:left="1418" w:header="1134"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MiSans">
    <w:altName w:val="宋体"/>
    <w:panose1 w:val="00000000000000000000"/>
    <w:charset w:val="86"/>
    <w:family w:val="auto"/>
    <w:pitch w:val="default"/>
    <w:sig w:usb0="00000000" w:usb1="00000000" w:usb2="00000016" w:usb3="00000000" w:csb0="00040001" w:csb1="00000000"/>
  </w:font>
  <w:font w:name="Helvetica">
    <w:panose1 w:val="020B0504020202030204"/>
    <w:charset w:val="00"/>
    <w:family w:val="swiss"/>
    <w:pitch w:val="default"/>
    <w:sig w:usb0="00000007" w:usb1="00000000" w:usb2="00000000" w:usb3="00000000" w:csb0="00000093" w:csb1="00000000"/>
  </w:font>
  <w:font w:name="方正仿宋_GB2312">
    <w:altName w:val="仿宋"/>
    <w:panose1 w:val="00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00DB">
    <w:pPr>
      <w:pStyle w:val="19"/>
      <w:framePr w:wrap="around" w:vAnchor="text" w:hAnchor="margin" w:xAlign="center" w:y="1"/>
      <w:rPr>
        <w:rStyle w:val="35"/>
      </w:rPr>
    </w:pPr>
    <w:r>
      <w:rPr>
        <w:rStyle w:val="35"/>
      </w:rPr>
      <w:fldChar w:fldCharType="begin"/>
    </w:r>
    <w:r>
      <w:rPr>
        <w:rStyle w:val="35"/>
      </w:rPr>
      <w:instrText xml:space="preserve">PAGE  </w:instrText>
    </w:r>
    <w:r>
      <w:fldChar w:fldCharType="separate"/>
    </w:r>
    <w:r>
      <w:t xml:space="preserve"> </w:t>
    </w:r>
    <w:r>
      <w:fldChar w:fldCharType="end"/>
    </w:r>
  </w:p>
  <w:p w14:paraId="69E574D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62A43">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2F3F">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4" name="文本框 106"/>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round/>
                      </a:ln>
                      <a:effectLst/>
                    </wps:spPr>
                    <wps:txbx>
                      <w:txbxContent>
                        <w:p w14:paraId="07FC15BA">
                          <w:pPr>
                            <w:pStyle w:val="19"/>
                          </w:pPr>
                          <w:r>
                            <w:fldChar w:fldCharType="begin"/>
                          </w:r>
                          <w:r>
                            <w:instrText xml:space="preserve"> PAGE  \* MERGEFORMAT </w:instrText>
                          </w:r>
                          <w:r>
                            <w:fldChar w:fldCharType="separate"/>
                          </w:r>
                          <w:r>
                            <w:t>- 10 -</w:t>
                          </w:r>
                          <w:r>
                            <w:fldChar w:fldCharType="end"/>
                          </w:r>
                        </w:p>
                      </w:txbxContent>
                    </wps:txbx>
                    <wps:bodyPr vert="horz" wrap="none" lIns="0" tIns="0" rIns="0" bIns="0" anchor="t" anchorCtr="0">
                      <a:spAutoFit/>
                    </wps:bodyPr>
                  </wps:wsp>
                </a:graphicData>
              </a:graphic>
            </wp:anchor>
          </w:drawing>
        </mc:Choice>
        <mc:Fallback>
          <w:pict>
            <v:rect id="文本框 106"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r5GvRAAAAAwEAAA8AAAAAAAAAAQAgAAAAIgAAAGRycy9kb3du&#10;cmV2LnhtbFBLAQIUABQAAAAIAIdO4kDz/2lfBgIAAPgDAAAOAAAAAAAAAAEAIAAAACABAABkcnMv&#10;ZTJvRG9jLnhtbFBLBQYAAAAABgAGAFkBAACYBQAAAAA=&#10;">
              <v:fill on="f" focussize="0,0"/>
              <v:stroke on="f" joinstyle="round"/>
              <v:imagedata o:title=""/>
              <o:lock v:ext="edit" aspectratio="f"/>
              <v:textbox inset="0mm,0mm,0mm,0mm" style="mso-fit-shape-to-text:t;">
                <w:txbxContent>
                  <w:p w14:paraId="07FC15BA">
                    <w:pPr>
                      <w:pStyle w:val="19"/>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23DB">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05"/>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round/>
                      </a:ln>
                      <a:effectLst/>
                    </wps:spPr>
                    <wps:txbx>
                      <w:txbxContent>
                        <w:p w14:paraId="17452D2F">
                          <w:pPr>
                            <w:pStyle w:val="19"/>
                          </w:pPr>
                          <w:r>
                            <w:fldChar w:fldCharType="begin"/>
                          </w:r>
                          <w:r>
                            <w:instrText xml:space="preserve"> PAGE  \* MERGEFORMAT </w:instrText>
                          </w:r>
                          <w:r>
                            <w:fldChar w:fldCharType="separate"/>
                          </w:r>
                          <w:r>
                            <w:t>- 44 -</w:t>
                          </w:r>
                          <w:r>
                            <w:fldChar w:fldCharType="end"/>
                          </w:r>
                        </w:p>
                      </w:txbxContent>
                    </wps:txbx>
                    <wps:bodyPr vert="horz" wrap="none" lIns="0" tIns="0" rIns="0" bIns="0" anchor="t" anchorCtr="0">
                      <a:spAutoFit/>
                    </wps:bodyPr>
                  </wps:wsp>
                </a:graphicData>
              </a:graphic>
            </wp:anchor>
          </w:drawing>
        </mc:Choice>
        <mc:Fallback>
          <w:pict>
            <v:rect id="文本框 105" o:spid="_x0000_s1026" o:spt="1"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Ovka9EAAAADAQAADwAAAAAAAAABACAAAAAiAAAAZHJzL2Rvd25y&#10;ZXYueG1sUEsBAhQAFAAAAAgAh07iQLAd3iAFAgAA+AMAAA4AAAAAAAAAAQAgAAAAIAEAAGRycy9l&#10;Mm9Eb2MueG1sUEsFBgAAAAAGAAYAWQEAAJcFAAAAAA==&#10;">
              <v:fill on="f" focussize="0,0"/>
              <v:stroke on="f" joinstyle="round"/>
              <v:imagedata o:title=""/>
              <o:lock v:ext="edit" aspectratio="f"/>
              <v:textbox inset="0mm,0mm,0mm,0mm" style="mso-fit-shape-to-text:t;">
                <w:txbxContent>
                  <w:p w14:paraId="17452D2F">
                    <w:pPr>
                      <w:pStyle w:val="19"/>
                    </w:pPr>
                    <w:r>
                      <w:fldChar w:fldCharType="begin"/>
                    </w:r>
                    <w:r>
                      <w:instrText xml:space="preserve"> PAGE  \* MERGEFORMAT </w:instrText>
                    </w:r>
                    <w:r>
                      <w:fldChar w:fldCharType="separate"/>
                    </w:r>
                    <w:r>
                      <w:t>- 44 -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2A4B">
    <w:pPr>
      <w:pStyle w:val="19"/>
      <w:ind w:right="360" w:firstLine="360"/>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7" name="文本框 9"/>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round/>
                      </a:ln>
                      <a:effectLst/>
                    </wps:spPr>
                    <wps:txbx>
                      <w:txbxContent>
                        <w:p w14:paraId="4E8DDC13">
                          <w:pPr>
                            <w:pStyle w:val="19"/>
                          </w:pPr>
                          <w:r>
                            <w:fldChar w:fldCharType="begin"/>
                          </w:r>
                          <w:r>
                            <w:instrText xml:space="preserve"> PAGE  \* MERGEFORMAT </w:instrText>
                          </w:r>
                          <w:r>
                            <w:fldChar w:fldCharType="separate"/>
                          </w:r>
                          <w:r>
                            <w:t>- 52 -</w:t>
                          </w:r>
                          <w:r>
                            <w:fldChar w:fldCharType="end"/>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Ovka9EAAAADAQAADwAAAAAAAAABACAAAAAiAAAAZHJz&#10;L2Rvd25yZXYueG1sUEsBAhQAFAAAAAgAh07iQEil8CkLAgAAAgQAAA4AAAAAAAAAAQAgAAAAIAEA&#10;AGRycy9lMm9Eb2MueG1sUEsFBgAAAAAGAAYAWQEAAJ0FAAAAAA==&#10;">
              <v:fill on="f" focussize="0,0"/>
              <v:stroke on="f" joinstyle="round"/>
              <v:imagedata o:title=""/>
              <o:lock v:ext="edit" aspectratio="f"/>
              <v:textbox inset="0mm,0mm,0mm,0mm" style="mso-fit-shape-to-text:t;">
                <w:txbxContent>
                  <w:p w14:paraId="4E8DDC13">
                    <w:pPr>
                      <w:pStyle w:val="19"/>
                    </w:pPr>
                    <w:r>
                      <w:fldChar w:fldCharType="begin"/>
                    </w:r>
                    <w:r>
                      <w:instrText xml:space="preserve"> PAGE  \* MERGEFORMAT </w:instrText>
                    </w:r>
                    <w:r>
                      <w:fldChar w:fldCharType="separate"/>
                    </w:r>
                    <w:r>
                      <w:t>- 52 -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F094">
    <w:pPr>
      <w:pStyle w:val="21"/>
      <w:pBdr>
        <w:bottom w:val="none" w:color="auto" w:sz="0" w:space="0"/>
      </w:pBdr>
      <w:jc w:val="both"/>
      <w:rPr>
        <w:rFonts w:hint="eastAsia" w:ascii="仿宋" w:hAnsi="仿宋" w:eastAsia="仿宋" w:cs="仿宋"/>
        <w:lang w:eastAsia="zh-CN"/>
      </w:rPr>
    </w:pPr>
    <w:r>
      <w:rPr>
        <w:rFonts w:hint="eastAsia" w:ascii="仿宋" w:hAnsi="仿宋" w:eastAsia="仿宋" w:cs="仿宋"/>
        <w:u w:val="single"/>
      </w:rPr>
      <w:t xml:space="preserve">金华同慷建设管理咨询有限公司                            </w:t>
    </w:r>
    <w:r>
      <w:rPr>
        <w:rFonts w:hint="eastAsia" w:ascii="仿宋" w:hAnsi="仿宋" w:eastAsia="仿宋" w:cs="仿宋"/>
        <w:u w:val="single"/>
        <w:lang w:eastAsia="zh-CN"/>
      </w:rPr>
      <w:t>武义县妇幼保健院手术室吊塔、无影灯设备采购项目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F9060">
    <w:pPr>
      <w:pStyle w:val="21"/>
      <w:pBdr>
        <w:bottom w:val="none" w:color="auto" w:sz="0" w:space="0"/>
      </w:pBdr>
      <w:jc w:val="both"/>
      <w:rPr>
        <w:rFonts w:hint="eastAsia" w:ascii="仿宋" w:hAnsi="仿宋" w:eastAsia="仿宋" w:cs="仿宋"/>
        <w:u w:val="single"/>
        <w:lang w:eastAsia="zh-CN"/>
      </w:rPr>
    </w:pPr>
    <w:r>
      <w:rPr>
        <w:rFonts w:hint="eastAsia" w:ascii="仿宋" w:hAnsi="仿宋" w:eastAsia="仿宋" w:cs="仿宋"/>
        <w:u w:val="single"/>
      </w:rPr>
      <w:t xml:space="preserve">金华同慷建设管理咨询有限公司                            </w:t>
    </w:r>
    <w:r>
      <w:rPr>
        <w:rFonts w:hint="eastAsia" w:ascii="仿宋" w:hAnsi="仿宋" w:eastAsia="仿宋" w:cs="仿宋"/>
        <w:u w:val="single"/>
        <w:lang w:eastAsia="zh-CN"/>
      </w:rPr>
      <w:t>武义县妇幼保健院手术室吊塔、无影灯设备采购项目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976D">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E6D73"/>
    <w:multiLevelType w:val="singleLevel"/>
    <w:tmpl w:val="A2DE6D73"/>
    <w:lvl w:ilvl="0" w:tentative="0">
      <w:start w:val="5"/>
      <w:numFmt w:val="chineseCounting"/>
      <w:suff w:val="nothing"/>
      <w:lvlText w:val="%1、"/>
      <w:lvlJc w:val="left"/>
      <w:pPr>
        <w:ind w:left="0" w:firstLine="0"/>
      </w:pPr>
      <w:rPr>
        <w:rFonts w:hint="eastAsia"/>
      </w:rPr>
    </w:lvl>
  </w:abstractNum>
  <w:abstractNum w:abstractNumId="1">
    <w:nsid w:val="A4830DB0"/>
    <w:multiLevelType w:val="singleLevel"/>
    <w:tmpl w:val="A4830DB0"/>
    <w:lvl w:ilvl="0" w:tentative="0">
      <w:start w:val="1"/>
      <w:numFmt w:val="decimal"/>
      <w:lvlText w:val="%1."/>
      <w:lvlJc w:val="left"/>
      <w:pPr>
        <w:tabs>
          <w:tab w:val="left" w:pos="312"/>
        </w:tabs>
      </w:pPr>
    </w:lvl>
  </w:abstractNum>
  <w:abstractNum w:abstractNumId="2">
    <w:nsid w:val="AB4818B2"/>
    <w:multiLevelType w:val="singleLevel"/>
    <w:tmpl w:val="AB4818B2"/>
    <w:lvl w:ilvl="0" w:tentative="0">
      <w:start w:val="4"/>
      <w:numFmt w:val="decimal"/>
      <w:suff w:val="nothing"/>
      <w:lvlText w:val="%1、"/>
      <w:lvlJc w:val="left"/>
    </w:lvl>
  </w:abstractNum>
  <w:abstractNum w:abstractNumId="3">
    <w:nsid w:val="B70828B7"/>
    <w:multiLevelType w:val="singleLevel"/>
    <w:tmpl w:val="B70828B7"/>
    <w:lvl w:ilvl="0" w:tentative="0">
      <w:start w:val="1"/>
      <w:numFmt w:val="chineseCounting"/>
      <w:suff w:val="nothing"/>
      <w:lvlText w:val="%1、"/>
      <w:lvlJc w:val="left"/>
      <w:pPr>
        <w:ind w:left="600" w:leftChars="0" w:firstLine="0" w:firstLineChars="0"/>
      </w:pPr>
      <w:rPr>
        <w:rFonts w:hint="eastAsia"/>
      </w:rPr>
    </w:lvl>
  </w:abstractNum>
  <w:abstractNum w:abstractNumId="4">
    <w:nsid w:val="F4565BF1"/>
    <w:multiLevelType w:val="singleLevel"/>
    <w:tmpl w:val="F4565BF1"/>
    <w:lvl w:ilvl="0" w:tentative="0">
      <w:start w:val="1"/>
      <w:numFmt w:val="decimal"/>
      <w:pStyle w:val="7"/>
      <w:lvlText w:val="%1."/>
      <w:lvlJc w:val="left"/>
      <w:pPr>
        <w:ind w:left="360" w:hanging="360"/>
      </w:pPr>
    </w:lvl>
  </w:abstractNum>
  <w:abstractNum w:abstractNumId="5">
    <w:nsid w:val="502E6985"/>
    <w:multiLevelType w:val="singleLevel"/>
    <w:tmpl w:val="502E6985"/>
    <w:lvl w:ilvl="0" w:tentative="0">
      <w:start w:val="1"/>
      <w:numFmt w:val="decimal"/>
      <w:lvlText w:val="%1."/>
      <w:lvlJc w:val="left"/>
      <w:pPr>
        <w:ind w:left="0" w:firstLine="0"/>
      </w:pPr>
    </w:lvl>
  </w:abstractNum>
  <w:abstractNum w:abstractNumId="6">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681E63F4"/>
    <w:multiLevelType w:val="singleLevel"/>
    <w:tmpl w:val="681E63F4"/>
    <w:lvl w:ilvl="0" w:tentative="0">
      <w:start w:val="2"/>
      <w:numFmt w:val="chineseCounting"/>
      <w:suff w:val="space"/>
      <w:lvlText w:val="第%1章"/>
      <w:lvlJc w:val="left"/>
      <w:rPr>
        <w:rFonts w:hint="eastAsia"/>
      </w:rPr>
    </w:lvl>
  </w:abstractNum>
  <w:abstractNum w:abstractNumId="8">
    <w:nsid w:val="75792722"/>
    <w:multiLevelType w:val="singleLevel"/>
    <w:tmpl w:val="75792722"/>
    <w:lvl w:ilvl="0" w:tentative="0">
      <w:start w:val="1"/>
      <w:numFmt w:val="decimal"/>
      <w:suff w:val="space"/>
      <w:lvlText w:val="%1."/>
      <w:lvlJc w:val="left"/>
    </w:lvl>
  </w:abstractNum>
  <w:num w:numId="1">
    <w:abstractNumId w:val="6"/>
  </w:num>
  <w:num w:numId="2">
    <w:abstractNumId w:val="4"/>
  </w:num>
  <w:num w:numId="3">
    <w:abstractNumId w:val="0"/>
  </w:num>
  <w:num w:numId="4">
    <w:abstractNumId w:val="7"/>
  </w:num>
  <w:num w:numId="5">
    <w:abstractNumId w:val="1"/>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2YzNjAwYzk1YTBiMTJmOGFlMmEyNGY4YWU2MTMifQ=="/>
    <w:docVar w:name="KSO_WPS_MARK_KEY" w:val="6964a54e-7d8b-427e-b4e1-5c42c7abe48f"/>
  </w:docVars>
  <w:rsids>
    <w:rsidRoot w:val="00797FCA"/>
    <w:rsid w:val="000069FF"/>
    <w:rsid w:val="000C79D0"/>
    <w:rsid w:val="00186AF2"/>
    <w:rsid w:val="003708FF"/>
    <w:rsid w:val="0040547A"/>
    <w:rsid w:val="00465E16"/>
    <w:rsid w:val="004678F2"/>
    <w:rsid w:val="005726E3"/>
    <w:rsid w:val="0060364C"/>
    <w:rsid w:val="00797FCA"/>
    <w:rsid w:val="00800178"/>
    <w:rsid w:val="00865DD9"/>
    <w:rsid w:val="00867309"/>
    <w:rsid w:val="008A1009"/>
    <w:rsid w:val="008A234B"/>
    <w:rsid w:val="008C01B8"/>
    <w:rsid w:val="008E61D4"/>
    <w:rsid w:val="009614F4"/>
    <w:rsid w:val="009768DD"/>
    <w:rsid w:val="009F4717"/>
    <w:rsid w:val="00BB5C48"/>
    <w:rsid w:val="00D537F0"/>
    <w:rsid w:val="00D757A3"/>
    <w:rsid w:val="00D92824"/>
    <w:rsid w:val="00DC0AA7"/>
    <w:rsid w:val="00E0147F"/>
    <w:rsid w:val="00FB05EC"/>
    <w:rsid w:val="01155C95"/>
    <w:rsid w:val="02226A20"/>
    <w:rsid w:val="026C569A"/>
    <w:rsid w:val="038623F5"/>
    <w:rsid w:val="04105830"/>
    <w:rsid w:val="06F86E33"/>
    <w:rsid w:val="07E77C9C"/>
    <w:rsid w:val="08935805"/>
    <w:rsid w:val="08A577C9"/>
    <w:rsid w:val="09376339"/>
    <w:rsid w:val="0BE04A65"/>
    <w:rsid w:val="0C352A96"/>
    <w:rsid w:val="0C9B0E47"/>
    <w:rsid w:val="0D993335"/>
    <w:rsid w:val="0DB664D5"/>
    <w:rsid w:val="0DE3083D"/>
    <w:rsid w:val="0DF85EA4"/>
    <w:rsid w:val="0E995502"/>
    <w:rsid w:val="106D6F98"/>
    <w:rsid w:val="10F863AD"/>
    <w:rsid w:val="11810FFF"/>
    <w:rsid w:val="17814FAD"/>
    <w:rsid w:val="18D56CDA"/>
    <w:rsid w:val="199D0093"/>
    <w:rsid w:val="1A0C5FBC"/>
    <w:rsid w:val="1A482C28"/>
    <w:rsid w:val="1A843EF2"/>
    <w:rsid w:val="1B612F09"/>
    <w:rsid w:val="1B741E25"/>
    <w:rsid w:val="1DB402CD"/>
    <w:rsid w:val="1DD7517D"/>
    <w:rsid w:val="1E9322B9"/>
    <w:rsid w:val="1EFB42B1"/>
    <w:rsid w:val="213D605E"/>
    <w:rsid w:val="223068A3"/>
    <w:rsid w:val="22865EFC"/>
    <w:rsid w:val="22C20116"/>
    <w:rsid w:val="236A7630"/>
    <w:rsid w:val="23A3664D"/>
    <w:rsid w:val="23D859B3"/>
    <w:rsid w:val="25124C6D"/>
    <w:rsid w:val="2572277A"/>
    <w:rsid w:val="26AC08B9"/>
    <w:rsid w:val="271F3D1A"/>
    <w:rsid w:val="27727793"/>
    <w:rsid w:val="27C94DAD"/>
    <w:rsid w:val="280935FB"/>
    <w:rsid w:val="2B150D5D"/>
    <w:rsid w:val="2B535BE3"/>
    <w:rsid w:val="2CC96006"/>
    <w:rsid w:val="2D154413"/>
    <w:rsid w:val="2E497DF1"/>
    <w:rsid w:val="307E2798"/>
    <w:rsid w:val="30C3336A"/>
    <w:rsid w:val="31480788"/>
    <w:rsid w:val="324D06A0"/>
    <w:rsid w:val="32CB10C0"/>
    <w:rsid w:val="332642A3"/>
    <w:rsid w:val="34826DCC"/>
    <w:rsid w:val="36AF255F"/>
    <w:rsid w:val="36B61FD2"/>
    <w:rsid w:val="36EC6482"/>
    <w:rsid w:val="38C74734"/>
    <w:rsid w:val="39437E2D"/>
    <w:rsid w:val="396136D6"/>
    <w:rsid w:val="3AF07371"/>
    <w:rsid w:val="3B2424EA"/>
    <w:rsid w:val="3C08248C"/>
    <w:rsid w:val="3D165519"/>
    <w:rsid w:val="3DF064DB"/>
    <w:rsid w:val="3E4F6CB0"/>
    <w:rsid w:val="3EBF1FF5"/>
    <w:rsid w:val="404C27FE"/>
    <w:rsid w:val="40577401"/>
    <w:rsid w:val="419C027F"/>
    <w:rsid w:val="426A61DC"/>
    <w:rsid w:val="47603EFA"/>
    <w:rsid w:val="47756465"/>
    <w:rsid w:val="47A3636C"/>
    <w:rsid w:val="49373210"/>
    <w:rsid w:val="495E5DFB"/>
    <w:rsid w:val="4AD93EF0"/>
    <w:rsid w:val="4B065D6C"/>
    <w:rsid w:val="4C962817"/>
    <w:rsid w:val="4DAB41CC"/>
    <w:rsid w:val="4E566D44"/>
    <w:rsid w:val="4EAE6B7C"/>
    <w:rsid w:val="4ECE126D"/>
    <w:rsid w:val="4EEB0E64"/>
    <w:rsid w:val="501E5374"/>
    <w:rsid w:val="51CB760A"/>
    <w:rsid w:val="526D4F2B"/>
    <w:rsid w:val="53620E89"/>
    <w:rsid w:val="539209AE"/>
    <w:rsid w:val="55272D40"/>
    <w:rsid w:val="55C37DED"/>
    <w:rsid w:val="564E624F"/>
    <w:rsid w:val="56F0375F"/>
    <w:rsid w:val="57580313"/>
    <w:rsid w:val="57C22B0C"/>
    <w:rsid w:val="57C963FF"/>
    <w:rsid w:val="583B6301"/>
    <w:rsid w:val="585D2838"/>
    <w:rsid w:val="59AA6ED9"/>
    <w:rsid w:val="5AD40DD8"/>
    <w:rsid w:val="5B8027F4"/>
    <w:rsid w:val="5D3E2967"/>
    <w:rsid w:val="5F040B01"/>
    <w:rsid w:val="61375EAB"/>
    <w:rsid w:val="62EE2739"/>
    <w:rsid w:val="64224D96"/>
    <w:rsid w:val="659078AD"/>
    <w:rsid w:val="659A600C"/>
    <w:rsid w:val="667F0E40"/>
    <w:rsid w:val="67EC2FBF"/>
    <w:rsid w:val="68785942"/>
    <w:rsid w:val="68C27F38"/>
    <w:rsid w:val="6A4971A5"/>
    <w:rsid w:val="6A5C1BD4"/>
    <w:rsid w:val="6C085AAD"/>
    <w:rsid w:val="6C9407B0"/>
    <w:rsid w:val="6CEF2987"/>
    <w:rsid w:val="6D3963AC"/>
    <w:rsid w:val="6D602EFC"/>
    <w:rsid w:val="6EFF182A"/>
    <w:rsid w:val="6F1426B4"/>
    <w:rsid w:val="6F3E0FA3"/>
    <w:rsid w:val="6FD24087"/>
    <w:rsid w:val="6FE916BE"/>
    <w:rsid w:val="6FEB1D00"/>
    <w:rsid w:val="7145197B"/>
    <w:rsid w:val="723444E8"/>
    <w:rsid w:val="72382959"/>
    <w:rsid w:val="724B737E"/>
    <w:rsid w:val="725D7B90"/>
    <w:rsid w:val="751E3C85"/>
    <w:rsid w:val="75B86D8A"/>
    <w:rsid w:val="76C531C4"/>
    <w:rsid w:val="772A627C"/>
    <w:rsid w:val="77DE4604"/>
    <w:rsid w:val="77EC701D"/>
    <w:rsid w:val="782F4F2E"/>
    <w:rsid w:val="791969D3"/>
    <w:rsid w:val="791F0351"/>
    <w:rsid w:val="79310F86"/>
    <w:rsid w:val="795409C4"/>
    <w:rsid w:val="79687F19"/>
    <w:rsid w:val="79BF217F"/>
    <w:rsid w:val="79F130E0"/>
    <w:rsid w:val="7BB67714"/>
    <w:rsid w:val="7D3443E2"/>
    <w:rsid w:val="7D5B67C5"/>
    <w:rsid w:val="7E447600"/>
    <w:rsid w:val="7E947DFD"/>
    <w:rsid w:val="7F3017E3"/>
    <w:rsid w:val="7F440DCF"/>
    <w:rsid w:val="7F550DC6"/>
    <w:rsid w:val="7F752689"/>
    <w:rsid w:val="FB7E67F7"/>
    <w:rsid w:val="FF9E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autoSpaceDE/>
      <w:autoSpaceDN/>
      <w:adjustRightInd/>
      <w:spacing w:before="260" w:after="260" w:line="415" w:lineRule="auto"/>
      <w:outlineLvl w:val="1"/>
    </w:pPr>
    <w:rPr>
      <w:rFonts w:ascii="Arial" w:hAnsi="Arial" w:eastAsia="黑体"/>
      <w:b/>
      <w:bCs/>
      <w:color w:val="auto"/>
      <w:kern w:val="2"/>
      <w:sz w:val="32"/>
      <w:szCs w:val="32"/>
    </w:rPr>
  </w:style>
  <w:style w:type="paragraph" w:styleId="4">
    <w:name w:val="heading 3"/>
    <w:basedOn w:val="1"/>
    <w:next w:val="1"/>
    <w:qFormat/>
    <w:uiPriority w:val="0"/>
    <w:pPr>
      <w:keepNext/>
      <w:keepLines/>
      <w:numPr>
        <w:ilvl w:val="2"/>
        <w:numId w:val="1"/>
      </w:numPr>
      <w:spacing w:before="260" w:after="260" w:line="416" w:lineRule="atLeast"/>
      <w:textAlignment w:val="baseline"/>
      <w:outlineLvl w:val="2"/>
    </w:pPr>
    <w:rPr>
      <w:b/>
      <w:sz w:val="32"/>
      <w:szCs w:val="20"/>
    </w:rPr>
  </w:style>
  <w:style w:type="paragraph" w:styleId="5">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20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autoSpaceDE/>
      <w:autoSpaceDN/>
      <w:adjustRightInd/>
      <w:ind w:firstLine="420"/>
    </w:pPr>
    <w:rPr>
      <w:color w:val="auto"/>
      <w:kern w:val="2"/>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73"/>
    <w:qFormat/>
    <w:uiPriority w:val="0"/>
    <w:pPr>
      <w:jc w:val="left"/>
    </w:pPr>
  </w:style>
  <w:style w:type="paragraph" w:styleId="11">
    <w:name w:val="Body Text"/>
    <w:basedOn w:val="1"/>
    <w:next w:val="1"/>
    <w:qFormat/>
    <w:uiPriority w:val="0"/>
    <w:pPr>
      <w:spacing w:after="120"/>
    </w:pPr>
  </w:style>
  <w:style w:type="paragraph" w:styleId="12">
    <w:name w:val="Body Text Indent"/>
    <w:basedOn w:val="1"/>
    <w:next w:val="8"/>
    <w:qFormat/>
    <w:uiPriority w:val="0"/>
    <w:pPr>
      <w:spacing w:after="120"/>
      <w:ind w:left="200" w:leftChars="200"/>
    </w:pPr>
  </w:style>
  <w:style w:type="paragraph" w:styleId="13">
    <w:name w:val="index 4"/>
    <w:basedOn w:val="1"/>
    <w:next w:val="1"/>
    <w:qFormat/>
    <w:uiPriority w:val="0"/>
    <w:pPr>
      <w:widowControl/>
      <w:ind w:left="960" w:hanging="240"/>
      <w:jc w:val="left"/>
    </w:pPr>
    <w:rPr>
      <w:rFonts w:ascii="仿宋_GB2312" w:eastAsia="仿宋_GB2312"/>
      <w:sz w:val="24"/>
      <w:szCs w:val="28"/>
    </w:rPr>
  </w:style>
  <w:style w:type="paragraph" w:styleId="14">
    <w:name w:val="Plain Text"/>
    <w:basedOn w:val="1"/>
    <w:next w:val="15"/>
    <w:qFormat/>
    <w:uiPriority w:val="0"/>
    <w:pPr>
      <w:autoSpaceDE/>
      <w:autoSpaceDN/>
      <w:adjustRightInd/>
    </w:pPr>
    <w:rPr>
      <w:color w:val="auto"/>
      <w:kern w:val="2"/>
      <w:sz w:val="24"/>
      <w:szCs w:val="20"/>
    </w:rPr>
  </w:style>
  <w:style w:type="paragraph" w:styleId="15">
    <w:name w:val="toc 2"/>
    <w:basedOn w:val="1"/>
    <w:next w:val="1"/>
    <w:qFormat/>
    <w:uiPriority w:val="0"/>
    <w:pPr>
      <w:widowControl/>
      <w:wordWrap w:val="0"/>
      <w:autoSpaceDE/>
      <w:autoSpaceDN/>
      <w:spacing w:before="0" w:after="0" w:line="240" w:lineRule="auto"/>
      <w:ind w:left="0" w:firstLine="0"/>
      <w:jc w:val="both"/>
    </w:pPr>
    <w:rPr>
      <w:sz w:val="21"/>
    </w:rPr>
  </w:style>
  <w:style w:type="paragraph" w:styleId="16">
    <w:name w:val="toc 8"/>
    <w:basedOn w:val="1"/>
    <w:next w:val="1"/>
    <w:qFormat/>
    <w:uiPriority w:val="0"/>
    <w:pPr>
      <w:ind w:left="1400" w:leftChars="1400"/>
    </w:pPr>
    <w:rPr>
      <w:rFonts w:ascii="Calibri" w:hAnsi="Calibri"/>
      <w:kern w:val="2"/>
      <w:szCs w:val="22"/>
    </w:rPr>
  </w:style>
  <w:style w:type="paragraph" w:styleId="17">
    <w:name w:val="Date"/>
    <w:basedOn w:val="1"/>
    <w:next w:val="1"/>
    <w:qFormat/>
    <w:uiPriority w:val="0"/>
    <w:pPr>
      <w:autoSpaceDE/>
      <w:autoSpaceDN/>
      <w:adjustRightInd/>
      <w:ind w:left="2500" w:leftChars="2500"/>
    </w:pPr>
    <w:rPr>
      <w:rFonts w:eastAsia="楷体_GB2312"/>
      <w:color w:val="auto"/>
      <w:kern w:val="2"/>
      <w:sz w:val="32"/>
      <w:szCs w:val="20"/>
    </w:rPr>
  </w:style>
  <w:style w:type="paragraph" w:styleId="18">
    <w:name w:val="Body Text Indent 2"/>
    <w:basedOn w:val="1"/>
    <w:qFormat/>
    <w:uiPriority w:val="99"/>
    <w:pPr>
      <w:spacing w:line="520" w:lineRule="exact"/>
      <w:ind w:firstLine="303" w:firstLineChars="303"/>
    </w:p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cs="Arial"/>
      <w:szCs w:val="24"/>
    </w:rPr>
  </w:style>
  <w:style w:type="paragraph" w:styleId="21">
    <w:name w:val="header"/>
    <w:basedOn w:val="1"/>
    <w:next w:val="1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6"/>
    <w:basedOn w:val="1"/>
    <w:next w:val="1"/>
    <w:qFormat/>
    <w:uiPriority w:val="0"/>
    <w:pPr>
      <w:ind w:left="1000" w:leftChars="1000"/>
    </w:pPr>
    <w:rPr>
      <w:rFonts w:ascii="Calibri" w:hAnsi="Calibri"/>
      <w:szCs w:val="22"/>
    </w:rPr>
  </w:style>
  <w:style w:type="paragraph" w:styleId="24">
    <w:name w:val="Body Text Indent 3"/>
    <w:basedOn w:val="1"/>
    <w:qFormat/>
    <w:uiPriority w:val="0"/>
    <w:pPr>
      <w:autoSpaceDE/>
      <w:autoSpaceDN/>
      <w:adjustRightInd/>
      <w:ind w:firstLine="435"/>
    </w:pPr>
    <w:rPr>
      <w:color w:val="auto"/>
      <w:kern w:val="2"/>
      <w:szCs w:val="24"/>
    </w:rPr>
  </w:style>
  <w:style w:type="paragraph" w:styleId="25">
    <w:name w:val="Body Text 2"/>
    <w:basedOn w:val="1"/>
    <w:qFormat/>
    <w:uiPriority w:val="0"/>
    <w:pPr>
      <w:jc w:val="center"/>
    </w:pPr>
    <w:rPr>
      <w:rFonts w:ascii="方正大标宋简体" w:eastAsia="方正大标宋简体"/>
      <w:sz w:val="44"/>
    </w:rPr>
  </w:style>
  <w:style w:type="paragraph" w:styleId="26">
    <w:name w:val="Normal (Web)"/>
    <w:basedOn w:val="1"/>
    <w:qFormat/>
    <w:uiPriority w:val="0"/>
    <w:pPr>
      <w:widowControl/>
      <w:autoSpaceDE/>
      <w:autoSpaceDN/>
      <w:adjustRightInd/>
      <w:spacing w:before="100" w:beforeAutospacing="1" w:after="100" w:afterAutospacing="1"/>
      <w:jc w:val="left"/>
    </w:pPr>
    <w:rPr>
      <w:rFonts w:ascii="宋体" w:cs="宋体"/>
      <w:color w:val="auto"/>
      <w:sz w:val="24"/>
      <w:szCs w:val="24"/>
    </w:rPr>
  </w:style>
  <w:style w:type="paragraph" w:styleId="27">
    <w:name w:val="Title"/>
    <w:basedOn w:val="1"/>
    <w:qFormat/>
    <w:uiPriority w:val="0"/>
    <w:pPr>
      <w:contextualSpacing/>
    </w:pPr>
    <w:rPr>
      <w:rFonts w:ascii="Calibri Light" w:hAnsi="Calibri Light"/>
      <w:sz w:val="56"/>
      <w:szCs w:val="56"/>
    </w:rPr>
  </w:style>
  <w:style w:type="paragraph" w:styleId="28">
    <w:name w:val="annotation subject"/>
    <w:basedOn w:val="10"/>
    <w:next w:val="10"/>
    <w:link w:val="74"/>
    <w:qFormat/>
    <w:uiPriority w:val="0"/>
    <w:rPr>
      <w:b/>
      <w:bCs/>
    </w:rPr>
  </w:style>
  <w:style w:type="paragraph" w:styleId="29">
    <w:name w:val="Body Text First Indent"/>
    <w:basedOn w:val="11"/>
    <w:qFormat/>
    <w:uiPriority w:val="0"/>
    <w:pPr>
      <w:autoSpaceDE/>
      <w:autoSpaceDN/>
      <w:adjustRightInd/>
      <w:ind w:firstLine="100" w:firstLineChars="100"/>
    </w:pPr>
    <w:rPr>
      <w:rFonts w:ascii="Calibri" w:hAnsi="Calibri"/>
      <w:color w:val="auto"/>
      <w:kern w:val="2"/>
      <w:szCs w:val="24"/>
    </w:rPr>
  </w:style>
  <w:style w:type="paragraph" w:styleId="30">
    <w:name w:val="Body Text First Indent 2"/>
    <w:basedOn w:val="12"/>
    <w:next w:val="1"/>
    <w:qFormat/>
    <w:uiPriority w:val="0"/>
    <w:pPr>
      <w:autoSpaceDE/>
      <w:autoSpaceDN/>
      <w:adjustRightInd/>
      <w:spacing w:line="360" w:lineRule="auto"/>
      <w:ind w:firstLine="200" w:firstLineChars="200"/>
    </w:pPr>
    <w:rPr>
      <w:rFonts w:ascii="Calibri" w:hAnsi="Calibri"/>
      <w:color w:val="auto"/>
      <w:kern w:val="2"/>
      <w:sz w:val="24"/>
      <w:szCs w:val="2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Emphasis"/>
    <w:qFormat/>
    <w:uiPriority w:val="0"/>
    <w:rPr>
      <w:i/>
    </w:rPr>
  </w:style>
  <w:style w:type="character" w:styleId="37">
    <w:name w:val="Hyperlink"/>
    <w:qFormat/>
    <w:uiPriority w:val="0"/>
    <w:rPr>
      <w:color w:val="0000FF"/>
      <w:u w:val="none"/>
    </w:rPr>
  </w:style>
  <w:style w:type="character" w:styleId="38">
    <w:name w:val="annotation reference"/>
    <w:qFormat/>
    <w:uiPriority w:val="0"/>
    <w:rPr>
      <w:sz w:val="21"/>
      <w:szCs w:val="21"/>
    </w:rPr>
  </w:style>
  <w:style w:type="paragraph" w:customStyle="1" w:styleId="39">
    <w:name w:val="Default"/>
    <w:next w:val="40"/>
    <w:qFormat/>
    <w:uiPriority w:val="0"/>
    <w:pPr>
      <w:widowControl w:val="0"/>
      <w:autoSpaceDE w:val="0"/>
      <w:autoSpaceDN w:val="0"/>
      <w:adjustRightInd w:val="0"/>
    </w:pPr>
    <w:rPr>
      <w:rFonts w:ascii="楷体" w:hAnsi="Times New Roman" w:eastAsia="楷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正文文本 31"/>
    <w:basedOn w:val="1"/>
    <w:qFormat/>
    <w:uiPriority w:val="0"/>
    <w:rPr>
      <w:sz w:val="16"/>
      <w:szCs w:val="16"/>
    </w:rPr>
  </w:style>
  <w:style w:type="character" w:customStyle="1" w:styleId="42">
    <w:name w:val="ml101"/>
    <w:qFormat/>
    <w:uiPriority w:val="0"/>
  </w:style>
  <w:style w:type="paragraph" w:customStyle="1" w:styleId="43">
    <w:name w:val="表内文字"/>
    <w:basedOn w:val="1"/>
    <w:qFormat/>
    <w:uiPriority w:val="0"/>
    <w:pPr>
      <w:tabs>
        <w:tab w:val="left" w:pos="1418"/>
      </w:tabs>
      <w:spacing w:after="120"/>
    </w:pPr>
    <w:rPr>
      <w:rFonts w:ascii="仿宋_GB2312" w:eastAsia="仿宋_GB2312"/>
      <w:spacing w:val="-20"/>
      <w:sz w:val="24"/>
      <w:szCs w:val="24"/>
    </w:rPr>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Heading #3|1"/>
    <w:basedOn w:val="1"/>
    <w:qFormat/>
    <w:uiPriority w:val="0"/>
    <w:pPr>
      <w:spacing w:after="200"/>
      <w:outlineLvl w:val="2"/>
    </w:pPr>
    <w:rPr>
      <w:rFonts w:ascii="宋体" w:cs="宋体"/>
      <w:sz w:val="28"/>
      <w:szCs w:val="28"/>
      <w:lang w:val="zh-TW" w:eastAsia="zh-TW" w:bidi="zh-TW"/>
    </w:rPr>
  </w:style>
  <w:style w:type="paragraph" w:customStyle="1" w:styleId="47">
    <w:name w:val="Other|1"/>
    <w:basedOn w:val="1"/>
    <w:qFormat/>
    <w:uiPriority w:val="0"/>
    <w:pPr>
      <w:spacing w:after="60" w:line="446" w:lineRule="auto"/>
      <w:ind w:firstLine="400"/>
    </w:pPr>
    <w:rPr>
      <w:rFonts w:ascii="宋体" w:cs="宋体"/>
      <w:sz w:val="22"/>
      <w:szCs w:val="22"/>
      <w:lang w:val="zh-TW" w:eastAsia="zh-TW" w:bidi="zh-TW"/>
    </w:rPr>
  </w:style>
  <w:style w:type="paragraph" w:customStyle="1" w:styleId="48">
    <w:name w:val="Body text|1"/>
    <w:basedOn w:val="1"/>
    <w:qFormat/>
    <w:uiPriority w:val="0"/>
    <w:pPr>
      <w:spacing w:after="60" w:line="446" w:lineRule="auto"/>
      <w:ind w:firstLine="400"/>
    </w:pPr>
    <w:rPr>
      <w:rFonts w:ascii="宋体" w:cs="宋体"/>
      <w:sz w:val="22"/>
      <w:szCs w:val="22"/>
      <w:lang w:val="zh-TW" w:eastAsia="zh-TW" w:bidi="zh-TW"/>
    </w:rPr>
  </w:style>
  <w:style w:type="paragraph" w:customStyle="1" w:styleId="49">
    <w:name w:val="reader-word-layer reader-word-s18-9"/>
    <w:basedOn w:val="1"/>
    <w:qFormat/>
    <w:uiPriority w:val="0"/>
    <w:pPr>
      <w:widowControl/>
      <w:autoSpaceDE/>
      <w:autoSpaceDN/>
      <w:adjustRightInd/>
      <w:spacing w:before="100" w:beforeAutospacing="1" w:after="100" w:afterAutospacing="1"/>
      <w:jc w:val="left"/>
    </w:pPr>
    <w:rPr>
      <w:rFonts w:ascii="宋体" w:cs="宋体"/>
      <w:color w:val="auto"/>
      <w:sz w:val="24"/>
      <w:szCs w:val="24"/>
    </w:rPr>
  </w:style>
  <w:style w:type="paragraph" w:customStyle="1" w:styleId="50">
    <w:name w:val="正文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纯文本1"/>
    <w:basedOn w:val="50"/>
    <w:qFormat/>
    <w:uiPriority w:val="0"/>
    <w:rPr>
      <w:rFonts w:ascii="宋体"/>
      <w:kern w:val="0"/>
      <w:sz w:val="20"/>
      <w:szCs w:val="21"/>
    </w:rPr>
  </w:style>
  <w:style w:type="paragraph" w:customStyle="1" w:styleId="52">
    <w:name w:val="样式1"/>
    <w:basedOn w:val="1"/>
    <w:qFormat/>
    <w:uiPriority w:val="0"/>
    <w:pPr>
      <w:spacing w:line="360" w:lineRule="exact"/>
      <w:ind w:firstLine="200" w:firstLineChars="200"/>
    </w:pPr>
    <w:rPr>
      <w:rFonts w:ascii="Arial" w:hAnsi="Arial"/>
    </w:rPr>
  </w:style>
  <w:style w:type="paragraph" w:styleId="53">
    <w:name w:val="List Paragraph"/>
    <w:basedOn w:val="1"/>
    <w:qFormat/>
    <w:uiPriority w:val="0"/>
    <w:pPr>
      <w:ind w:firstLine="200" w:firstLineChars="200"/>
    </w:pPr>
  </w:style>
  <w:style w:type="paragraph" w:customStyle="1" w:styleId="54">
    <w:name w:val="BodyTextIndent"/>
    <w:basedOn w:val="1"/>
    <w:qFormat/>
    <w:uiPriority w:val="0"/>
    <w:pPr>
      <w:spacing w:line="440" w:lineRule="atLeast"/>
      <w:ind w:firstLine="200" w:firstLineChars="200"/>
    </w:pPr>
    <w:rPr>
      <w:spacing w:val="12"/>
      <w:sz w:val="24"/>
      <w:szCs w:val="20"/>
    </w:rPr>
  </w:style>
  <w:style w:type="paragraph" w:customStyle="1" w:styleId="55">
    <w:name w:val="BodyText1I2"/>
    <w:basedOn w:val="54"/>
    <w:qFormat/>
    <w:uiPriority w:val="0"/>
    <w:pPr>
      <w:spacing w:after="120" w:line="240" w:lineRule="auto"/>
      <w:ind w:left="200" w:leftChars="200"/>
    </w:pPr>
    <w:rPr>
      <w:sz w:val="28"/>
    </w:rPr>
  </w:style>
  <w:style w:type="paragraph" w:customStyle="1" w:styleId="56">
    <w:name w:val="xl53"/>
    <w:basedOn w:val="1"/>
    <w:next w:val="1"/>
    <w:qFormat/>
    <w:uiPriority w:val="0"/>
    <w:pPr>
      <w:spacing w:before="280" w:after="280" w:line="100" w:lineRule="exact"/>
      <w:jc w:val="center"/>
    </w:pPr>
    <w:rPr>
      <w:b/>
      <w:sz w:val="20"/>
    </w:rPr>
  </w:style>
  <w:style w:type="paragraph" w:customStyle="1" w:styleId="57">
    <w:name w:val="[Normal]"/>
    <w:qFormat/>
    <w:uiPriority w:val="0"/>
    <w:rPr>
      <w:rFonts w:ascii="宋体" w:hAnsi="Times New Roman" w:eastAsia="宋体" w:cs="Times New Roman"/>
      <w:sz w:val="24"/>
      <w:szCs w:val="22"/>
      <w:lang w:val="zh-CN" w:eastAsia="zh-CN" w:bidi="ar-SA"/>
    </w:rPr>
  </w:style>
  <w:style w:type="paragraph" w:customStyle="1" w:styleId="58">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59">
    <w:name w:val="表正文"/>
    <w:basedOn w:val="1"/>
    <w:next w:val="53"/>
    <w:qFormat/>
    <w:uiPriority w:val="0"/>
    <w:rPr>
      <w:rFonts w:ascii="Calibri" w:hAnsi="Calibri"/>
      <w:szCs w:val="24"/>
    </w:rPr>
  </w:style>
  <w:style w:type="paragraph" w:customStyle="1" w:styleId="60">
    <w:name w:val="正文文本 (2)"/>
    <w:basedOn w:val="1"/>
    <w:qFormat/>
    <w:uiPriority w:val="0"/>
    <w:pPr>
      <w:shd w:val="clear" w:color="auto" w:fill="FFFFFF"/>
      <w:spacing w:after="60" w:line="682" w:lineRule="exact"/>
      <w:ind w:firstLine="820"/>
    </w:pPr>
    <w:rPr>
      <w:rFonts w:ascii="黑体" w:eastAsia="黑体" w:cs="黑体"/>
      <w:sz w:val="34"/>
      <w:szCs w:val="34"/>
      <w:lang w:val="zh-CN" w:bidi="zh-CN"/>
    </w:rPr>
  </w:style>
  <w:style w:type="paragraph" w:customStyle="1" w:styleId="61">
    <w:name w:val="段"/>
    <w:qFormat/>
    <w:uiPriority w:val="0"/>
    <w:pPr>
      <w:autoSpaceDE w:val="0"/>
      <w:autoSpaceDN w:val="0"/>
      <w:spacing w:after="200" w:line="252" w:lineRule="auto"/>
      <w:ind w:firstLine="200" w:firstLineChars="200"/>
      <w:jc w:val="both"/>
    </w:pPr>
    <w:rPr>
      <w:rFonts w:ascii="宋体" w:hAnsi="Times New Roman" w:eastAsia="宋体" w:cs="Times New Roman"/>
      <w:sz w:val="22"/>
      <w:szCs w:val="22"/>
      <w:lang w:val="en-US" w:eastAsia="zh-CN" w:bidi="ar-SA"/>
    </w:rPr>
  </w:style>
  <w:style w:type="character" w:customStyle="1" w:styleId="62">
    <w:name w:val="font61"/>
    <w:qFormat/>
    <w:uiPriority w:val="0"/>
    <w:rPr>
      <w:rFonts w:ascii="Times New Roman" w:hAnsi="Times New Roman" w:cs="Times New Roman"/>
      <w:color w:val="000000"/>
      <w:sz w:val="22"/>
      <w:szCs w:val="22"/>
      <w:u w:val="none"/>
    </w:rPr>
  </w:style>
  <w:style w:type="paragraph" w:customStyle="1" w:styleId="63">
    <w:name w:val="Table Paragraph"/>
    <w:basedOn w:val="1"/>
    <w:qFormat/>
    <w:uiPriority w:val="0"/>
    <w:rPr>
      <w:rFonts w:ascii="宋体" w:cs="宋体"/>
      <w:lang w:val="zh-CN" w:bidi="zh-CN"/>
    </w:rPr>
  </w:style>
  <w:style w:type="character" w:customStyle="1" w:styleId="64">
    <w:name w:val="NormalCharacter"/>
    <w:qFormat/>
    <w:uiPriority w:val="0"/>
  </w:style>
  <w:style w:type="paragraph" w:customStyle="1" w:styleId="65">
    <w:name w:val="HtmlNormal"/>
    <w:basedOn w:val="1"/>
    <w:qFormat/>
    <w:uiPriority w:val="0"/>
    <w:pPr>
      <w:spacing w:before="100" w:beforeAutospacing="1" w:after="100" w:afterAutospacing="1"/>
      <w:jc w:val="left"/>
      <w:textAlignment w:val="baseline"/>
    </w:pPr>
    <w:rPr>
      <w:rFonts w:ascii="Calibri" w:hAnsi="Calibri"/>
      <w:sz w:val="24"/>
      <w:szCs w:val="24"/>
    </w:rPr>
  </w:style>
  <w:style w:type="paragraph" w:customStyle="1" w:styleId="66">
    <w:name w:val="UserStyle_4"/>
    <w:basedOn w:val="1"/>
    <w:qFormat/>
    <w:uiPriority w:val="0"/>
    <w:pPr>
      <w:textAlignment w:val="baseline"/>
    </w:pPr>
    <w:rPr>
      <w:rFonts w:ascii="宋体"/>
      <w:kern w:val="2"/>
      <w:szCs w:val="24"/>
      <w:lang w:val="ca-ES" w:eastAsia="ca-ES" w:bidi="ca-ES"/>
    </w:rPr>
  </w:style>
  <w:style w:type="paragraph" w:customStyle="1" w:styleId="67">
    <w:name w:val="UserStyle_3"/>
    <w:next w:val="1"/>
    <w:qFormat/>
    <w:uiPriority w:val="0"/>
    <w:pPr>
      <w:ind w:left="2550"/>
      <w:jc w:val="both"/>
      <w:textAlignment w:val="baseline"/>
    </w:pPr>
    <w:rPr>
      <w:rFonts w:ascii="Times New Roman" w:hAnsi="Times New Roman" w:eastAsia="宋体" w:cs="Times New Roman"/>
      <w:sz w:val="21"/>
      <w:lang w:val="en-US" w:eastAsia="zh-CN" w:bidi="ar-SA"/>
    </w:rPr>
  </w:style>
  <w:style w:type="paragraph" w:customStyle="1" w:styleId="6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69">
    <w:name w:val="No Spacing"/>
    <w:next w:val="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70">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character" w:customStyle="1" w:styleId="71">
    <w:name w:val="font11"/>
    <w:qFormat/>
    <w:uiPriority w:val="0"/>
    <w:rPr>
      <w:rFonts w:hint="default" w:ascii="MiSans" w:hAnsi="MiSans" w:eastAsia="MiSans" w:cs="MiSans"/>
      <w:color w:val="000000"/>
      <w:sz w:val="24"/>
      <w:szCs w:val="24"/>
      <w:u w:val="none"/>
    </w:rPr>
  </w:style>
  <w:style w:type="paragraph" w:customStyle="1" w:styleId="72">
    <w:name w:val="_Style 70"/>
    <w:hidden/>
    <w:unhideWhenUsed/>
    <w:qFormat/>
    <w:uiPriority w:val="99"/>
    <w:rPr>
      <w:rFonts w:ascii="Times New Roman" w:hAnsi="Times New Roman" w:eastAsia="宋体" w:cs="Times New Roman"/>
      <w:color w:val="000000"/>
      <w:sz w:val="21"/>
      <w:szCs w:val="21"/>
      <w:lang w:val="en-US" w:eastAsia="zh-CN" w:bidi="ar-SA"/>
    </w:rPr>
  </w:style>
  <w:style w:type="character" w:customStyle="1" w:styleId="73">
    <w:name w:val="批注文字 字符"/>
    <w:link w:val="10"/>
    <w:qFormat/>
    <w:uiPriority w:val="0"/>
    <w:rPr>
      <w:color w:val="000000"/>
      <w:sz w:val="21"/>
      <w:szCs w:val="21"/>
    </w:rPr>
  </w:style>
  <w:style w:type="character" w:customStyle="1" w:styleId="74">
    <w:name w:val="批注主题 字符"/>
    <w:link w:val="28"/>
    <w:qFormat/>
    <w:uiPriority w:val="0"/>
    <w:rPr>
      <w:b/>
      <w:bCs/>
      <w:color w:val="000000"/>
      <w:sz w:val="21"/>
      <w:szCs w:val="21"/>
    </w:rPr>
  </w:style>
  <w:style w:type="paragraph" w:customStyle="1" w:styleId="75">
    <w:name w:val="p0"/>
    <w:basedOn w:val="1"/>
    <w:qFormat/>
    <w:uiPriority w:val="0"/>
    <w:pPr>
      <w:ind w:firstLine="480" w:firstLineChars="200"/>
    </w:pPr>
    <w:rPr>
      <w:rFonts w:ascii="宋体" w:hAnsi="宋体" w:eastAsia="仿宋"/>
      <w:sz w:val="24"/>
    </w:rPr>
  </w:style>
  <w:style w:type="paragraph" w:customStyle="1" w:styleId="76">
    <w:name w:val="章正文"/>
    <w:basedOn w:val="1"/>
    <w:qFormat/>
    <w:locked/>
    <w:uiPriority w:val="0"/>
    <w:pPr>
      <w:spacing w:beforeLines="50" w:after="120" w:line="300" w:lineRule="auto"/>
      <w:ind w:firstLine="480"/>
    </w:pPr>
    <w:rPr>
      <w:rFonts w:ascii="Helvetica" w:hAnsi="Helvetica" w:eastAsia="仿宋_GB2312"/>
      <w:sz w:val="24"/>
      <w:szCs w:val="20"/>
    </w:rPr>
  </w:style>
  <w:style w:type="paragraph" w:customStyle="1" w:styleId="77">
    <w:name w:val="Table Text"/>
    <w:basedOn w:val="1"/>
    <w:semiHidden/>
    <w:qFormat/>
    <w:uiPriority w:val="0"/>
    <w:rPr>
      <w:rFonts w:ascii="仿宋" w:hAnsi="仿宋" w:eastAsia="仿宋" w:cs="仿宋"/>
      <w:sz w:val="28"/>
      <w:szCs w:val="28"/>
      <w:lang w:val="en-US" w:eastAsia="en-US" w:bidi="ar-SA"/>
    </w:rPr>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16563</Words>
  <Characters>17550</Characters>
  <Lines>304</Lines>
  <Paragraphs>85</Paragraphs>
  <TotalTime>6</TotalTime>
  <ScaleCrop>false</ScaleCrop>
  <LinksUpToDate>false</LinksUpToDate>
  <CharactersWithSpaces>17789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2023-07-18T06:48:00Z</dcterms:created>
  <dc:creator>Administrator</dc:creator>
  <cp:lastModifiedBy>Chen . L</cp:lastModifiedBy>
  <cp:lastPrinted>2025-01-14T08:26:00Z</cp:lastPrinted>
  <dcterms:modified xsi:type="dcterms:W3CDTF">2025-01-24T05:31:37Z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C43E346FB4BE4102A12D1270CB707FB3_13</vt:lpwstr>
  </property>
  <property fmtid="{D5CDD505-2E9C-101B-9397-08002B2CF9AE}" pid="4" name="KSOTemplateDocerSaveRecord">
    <vt:lpwstr>eyJoZGlkIjoiMDNkY2YzNjAwYzk1YTBiMTJmOGFlMmEyNGY4YWU2MTMiLCJ1c2VySWQiOiI0NTExNjY3MDQifQ==</vt:lpwstr>
  </property>
</Properties>
</file>