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3916ED">
      <w:pPr>
        <w:autoSpaceDE/>
        <w:autoSpaceDN/>
        <w:spacing w:line="720" w:lineRule="auto"/>
        <w:ind w:left="0" w:leftChars="0" w:firstLine="0" w:firstLineChars="0"/>
        <w:jc w:val="center"/>
        <w:rPr>
          <w:rFonts w:hint="eastAsia" w:ascii="仿宋" w:hAnsi="仿宋" w:eastAsia="仿宋" w:cs="仿宋"/>
          <w:b/>
          <w:bCs/>
          <w:color w:val="0000FF"/>
          <w:sz w:val="32"/>
          <w:szCs w:val="32"/>
          <w:highlight w:val="yellow"/>
          <w:lang w:eastAsia="zh-CN"/>
        </w:rPr>
      </w:pPr>
      <w:r>
        <w:rPr>
          <w:rFonts w:hint="eastAsia" w:cs="仿宋"/>
          <w:b/>
          <w:color w:val="auto"/>
          <w:sz w:val="60"/>
          <w:szCs w:val="60"/>
          <w:lang w:eastAsia="zh-CN"/>
        </w:rPr>
        <w:t>武义县公安局交通警察大队2025年-2026年交通信号灯维护项目</w:t>
      </w:r>
    </w:p>
    <w:p w14:paraId="0F9BE3E8">
      <w:pPr>
        <w:autoSpaceDE/>
        <w:autoSpaceDN/>
        <w:spacing w:line="312" w:lineRule="auto"/>
        <w:ind w:left="0" w:leftChars="0" w:firstLine="0" w:firstLineChars="0"/>
        <w:rPr>
          <w:rFonts w:hint="eastAsia" w:ascii="仿宋" w:hAnsi="仿宋" w:eastAsia="仿宋" w:cs="仿宋"/>
          <w:b/>
          <w:bCs/>
          <w:color w:val="auto"/>
          <w:sz w:val="84"/>
          <w:szCs w:val="84"/>
        </w:rPr>
      </w:pPr>
    </w:p>
    <w:p w14:paraId="7418BB87">
      <w:pPr>
        <w:pStyle w:val="19"/>
        <w:ind w:firstLine="480"/>
        <w:rPr>
          <w:rFonts w:hint="eastAsia" w:ascii="仿宋" w:hAnsi="仿宋" w:eastAsia="仿宋" w:cs="仿宋"/>
        </w:rPr>
      </w:pPr>
    </w:p>
    <w:p w14:paraId="27057EFD">
      <w:pPr>
        <w:autoSpaceDE/>
        <w:autoSpaceDN/>
        <w:spacing w:line="312" w:lineRule="auto"/>
        <w:ind w:left="0" w:leftChars="0" w:firstLine="0" w:firstLineChars="0"/>
        <w:jc w:val="both"/>
        <w:rPr>
          <w:rFonts w:hint="eastAsia" w:ascii="仿宋" w:hAnsi="仿宋" w:eastAsia="仿宋" w:cs="仿宋"/>
          <w:b/>
          <w:bCs/>
          <w:color w:val="auto"/>
          <w:sz w:val="84"/>
          <w:szCs w:val="84"/>
        </w:rPr>
      </w:pPr>
    </w:p>
    <w:p w14:paraId="73954F8A">
      <w:pPr>
        <w:autoSpaceDE/>
        <w:autoSpaceDN/>
        <w:spacing w:line="312" w:lineRule="auto"/>
        <w:ind w:left="0" w:leftChars="0" w:firstLine="0" w:firstLineChars="0"/>
        <w:jc w:val="center"/>
        <w:rPr>
          <w:rFonts w:hint="eastAsia" w:ascii="仿宋" w:hAnsi="仿宋" w:eastAsia="仿宋" w:cs="仿宋"/>
          <w:b/>
          <w:bCs/>
          <w:color w:val="auto"/>
          <w:sz w:val="84"/>
          <w:szCs w:val="84"/>
        </w:rPr>
      </w:pPr>
      <w:r>
        <w:rPr>
          <w:rFonts w:hint="eastAsia" w:ascii="仿宋" w:hAnsi="仿宋" w:eastAsia="仿宋" w:cs="仿宋"/>
          <w:b/>
          <w:bCs/>
          <w:color w:val="auto"/>
          <w:sz w:val="84"/>
          <w:szCs w:val="84"/>
        </w:rPr>
        <w:t>公开招标采购文件</w:t>
      </w:r>
    </w:p>
    <w:p w14:paraId="26BCD91A">
      <w:pPr>
        <w:pStyle w:val="12"/>
        <w:snapToGrid w:val="0"/>
        <w:spacing w:before="120" w:after="120" w:line="312" w:lineRule="auto"/>
        <w:ind w:left="0" w:leftChars="0" w:firstLine="0" w:firstLineChars="0"/>
        <w:jc w:val="center"/>
        <w:rPr>
          <w:rFonts w:hint="eastAsia" w:ascii="仿宋" w:hAnsi="仿宋" w:eastAsia="仿宋" w:cs="仿宋"/>
          <w:b/>
          <w:bCs/>
          <w:color w:val="0000FF"/>
          <w:w w:val="95"/>
          <w:kern w:val="0"/>
          <w:sz w:val="30"/>
          <w:szCs w:val="30"/>
          <w:highlight w:val="yellow"/>
          <w:lang w:eastAsia="zh-CN"/>
        </w:rPr>
      </w:pPr>
    </w:p>
    <w:p w14:paraId="2FFD395F">
      <w:pPr>
        <w:pStyle w:val="3"/>
        <w:ind w:left="0" w:leftChars="0" w:firstLine="0" w:firstLineChars="0"/>
        <w:rPr>
          <w:rFonts w:hint="eastAsia" w:ascii="仿宋" w:hAnsi="仿宋" w:eastAsia="仿宋" w:cs="仿宋"/>
          <w:b/>
          <w:bCs/>
          <w:sz w:val="32"/>
          <w:szCs w:val="32"/>
        </w:rPr>
      </w:pPr>
    </w:p>
    <w:p w14:paraId="51700AA7">
      <w:pPr>
        <w:pStyle w:val="15"/>
        <w:rPr>
          <w:rFonts w:hint="eastAsia"/>
        </w:rPr>
      </w:pPr>
    </w:p>
    <w:p w14:paraId="2D0F6E8B">
      <w:pPr>
        <w:pStyle w:val="15"/>
        <w:rPr>
          <w:rFonts w:hint="eastAsia"/>
        </w:rPr>
      </w:pPr>
    </w:p>
    <w:p w14:paraId="75928254">
      <w:pPr>
        <w:pStyle w:val="15"/>
        <w:rPr>
          <w:rFonts w:hint="eastAsia" w:ascii="仿宋" w:hAnsi="仿宋" w:eastAsia="仿宋" w:cs="仿宋"/>
        </w:rPr>
      </w:pPr>
    </w:p>
    <w:p w14:paraId="74802E42">
      <w:pPr>
        <w:spacing w:line="600" w:lineRule="auto"/>
        <w:ind w:firstLine="1606" w:firstLineChars="500"/>
        <w:rPr>
          <w:rFonts w:hint="eastAsia" w:ascii="仿宋" w:hAnsi="仿宋" w:eastAsia="仿宋" w:cs="仿宋"/>
          <w:b/>
          <w:bCs/>
          <w:sz w:val="32"/>
          <w:szCs w:val="32"/>
          <w:lang w:eastAsia="zh-CN"/>
        </w:rPr>
      </w:pPr>
      <w:r>
        <w:rPr>
          <w:rFonts w:hint="eastAsia" w:ascii="仿宋" w:hAnsi="仿宋" w:eastAsia="仿宋" w:cs="仿宋"/>
          <w:b/>
          <w:bCs/>
          <w:sz w:val="32"/>
          <w:szCs w:val="32"/>
        </w:rPr>
        <w:t>项目编号：</w:t>
      </w:r>
      <w:r>
        <w:rPr>
          <w:rFonts w:hint="eastAsia" w:cs="仿宋"/>
          <w:b/>
          <w:bCs/>
          <w:sz w:val="32"/>
          <w:szCs w:val="32"/>
          <w:lang w:eastAsia="zh-CN"/>
        </w:rPr>
        <w:t>ZJRS2025-CG060</w:t>
      </w:r>
    </w:p>
    <w:p w14:paraId="08DD37D2">
      <w:pPr>
        <w:spacing w:line="600" w:lineRule="auto"/>
        <w:ind w:firstLine="1606" w:firstLineChars="500"/>
        <w:rPr>
          <w:rFonts w:hint="eastAsia" w:ascii="仿宋" w:hAnsi="仿宋" w:eastAsia="仿宋" w:cs="仿宋"/>
          <w:b/>
          <w:bCs/>
          <w:sz w:val="32"/>
          <w:szCs w:val="32"/>
        </w:rPr>
      </w:pPr>
      <w:r>
        <w:rPr>
          <w:rFonts w:hint="eastAsia" w:ascii="仿宋" w:hAnsi="仿宋" w:eastAsia="仿宋" w:cs="仿宋"/>
          <w:b/>
          <w:bCs/>
          <w:sz w:val="32"/>
          <w:szCs w:val="32"/>
        </w:rPr>
        <w:t>采购单位：</w:t>
      </w:r>
      <w:r>
        <w:rPr>
          <w:rFonts w:hint="eastAsia" w:cs="仿宋"/>
          <w:b/>
          <w:bCs/>
          <w:sz w:val="32"/>
          <w:szCs w:val="32"/>
          <w:lang w:eastAsia="zh-CN"/>
        </w:rPr>
        <w:t>武义县公安局交通警察大队</w:t>
      </w:r>
      <w:r>
        <w:rPr>
          <w:rFonts w:hint="eastAsia" w:ascii="仿宋" w:hAnsi="仿宋" w:eastAsia="仿宋" w:cs="仿宋"/>
          <w:b/>
          <w:bCs/>
          <w:sz w:val="32"/>
          <w:szCs w:val="32"/>
        </w:rPr>
        <w:t>（盖章）</w:t>
      </w:r>
    </w:p>
    <w:p w14:paraId="23271ACB">
      <w:pPr>
        <w:pStyle w:val="12"/>
        <w:snapToGrid w:val="0"/>
        <w:spacing w:before="120" w:after="120" w:line="600" w:lineRule="auto"/>
        <w:ind w:firstLine="1606" w:firstLineChars="500"/>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代理机构：</w:t>
      </w:r>
      <w:r>
        <w:rPr>
          <w:rFonts w:hint="eastAsia" w:ascii="仿宋" w:hAnsi="仿宋" w:eastAsia="仿宋" w:cs="仿宋"/>
          <w:b/>
          <w:bCs/>
          <w:color w:val="000000"/>
          <w:sz w:val="32"/>
          <w:szCs w:val="32"/>
          <w:lang w:eastAsia="zh-CN"/>
        </w:rPr>
        <w:t>浙江日晟信息咨询有限公司</w:t>
      </w:r>
      <w:r>
        <w:rPr>
          <w:rFonts w:hint="eastAsia" w:ascii="仿宋" w:hAnsi="仿宋" w:eastAsia="仿宋" w:cs="仿宋"/>
          <w:b/>
          <w:bCs/>
          <w:color w:val="000000"/>
          <w:sz w:val="32"/>
          <w:szCs w:val="32"/>
        </w:rPr>
        <w:t>（盖章）</w:t>
      </w:r>
    </w:p>
    <w:p w14:paraId="294A636A">
      <w:pPr>
        <w:pStyle w:val="12"/>
        <w:snapToGrid w:val="0"/>
        <w:spacing w:before="120" w:after="120" w:line="312" w:lineRule="auto"/>
        <w:jc w:val="center"/>
        <w:rPr>
          <w:rFonts w:hint="eastAsia" w:ascii="仿宋" w:hAnsi="仿宋" w:eastAsia="仿宋" w:cs="仿宋"/>
          <w:b/>
          <w:bCs/>
          <w:color w:val="000000"/>
          <w:sz w:val="32"/>
          <w:szCs w:val="32"/>
        </w:rPr>
      </w:pPr>
    </w:p>
    <w:p w14:paraId="2C11D88F">
      <w:pPr>
        <w:pStyle w:val="12"/>
        <w:snapToGrid w:val="0"/>
        <w:spacing w:before="120" w:after="120" w:line="312" w:lineRule="auto"/>
        <w:jc w:val="center"/>
        <w:rPr>
          <w:rFonts w:hint="eastAsia" w:ascii="仿宋" w:hAnsi="仿宋" w:eastAsia="仿宋" w:cs="仿宋"/>
          <w:b/>
          <w:bCs/>
          <w:color w:val="000000"/>
          <w:sz w:val="32"/>
          <w:szCs w:val="32"/>
        </w:rPr>
      </w:pPr>
    </w:p>
    <w:p w14:paraId="66B5C7B3">
      <w:pPr>
        <w:pStyle w:val="12"/>
        <w:snapToGrid w:val="0"/>
        <w:spacing w:before="120" w:after="120" w:line="312" w:lineRule="auto"/>
        <w:ind w:left="0" w:leftChars="0" w:firstLine="0" w:firstLineChars="0"/>
        <w:jc w:val="center"/>
        <w:rPr>
          <w:rFonts w:hint="eastAsia" w:ascii="仿宋" w:hAnsi="仿宋" w:eastAsia="仿宋" w:cs="仿宋"/>
          <w:b/>
          <w:bCs/>
          <w:color w:val="000000"/>
          <w:sz w:val="32"/>
          <w:szCs w:val="32"/>
        </w:rPr>
      </w:pPr>
      <w:r>
        <w:rPr>
          <w:rFonts w:hint="eastAsia" w:ascii="仿宋" w:hAnsi="仿宋" w:eastAsia="仿宋" w:cs="仿宋"/>
          <w:b/>
          <w:bCs/>
          <w:color w:val="000000"/>
          <w:sz w:val="32"/>
          <w:szCs w:val="32"/>
        </w:rPr>
        <w:t>二〇二</w:t>
      </w:r>
      <w:r>
        <w:rPr>
          <w:rFonts w:hint="eastAsia" w:cs="仿宋"/>
          <w:b/>
          <w:bCs/>
          <w:color w:val="000000"/>
          <w:sz w:val="32"/>
          <w:szCs w:val="32"/>
          <w:lang w:val="en-US" w:eastAsia="zh-CN"/>
        </w:rPr>
        <w:t>五</w:t>
      </w:r>
      <w:r>
        <w:rPr>
          <w:rFonts w:hint="eastAsia" w:ascii="仿宋" w:hAnsi="仿宋" w:eastAsia="仿宋" w:cs="仿宋"/>
          <w:b/>
          <w:bCs/>
          <w:color w:val="000000"/>
          <w:sz w:val="32"/>
          <w:szCs w:val="32"/>
        </w:rPr>
        <w:t>年</w:t>
      </w:r>
      <w:r>
        <w:rPr>
          <w:rFonts w:hint="eastAsia" w:cs="仿宋"/>
          <w:b/>
          <w:bCs/>
          <w:color w:val="000000"/>
          <w:sz w:val="32"/>
          <w:szCs w:val="32"/>
          <w:lang w:val="en-US" w:eastAsia="zh-CN"/>
        </w:rPr>
        <w:t>四</w:t>
      </w:r>
      <w:r>
        <w:rPr>
          <w:rFonts w:hint="eastAsia" w:ascii="仿宋" w:hAnsi="仿宋" w:eastAsia="仿宋" w:cs="仿宋"/>
          <w:b/>
          <w:bCs/>
          <w:color w:val="000000"/>
          <w:sz w:val="32"/>
          <w:szCs w:val="32"/>
        </w:rPr>
        <w:t>月</w:t>
      </w:r>
    </w:p>
    <w:p w14:paraId="08650928">
      <w:pPr>
        <w:pStyle w:val="4"/>
        <w:bidi w:val="0"/>
        <w:ind w:left="0" w:leftChars="0" w:firstLine="0" w:firstLineChars="0"/>
        <w:jc w:val="center"/>
        <w:rPr>
          <w:rFonts w:hint="eastAsia"/>
          <w:sz w:val="44"/>
          <w:szCs w:val="24"/>
        </w:rPr>
      </w:pPr>
      <w:r>
        <w:rPr>
          <w:rFonts w:hint="eastAsia"/>
          <w:sz w:val="44"/>
          <w:szCs w:val="24"/>
        </w:rPr>
        <w:t>目</w:t>
      </w:r>
      <w:r>
        <w:rPr>
          <w:rFonts w:hint="eastAsia"/>
          <w:sz w:val="44"/>
          <w:szCs w:val="24"/>
          <w:lang w:val="en-US" w:eastAsia="zh-CN"/>
        </w:rPr>
        <w:t xml:space="preserve">  </w:t>
      </w:r>
      <w:r>
        <w:rPr>
          <w:rFonts w:hint="eastAsia"/>
          <w:sz w:val="44"/>
          <w:szCs w:val="24"/>
        </w:rPr>
        <w:t>录</w:t>
      </w:r>
    </w:p>
    <w:p w14:paraId="1B81A93B">
      <w:pPr>
        <w:spacing w:line="312" w:lineRule="auto"/>
        <w:ind w:left="0" w:leftChars="0" w:firstLine="0" w:firstLineChars="0"/>
        <w:jc w:val="both"/>
        <w:rPr>
          <w:rFonts w:hint="eastAsia" w:ascii="仿宋" w:hAnsi="仿宋" w:eastAsia="仿宋" w:cs="仿宋"/>
          <w:color w:val="auto"/>
        </w:rPr>
      </w:pPr>
    </w:p>
    <w:p w14:paraId="4038C965">
      <w:pPr>
        <w:bidi w:val="0"/>
        <w:spacing w:line="720" w:lineRule="auto"/>
        <w:ind w:firstLine="1446" w:firstLineChars="400"/>
        <w:rPr>
          <w:rFonts w:hint="eastAsia"/>
          <w:b/>
          <w:bCs/>
          <w:sz w:val="36"/>
          <w:szCs w:val="28"/>
        </w:rPr>
      </w:pPr>
      <w:r>
        <w:rPr>
          <w:rFonts w:hint="eastAsia"/>
          <w:b/>
          <w:bCs/>
          <w:sz w:val="36"/>
          <w:szCs w:val="28"/>
        </w:rPr>
        <w:t>第一章    招标公告</w:t>
      </w:r>
    </w:p>
    <w:p w14:paraId="0FBA595E">
      <w:pPr>
        <w:bidi w:val="0"/>
        <w:spacing w:line="720" w:lineRule="auto"/>
        <w:ind w:firstLine="1446" w:firstLineChars="400"/>
        <w:rPr>
          <w:rFonts w:hint="eastAsia"/>
          <w:b/>
          <w:bCs/>
          <w:sz w:val="36"/>
          <w:szCs w:val="28"/>
        </w:rPr>
      </w:pPr>
      <w:r>
        <w:rPr>
          <w:rFonts w:hint="eastAsia"/>
          <w:b/>
          <w:bCs/>
          <w:sz w:val="36"/>
          <w:szCs w:val="28"/>
        </w:rPr>
        <w:t>第二章    投标须知</w:t>
      </w:r>
    </w:p>
    <w:p w14:paraId="27A01692">
      <w:pPr>
        <w:bidi w:val="0"/>
        <w:spacing w:line="720" w:lineRule="auto"/>
        <w:ind w:firstLine="1446" w:firstLineChars="400"/>
        <w:rPr>
          <w:rFonts w:hint="eastAsia"/>
          <w:b/>
          <w:bCs/>
          <w:sz w:val="36"/>
          <w:szCs w:val="28"/>
        </w:rPr>
      </w:pPr>
      <w:r>
        <w:rPr>
          <w:rFonts w:hint="eastAsia"/>
          <w:b/>
          <w:bCs/>
          <w:sz w:val="36"/>
          <w:szCs w:val="28"/>
        </w:rPr>
        <w:t>第三章    招标需求</w:t>
      </w:r>
    </w:p>
    <w:p w14:paraId="68947D6F">
      <w:pPr>
        <w:bidi w:val="0"/>
        <w:spacing w:line="720" w:lineRule="auto"/>
        <w:ind w:firstLine="1446" w:firstLineChars="400"/>
        <w:rPr>
          <w:rFonts w:hint="eastAsia"/>
          <w:b/>
          <w:bCs/>
          <w:sz w:val="36"/>
          <w:szCs w:val="28"/>
        </w:rPr>
      </w:pPr>
      <w:r>
        <w:rPr>
          <w:rFonts w:hint="eastAsia"/>
          <w:b/>
          <w:bCs/>
          <w:sz w:val="36"/>
          <w:szCs w:val="28"/>
        </w:rPr>
        <w:t>第四章    评标办法及评分标准</w:t>
      </w:r>
    </w:p>
    <w:p w14:paraId="08C66D7F">
      <w:pPr>
        <w:bidi w:val="0"/>
        <w:spacing w:line="720" w:lineRule="auto"/>
        <w:ind w:firstLine="1446" w:firstLineChars="400"/>
        <w:rPr>
          <w:rFonts w:hint="eastAsia"/>
          <w:b/>
          <w:bCs/>
          <w:sz w:val="36"/>
          <w:szCs w:val="28"/>
        </w:rPr>
      </w:pPr>
      <w:r>
        <w:rPr>
          <w:rFonts w:hint="eastAsia"/>
          <w:b/>
          <w:bCs/>
          <w:sz w:val="36"/>
          <w:szCs w:val="28"/>
        </w:rPr>
        <w:t>第五章    政府采购合同</w:t>
      </w:r>
    </w:p>
    <w:p w14:paraId="7076BCBB">
      <w:pPr>
        <w:bidi w:val="0"/>
        <w:spacing w:line="720" w:lineRule="auto"/>
        <w:ind w:firstLine="1446" w:firstLineChars="400"/>
        <w:rPr>
          <w:rFonts w:hint="eastAsia"/>
          <w:b/>
          <w:bCs/>
          <w:sz w:val="36"/>
          <w:szCs w:val="28"/>
        </w:rPr>
      </w:pPr>
      <w:r>
        <w:rPr>
          <w:rFonts w:hint="eastAsia"/>
          <w:b/>
          <w:bCs/>
          <w:sz w:val="36"/>
          <w:szCs w:val="28"/>
        </w:rPr>
        <w:t>第六章    应提交的有关格式范例</w:t>
      </w:r>
    </w:p>
    <w:p w14:paraId="3194C09E">
      <w:pPr>
        <w:snapToGrid w:val="0"/>
        <w:spacing w:line="360" w:lineRule="auto"/>
        <w:ind w:firstLine="1807" w:firstLineChars="500"/>
        <w:jc w:val="left"/>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  </w:t>
      </w:r>
    </w:p>
    <w:p w14:paraId="4BF833EA">
      <w:pPr>
        <w:snapToGrid w:val="0"/>
        <w:spacing w:line="312" w:lineRule="auto"/>
        <w:ind w:firstLine="1807" w:firstLineChars="500"/>
        <w:jc w:val="left"/>
        <w:rPr>
          <w:rFonts w:hint="eastAsia" w:ascii="仿宋" w:hAnsi="仿宋" w:eastAsia="仿宋" w:cs="仿宋"/>
          <w:b/>
          <w:color w:val="auto"/>
          <w:sz w:val="36"/>
          <w:szCs w:val="36"/>
        </w:rPr>
      </w:pPr>
    </w:p>
    <w:p w14:paraId="434E6E92">
      <w:pPr>
        <w:spacing w:line="312" w:lineRule="auto"/>
        <w:rPr>
          <w:rStyle w:val="25"/>
          <w:rFonts w:hint="eastAsia" w:ascii="仿宋" w:hAnsi="仿宋" w:eastAsia="仿宋" w:cs="仿宋"/>
          <w:color w:val="auto"/>
          <w:sz w:val="30"/>
        </w:rPr>
      </w:pPr>
    </w:p>
    <w:p w14:paraId="4305ACE1">
      <w:pPr>
        <w:spacing w:line="312" w:lineRule="auto"/>
        <w:rPr>
          <w:rStyle w:val="25"/>
          <w:rFonts w:hint="eastAsia" w:ascii="仿宋" w:hAnsi="仿宋" w:eastAsia="仿宋" w:cs="仿宋"/>
          <w:color w:val="auto"/>
          <w:sz w:val="30"/>
        </w:rPr>
      </w:pPr>
    </w:p>
    <w:p w14:paraId="3C1605E2">
      <w:pPr>
        <w:spacing w:line="312" w:lineRule="auto"/>
        <w:ind w:left="0" w:leftChars="0" w:firstLine="0" w:firstLineChars="0"/>
        <w:rPr>
          <w:rStyle w:val="25"/>
          <w:rFonts w:hint="eastAsia" w:ascii="仿宋" w:hAnsi="仿宋" w:eastAsia="仿宋" w:cs="仿宋"/>
          <w:color w:val="auto"/>
          <w:sz w:val="30"/>
        </w:rPr>
      </w:pPr>
    </w:p>
    <w:p w14:paraId="6E85FFE2">
      <w:pPr>
        <w:bidi w:val="0"/>
        <w:ind w:left="0" w:leftChars="0" w:firstLine="0" w:firstLineChars="0"/>
        <w:jc w:val="center"/>
        <w:outlineLvl w:val="9"/>
        <w:rPr>
          <w:rFonts w:hint="eastAsia" w:ascii="仿宋" w:hAnsi="仿宋" w:eastAsia="仿宋" w:cs="仿宋"/>
          <w:b/>
          <w:color w:val="auto"/>
          <w:kern w:val="44"/>
          <w:sz w:val="36"/>
          <w:szCs w:val="36"/>
        </w:rPr>
      </w:pPr>
      <w:bookmarkStart w:id="0" w:name="_Toc125344502"/>
    </w:p>
    <w:p w14:paraId="6CCF5642">
      <w:pPr>
        <w:pStyle w:val="11"/>
        <w:rPr>
          <w:rFonts w:hint="eastAsia" w:ascii="仿宋" w:hAnsi="仿宋" w:eastAsia="仿宋" w:cs="仿宋"/>
          <w:b/>
          <w:color w:val="auto"/>
          <w:kern w:val="44"/>
          <w:sz w:val="36"/>
          <w:szCs w:val="36"/>
        </w:rPr>
      </w:pPr>
    </w:p>
    <w:p w14:paraId="4E439371">
      <w:pPr>
        <w:pStyle w:val="19"/>
        <w:rPr>
          <w:rFonts w:hint="eastAsia"/>
        </w:rPr>
      </w:pPr>
    </w:p>
    <w:p w14:paraId="657D8877">
      <w:pPr>
        <w:pStyle w:val="4"/>
        <w:keepNext/>
        <w:keepLines/>
        <w:pageBreakBefore w:val="0"/>
        <w:widowControl w:val="0"/>
        <w:kinsoku/>
        <w:wordWrap/>
        <w:overflowPunct/>
        <w:topLinePunct w:val="0"/>
        <w:autoSpaceDE w:val="0"/>
        <w:autoSpaceDN w:val="0"/>
        <w:bidi w:val="0"/>
        <w:adjustRightInd w:val="0"/>
        <w:snapToGrid/>
        <w:spacing w:after="313" w:afterLines="100" w:line="360" w:lineRule="auto"/>
        <w:ind w:left="0" w:leftChars="0" w:firstLine="0" w:firstLineChars="0"/>
        <w:jc w:val="center"/>
        <w:textAlignment w:val="auto"/>
        <w:rPr>
          <w:rFonts w:hint="eastAsia"/>
        </w:rPr>
      </w:pPr>
      <w:r>
        <w:rPr>
          <w:rFonts w:hint="eastAsia"/>
        </w:rPr>
        <w:t>第一章  招标公告</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2"/>
      </w:tblGrid>
      <w:tr w14:paraId="354E6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9682" w:type="dxa"/>
            <w:noWrap w:val="0"/>
            <w:vAlign w:val="top"/>
          </w:tcPr>
          <w:p w14:paraId="18F32303">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firstLine="0" w:firstLineChars="0"/>
              <w:textAlignment w:val="auto"/>
              <w:rPr>
                <w:rFonts w:hint="eastAsia" w:ascii="仿宋" w:hAnsi="仿宋" w:eastAsia="仿宋" w:cs="仿宋"/>
              </w:rPr>
            </w:pPr>
            <w:r>
              <w:rPr>
                <w:rFonts w:hint="eastAsia" w:ascii="仿宋" w:hAnsi="仿宋" w:eastAsia="仿宋" w:cs="仿宋"/>
              </w:rPr>
              <w:t>项目概况：</w:t>
            </w:r>
          </w:p>
          <w:p w14:paraId="1E2B86E9">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420" w:lineRule="exact"/>
              <w:ind w:left="0" w:leftChars="0" w:firstLine="240" w:firstLineChars="100"/>
              <w:jc w:val="both"/>
              <w:textAlignment w:val="auto"/>
              <w:rPr>
                <w:rFonts w:hint="eastAsia" w:ascii="仿宋" w:hAnsi="仿宋" w:eastAsia="仿宋" w:cs="仿宋"/>
              </w:rPr>
            </w:pPr>
            <w:r>
              <w:rPr>
                <w:rFonts w:hint="eastAsia" w:ascii="仿宋" w:hAnsi="仿宋" w:cs="仿宋"/>
                <w:u w:val="single"/>
                <w:lang w:eastAsia="zh-CN"/>
              </w:rPr>
              <w:t>武义县公安局交通警察大队2025年-2026年交通信号灯维护项目</w:t>
            </w:r>
            <w:r>
              <w:rPr>
                <w:rFonts w:hint="eastAsia" w:ascii="仿宋" w:hAnsi="仿宋" w:eastAsia="仿宋" w:cs="仿宋"/>
              </w:rPr>
              <w:t>的潜在供应商应在</w:t>
            </w:r>
            <w:r>
              <w:rPr>
                <w:rFonts w:hint="eastAsia" w:ascii="仿宋" w:hAnsi="仿宋" w:eastAsia="仿宋" w:cs="仿宋"/>
                <w:u w:val="single"/>
              </w:rPr>
              <w:t>浙江政府采购网https://zfcg.czt.zj.gov.cn/</w:t>
            </w:r>
            <w:r>
              <w:rPr>
                <w:rFonts w:hint="eastAsia" w:ascii="仿宋" w:hAnsi="仿宋" w:eastAsia="仿宋" w:cs="仿宋"/>
              </w:rPr>
              <w:t>获取（下载）招标文件，并于</w:t>
            </w:r>
            <w:r>
              <w:rPr>
                <w:rFonts w:hint="eastAsia" w:ascii="仿宋" w:hAnsi="仿宋" w:eastAsia="仿宋" w:cs="仿宋"/>
                <w:u w:val="single"/>
              </w:rPr>
              <w:t xml:space="preserve"> </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14:30</w:t>
            </w:r>
            <w:r>
              <w:rPr>
                <w:rFonts w:hint="eastAsia" w:ascii="仿宋" w:hAnsi="仿宋" w:eastAsia="仿宋" w:cs="仿宋"/>
                <w:u w:val="single"/>
              </w:rPr>
              <w:t>时</w:t>
            </w:r>
            <w:r>
              <w:rPr>
                <w:rFonts w:hint="eastAsia" w:ascii="仿宋" w:hAnsi="仿宋" w:eastAsia="仿宋" w:cs="仿宋"/>
              </w:rPr>
              <w:t>（北京时间）前递交（上传）投标文件。</w:t>
            </w:r>
          </w:p>
        </w:tc>
      </w:tr>
    </w:tbl>
    <w:p w14:paraId="300B7A84">
      <w:pPr>
        <w:pStyle w:val="18"/>
        <w:spacing w:before="0" w:beforeAutospacing="0" w:after="0" w:afterAutospacing="0" w:line="312" w:lineRule="auto"/>
        <w:jc w:val="both"/>
        <w:rPr>
          <w:rFonts w:hint="eastAsia" w:ascii="仿宋" w:hAnsi="仿宋" w:eastAsia="仿宋" w:cs="仿宋"/>
          <w:lang w:eastAsia="zh-CN"/>
        </w:rPr>
      </w:pPr>
      <w:r>
        <w:rPr>
          <w:rStyle w:val="23"/>
          <w:rFonts w:hint="eastAsia" w:ascii="仿宋" w:hAnsi="仿宋" w:eastAsia="仿宋" w:cs="仿宋"/>
        </w:rPr>
        <w:t>一、项目基本情况</w:t>
      </w:r>
      <w:r>
        <w:rPr>
          <w:rStyle w:val="23"/>
          <w:rFonts w:hint="eastAsia" w:ascii="仿宋" w:hAnsi="仿宋" w:cs="仿宋"/>
          <w:lang w:eastAsia="zh-CN"/>
        </w:rPr>
        <w:t>：</w:t>
      </w:r>
    </w:p>
    <w:p w14:paraId="046098BF">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采购组织类型：分散采购-委托代理</w:t>
      </w:r>
    </w:p>
    <w:p w14:paraId="770CBCFA">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项目编号：</w:t>
      </w:r>
      <w:r>
        <w:rPr>
          <w:rFonts w:hint="eastAsia" w:ascii="仿宋" w:hAnsi="仿宋" w:cs="仿宋"/>
          <w:lang w:eastAsia="zh-CN"/>
        </w:rPr>
        <w:t>ZJRS2025-CG060</w:t>
      </w:r>
      <w:r>
        <w:rPr>
          <w:rFonts w:hint="eastAsia" w:ascii="仿宋" w:hAnsi="仿宋" w:eastAsia="仿宋" w:cs="仿宋"/>
        </w:rPr>
        <w:t xml:space="preserve"> </w:t>
      </w:r>
    </w:p>
    <w:p w14:paraId="48FB3CCE">
      <w:pPr>
        <w:pStyle w:val="18"/>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项目名称：</w:t>
      </w:r>
      <w:r>
        <w:rPr>
          <w:rFonts w:hint="eastAsia" w:ascii="仿宋" w:hAnsi="仿宋" w:cs="仿宋"/>
          <w:lang w:eastAsia="zh-CN"/>
        </w:rPr>
        <w:t>武义县公安局交通警察大队2025年-2026年交通信号灯维护项目</w:t>
      </w:r>
    </w:p>
    <w:p w14:paraId="21EEDD47">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采购计划书号：</w:t>
      </w:r>
      <w:r>
        <w:rPr>
          <w:rFonts w:hint="eastAsia" w:ascii="仿宋" w:hAnsi="仿宋" w:cs="仿宋"/>
          <w:lang w:val="en-US" w:eastAsia="zh-CN"/>
        </w:rPr>
        <w:t>临</w:t>
      </w:r>
      <w:r>
        <w:rPr>
          <w:rFonts w:hint="eastAsia" w:ascii="仿宋" w:hAnsi="仿宋" w:eastAsia="仿宋" w:cs="仿宋"/>
        </w:rPr>
        <w:t>[202</w:t>
      </w:r>
      <w:r>
        <w:rPr>
          <w:rFonts w:hint="eastAsia" w:ascii="仿宋" w:hAnsi="仿宋" w:cs="仿宋"/>
          <w:lang w:val="en-US" w:eastAsia="zh-CN"/>
        </w:rPr>
        <w:t>5</w:t>
      </w:r>
      <w:r>
        <w:rPr>
          <w:rFonts w:hint="eastAsia" w:ascii="仿宋" w:hAnsi="仿宋" w:eastAsia="仿宋" w:cs="仿宋"/>
        </w:rPr>
        <w:t>]</w:t>
      </w:r>
      <w:r>
        <w:rPr>
          <w:rFonts w:hint="eastAsia" w:ascii="仿宋" w:hAnsi="仿宋" w:cs="仿宋"/>
          <w:lang w:val="en-US" w:eastAsia="zh-CN"/>
        </w:rPr>
        <w:t>148</w:t>
      </w:r>
      <w:r>
        <w:rPr>
          <w:rFonts w:hint="eastAsia" w:ascii="仿宋" w:hAnsi="仿宋" w:eastAsia="仿宋" w:cs="仿宋"/>
        </w:rPr>
        <w:t>号</w:t>
      </w:r>
    </w:p>
    <w:p w14:paraId="6D53D5C1">
      <w:pPr>
        <w:pStyle w:val="18"/>
        <w:spacing w:before="0" w:beforeAutospacing="0" w:after="0" w:afterAutospacing="0" w:line="312" w:lineRule="auto"/>
        <w:ind w:firstLine="480" w:firstLineChars="200"/>
        <w:rPr>
          <w:rFonts w:hint="default" w:ascii="仿宋" w:hAnsi="仿宋" w:cs="仿宋"/>
          <w:lang w:val="en-US" w:eastAsia="zh-CN"/>
        </w:rPr>
      </w:pPr>
      <w:r>
        <w:rPr>
          <w:rFonts w:hint="eastAsia" w:ascii="仿宋" w:hAnsi="仿宋" w:cs="仿宋"/>
          <w:lang w:val="en-US" w:eastAsia="zh-CN"/>
        </w:rPr>
        <w:t>预算金额（元）：959750</w:t>
      </w:r>
    </w:p>
    <w:p w14:paraId="1245218F">
      <w:pPr>
        <w:pStyle w:val="18"/>
        <w:spacing w:before="0" w:beforeAutospacing="0" w:after="0" w:afterAutospacing="0" w:line="312" w:lineRule="auto"/>
        <w:ind w:firstLine="482" w:firstLineChars="200"/>
        <w:rPr>
          <w:rFonts w:hint="default" w:ascii="仿宋" w:hAnsi="仿宋" w:cs="仿宋"/>
          <w:b/>
          <w:bCs/>
          <w:color w:val="0000FF"/>
          <w:highlight w:val="yellow"/>
          <w:lang w:val="en-US" w:eastAsia="zh-CN"/>
        </w:rPr>
      </w:pPr>
      <w:r>
        <w:rPr>
          <w:rFonts w:hint="eastAsia" w:ascii="仿宋" w:hAnsi="仿宋" w:cs="仿宋"/>
          <w:b/>
          <w:bCs/>
          <w:color w:val="0000FF"/>
          <w:highlight w:val="yellow"/>
          <w:lang w:val="en-US" w:eastAsia="zh-CN"/>
        </w:rPr>
        <w:t>最高限价（元）：903980</w:t>
      </w:r>
    </w:p>
    <w:p w14:paraId="25F2E4B1">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评标办法：综合评分法</w:t>
      </w:r>
    </w:p>
    <w:p w14:paraId="1B22E2B7">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合同履行期限：详见招标文件 </w:t>
      </w:r>
    </w:p>
    <w:p w14:paraId="5AECECDA">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本项目（否）联合体投标</w:t>
      </w:r>
    </w:p>
    <w:p w14:paraId="75F1F8FA">
      <w:pPr>
        <w:pStyle w:val="18"/>
        <w:spacing w:before="0" w:beforeAutospacing="0" w:after="0" w:afterAutospacing="0" w:line="312" w:lineRule="auto"/>
        <w:jc w:val="both"/>
        <w:rPr>
          <w:rStyle w:val="23"/>
          <w:rFonts w:hint="eastAsia" w:ascii="仿宋" w:hAnsi="仿宋" w:eastAsia="仿宋" w:cs="仿宋"/>
        </w:rPr>
      </w:pPr>
      <w:r>
        <w:rPr>
          <w:rStyle w:val="23"/>
          <w:rFonts w:hint="eastAsia" w:ascii="仿宋" w:hAnsi="仿宋" w:eastAsia="仿宋" w:cs="仿宋"/>
        </w:rPr>
        <w:t>二、申请人的资格要求：</w:t>
      </w:r>
    </w:p>
    <w:p w14:paraId="346A7AB5">
      <w:pPr>
        <w:autoSpaceDE/>
        <w:autoSpaceDN/>
        <w:adjustRightInd/>
        <w:spacing w:line="312" w:lineRule="auto"/>
        <w:ind w:firstLine="480" w:firstLineChars="200"/>
        <w:jc w:val="lef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1.符合《中华人民共和国政府采购法》第二十二条规定；</w:t>
      </w:r>
    </w:p>
    <w:p w14:paraId="012082E8">
      <w:pPr>
        <w:autoSpaceDE/>
        <w:autoSpaceDN/>
        <w:adjustRightInd/>
        <w:spacing w:line="312" w:lineRule="auto"/>
        <w:ind w:firstLine="480" w:firstLineChars="200"/>
        <w:jc w:val="left"/>
        <w:rPr>
          <w:rFonts w:hint="eastAsia" w:ascii="仿宋" w:hAnsi="仿宋" w:eastAsia="仿宋" w:cs="仿宋"/>
          <w:kern w:val="2"/>
          <w:sz w:val="24"/>
          <w:szCs w:val="24"/>
        </w:rPr>
      </w:pPr>
      <w:r>
        <w:rPr>
          <w:rFonts w:hint="eastAsia" w:ascii="仿宋" w:hAnsi="仿宋" w:eastAsia="仿宋" w:cs="仿宋"/>
          <w:color w:val="auto"/>
          <w:kern w:val="2"/>
          <w:sz w:val="24"/>
          <w:szCs w:val="24"/>
        </w:rPr>
        <w:t>2.未被“信用中国”（www.creditchina.gov.cn）、中国政府采购网（www.ccgp.gov.cn）列入失信被执行人、重大税收违法</w:t>
      </w:r>
      <w:r>
        <w:rPr>
          <w:rFonts w:hint="eastAsia" w:ascii="仿宋" w:hAnsi="仿宋" w:eastAsia="仿宋" w:cs="仿宋"/>
          <w:kern w:val="2"/>
          <w:sz w:val="24"/>
          <w:szCs w:val="24"/>
        </w:rPr>
        <w:t>案件当事人名单、政府采购严重违法失信行为记录名单；</w:t>
      </w:r>
    </w:p>
    <w:p w14:paraId="522C3F3A">
      <w:pPr>
        <w:pStyle w:val="18"/>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3.落实政府采购政策需满足的资格要求：</w:t>
      </w:r>
      <w:r>
        <w:rPr>
          <w:rFonts w:hint="eastAsia" w:ascii="仿宋" w:hAnsi="仿宋" w:eastAsia="仿宋" w:cs="仿宋"/>
        </w:rPr>
        <w:t>本项目</w:t>
      </w:r>
      <w:r>
        <w:rPr>
          <w:rFonts w:hint="eastAsia" w:ascii="仿宋" w:hAnsi="仿宋" w:eastAsia="仿宋" w:cs="仿宋"/>
          <w:b/>
          <w:bCs/>
        </w:rPr>
        <w:t>专门面向中小企业采购</w:t>
      </w:r>
      <w:r>
        <w:rPr>
          <w:rFonts w:hint="eastAsia" w:ascii="仿宋" w:hAnsi="仿宋" w:eastAsia="仿宋" w:cs="仿宋"/>
        </w:rPr>
        <w:t>，中小企业是指满足《政府采购促进中小企业发展管理办法》（财库〔2020〕46号）规定的企业;</w:t>
      </w:r>
      <w:r>
        <w:rPr>
          <w:rFonts w:hint="eastAsia" w:ascii="仿宋" w:hAnsi="仿宋" w:eastAsia="仿宋" w:cs="仿宋"/>
          <w:kern w:val="2"/>
        </w:rPr>
        <w:t>即本项目供应商必须提供以下任意一种符合企业自身条件的声明函</w:t>
      </w:r>
      <w:r>
        <w:rPr>
          <w:rFonts w:hint="eastAsia" w:ascii="仿宋" w:hAnsi="仿宋" w:cs="仿宋"/>
          <w:kern w:val="2"/>
          <w:lang w:eastAsia="zh-CN"/>
        </w:rPr>
        <w:t>：</w:t>
      </w:r>
    </w:p>
    <w:p w14:paraId="3BF8199C">
      <w:pPr>
        <w:pStyle w:val="18"/>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 xml:space="preserve"> ①中小企业声明函；</w:t>
      </w:r>
    </w:p>
    <w:p w14:paraId="5CFD6AF9">
      <w:pPr>
        <w:pStyle w:val="18"/>
        <w:spacing w:before="0" w:beforeAutospacing="0" w:after="0" w:afterAutospacing="0" w:line="312" w:lineRule="auto"/>
        <w:ind w:firstLine="480" w:firstLineChars="200"/>
        <w:jc w:val="both"/>
        <w:rPr>
          <w:rFonts w:hint="eastAsia" w:ascii="仿宋" w:hAnsi="仿宋" w:eastAsia="仿宋" w:cs="仿宋"/>
          <w:kern w:val="2"/>
          <w:lang w:eastAsia="zh-CN"/>
        </w:rPr>
      </w:pPr>
      <w:r>
        <w:rPr>
          <w:rFonts w:hint="eastAsia" w:ascii="仿宋" w:hAnsi="仿宋" w:eastAsia="仿宋" w:cs="仿宋"/>
          <w:kern w:val="2"/>
        </w:rPr>
        <w:t xml:space="preserve"> ②残疾人福利企业声明函；</w:t>
      </w:r>
    </w:p>
    <w:p w14:paraId="5A685DDB">
      <w:pPr>
        <w:pStyle w:val="18"/>
        <w:spacing w:before="0" w:beforeAutospacing="0" w:after="0" w:afterAutospacing="0" w:line="312" w:lineRule="auto"/>
        <w:ind w:firstLine="480" w:firstLineChars="200"/>
        <w:jc w:val="both"/>
        <w:rPr>
          <w:rFonts w:hint="eastAsia" w:ascii="仿宋" w:hAnsi="仿宋" w:eastAsia="仿宋" w:cs="仿宋"/>
          <w:kern w:val="2"/>
          <w:lang w:val="en-US" w:eastAsia="zh-CN"/>
        </w:rPr>
      </w:pPr>
      <w:r>
        <w:rPr>
          <w:rFonts w:hint="eastAsia" w:ascii="仿宋" w:hAnsi="仿宋" w:eastAsia="仿宋" w:cs="仿宋"/>
          <w:kern w:val="2"/>
        </w:rPr>
        <w:t xml:space="preserve"> </w:t>
      </w:r>
      <w:r>
        <w:rPr>
          <w:rFonts w:hint="eastAsia" w:ascii="仿宋" w:hAnsi="仿宋" w:eastAsia="仿宋" w:cs="仿宋"/>
        </w:rPr>
        <w:t>③监狱企业的证明文件</w:t>
      </w:r>
      <w:r>
        <w:rPr>
          <w:rFonts w:hint="eastAsia" w:ascii="仿宋" w:hAnsi="仿宋" w:eastAsia="仿宋" w:cs="仿宋"/>
          <w:kern w:val="2"/>
        </w:rPr>
        <w:t>。</w:t>
      </w:r>
    </w:p>
    <w:p w14:paraId="6358C6FF">
      <w:pPr>
        <w:pStyle w:val="18"/>
        <w:spacing w:before="0" w:beforeAutospacing="0" w:after="0" w:afterAutospacing="0" w:line="312" w:lineRule="auto"/>
        <w:ind w:firstLine="480" w:firstLineChars="200"/>
        <w:jc w:val="both"/>
        <w:rPr>
          <w:rFonts w:hint="eastAsia" w:ascii="仿宋" w:hAnsi="仿宋" w:eastAsia="仿宋" w:cs="仿宋"/>
          <w:bCs/>
        </w:rPr>
      </w:pPr>
      <w:r>
        <w:rPr>
          <w:rFonts w:hint="eastAsia" w:ascii="仿宋" w:hAnsi="仿宋" w:eastAsia="仿宋" w:cs="仿宋"/>
          <w:kern w:val="2"/>
          <w:lang w:val="en-US" w:eastAsia="zh-CN"/>
        </w:rPr>
        <w:t>4</w:t>
      </w:r>
      <w:r>
        <w:rPr>
          <w:rFonts w:hint="eastAsia" w:ascii="仿宋" w:hAnsi="仿宋" w:eastAsia="仿宋" w:cs="仿宋"/>
          <w:kern w:val="2"/>
        </w:rPr>
        <w:t>.本项目不接受联合体投标。</w:t>
      </w:r>
    </w:p>
    <w:p w14:paraId="27CF458D">
      <w:pPr>
        <w:pStyle w:val="18"/>
        <w:spacing w:before="0" w:beforeAutospacing="0" w:after="0" w:afterAutospacing="0" w:line="312" w:lineRule="auto"/>
        <w:jc w:val="both"/>
        <w:rPr>
          <w:rStyle w:val="23"/>
          <w:rFonts w:hint="eastAsia" w:ascii="仿宋" w:hAnsi="仿宋" w:eastAsia="仿宋" w:cs="仿宋"/>
          <w:lang w:eastAsia="zh-CN"/>
        </w:rPr>
      </w:pPr>
      <w:r>
        <w:rPr>
          <w:rStyle w:val="23"/>
          <w:rFonts w:hint="eastAsia" w:ascii="仿宋" w:hAnsi="仿宋" w:eastAsia="仿宋" w:cs="仿宋"/>
        </w:rPr>
        <w:t>三、获取招标文件</w:t>
      </w:r>
      <w:r>
        <w:rPr>
          <w:rStyle w:val="23"/>
          <w:rFonts w:hint="eastAsia" w:ascii="仿宋" w:hAnsi="仿宋" w:cs="仿宋"/>
          <w:lang w:eastAsia="zh-CN"/>
        </w:rPr>
        <w:t>：</w:t>
      </w:r>
    </w:p>
    <w:p w14:paraId="456501B9">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时间：公告发布之日起至投标截止时间。</w:t>
      </w:r>
    </w:p>
    <w:p w14:paraId="2217BFF2">
      <w:pPr>
        <w:pStyle w:val="18"/>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地点（网址）：政采云平台</w:t>
      </w:r>
      <w:r>
        <w:rPr>
          <w:rFonts w:hint="eastAsia" w:ascii="仿宋" w:hAnsi="仿宋" w:eastAsia="仿宋" w:cs="仿宋"/>
          <w:u w:val="single"/>
        </w:rPr>
        <w:t>http://www.zcygov.cn/</w:t>
      </w:r>
      <w:r>
        <w:rPr>
          <w:rFonts w:hint="eastAsia" w:ascii="仿宋" w:hAnsi="仿宋" w:eastAsia="仿宋" w:cs="仿宋"/>
        </w:rPr>
        <w:t> </w:t>
      </w:r>
      <w:r>
        <w:rPr>
          <w:rFonts w:hint="eastAsia" w:ascii="仿宋" w:hAnsi="仿宋" w:cs="仿宋"/>
          <w:lang w:eastAsia="zh-CN"/>
        </w:rPr>
        <w:t>。</w:t>
      </w:r>
    </w:p>
    <w:p w14:paraId="438A40B2">
      <w:pPr>
        <w:pStyle w:val="18"/>
        <w:spacing w:before="0" w:beforeAutospacing="0" w:after="0" w:afterAutospacing="0" w:line="312" w:lineRule="auto"/>
        <w:ind w:firstLine="480" w:firstLineChars="200"/>
        <w:rPr>
          <w:rFonts w:hint="eastAsia" w:ascii="仿宋" w:hAnsi="仿宋" w:eastAsia="仿宋" w:cs="仿宋"/>
        </w:rPr>
      </w:pPr>
      <w:r>
        <w:rPr>
          <w:rFonts w:hint="eastAsia" w:ascii="仿宋" w:hAnsi="仿宋" w:eastAsia="仿宋" w:cs="仿宋"/>
        </w:rPr>
        <w:t>方式：潜在供应商登录政府采购云平台http://www.zcygov.cn/，在线申请获取招标文件。进入“项目采购”应用，在线获取招标文件菜单中选择项目，申请获取招标文件（仅需浏览招标文件的供应商可点击“游客，浏览招标文件”直接下载招标文件浏览）。本项目无须报名，于开标当日直接参加投标。招标文件发布截止时间之后有潜在供应商提出要求获取招标文件的，允许获取。</w:t>
      </w:r>
    </w:p>
    <w:p w14:paraId="70949505">
      <w:pPr>
        <w:pStyle w:val="18"/>
        <w:spacing w:before="0" w:beforeAutospacing="0" w:after="0" w:afterAutospacing="0" w:line="312" w:lineRule="auto"/>
        <w:ind w:firstLine="480" w:firstLineChars="200"/>
        <w:rPr>
          <w:rFonts w:hint="eastAsia" w:ascii="仿宋" w:hAnsi="仿宋" w:eastAsia="仿宋" w:cs="仿宋"/>
          <w:lang w:eastAsia="zh-CN"/>
        </w:rPr>
      </w:pPr>
      <w:r>
        <w:rPr>
          <w:rFonts w:hint="eastAsia" w:ascii="仿宋" w:hAnsi="仿宋" w:eastAsia="仿宋" w:cs="仿宋"/>
        </w:rPr>
        <w:t>售价（元）：0 </w:t>
      </w:r>
      <w:r>
        <w:rPr>
          <w:rFonts w:hint="eastAsia" w:ascii="仿宋" w:hAnsi="仿宋" w:cs="仿宋"/>
          <w:lang w:eastAsia="zh-CN"/>
        </w:rPr>
        <w:t>。</w:t>
      </w:r>
    </w:p>
    <w:p w14:paraId="665FC06B">
      <w:pPr>
        <w:pStyle w:val="18"/>
        <w:spacing w:before="0" w:beforeAutospacing="0" w:after="0" w:afterAutospacing="0" w:line="312" w:lineRule="auto"/>
        <w:jc w:val="both"/>
        <w:rPr>
          <w:rStyle w:val="23"/>
          <w:rFonts w:hint="eastAsia" w:ascii="仿宋" w:hAnsi="仿宋" w:eastAsia="仿宋" w:cs="仿宋"/>
          <w:lang w:eastAsia="zh-CN"/>
        </w:rPr>
      </w:pPr>
      <w:r>
        <w:rPr>
          <w:rStyle w:val="23"/>
          <w:rFonts w:hint="eastAsia" w:ascii="仿宋" w:hAnsi="仿宋" w:eastAsia="仿宋" w:cs="仿宋"/>
        </w:rPr>
        <w:t>四、提交投标文件截止时间、开标时间和地点</w:t>
      </w:r>
      <w:r>
        <w:rPr>
          <w:rStyle w:val="23"/>
          <w:rFonts w:hint="eastAsia" w:ascii="仿宋" w:hAnsi="仿宋" w:cs="仿宋"/>
          <w:lang w:eastAsia="zh-CN"/>
        </w:rPr>
        <w:t>：</w:t>
      </w:r>
    </w:p>
    <w:p w14:paraId="4B940EF0">
      <w:pPr>
        <w:pStyle w:val="18"/>
        <w:spacing w:before="75" w:beforeAutospacing="0" w:after="75" w:afterAutospacing="0" w:line="312" w:lineRule="auto"/>
        <w:rPr>
          <w:rFonts w:hint="eastAsia" w:ascii="仿宋" w:hAnsi="仿宋" w:eastAsia="仿宋" w:cs="仿宋"/>
          <w:lang w:eastAsia="zh-CN"/>
        </w:rPr>
      </w:pPr>
      <w:r>
        <w:rPr>
          <w:rFonts w:hint="eastAsia" w:ascii="仿宋" w:hAnsi="仿宋" w:eastAsia="仿宋" w:cs="仿宋"/>
        </w:rPr>
        <w:t>提交投标文件截止时间：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14:30</w:t>
      </w:r>
      <w:r>
        <w:rPr>
          <w:rFonts w:hint="eastAsia" w:ascii="仿宋" w:hAnsi="仿宋" w:eastAsia="仿宋" w:cs="仿宋"/>
          <w:color w:val="FF0000"/>
          <w:u w:val="single"/>
        </w:rPr>
        <w:t>时</w:t>
      </w:r>
      <w:r>
        <w:rPr>
          <w:rFonts w:hint="eastAsia" w:ascii="仿宋" w:hAnsi="仿宋" w:eastAsia="仿宋" w:cs="仿宋"/>
          <w:u w:val="single"/>
        </w:rPr>
        <w:t>（</w:t>
      </w:r>
      <w:r>
        <w:rPr>
          <w:rFonts w:hint="eastAsia" w:ascii="仿宋" w:hAnsi="仿宋" w:eastAsia="仿宋" w:cs="仿宋"/>
        </w:rPr>
        <w:t>北京时间）</w:t>
      </w:r>
      <w:r>
        <w:rPr>
          <w:rFonts w:hint="eastAsia" w:ascii="仿宋" w:hAnsi="仿宋" w:cs="仿宋"/>
          <w:lang w:eastAsia="zh-CN"/>
        </w:rPr>
        <w:t>。</w:t>
      </w:r>
    </w:p>
    <w:p w14:paraId="61FC25BB">
      <w:pPr>
        <w:pStyle w:val="18"/>
        <w:spacing w:before="75" w:beforeAutospacing="0" w:after="75" w:afterAutospacing="0" w:line="312" w:lineRule="auto"/>
        <w:rPr>
          <w:rFonts w:hint="eastAsia" w:ascii="仿宋" w:hAnsi="仿宋" w:eastAsia="仿宋" w:cs="仿宋"/>
          <w:u w:val="single"/>
        </w:rPr>
      </w:pPr>
      <w:r>
        <w:rPr>
          <w:rFonts w:hint="eastAsia" w:ascii="仿宋" w:hAnsi="仿宋" w:eastAsia="仿宋" w:cs="仿宋"/>
        </w:rPr>
        <w:t>投标地点（网址）：</w:t>
      </w:r>
      <w:r>
        <w:rPr>
          <w:rFonts w:hint="eastAsia" w:ascii="仿宋" w:hAnsi="仿宋" w:cs="仿宋"/>
          <w:u w:val="single"/>
          <w:lang w:eastAsia="zh-CN"/>
        </w:rPr>
        <w:t>投标人</w:t>
      </w:r>
      <w:r>
        <w:rPr>
          <w:rFonts w:hint="eastAsia" w:ascii="仿宋" w:hAnsi="仿宋" w:eastAsia="仿宋" w:cs="仿宋"/>
          <w:u w:val="single"/>
        </w:rPr>
        <w:t>应于</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14:30</w:t>
      </w:r>
      <w:r>
        <w:rPr>
          <w:rFonts w:hint="eastAsia" w:ascii="仿宋" w:hAnsi="仿宋" w:eastAsia="仿宋" w:cs="仿宋"/>
          <w:color w:val="FF0000"/>
          <w:u w:val="single"/>
        </w:rPr>
        <w:t>时</w:t>
      </w:r>
      <w:r>
        <w:rPr>
          <w:rFonts w:hint="eastAsia" w:ascii="仿宋" w:hAnsi="仿宋" w:eastAsia="仿宋" w:cs="仿宋"/>
          <w:u w:val="single"/>
        </w:rPr>
        <w:t>前按照电子投标要求将电子加密标书上传到“政采云”平台，逾期或未上传成功的将导致无法投标或投标无效。</w:t>
      </w:r>
    </w:p>
    <w:p w14:paraId="1863D0C1">
      <w:pPr>
        <w:pStyle w:val="18"/>
        <w:spacing w:before="75" w:beforeAutospacing="0" w:after="75" w:afterAutospacing="0" w:line="312" w:lineRule="auto"/>
        <w:rPr>
          <w:rFonts w:hint="eastAsia" w:ascii="仿宋" w:hAnsi="仿宋" w:eastAsia="仿宋" w:cs="仿宋"/>
          <w:lang w:eastAsia="zh-CN"/>
        </w:rPr>
      </w:pPr>
      <w:r>
        <w:rPr>
          <w:rFonts w:hint="eastAsia" w:ascii="仿宋" w:hAnsi="仿宋" w:eastAsia="仿宋" w:cs="仿宋"/>
        </w:rPr>
        <w:t>开标时间：</w:t>
      </w:r>
      <w:r>
        <w:rPr>
          <w:rFonts w:hint="eastAsia" w:ascii="仿宋" w:hAnsi="仿宋" w:cs="仿宋"/>
          <w:color w:val="FF0000"/>
          <w:u w:val="single"/>
          <w:lang w:eastAsia="zh-CN"/>
        </w:rPr>
        <w:t>2025年</w:t>
      </w:r>
      <w:r>
        <w:rPr>
          <w:rFonts w:hint="eastAsia" w:ascii="仿宋" w:hAnsi="仿宋" w:cs="仿宋"/>
          <w:color w:val="FF0000"/>
          <w:u w:val="single"/>
          <w:lang w:val="en-US" w:eastAsia="zh-CN"/>
        </w:rPr>
        <w:t>4</w:t>
      </w:r>
      <w:r>
        <w:rPr>
          <w:rFonts w:hint="eastAsia" w:ascii="仿宋" w:hAnsi="仿宋" w:eastAsia="仿宋" w:cs="仿宋"/>
          <w:color w:val="FF0000"/>
          <w:u w:val="single"/>
        </w:rPr>
        <w:t>月</w:t>
      </w:r>
      <w:r>
        <w:rPr>
          <w:rFonts w:hint="eastAsia" w:ascii="仿宋" w:hAnsi="仿宋" w:cs="仿宋"/>
          <w:color w:val="FF0000"/>
          <w:u w:val="single"/>
          <w:lang w:val="en-US" w:eastAsia="zh-CN"/>
        </w:rPr>
        <w:t>23</w:t>
      </w:r>
      <w:r>
        <w:rPr>
          <w:rFonts w:hint="eastAsia" w:ascii="仿宋" w:hAnsi="仿宋" w:eastAsia="仿宋" w:cs="仿宋"/>
          <w:color w:val="FF0000"/>
          <w:u w:val="single"/>
        </w:rPr>
        <w:t>日</w:t>
      </w:r>
      <w:r>
        <w:rPr>
          <w:rFonts w:hint="eastAsia" w:ascii="仿宋" w:hAnsi="仿宋" w:cs="仿宋"/>
          <w:color w:val="FF0000"/>
          <w:u w:val="single"/>
          <w:lang w:val="en-US" w:eastAsia="zh-CN"/>
        </w:rPr>
        <w:t>14:30</w:t>
      </w:r>
      <w:r>
        <w:rPr>
          <w:rFonts w:hint="eastAsia" w:ascii="仿宋" w:hAnsi="仿宋" w:eastAsia="仿宋" w:cs="仿宋"/>
          <w:color w:val="FF0000"/>
          <w:u w:val="single"/>
        </w:rPr>
        <w:t>时</w:t>
      </w:r>
      <w:r>
        <w:rPr>
          <w:rFonts w:hint="eastAsia" w:ascii="仿宋" w:hAnsi="仿宋" w:cs="仿宋"/>
          <w:color w:val="FF0000"/>
          <w:u w:val="single"/>
          <w:lang w:eastAsia="zh-CN"/>
        </w:rPr>
        <w:t>。</w:t>
      </w:r>
    </w:p>
    <w:p w14:paraId="182E6EB2">
      <w:pPr>
        <w:pStyle w:val="18"/>
        <w:spacing w:before="75" w:beforeAutospacing="0" w:after="75" w:afterAutospacing="0" w:line="312" w:lineRule="auto"/>
        <w:ind w:firstLine="373"/>
        <w:rPr>
          <w:rFonts w:hint="eastAsia" w:ascii="仿宋" w:hAnsi="仿宋" w:eastAsia="仿宋" w:cs="仿宋"/>
        </w:rPr>
      </w:pPr>
      <w:r>
        <w:rPr>
          <w:rFonts w:hint="eastAsia" w:ascii="仿宋" w:hAnsi="仿宋" w:eastAsia="仿宋" w:cs="仿宋"/>
        </w:rPr>
        <w:t>开标地点：政采云开标大厅。</w:t>
      </w:r>
    </w:p>
    <w:p w14:paraId="3F772250">
      <w:pPr>
        <w:pStyle w:val="18"/>
        <w:spacing w:before="75" w:beforeAutospacing="0" w:after="75" w:afterAutospacing="0" w:line="312" w:lineRule="auto"/>
        <w:ind w:firstLine="373"/>
        <w:rPr>
          <w:rFonts w:hint="eastAsia" w:ascii="仿宋" w:hAnsi="仿宋" w:eastAsia="仿宋" w:cs="仿宋"/>
          <w:u w:val="single"/>
        </w:rPr>
      </w:pPr>
      <w:r>
        <w:rPr>
          <w:rFonts w:hint="eastAsia" w:ascii="仿宋" w:hAnsi="仿宋" w:eastAsia="仿宋" w:cs="仿宋"/>
        </w:rPr>
        <w:t>评标地点：</w:t>
      </w:r>
      <w:r>
        <w:rPr>
          <w:rFonts w:hint="eastAsia" w:ascii="仿宋" w:hAnsi="仿宋" w:eastAsia="仿宋" w:cs="仿宋"/>
          <w:u w:val="single"/>
        </w:rPr>
        <w:t>武义县武阳中路2号建行大楼13楼评标室</w:t>
      </w:r>
      <w:r>
        <w:rPr>
          <w:rFonts w:hint="eastAsia" w:ascii="仿宋" w:hAnsi="仿宋" w:cs="仿宋"/>
          <w:u w:val="single"/>
          <w:lang w:val="en-US" w:eastAsia="zh-CN"/>
        </w:rPr>
        <w:t>6</w:t>
      </w:r>
      <w:r>
        <w:rPr>
          <w:rFonts w:hint="eastAsia" w:ascii="仿宋" w:hAnsi="仿宋" w:eastAsia="仿宋" w:cs="仿宋"/>
          <w:u w:val="single"/>
        </w:rPr>
        <w:t>。</w:t>
      </w:r>
    </w:p>
    <w:p w14:paraId="30B30BA4">
      <w:pPr>
        <w:pStyle w:val="18"/>
        <w:spacing w:before="0" w:beforeAutospacing="0" w:after="0" w:afterAutospacing="0" w:line="312" w:lineRule="auto"/>
        <w:jc w:val="both"/>
        <w:rPr>
          <w:rStyle w:val="23"/>
          <w:rFonts w:hint="eastAsia" w:ascii="仿宋" w:hAnsi="仿宋" w:eastAsia="仿宋" w:cs="仿宋"/>
          <w:lang w:eastAsia="zh-CN"/>
        </w:rPr>
      </w:pPr>
      <w:r>
        <w:rPr>
          <w:rStyle w:val="23"/>
          <w:rFonts w:hint="eastAsia" w:ascii="仿宋" w:hAnsi="仿宋" w:eastAsia="仿宋" w:cs="仿宋"/>
        </w:rPr>
        <w:t>五、其他补充事宜</w:t>
      </w:r>
      <w:r>
        <w:rPr>
          <w:rStyle w:val="23"/>
          <w:rFonts w:hint="eastAsia" w:ascii="仿宋" w:hAnsi="仿宋" w:cs="仿宋"/>
          <w:lang w:eastAsia="zh-CN"/>
        </w:rPr>
        <w:t>：</w:t>
      </w:r>
    </w:p>
    <w:p w14:paraId="2FB25944">
      <w:pPr>
        <w:pStyle w:val="18"/>
        <w:spacing w:before="75" w:beforeAutospacing="0" w:after="75" w:afterAutospacing="0" w:line="312" w:lineRule="auto"/>
        <w:rPr>
          <w:rFonts w:hint="eastAsia" w:ascii="仿宋" w:hAnsi="仿宋" w:eastAsia="仿宋" w:cs="仿宋"/>
        </w:rPr>
      </w:pPr>
      <w:r>
        <w:rPr>
          <w:rFonts w:hint="eastAsia" w:ascii="仿宋" w:hAnsi="仿宋" w:eastAsia="仿宋" w:cs="仿宋"/>
        </w:rPr>
        <w:t>1</w:t>
      </w:r>
      <w:r>
        <w:rPr>
          <w:rFonts w:hint="eastAsia" w:ascii="仿宋" w:hAnsi="仿宋" w:eastAsia="仿宋" w:cs="仿宋"/>
          <w:lang w:val="en-US" w:eastAsia="zh-CN"/>
        </w:rPr>
        <w:t>.</w:t>
      </w:r>
      <w:r>
        <w:rPr>
          <w:rFonts w:hint="eastAsia" w:ascii="仿宋" w:hAnsi="仿宋" w:eastAsia="仿宋" w:cs="仿宋"/>
        </w:rPr>
        <w:t>供应商认为采购文件使自己的权益受到损害的，可以自获取采购文件之日或者采购公告期限届满之日（公告期限届满后获取采购文件的，以公告期限届满之日为准）起7个工作日内，以书面形式向采购人和采购代理机构一次性提出质疑，逾期不再受理。质疑供应商对采购人、采购代理机构的答复不满意或者采购人、采购代理机构未在规定的时间内做出答复的，可以在答复期满后十五个工作日内向同级政府采购监督管理部门投诉。质疑函范本、投诉书范本请到浙江政府采购网下载专区下载。</w:t>
      </w:r>
    </w:p>
    <w:p w14:paraId="06BAE315">
      <w:pPr>
        <w:pStyle w:val="18"/>
        <w:spacing w:before="75" w:beforeAutospacing="0" w:after="75" w:afterAutospacing="0" w:line="312" w:lineRule="auto"/>
        <w:ind w:firstLine="373"/>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w:t>
      </w:r>
      <w:r>
        <w:rPr>
          <w:rFonts w:hint="eastAsia" w:ascii="仿宋" w:hAnsi="仿宋" w:eastAsia="仿宋" w:cs="仿宋"/>
        </w:rPr>
        <w:t>其他事项：详见招标文件</w:t>
      </w:r>
      <w:r>
        <w:rPr>
          <w:rFonts w:hint="eastAsia" w:ascii="仿宋" w:hAnsi="仿宋" w:cs="仿宋"/>
          <w:lang w:eastAsia="zh-CN"/>
        </w:rPr>
        <w:t>。</w:t>
      </w:r>
      <w:r>
        <w:rPr>
          <w:rFonts w:hint="eastAsia" w:ascii="仿宋" w:hAnsi="仿宋" w:eastAsia="仿宋" w:cs="仿宋"/>
        </w:rPr>
        <w:t> 　　　　</w:t>
      </w:r>
    </w:p>
    <w:p w14:paraId="2552D37B">
      <w:pPr>
        <w:pStyle w:val="18"/>
        <w:spacing w:before="0" w:beforeAutospacing="0" w:after="0" w:afterAutospacing="0" w:line="312" w:lineRule="auto"/>
        <w:rPr>
          <w:rFonts w:hint="eastAsia" w:ascii="仿宋" w:hAnsi="仿宋" w:eastAsia="仿宋" w:cs="仿宋"/>
        </w:rPr>
      </w:pPr>
      <w:r>
        <w:rPr>
          <w:rStyle w:val="23"/>
          <w:rFonts w:hint="eastAsia" w:ascii="仿宋" w:hAnsi="仿宋" w:eastAsia="仿宋" w:cs="仿宋"/>
        </w:rPr>
        <w:t>六、投标保证金：无</w:t>
      </w:r>
      <w:r>
        <w:rPr>
          <w:rStyle w:val="23"/>
          <w:rFonts w:hint="eastAsia" w:ascii="仿宋" w:hAnsi="仿宋" w:cs="仿宋"/>
          <w:lang w:eastAsia="zh-CN"/>
        </w:rPr>
        <w:t>。</w:t>
      </w:r>
      <w:r>
        <w:rPr>
          <w:rFonts w:hint="eastAsia" w:ascii="仿宋" w:hAnsi="仿宋" w:eastAsia="仿宋" w:cs="仿宋"/>
        </w:rPr>
        <w:t>　</w:t>
      </w:r>
    </w:p>
    <w:p w14:paraId="69AC5797">
      <w:pPr>
        <w:pStyle w:val="18"/>
        <w:spacing w:before="0" w:beforeAutospacing="0" w:after="0" w:afterAutospacing="0" w:line="312" w:lineRule="auto"/>
        <w:rPr>
          <w:rFonts w:hint="eastAsia" w:ascii="仿宋" w:hAnsi="仿宋" w:eastAsia="仿宋" w:cs="仿宋"/>
          <w:b/>
          <w:bCs/>
        </w:rPr>
      </w:pPr>
      <w:r>
        <w:rPr>
          <w:rFonts w:hint="eastAsia" w:ascii="仿宋" w:hAnsi="仿宋" w:eastAsia="仿宋" w:cs="仿宋"/>
          <w:b/>
          <w:bCs/>
        </w:rPr>
        <w:t>七、其他注意事项：</w:t>
      </w:r>
    </w:p>
    <w:p w14:paraId="1B617D8C">
      <w:pPr>
        <w:pStyle w:val="12"/>
        <w:adjustRightInd w:val="0"/>
        <w:snapToGrid w:val="0"/>
        <w:spacing w:line="312" w:lineRule="auto"/>
        <w:ind w:firstLine="480" w:firstLineChars="200"/>
        <w:rPr>
          <w:rFonts w:hint="eastAsia" w:ascii="仿宋" w:hAnsi="仿宋" w:eastAsia="仿宋" w:cs="仿宋"/>
          <w:szCs w:val="24"/>
        </w:rPr>
      </w:pPr>
      <w:r>
        <w:rPr>
          <w:rFonts w:hint="eastAsia" w:cs="仿宋"/>
          <w:bCs/>
          <w:szCs w:val="24"/>
          <w:u w:val="single"/>
          <w:lang w:val="en-US" w:eastAsia="zh-CN"/>
        </w:rPr>
        <w:t>1.</w:t>
      </w:r>
      <w:r>
        <w:rPr>
          <w:rFonts w:hint="eastAsia" w:ascii="仿宋" w:hAnsi="仿宋" w:eastAsia="仿宋" w:cs="仿宋"/>
          <w:bCs/>
          <w:szCs w:val="24"/>
          <w:u w:val="single"/>
        </w:rPr>
        <w:t>投标</w:t>
      </w:r>
      <w:r>
        <w:rPr>
          <w:rFonts w:hint="eastAsia" w:cs="仿宋"/>
          <w:bCs/>
          <w:szCs w:val="24"/>
          <w:u w:val="single"/>
          <w:lang w:eastAsia="zh-CN"/>
        </w:rPr>
        <w:t>人</w:t>
      </w:r>
      <w:r>
        <w:rPr>
          <w:rFonts w:hint="eastAsia" w:ascii="仿宋" w:hAnsi="仿宋" w:eastAsia="仿宋" w:cs="仿宋"/>
          <w:bCs/>
          <w:szCs w:val="24"/>
          <w:u w:val="single"/>
        </w:rPr>
        <w:t>应于开标时间前按照电子投标要求将电子加密标书上传到“政采云”平台，逾期或未上传成功的将导致无法投标或投标无</w:t>
      </w:r>
      <w:r>
        <w:rPr>
          <w:rFonts w:hint="eastAsia" w:ascii="仿宋" w:hAnsi="仿宋" w:eastAsia="仿宋" w:cs="仿宋"/>
          <w:bCs/>
          <w:kern w:val="0"/>
          <w:szCs w:val="24"/>
          <w:u w:val="single"/>
        </w:rPr>
        <w:t>效。</w:t>
      </w:r>
      <w:r>
        <w:rPr>
          <w:rFonts w:hint="eastAsia" w:ascii="仿宋" w:hAnsi="仿宋" w:eastAsia="仿宋" w:cs="仿宋"/>
          <w:szCs w:val="24"/>
        </w:rPr>
        <w:t>备注：为确保采购项目顺利实施，避免因政采云上电子投标文件解密失败导致</w:t>
      </w:r>
      <w:r>
        <w:rPr>
          <w:rFonts w:hint="eastAsia" w:cs="仿宋"/>
          <w:szCs w:val="24"/>
          <w:lang w:eastAsia="zh-CN"/>
        </w:rPr>
        <w:t>投标人</w:t>
      </w:r>
      <w:r>
        <w:rPr>
          <w:rFonts w:hint="eastAsia" w:ascii="仿宋" w:hAnsi="仿宋" w:eastAsia="仿宋" w:cs="仿宋"/>
          <w:szCs w:val="24"/>
        </w:rPr>
        <w:t>投标无效，</w:t>
      </w:r>
      <w:r>
        <w:rPr>
          <w:rFonts w:hint="eastAsia" w:cs="仿宋"/>
          <w:szCs w:val="24"/>
          <w:lang w:eastAsia="zh-CN"/>
        </w:rPr>
        <w:t>投标人</w:t>
      </w:r>
      <w:r>
        <w:rPr>
          <w:rFonts w:hint="eastAsia" w:ascii="仿宋" w:hAnsi="仿宋" w:eastAsia="仿宋" w:cs="仿宋"/>
          <w:szCs w:val="24"/>
        </w:rPr>
        <w:t>可在开标时间前将在政采云平台上最后生成的具备电子签章的备份加密投标文件（文件名后缀为备份文件四字的首字母）以电子邮件方式传送至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邮箱（3457848128@qq.com），传送的备份电子投标文件需打包压缩并加密，加密密码由</w:t>
      </w:r>
      <w:r>
        <w:rPr>
          <w:rFonts w:hint="eastAsia" w:cs="仿宋"/>
          <w:szCs w:val="24"/>
          <w:lang w:eastAsia="zh-CN"/>
        </w:rPr>
        <w:t>投标人</w:t>
      </w:r>
      <w:r>
        <w:rPr>
          <w:rFonts w:hint="eastAsia" w:ascii="仿宋" w:hAnsi="仿宋" w:eastAsia="仿宋" w:cs="仿宋"/>
          <w:szCs w:val="24"/>
        </w:rPr>
        <w:t>自行保管，如政采云上电子投标文件出现解密失败情况（开标后30分钟内进行解密），</w:t>
      </w:r>
      <w:r>
        <w:rPr>
          <w:rFonts w:hint="eastAsia" w:cs="仿宋"/>
          <w:szCs w:val="24"/>
          <w:lang w:eastAsia="zh-CN"/>
        </w:rPr>
        <w:t>投标人</w:t>
      </w:r>
      <w:r>
        <w:rPr>
          <w:rFonts w:hint="eastAsia" w:ascii="仿宋" w:hAnsi="仿宋" w:eastAsia="仿宋" w:cs="仿宋"/>
          <w:szCs w:val="24"/>
        </w:rPr>
        <w:t>可按照自身意愿确认是否同意提供加密密码解密传送至</w:t>
      </w:r>
      <w:r>
        <w:rPr>
          <w:rFonts w:hint="eastAsia" w:ascii="仿宋" w:hAnsi="仿宋" w:eastAsia="仿宋" w:cs="仿宋"/>
          <w:szCs w:val="24"/>
          <w:lang w:eastAsia="zh-CN"/>
        </w:rPr>
        <w:t>浙江日晟信息咨询有限公司</w:t>
      </w:r>
      <w:r>
        <w:rPr>
          <w:rFonts w:hint="eastAsia" w:ascii="仿宋" w:hAnsi="仿宋" w:eastAsia="仿宋" w:cs="仿宋"/>
          <w:szCs w:val="24"/>
        </w:rPr>
        <w:t>邮箱的备份文件，并以备份文件作为替代电子投标文件，如</w:t>
      </w:r>
      <w:r>
        <w:rPr>
          <w:rFonts w:hint="eastAsia" w:cs="仿宋"/>
          <w:szCs w:val="24"/>
          <w:lang w:eastAsia="zh-CN"/>
        </w:rPr>
        <w:t>投标人</w:t>
      </w:r>
      <w:r>
        <w:rPr>
          <w:rFonts w:hint="eastAsia" w:ascii="仿宋" w:hAnsi="仿宋" w:eastAsia="仿宋" w:cs="仿宋"/>
          <w:szCs w:val="24"/>
        </w:rPr>
        <w:t>未按照规定时间前按要求提供有效备份文件，同时政采云上投标文件解密失败的，将导致投标无效。</w:t>
      </w:r>
    </w:p>
    <w:p w14:paraId="19376ED1">
      <w:pPr>
        <w:pStyle w:val="12"/>
        <w:adjustRightInd w:val="0"/>
        <w:snapToGrid w:val="0"/>
        <w:spacing w:line="312" w:lineRule="auto"/>
        <w:ind w:firstLine="480" w:firstLineChars="200"/>
        <w:rPr>
          <w:rFonts w:hint="eastAsia" w:ascii="仿宋" w:hAnsi="仿宋" w:eastAsia="仿宋" w:cs="仿宋"/>
          <w:bCs/>
          <w:kern w:val="0"/>
          <w:szCs w:val="24"/>
          <w:u w:val="none"/>
        </w:rPr>
      </w:pPr>
      <w:r>
        <w:rPr>
          <w:rFonts w:hint="eastAsia" w:cs="仿宋"/>
          <w:bCs/>
          <w:kern w:val="0"/>
          <w:szCs w:val="24"/>
          <w:u w:val="none"/>
          <w:lang w:val="en-US" w:eastAsia="zh-CN"/>
        </w:rPr>
        <w:t>2.</w:t>
      </w:r>
      <w:r>
        <w:rPr>
          <w:rFonts w:hint="eastAsia" w:cs="仿宋"/>
          <w:bCs/>
          <w:kern w:val="0"/>
          <w:szCs w:val="24"/>
          <w:u w:val="none"/>
          <w:lang w:eastAsia="zh-CN"/>
        </w:rPr>
        <w:t>投标人</w:t>
      </w:r>
      <w:r>
        <w:rPr>
          <w:rFonts w:hint="eastAsia" w:ascii="仿宋" w:hAnsi="仿宋" w:eastAsia="仿宋" w:cs="仿宋"/>
          <w:bCs/>
          <w:kern w:val="0"/>
          <w:szCs w:val="24"/>
          <w:u w:val="none"/>
        </w:rPr>
        <w:t>无须在开标当天到达开标现场对电子投标进行解密，可在公司办公场地在规定时间内对电子投标文件进行解密。</w:t>
      </w:r>
    </w:p>
    <w:p w14:paraId="3801D752">
      <w:pPr>
        <w:pStyle w:val="12"/>
        <w:adjustRightInd w:val="0"/>
        <w:snapToGrid w:val="0"/>
        <w:spacing w:line="312" w:lineRule="auto"/>
        <w:ind w:firstLine="480" w:firstLineChars="200"/>
        <w:rPr>
          <w:rStyle w:val="23"/>
          <w:rFonts w:hint="eastAsia" w:ascii="仿宋" w:hAnsi="仿宋" w:eastAsia="仿宋" w:cs="仿宋"/>
        </w:rPr>
      </w:pPr>
      <w:r>
        <w:rPr>
          <w:rFonts w:hint="eastAsia" w:cs="仿宋"/>
          <w:bCs/>
          <w:lang w:val="en-US" w:eastAsia="zh-CN"/>
        </w:rPr>
        <w:t>3.</w:t>
      </w:r>
      <w:r>
        <w:rPr>
          <w:rFonts w:hint="eastAsia" w:ascii="仿宋" w:hAnsi="仿宋" w:eastAsia="仿宋" w:cs="仿宋"/>
          <w:bCs/>
        </w:rPr>
        <w:t>开标时间后30分钟内</w:t>
      </w:r>
      <w:r>
        <w:rPr>
          <w:rFonts w:hint="eastAsia" w:cs="仿宋"/>
          <w:bCs/>
          <w:lang w:val="en-US" w:eastAsia="zh-CN"/>
        </w:rPr>
        <w:t>投标人</w:t>
      </w:r>
      <w:r>
        <w:rPr>
          <w:rFonts w:hint="eastAsia" w:ascii="仿宋" w:hAnsi="仿宋" w:eastAsia="仿宋" w:cs="仿宋"/>
          <w:bCs/>
        </w:rPr>
        <w:t>可以登录“政采云”平台，用“项目采购-开标评标”功能进行解密投标文件。若</w:t>
      </w:r>
      <w:r>
        <w:rPr>
          <w:rFonts w:hint="eastAsia" w:cs="仿宋"/>
          <w:bCs/>
          <w:lang w:val="en-US" w:eastAsia="zh-CN"/>
        </w:rPr>
        <w:t>投标人</w:t>
      </w:r>
      <w:r>
        <w:rPr>
          <w:rFonts w:hint="eastAsia" w:ascii="仿宋" w:hAnsi="仿宋" w:eastAsia="仿宋" w:cs="仿宋"/>
          <w:bCs/>
        </w:rPr>
        <w:t>在规定时间内无法解密或解密失败，将导致投标无效或失败。投标</w:t>
      </w:r>
      <w:r>
        <w:rPr>
          <w:rFonts w:hint="eastAsia" w:cs="仿宋"/>
          <w:bCs/>
          <w:lang w:eastAsia="zh-CN"/>
        </w:rPr>
        <w:t>人</w:t>
      </w:r>
      <w:r>
        <w:rPr>
          <w:rFonts w:hint="eastAsia" w:ascii="仿宋" w:hAnsi="仿宋" w:eastAsia="仿宋" w:cs="仿宋"/>
          <w:bCs/>
        </w:rPr>
        <w:t>制作电子投标文件和解密投标文件的需为同一把CA。同时为保障项目开标的连贯性、减少电子投标的意外事件，制作电子投标</w:t>
      </w:r>
      <w:r>
        <w:rPr>
          <w:rFonts w:hint="eastAsia" w:cs="仿宋"/>
          <w:bCs/>
          <w:lang w:eastAsia="zh-CN"/>
        </w:rPr>
        <w:t>人</w:t>
      </w:r>
      <w:r>
        <w:rPr>
          <w:rFonts w:hint="eastAsia" w:ascii="仿宋" w:hAnsi="仿宋" w:eastAsia="仿宋" w:cs="仿宋"/>
          <w:bCs/>
        </w:rPr>
        <w:t>员与开标人员最好为同一人，预留同一手机号码。　　　</w:t>
      </w:r>
      <w:r>
        <w:rPr>
          <w:rFonts w:hint="eastAsia" w:ascii="仿宋" w:hAnsi="仿宋" w:eastAsia="仿宋" w:cs="仿宋"/>
        </w:rPr>
        <w:t>　　　</w:t>
      </w:r>
    </w:p>
    <w:p w14:paraId="3EFD9062">
      <w:pPr>
        <w:pStyle w:val="18"/>
        <w:spacing w:before="0" w:beforeAutospacing="0" w:after="0" w:afterAutospacing="0" w:line="312" w:lineRule="auto"/>
        <w:rPr>
          <w:rFonts w:hint="eastAsia" w:ascii="仿宋" w:hAnsi="仿宋" w:eastAsia="仿宋" w:cs="仿宋"/>
        </w:rPr>
      </w:pPr>
      <w:r>
        <w:rPr>
          <w:rStyle w:val="23"/>
          <w:rFonts w:hint="eastAsia" w:ascii="仿宋" w:hAnsi="仿宋" w:eastAsia="仿宋" w:cs="仿宋"/>
        </w:rPr>
        <w:t>八、对本次招标提出询问、质疑、投诉，请按以下方式联系：</w:t>
      </w:r>
      <w:r>
        <w:rPr>
          <w:rFonts w:hint="eastAsia" w:ascii="仿宋" w:hAnsi="仿宋" w:eastAsia="仿宋" w:cs="仿宋"/>
        </w:rPr>
        <w:t xml:space="preserve">　　　　　　　　　　 </w:t>
      </w:r>
    </w:p>
    <w:p w14:paraId="5E71EC62">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1.采购人信息</w:t>
      </w:r>
    </w:p>
    <w:p w14:paraId="74D0943F">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名  称：</w:t>
      </w:r>
      <w:r>
        <w:rPr>
          <w:rFonts w:hint="eastAsia" w:ascii="仿宋" w:hAnsi="仿宋" w:cs="仿宋"/>
          <w:u w:val="single"/>
          <w:lang w:eastAsia="zh-CN"/>
        </w:rPr>
        <w:t>武义县公安局交通警察大队</w:t>
      </w:r>
      <w:r>
        <w:rPr>
          <w:rFonts w:hint="eastAsia" w:ascii="仿宋" w:hAnsi="仿宋" w:eastAsia="仿宋" w:cs="仿宋"/>
        </w:rPr>
        <w:t>　　　　　　　　　</w:t>
      </w:r>
    </w:p>
    <w:p w14:paraId="26E0F759">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lang w:eastAsia="zh-CN"/>
        </w:rPr>
        <w:t>武义县莹乡路29号</w:t>
      </w:r>
      <w:r>
        <w:rPr>
          <w:rFonts w:hint="eastAsia" w:ascii="仿宋" w:hAnsi="仿宋" w:eastAsia="仿宋" w:cs="仿宋"/>
        </w:rPr>
        <w:t xml:space="preserve">    　</w:t>
      </w:r>
    </w:p>
    <w:p w14:paraId="785BCB23">
      <w:pPr>
        <w:pStyle w:val="18"/>
        <w:spacing w:before="75" w:beforeAutospacing="0" w:after="75" w:afterAutospacing="0" w:line="312" w:lineRule="auto"/>
        <w:rPr>
          <w:rFonts w:hint="eastAsia" w:ascii="仿宋" w:hAnsi="仿宋" w:eastAsia="仿宋" w:cs="仿宋"/>
          <w:highlight w:val="none"/>
        </w:rPr>
      </w:pPr>
      <w:r>
        <w:rPr>
          <w:rFonts w:hint="eastAsia" w:ascii="仿宋" w:hAnsi="仿宋" w:eastAsia="仿宋" w:cs="仿宋"/>
        </w:rPr>
        <w:t> </w:t>
      </w:r>
      <w:r>
        <w:rPr>
          <w:rFonts w:hint="eastAsia" w:ascii="仿宋" w:hAnsi="仿宋" w:eastAsia="仿宋" w:cs="仿宋"/>
          <w:highlight w:val="none"/>
        </w:rPr>
        <w:t xml:space="preserve">  项目联系人（询问）：</w:t>
      </w:r>
      <w:r>
        <w:rPr>
          <w:rFonts w:hint="eastAsia" w:ascii="仿宋" w:hAnsi="仿宋" w:eastAsia="仿宋" w:cs="仿宋"/>
          <w:u w:val="single"/>
          <w:lang w:val="en-US" w:eastAsia="zh-CN"/>
        </w:rPr>
        <w:t>吴先生</w:t>
      </w:r>
      <w:r>
        <w:rPr>
          <w:rFonts w:hint="eastAsia" w:ascii="仿宋" w:hAnsi="仿宋" w:eastAsia="仿宋" w:cs="仿宋"/>
          <w:highlight w:val="none"/>
        </w:rPr>
        <w:t>　</w:t>
      </w:r>
    </w:p>
    <w:p w14:paraId="1ADC5A6D">
      <w:pPr>
        <w:pStyle w:val="18"/>
        <w:spacing w:before="75" w:beforeAutospacing="0" w:after="75" w:afterAutospacing="0" w:line="312" w:lineRule="auto"/>
        <w:rPr>
          <w:rFonts w:hint="default" w:ascii="仿宋" w:hAnsi="仿宋" w:eastAsia="仿宋" w:cs="仿宋"/>
          <w:highlight w:val="none"/>
          <w:lang w:val="en-US" w:eastAsia="zh-CN"/>
        </w:rPr>
      </w:pPr>
      <w:r>
        <w:rPr>
          <w:rFonts w:hint="eastAsia" w:ascii="仿宋" w:hAnsi="仿宋" w:eastAsia="仿宋" w:cs="仿宋"/>
          <w:highlight w:val="none"/>
        </w:rPr>
        <w:t>   项目联系方式（询问）：</w:t>
      </w:r>
      <w:r>
        <w:rPr>
          <w:rFonts w:hint="eastAsia" w:ascii="仿宋" w:hAnsi="仿宋" w:eastAsia="仿宋" w:cs="仿宋"/>
          <w:u w:val="single"/>
          <w:lang w:val="en-US" w:eastAsia="zh-CN"/>
        </w:rPr>
        <w:t>18358042310</w:t>
      </w:r>
    </w:p>
    <w:p w14:paraId="0558287B">
      <w:pPr>
        <w:pStyle w:val="18"/>
        <w:spacing w:before="75" w:beforeAutospacing="0" w:after="75" w:afterAutospacing="0" w:line="312" w:lineRule="auto"/>
        <w:rPr>
          <w:rFonts w:hint="eastAsia" w:ascii="仿宋" w:hAnsi="仿宋" w:eastAsia="仿宋" w:cs="仿宋"/>
        </w:rPr>
      </w:pPr>
    </w:p>
    <w:p w14:paraId="3A920419">
      <w:pPr>
        <w:pStyle w:val="18"/>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2.采购代理机构信息</w:t>
      </w:r>
    </w:p>
    <w:p w14:paraId="55739B31">
      <w:pPr>
        <w:pStyle w:val="18"/>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浙江日晟信息咨询有限公司</w:t>
      </w:r>
      <w:r>
        <w:rPr>
          <w:rFonts w:hint="eastAsia" w:ascii="仿宋" w:hAnsi="仿宋" w:eastAsia="仿宋" w:cs="仿宋"/>
        </w:rPr>
        <w:t>　　　　　　　　　　</w:t>
      </w:r>
    </w:p>
    <w:p w14:paraId="5F2BBFE1">
      <w:pPr>
        <w:pStyle w:val="18"/>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rPr>
        <w:t>武义县北岭新区芳华路820-822号</w:t>
      </w:r>
      <w:r>
        <w:rPr>
          <w:rFonts w:hint="eastAsia" w:ascii="仿宋" w:hAnsi="仿宋" w:eastAsia="仿宋" w:cs="仿宋"/>
        </w:rPr>
        <w:t xml:space="preserve">  </w:t>
      </w:r>
    </w:p>
    <w:p w14:paraId="53F48A0B">
      <w:pPr>
        <w:pStyle w:val="18"/>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w:t>
      </w:r>
      <w:r>
        <w:rPr>
          <w:rFonts w:hint="eastAsia" w:ascii="仿宋" w:hAnsi="仿宋" w:eastAsia="仿宋" w:cs="仿宋"/>
          <w:lang w:eastAsia="zh-CN"/>
        </w:rPr>
        <w:t>座</w:t>
      </w:r>
      <w:r>
        <w:rPr>
          <w:rFonts w:hint="eastAsia" w:ascii="仿宋" w:hAnsi="仿宋" w:eastAsia="仿宋" w:cs="仿宋"/>
        </w:rPr>
        <w:t xml:space="preserve">   </w:t>
      </w:r>
      <w:r>
        <w:rPr>
          <w:rFonts w:hint="eastAsia" w:ascii="仿宋" w:hAnsi="仿宋" w:eastAsia="仿宋" w:cs="仿宋"/>
          <w:lang w:eastAsia="zh-CN"/>
        </w:rPr>
        <w:t>机</w:t>
      </w:r>
      <w:r>
        <w:rPr>
          <w:rFonts w:hint="eastAsia" w:ascii="仿宋" w:hAnsi="仿宋" w:eastAsia="仿宋" w:cs="仿宋"/>
        </w:rPr>
        <w:t>：</w:t>
      </w:r>
      <w:r>
        <w:rPr>
          <w:rFonts w:hint="eastAsia" w:ascii="仿宋" w:hAnsi="仿宋" w:eastAsia="仿宋" w:cs="仿宋"/>
          <w:u w:val="single"/>
        </w:rPr>
        <w:t>0579-87669989</w:t>
      </w:r>
      <w:r>
        <w:rPr>
          <w:rFonts w:hint="eastAsia" w:ascii="仿宋" w:hAnsi="仿宋" w:eastAsia="仿宋" w:cs="仿宋"/>
        </w:rPr>
        <w:t xml:space="preserve"> 　</w:t>
      </w:r>
    </w:p>
    <w:p w14:paraId="20C89B4B">
      <w:pPr>
        <w:pStyle w:val="18"/>
        <w:keepNext w:val="0"/>
        <w:keepLines w:val="0"/>
        <w:pageBreakBefore w:val="0"/>
        <w:kinsoku/>
        <w:wordWrap/>
        <w:overflowPunct/>
        <w:topLinePunct w:val="0"/>
        <w:bidi w:val="0"/>
        <w:spacing w:before="75" w:beforeAutospacing="0" w:after="75" w:afterAutospacing="0" w:line="312" w:lineRule="auto"/>
        <w:textAlignment w:val="auto"/>
        <w:rPr>
          <w:rFonts w:hint="eastAsia" w:ascii="仿宋" w:hAnsi="仿宋" w:eastAsia="仿宋" w:cs="仿宋"/>
        </w:rPr>
      </w:pPr>
      <w:r>
        <w:rPr>
          <w:rFonts w:hint="eastAsia" w:ascii="仿宋" w:hAnsi="仿宋" w:eastAsia="仿宋" w:cs="仿宋"/>
        </w:rPr>
        <w:t>   项目联系人（询问）：</w:t>
      </w:r>
      <w:r>
        <w:rPr>
          <w:rFonts w:hint="eastAsia" w:ascii="仿宋" w:hAnsi="仿宋" w:eastAsia="仿宋" w:cs="仿宋"/>
          <w:u w:val="single"/>
          <w:lang w:val="en-US" w:eastAsia="zh-CN"/>
        </w:rPr>
        <w:t>陶</w:t>
      </w:r>
      <w:r>
        <w:rPr>
          <w:rFonts w:hint="eastAsia" w:ascii="仿宋" w:hAnsi="仿宋" w:eastAsia="仿宋" w:cs="仿宋"/>
          <w:u w:val="single"/>
        </w:rPr>
        <w:t>女士</w:t>
      </w:r>
      <w:r>
        <w:rPr>
          <w:rFonts w:hint="eastAsia" w:ascii="仿宋" w:hAnsi="仿宋" w:eastAsia="仿宋" w:cs="仿宋"/>
        </w:rPr>
        <w:t>   　　　　　　　　　　　</w:t>
      </w:r>
    </w:p>
    <w:p w14:paraId="4A23D12E">
      <w:pPr>
        <w:pStyle w:val="18"/>
        <w:keepNext w:val="0"/>
        <w:keepLines w:val="0"/>
        <w:pageBreakBefore w:val="0"/>
        <w:kinsoku/>
        <w:wordWrap/>
        <w:overflowPunct/>
        <w:topLinePunct w:val="0"/>
        <w:bidi w:val="0"/>
        <w:spacing w:before="75" w:beforeAutospacing="0" w:after="75" w:afterAutospacing="0" w:line="312" w:lineRule="auto"/>
        <w:ind w:firstLine="720" w:firstLineChars="300"/>
        <w:textAlignment w:val="auto"/>
        <w:rPr>
          <w:rFonts w:hint="eastAsia" w:ascii="仿宋" w:hAnsi="仿宋" w:eastAsia="仿宋" w:cs="仿宋"/>
          <w:u w:val="single"/>
          <w:lang w:val="en-US"/>
        </w:rPr>
      </w:pPr>
      <w:r>
        <w:rPr>
          <w:rFonts w:hint="eastAsia" w:ascii="仿宋" w:hAnsi="仿宋" w:eastAsia="仿宋" w:cs="仿宋"/>
        </w:rPr>
        <w:t>项目联系方式（询问）：</w:t>
      </w:r>
      <w:r>
        <w:rPr>
          <w:rStyle w:val="28"/>
          <w:rFonts w:hint="eastAsia" w:ascii="仿宋" w:hAnsi="仿宋" w:eastAsia="仿宋" w:cs="仿宋"/>
          <w:b w:val="0"/>
          <w:i w:val="0"/>
          <w:caps w:val="0"/>
          <w:color w:val="000000"/>
          <w:spacing w:val="0"/>
          <w:w w:val="100"/>
          <w:sz w:val="24"/>
          <w:szCs w:val="24"/>
          <w:u w:val="single" w:color="000000"/>
          <w:lang w:val="en-US" w:eastAsia="zh-CN" w:bidi="ar-SA"/>
        </w:rPr>
        <w:t>13967965955</w:t>
      </w:r>
    </w:p>
    <w:p w14:paraId="3947ADAD">
      <w:pPr>
        <w:pStyle w:val="18"/>
        <w:keepNext w:val="0"/>
        <w:keepLines w:val="0"/>
        <w:pageBreakBefore w:val="0"/>
        <w:kinsoku/>
        <w:wordWrap/>
        <w:overflowPunct/>
        <w:topLinePunct w:val="0"/>
        <w:bidi w:val="0"/>
        <w:spacing w:before="75" w:beforeAutospacing="0" w:after="75" w:afterAutospacing="0" w:line="312" w:lineRule="auto"/>
        <w:ind w:firstLine="720" w:firstLineChars="300"/>
        <w:textAlignment w:val="auto"/>
        <w:rPr>
          <w:rFonts w:hint="eastAsia" w:ascii="仿宋" w:hAnsi="仿宋" w:eastAsia="仿宋" w:cs="仿宋"/>
        </w:rPr>
      </w:pPr>
      <w:r>
        <w:rPr>
          <w:rFonts w:hint="eastAsia" w:ascii="仿宋" w:hAnsi="仿宋" w:eastAsia="仿宋" w:cs="仿宋"/>
        </w:rPr>
        <w:t>质疑联系人：</w:t>
      </w:r>
      <w:r>
        <w:rPr>
          <w:rFonts w:hint="eastAsia" w:ascii="仿宋" w:hAnsi="仿宋" w:eastAsia="仿宋" w:cs="仿宋"/>
          <w:u w:val="single"/>
          <w:lang w:val="en-US" w:eastAsia="zh-CN"/>
        </w:rPr>
        <w:t>陈</w:t>
      </w:r>
      <w:r>
        <w:rPr>
          <w:rFonts w:hint="eastAsia" w:ascii="仿宋" w:hAnsi="仿宋" w:eastAsia="仿宋" w:cs="仿宋"/>
          <w:u w:val="single"/>
        </w:rPr>
        <w:t>先生</w:t>
      </w:r>
      <w:r>
        <w:rPr>
          <w:rFonts w:hint="eastAsia" w:ascii="仿宋" w:hAnsi="仿宋" w:eastAsia="仿宋" w:cs="仿宋"/>
        </w:rPr>
        <w:t> </w:t>
      </w:r>
    </w:p>
    <w:p w14:paraId="4EECE265">
      <w:pPr>
        <w:pStyle w:val="18"/>
        <w:spacing w:before="75" w:beforeAutospacing="0" w:after="75" w:afterAutospacing="0" w:line="312" w:lineRule="auto"/>
        <w:ind w:firstLine="720" w:firstLineChars="300"/>
        <w:rPr>
          <w:rFonts w:hint="default" w:ascii="仿宋" w:hAnsi="仿宋" w:eastAsia="仿宋" w:cs="仿宋"/>
          <w:u w:val="single"/>
          <w:lang w:val="en-US"/>
        </w:rPr>
      </w:pPr>
      <w:r>
        <w:rPr>
          <w:rFonts w:hint="eastAsia" w:ascii="仿宋" w:hAnsi="仿宋" w:eastAsia="仿宋" w:cs="仿宋"/>
        </w:rPr>
        <w:t>质疑联系方式：</w:t>
      </w:r>
      <w:r>
        <w:rPr>
          <w:rFonts w:hint="eastAsia" w:ascii="仿宋" w:hAnsi="仿宋" w:eastAsia="仿宋" w:cs="仿宋"/>
          <w:u w:val="single"/>
          <w:lang w:val="en-US" w:eastAsia="zh-CN"/>
        </w:rPr>
        <w:t>15858910555</w:t>
      </w:r>
    </w:p>
    <w:p w14:paraId="0A520221">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xml:space="preserve"> </w:t>
      </w:r>
    </w:p>
    <w:p w14:paraId="35C81617">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3.同级政府采购监督管理部门</w:t>
      </w:r>
    </w:p>
    <w:p w14:paraId="2DF489C5">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名  称：</w:t>
      </w:r>
      <w:r>
        <w:rPr>
          <w:rFonts w:hint="eastAsia" w:ascii="仿宋" w:hAnsi="仿宋" w:eastAsia="仿宋" w:cs="仿宋"/>
          <w:u w:val="single"/>
        </w:rPr>
        <w:t>武义县财政局政府采购监管科</w:t>
      </w:r>
      <w:r>
        <w:rPr>
          <w:rFonts w:hint="eastAsia" w:ascii="仿宋" w:hAnsi="仿宋" w:eastAsia="仿宋" w:cs="仿宋"/>
        </w:rPr>
        <w:t> 　　　　　　　　　　　</w:t>
      </w:r>
    </w:p>
    <w:p w14:paraId="3932C2C5">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地  址：</w:t>
      </w:r>
      <w:r>
        <w:rPr>
          <w:rFonts w:hint="eastAsia" w:ascii="仿宋" w:hAnsi="仿宋" w:eastAsia="仿宋" w:cs="仿宋"/>
          <w:u w:val="single"/>
        </w:rPr>
        <w:t>武义县温泉南路100号520室</w:t>
      </w:r>
      <w:r>
        <w:rPr>
          <w:rFonts w:hint="eastAsia" w:ascii="仿宋" w:hAnsi="仿宋" w:eastAsia="仿宋" w:cs="仿宋"/>
        </w:rPr>
        <w:t>  　　　　　　　　　　　　   </w:t>
      </w:r>
    </w:p>
    <w:p w14:paraId="05FBF9C8">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联 系 人：</w:t>
      </w:r>
      <w:r>
        <w:rPr>
          <w:rFonts w:hint="eastAsia" w:ascii="仿宋" w:hAnsi="仿宋" w:cs="仿宋"/>
          <w:u w:val="single"/>
          <w:lang w:val="en-US" w:eastAsia="zh-CN"/>
        </w:rPr>
        <w:t>陈</w:t>
      </w:r>
      <w:r>
        <w:rPr>
          <w:rFonts w:hint="eastAsia" w:ascii="仿宋" w:hAnsi="仿宋" w:eastAsia="仿宋" w:cs="仿宋"/>
          <w:u w:val="single"/>
        </w:rPr>
        <w:t>女士</w:t>
      </w:r>
      <w:r>
        <w:rPr>
          <w:rFonts w:hint="eastAsia" w:ascii="仿宋" w:hAnsi="仿宋" w:eastAsia="仿宋" w:cs="仿宋"/>
        </w:rPr>
        <w:t>   　　　　　　　　　　　</w:t>
      </w:r>
    </w:p>
    <w:p w14:paraId="7815C6D6">
      <w:pPr>
        <w:pStyle w:val="18"/>
        <w:spacing w:before="0" w:beforeAutospacing="0" w:after="0" w:afterAutospacing="0" w:line="312" w:lineRule="auto"/>
        <w:rPr>
          <w:rFonts w:hint="eastAsia" w:ascii="仿宋" w:hAnsi="仿宋" w:eastAsia="仿宋" w:cs="仿宋"/>
        </w:rPr>
      </w:pPr>
      <w:r>
        <w:rPr>
          <w:rFonts w:hint="eastAsia" w:ascii="仿宋" w:hAnsi="仿宋" w:eastAsia="仿宋" w:cs="仿宋"/>
        </w:rPr>
        <w:t>   监督投诉电话：</w:t>
      </w:r>
      <w:r>
        <w:rPr>
          <w:rFonts w:hint="eastAsia" w:ascii="仿宋" w:hAnsi="仿宋" w:eastAsia="仿宋" w:cs="仿宋"/>
          <w:u w:val="single"/>
        </w:rPr>
        <w:t>0579-87646372</w:t>
      </w:r>
      <w:r>
        <w:rPr>
          <w:rFonts w:hint="eastAsia" w:ascii="仿宋" w:hAnsi="仿宋" w:eastAsia="仿宋" w:cs="仿宋"/>
        </w:rPr>
        <w:t> 　　　　　　　　　　　　　　　　　</w:t>
      </w:r>
    </w:p>
    <w:p w14:paraId="55724239">
      <w:pPr>
        <w:pStyle w:val="29"/>
        <w:spacing w:line="312" w:lineRule="auto"/>
        <w:ind w:firstLine="420" w:firstLineChars="200"/>
        <w:rPr>
          <w:rFonts w:hint="eastAsia" w:ascii="仿宋" w:hAnsi="仿宋" w:eastAsia="仿宋" w:cs="仿宋"/>
          <w:color w:val="auto"/>
          <w:sz w:val="21"/>
          <w:szCs w:val="21"/>
          <w:shd w:val="clear" w:color="auto" w:fill="FFFFFF"/>
        </w:rPr>
      </w:pPr>
    </w:p>
    <w:p w14:paraId="0FFE9CE8">
      <w:pPr>
        <w:pStyle w:val="29"/>
        <w:spacing w:line="312" w:lineRule="auto"/>
        <w:ind w:firstLine="420" w:firstLineChars="200"/>
        <w:rPr>
          <w:rFonts w:hint="eastAsia" w:ascii="仿宋" w:hAnsi="仿宋" w:eastAsia="仿宋" w:cs="仿宋"/>
          <w:color w:val="auto"/>
          <w:lang w:eastAsia="zh-CN"/>
        </w:rPr>
      </w:pPr>
      <w:r>
        <w:rPr>
          <w:rFonts w:hint="eastAsia" w:ascii="仿宋" w:hAnsi="仿宋" w:eastAsia="仿宋" w:cs="仿宋"/>
          <w:color w:val="auto"/>
          <w:sz w:val="21"/>
          <w:szCs w:val="21"/>
          <w:shd w:val="clear" w:color="auto" w:fill="FFFFFF"/>
        </w:rPr>
        <w:t>若对项目采购电子交易系统操作有疑问，可登录政采云（https://www.zcygov.cn/），点击右侧咨询小采，获取采小蜜智能服务管家帮助，或拨打政采云服务热线95763获取热线服务帮助。CA问题联系电话（人工）：汇信CA 400-888-4636；天谷CA 400-087-8198</w:t>
      </w:r>
      <w:r>
        <w:rPr>
          <w:rFonts w:hint="eastAsia" w:ascii="仿宋" w:hAnsi="仿宋" w:eastAsia="仿宋" w:cs="仿宋"/>
          <w:color w:val="auto"/>
          <w:sz w:val="21"/>
          <w:szCs w:val="21"/>
          <w:shd w:val="clear" w:color="auto" w:fill="FFFFFF"/>
          <w:lang w:eastAsia="zh-CN"/>
        </w:rPr>
        <w:t>。</w:t>
      </w:r>
    </w:p>
    <w:bookmarkEnd w:id="0"/>
    <w:p w14:paraId="4C2DEFCB">
      <w:pPr>
        <w:pStyle w:val="4"/>
        <w:spacing w:before="0" w:after="0" w:line="312" w:lineRule="auto"/>
        <w:rPr>
          <w:rFonts w:hint="eastAsia" w:ascii="仿宋" w:hAnsi="仿宋" w:eastAsia="仿宋" w:cs="仿宋"/>
          <w:color w:val="auto"/>
          <w:sz w:val="36"/>
          <w:szCs w:val="36"/>
        </w:rPr>
        <w:sectPr>
          <w:headerReference r:id="rId6" w:type="first"/>
          <w:footerReference r:id="rId9" w:type="first"/>
          <w:headerReference r:id="rId5" w:type="default"/>
          <w:footerReference r:id="rId7" w:type="default"/>
          <w:footerReference r:id="rId8" w:type="even"/>
          <w:pgSz w:w="11906" w:h="16838"/>
          <w:pgMar w:top="1247" w:right="1134" w:bottom="1020" w:left="1418" w:header="851" w:footer="907" w:gutter="0"/>
          <w:pgNumType w:fmt="numberInDash" w:start="1"/>
          <w:cols w:space="720" w:num="1"/>
          <w:titlePg/>
          <w:docGrid w:type="lines" w:linePitch="312" w:charSpace="0"/>
        </w:sectPr>
      </w:pPr>
      <w:bookmarkStart w:id="1" w:name="_Toc125344503"/>
    </w:p>
    <w:p w14:paraId="5423592C">
      <w:pPr>
        <w:pStyle w:val="4"/>
        <w:keepNext/>
        <w:keepLines/>
        <w:pageBreakBefore w:val="0"/>
        <w:widowControl w:val="0"/>
        <w:kinsoku/>
        <w:wordWrap/>
        <w:overflowPunct/>
        <w:topLinePunct w:val="0"/>
        <w:autoSpaceDE w:val="0"/>
        <w:autoSpaceDN w:val="0"/>
        <w:bidi w:val="0"/>
        <w:adjustRightInd w:val="0"/>
        <w:snapToGrid/>
        <w:ind w:firstLine="0" w:firstLineChars="0"/>
        <w:jc w:val="center"/>
        <w:textAlignment w:val="auto"/>
        <w:rPr>
          <w:rFonts w:hint="eastAsia"/>
        </w:rPr>
      </w:pPr>
      <w:r>
        <w:rPr>
          <w:rFonts w:hint="eastAsia"/>
        </w:rPr>
        <w:t>第二章  投标须知</w:t>
      </w:r>
    </w:p>
    <w:p w14:paraId="2F83B884">
      <w:pPr>
        <w:pStyle w:val="5"/>
        <w:bidi w:val="0"/>
        <w:ind w:left="0" w:leftChars="0" w:firstLine="0" w:firstLineChars="0"/>
        <w:jc w:val="center"/>
        <w:rPr>
          <w:rFonts w:hint="eastAsia"/>
        </w:rPr>
      </w:pPr>
      <w:r>
        <w:rPr>
          <w:rFonts w:hint="eastAsia"/>
        </w:rPr>
        <w:t>前附表</w:t>
      </w:r>
    </w:p>
    <w:tbl>
      <w:tblPr>
        <w:tblStyle w:val="20"/>
        <w:tblW w:w="1006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4"/>
        <w:gridCol w:w="1760"/>
        <w:gridCol w:w="7605"/>
      </w:tblGrid>
      <w:tr w14:paraId="358DB4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3A3F1236">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序号</w:t>
            </w:r>
          </w:p>
        </w:tc>
        <w:tc>
          <w:tcPr>
            <w:tcW w:w="1760"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2904B003">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内容</w:t>
            </w:r>
          </w:p>
        </w:tc>
        <w:tc>
          <w:tcPr>
            <w:tcW w:w="7605" w:type="dxa"/>
            <w:tcBorders>
              <w:top w:val="single" w:color="auto" w:sz="4" w:space="0"/>
              <w:left w:val="single" w:color="auto" w:sz="4" w:space="0"/>
              <w:bottom w:val="single" w:color="auto" w:sz="4" w:space="0"/>
              <w:right w:val="single" w:color="auto" w:sz="4" w:space="0"/>
            </w:tcBorders>
            <w:shd w:val="clear" w:color="auto" w:fill="BEBEBE"/>
            <w:noWrap w:val="0"/>
            <w:vAlign w:val="center"/>
          </w:tcPr>
          <w:p w14:paraId="2CAB71C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b/>
                <w:szCs w:val="24"/>
              </w:rPr>
              <w:t>说明与要求</w:t>
            </w:r>
          </w:p>
        </w:tc>
      </w:tr>
      <w:tr w14:paraId="569A58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4785932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3C9603D">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项目名称</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1196511D">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lang w:eastAsia="zh-CN"/>
              </w:rPr>
            </w:pPr>
            <w:r>
              <w:rPr>
                <w:rFonts w:hint="eastAsia" w:cs="仿宋"/>
                <w:color w:val="auto"/>
                <w:sz w:val="24"/>
                <w:szCs w:val="24"/>
                <w:lang w:eastAsia="zh-CN"/>
              </w:rPr>
              <w:t>武义县公安局交通警察大队2025年-2026年交通信号灯维护项目</w:t>
            </w:r>
          </w:p>
        </w:tc>
      </w:tr>
      <w:tr w14:paraId="0DCC6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20C8F3B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B63697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采购方式</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2F80391">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公开招标</w:t>
            </w:r>
          </w:p>
        </w:tc>
      </w:tr>
      <w:tr w14:paraId="43886F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48C42B4E">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558110D">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评标办法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C9E8C50">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综合评分法</w:t>
            </w:r>
          </w:p>
        </w:tc>
      </w:tr>
      <w:tr w14:paraId="26BBF2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D1D47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4</w:t>
            </w:r>
          </w:p>
        </w:tc>
        <w:tc>
          <w:tcPr>
            <w:tcW w:w="176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AF076A">
            <w:pPr>
              <w:pStyle w:val="12"/>
              <w:spacing w:line="420" w:lineRule="exact"/>
              <w:ind w:left="0" w:leftChars="0" w:firstLine="0" w:firstLineChars="0"/>
              <w:jc w:val="center"/>
              <w:rPr>
                <w:rFonts w:hint="eastAsia" w:ascii="仿宋" w:hAnsi="仿宋" w:eastAsia="仿宋" w:cs="仿宋"/>
                <w:color w:val="auto"/>
                <w:kern w:val="2"/>
                <w:sz w:val="24"/>
                <w:szCs w:val="24"/>
                <w:lang w:val="en-US" w:eastAsia="zh-CN" w:bidi="ar-SA"/>
              </w:rPr>
            </w:pPr>
            <w:r>
              <w:rPr>
                <w:rFonts w:hint="eastAsia" w:cs="仿宋"/>
                <w:color w:val="auto"/>
                <w:lang w:val="en-US" w:eastAsia="zh-CN"/>
              </w:rPr>
              <w:t>推荐</w:t>
            </w:r>
            <w:r>
              <w:rPr>
                <w:rFonts w:hint="eastAsia" w:cs="仿宋"/>
                <w:color w:val="auto"/>
              </w:rPr>
              <w:t>中标候选人</w:t>
            </w:r>
            <w:r>
              <w:rPr>
                <w:rFonts w:hint="eastAsia" w:cs="仿宋"/>
                <w:color w:val="auto"/>
                <w:lang w:val="en-US" w:eastAsia="zh-CN"/>
              </w:rPr>
              <w:t>数量</w:t>
            </w:r>
          </w:p>
        </w:tc>
        <w:tc>
          <w:tcPr>
            <w:tcW w:w="76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9A1E72">
            <w:pPr>
              <w:pStyle w:val="12"/>
              <w:spacing w:line="420" w:lineRule="exact"/>
              <w:ind w:left="0" w:leftChars="0" w:firstLine="0" w:firstLineChars="0"/>
              <w:rPr>
                <w:rFonts w:hint="eastAsia" w:ascii="仿宋" w:hAnsi="仿宋" w:eastAsia="仿宋" w:cs="仿宋"/>
                <w:color w:val="auto"/>
                <w:kern w:val="2"/>
                <w:sz w:val="24"/>
                <w:szCs w:val="24"/>
                <w:lang w:val="en-US" w:eastAsia="zh-CN" w:bidi="ar-SA"/>
              </w:rPr>
            </w:pPr>
            <w:r>
              <w:rPr>
                <w:rFonts w:hint="eastAsia" w:cs="仿宋"/>
                <w:szCs w:val="24"/>
                <w:lang w:val="en-US" w:eastAsia="zh-CN"/>
              </w:rPr>
              <w:t>一名</w:t>
            </w:r>
          </w:p>
        </w:tc>
      </w:tr>
      <w:tr w14:paraId="5E840D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50BCA8">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EC89DA1">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最高限价</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C5AF110">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sz w:val="24"/>
                <w:szCs w:val="24"/>
              </w:rPr>
              <w:t>本项目设有最高限价，任何超过最高限价的报价将被认定为无效报价。</w:t>
            </w:r>
          </w:p>
        </w:tc>
      </w:tr>
      <w:tr w14:paraId="714F42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EC4B8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B33479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w:t>
            </w:r>
            <w:r>
              <w:rPr>
                <w:rFonts w:hint="eastAsia" w:cs="仿宋"/>
                <w:szCs w:val="24"/>
                <w:lang w:eastAsia="zh-CN"/>
              </w:rPr>
              <w:t>人</w:t>
            </w:r>
            <w:r>
              <w:rPr>
                <w:rFonts w:hint="eastAsia" w:ascii="仿宋" w:hAnsi="仿宋" w:eastAsia="仿宋" w:cs="仿宋"/>
                <w:szCs w:val="24"/>
              </w:rPr>
              <w:t>资格要求</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47F2D8D">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Cs w:val="24"/>
              </w:rPr>
            </w:pPr>
            <w:r>
              <w:rPr>
                <w:rFonts w:hint="eastAsia" w:ascii="仿宋" w:hAnsi="仿宋" w:eastAsia="仿宋" w:cs="仿宋"/>
                <w:color w:val="auto"/>
                <w:kern w:val="2"/>
                <w:sz w:val="24"/>
                <w:szCs w:val="24"/>
              </w:rPr>
              <w:t>详见招标公告</w:t>
            </w:r>
          </w:p>
        </w:tc>
      </w:tr>
      <w:tr w14:paraId="25203D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51BD97F">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58B3E9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联合体投标特别条款</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8D4EBD4">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本项目不接受联合体投标</w:t>
            </w:r>
          </w:p>
        </w:tc>
      </w:tr>
      <w:tr w14:paraId="502DC8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9D209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C7E765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标的划分</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1417275">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本次招标共1个标的，采购人将整体择定中标人。</w:t>
            </w:r>
          </w:p>
        </w:tc>
      </w:tr>
      <w:tr w14:paraId="07A472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FE6ECC3">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A2A982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资格审查</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617907A">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由</w:t>
            </w:r>
            <w:r>
              <w:rPr>
                <w:rFonts w:hint="eastAsia" w:ascii="仿宋" w:hAnsi="仿宋" w:eastAsia="仿宋" w:cs="仿宋"/>
                <w:color w:val="auto"/>
                <w:sz w:val="24"/>
                <w:szCs w:val="24"/>
                <w:lang w:val="en-US" w:eastAsia="zh-CN"/>
              </w:rPr>
              <w:t>采购人或者采购代理机构依法对投标人的资格进行审查</w:t>
            </w:r>
            <w:r>
              <w:rPr>
                <w:rFonts w:hint="eastAsia" w:ascii="仿宋" w:hAnsi="仿宋" w:eastAsia="仿宋" w:cs="仿宋"/>
                <w:color w:val="auto"/>
                <w:sz w:val="24"/>
                <w:szCs w:val="24"/>
              </w:rPr>
              <w:t>。</w:t>
            </w:r>
          </w:p>
        </w:tc>
      </w:tr>
      <w:tr w14:paraId="530DF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0E57F9">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DEFDDE8">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招标文件的</w:t>
            </w:r>
          </w:p>
          <w:p w14:paraId="26D53F6A">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获取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41A77CC">
            <w:pPr>
              <w:pStyle w:val="18"/>
              <w:keepNext w:val="0"/>
              <w:keepLines w:val="0"/>
              <w:pageBreakBefore w:val="0"/>
              <w:kinsoku/>
              <w:wordWrap/>
              <w:overflowPunct/>
              <w:topLinePunct w:val="0"/>
              <w:bidi w:val="0"/>
              <w:spacing w:before="0" w:beforeAutospacing="0" w:after="0" w:afterAutospacing="0" w:line="420" w:lineRule="exact"/>
              <w:ind w:firstLine="0" w:firstLineChars="0"/>
              <w:textAlignment w:val="auto"/>
              <w:rPr>
                <w:rFonts w:hint="eastAsia" w:ascii="仿宋" w:hAnsi="仿宋" w:eastAsia="仿宋" w:cs="仿宋"/>
              </w:rPr>
            </w:pPr>
            <w:r>
              <w:rPr>
                <w:rFonts w:hint="eastAsia" w:ascii="仿宋" w:hAnsi="仿宋" w:eastAsia="仿宋" w:cs="仿宋"/>
              </w:rPr>
              <w:t>详见招标公告</w:t>
            </w:r>
          </w:p>
        </w:tc>
      </w:tr>
      <w:tr w14:paraId="56606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82D40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8F2FA9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2123D5C">
            <w:pPr>
              <w:keepNext w:val="0"/>
              <w:keepLines w:val="0"/>
              <w:pageBreakBefore w:val="0"/>
              <w:kinsoku/>
              <w:wordWrap/>
              <w:overflowPunct/>
              <w:topLinePunct w:val="0"/>
              <w:autoSpaceDE/>
              <w:autoSpaceDN/>
              <w:bidi w:val="0"/>
              <w:adjustRightInd/>
              <w:spacing w:line="420" w:lineRule="exact"/>
              <w:ind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本项目不收取投标保证金</w:t>
            </w:r>
          </w:p>
        </w:tc>
      </w:tr>
      <w:tr w14:paraId="78BD08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5F492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7B98D9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资格文件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E4BBEC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1.</w:t>
            </w:r>
            <w:r>
              <w:rPr>
                <w:rFonts w:hint="eastAsia" w:ascii="仿宋" w:hAnsi="仿宋" w:eastAsia="仿宋" w:cs="仿宋"/>
                <w:color w:val="auto"/>
                <w:sz w:val="24"/>
                <w:szCs w:val="24"/>
              </w:rPr>
              <w:t>企业法人营业执照扫描件</w:t>
            </w:r>
            <w:r>
              <w:rPr>
                <w:rFonts w:hint="eastAsia" w:ascii="仿宋" w:hAnsi="仿宋" w:eastAsia="仿宋" w:cs="仿宋"/>
                <w:color w:val="auto"/>
                <w:sz w:val="24"/>
                <w:szCs w:val="24"/>
                <w:lang w:val="en-US" w:eastAsia="zh-CN"/>
              </w:rPr>
              <w:t>；</w:t>
            </w:r>
          </w:p>
          <w:p w14:paraId="63D0F1CC">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2.</w:t>
            </w:r>
            <w:r>
              <w:rPr>
                <w:rFonts w:hint="eastAsia" w:ascii="仿宋" w:hAnsi="仿宋" w:eastAsia="仿宋" w:cs="仿宋"/>
                <w:color w:val="auto"/>
                <w:sz w:val="24"/>
                <w:szCs w:val="24"/>
              </w:rPr>
              <w:t>法定代表人授权委托书（法定代表人提供身份证扫描件，格式见附件)</w:t>
            </w:r>
            <w:r>
              <w:rPr>
                <w:rFonts w:hint="eastAsia" w:ascii="仿宋" w:hAnsi="仿宋" w:eastAsia="仿宋" w:cs="仿宋"/>
                <w:color w:val="auto"/>
                <w:sz w:val="24"/>
                <w:szCs w:val="24"/>
                <w:lang w:eastAsia="zh-CN"/>
              </w:rPr>
              <w:t>；</w:t>
            </w:r>
          </w:p>
          <w:p w14:paraId="09F35B08">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bCs/>
                <w:color w:val="auto"/>
                <w:kern w:val="2"/>
                <w:sz w:val="24"/>
                <w:szCs w:val="24"/>
                <w:lang w:val="en-US" w:eastAsia="zh-CN"/>
              </w:rPr>
              <w:t>3.</w:t>
            </w:r>
            <w:r>
              <w:rPr>
                <w:rFonts w:hint="eastAsia" w:ascii="仿宋" w:hAnsi="仿宋" w:eastAsia="仿宋" w:cs="仿宋"/>
                <w:bCs/>
                <w:color w:val="auto"/>
                <w:kern w:val="2"/>
                <w:sz w:val="24"/>
                <w:szCs w:val="24"/>
              </w:rPr>
              <w:t>符合参加政府采购活动应当具备的一般条件的承诺函（格式见附件）</w:t>
            </w:r>
            <w:r>
              <w:rPr>
                <w:rFonts w:hint="eastAsia" w:ascii="仿宋" w:hAnsi="仿宋" w:eastAsia="仿宋" w:cs="仿宋"/>
                <w:bCs/>
                <w:color w:val="auto"/>
                <w:kern w:val="2"/>
                <w:sz w:val="24"/>
                <w:szCs w:val="24"/>
                <w:lang w:eastAsia="zh-CN"/>
              </w:rPr>
              <w:t>；</w:t>
            </w:r>
          </w:p>
          <w:p w14:paraId="70AB4E43">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lang w:eastAsia="zh-CN"/>
              </w:rPr>
            </w:pPr>
            <w:r>
              <w:rPr>
                <w:rFonts w:hint="eastAsia" w:cs="仿宋"/>
                <w:color w:val="auto"/>
                <w:sz w:val="24"/>
                <w:szCs w:val="24"/>
                <w:lang w:val="en-US" w:eastAsia="zh-CN"/>
              </w:rPr>
              <w:t>4.</w:t>
            </w:r>
            <w:r>
              <w:rPr>
                <w:rFonts w:hint="eastAsia" w:ascii="仿宋" w:hAnsi="仿宋" w:eastAsia="仿宋" w:cs="仿宋"/>
                <w:color w:val="auto"/>
                <w:sz w:val="24"/>
                <w:szCs w:val="24"/>
              </w:rPr>
              <w:t>以下任意一种符合企业自身条件的声明函：</w:t>
            </w:r>
          </w:p>
          <w:p w14:paraId="5F000D1E">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color w:val="auto"/>
                <w:sz w:val="24"/>
                <w:szCs w:val="24"/>
              </w:rPr>
              <w:t xml:space="preserve">  ①中小</w:t>
            </w:r>
            <w:r>
              <w:rPr>
                <w:rFonts w:hint="eastAsia" w:ascii="仿宋" w:hAnsi="仿宋" w:eastAsia="仿宋" w:cs="仿宋"/>
                <w:kern w:val="2"/>
                <w:sz w:val="24"/>
                <w:szCs w:val="24"/>
              </w:rPr>
              <w:t>企业声明函；</w:t>
            </w:r>
          </w:p>
          <w:p w14:paraId="4E182BD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kern w:val="2"/>
                <w:sz w:val="24"/>
                <w:szCs w:val="24"/>
                <w:lang w:eastAsia="zh-CN"/>
              </w:rPr>
            </w:pPr>
            <w:r>
              <w:rPr>
                <w:rFonts w:hint="eastAsia" w:ascii="仿宋" w:hAnsi="仿宋" w:eastAsia="仿宋" w:cs="仿宋"/>
                <w:kern w:val="2"/>
                <w:sz w:val="24"/>
                <w:szCs w:val="24"/>
              </w:rPr>
              <w:t xml:space="preserve">  ②残疾人福利企业声明函；</w:t>
            </w:r>
          </w:p>
          <w:p w14:paraId="0041BE9A">
            <w:pPr>
              <w:keepNext w:val="0"/>
              <w:keepLines w:val="0"/>
              <w:pageBreakBefore w:val="0"/>
              <w:kinsoku/>
              <w:wordWrap/>
              <w:overflowPunct/>
              <w:topLinePunct w:val="0"/>
              <w:bidi w:val="0"/>
              <w:snapToGrid w:val="0"/>
              <w:spacing w:line="420" w:lineRule="exact"/>
              <w:ind w:firstLine="0" w:firstLineChars="0"/>
              <w:jc w:val="left"/>
              <w:textAlignment w:val="auto"/>
              <w:rPr>
                <w:rFonts w:ascii="仿宋" w:hAnsi="仿宋" w:eastAsia="仿宋" w:cs="仿宋"/>
                <w:color w:val="auto"/>
                <w:sz w:val="24"/>
                <w:szCs w:val="24"/>
              </w:rPr>
            </w:pPr>
            <w:r>
              <w:rPr>
                <w:rFonts w:hint="eastAsia" w:ascii="仿宋" w:hAnsi="仿宋" w:eastAsia="仿宋" w:cs="仿宋"/>
                <w:kern w:val="2"/>
                <w:sz w:val="24"/>
                <w:szCs w:val="24"/>
              </w:rPr>
              <w:t xml:space="preserve">  ③监狱企业的证明文件。</w:t>
            </w:r>
          </w:p>
        </w:tc>
      </w:tr>
      <w:tr w14:paraId="3C1009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F88A04">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A6B5D0B">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商务技术文件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5D9FC39">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评分索引表（此表请放置在《商务技术文件》首页）</w:t>
            </w:r>
            <w:r>
              <w:rPr>
                <w:rFonts w:hint="eastAsia" w:ascii="仿宋" w:hAnsi="仿宋" w:eastAsia="仿宋" w:cs="仿宋"/>
                <w:color w:val="auto"/>
                <w:sz w:val="24"/>
                <w:szCs w:val="24"/>
                <w:lang w:eastAsia="zh-CN"/>
              </w:rPr>
              <w:t>；</w:t>
            </w:r>
          </w:p>
          <w:p w14:paraId="09FA8441">
            <w:pPr>
              <w:keepNext w:val="0"/>
              <w:keepLines w:val="0"/>
              <w:pageBreakBefore w:val="0"/>
              <w:numPr>
                <w:ilvl w:val="0"/>
                <w:numId w:val="0"/>
              </w:numPr>
              <w:kinsoku/>
              <w:wordWrap/>
              <w:overflowPunct/>
              <w:topLinePunct w:val="0"/>
              <w:bidi w:val="0"/>
              <w:snapToGrid w:val="0"/>
              <w:spacing w:line="420" w:lineRule="exact"/>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投标人基本情况介绍；</w:t>
            </w:r>
          </w:p>
          <w:p w14:paraId="6630C782">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根据招标文件第四章评分细则中涉及的相关内容描述；</w:t>
            </w:r>
          </w:p>
          <w:p w14:paraId="4B3EA2AC">
            <w:pPr>
              <w:keepNext w:val="0"/>
              <w:keepLines w:val="0"/>
              <w:pageBreakBefore w:val="0"/>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包括但不限于以上技术文件或说明。</w:t>
            </w:r>
          </w:p>
          <w:p w14:paraId="38C0AFCF">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
                <w:szCs w:val="24"/>
                <w:highlight w:val="yellow"/>
              </w:rPr>
            </w:pPr>
            <w:r>
              <w:rPr>
                <w:rFonts w:hint="eastAsia" w:ascii="仿宋" w:hAnsi="仿宋" w:eastAsia="仿宋" w:cs="仿宋"/>
                <w:bCs/>
                <w:szCs w:val="24"/>
              </w:rPr>
              <w:t>投标人在“商务技术文件资料”中应对招标文件作实质性响应，该项内容将作为评标重要指标。</w:t>
            </w:r>
          </w:p>
        </w:tc>
      </w:tr>
      <w:tr w14:paraId="2E316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01F7AE">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0900DF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报价文件</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1CF3C23">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 xml:space="preserve">投标函（格式见附件）； </w:t>
            </w:r>
          </w:p>
          <w:p w14:paraId="0AD3632C">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开标一览表（格式见附件）；</w:t>
            </w:r>
          </w:p>
          <w:p w14:paraId="6C9E1F27">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lang w:val="en-US" w:eastAsia="zh-CN"/>
              </w:rPr>
              <w:t>分项报价表</w:t>
            </w:r>
            <w:r>
              <w:rPr>
                <w:rFonts w:hint="eastAsia" w:ascii="仿宋" w:hAnsi="仿宋" w:eastAsia="仿宋" w:cs="仿宋"/>
                <w:color w:val="auto"/>
                <w:sz w:val="24"/>
                <w:szCs w:val="24"/>
              </w:rPr>
              <w:t>（格式见附件）；</w:t>
            </w:r>
          </w:p>
          <w:p w14:paraId="4B1A9111">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投标承诺书（格式见附件）；</w:t>
            </w:r>
          </w:p>
          <w:p w14:paraId="6A7F8387">
            <w:pPr>
              <w:keepNext w:val="0"/>
              <w:keepLines w:val="0"/>
              <w:pageBreakBefore w:val="0"/>
              <w:tabs>
                <w:tab w:val="left" w:pos="3870"/>
                <w:tab w:val="left" w:pos="4085"/>
              </w:tabs>
              <w:kinsoku/>
              <w:wordWrap/>
              <w:overflowPunct/>
              <w:topLinePunct w:val="0"/>
              <w:bidi w:val="0"/>
              <w:snapToGrid w:val="0"/>
              <w:spacing w:line="420" w:lineRule="exact"/>
              <w:ind w:firstLine="0" w:firstLineChars="0"/>
              <w:jc w:val="left"/>
              <w:textAlignment w:val="auto"/>
              <w:rPr>
                <w:rFonts w:hint="eastAsia" w:ascii="仿宋" w:hAnsi="仿宋" w:eastAsia="仿宋" w:cs="仿宋"/>
                <w:b/>
                <w:color w:val="auto"/>
                <w:sz w:val="24"/>
                <w:szCs w:val="24"/>
              </w:rPr>
            </w:pPr>
            <w:r>
              <w:rPr>
                <w:rFonts w:hint="eastAsia" w:cs="仿宋"/>
                <w:color w:val="auto"/>
                <w:sz w:val="24"/>
                <w:szCs w:val="24"/>
                <w:lang w:val="en-US" w:eastAsia="zh-CN"/>
              </w:rPr>
              <w:t>5.</w:t>
            </w:r>
            <w:r>
              <w:rPr>
                <w:rFonts w:hint="eastAsia" w:ascii="仿宋" w:hAnsi="仿宋" w:eastAsia="仿宋" w:cs="仿宋"/>
                <w:color w:val="auto"/>
                <w:sz w:val="24"/>
                <w:szCs w:val="24"/>
              </w:rPr>
              <w:t>投标</w:t>
            </w:r>
            <w:r>
              <w:rPr>
                <w:rFonts w:hint="eastAsia" w:cs="仿宋"/>
                <w:color w:val="auto"/>
                <w:sz w:val="24"/>
                <w:szCs w:val="24"/>
                <w:lang w:eastAsia="zh-CN"/>
              </w:rPr>
              <w:t>人</w:t>
            </w:r>
            <w:r>
              <w:rPr>
                <w:rFonts w:hint="eastAsia" w:ascii="仿宋" w:hAnsi="仿宋" w:eastAsia="仿宋" w:cs="仿宋"/>
                <w:color w:val="auto"/>
                <w:sz w:val="24"/>
                <w:szCs w:val="24"/>
              </w:rPr>
              <w:t>需要说明的其他文件和说明（格式自拟）。</w:t>
            </w:r>
          </w:p>
        </w:tc>
      </w:tr>
      <w:tr w14:paraId="487F93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06D2E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E9362F9">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投标样品</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8CF012A">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本项目不适用</w:t>
            </w:r>
          </w:p>
        </w:tc>
      </w:tr>
      <w:tr w14:paraId="7B38A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51357F">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3B28D130">
            <w:pPr>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上传电子投标文件时间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546F149">
            <w:pPr>
              <w:keepNext w:val="0"/>
              <w:keepLines w:val="0"/>
              <w:pageBreakBefore w:val="0"/>
              <w:kinsoku/>
              <w:wordWrap/>
              <w:overflowPunct/>
              <w:topLinePunct w:val="0"/>
              <w:bidi w:val="0"/>
              <w:spacing w:line="420" w:lineRule="exact"/>
              <w:ind w:firstLine="0" w:firstLineChars="0"/>
              <w:jc w:val="left"/>
              <w:textAlignment w:val="auto"/>
              <w:rPr>
                <w:rFonts w:hint="eastAsia" w:ascii="仿宋" w:hAnsi="仿宋" w:eastAsia="仿宋" w:cs="仿宋"/>
                <w:bCs/>
                <w:color w:val="auto"/>
                <w:sz w:val="24"/>
                <w:szCs w:val="24"/>
              </w:rPr>
            </w:pPr>
            <w:r>
              <w:rPr>
                <w:rFonts w:hint="eastAsia" w:cs="仿宋"/>
                <w:bCs/>
                <w:color w:val="auto"/>
                <w:sz w:val="24"/>
                <w:szCs w:val="24"/>
                <w:lang w:val="en-US" w:eastAsia="zh-CN"/>
              </w:rPr>
              <w:t>投标人</w:t>
            </w:r>
            <w:r>
              <w:rPr>
                <w:rFonts w:hint="eastAsia" w:ascii="仿宋" w:hAnsi="仿宋" w:eastAsia="仿宋" w:cs="仿宋"/>
                <w:bCs/>
                <w:color w:val="auto"/>
                <w:sz w:val="24"/>
                <w:szCs w:val="24"/>
              </w:rPr>
              <w:t>应于</w:t>
            </w: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前在“政采云”上自行加密上传电子投标文件，逾期上传或未按要求上传的投标文件将予以拒收。</w:t>
            </w:r>
          </w:p>
        </w:tc>
      </w:tr>
      <w:tr w14:paraId="1E4A1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6B828F7">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E9319B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投标有效期</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63A2E0A">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自投标截止日起90天</w:t>
            </w:r>
            <w:r>
              <w:rPr>
                <w:rFonts w:hint="eastAsia" w:cs="仿宋"/>
                <w:bCs/>
                <w:szCs w:val="24"/>
                <w:lang w:eastAsia="zh-CN"/>
              </w:rPr>
              <w:t>；</w:t>
            </w:r>
            <w:r>
              <w:rPr>
                <w:rFonts w:hint="eastAsia" w:ascii="仿宋" w:hAnsi="仿宋" w:eastAsia="仿宋" w:cs="仿宋"/>
                <w:bCs/>
                <w:szCs w:val="24"/>
              </w:rPr>
              <w:t>如采购代理机构认为必要，可延长投标有效期。</w:t>
            </w:r>
          </w:p>
        </w:tc>
      </w:tr>
      <w:tr w14:paraId="4B076D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A9B3BF">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94BCA6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签订合同时间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4BD76E89">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中标通知书发出后20日内</w:t>
            </w:r>
          </w:p>
        </w:tc>
      </w:tr>
      <w:tr w14:paraId="100B8F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C652D9">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19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BA23BF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转包与分包</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1B85540">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本项目不允许转包和分包</w:t>
            </w:r>
          </w:p>
        </w:tc>
      </w:tr>
      <w:tr w14:paraId="5D826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402FB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20</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AD0F87B">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履约保证金</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3896139">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szCs w:val="24"/>
              </w:rPr>
            </w:pPr>
            <w:r>
              <w:rPr>
                <w:rFonts w:hint="eastAsia" w:ascii="仿宋" w:hAnsi="仿宋" w:eastAsia="仿宋" w:cs="仿宋"/>
                <w:bCs/>
                <w:szCs w:val="24"/>
              </w:rPr>
              <w:t>本项目不适用</w:t>
            </w:r>
          </w:p>
        </w:tc>
      </w:tr>
      <w:tr w14:paraId="6BC7D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685411">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21</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5551D85">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投标文件递交截止时间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3A61F3C">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sz w:val="24"/>
                <w:szCs w:val="24"/>
              </w:rPr>
              <w:t>于</w:t>
            </w: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止</w:t>
            </w:r>
          </w:p>
        </w:tc>
      </w:tr>
      <w:tr w14:paraId="6FB852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88AC4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22</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5D16943">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投标文件递交地点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59CB0B4">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ascii="仿宋" w:hAnsi="仿宋" w:eastAsia="仿宋" w:cs="仿宋"/>
                <w:bCs/>
                <w:color w:val="auto"/>
                <w:kern w:val="2"/>
                <w:sz w:val="24"/>
                <w:szCs w:val="24"/>
              </w:rPr>
              <w:t>政采云平台</w:t>
            </w:r>
          </w:p>
        </w:tc>
      </w:tr>
      <w:tr w14:paraId="2F6F8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4E075D">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23</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EA26756">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1CE8E95">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kern w:val="2"/>
                <w:sz w:val="24"/>
                <w:szCs w:val="24"/>
              </w:rPr>
            </w:pPr>
            <w:r>
              <w:rPr>
                <w:rFonts w:hint="eastAsia" w:cs="仿宋"/>
                <w:bCs/>
                <w:color w:val="FF0000"/>
                <w:sz w:val="24"/>
                <w:szCs w:val="24"/>
                <w:lang w:eastAsia="zh-CN"/>
              </w:rPr>
              <w:t>2025年</w:t>
            </w:r>
            <w:r>
              <w:rPr>
                <w:rFonts w:hint="eastAsia" w:cs="仿宋"/>
                <w:bCs/>
                <w:color w:val="FF0000"/>
                <w:sz w:val="24"/>
                <w:szCs w:val="24"/>
                <w:lang w:val="en-US" w:eastAsia="zh-CN"/>
              </w:rPr>
              <w:t>4</w:t>
            </w:r>
            <w:r>
              <w:rPr>
                <w:rFonts w:hint="eastAsia" w:ascii="仿宋" w:hAnsi="仿宋" w:eastAsia="仿宋" w:cs="仿宋"/>
                <w:bCs/>
                <w:color w:val="FF0000"/>
                <w:sz w:val="24"/>
                <w:szCs w:val="24"/>
              </w:rPr>
              <w:t>月</w:t>
            </w:r>
            <w:r>
              <w:rPr>
                <w:rFonts w:hint="eastAsia" w:cs="仿宋"/>
                <w:bCs/>
                <w:color w:val="FF0000"/>
                <w:sz w:val="24"/>
                <w:szCs w:val="24"/>
                <w:lang w:val="en-US" w:eastAsia="zh-CN"/>
              </w:rPr>
              <w:t>23</w:t>
            </w:r>
            <w:r>
              <w:rPr>
                <w:rFonts w:hint="eastAsia" w:ascii="仿宋" w:hAnsi="仿宋" w:eastAsia="仿宋" w:cs="仿宋"/>
                <w:bCs/>
                <w:color w:val="FF0000"/>
                <w:sz w:val="24"/>
                <w:szCs w:val="24"/>
              </w:rPr>
              <w:t>日</w:t>
            </w:r>
            <w:r>
              <w:rPr>
                <w:rFonts w:hint="eastAsia" w:ascii="仿宋" w:hAnsi="仿宋" w:eastAsia="仿宋" w:cs="仿宋"/>
                <w:bCs/>
                <w:color w:val="FF0000"/>
                <w:sz w:val="24"/>
                <w:szCs w:val="24"/>
                <w:lang w:val="en-US" w:eastAsia="zh-CN"/>
              </w:rPr>
              <w:t>14</w:t>
            </w:r>
            <w:r>
              <w:rPr>
                <w:rFonts w:hint="eastAsia" w:ascii="仿宋" w:hAnsi="仿宋" w:eastAsia="仿宋" w:cs="仿宋"/>
                <w:bCs/>
                <w:color w:val="FF0000"/>
                <w:sz w:val="24"/>
                <w:szCs w:val="24"/>
              </w:rPr>
              <w:t>:</w:t>
            </w:r>
            <w:r>
              <w:rPr>
                <w:rFonts w:hint="eastAsia" w:ascii="仿宋" w:hAnsi="仿宋" w:eastAsia="仿宋" w:cs="仿宋"/>
                <w:bCs/>
                <w:color w:val="FF0000"/>
                <w:sz w:val="24"/>
                <w:szCs w:val="24"/>
                <w:lang w:val="en-US" w:eastAsia="zh-CN"/>
              </w:rPr>
              <w:t>30</w:t>
            </w:r>
            <w:r>
              <w:rPr>
                <w:rFonts w:hint="eastAsia" w:ascii="仿宋" w:hAnsi="仿宋" w:eastAsia="仿宋" w:cs="仿宋"/>
                <w:bCs/>
                <w:color w:val="FF0000"/>
                <w:sz w:val="24"/>
                <w:szCs w:val="24"/>
              </w:rPr>
              <w:t>时</w:t>
            </w:r>
            <w:r>
              <w:rPr>
                <w:rFonts w:hint="eastAsia" w:ascii="仿宋" w:hAnsi="仿宋" w:eastAsia="仿宋" w:cs="仿宋"/>
                <w:bCs/>
                <w:color w:val="auto"/>
                <w:sz w:val="24"/>
                <w:szCs w:val="24"/>
              </w:rPr>
              <w:t>起</w:t>
            </w:r>
          </w:p>
        </w:tc>
      </w:tr>
      <w:tr w14:paraId="3E4BB4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72D347C">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24</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F8028B3">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szCs w:val="24"/>
              </w:rPr>
              <w:t>开标地点</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59C3FD77">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
                <w:bCs/>
                <w:color w:val="auto"/>
                <w:kern w:val="2"/>
                <w:sz w:val="24"/>
                <w:szCs w:val="24"/>
              </w:rPr>
            </w:pPr>
            <w:r>
              <w:rPr>
                <w:rFonts w:hint="eastAsia" w:ascii="仿宋" w:hAnsi="仿宋" w:eastAsia="仿宋" w:cs="仿宋"/>
                <w:color w:val="auto"/>
                <w:kern w:val="2"/>
                <w:sz w:val="24"/>
                <w:szCs w:val="24"/>
                <w:lang w:val="en-US" w:eastAsia="zh-CN" w:bidi="ar-SA"/>
              </w:rPr>
              <w:t>政采云开标大厅</w:t>
            </w:r>
          </w:p>
        </w:tc>
      </w:tr>
      <w:tr w14:paraId="3C7D1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6120C6">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25</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D884602">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
                <w:szCs w:val="24"/>
              </w:rPr>
            </w:pPr>
            <w:r>
              <w:rPr>
                <w:rFonts w:hint="eastAsia" w:ascii="仿宋" w:hAnsi="仿宋" w:eastAsia="仿宋" w:cs="仿宋"/>
                <w:szCs w:val="24"/>
              </w:rPr>
              <w:t>质疑与答疑时间</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9E2B74D">
            <w:pPr>
              <w:pStyle w:val="12"/>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Cs w:val="24"/>
              </w:rPr>
            </w:pPr>
            <w:r>
              <w:rPr>
                <w:rFonts w:hint="eastAsia" w:ascii="仿宋" w:hAnsi="仿宋" w:eastAsia="仿宋" w:cs="仿宋"/>
                <w:szCs w:val="24"/>
              </w:rPr>
              <w:t>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p>
        </w:tc>
      </w:tr>
      <w:tr w14:paraId="1F4B0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5F6A86">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26</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73C7C2CF">
            <w:pPr>
              <w:keepNext w:val="0"/>
              <w:keepLines w:val="0"/>
              <w:pageBreakBefore w:val="0"/>
              <w:kinsoku/>
              <w:wordWrap/>
              <w:overflowPunct/>
              <w:topLinePunct w:val="0"/>
              <w:bidi w:val="0"/>
              <w:snapToGrid w:val="0"/>
              <w:spacing w:line="420" w:lineRule="exact"/>
              <w:ind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信用记录</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722AF137">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根据《关于在政府采购活动中查询及使用信用记录有关问题的通知》财库[2016]125号的规定：</w:t>
            </w:r>
          </w:p>
          <w:p w14:paraId="59D00567">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1.采购人或采购代理机构将对本项目投标人的信用记录进行查询，查询渠道为信用中国网站（www.creditchina.gov.cn）、中国政府采购网（www.ccgp.gov.cn）；</w:t>
            </w:r>
          </w:p>
          <w:p w14:paraId="3144C9E0">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2.截止时点：提交投标文件（响应文件）截止时间前3年内；</w:t>
            </w:r>
          </w:p>
          <w:p w14:paraId="728CC07A">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3.查询记录和证据的留存：信用信息查询记录和证据以网页截图等方式留存；</w:t>
            </w:r>
          </w:p>
          <w:p w14:paraId="4402FCEB">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4.使用规则：被列入失信被执行人、重大税收违法案件当事人名单、政府采购严重违法失信行为记录名单及其它不符合《中华人民共和国政府采购法》第二十二条规定条件的，其投标将被拒绝；</w:t>
            </w:r>
          </w:p>
          <w:p w14:paraId="32F9FDA7">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5.联合体成员任意一方存在不良信用记录的，视同联合体存在不良信用记录。</w:t>
            </w:r>
          </w:p>
        </w:tc>
      </w:tr>
      <w:tr w14:paraId="62C45F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99"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E80626">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color w:val="auto"/>
                <w:kern w:val="2"/>
                <w:sz w:val="24"/>
                <w:szCs w:val="24"/>
                <w:lang w:val="en-US" w:eastAsia="zh-CN" w:bidi="ar-SA"/>
              </w:rPr>
            </w:pPr>
            <w:r>
              <w:rPr>
                <w:rFonts w:hint="eastAsia" w:ascii="仿宋" w:hAnsi="仿宋" w:eastAsia="仿宋" w:cs="仿宋"/>
                <w:bCs/>
                <w:szCs w:val="24"/>
              </w:rPr>
              <w:t>27</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02507577">
            <w:pPr>
              <w:keepNext w:val="0"/>
              <w:keepLines w:val="0"/>
              <w:pageBreakBefore w:val="0"/>
              <w:kinsoku/>
              <w:wordWrap/>
              <w:overflowPunct/>
              <w:topLinePunct w:val="0"/>
              <w:bidi w:val="0"/>
              <w:spacing w:before="31" w:beforeLines="10"/>
              <w:ind w:firstLine="0" w:firstLineChars="0"/>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zh-CN"/>
              </w:rPr>
              <w:t>优先或强制采购</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3083147C">
            <w:pPr>
              <w:keepNext w:val="0"/>
              <w:keepLines w:val="0"/>
              <w:pageBreakBefore w:val="0"/>
              <w:kinsoku/>
              <w:wordWrap/>
              <w:overflowPunct/>
              <w:topLinePunct w:val="0"/>
              <w:bidi w:val="0"/>
              <w:snapToGrid w:val="0"/>
              <w:spacing w:line="460" w:lineRule="exact"/>
              <w:ind w:left="0" w:leftChars="0" w:firstLine="0" w:firstLineChars="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zh-CN" w:eastAsia="zh-CN" w:bidi="ar-SA"/>
              </w:rPr>
              <w:t>根据财库</w:t>
            </w:r>
            <w:r>
              <w:rPr>
                <w:rFonts w:hint="eastAsia" w:ascii="仿宋" w:hAnsi="仿宋" w:eastAsia="仿宋" w:cs="仿宋"/>
                <w:color w:val="auto"/>
                <w:kern w:val="2"/>
                <w:sz w:val="24"/>
                <w:szCs w:val="24"/>
                <w:lang w:val="en-US" w:eastAsia="zh-CN" w:bidi="ar-SA"/>
              </w:rPr>
              <w:t>[2019]9号、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[2019]18号、</w:t>
            </w:r>
            <w:r>
              <w:rPr>
                <w:rFonts w:hint="eastAsia" w:ascii="仿宋" w:hAnsi="仿宋" w:eastAsia="仿宋" w:cs="仿宋"/>
                <w:color w:val="auto"/>
                <w:kern w:val="2"/>
                <w:sz w:val="24"/>
                <w:szCs w:val="24"/>
                <w:lang w:val="zh-CN" w:eastAsia="zh-CN" w:bidi="ar-SA"/>
              </w:rPr>
              <w:t>财库</w:t>
            </w:r>
            <w:r>
              <w:rPr>
                <w:rFonts w:hint="eastAsia" w:ascii="仿宋" w:hAnsi="仿宋" w:eastAsia="仿宋" w:cs="仿宋"/>
                <w:color w:val="auto"/>
                <w:kern w:val="2"/>
                <w:sz w:val="24"/>
                <w:szCs w:val="24"/>
                <w:lang w:val="en-US" w:eastAsia="zh-CN" w:bidi="ar-SA"/>
              </w:rPr>
              <w:t>[2019]19号规定，</w:t>
            </w:r>
            <w:r>
              <w:rPr>
                <w:rFonts w:hint="eastAsia" w:ascii="仿宋" w:hAnsi="仿宋" w:eastAsia="仿宋" w:cs="仿宋"/>
                <w:color w:val="auto"/>
                <w:kern w:val="2"/>
                <w:sz w:val="24"/>
                <w:szCs w:val="24"/>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color w:val="auto"/>
                <w:kern w:val="2"/>
                <w:sz w:val="24"/>
                <w:szCs w:val="24"/>
                <w:lang w:val="en-US" w:eastAsia="zh-CN" w:bidi="ar-SA"/>
              </w:rPr>
              <w:t>。</w:t>
            </w:r>
          </w:p>
        </w:tc>
      </w:tr>
      <w:tr w14:paraId="02303D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jc w:val="center"/>
        </w:trPr>
        <w:tc>
          <w:tcPr>
            <w:tcW w:w="70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B34138">
            <w:pPr>
              <w:pStyle w:val="12"/>
              <w:keepNext w:val="0"/>
              <w:keepLines w:val="0"/>
              <w:pageBreakBefore w:val="0"/>
              <w:kinsoku/>
              <w:wordWrap/>
              <w:overflowPunct/>
              <w:topLinePunct w:val="0"/>
              <w:bidi w:val="0"/>
              <w:spacing w:line="420" w:lineRule="exact"/>
              <w:ind w:firstLine="0" w:firstLineChars="0"/>
              <w:jc w:val="center"/>
              <w:textAlignment w:val="auto"/>
              <w:rPr>
                <w:rFonts w:ascii="仿宋" w:hAnsi="仿宋" w:eastAsia="仿宋" w:cs="仿宋"/>
                <w:bCs/>
                <w:color w:val="auto"/>
                <w:kern w:val="2"/>
                <w:sz w:val="24"/>
                <w:szCs w:val="24"/>
                <w:lang w:val="en-US" w:eastAsia="zh-CN" w:bidi="ar-SA"/>
              </w:rPr>
            </w:pPr>
            <w:r>
              <w:rPr>
                <w:rFonts w:hint="eastAsia" w:ascii="仿宋" w:hAnsi="仿宋" w:eastAsia="仿宋" w:cs="仿宋"/>
                <w:bCs/>
                <w:szCs w:val="24"/>
              </w:rPr>
              <w:t>28</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291E4F7">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szCs w:val="24"/>
              </w:rPr>
            </w:pPr>
            <w:r>
              <w:rPr>
                <w:rFonts w:hint="eastAsia" w:ascii="仿宋" w:hAnsi="仿宋" w:eastAsia="仿宋" w:cs="仿宋"/>
                <w:bCs/>
                <w:szCs w:val="24"/>
              </w:rPr>
              <w:t>其他</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6154A599">
            <w:pPr>
              <w:keepNext w:val="0"/>
              <w:keepLines w:val="0"/>
              <w:pageBreakBefore w:val="0"/>
              <w:kinsoku/>
              <w:wordWrap/>
              <w:overflowPunct/>
              <w:topLinePunct w:val="0"/>
              <w:bidi w:val="0"/>
              <w:snapToGrid w:val="0"/>
              <w:spacing w:line="420" w:lineRule="exact"/>
              <w:ind w:firstLine="0" w:firstLineChars="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特别提醒：</w:t>
            </w:r>
          </w:p>
          <w:p w14:paraId="12E4CA14">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bCs/>
                <w:color w:val="auto"/>
                <w:sz w:val="24"/>
                <w:szCs w:val="24"/>
                <w:lang w:eastAsia="zh-CN"/>
              </w:rPr>
            </w:pPr>
            <w:r>
              <w:rPr>
                <w:rFonts w:hint="eastAsia" w:cs="仿宋"/>
                <w:bCs/>
                <w:color w:val="auto"/>
                <w:sz w:val="24"/>
                <w:szCs w:val="24"/>
                <w:lang w:val="en-US" w:eastAsia="zh-CN"/>
              </w:rPr>
              <w:t>1.</w:t>
            </w:r>
            <w:r>
              <w:rPr>
                <w:rFonts w:hint="eastAsia" w:ascii="仿宋" w:hAnsi="仿宋" w:eastAsia="仿宋" w:cs="仿宋"/>
                <w:bCs/>
                <w:color w:val="auto"/>
                <w:sz w:val="24"/>
                <w:szCs w:val="24"/>
              </w:rPr>
              <w:t>本项目招标代理费由中标</w:t>
            </w:r>
            <w:r>
              <w:rPr>
                <w:rFonts w:hint="eastAsia" w:cs="仿宋"/>
                <w:bCs/>
                <w:color w:val="auto"/>
                <w:sz w:val="24"/>
                <w:szCs w:val="24"/>
                <w:lang w:eastAsia="zh-CN"/>
              </w:rPr>
              <w:t>人</w:t>
            </w:r>
            <w:r>
              <w:rPr>
                <w:rFonts w:hint="eastAsia" w:ascii="仿宋" w:hAnsi="仿宋" w:eastAsia="仿宋" w:cs="仿宋"/>
                <w:bCs/>
                <w:color w:val="auto"/>
                <w:sz w:val="24"/>
                <w:szCs w:val="24"/>
              </w:rPr>
              <w:t>支付，招标代理费为人民币</w:t>
            </w:r>
            <w:r>
              <w:rPr>
                <w:rFonts w:hint="eastAsia" w:cs="仿宋"/>
                <w:b/>
                <w:color w:val="auto"/>
                <w:sz w:val="24"/>
                <w:szCs w:val="24"/>
                <w:u w:val="single"/>
                <w:lang w:val="en-US" w:eastAsia="zh-CN"/>
              </w:rPr>
              <w:t>壹万叁仟伍佰</w:t>
            </w:r>
            <w:r>
              <w:rPr>
                <w:rFonts w:hint="eastAsia" w:ascii="仿宋" w:hAnsi="仿宋" w:eastAsia="仿宋" w:cs="仿宋"/>
                <w:b/>
                <w:color w:val="auto"/>
                <w:sz w:val="24"/>
                <w:szCs w:val="24"/>
                <w:u w:val="single"/>
                <w:lang w:val="en-US" w:eastAsia="zh-CN"/>
              </w:rPr>
              <w:t>元整</w:t>
            </w:r>
            <w:r>
              <w:rPr>
                <w:rFonts w:hint="eastAsia" w:ascii="仿宋" w:hAnsi="仿宋" w:eastAsia="仿宋" w:cs="仿宋"/>
                <w:bCs/>
                <w:color w:val="auto"/>
                <w:sz w:val="24"/>
                <w:szCs w:val="24"/>
              </w:rPr>
              <w:t>。</w:t>
            </w:r>
            <w:r>
              <w:rPr>
                <w:rFonts w:hint="eastAsia" w:ascii="仿宋" w:hAnsi="仿宋" w:eastAsia="仿宋" w:cs="仿宋"/>
                <w:sz w:val="24"/>
              </w:rPr>
              <w:t>（单位名称：浙江日晟信息咨询有限公司；银行账号：201000136304517；开户银行：浙江武义农村商业银行股份有限公司壶山支行）</w:t>
            </w:r>
            <w:r>
              <w:rPr>
                <w:rFonts w:hint="eastAsia" w:cs="仿宋"/>
                <w:sz w:val="24"/>
                <w:lang w:eastAsia="zh-CN"/>
              </w:rPr>
              <w:t>；</w:t>
            </w:r>
          </w:p>
          <w:p w14:paraId="486425CA">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color w:val="auto"/>
                <w:sz w:val="24"/>
                <w:szCs w:val="24"/>
              </w:rPr>
            </w:pPr>
            <w:r>
              <w:rPr>
                <w:rFonts w:hint="eastAsia" w:cs="仿宋"/>
                <w:bCs/>
                <w:color w:val="auto"/>
                <w:sz w:val="24"/>
                <w:szCs w:val="24"/>
                <w:lang w:val="en-US" w:eastAsia="zh-CN"/>
              </w:rPr>
              <w:t>2.</w:t>
            </w:r>
            <w:r>
              <w:rPr>
                <w:rFonts w:hint="eastAsia" w:ascii="仿宋" w:hAnsi="仿宋" w:eastAsia="仿宋" w:cs="仿宋"/>
                <w:bCs/>
                <w:color w:val="auto"/>
                <w:sz w:val="24"/>
                <w:szCs w:val="24"/>
              </w:rPr>
              <w:t>以上费用由投标</w:t>
            </w:r>
            <w:r>
              <w:rPr>
                <w:rFonts w:hint="eastAsia" w:cs="仿宋"/>
                <w:bCs/>
                <w:color w:val="auto"/>
                <w:sz w:val="24"/>
                <w:szCs w:val="24"/>
                <w:lang w:eastAsia="zh-CN"/>
              </w:rPr>
              <w:t>人</w:t>
            </w:r>
            <w:r>
              <w:rPr>
                <w:rFonts w:hint="eastAsia" w:ascii="仿宋" w:hAnsi="仿宋" w:eastAsia="仿宋" w:cs="仿宋"/>
                <w:bCs/>
                <w:color w:val="auto"/>
                <w:sz w:val="24"/>
                <w:szCs w:val="24"/>
              </w:rPr>
              <w:t>在报价中一并考虑。</w:t>
            </w:r>
          </w:p>
        </w:tc>
      </w:tr>
      <w:tr w14:paraId="6121E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0" w:hRule="atLeast"/>
          <w:jc w:val="center"/>
        </w:trPr>
        <w:tc>
          <w:tcPr>
            <w:tcW w:w="704" w:type="dxa"/>
            <w:tcBorders>
              <w:top w:val="single" w:color="auto" w:sz="4" w:space="0"/>
              <w:left w:val="single" w:color="auto" w:sz="4" w:space="0"/>
              <w:bottom w:val="single" w:color="auto" w:sz="4" w:space="0"/>
              <w:right w:val="single" w:color="auto" w:sz="4" w:space="0"/>
            </w:tcBorders>
            <w:noWrap w:val="0"/>
            <w:vAlign w:val="center"/>
          </w:tcPr>
          <w:p w14:paraId="477D2206">
            <w:pPr>
              <w:pStyle w:val="12"/>
              <w:keepNext w:val="0"/>
              <w:keepLines w:val="0"/>
              <w:pageBreakBefore w:val="0"/>
              <w:kinsoku/>
              <w:wordWrap/>
              <w:overflowPunct/>
              <w:topLinePunct w:val="0"/>
              <w:bidi w:val="0"/>
              <w:spacing w:line="420" w:lineRule="exact"/>
              <w:ind w:firstLine="0" w:firstLineChars="0"/>
              <w:jc w:val="center"/>
              <w:textAlignment w:val="auto"/>
              <w:rPr>
                <w:rFonts w:hint="default" w:ascii="仿宋" w:hAnsi="仿宋" w:eastAsia="仿宋" w:cs="仿宋"/>
                <w:bCs/>
                <w:szCs w:val="24"/>
                <w:lang w:val="en-US" w:eastAsia="zh-CN"/>
              </w:rPr>
            </w:pPr>
            <w:r>
              <w:rPr>
                <w:rFonts w:hint="eastAsia" w:cs="仿宋"/>
                <w:bCs/>
                <w:szCs w:val="24"/>
                <w:lang w:val="en-US" w:eastAsia="zh-CN"/>
              </w:rPr>
              <w:t>29</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5E608AC8">
            <w:pPr>
              <w:pStyle w:val="12"/>
              <w:keepNext w:val="0"/>
              <w:keepLines w:val="0"/>
              <w:pageBreakBefore w:val="0"/>
              <w:kinsoku/>
              <w:wordWrap/>
              <w:overflowPunct/>
              <w:topLinePunct w:val="0"/>
              <w:bidi w:val="0"/>
              <w:spacing w:line="420" w:lineRule="exact"/>
              <w:ind w:firstLine="0" w:firstLineChars="0"/>
              <w:jc w:val="center"/>
              <w:textAlignment w:val="auto"/>
              <w:rPr>
                <w:rFonts w:hint="eastAsia" w:ascii="仿宋" w:hAnsi="仿宋" w:eastAsia="仿宋" w:cs="仿宋"/>
                <w:bCs/>
                <w:szCs w:val="24"/>
              </w:rPr>
            </w:pPr>
            <w:r>
              <w:rPr>
                <w:rFonts w:hint="eastAsia" w:ascii="仿宋" w:hAnsi="仿宋" w:eastAsia="仿宋" w:cs="仿宋"/>
                <w:bCs/>
                <w:szCs w:val="24"/>
              </w:rPr>
              <w:t>本项目对应的中小企业划分标准所属行业</w:t>
            </w:r>
          </w:p>
        </w:tc>
        <w:tc>
          <w:tcPr>
            <w:tcW w:w="7605" w:type="dxa"/>
            <w:tcBorders>
              <w:top w:val="single" w:color="auto" w:sz="4" w:space="0"/>
              <w:left w:val="single" w:color="auto" w:sz="4" w:space="0"/>
              <w:bottom w:val="single" w:color="auto" w:sz="4" w:space="0"/>
              <w:right w:val="single" w:color="auto" w:sz="4" w:space="0"/>
            </w:tcBorders>
            <w:noWrap w:val="0"/>
            <w:vAlign w:val="center"/>
          </w:tcPr>
          <w:p w14:paraId="2118F034">
            <w:pPr>
              <w:keepNext w:val="0"/>
              <w:keepLines w:val="0"/>
              <w:pageBreakBefore w:val="0"/>
              <w:kinsoku/>
              <w:wordWrap/>
              <w:overflowPunct/>
              <w:topLinePunct w:val="0"/>
              <w:bidi w:val="0"/>
              <w:spacing w:line="420" w:lineRule="exact"/>
              <w:ind w:firstLine="0" w:firstLineChars="0"/>
              <w:textAlignment w:val="auto"/>
              <w:rPr>
                <w:rFonts w:hint="eastAsia" w:ascii="仿宋" w:hAnsi="仿宋" w:eastAsia="仿宋" w:cs="仿宋"/>
                <w:sz w:val="24"/>
              </w:rPr>
            </w:pPr>
            <w:r>
              <w:rPr>
                <w:rFonts w:hint="eastAsia" w:ascii="仿宋" w:hAnsi="仿宋" w:eastAsia="仿宋" w:cs="仿宋"/>
                <w:sz w:val="24"/>
              </w:rPr>
              <w:t>根据《关于印发中小企业划型标准规定的通知》（工信部联企业〔2011〕300号），本企业按所属行业为</w:t>
            </w:r>
            <w:r>
              <w:rPr>
                <w:rFonts w:hint="eastAsia" w:ascii="仿宋" w:hAnsi="仿宋" w:eastAsia="仿宋" w:cs="仿宋"/>
                <w:b/>
                <w:bCs/>
                <w:sz w:val="24"/>
                <w:u w:val="single"/>
              </w:rPr>
              <w:t>“</w:t>
            </w:r>
            <w:r>
              <w:rPr>
                <w:rFonts w:hint="eastAsia" w:ascii="仿宋" w:hAnsi="仿宋" w:eastAsia="仿宋" w:cs="仿宋"/>
                <w:b/>
                <w:bCs/>
                <w:sz w:val="24"/>
                <w:u w:val="single"/>
                <w:lang w:val="en-US" w:eastAsia="zh-CN"/>
              </w:rPr>
              <w:t>软件和信息技术服务业</w:t>
            </w:r>
            <w:r>
              <w:rPr>
                <w:rFonts w:hint="eastAsia" w:ascii="仿宋" w:hAnsi="仿宋" w:eastAsia="仿宋" w:cs="仿宋"/>
                <w:b/>
                <w:bCs/>
                <w:sz w:val="24"/>
                <w:u w:val="single"/>
              </w:rPr>
              <w:t>”。</w:t>
            </w:r>
          </w:p>
          <w:p w14:paraId="16B55C2B">
            <w:pPr>
              <w:spacing w:line="420" w:lineRule="exact"/>
              <w:ind w:left="0" w:leftChars="0" w:firstLine="0" w:firstLineChars="0"/>
              <w:rPr>
                <w:rFonts w:hint="eastAsia" w:ascii="仿宋" w:hAnsi="仿宋" w:eastAsia="仿宋" w:cs="仿宋"/>
                <w:sz w:val="24"/>
                <w:lang w:val="en-US" w:eastAsia="zh-CN"/>
              </w:rPr>
            </w:pPr>
            <w:r>
              <w:rPr>
                <w:rFonts w:hint="eastAsia" w:ascii="仿宋" w:hAnsi="仿宋" w:eastAsia="仿宋" w:cs="仿宋"/>
                <w:sz w:val="24"/>
                <w:lang w:val="en-US" w:eastAsia="zh-CN"/>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3456068">
            <w:pPr>
              <w:keepNext w:val="0"/>
              <w:keepLines w:val="0"/>
              <w:pageBreakBefore w:val="0"/>
              <w:kinsoku/>
              <w:wordWrap/>
              <w:overflowPunct/>
              <w:topLinePunct w:val="0"/>
              <w:bidi w:val="0"/>
              <w:spacing w:line="420" w:lineRule="exact"/>
              <w:ind w:firstLine="0" w:firstLineChars="0"/>
              <w:textAlignment w:val="auto"/>
              <w:rPr>
                <w:rFonts w:hint="eastAsia"/>
              </w:rPr>
            </w:pPr>
            <w:r>
              <w:rPr>
                <w:rFonts w:hint="eastAsia" w:ascii="仿宋" w:hAnsi="仿宋" w:eastAsia="仿宋" w:cs="仿宋"/>
                <w:sz w:val="24"/>
                <w:u w:val="none"/>
                <w:lang w:val="en-US" w:eastAsia="zh-CN"/>
              </w:rPr>
              <w:t>项目属性：</w:t>
            </w:r>
            <w:r>
              <w:rPr>
                <w:rFonts w:hint="eastAsia" w:ascii="仿宋" w:hAnsi="仿宋" w:eastAsia="仿宋" w:cs="仿宋"/>
                <w:b/>
                <w:bCs/>
                <w:sz w:val="24"/>
                <w:u w:val="single"/>
                <w:lang w:val="en-US" w:eastAsia="zh-CN"/>
              </w:rPr>
              <w:t>“服务类”</w:t>
            </w:r>
          </w:p>
        </w:tc>
      </w:tr>
    </w:tbl>
    <w:p w14:paraId="0113FD2D">
      <w:pPr>
        <w:pStyle w:val="19"/>
        <w:spacing w:line="312" w:lineRule="auto"/>
        <w:ind w:firstLine="602"/>
        <w:jc w:val="center"/>
        <w:rPr>
          <w:rFonts w:hint="eastAsia" w:ascii="仿宋" w:hAnsi="仿宋" w:eastAsia="仿宋" w:cs="仿宋"/>
          <w:b/>
          <w:bCs/>
          <w:sz w:val="30"/>
          <w:szCs w:val="30"/>
        </w:rPr>
        <w:sectPr>
          <w:pgSz w:w="11906" w:h="16838"/>
          <w:pgMar w:top="1247" w:right="1134" w:bottom="1020" w:left="1418" w:header="851" w:footer="907" w:gutter="0"/>
          <w:pgNumType w:fmt="numberInDash"/>
          <w:cols w:space="720" w:num="1"/>
          <w:titlePg/>
          <w:docGrid w:type="lines" w:linePitch="312" w:charSpace="0"/>
        </w:sectPr>
      </w:pPr>
    </w:p>
    <w:bookmarkEnd w:id="1"/>
    <w:p w14:paraId="75F5EDEA">
      <w:pPr>
        <w:pStyle w:val="5"/>
        <w:bidi w:val="0"/>
        <w:ind w:left="0" w:leftChars="0" w:firstLine="0" w:firstLineChars="0"/>
        <w:jc w:val="center"/>
        <w:rPr>
          <w:rFonts w:hint="eastAsia" w:ascii="仿宋" w:hAnsi="仿宋" w:eastAsia="仿宋" w:cs="仿宋"/>
          <w:b/>
          <w:bCs/>
          <w:color w:val="auto"/>
          <w:sz w:val="24"/>
        </w:rPr>
      </w:pPr>
      <w:r>
        <w:rPr>
          <w:rFonts w:hint="eastAsia"/>
        </w:rPr>
        <w:t>一、总则</w:t>
      </w:r>
    </w:p>
    <w:p w14:paraId="3F5A21FE">
      <w:pPr>
        <w:pStyle w:val="6"/>
        <w:pageBreakBefore w:val="0"/>
        <w:widowControl w:val="0"/>
        <w:numPr>
          <w:ilvl w:val="2"/>
          <w:numId w:val="0"/>
        </w:numPr>
        <w:kinsoku/>
        <w:wordWrap/>
        <w:overflowPunct/>
        <w:topLinePunct w:val="0"/>
        <w:bidi w:val="0"/>
        <w:adjustRightInd w:val="0"/>
        <w:snapToGrid/>
        <w:spacing w:line="348" w:lineRule="auto"/>
        <w:ind w:firstLine="482" w:firstLineChars="200"/>
        <w:rPr>
          <w:rFonts w:hint="eastAsia"/>
        </w:rPr>
      </w:pPr>
      <w:r>
        <w:rPr>
          <w:rFonts w:hint="eastAsia"/>
        </w:rPr>
        <w:t>1.适用范围</w:t>
      </w:r>
    </w:p>
    <w:p w14:paraId="686A864E">
      <w:pPr>
        <w:pageBreakBefore w:val="0"/>
        <w:widowControl w:val="0"/>
        <w:kinsoku/>
        <w:wordWrap/>
        <w:overflowPunct/>
        <w:topLinePunct w:val="0"/>
        <w:bidi w:val="0"/>
        <w:adjustRightInd w:val="0"/>
        <w:snapToGrid/>
        <w:spacing w:line="348" w:lineRule="auto"/>
        <w:rPr>
          <w:rFonts w:hint="eastAsia"/>
        </w:rPr>
      </w:pPr>
      <w:r>
        <w:rPr>
          <w:rFonts w:hint="eastAsia"/>
        </w:rPr>
        <w:t>本招标文件适用于本次所述项目的招标。</w:t>
      </w:r>
    </w:p>
    <w:p w14:paraId="537AA622">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2.定义</w:t>
      </w:r>
    </w:p>
    <w:p w14:paraId="59277BBC">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2.1“采购人”系指组织本次招标的采购单位</w:t>
      </w:r>
      <w:r>
        <w:rPr>
          <w:rFonts w:hint="eastAsia"/>
          <w:lang w:eastAsia="zh-CN"/>
        </w:rPr>
        <w:t>；</w:t>
      </w:r>
    </w:p>
    <w:p w14:paraId="1A3B1964">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2.2“采购代理机构”系指</w:t>
      </w:r>
      <w:r>
        <w:rPr>
          <w:rFonts w:hint="eastAsia"/>
          <w:lang w:eastAsia="zh-CN"/>
        </w:rPr>
        <w:t>浙江日晟信息咨询有限公司；</w:t>
      </w:r>
    </w:p>
    <w:p w14:paraId="2BB3A14B">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2.3“投标</w:t>
      </w:r>
      <w:r>
        <w:rPr>
          <w:rFonts w:hint="eastAsia"/>
          <w:lang w:eastAsia="zh-CN"/>
        </w:rPr>
        <w:t>人</w:t>
      </w:r>
      <w:r>
        <w:rPr>
          <w:rFonts w:hint="eastAsia"/>
        </w:rPr>
        <w:t>”系指向采购人和采购代理机构提交投标文件的供应商</w:t>
      </w:r>
      <w:r>
        <w:rPr>
          <w:rFonts w:hint="eastAsia"/>
          <w:lang w:eastAsia="zh-CN"/>
        </w:rPr>
        <w:t>；</w:t>
      </w:r>
    </w:p>
    <w:p w14:paraId="652B2852">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2.4“货物”系指供方按招标文件规定，须向采购人提供的一切设备、保险、税 金、备品备件、工具、手册及其它有关技术资料和材料</w:t>
      </w:r>
      <w:r>
        <w:rPr>
          <w:rFonts w:hint="eastAsia"/>
          <w:lang w:eastAsia="zh-CN"/>
        </w:rPr>
        <w:t>；</w:t>
      </w:r>
    </w:p>
    <w:p w14:paraId="1C20AF1A">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2.5“服务”系指招标文件规定投标</w:t>
      </w:r>
      <w:r>
        <w:rPr>
          <w:rFonts w:hint="eastAsia"/>
          <w:lang w:eastAsia="zh-CN"/>
        </w:rPr>
        <w:t>人</w:t>
      </w:r>
      <w:r>
        <w:rPr>
          <w:rFonts w:hint="eastAsia"/>
        </w:rPr>
        <w:t>须承担的安装、调试、技术协助、校准、培训、技术指导以及其他类似的义务</w:t>
      </w:r>
      <w:r>
        <w:rPr>
          <w:rFonts w:hint="eastAsia"/>
          <w:lang w:eastAsia="zh-CN"/>
        </w:rPr>
        <w:t>；</w:t>
      </w:r>
    </w:p>
    <w:p w14:paraId="23B0EFBA">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2.6“项目”系指投标</w:t>
      </w:r>
      <w:r>
        <w:rPr>
          <w:rFonts w:hint="eastAsia"/>
          <w:lang w:eastAsia="zh-CN"/>
        </w:rPr>
        <w:t>人</w:t>
      </w:r>
      <w:r>
        <w:rPr>
          <w:rFonts w:hint="eastAsia"/>
        </w:rPr>
        <w:t>按招标文件规定向采购人提供的货物和服务</w:t>
      </w:r>
      <w:r>
        <w:rPr>
          <w:rFonts w:hint="eastAsia"/>
          <w:lang w:eastAsia="zh-CN"/>
        </w:rPr>
        <w:t>；</w:t>
      </w:r>
    </w:p>
    <w:p w14:paraId="269E5B1E">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2.7“书面形式”包括信函、传真、电报等</w:t>
      </w:r>
      <w:r>
        <w:rPr>
          <w:rFonts w:hint="eastAsia"/>
          <w:lang w:eastAsia="zh-CN"/>
        </w:rPr>
        <w:t>；</w:t>
      </w:r>
    </w:p>
    <w:p w14:paraId="0A51876E">
      <w:pPr>
        <w:pageBreakBefore w:val="0"/>
        <w:widowControl w:val="0"/>
        <w:kinsoku/>
        <w:wordWrap/>
        <w:overflowPunct/>
        <w:topLinePunct w:val="0"/>
        <w:bidi w:val="0"/>
        <w:adjustRightInd w:val="0"/>
        <w:snapToGrid/>
        <w:spacing w:line="348" w:lineRule="auto"/>
        <w:rPr>
          <w:rFonts w:hint="default"/>
          <w:lang w:val="en-US"/>
        </w:rPr>
      </w:pPr>
      <w:r>
        <w:rPr>
          <w:rFonts w:hint="eastAsia"/>
        </w:rPr>
        <w:t>2.8本招标文件所述设备品牌、型号是结合实际现有情况的推荐性参考方案，</w:t>
      </w:r>
      <w:r>
        <w:rPr>
          <w:rFonts w:hint="eastAsia"/>
          <w:lang w:eastAsia="zh-CN"/>
        </w:rPr>
        <w:t>投标人</w:t>
      </w:r>
      <w:r>
        <w:rPr>
          <w:rFonts w:hint="eastAsia"/>
        </w:rPr>
        <w:t>也可根据招标文件得要求参考性能相当或高于、服务条款相等或高于、符合招标方实际业务需求其他同档次优质品牌的产品，进行方案优化。所投产品不在参考品牌范围内的，是否符合招标文件要求由评标委员会在投标文件评审时集体讨论决定。</w:t>
      </w:r>
    </w:p>
    <w:p w14:paraId="7B55F0A0">
      <w:pPr>
        <w:pageBreakBefore w:val="0"/>
        <w:widowControl w:val="0"/>
        <w:kinsoku/>
        <w:wordWrap/>
        <w:overflowPunct/>
        <w:topLinePunct w:val="0"/>
        <w:bidi w:val="0"/>
        <w:adjustRightInd w:val="0"/>
        <w:snapToGrid/>
        <w:spacing w:line="348" w:lineRule="auto"/>
        <w:rPr>
          <w:rFonts w:hint="default"/>
          <w:lang w:val="en-US"/>
        </w:rPr>
      </w:pPr>
      <w:r>
        <w:rPr>
          <w:rFonts w:hint="eastAsia" w:ascii="仿宋" w:hAnsi="仿宋" w:eastAsia="仿宋" w:cs="仿宋"/>
          <w:color w:val="auto"/>
          <w:sz w:val="24"/>
        </w:rPr>
        <w:t>2.9“▲”系指实质性要求条款，不允许负偏离，否则作无效标处理；“★”为重要参数</w:t>
      </w:r>
      <w:r>
        <w:rPr>
          <w:rFonts w:hint="eastAsia"/>
          <w:lang w:val="en-US" w:eastAsia="zh-CN"/>
        </w:rPr>
        <w:t>。</w:t>
      </w:r>
    </w:p>
    <w:p w14:paraId="65E91BFA">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3.采购方式</w:t>
      </w:r>
    </w:p>
    <w:p w14:paraId="667D42EE">
      <w:pPr>
        <w:pageBreakBefore w:val="0"/>
        <w:widowControl w:val="0"/>
        <w:kinsoku/>
        <w:wordWrap/>
        <w:overflowPunct/>
        <w:topLinePunct w:val="0"/>
        <w:bidi w:val="0"/>
        <w:adjustRightInd w:val="0"/>
        <w:snapToGrid/>
        <w:spacing w:line="348" w:lineRule="auto"/>
        <w:rPr>
          <w:rFonts w:hint="eastAsia"/>
        </w:rPr>
      </w:pPr>
      <w:r>
        <w:rPr>
          <w:rFonts w:hint="eastAsia"/>
        </w:rPr>
        <w:t>本次采购采用公开招标方式进行。</w:t>
      </w:r>
    </w:p>
    <w:p w14:paraId="076812F6">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4.投标</w:t>
      </w:r>
      <w:r>
        <w:rPr>
          <w:rFonts w:hint="eastAsia"/>
          <w:lang w:eastAsia="zh-CN"/>
        </w:rPr>
        <w:t>人</w:t>
      </w:r>
      <w:r>
        <w:rPr>
          <w:rFonts w:hint="eastAsia"/>
        </w:rPr>
        <w:t>及投标委托有关说明</w:t>
      </w:r>
    </w:p>
    <w:p w14:paraId="60FC5FAB">
      <w:pPr>
        <w:pageBreakBefore w:val="0"/>
        <w:widowControl w:val="0"/>
        <w:kinsoku/>
        <w:wordWrap/>
        <w:overflowPunct/>
        <w:topLinePunct w:val="0"/>
        <w:bidi w:val="0"/>
        <w:adjustRightInd w:val="0"/>
        <w:snapToGrid/>
        <w:spacing w:line="348" w:lineRule="auto"/>
        <w:rPr>
          <w:rFonts w:hint="eastAsia"/>
        </w:rPr>
      </w:pPr>
      <w:r>
        <w:rPr>
          <w:rFonts w:hint="eastAsia"/>
        </w:rPr>
        <w:t>投标</w:t>
      </w:r>
      <w:r>
        <w:rPr>
          <w:rFonts w:hint="eastAsia"/>
          <w:lang w:eastAsia="zh-CN"/>
        </w:rPr>
        <w:t>人</w:t>
      </w:r>
      <w:r>
        <w:rPr>
          <w:rFonts w:hint="eastAsia"/>
        </w:rPr>
        <w:t>代表不是法定代表人，须有法定代表人出具的授权委托书。</w:t>
      </w:r>
    </w:p>
    <w:p w14:paraId="548980EE">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5.投标费用</w:t>
      </w:r>
    </w:p>
    <w:p w14:paraId="0F4F2034">
      <w:pPr>
        <w:pageBreakBefore w:val="0"/>
        <w:widowControl w:val="0"/>
        <w:kinsoku/>
        <w:wordWrap/>
        <w:overflowPunct/>
        <w:topLinePunct w:val="0"/>
        <w:bidi w:val="0"/>
        <w:adjustRightInd w:val="0"/>
        <w:snapToGrid/>
        <w:spacing w:line="348" w:lineRule="auto"/>
        <w:rPr>
          <w:rFonts w:hint="eastAsia"/>
        </w:rPr>
      </w:pPr>
      <w:r>
        <w:rPr>
          <w:rFonts w:hint="eastAsia"/>
        </w:rPr>
        <w:t>投标</w:t>
      </w:r>
      <w:r>
        <w:rPr>
          <w:rFonts w:hint="eastAsia"/>
          <w:lang w:eastAsia="zh-CN"/>
        </w:rPr>
        <w:t>人</w:t>
      </w:r>
      <w:r>
        <w:rPr>
          <w:rFonts w:hint="eastAsia"/>
        </w:rPr>
        <w:t>应自行承担获得招标文件和编制、提交投标文件所涉及的一切费用。不论投标结果如何，投标</w:t>
      </w:r>
      <w:r>
        <w:rPr>
          <w:rFonts w:hint="eastAsia"/>
          <w:lang w:eastAsia="zh-CN"/>
        </w:rPr>
        <w:t>人</w:t>
      </w:r>
      <w:r>
        <w:rPr>
          <w:rFonts w:hint="eastAsia"/>
        </w:rPr>
        <w:t>均应自行承担所有与投标有关的全部费用。对中标人收取政府采购代理服务费。</w:t>
      </w:r>
    </w:p>
    <w:p w14:paraId="772B4D7D">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6.特别说明</w:t>
      </w:r>
    </w:p>
    <w:p w14:paraId="3C599081">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6.1投标</w:t>
      </w:r>
      <w:r>
        <w:rPr>
          <w:rFonts w:hint="eastAsia"/>
          <w:lang w:eastAsia="zh-CN"/>
        </w:rPr>
        <w:t>人</w:t>
      </w:r>
      <w:r>
        <w:rPr>
          <w:rFonts w:hint="eastAsia"/>
        </w:rPr>
        <w:t>应仔细阅读招标文件的所有内容，按照招标文件的要求提交投标文件，并对所提供的全部资料的真实性承担法律责任</w:t>
      </w:r>
      <w:r>
        <w:rPr>
          <w:rFonts w:hint="eastAsia"/>
          <w:lang w:eastAsia="zh-CN"/>
        </w:rPr>
        <w:t>；</w:t>
      </w:r>
    </w:p>
    <w:p w14:paraId="07B1C36B">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6.2投标</w:t>
      </w:r>
      <w:r>
        <w:rPr>
          <w:rFonts w:hint="eastAsia"/>
          <w:lang w:eastAsia="zh-CN"/>
        </w:rPr>
        <w:t>人</w:t>
      </w:r>
      <w:r>
        <w:rPr>
          <w:rFonts w:hint="eastAsia"/>
        </w:rPr>
        <w:t>在投标活动中提供任何虚假材料,其投标无效，并报监管部门查处；中标后发现的,中标人须依照《中华人民共和国消费者权益保护法》第49条之规定双倍赔偿采购人，且民事赔偿并不免除违法投标</w:t>
      </w:r>
      <w:r>
        <w:rPr>
          <w:rFonts w:hint="eastAsia"/>
          <w:lang w:eastAsia="zh-CN"/>
        </w:rPr>
        <w:t>人</w:t>
      </w:r>
      <w:r>
        <w:rPr>
          <w:rFonts w:hint="eastAsia"/>
        </w:rPr>
        <w:t>的行政与刑事责任</w:t>
      </w:r>
      <w:r>
        <w:rPr>
          <w:rFonts w:hint="eastAsia"/>
          <w:lang w:eastAsia="zh-CN"/>
        </w:rPr>
        <w:t>；</w:t>
      </w:r>
    </w:p>
    <w:p w14:paraId="757C4659">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6.3投标</w:t>
      </w:r>
      <w:r>
        <w:rPr>
          <w:rFonts w:hint="eastAsia"/>
          <w:lang w:eastAsia="zh-CN"/>
        </w:rPr>
        <w:t>人</w:t>
      </w:r>
      <w:r>
        <w:rPr>
          <w:rFonts w:hint="eastAsia"/>
        </w:rPr>
        <w:t>须对所投产品、方案、技术和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lang w:val="en-US" w:eastAsia="zh-CN"/>
        </w:rPr>
        <w:t>投标人</w:t>
      </w:r>
      <w:r>
        <w:rPr>
          <w:rFonts w:hint="eastAsia"/>
        </w:rPr>
        <w:t>应承担相应后果，并负责赔偿。</w:t>
      </w:r>
      <w:r>
        <w:rPr>
          <w:rFonts w:hint="eastAsia"/>
          <w:lang w:val="en-US" w:eastAsia="zh-CN"/>
        </w:rPr>
        <w:t>投标人</w:t>
      </w:r>
      <w:r>
        <w:rPr>
          <w:rFonts w:hint="eastAsia"/>
        </w:rPr>
        <w:t>为执行本项目合同而提供的技术资料归采购人所有</w:t>
      </w:r>
      <w:r>
        <w:rPr>
          <w:rFonts w:hint="eastAsia"/>
          <w:lang w:eastAsia="zh-CN"/>
        </w:rPr>
        <w:t>；</w:t>
      </w:r>
    </w:p>
    <w:p w14:paraId="26A0FCCC">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6.4</w:t>
      </w:r>
      <w:r>
        <w:rPr>
          <w:rFonts w:hint="eastAsia"/>
          <w:lang w:val="en-US" w:eastAsia="zh-CN"/>
        </w:rPr>
        <w:t>投标人</w:t>
      </w:r>
      <w:r>
        <w:rPr>
          <w:rFonts w:hint="eastAsia"/>
        </w:rPr>
        <w:t>在政府采购项目投标过程中应诚实守信，不弄虚作假，不隐瞒真实情况，不围标串标，不恶意质疑投诉。如违反上述要求，经核实后，</w:t>
      </w:r>
      <w:r>
        <w:rPr>
          <w:rFonts w:hint="eastAsia"/>
          <w:lang w:val="en-US" w:eastAsia="zh-CN"/>
        </w:rPr>
        <w:t>投标人</w:t>
      </w:r>
      <w:r>
        <w:rPr>
          <w:rFonts w:hint="eastAsia"/>
        </w:rPr>
        <w:t>的投标将作废，将该</w:t>
      </w:r>
      <w:r>
        <w:rPr>
          <w:rFonts w:hint="eastAsia"/>
          <w:lang w:val="en-US" w:eastAsia="zh-CN"/>
        </w:rPr>
        <w:t>投标人</w:t>
      </w:r>
      <w:r>
        <w:rPr>
          <w:rFonts w:hint="eastAsia"/>
        </w:rPr>
        <w:t>列入不良记录名单并在网上曝光，同时提请政府采购监督管理部门给予一定年限内禁止参加政府采购活动的处罚或其他处罚</w:t>
      </w:r>
      <w:r>
        <w:rPr>
          <w:rFonts w:hint="eastAsia"/>
          <w:lang w:eastAsia="zh-CN"/>
        </w:rPr>
        <w:t>；</w:t>
      </w:r>
    </w:p>
    <w:p w14:paraId="7E630951">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6.5本项目涉及采购货物必须是全新、未使用过的原装合格正品（包括零部件），如安装或配置了软件的，须为正版软件</w:t>
      </w:r>
      <w:r>
        <w:rPr>
          <w:rFonts w:hint="eastAsia"/>
          <w:lang w:eastAsia="zh-CN"/>
        </w:rPr>
        <w:t>；</w:t>
      </w:r>
    </w:p>
    <w:p w14:paraId="6D3485C7">
      <w:pPr>
        <w:pageBreakBefore w:val="0"/>
        <w:widowControl w:val="0"/>
        <w:kinsoku/>
        <w:wordWrap/>
        <w:overflowPunct/>
        <w:topLinePunct w:val="0"/>
        <w:bidi w:val="0"/>
        <w:adjustRightInd w:val="0"/>
        <w:snapToGrid/>
        <w:spacing w:line="348" w:lineRule="auto"/>
        <w:rPr>
          <w:rFonts w:hint="eastAsia" w:ascii="仿宋" w:hAnsi="仿宋" w:eastAsia="仿宋" w:cs="仿宋"/>
        </w:rPr>
      </w:pPr>
      <w:r>
        <w:rPr>
          <w:rFonts w:hint="eastAsia"/>
        </w:rPr>
        <w:t>6.6国产的货物及其有关服务必须符合中华人民共和国的设计和制造生产标准或行业标准。招标公告有其他要求的，亦应符合其要求。</w:t>
      </w:r>
    </w:p>
    <w:p w14:paraId="11CD81A2">
      <w:pPr>
        <w:pStyle w:val="6"/>
        <w:pageBreakBefore w:val="0"/>
        <w:widowControl w:val="0"/>
        <w:numPr>
          <w:ilvl w:val="2"/>
          <w:numId w:val="0"/>
        </w:numPr>
        <w:kinsoku/>
        <w:wordWrap/>
        <w:overflowPunct/>
        <w:topLinePunct w:val="0"/>
        <w:bidi w:val="0"/>
        <w:adjustRightInd w:val="0"/>
        <w:snapToGrid/>
        <w:spacing w:line="348" w:lineRule="auto"/>
        <w:ind w:leftChars="200"/>
        <w:rPr>
          <w:rFonts w:hint="eastAsia"/>
        </w:rPr>
      </w:pPr>
      <w:r>
        <w:rPr>
          <w:rFonts w:hint="eastAsia"/>
        </w:rPr>
        <w:t>7.质疑和投诉</w:t>
      </w:r>
    </w:p>
    <w:p w14:paraId="1B74B9B2">
      <w:pPr>
        <w:pageBreakBefore w:val="0"/>
        <w:widowControl w:val="0"/>
        <w:kinsoku/>
        <w:wordWrap/>
        <w:overflowPunct/>
        <w:topLinePunct w:val="0"/>
        <w:bidi w:val="0"/>
        <w:adjustRightInd w:val="0"/>
        <w:snapToGrid/>
        <w:spacing w:line="348" w:lineRule="auto"/>
        <w:rPr>
          <w:rFonts w:hint="eastAsia" w:eastAsia="仿宋"/>
          <w:lang w:eastAsia="zh-CN"/>
        </w:rPr>
      </w:pPr>
      <w:r>
        <w:rPr>
          <w:rFonts w:hint="eastAsia"/>
        </w:rPr>
        <w:t>7.1供应商认为采购文件、采购过程、中标或者成交结果使自己的权益受到损害的，可以在知道或者应知其权益受到损害之日起7个工作日内，以书面形式向采购人、采购代理机构提出质疑。质疑供应商应当在法定质疑期内一次性提出针对同一采购程序环节的质疑。质疑供应商对采购人、采购代理机构的答复不满意或者采购人、采购代理机构未在规定的时间内做出答复的，可以在答复期满后十五个工作日内向同级政府采购监督管理部门投诉</w:t>
      </w:r>
      <w:r>
        <w:rPr>
          <w:rFonts w:hint="eastAsia"/>
          <w:lang w:eastAsia="zh-CN"/>
        </w:rPr>
        <w:t>；</w:t>
      </w:r>
    </w:p>
    <w:p w14:paraId="11DB0850">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eastAsia="仿宋"/>
          <w:lang w:eastAsia="zh-CN"/>
        </w:rPr>
      </w:pPr>
      <w:r>
        <w:rPr>
          <w:rFonts w:hint="eastAsia"/>
        </w:rPr>
        <w:t>7.2质疑、投诉应当采用书面形式，质疑书、投诉书均应明确阐述招标文件、招标过程和中标结果中使自己合法权益受到损害的实质性内容，提供相关事实、依据和证据及其来源或线索，便于有关单位调查、答复和处理</w:t>
      </w:r>
      <w:r>
        <w:rPr>
          <w:rFonts w:hint="eastAsia"/>
          <w:lang w:eastAsia="zh-CN"/>
        </w:rPr>
        <w:t>；</w:t>
      </w:r>
    </w:p>
    <w:p w14:paraId="5A7BBEC1">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eastAsia="仿宋"/>
          <w:lang w:eastAsia="zh-CN"/>
        </w:rPr>
      </w:pPr>
      <w:r>
        <w:rPr>
          <w:rFonts w:hint="eastAsia"/>
        </w:rPr>
        <w:t>7.3采购代理机构与采购人研究后，对认为有必要回答的问题，采购人和采购代理机构将补充（更正）以网上发布公告的形式通知所有投标</w:t>
      </w:r>
      <w:r>
        <w:rPr>
          <w:rFonts w:hint="eastAsia"/>
          <w:lang w:eastAsia="zh-CN"/>
        </w:rPr>
        <w:t>人</w:t>
      </w:r>
      <w:r>
        <w:rPr>
          <w:rFonts w:hint="eastAsia"/>
        </w:rPr>
        <w:t>，补充（更正）是招标文件的组成部分</w:t>
      </w:r>
      <w:r>
        <w:rPr>
          <w:rFonts w:hint="eastAsia"/>
          <w:lang w:eastAsia="zh-CN"/>
        </w:rPr>
        <w:t>；</w:t>
      </w:r>
    </w:p>
    <w:p w14:paraId="4815A655">
      <w:pPr>
        <w:keepNext w:val="0"/>
        <w:keepLines w:val="0"/>
        <w:pageBreakBefore w:val="0"/>
        <w:widowControl w:val="0"/>
        <w:kinsoku/>
        <w:wordWrap/>
        <w:overflowPunct/>
        <w:topLinePunct w:val="0"/>
        <w:autoSpaceDE w:val="0"/>
        <w:autoSpaceDN w:val="0"/>
        <w:bidi w:val="0"/>
        <w:adjustRightInd w:val="0"/>
        <w:snapToGrid/>
        <w:spacing w:line="348" w:lineRule="auto"/>
        <w:textAlignment w:val="auto"/>
        <w:rPr>
          <w:rFonts w:hint="eastAsia" w:ascii="仿宋" w:hAnsi="仿宋" w:eastAsia="仿宋" w:cs="仿宋"/>
          <w:b/>
          <w:bCs/>
          <w:color w:val="auto"/>
          <w:kern w:val="2"/>
          <w:szCs w:val="30"/>
        </w:rPr>
      </w:pPr>
      <w:r>
        <w:rPr>
          <w:rFonts w:hint="eastAsia"/>
          <w:b/>
          <w:bCs/>
        </w:rPr>
        <w:t>7.4质疑供应商在收到该更正（补充）公告后应于1日内，以书面或传真形式（签署意见并加盖公章）向采购代理机构回函给予确认。过期未回复的，视为默认接受。</w:t>
      </w:r>
    </w:p>
    <w:p w14:paraId="6AA47A63">
      <w:pPr>
        <w:bidi w:val="0"/>
        <w:ind w:left="0" w:leftChars="0" w:firstLine="0" w:firstLineChars="0"/>
        <w:outlineLvl w:val="9"/>
        <w:rPr>
          <w:rFonts w:hint="eastAsia"/>
        </w:rPr>
        <w:sectPr>
          <w:pgSz w:w="11906" w:h="16838"/>
          <w:pgMar w:top="1247" w:right="1134" w:bottom="1020" w:left="1418" w:header="851" w:footer="907" w:gutter="0"/>
          <w:pgNumType w:fmt="numberInDash"/>
          <w:cols w:space="720" w:num="1"/>
          <w:titlePg/>
          <w:docGrid w:type="lines" w:linePitch="312" w:charSpace="0"/>
        </w:sectPr>
      </w:pPr>
    </w:p>
    <w:p w14:paraId="564D1D10">
      <w:pPr>
        <w:pStyle w:val="5"/>
        <w:bidi w:val="0"/>
        <w:ind w:left="0" w:leftChars="0" w:firstLine="0" w:firstLineChars="0"/>
        <w:jc w:val="center"/>
        <w:rPr>
          <w:rFonts w:hint="eastAsia"/>
        </w:rPr>
      </w:pPr>
      <w:r>
        <w:rPr>
          <w:rFonts w:hint="eastAsia"/>
        </w:rPr>
        <w:t>二、招标文件</w:t>
      </w:r>
    </w:p>
    <w:p w14:paraId="6D9B3EAF">
      <w:pPr>
        <w:pStyle w:val="6"/>
        <w:numPr>
          <w:ilvl w:val="2"/>
          <w:numId w:val="0"/>
        </w:numPr>
        <w:bidi w:val="0"/>
        <w:ind w:leftChars="200"/>
        <w:rPr>
          <w:rFonts w:hint="eastAsia"/>
        </w:rPr>
      </w:pPr>
      <w:r>
        <w:rPr>
          <w:rFonts w:hint="eastAsia"/>
        </w:rPr>
        <w:t>8.招标文件的构成</w:t>
      </w:r>
    </w:p>
    <w:p w14:paraId="4CDFECF8">
      <w:pPr>
        <w:bidi w:val="0"/>
        <w:rPr>
          <w:rFonts w:hint="eastAsia"/>
        </w:rPr>
      </w:pPr>
      <w:r>
        <w:rPr>
          <w:rFonts w:hint="eastAsia"/>
        </w:rPr>
        <w:t>本招标文件由以下部分组成：</w:t>
      </w:r>
    </w:p>
    <w:p w14:paraId="3FA7C039">
      <w:pPr>
        <w:bidi w:val="0"/>
        <w:rPr>
          <w:rFonts w:hint="eastAsia"/>
        </w:rPr>
      </w:pPr>
      <w:r>
        <w:rPr>
          <w:rFonts w:hint="eastAsia"/>
        </w:rPr>
        <w:t>8.1招标公告；</w:t>
      </w:r>
    </w:p>
    <w:p w14:paraId="11B46CA8">
      <w:pPr>
        <w:bidi w:val="0"/>
        <w:rPr>
          <w:rFonts w:hint="eastAsia"/>
        </w:rPr>
      </w:pPr>
      <w:r>
        <w:rPr>
          <w:rFonts w:hint="eastAsia"/>
        </w:rPr>
        <w:t>8.2投标须知；</w:t>
      </w:r>
    </w:p>
    <w:p w14:paraId="62E16154">
      <w:pPr>
        <w:bidi w:val="0"/>
        <w:rPr>
          <w:rFonts w:hint="eastAsia"/>
        </w:rPr>
      </w:pPr>
      <w:r>
        <w:rPr>
          <w:rFonts w:hint="eastAsia"/>
        </w:rPr>
        <w:t>8.3</w:t>
      </w:r>
      <w:r>
        <w:rPr>
          <w:rFonts w:hint="eastAsia"/>
          <w:lang w:val="en-US" w:eastAsia="zh-CN"/>
        </w:rPr>
        <w:t>招标</w:t>
      </w:r>
      <w:r>
        <w:rPr>
          <w:rFonts w:hint="eastAsia"/>
        </w:rPr>
        <w:t>需求；</w:t>
      </w:r>
    </w:p>
    <w:p w14:paraId="7A5D3EAA">
      <w:pPr>
        <w:bidi w:val="0"/>
        <w:rPr>
          <w:rFonts w:hint="eastAsia"/>
        </w:rPr>
      </w:pPr>
      <w:r>
        <w:rPr>
          <w:rFonts w:hint="eastAsia"/>
        </w:rPr>
        <w:t>8.4评标办法及评分标准；</w:t>
      </w:r>
    </w:p>
    <w:p w14:paraId="3F272BA4">
      <w:pPr>
        <w:bidi w:val="0"/>
        <w:rPr>
          <w:rFonts w:hint="eastAsia"/>
        </w:rPr>
      </w:pPr>
      <w:r>
        <w:rPr>
          <w:rFonts w:hint="eastAsia"/>
        </w:rPr>
        <w:t>8.5政府采购合同；</w:t>
      </w:r>
    </w:p>
    <w:p w14:paraId="1987AA97">
      <w:pPr>
        <w:bidi w:val="0"/>
        <w:rPr>
          <w:rFonts w:hint="eastAsia"/>
        </w:rPr>
      </w:pPr>
      <w:r>
        <w:rPr>
          <w:rFonts w:hint="eastAsia"/>
        </w:rPr>
        <w:t>8.6应提交的有关格式范例。</w:t>
      </w:r>
    </w:p>
    <w:p w14:paraId="69992845">
      <w:pPr>
        <w:pStyle w:val="6"/>
        <w:numPr>
          <w:ilvl w:val="2"/>
          <w:numId w:val="0"/>
        </w:numPr>
        <w:bidi w:val="0"/>
        <w:ind w:firstLine="482" w:firstLineChars="200"/>
        <w:rPr>
          <w:rFonts w:hint="eastAsia"/>
        </w:rPr>
      </w:pPr>
      <w:r>
        <w:rPr>
          <w:rFonts w:hint="eastAsia"/>
        </w:rPr>
        <w:t>9.投标</w:t>
      </w:r>
      <w:r>
        <w:rPr>
          <w:rFonts w:hint="eastAsia"/>
          <w:lang w:eastAsia="zh-CN"/>
        </w:rPr>
        <w:t>人</w:t>
      </w:r>
      <w:r>
        <w:rPr>
          <w:rFonts w:hint="eastAsia"/>
        </w:rPr>
        <w:t>的风险</w:t>
      </w:r>
    </w:p>
    <w:p w14:paraId="184B3481">
      <w:pPr>
        <w:bidi w:val="0"/>
        <w:rPr>
          <w:rFonts w:hint="eastAsia" w:eastAsia="仿宋"/>
          <w:lang w:eastAsia="zh-CN"/>
        </w:rPr>
      </w:pPr>
      <w:r>
        <w:rPr>
          <w:rFonts w:hint="eastAsia"/>
        </w:rPr>
        <w:t>9.1投标</w:t>
      </w:r>
      <w:r>
        <w:rPr>
          <w:rFonts w:hint="eastAsia"/>
          <w:lang w:eastAsia="zh-CN"/>
        </w:rPr>
        <w:t>人</w:t>
      </w:r>
      <w:r>
        <w:rPr>
          <w:rFonts w:hint="eastAsia"/>
        </w:rPr>
        <w:t>应仔细阅读招标文件的所有内容，并按照招标文件的要求提交投标文件。投标</w:t>
      </w:r>
      <w:r>
        <w:rPr>
          <w:rFonts w:hint="eastAsia"/>
          <w:lang w:eastAsia="zh-CN"/>
        </w:rPr>
        <w:t>人</w:t>
      </w:r>
      <w:r>
        <w:rPr>
          <w:rFonts w:hint="eastAsia"/>
        </w:rPr>
        <w:t>没有按照招标文件要求提供全部资料，或者投标</w:t>
      </w:r>
      <w:r>
        <w:rPr>
          <w:rFonts w:hint="eastAsia"/>
          <w:lang w:eastAsia="zh-CN"/>
        </w:rPr>
        <w:t>人</w:t>
      </w:r>
      <w:r>
        <w:rPr>
          <w:rFonts w:hint="eastAsia"/>
        </w:rPr>
        <w:t>没有对招标文件在各方面作出实质性响应是投标</w:t>
      </w:r>
      <w:r>
        <w:rPr>
          <w:rFonts w:hint="eastAsia"/>
          <w:lang w:eastAsia="zh-CN"/>
        </w:rPr>
        <w:t>人</w:t>
      </w:r>
      <w:r>
        <w:rPr>
          <w:rFonts w:hint="eastAsia"/>
        </w:rPr>
        <w:t>的风险，并可能导致其投标被拒绝</w:t>
      </w:r>
      <w:r>
        <w:rPr>
          <w:rFonts w:hint="eastAsia"/>
          <w:lang w:eastAsia="zh-CN"/>
        </w:rPr>
        <w:t>；</w:t>
      </w:r>
    </w:p>
    <w:p w14:paraId="1C7A7C93">
      <w:pPr>
        <w:bidi w:val="0"/>
        <w:rPr>
          <w:rFonts w:hint="eastAsia"/>
        </w:rPr>
      </w:pPr>
      <w:r>
        <w:rPr>
          <w:rFonts w:hint="eastAsia"/>
        </w:rPr>
        <w:t>9.2任何人或任何组织向投标</w:t>
      </w:r>
      <w:r>
        <w:rPr>
          <w:rFonts w:hint="eastAsia"/>
          <w:lang w:eastAsia="zh-CN"/>
        </w:rPr>
        <w:t>人</w:t>
      </w:r>
      <w:r>
        <w:rPr>
          <w:rFonts w:hint="eastAsia"/>
        </w:rPr>
        <w:t>提交的任何书面或口头资料，未经采购代理机构在网上发布或书面通知，均作无效处理，不得作为招标文件的组成部分。采购代理机构对投标</w:t>
      </w:r>
      <w:r>
        <w:rPr>
          <w:rFonts w:hint="eastAsia"/>
          <w:lang w:eastAsia="zh-CN"/>
        </w:rPr>
        <w:t>人</w:t>
      </w:r>
      <w:r>
        <w:rPr>
          <w:rFonts w:hint="eastAsia"/>
        </w:rPr>
        <w:t>由此而做出的推论、理解和结论概不负责。</w:t>
      </w:r>
    </w:p>
    <w:p w14:paraId="080AD1BB">
      <w:pPr>
        <w:pStyle w:val="6"/>
        <w:numPr>
          <w:ilvl w:val="2"/>
          <w:numId w:val="0"/>
        </w:numPr>
        <w:bidi w:val="0"/>
        <w:ind w:firstLine="482" w:firstLineChars="200"/>
        <w:rPr>
          <w:rFonts w:hint="eastAsia"/>
        </w:rPr>
      </w:pPr>
      <w:r>
        <w:rPr>
          <w:rFonts w:hint="eastAsia"/>
        </w:rPr>
        <w:t xml:space="preserve">10.招标文件的澄清与修改 </w:t>
      </w:r>
    </w:p>
    <w:p w14:paraId="77AEB70F">
      <w:pPr>
        <w:bidi w:val="0"/>
        <w:rPr>
          <w:rFonts w:hint="eastAsia" w:eastAsia="仿宋"/>
          <w:lang w:eastAsia="zh-CN"/>
        </w:rPr>
      </w:pPr>
      <w:r>
        <w:rPr>
          <w:rFonts w:hint="eastAsia"/>
        </w:rPr>
        <w:t>10.1投标</w:t>
      </w:r>
      <w:r>
        <w:rPr>
          <w:rFonts w:hint="eastAsia"/>
          <w:lang w:eastAsia="zh-CN"/>
        </w:rPr>
        <w:t>人</w:t>
      </w:r>
      <w:r>
        <w:rPr>
          <w:rFonts w:hint="eastAsia"/>
        </w:rPr>
        <w:t>下载招标文件后，应认真阅读本招标文件的所有内容，发现其中有误或有不合理要求的，投标</w:t>
      </w:r>
      <w:r>
        <w:rPr>
          <w:rFonts w:hint="eastAsia"/>
          <w:lang w:eastAsia="zh-CN"/>
        </w:rPr>
        <w:t>人</w:t>
      </w:r>
      <w:r>
        <w:rPr>
          <w:rFonts w:hint="eastAsia"/>
        </w:rPr>
        <w:t>必须按前附表规定的时间前以书面形式(包括书面文字、传真等)要求采购人澄清。逾期提出的，采购人将不予受理。采购代理机构与采购人研究后，对认为有必要回答的问题，采购人将补充（更正内容）以网上发布公告的形式通知所有投标</w:t>
      </w:r>
      <w:r>
        <w:rPr>
          <w:rFonts w:hint="eastAsia"/>
          <w:lang w:eastAsia="zh-CN"/>
        </w:rPr>
        <w:t>人</w:t>
      </w:r>
      <w:r>
        <w:rPr>
          <w:rFonts w:hint="eastAsia"/>
        </w:rPr>
        <w:t>，补充（更正）内容是招标文件的组成部分。投标</w:t>
      </w:r>
      <w:r>
        <w:rPr>
          <w:rFonts w:hint="eastAsia"/>
          <w:lang w:eastAsia="zh-CN"/>
        </w:rPr>
        <w:t>人</w:t>
      </w:r>
      <w:r>
        <w:rPr>
          <w:rFonts w:hint="eastAsia"/>
        </w:rPr>
        <w:t>可以通过武义县公共资源交易网自行下载，以确认已阅知该澄清或修改内容，否则，由此导致的风险由投标</w:t>
      </w:r>
      <w:r>
        <w:rPr>
          <w:rFonts w:hint="eastAsia"/>
          <w:lang w:eastAsia="zh-CN"/>
        </w:rPr>
        <w:t>人</w:t>
      </w:r>
      <w:r>
        <w:rPr>
          <w:rFonts w:hint="eastAsia"/>
        </w:rPr>
        <w:t>自行承担，采购人不承担任何责任</w:t>
      </w:r>
      <w:r>
        <w:rPr>
          <w:rFonts w:hint="eastAsia"/>
          <w:lang w:eastAsia="zh-CN"/>
        </w:rPr>
        <w:t>；</w:t>
      </w:r>
    </w:p>
    <w:p w14:paraId="0C9E4F4E">
      <w:pPr>
        <w:bidi w:val="0"/>
        <w:rPr>
          <w:rFonts w:hint="eastAsia" w:eastAsia="仿宋"/>
          <w:lang w:eastAsia="zh-CN"/>
        </w:rPr>
      </w:pPr>
      <w:r>
        <w:rPr>
          <w:rFonts w:hint="eastAsia"/>
        </w:rPr>
        <w:t>10.2招标文件澄清、答复、修改、补充的内容为招标文件的组成部分。当招标文件与招标文件的答复、澄清、修改、补充公告就同一内容的表述不一致时，以最后发出的文件或公告或通知为准</w:t>
      </w:r>
      <w:r>
        <w:rPr>
          <w:rFonts w:hint="eastAsia"/>
          <w:lang w:eastAsia="zh-CN"/>
        </w:rPr>
        <w:t>；</w:t>
      </w:r>
    </w:p>
    <w:p w14:paraId="125A5D1E">
      <w:pPr>
        <w:bidi w:val="0"/>
        <w:rPr>
          <w:rFonts w:hint="eastAsia" w:eastAsia="仿宋"/>
          <w:lang w:eastAsia="zh-CN"/>
        </w:rPr>
      </w:pPr>
      <w:r>
        <w:rPr>
          <w:rFonts w:hint="eastAsia"/>
        </w:rPr>
        <w:t>10.3在投标截止时间前，采购人有权修改招标文件，并以网站发布补充公告的形式通知所有投标</w:t>
      </w:r>
      <w:r>
        <w:rPr>
          <w:rFonts w:hint="eastAsia"/>
          <w:lang w:eastAsia="zh-CN"/>
        </w:rPr>
        <w:t>人</w:t>
      </w:r>
      <w:r>
        <w:rPr>
          <w:rFonts w:hint="eastAsia"/>
        </w:rPr>
        <w:t>，通知中没有注明更改投标截止时间的视为截止时间不变。修改的文件作为招标文件的补充和组成部分，对所有投标</w:t>
      </w:r>
      <w:r>
        <w:rPr>
          <w:rFonts w:hint="eastAsia"/>
          <w:lang w:eastAsia="zh-CN"/>
        </w:rPr>
        <w:t>人</w:t>
      </w:r>
      <w:r>
        <w:rPr>
          <w:rFonts w:hint="eastAsia"/>
        </w:rPr>
        <w:t>均有约束力</w:t>
      </w:r>
      <w:r>
        <w:rPr>
          <w:rFonts w:hint="eastAsia"/>
          <w:lang w:eastAsia="zh-CN"/>
        </w:rPr>
        <w:t>；</w:t>
      </w:r>
    </w:p>
    <w:p w14:paraId="1CFA8F23">
      <w:pPr>
        <w:bidi w:val="0"/>
        <w:rPr>
          <w:rFonts w:hint="eastAsia" w:eastAsia="仿宋"/>
          <w:lang w:eastAsia="zh-CN"/>
        </w:rPr>
      </w:pPr>
      <w:r>
        <w:rPr>
          <w:rFonts w:hint="eastAsia"/>
        </w:rPr>
        <w:t>10.4为使投标</w:t>
      </w:r>
      <w:r>
        <w:rPr>
          <w:rFonts w:hint="eastAsia"/>
          <w:lang w:eastAsia="zh-CN"/>
        </w:rPr>
        <w:t>人</w:t>
      </w:r>
      <w:r>
        <w:rPr>
          <w:rFonts w:hint="eastAsia"/>
        </w:rPr>
        <w:t>在编制投标文件时，把补充公告内容进行研究，采购代理机构可以酌情推迟递交投标文件的截止时间</w:t>
      </w:r>
      <w:r>
        <w:rPr>
          <w:rFonts w:hint="eastAsia"/>
          <w:lang w:eastAsia="zh-CN"/>
        </w:rPr>
        <w:t>；</w:t>
      </w:r>
    </w:p>
    <w:p w14:paraId="7CFE4AE2">
      <w:pPr>
        <w:bidi w:val="0"/>
        <w:rPr>
          <w:rFonts w:hint="eastAsia"/>
        </w:rPr>
      </w:pPr>
      <w:r>
        <w:rPr>
          <w:rFonts w:hint="eastAsia"/>
        </w:rPr>
        <w:t>10.5投标</w:t>
      </w:r>
      <w:r>
        <w:rPr>
          <w:rFonts w:hint="eastAsia"/>
          <w:lang w:eastAsia="zh-CN"/>
        </w:rPr>
        <w:t>人</w:t>
      </w:r>
      <w:r>
        <w:rPr>
          <w:rFonts w:hint="eastAsia"/>
        </w:rPr>
        <w:t>一旦参与本次招标活动，即被视为接受了本招标文件的所有内容，如有任何异议，均须在答疑截止时间前提出。</w:t>
      </w:r>
    </w:p>
    <w:p w14:paraId="153D6757">
      <w:pPr>
        <w:bidi w:val="0"/>
        <w:rPr>
          <w:rFonts w:hint="eastAsia"/>
        </w:rPr>
        <w:sectPr>
          <w:pgSz w:w="11906" w:h="16838"/>
          <w:pgMar w:top="1247" w:right="1134" w:bottom="1020" w:left="1418" w:header="851" w:footer="907" w:gutter="0"/>
          <w:pgNumType w:fmt="numberInDash"/>
          <w:cols w:space="720" w:num="1"/>
          <w:titlePg/>
          <w:docGrid w:type="lines" w:linePitch="312" w:charSpace="0"/>
        </w:sectPr>
      </w:pPr>
      <w:bookmarkStart w:id="2" w:name="_Toc125344505"/>
    </w:p>
    <w:p w14:paraId="126C162B">
      <w:pPr>
        <w:pStyle w:val="5"/>
        <w:spacing w:before="0" w:after="0" w:line="420" w:lineRule="exact"/>
        <w:ind w:left="0" w:leftChars="0" w:firstLine="0" w:firstLineChars="0"/>
        <w:jc w:val="center"/>
        <w:rPr>
          <w:rFonts w:hint="eastAsia" w:ascii="仿宋" w:hAnsi="仿宋" w:eastAsia="仿宋" w:cs="仿宋"/>
          <w:sz w:val="30"/>
          <w:szCs w:val="30"/>
        </w:rPr>
      </w:pPr>
      <w:r>
        <w:rPr>
          <w:rFonts w:hint="eastAsia" w:ascii="仿宋" w:hAnsi="仿宋" w:eastAsia="仿宋" w:cs="仿宋"/>
          <w:sz w:val="30"/>
          <w:szCs w:val="30"/>
        </w:rPr>
        <w:t>三、投标文件编制</w:t>
      </w:r>
      <w:bookmarkEnd w:id="2"/>
      <w:r>
        <w:rPr>
          <w:rFonts w:hint="eastAsia" w:ascii="仿宋" w:hAnsi="仿宋" w:eastAsia="仿宋" w:cs="仿宋"/>
          <w:sz w:val="30"/>
          <w:szCs w:val="30"/>
        </w:rPr>
        <w:t>和提交</w:t>
      </w:r>
    </w:p>
    <w:p w14:paraId="72E90ACA">
      <w:pPr>
        <w:pStyle w:val="6"/>
        <w:numPr>
          <w:ilvl w:val="2"/>
          <w:numId w:val="0"/>
        </w:numPr>
        <w:bidi w:val="0"/>
        <w:ind w:firstLine="482" w:firstLineChars="200"/>
        <w:rPr>
          <w:rFonts w:hint="eastAsia"/>
        </w:rPr>
      </w:pPr>
      <w:r>
        <w:rPr>
          <w:rFonts w:hint="eastAsia"/>
        </w:rPr>
        <w:t>11.投标文件的组成</w:t>
      </w:r>
    </w:p>
    <w:p w14:paraId="59EA4788">
      <w:pPr>
        <w:bidi w:val="0"/>
        <w:rPr>
          <w:rFonts w:hint="eastAsia"/>
        </w:rPr>
      </w:pPr>
      <w:r>
        <w:rPr>
          <w:rFonts w:hint="eastAsia"/>
        </w:rPr>
        <w:t>投标文件由资格文件、商务技术文件、报价文件三部分组成</w:t>
      </w:r>
      <w:r>
        <w:rPr>
          <w:rFonts w:hint="eastAsia"/>
          <w:lang w:eastAsia="zh-CN"/>
        </w:rPr>
        <w:t>，</w:t>
      </w:r>
      <w:r>
        <w:rPr>
          <w:rFonts w:hint="eastAsia"/>
        </w:rPr>
        <w:t>详见前附表。</w:t>
      </w:r>
    </w:p>
    <w:p w14:paraId="60D7360E">
      <w:pPr>
        <w:pStyle w:val="6"/>
        <w:numPr>
          <w:ilvl w:val="2"/>
          <w:numId w:val="0"/>
        </w:numPr>
        <w:bidi w:val="0"/>
        <w:ind w:leftChars="200"/>
        <w:rPr>
          <w:rFonts w:hint="eastAsia"/>
        </w:rPr>
      </w:pPr>
      <w:r>
        <w:rPr>
          <w:rFonts w:hint="eastAsia"/>
        </w:rPr>
        <w:t>12.投标文件的语言及计量</w:t>
      </w:r>
    </w:p>
    <w:p w14:paraId="66CD1E81">
      <w:pPr>
        <w:bidi w:val="0"/>
        <w:rPr>
          <w:rFonts w:hint="eastAsia" w:eastAsia="仿宋"/>
          <w:lang w:eastAsia="zh-CN"/>
        </w:rPr>
      </w:pPr>
      <w:r>
        <w:rPr>
          <w:rFonts w:hint="eastAsia"/>
        </w:rPr>
        <w:t>12.1投标文件以及投标</w:t>
      </w:r>
      <w:r>
        <w:rPr>
          <w:rFonts w:hint="eastAsia"/>
          <w:lang w:eastAsia="zh-CN"/>
        </w:rPr>
        <w:t>人</w:t>
      </w:r>
      <w:r>
        <w:rPr>
          <w:rFonts w:hint="eastAsia"/>
        </w:rPr>
        <w:t>与采购代理机构就有关投标事宜的所有往来通知、函电，均应以中文汉语书写。除签名、盖章、专用名称等特殊情形外，以中文汉语以外的文字表述的投标文件视同未提供。投标</w:t>
      </w:r>
      <w:r>
        <w:rPr>
          <w:rFonts w:hint="eastAsia"/>
          <w:lang w:eastAsia="zh-CN"/>
        </w:rPr>
        <w:t>人</w:t>
      </w:r>
      <w:r>
        <w:rPr>
          <w:rFonts w:hint="eastAsia"/>
        </w:rPr>
        <w:t>随投标文件提供的证明文件和资料可以为其它语言，但必须附中文译文。翻译的中文资料与外文资料如果出现差异时，以中文为准，但翻译错误的除外</w:t>
      </w:r>
      <w:r>
        <w:rPr>
          <w:rFonts w:hint="eastAsia"/>
          <w:lang w:eastAsia="zh-CN"/>
        </w:rPr>
        <w:t>；</w:t>
      </w:r>
    </w:p>
    <w:p w14:paraId="12B12899">
      <w:pPr>
        <w:bidi w:val="0"/>
        <w:rPr>
          <w:rFonts w:hint="eastAsia"/>
        </w:rPr>
      </w:pPr>
      <w:r>
        <w:rPr>
          <w:rFonts w:hint="eastAsia"/>
        </w:rPr>
        <w:t>12.2投标计量单位，招标文件已有明确规定的，使用招标文件规定的计量单位；招标文件没有规定的，应采用中华人民共和国法定计量单位（货币单位：人民币元），否则视同未响应。</w:t>
      </w:r>
    </w:p>
    <w:p w14:paraId="1E10425A">
      <w:pPr>
        <w:pStyle w:val="6"/>
        <w:numPr>
          <w:ilvl w:val="2"/>
          <w:numId w:val="0"/>
        </w:numPr>
        <w:bidi w:val="0"/>
        <w:ind w:leftChars="200"/>
        <w:rPr>
          <w:rFonts w:hint="eastAsia"/>
        </w:rPr>
      </w:pPr>
      <w:r>
        <w:rPr>
          <w:rFonts w:hint="eastAsia"/>
        </w:rPr>
        <w:t>13.投标报价</w:t>
      </w:r>
    </w:p>
    <w:p w14:paraId="62A111FE">
      <w:pPr>
        <w:bidi w:val="0"/>
        <w:rPr>
          <w:rFonts w:hint="eastAsia" w:eastAsia="仿宋"/>
          <w:lang w:eastAsia="zh-CN"/>
        </w:rPr>
      </w:pPr>
      <w:r>
        <w:rPr>
          <w:rFonts w:hint="eastAsia"/>
        </w:rPr>
        <w:t>13.1投标报价应按招标文件中相关附表格式填写</w:t>
      </w:r>
      <w:r>
        <w:rPr>
          <w:rFonts w:hint="eastAsia"/>
          <w:lang w:eastAsia="zh-CN"/>
        </w:rPr>
        <w:t>；</w:t>
      </w:r>
    </w:p>
    <w:p w14:paraId="3C1FCF0D">
      <w:pPr>
        <w:bidi w:val="0"/>
        <w:rPr>
          <w:rFonts w:hint="eastAsia" w:eastAsia="仿宋"/>
          <w:lang w:eastAsia="zh-CN"/>
        </w:rPr>
      </w:pPr>
      <w:r>
        <w:rPr>
          <w:rFonts w:hint="eastAsia"/>
        </w:rPr>
        <w:t>13.2投标报价应包括完成本招标文件规定的全部工作内容和要求的总费用包括项目要求的职工工资、社会保险费用、福利、车辆、工具等购置费用，货物价款、运输费、装卸费、配送服务费、途中损耗费、施工费、保险费、利润、税金完成本项目的其它费用和政策性文件规定及合同包含的所有风险、责任等各项应有费用。投标报价（包括单价、总价、下浮率等）均保留到小数点后两位（如：100.88元）。投标</w:t>
      </w:r>
      <w:r>
        <w:rPr>
          <w:rFonts w:hint="eastAsia"/>
          <w:lang w:eastAsia="zh-CN"/>
        </w:rPr>
        <w:t>人</w:t>
      </w:r>
      <w:r>
        <w:rPr>
          <w:rFonts w:hint="eastAsia"/>
        </w:rPr>
        <w:t>必须报有合理单价，其将作为设备增减的主要依据。如有漏项，视同已包含在其它项目中，合同总价和单价不做调整</w:t>
      </w:r>
      <w:r>
        <w:rPr>
          <w:rFonts w:hint="eastAsia"/>
          <w:lang w:eastAsia="zh-CN"/>
        </w:rPr>
        <w:t>；</w:t>
      </w:r>
    </w:p>
    <w:p w14:paraId="13644CD7">
      <w:pPr>
        <w:bidi w:val="0"/>
        <w:rPr>
          <w:rFonts w:hint="eastAsia" w:eastAsia="仿宋"/>
          <w:lang w:eastAsia="zh-CN"/>
        </w:rPr>
      </w:pPr>
      <w:r>
        <w:rPr>
          <w:rFonts w:hint="eastAsia"/>
        </w:rPr>
        <w:t>13.3投标文件只允许有一个报价，有选择的或有条件的报价将不予接受</w:t>
      </w:r>
      <w:r>
        <w:rPr>
          <w:rFonts w:hint="eastAsia"/>
          <w:lang w:eastAsia="zh-CN"/>
        </w:rPr>
        <w:t>；</w:t>
      </w:r>
    </w:p>
    <w:p w14:paraId="1E284A52">
      <w:pPr>
        <w:bidi w:val="0"/>
        <w:rPr>
          <w:rFonts w:hint="eastAsia" w:eastAsia="仿宋"/>
          <w:lang w:eastAsia="zh-CN"/>
        </w:rPr>
      </w:pPr>
      <w:r>
        <w:rPr>
          <w:rFonts w:hint="eastAsia"/>
        </w:rPr>
        <w:t>13.4招标文件未列明，而投标</w:t>
      </w:r>
      <w:r>
        <w:rPr>
          <w:rFonts w:hint="eastAsia"/>
          <w:lang w:eastAsia="zh-CN"/>
        </w:rPr>
        <w:t>人</w:t>
      </w:r>
      <w:r>
        <w:rPr>
          <w:rFonts w:hint="eastAsia"/>
        </w:rPr>
        <w:t>认为必需的费用也需列入报价</w:t>
      </w:r>
      <w:r>
        <w:rPr>
          <w:rFonts w:hint="eastAsia"/>
          <w:lang w:eastAsia="zh-CN"/>
        </w:rPr>
        <w:t>；</w:t>
      </w:r>
    </w:p>
    <w:p w14:paraId="55EF83AE">
      <w:pPr>
        <w:bidi w:val="0"/>
        <w:rPr>
          <w:rFonts w:hint="eastAsia" w:eastAsia="仿宋"/>
          <w:lang w:eastAsia="zh-CN"/>
        </w:rPr>
      </w:pPr>
      <w:r>
        <w:rPr>
          <w:rFonts w:hint="eastAsia"/>
        </w:rPr>
        <w:t>13.5中标后，中标人所填写的单价在合同实施期间不因市场变化因素而变动，投标</w:t>
      </w:r>
      <w:r>
        <w:rPr>
          <w:rFonts w:hint="eastAsia"/>
          <w:lang w:eastAsia="zh-CN"/>
        </w:rPr>
        <w:t>人</w:t>
      </w:r>
      <w:r>
        <w:rPr>
          <w:rFonts w:hint="eastAsia"/>
        </w:rPr>
        <w:t>在计算报价时应考虑一定的风险系数</w:t>
      </w:r>
      <w:r>
        <w:rPr>
          <w:rFonts w:hint="eastAsia"/>
          <w:lang w:eastAsia="zh-CN"/>
        </w:rPr>
        <w:t>；</w:t>
      </w:r>
    </w:p>
    <w:p w14:paraId="6D0EE4FE">
      <w:pPr>
        <w:bidi w:val="0"/>
        <w:rPr>
          <w:rFonts w:hint="eastAsia"/>
        </w:rPr>
      </w:pPr>
      <w:r>
        <w:rPr>
          <w:rFonts w:hint="eastAsia"/>
        </w:rPr>
        <w:t>13.6投标</w:t>
      </w:r>
      <w:r>
        <w:rPr>
          <w:rFonts w:hint="eastAsia"/>
          <w:lang w:eastAsia="zh-CN"/>
        </w:rPr>
        <w:t>人</w:t>
      </w:r>
      <w:r>
        <w:rPr>
          <w:rFonts w:hint="eastAsia"/>
        </w:rPr>
        <w:t>若有方案和报价未被唱标，应在开标时及时声明或提请采购代理机构宣读，否则是投标</w:t>
      </w:r>
      <w:r>
        <w:rPr>
          <w:rFonts w:hint="eastAsia"/>
          <w:lang w:eastAsia="zh-CN"/>
        </w:rPr>
        <w:t>人</w:t>
      </w:r>
      <w:r>
        <w:rPr>
          <w:rFonts w:hint="eastAsia"/>
        </w:rPr>
        <w:t>自己的风险，采购代理机构对此不承担任何责任。</w:t>
      </w:r>
    </w:p>
    <w:p w14:paraId="266318C7">
      <w:pPr>
        <w:pStyle w:val="6"/>
        <w:numPr>
          <w:ilvl w:val="2"/>
          <w:numId w:val="0"/>
        </w:numPr>
        <w:bidi w:val="0"/>
        <w:ind w:leftChars="200"/>
        <w:rPr>
          <w:rFonts w:hint="eastAsia"/>
          <w:lang w:val="en-US" w:eastAsia="zh-CN"/>
        </w:rPr>
      </w:pPr>
      <w:r>
        <w:rPr>
          <w:rFonts w:hint="eastAsia"/>
          <w:lang w:val="en-US" w:eastAsia="zh-CN"/>
        </w:rPr>
        <w:t>14.投标文件的有效期</w:t>
      </w:r>
    </w:p>
    <w:p w14:paraId="13905427">
      <w:pPr>
        <w:bidi w:val="0"/>
        <w:rPr>
          <w:rFonts w:hint="eastAsia" w:eastAsia="仿宋"/>
          <w:lang w:eastAsia="zh-CN"/>
        </w:rPr>
      </w:pPr>
      <w:r>
        <w:rPr>
          <w:rFonts w:hint="eastAsia"/>
        </w:rPr>
        <w:t>14.1投标有效期为从投标截止之日算起的日历天数，自投标截止日起90天投标书应保持有效。如采购人认为必要，可延长投标有效期。有效期短于这个规定期限的投标将被拒绝</w:t>
      </w:r>
      <w:r>
        <w:rPr>
          <w:rFonts w:hint="eastAsia"/>
          <w:lang w:eastAsia="zh-CN"/>
        </w:rPr>
        <w:t>；</w:t>
      </w:r>
    </w:p>
    <w:p w14:paraId="0EC5B868">
      <w:pPr>
        <w:bidi w:val="0"/>
        <w:rPr>
          <w:rFonts w:hint="eastAsia" w:eastAsia="仿宋"/>
          <w:lang w:eastAsia="zh-CN"/>
        </w:rPr>
      </w:pPr>
      <w:r>
        <w:rPr>
          <w:rFonts w:hint="eastAsia"/>
        </w:rPr>
        <w:t>14.2在特殊情况下，采购人可与投标</w:t>
      </w:r>
      <w:r>
        <w:rPr>
          <w:rFonts w:hint="eastAsia"/>
          <w:lang w:eastAsia="zh-CN"/>
        </w:rPr>
        <w:t>人</w:t>
      </w:r>
      <w:r>
        <w:rPr>
          <w:rFonts w:hint="eastAsia"/>
        </w:rPr>
        <w:t>协商延长投标书的有效期，这种要求和答复均以书面形式进行</w:t>
      </w:r>
      <w:r>
        <w:rPr>
          <w:rFonts w:hint="eastAsia"/>
          <w:lang w:eastAsia="zh-CN"/>
        </w:rPr>
        <w:t>；</w:t>
      </w:r>
    </w:p>
    <w:p w14:paraId="266B3096">
      <w:pPr>
        <w:bidi w:val="0"/>
        <w:rPr>
          <w:rFonts w:hint="eastAsia"/>
        </w:rPr>
      </w:pPr>
      <w:r>
        <w:rPr>
          <w:rFonts w:hint="eastAsia"/>
        </w:rPr>
        <w:t>14.3投标</w:t>
      </w:r>
      <w:r>
        <w:rPr>
          <w:rFonts w:hint="eastAsia"/>
          <w:lang w:eastAsia="zh-CN"/>
        </w:rPr>
        <w:t>人</w:t>
      </w:r>
      <w:r>
        <w:rPr>
          <w:rFonts w:hint="eastAsia"/>
        </w:rPr>
        <w:t>可拒绝接受延期要求，但其投标在原投标有效期满后不再有效。同意延长有效期的投标</w:t>
      </w:r>
      <w:r>
        <w:rPr>
          <w:rFonts w:hint="eastAsia"/>
          <w:lang w:eastAsia="zh-CN"/>
        </w:rPr>
        <w:t>人</w:t>
      </w:r>
      <w:r>
        <w:rPr>
          <w:rFonts w:hint="eastAsia"/>
        </w:rPr>
        <w:t>不能修改投标文件</w:t>
      </w:r>
      <w:r>
        <w:rPr>
          <w:rFonts w:hint="eastAsia"/>
          <w:lang w:eastAsia="zh-CN"/>
        </w:rPr>
        <w:t>；</w:t>
      </w:r>
      <w:r>
        <w:rPr>
          <w:rFonts w:hint="eastAsia"/>
        </w:rPr>
        <w:t xml:space="preserve"> </w:t>
      </w:r>
    </w:p>
    <w:p w14:paraId="7B970847">
      <w:pPr>
        <w:bidi w:val="0"/>
        <w:rPr>
          <w:rFonts w:hint="eastAsia"/>
        </w:rPr>
      </w:pPr>
      <w:r>
        <w:rPr>
          <w:rFonts w:hint="eastAsia"/>
        </w:rPr>
        <w:t>14.4中标人的投标文件自开标之日起至合同履行完毕止均应保持有效。</w:t>
      </w:r>
    </w:p>
    <w:p w14:paraId="6764C4E6">
      <w:pPr>
        <w:pStyle w:val="6"/>
        <w:numPr>
          <w:ilvl w:val="2"/>
          <w:numId w:val="0"/>
        </w:numPr>
        <w:bidi w:val="0"/>
        <w:ind w:leftChars="200"/>
        <w:rPr>
          <w:rFonts w:hint="eastAsia"/>
        </w:rPr>
      </w:pPr>
      <w:r>
        <w:rPr>
          <w:rFonts w:hint="eastAsia"/>
        </w:rPr>
        <w:t>15.投标保证金</w:t>
      </w:r>
    </w:p>
    <w:p w14:paraId="100ADB85">
      <w:pPr>
        <w:bidi w:val="0"/>
        <w:rPr>
          <w:rFonts w:hint="eastAsia" w:eastAsia="仿宋"/>
          <w:lang w:eastAsia="zh-CN"/>
        </w:rPr>
      </w:pPr>
      <w:r>
        <w:rPr>
          <w:rFonts w:hint="eastAsia"/>
        </w:rPr>
        <w:t>15.1本项目免收投标保证金</w:t>
      </w:r>
      <w:r>
        <w:rPr>
          <w:rFonts w:hint="eastAsia"/>
          <w:lang w:eastAsia="zh-CN"/>
        </w:rPr>
        <w:t>；</w:t>
      </w:r>
    </w:p>
    <w:p w14:paraId="7738A135">
      <w:pPr>
        <w:bidi w:val="0"/>
        <w:rPr>
          <w:rFonts w:hint="eastAsia"/>
        </w:rPr>
      </w:pPr>
      <w:r>
        <w:rPr>
          <w:rFonts w:hint="eastAsia"/>
        </w:rPr>
        <w:t>15.2如投标</w:t>
      </w:r>
      <w:r>
        <w:rPr>
          <w:rFonts w:hint="eastAsia"/>
          <w:lang w:eastAsia="zh-CN"/>
        </w:rPr>
        <w:t>人</w:t>
      </w:r>
      <w:r>
        <w:rPr>
          <w:rFonts w:hint="eastAsia"/>
        </w:rPr>
        <w:t>有下列情形之一的，应当按照本项目采购预算价2%的标准承担因此给采购</w:t>
      </w:r>
      <w:r>
        <w:rPr>
          <w:rFonts w:hint="eastAsia"/>
          <w:lang w:eastAsia="zh-CN"/>
        </w:rPr>
        <w:t>人</w:t>
      </w:r>
      <w:r>
        <w:rPr>
          <w:rFonts w:hint="eastAsia"/>
        </w:rPr>
        <w:t>造成的损失的赔偿责任及相应的法律责任：</w:t>
      </w:r>
    </w:p>
    <w:p w14:paraId="4E2F67EC">
      <w:pPr>
        <w:bidi w:val="0"/>
        <w:rPr>
          <w:rFonts w:hint="eastAsia"/>
        </w:rPr>
      </w:pPr>
      <w:r>
        <w:rPr>
          <w:rFonts w:hint="eastAsia"/>
        </w:rPr>
        <w:t>15.</w:t>
      </w:r>
      <w:r>
        <w:rPr>
          <w:rFonts w:hint="eastAsia"/>
          <w:lang w:val="en-US" w:eastAsia="zh-CN"/>
        </w:rPr>
        <w:t>2</w:t>
      </w:r>
      <w:r>
        <w:rPr>
          <w:rFonts w:hint="eastAsia"/>
        </w:rPr>
        <w:t>.1投标</w:t>
      </w:r>
      <w:r>
        <w:rPr>
          <w:rFonts w:hint="eastAsia"/>
          <w:lang w:eastAsia="zh-CN"/>
        </w:rPr>
        <w:t>人</w:t>
      </w:r>
      <w:r>
        <w:rPr>
          <w:rFonts w:hint="eastAsia"/>
        </w:rPr>
        <w:t>在投标有效期内撤回投标文件的；</w:t>
      </w:r>
    </w:p>
    <w:p w14:paraId="6F247F70">
      <w:pPr>
        <w:bidi w:val="0"/>
        <w:rPr>
          <w:rFonts w:hint="eastAsia"/>
        </w:rPr>
      </w:pPr>
      <w:r>
        <w:rPr>
          <w:rFonts w:hint="eastAsia"/>
        </w:rPr>
        <w:t>15.</w:t>
      </w:r>
      <w:r>
        <w:rPr>
          <w:rFonts w:hint="eastAsia"/>
          <w:lang w:val="en-US" w:eastAsia="zh-CN"/>
        </w:rPr>
        <w:t>2</w:t>
      </w:r>
      <w:r>
        <w:rPr>
          <w:rFonts w:hint="eastAsia"/>
        </w:rPr>
        <w:t>.2投标</w:t>
      </w:r>
      <w:r>
        <w:rPr>
          <w:rFonts w:hint="eastAsia"/>
          <w:lang w:eastAsia="zh-CN"/>
        </w:rPr>
        <w:t>人</w:t>
      </w:r>
      <w:r>
        <w:rPr>
          <w:rFonts w:hint="eastAsia"/>
        </w:rPr>
        <w:t>在投标过程中弄虚作假，提供虚假材料的；</w:t>
      </w:r>
    </w:p>
    <w:p w14:paraId="3ECA6073">
      <w:pPr>
        <w:bidi w:val="0"/>
        <w:rPr>
          <w:rFonts w:hint="eastAsia"/>
        </w:rPr>
      </w:pPr>
      <w:r>
        <w:rPr>
          <w:rFonts w:hint="eastAsia"/>
        </w:rPr>
        <w:t>15.</w:t>
      </w:r>
      <w:r>
        <w:rPr>
          <w:rFonts w:hint="eastAsia"/>
          <w:lang w:val="en-US" w:eastAsia="zh-CN"/>
        </w:rPr>
        <w:t>2</w:t>
      </w:r>
      <w:r>
        <w:rPr>
          <w:rFonts w:hint="eastAsia"/>
        </w:rPr>
        <w:t>.3中标人无正当理由在规定的时间内不与采购人签订合同的；</w:t>
      </w:r>
    </w:p>
    <w:p w14:paraId="22A5426B">
      <w:pPr>
        <w:bidi w:val="0"/>
        <w:rPr>
          <w:rFonts w:hint="eastAsia"/>
        </w:rPr>
      </w:pPr>
      <w:r>
        <w:rPr>
          <w:rFonts w:hint="eastAsia"/>
        </w:rPr>
        <w:t>15.</w:t>
      </w:r>
      <w:r>
        <w:rPr>
          <w:rFonts w:hint="eastAsia"/>
          <w:lang w:val="en-US" w:eastAsia="zh-CN"/>
        </w:rPr>
        <w:t>2</w:t>
      </w:r>
      <w:r>
        <w:rPr>
          <w:rFonts w:hint="eastAsia"/>
        </w:rPr>
        <w:t>.4将中标项目转让给他人或者在投标文件中未说明且未经采购人同意，将中标项目分包给他人的；</w:t>
      </w:r>
    </w:p>
    <w:p w14:paraId="2E4542A6">
      <w:pPr>
        <w:bidi w:val="0"/>
        <w:rPr>
          <w:rFonts w:hint="eastAsia"/>
        </w:rPr>
      </w:pPr>
      <w:r>
        <w:rPr>
          <w:rFonts w:hint="eastAsia"/>
        </w:rPr>
        <w:t>15.</w:t>
      </w:r>
      <w:r>
        <w:rPr>
          <w:rFonts w:hint="eastAsia"/>
          <w:lang w:val="en-US" w:eastAsia="zh-CN"/>
        </w:rPr>
        <w:t>2</w:t>
      </w:r>
      <w:r>
        <w:rPr>
          <w:rFonts w:hint="eastAsia"/>
        </w:rPr>
        <w:t>.5其他严重扰乱招投标程序的；</w:t>
      </w:r>
    </w:p>
    <w:p w14:paraId="5F882F6E">
      <w:pPr>
        <w:bidi w:val="0"/>
        <w:rPr>
          <w:rFonts w:hint="eastAsia"/>
        </w:rPr>
      </w:pPr>
      <w:r>
        <w:rPr>
          <w:rFonts w:hint="eastAsia"/>
        </w:rPr>
        <w:t>15.</w:t>
      </w:r>
      <w:r>
        <w:rPr>
          <w:rFonts w:hint="eastAsia"/>
          <w:lang w:val="en-US" w:eastAsia="zh-CN"/>
        </w:rPr>
        <w:t>2</w:t>
      </w:r>
      <w:r>
        <w:rPr>
          <w:rFonts w:hint="eastAsia"/>
        </w:rPr>
        <w:t>.6向有关人员行贿或者采取其他不正当手段谋取中标的；</w:t>
      </w:r>
    </w:p>
    <w:p w14:paraId="072CC228">
      <w:pPr>
        <w:bidi w:val="0"/>
        <w:rPr>
          <w:rFonts w:hint="eastAsia"/>
        </w:rPr>
      </w:pPr>
      <w:r>
        <w:rPr>
          <w:rFonts w:hint="eastAsia"/>
        </w:rPr>
        <w:t>15.</w:t>
      </w:r>
      <w:r>
        <w:rPr>
          <w:rFonts w:hint="eastAsia"/>
          <w:lang w:val="en-US" w:eastAsia="zh-CN"/>
        </w:rPr>
        <w:t>2</w:t>
      </w:r>
      <w:r>
        <w:rPr>
          <w:rFonts w:hint="eastAsia"/>
        </w:rPr>
        <w:t>.7中标人无正当理由放弃中标的；</w:t>
      </w:r>
    </w:p>
    <w:p w14:paraId="4F180B7E">
      <w:pPr>
        <w:bidi w:val="0"/>
        <w:rPr>
          <w:rFonts w:hint="eastAsia"/>
        </w:rPr>
      </w:pPr>
      <w:r>
        <w:rPr>
          <w:rFonts w:hint="eastAsia"/>
        </w:rPr>
        <w:t>15.</w:t>
      </w:r>
      <w:r>
        <w:rPr>
          <w:rFonts w:hint="eastAsia"/>
          <w:lang w:val="en-US" w:eastAsia="zh-CN"/>
        </w:rPr>
        <w:t>2</w:t>
      </w:r>
      <w:r>
        <w:rPr>
          <w:rFonts w:hint="eastAsia"/>
        </w:rPr>
        <w:t>.8投标</w:t>
      </w:r>
      <w:r>
        <w:rPr>
          <w:rFonts w:hint="eastAsia"/>
          <w:lang w:eastAsia="zh-CN"/>
        </w:rPr>
        <w:t>人</w:t>
      </w:r>
      <w:r>
        <w:rPr>
          <w:rFonts w:hint="eastAsia"/>
        </w:rPr>
        <w:t>质疑投诉提供虚假情况；</w:t>
      </w:r>
    </w:p>
    <w:p w14:paraId="1395B461">
      <w:pPr>
        <w:bidi w:val="0"/>
        <w:rPr>
          <w:rFonts w:hint="eastAsia"/>
        </w:rPr>
      </w:pPr>
      <w:r>
        <w:rPr>
          <w:rFonts w:hint="eastAsia"/>
        </w:rPr>
        <w:t>15.</w:t>
      </w:r>
      <w:r>
        <w:rPr>
          <w:rFonts w:hint="eastAsia"/>
          <w:lang w:val="en-US" w:eastAsia="zh-CN"/>
        </w:rPr>
        <w:t>2</w:t>
      </w:r>
      <w:r>
        <w:rPr>
          <w:rFonts w:hint="eastAsia"/>
        </w:rPr>
        <w:t>.9存在法律、法规规定的其它损害采购人或采购</w:t>
      </w:r>
      <w:r>
        <w:rPr>
          <w:rFonts w:hint="eastAsia"/>
          <w:lang w:eastAsia="zh-CN"/>
        </w:rPr>
        <w:t>人</w:t>
      </w:r>
      <w:r>
        <w:rPr>
          <w:rFonts w:hint="eastAsia"/>
        </w:rPr>
        <w:t>利益或社会公共利益的情形的。</w:t>
      </w:r>
    </w:p>
    <w:p w14:paraId="432C7C7B">
      <w:pPr>
        <w:pStyle w:val="6"/>
        <w:numPr>
          <w:ilvl w:val="2"/>
          <w:numId w:val="0"/>
        </w:numPr>
        <w:bidi w:val="0"/>
        <w:ind w:leftChars="200"/>
        <w:rPr>
          <w:rFonts w:hint="eastAsia"/>
        </w:rPr>
      </w:pPr>
      <w:r>
        <w:rPr>
          <w:rFonts w:hint="eastAsia"/>
        </w:rPr>
        <w:t>16.投标文件的制作</w:t>
      </w:r>
    </w:p>
    <w:p w14:paraId="0FABD23B">
      <w:pPr>
        <w:bidi w:val="0"/>
        <w:rPr>
          <w:rFonts w:hint="eastAsia" w:eastAsia="仿宋"/>
          <w:lang w:eastAsia="zh-CN"/>
        </w:rPr>
      </w:pPr>
      <w:r>
        <w:rPr>
          <w:rFonts w:hint="eastAsia"/>
        </w:rPr>
        <w:t>16.1投标</w:t>
      </w:r>
      <w:r>
        <w:rPr>
          <w:rFonts w:hint="eastAsia"/>
          <w:lang w:eastAsia="zh-CN"/>
        </w:rPr>
        <w:t>人</w:t>
      </w:r>
      <w:r>
        <w:rPr>
          <w:rFonts w:hint="eastAsia"/>
        </w:rPr>
        <w:t>应按招标文件前附表规定的内容编制投标文件</w:t>
      </w:r>
      <w:r>
        <w:rPr>
          <w:rFonts w:hint="eastAsia"/>
          <w:lang w:eastAsia="zh-CN"/>
        </w:rPr>
        <w:t>；</w:t>
      </w:r>
    </w:p>
    <w:p w14:paraId="7731A607">
      <w:pPr>
        <w:bidi w:val="0"/>
        <w:rPr>
          <w:rFonts w:hint="eastAsia" w:eastAsia="仿宋"/>
          <w:lang w:eastAsia="zh-CN"/>
        </w:rPr>
      </w:pPr>
      <w:r>
        <w:rPr>
          <w:rFonts w:hint="eastAsia"/>
        </w:rPr>
        <w:t>16.2投标</w:t>
      </w:r>
      <w:r>
        <w:rPr>
          <w:rFonts w:hint="eastAsia"/>
          <w:lang w:eastAsia="zh-CN"/>
        </w:rPr>
        <w:t>人</w:t>
      </w:r>
      <w:r>
        <w:rPr>
          <w:rFonts w:hint="eastAsia"/>
        </w:rPr>
        <w:t>应按本招标文件规定的格式和顺序编制投标文件并标注页码，投标文件内容不完整、编排混乱导致投标文件被误读、漏读或者查找不到相关内容的，是</w:t>
      </w:r>
      <w:r>
        <w:rPr>
          <w:rFonts w:hint="eastAsia"/>
          <w:lang w:eastAsia="zh-CN"/>
        </w:rPr>
        <w:t>投标人</w:t>
      </w:r>
      <w:r>
        <w:rPr>
          <w:rFonts w:hint="eastAsia"/>
        </w:rPr>
        <w:t>的责任</w:t>
      </w:r>
      <w:r>
        <w:rPr>
          <w:rFonts w:hint="eastAsia"/>
          <w:lang w:eastAsia="zh-CN"/>
        </w:rPr>
        <w:t>；</w:t>
      </w:r>
    </w:p>
    <w:p w14:paraId="6F290BA2">
      <w:pPr>
        <w:bidi w:val="0"/>
        <w:rPr>
          <w:rFonts w:hint="eastAsia" w:eastAsia="仿宋"/>
          <w:lang w:eastAsia="zh-CN"/>
        </w:rPr>
      </w:pPr>
      <w:r>
        <w:rPr>
          <w:rFonts w:hint="eastAsia"/>
        </w:rPr>
        <w:t>16.3投标文件须由投标</w:t>
      </w:r>
      <w:r>
        <w:rPr>
          <w:rFonts w:hint="eastAsia"/>
          <w:lang w:eastAsia="zh-CN"/>
        </w:rPr>
        <w:t>人</w:t>
      </w:r>
      <w:r>
        <w:rPr>
          <w:rFonts w:hint="eastAsia"/>
        </w:rPr>
        <w:t>在规定位置盖章，投标</w:t>
      </w:r>
      <w:r>
        <w:rPr>
          <w:rFonts w:hint="eastAsia"/>
          <w:lang w:eastAsia="zh-CN"/>
        </w:rPr>
        <w:t>人</w:t>
      </w:r>
      <w:r>
        <w:rPr>
          <w:rFonts w:hint="eastAsia"/>
        </w:rPr>
        <w:t>应写全称。电子投标文件中所有加盖公章均采用CA签章</w:t>
      </w:r>
      <w:r>
        <w:rPr>
          <w:rFonts w:hint="eastAsia"/>
          <w:lang w:eastAsia="zh-CN"/>
        </w:rPr>
        <w:t>；</w:t>
      </w:r>
    </w:p>
    <w:p w14:paraId="3EFA1A1E">
      <w:pPr>
        <w:bidi w:val="0"/>
        <w:rPr>
          <w:rFonts w:hint="eastAsia" w:eastAsia="仿宋"/>
          <w:lang w:eastAsia="zh-CN"/>
        </w:rPr>
      </w:pPr>
      <w:r>
        <w:rPr>
          <w:rFonts w:hint="eastAsia"/>
        </w:rPr>
        <w:t>16.4投标文件不得涂改，若有修改错漏处，须加盖单位公章。投标文件因表达不清所引起的后果由投标</w:t>
      </w:r>
      <w:r>
        <w:rPr>
          <w:rFonts w:hint="eastAsia"/>
          <w:lang w:eastAsia="zh-CN"/>
        </w:rPr>
        <w:t>人</w:t>
      </w:r>
      <w:r>
        <w:rPr>
          <w:rFonts w:hint="eastAsia"/>
        </w:rPr>
        <w:t>负责</w:t>
      </w:r>
      <w:r>
        <w:rPr>
          <w:rFonts w:hint="eastAsia"/>
          <w:lang w:eastAsia="zh-CN"/>
        </w:rPr>
        <w:t>；</w:t>
      </w:r>
    </w:p>
    <w:p w14:paraId="2F844ADD">
      <w:pPr>
        <w:bidi w:val="0"/>
        <w:rPr>
          <w:rFonts w:hint="eastAsia"/>
        </w:rPr>
      </w:pPr>
      <w:r>
        <w:rPr>
          <w:rFonts w:hint="eastAsia"/>
        </w:rPr>
        <w:t>16.5投标</w:t>
      </w:r>
      <w:r>
        <w:rPr>
          <w:rFonts w:hint="eastAsia"/>
          <w:lang w:eastAsia="zh-CN"/>
        </w:rPr>
        <w:t>人</w:t>
      </w:r>
      <w:r>
        <w:rPr>
          <w:rFonts w:hint="eastAsia"/>
        </w:rPr>
        <w:t>应认真阅读招标文件中所有的内容。如果投标</w:t>
      </w:r>
      <w:r>
        <w:rPr>
          <w:rFonts w:hint="eastAsia"/>
          <w:lang w:eastAsia="zh-CN"/>
        </w:rPr>
        <w:t>人</w:t>
      </w:r>
      <w:r>
        <w:rPr>
          <w:rFonts w:hint="eastAsia"/>
        </w:rPr>
        <w:t>编制的投标文件实质上不响应招标文件的要求，其投标文件将作无效标处理。</w:t>
      </w:r>
    </w:p>
    <w:p w14:paraId="4D25FB6C">
      <w:pPr>
        <w:pStyle w:val="6"/>
        <w:numPr>
          <w:ilvl w:val="2"/>
          <w:numId w:val="0"/>
        </w:numPr>
        <w:bidi w:val="0"/>
        <w:ind w:leftChars="200"/>
        <w:rPr>
          <w:rFonts w:hint="eastAsia"/>
        </w:rPr>
      </w:pPr>
      <w:r>
        <w:rPr>
          <w:rFonts w:hint="eastAsia"/>
        </w:rPr>
        <w:t>17.投标文件的递交、修改和撤回</w:t>
      </w:r>
    </w:p>
    <w:p w14:paraId="0F31C409">
      <w:pPr>
        <w:bidi w:val="0"/>
        <w:rPr>
          <w:rFonts w:hint="eastAsia" w:eastAsia="仿宋"/>
          <w:lang w:eastAsia="zh-CN"/>
        </w:rPr>
      </w:pPr>
      <w:r>
        <w:rPr>
          <w:rFonts w:hint="eastAsia"/>
        </w:rPr>
        <w:t>17.1投标</w:t>
      </w:r>
      <w:r>
        <w:rPr>
          <w:rFonts w:hint="eastAsia"/>
          <w:lang w:eastAsia="zh-CN"/>
        </w:rPr>
        <w:t>人</w:t>
      </w:r>
      <w:r>
        <w:rPr>
          <w:rFonts w:hint="eastAsia"/>
        </w:rPr>
        <w:t>应将投标文件的资格文件、商务技术文件、报价文件分开制作。如资格文件</w:t>
      </w:r>
      <w:r>
        <w:rPr>
          <w:rFonts w:hint="eastAsia"/>
          <w:lang w:eastAsia="zh-CN"/>
        </w:rPr>
        <w:t>、</w:t>
      </w:r>
      <w:r>
        <w:rPr>
          <w:rFonts w:hint="eastAsia"/>
        </w:rPr>
        <w:t>商务技术文件内容含有报价的内容，将被视作无效标处理</w:t>
      </w:r>
      <w:r>
        <w:rPr>
          <w:rFonts w:hint="eastAsia"/>
          <w:lang w:eastAsia="zh-CN"/>
        </w:rPr>
        <w:t>；</w:t>
      </w:r>
    </w:p>
    <w:p w14:paraId="364FF92C">
      <w:pPr>
        <w:bidi w:val="0"/>
        <w:rPr>
          <w:rFonts w:hint="eastAsia" w:eastAsia="仿宋"/>
          <w:lang w:eastAsia="zh-CN"/>
        </w:rPr>
      </w:pPr>
      <w:r>
        <w:rPr>
          <w:rFonts w:hint="eastAsia"/>
        </w:rPr>
        <w:t>17.2投标</w:t>
      </w:r>
      <w:r>
        <w:rPr>
          <w:rFonts w:hint="eastAsia"/>
          <w:lang w:eastAsia="zh-CN"/>
        </w:rPr>
        <w:t>人</w:t>
      </w:r>
      <w:r>
        <w:rPr>
          <w:rFonts w:hint="eastAsia"/>
        </w:rPr>
        <w:t>应在开标前在“政采云”上自行加密上传电子投标文件，逾期上传或未按要求上传的投标文件将予以拒收。中标单位须提供与上传至政采云上的电子投标文件相一致的纸质版投标文件（资格文件，技术文件，报价文件）各一正两副</w:t>
      </w:r>
      <w:r>
        <w:rPr>
          <w:rFonts w:hint="eastAsia"/>
          <w:lang w:eastAsia="zh-CN"/>
        </w:rPr>
        <w:t>；</w:t>
      </w:r>
    </w:p>
    <w:p w14:paraId="658A1D3D">
      <w:pPr>
        <w:bidi w:val="0"/>
        <w:rPr>
          <w:rFonts w:hint="eastAsia" w:eastAsia="仿宋"/>
          <w:lang w:eastAsia="zh-CN"/>
        </w:rPr>
      </w:pPr>
      <w:r>
        <w:rPr>
          <w:rFonts w:hint="eastAsia"/>
        </w:rPr>
        <w:t>17.3投标</w:t>
      </w:r>
      <w:r>
        <w:rPr>
          <w:rFonts w:hint="eastAsia"/>
          <w:lang w:eastAsia="zh-CN"/>
        </w:rPr>
        <w:t>人</w:t>
      </w:r>
      <w:r>
        <w:rPr>
          <w:rFonts w:hint="eastAsia"/>
        </w:rPr>
        <w:t>在投标截止时间之前，可以对已提交的投标文件进行修改或撤回，补充、修改的内容为投标文件的组成部分</w:t>
      </w:r>
      <w:r>
        <w:rPr>
          <w:rFonts w:hint="eastAsia"/>
          <w:lang w:eastAsia="zh-CN"/>
        </w:rPr>
        <w:t>；</w:t>
      </w:r>
    </w:p>
    <w:p w14:paraId="589C9619">
      <w:pPr>
        <w:bidi w:val="0"/>
        <w:rPr>
          <w:rFonts w:hint="eastAsia" w:eastAsia="仿宋"/>
          <w:lang w:eastAsia="zh-CN"/>
        </w:rPr>
      </w:pPr>
      <w:r>
        <w:rPr>
          <w:rFonts w:hint="eastAsia"/>
        </w:rPr>
        <w:t>17.4投标截止时间后，投标</w:t>
      </w:r>
      <w:r>
        <w:rPr>
          <w:rFonts w:hint="eastAsia"/>
          <w:lang w:eastAsia="zh-CN"/>
        </w:rPr>
        <w:t>人</w:t>
      </w:r>
      <w:r>
        <w:rPr>
          <w:rFonts w:hint="eastAsia"/>
        </w:rPr>
        <w:t>不得撤回、修改投标文件</w:t>
      </w:r>
      <w:r>
        <w:rPr>
          <w:rFonts w:hint="eastAsia"/>
          <w:lang w:eastAsia="zh-CN"/>
        </w:rPr>
        <w:t>；</w:t>
      </w:r>
    </w:p>
    <w:p w14:paraId="7C28F662">
      <w:pPr>
        <w:bidi w:val="0"/>
        <w:rPr>
          <w:rFonts w:hint="eastAsia" w:eastAsia="仿宋"/>
          <w:lang w:eastAsia="zh-CN"/>
        </w:rPr>
      </w:pPr>
      <w:r>
        <w:rPr>
          <w:rFonts w:hint="eastAsia"/>
        </w:rPr>
        <w:t>17.5不论投标</w:t>
      </w:r>
      <w:r>
        <w:rPr>
          <w:rFonts w:hint="eastAsia"/>
          <w:lang w:eastAsia="zh-CN"/>
        </w:rPr>
        <w:t>人</w:t>
      </w:r>
      <w:r>
        <w:rPr>
          <w:rFonts w:hint="eastAsia"/>
        </w:rPr>
        <w:t>中标与否，投标</w:t>
      </w:r>
      <w:r>
        <w:rPr>
          <w:rFonts w:hint="eastAsia"/>
          <w:lang w:eastAsia="zh-CN"/>
        </w:rPr>
        <w:t>人</w:t>
      </w:r>
      <w:r>
        <w:rPr>
          <w:rFonts w:hint="eastAsia"/>
        </w:rPr>
        <w:t>文件均不得撤回其投标</w:t>
      </w:r>
      <w:r>
        <w:rPr>
          <w:rFonts w:hint="eastAsia"/>
          <w:lang w:eastAsia="zh-CN"/>
        </w:rPr>
        <w:t>；</w:t>
      </w:r>
    </w:p>
    <w:p w14:paraId="02884895">
      <w:pPr>
        <w:bidi w:val="0"/>
        <w:rPr>
          <w:rFonts w:hint="eastAsia"/>
        </w:rPr>
      </w:pPr>
      <w:r>
        <w:rPr>
          <w:rFonts w:hint="eastAsia"/>
        </w:rPr>
        <w:t>17.6未按时解密的，视为投标文件撤回。</w:t>
      </w:r>
    </w:p>
    <w:p w14:paraId="1437D8CC">
      <w:pPr>
        <w:pStyle w:val="6"/>
        <w:numPr>
          <w:ilvl w:val="2"/>
          <w:numId w:val="0"/>
        </w:numPr>
        <w:bidi w:val="0"/>
        <w:ind w:leftChars="200"/>
        <w:rPr>
          <w:rFonts w:hint="eastAsia"/>
        </w:rPr>
      </w:pPr>
      <w:r>
        <w:rPr>
          <w:rFonts w:hint="eastAsia"/>
        </w:rPr>
        <w:t>18.投标无效的情形</w:t>
      </w:r>
    </w:p>
    <w:p w14:paraId="4A367CE3">
      <w:pPr>
        <w:bidi w:val="0"/>
        <w:rPr>
          <w:rFonts w:hint="eastAsia"/>
        </w:rPr>
      </w:pPr>
      <w:r>
        <w:rPr>
          <w:rFonts w:hint="eastAsia"/>
        </w:rPr>
        <w:t>实质上没有响应招标文件要求的投标将被视为无效投标。投标</w:t>
      </w:r>
      <w:r>
        <w:rPr>
          <w:rFonts w:hint="eastAsia"/>
          <w:lang w:eastAsia="zh-CN"/>
        </w:rPr>
        <w:t>人</w:t>
      </w:r>
      <w:r>
        <w:rPr>
          <w:rFonts w:hint="eastAsia"/>
        </w:rPr>
        <w:t>不得通过修正或撤销不合要求的偏离或保留从而使其投标成为实质上响应的投标，但经评标委员会认定属于投标</w:t>
      </w:r>
      <w:r>
        <w:rPr>
          <w:rFonts w:hint="eastAsia"/>
          <w:lang w:eastAsia="zh-CN"/>
        </w:rPr>
        <w:t>人</w:t>
      </w:r>
      <w:r>
        <w:rPr>
          <w:rFonts w:hint="eastAsia"/>
        </w:rPr>
        <w:t>疏忽所造成的差错，应当允许其在评标结束之前进行修改或者补正。限时内不补正或经补正后仍不符合招标文件要求的，应认定其投标无效。投标</w:t>
      </w:r>
      <w:r>
        <w:rPr>
          <w:rFonts w:hint="eastAsia"/>
          <w:lang w:eastAsia="zh-CN"/>
        </w:rPr>
        <w:t>人</w:t>
      </w:r>
      <w:r>
        <w:rPr>
          <w:rFonts w:hint="eastAsia"/>
        </w:rPr>
        <w:t>修改、补正投标文件后，不影响评标委员会对其投标文件所作的评价和评分结果。</w:t>
      </w:r>
    </w:p>
    <w:p w14:paraId="21BAD7B8">
      <w:pPr>
        <w:bidi w:val="0"/>
        <w:rPr>
          <w:rFonts w:hint="eastAsia"/>
        </w:rPr>
      </w:pPr>
      <w:r>
        <w:rPr>
          <w:rFonts w:hint="eastAsia"/>
        </w:rPr>
        <w:t>18.1在符合性审查和资格性审查时，如发现下列情形之一的，投标文件将被视为无效投标：</w:t>
      </w:r>
    </w:p>
    <w:p w14:paraId="26FF386C">
      <w:pPr>
        <w:bidi w:val="0"/>
        <w:rPr>
          <w:rFonts w:hint="eastAsia"/>
        </w:rPr>
      </w:pPr>
      <w:r>
        <w:rPr>
          <w:rFonts w:hint="eastAsia"/>
        </w:rPr>
        <w:t>18.1.1资格证明文件不全的，或者不符合招标文件标明的资格要求的；</w:t>
      </w:r>
    </w:p>
    <w:p w14:paraId="56A1B5D9">
      <w:pPr>
        <w:bidi w:val="0"/>
        <w:rPr>
          <w:rFonts w:hint="eastAsia"/>
        </w:rPr>
      </w:pPr>
      <w:r>
        <w:rPr>
          <w:rFonts w:hint="eastAsia"/>
        </w:rPr>
        <w:t>18.1.2未按照招标文件规定要求盖章；</w:t>
      </w:r>
    </w:p>
    <w:p w14:paraId="3A4C5D4E">
      <w:pPr>
        <w:bidi w:val="0"/>
        <w:rPr>
          <w:rFonts w:hint="eastAsia"/>
        </w:rPr>
      </w:pPr>
      <w:r>
        <w:rPr>
          <w:rFonts w:hint="eastAsia"/>
        </w:rPr>
        <w:t>18.1.3投标文件项目不齐全或者内容虚假的；</w:t>
      </w:r>
    </w:p>
    <w:p w14:paraId="457B8619">
      <w:pPr>
        <w:bidi w:val="0"/>
        <w:rPr>
          <w:rFonts w:hint="eastAsia"/>
        </w:rPr>
      </w:pPr>
      <w:r>
        <w:rPr>
          <w:rFonts w:hint="eastAsia"/>
        </w:rPr>
        <w:t>18.1.4投标文件的实质性内容未使用中文表述、意思表述不明确、前后矛盾或者使用计量单位不符合招标文件要求的；</w:t>
      </w:r>
    </w:p>
    <w:p w14:paraId="6845A57D">
      <w:pPr>
        <w:bidi w:val="0"/>
        <w:rPr>
          <w:rFonts w:hint="eastAsia"/>
        </w:rPr>
      </w:pPr>
      <w:r>
        <w:rPr>
          <w:rFonts w:hint="eastAsia"/>
        </w:rPr>
        <w:t>18.1.5投标有效期、交货时间、质保期、售后服务承诺等条款不能满足招标文件要求的；</w:t>
      </w:r>
    </w:p>
    <w:p w14:paraId="24C831AF">
      <w:pPr>
        <w:bidi w:val="0"/>
        <w:rPr>
          <w:rFonts w:hint="eastAsia"/>
        </w:rPr>
      </w:pPr>
      <w:r>
        <w:rPr>
          <w:rFonts w:hint="eastAsia"/>
        </w:rPr>
        <w:t>18.1.6投标文件的技术标内容含有商务报价的内容；</w:t>
      </w:r>
    </w:p>
    <w:p w14:paraId="7ED7CA3E">
      <w:pPr>
        <w:bidi w:val="0"/>
        <w:rPr>
          <w:rFonts w:hint="eastAsia"/>
        </w:rPr>
      </w:pPr>
      <w:r>
        <w:rPr>
          <w:rFonts w:hint="eastAsia"/>
        </w:rPr>
        <w:t>18.1.7投标文件含有采购人不能接受的附加条件的；</w:t>
      </w:r>
    </w:p>
    <w:p w14:paraId="61CF53C8">
      <w:pPr>
        <w:bidi w:val="0"/>
        <w:rPr>
          <w:rFonts w:hint="eastAsia" w:eastAsia="仿宋"/>
          <w:lang w:eastAsia="zh-CN"/>
        </w:rPr>
      </w:pPr>
      <w:r>
        <w:rPr>
          <w:rFonts w:hint="eastAsia"/>
        </w:rPr>
        <w:t>18.1.8不符合法律、法规或未实质性响应招标文件要求或者投标文件有采购人不能接受的附加条件的</w:t>
      </w:r>
      <w:r>
        <w:rPr>
          <w:rFonts w:hint="eastAsia"/>
          <w:lang w:eastAsia="zh-CN"/>
        </w:rPr>
        <w:t>；</w:t>
      </w:r>
    </w:p>
    <w:p w14:paraId="67C6B28A">
      <w:pPr>
        <w:bidi w:val="0"/>
        <w:rPr>
          <w:rFonts w:hint="eastAsia"/>
          <w:b/>
          <w:bCs/>
          <w:color w:val="0000FF"/>
          <w:highlight w:val="yellow"/>
        </w:rPr>
      </w:pPr>
      <w:r>
        <w:rPr>
          <w:rFonts w:hint="eastAsia"/>
          <w:b/>
          <w:bCs/>
          <w:color w:val="0000FF"/>
          <w:highlight w:val="yellow"/>
          <w:lang w:val="en-US" w:eastAsia="zh-CN"/>
        </w:rPr>
        <w:t>18.1.9</w:t>
      </w:r>
      <w:r>
        <w:rPr>
          <w:rFonts w:hint="eastAsia"/>
          <w:b/>
          <w:bCs/>
          <w:color w:val="0000FF"/>
          <w:highlight w:val="yellow"/>
        </w:rPr>
        <w:t>除政府采购法律法规规定的恶意串通、视同串通投标情形外，在不影响公平竞争的前提下，采购人、采购代理机构应在采购文件中明确规定参与同一个标段(包)的</w:t>
      </w:r>
      <w:r>
        <w:rPr>
          <w:rFonts w:hint="eastAsia"/>
          <w:b/>
          <w:bCs/>
          <w:color w:val="0000FF"/>
          <w:highlight w:val="yellow"/>
          <w:lang w:val="en-US" w:eastAsia="zh-CN"/>
        </w:rPr>
        <w:t>投标人</w:t>
      </w:r>
      <w:r>
        <w:rPr>
          <w:rFonts w:hint="eastAsia"/>
          <w:b/>
          <w:bCs/>
          <w:color w:val="0000FF"/>
          <w:highlight w:val="yellow"/>
        </w:rPr>
        <w:t>存在下列情形之一的，其投标(响应)文件无效：1.不同供应商的电子投标(响应)文件上传计算机的网卡MAC地址或硬盘序列号等硬件信息相同的</w:t>
      </w:r>
      <w:r>
        <w:rPr>
          <w:rFonts w:hint="eastAsia"/>
          <w:b/>
          <w:bCs/>
          <w:color w:val="0000FF"/>
          <w:highlight w:val="yellow"/>
          <w:lang w:eastAsia="zh-CN"/>
        </w:rPr>
        <w:t>；</w:t>
      </w:r>
      <w:r>
        <w:rPr>
          <w:rFonts w:hint="eastAsia"/>
          <w:b/>
          <w:bCs/>
          <w:color w:val="0000FF"/>
          <w:highlight w:val="yellow"/>
        </w:rPr>
        <w:t>2.上传的电子投标(响应)文件若出现使用本项目其他投标(响应)供应商的数字证书加密的，或者加盖本项目其他投标(响应)供应商的电子印章的</w:t>
      </w:r>
      <w:r>
        <w:rPr>
          <w:rFonts w:hint="eastAsia"/>
          <w:b/>
          <w:bCs/>
          <w:color w:val="0000FF"/>
          <w:highlight w:val="yellow"/>
          <w:lang w:eastAsia="zh-CN"/>
        </w:rPr>
        <w:t>；</w:t>
      </w:r>
      <w:r>
        <w:rPr>
          <w:rFonts w:hint="eastAsia"/>
          <w:b/>
          <w:bCs/>
          <w:color w:val="0000FF"/>
          <w:highlight w:val="yellow"/>
        </w:rPr>
        <w:t>3.不同供应商的投标(响应)文件的内容存在3处(含)以上错误一致的</w:t>
      </w:r>
      <w:r>
        <w:rPr>
          <w:rFonts w:hint="eastAsia"/>
          <w:b/>
          <w:bCs/>
          <w:color w:val="0000FF"/>
          <w:highlight w:val="yellow"/>
          <w:lang w:eastAsia="zh-CN"/>
        </w:rPr>
        <w:t>；</w:t>
      </w:r>
      <w:r>
        <w:rPr>
          <w:rFonts w:hint="eastAsia"/>
          <w:b/>
          <w:bCs/>
          <w:color w:val="0000FF"/>
          <w:highlight w:val="yellow"/>
        </w:rPr>
        <w:t>4.不同供应商联系人为同一人或不同联系人的联系电话一致的</w:t>
      </w:r>
      <w:r>
        <w:rPr>
          <w:rFonts w:hint="eastAsia"/>
          <w:b/>
          <w:bCs/>
          <w:color w:val="0000FF"/>
          <w:highlight w:val="yellow"/>
          <w:lang w:val="en-US" w:eastAsia="zh-CN"/>
        </w:rPr>
        <w:t>。</w:t>
      </w:r>
    </w:p>
    <w:p w14:paraId="3339D964">
      <w:pPr>
        <w:bidi w:val="0"/>
        <w:rPr>
          <w:rFonts w:hint="eastAsia"/>
        </w:rPr>
      </w:pPr>
      <w:r>
        <w:rPr>
          <w:rFonts w:hint="eastAsia"/>
        </w:rPr>
        <w:t>18.2在技术评审时，如发现下列情形之一的，投标文件将被视为无效：</w:t>
      </w:r>
    </w:p>
    <w:p w14:paraId="63989003">
      <w:pPr>
        <w:bidi w:val="0"/>
        <w:rPr>
          <w:rFonts w:hint="eastAsia"/>
        </w:rPr>
      </w:pPr>
      <w:r>
        <w:rPr>
          <w:rFonts w:hint="eastAsia"/>
        </w:rPr>
        <w:t>18.2.1未提供或未如实提供投标货物的技术参数，或者投标文件标明的响应或偏离与事实不符或虚假投标的；</w:t>
      </w:r>
    </w:p>
    <w:p w14:paraId="4C5F413D">
      <w:pPr>
        <w:bidi w:val="0"/>
        <w:rPr>
          <w:rFonts w:hint="eastAsia"/>
        </w:rPr>
      </w:pPr>
      <w:r>
        <w:rPr>
          <w:rFonts w:hint="eastAsia"/>
        </w:rPr>
        <w:t>18.2.2允许偏离的技术、性能指标或者辅助功能项目发生负偏离达20项（含）以上的；</w:t>
      </w:r>
    </w:p>
    <w:p w14:paraId="67844CA6">
      <w:pPr>
        <w:bidi w:val="0"/>
        <w:rPr>
          <w:rFonts w:hint="eastAsia"/>
        </w:rPr>
      </w:pPr>
      <w:r>
        <w:rPr>
          <w:rFonts w:hint="eastAsia"/>
        </w:rPr>
        <w:t>18.2.3投标技术方案不明确，存在一个或一个以上备选（替代）</w:t>
      </w:r>
      <w:r>
        <w:rPr>
          <w:rFonts w:hint="eastAsia"/>
          <w:lang w:eastAsia="zh-CN"/>
        </w:rPr>
        <w:t>投标人</w:t>
      </w:r>
      <w:r>
        <w:rPr>
          <w:rFonts w:hint="eastAsia"/>
        </w:rPr>
        <w:t>案的；</w:t>
      </w:r>
    </w:p>
    <w:p w14:paraId="6C324D10">
      <w:pPr>
        <w:bidi w:val="0"/>
        <w:rPr>
          <w:rFonts w:hint="eastAsia"/>
        </w:rPr>
      </w:pPr>
      <w:r>
        <w:rPr>
          <w:rFonts w:hint="eastAsia"/>
        </w:rPr>
        <w:t>18.2.4发现有二份及二份以上投标文件的相互之间有特别相同或相似之处，且经询标澄清投标</w:t>
      </w:r>
      <w:r>
        <w:rPr>
          <w:rFonts w:hint="eastAsia"/>
          <w:lang w:eastAsia="zh-CN"/>
        </w:rPr>
        <w:t>人</w:t>
      </w:r>
      <w:r>
        <w:rPr>
          <w:rFonts w:hint="eastAsia"/>
        </w:rPr>
        <w:t>无令人信服的理由和可靠证据证明其合理性的，经评标委员会半数以上成员确认有串通投标嫌疑的，其投标文件按无效标处理，予以</w:t>
      </w:r>
      <w:r>
        <w:rPr>
          <w:rFonts w:hint="eastAsia"/>
          <w:lang w:val="en-US" w:eastAsia="zh-CN"/>
        </w:rPr>
        <w:t>废标</w:t>
      </w:r>
      <w:r>
        <w:rPr>
          <w:rFonts w:hint="eastAsia"/>
        </w:rPr>
        <w:t>，不再对其进行评审，也不影响招标工作继续评标。</w:t>
      </w:r>
    </w:p>
    <w:p w14:paraId="2433D11E">
      <w:pPr>
        <w:bidi w:val="0"/>
        <w:rPr>
          <w:rFonts w:hint="eastAsia"/>
        </w:rPr>
      </w:pPr>
      <w:r>
        <w:rPr>
          <w:rFonts w:hint="eastAsia"/>
        </w:rPr>
        <w:t>18.3在报价评审时，如发现下列情形之一的，投标文件将被视为无效：</w:t>
      </w:r>
    </w:p>
    <w:p w14:paraId="7A0D86A9">
      <w:pPr>
        <w:bidi w:val="0"/>
        <w:rPr>
          <w:rFonts w:hint="eastAsia"/>
        </w:rPr>
      </w:pPr>
      <w:r>
        <w:rPr>
          <w:rFonts w:hint="eastAsia"/>
          <w:lang w:val="en-US" w:eastAsia="zh-CN"/>
        </w:rPr>
        <w:t>18.3.1</w:t>
      </w:r>
      <w:r>
        <w:rPr>
          <w:rFonts w:hint="eastAsia"/>
        </w:rPr>
        <w:t>未采用人民币报价或者未按照招标文件标明的币种报价的；</w:t>
      </w:r>
    </w:p>
    <w:p w14:paraId="028901CC">
      <w:pPr>
        <w:bidi w:val="0"/>
        <w:rPr>
          <w:rFonts w:hint="eastAsia"/>
        </w:rPr>
      </w:pPr>
      <w:r>
        <w:rPr>
          <w:rFonts w:hint="eastAsia"/>
          <w:lang w:val="en-US" w:eastAsia="zh-CN"/>
        </w:rPr>
        <w:t>18.3.2</w:t>
      </w:r>
      <w:r>
        <w:rPr>
          <w:rFonts w:hint="eastAsia"/>
        </w:rPr>
        <w:t>投标报价超过招标文件中规定的最高限价的；</w:t>
      </w:r>
    </w:p>
    <w:p w14:paraId="0883484C">
      <w:pPr>
        <w:bidi w:val="0"/>
        <w:rPr>
          <w:rFonts w:hint="eastAsia"/>
        </w:rPr>
      </w:pPr>
      <w:r>
        <w:rPr>
          <w:rFonts w:hint="eastAsia"/>
          <w:lang w:val="en-US" w:eastAsia="zh-CN"/>
        </w:rPr>
        <w:t>18.3.3</w:t>
      </w:r>
      <w:r>
        <w:rPr>
          <w:rFonts w:hint="eastAsia"/>
        </w:rPr>
        <w:t>评标委员会认为投标</w:t>
      </w:r>
      <w:r>
        <w:rPr>
          <w:rFonts w:hint="eastAsia"/>
          <w:lang w:eastAsia="zh-CN"/>
        </w:rPr>
        <w:t>人</w:t>
      </w:r>
      <w:r>
        <w:rPr>
          <w:rFonts w:hint="eastAsia"/>
        </w:rPr>
        <w:t>的报价明显低于其他通过符合性审查投标</w:t>
      </w:r>
      <w:r>
        <w:rPr>
          <w:rFonts w:hint="eastAsia"/>
          <w:lang w:eastAsia="zh-CN"/>
        </w:rPr>
        <w:t>人</w:t>
      </w:r>
      <w:r>
        <w:rPr>
          <w:rFonts w:hint="eastAsia"/>
        </w:rPr>
        <w:t>的报价，有可能影响产品质量或者不能诚信履约，且投标</w:t>
      </w:r>
      <w:r>
        <w:rPr>
          <w:rFonts w:hint="eastAsia"/>
          <w:lang w:eastAsia="zh-CN"/>
        </w:rPr>
        <w:t>人</w:t>
      </w:r>
      <w:r>
        <w:rPr>
          <w:rFonts w:hint="eastAsia"/>
        </w:rPr>
        <w:t>不能证明其报价合理性的；</w:t>
      </w:r>
    </w:p>
    <w:p w14:paraId="2509E444">
      <w:pPr>
        <w:bidi w:val="0"/>
        <w:rPr>
          <w:rFonts w:hint="eastAsia"/>
        </w:rPr>
      </w:pPr>
      <w:r>
        <w:rPr>
          <w:rFonts w:hint="eastAsia"/>
          <w:lang w:val="en-US" w:eastAsia="zh-CN"/>
        </w:rPr>
        <w:t>18.3.4</w:t>
      </w:r>
      <w:r>
        <w:rPr>
          <w:rFonts w:hint="eastAsia"/>
          <w:lang w:eastAsia="zh-CN"/>
        </w:rPr>
        <w:t>投标人</w:t>
      </w:r>
      <w:r>
        <w:rPr>
          <w:rFonts w:hint="eastAsia"/>
        </w:rPr>
        <w:t>不接受报价文件中修正后的报价的；</w:t>
      </w:r>
    </w:p>
    <w:p w14:paraId="7B541778">
      <w:pPr>
        <w:bidi w:val="0"/>
        <w:rPr>
          <w:rFonts w:hint="eastAsia"/>
        </w:rPr>
      </w:pPr>
      <w:r>
        <w:rPr>
          <w:rFonts w:hint="eastAsia"/>
          <w:lang w:val="en-US" w:eastAsia="zh-CN"/>
        </w:rPr>
        <w:t>18.3.5</w:t>
      </w:r>
      <w:r>
        <w:rPr>
          <w:rFonts w:hint="eastAsia"/>
        </w:rPr>
        <w:t>投标报价具有选择性。</w:t>
      </w:r>
    </w:p>
    <w:p w14:paraId="65BBAB66">
      <w:pPr>
        <w:bidi w:val="0"/>
        <w:rPr>
          <w:rFonts w:hint="eastAsia"/>
        </w:rPr>
      </w:pPr>
      <w:r>
        <w:rPr>
          <w:rFonts w:hint="eastAsia"/>
        </w:rPr>
        <w:t>18.4符合招标文件明确规定的其他无效投标条款的。</w:t>
      </w:r>
    </w:p>
    <w:p w14:paraId="419B1D6D">
      <w:pPr>
        <w:spacing w:before="0" w:after="0" w:line="420" w:lineRule="exact"/>
        <w:jc w:val="center"/>
        <w:outlineLvl w:val="9"/>
        <w:rPr>
          <w:rFonts w:hint="eastAsia" w:ascii="仿宋" w:hAnsi="仿宋" w:eastAsia="仿宋" w:cs="仿宋"/>
          <w:sz w:val="30"/>
          <w:szCs w:val="30"/>
        </w:rPr>
      </w:pPr>
      <w:bookmarkStart w:id="3" w:name="_Toc125344507"/>
    </w:p>
    <w:p w14:paraId="53FB5243">
      <w:pPr>
        <w:outlineLvl w:val="9"/>
        <w:rPr>
          <w:rFonts w:hint="eastAsia" w:ascii="仿宋" w:hAnsi="仿宋" w:eastAsia="仿宋" w:cs="仿宋"/>
          <w:b/>
          <w:bCs/>
          <w:color w:val="auto"/>
          <w:kern w:val="2"/>
          <w:sz w:val="30"/>
          <w:szCs w:val="30"/>
        </w:rPr>
      </w:pPr>
    </w:p>
    <w:p w14:paraId="65A9C7AB">
      <w:pPr>
        <w:outlineLvl w:val="9"/>
        <w:rPr>
          <w:rFonts w:hint="eastAsia" w:ascii="仿宋" w:hAnsi="仿宋" w:eastAsia="仿宋" w:cs="仿宋"/>
          <w:bCs/>
          <w:color w:val="auto"/>
          <w:kern w:val="2"/>
          <w:sz w:val="30"/>
          <w:szCs w:val="30"/>
        </w:rPr>
      </w:pPr>
    </w:p>
    <w:p w14:paraId="5B0EF168">
      <w:pPr>
        <w:spacing w:before="0" w:after="0" w:line="420" w:lineRule="exact"/>
        <w:jc w:val="both"/>
        <w:outlineLvl w:val="9"/>
        <w:rPr>
          <w:rFonts w:hint="eastAsia" w:ascii="仿宋" w:hAnsi="仿宋" w:eastAsia="仿宋" w:cs="仿宋"/>
          <w:sz w:val="30"/>
          <w:szCs w:val="30"/>
        </w:rPr>
      </w:pPr>
    </w:p>
    <w:p w14:paraId="13AD9A41">
      <w:pPr>
        <w:spacing w:before="0" w:after="0" w:line="420" w:lineRule="exact"/>
        <w:ind w:left="0" w:leftChars="0" w:firstLine="0" w:firstLineChars="0"/>
        <w:jc w:val="both"/>
        <w:outlineLvl w:val="9"/>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7B8AF56D">
      <w:pPr>
        <w:pStyle w:val="5"/>
        <w:bidi w:val="0"/>
        <w:ind w:left="0" w:leftChars="0" w:firstLine="0" w:firstLineChars="0"/>
        <w:jc w:val="center"/>
        <w:rPr>
          <w:rFonts w:hint="eastAsia"/>
        </w:rPr>
      </w:pPr>
      <w:r>
        <w:rPr>
          <w:rFonts w:hint="eastAsia"/>
        </w:rPr>
        <w:t>四、开标</w:t>
      </w:r>
      <w:bookmarkEnd w:id="3"/>
    </w:p>
    <w:p w14:paraId="634568B4">
      <w:pPr>
        <w:pStyle w:val="6"/>
        <w:numPr>
          <w:ilvl w:val="2"/>
          <w:numId w:val="0"/>
        </w:numPr>
        <w:bidi w:val="0"/>
        <w:ind w:leftChars="200"/>
        <w:rPr>
          <w:rFonts w:hint="eastAsia"/>
        </w:rPr>
      </w:pPr>
      <w:r>
        <w:rPr>
          <w:rFonts w:hint="eastAsia"/>
        </w:rPr>
        <w:t>19.开标</w:t>
      </w:r>
    </w:p>
    <w:p w14:paraId="38EE02D8">
      <w:pPr>
        <w:bidi w:val="0"/>
        <w:rPr>
          <w:rFonts w:hint="eastAsia" w:eastAsia="仿宋"/>
          <w:lang w:eastAsia="zh-CN"/>
        </w:rPr>
      </w:pPr>
      <w:r>
        <w:rPr>
          <w:rFonts w:hint="eastAsia"/>
        </w:rPr>
        <w:t>19.1采购代理机构将在前附表规定的时间、地点进行开标。无关人员不得进入开标现场</w:t>
      </w:r>
      <w:r>
        <w:rPr>
          <w:rFonts w:hint="eastAsia"/>
          <w:lang w:eastAsia="zh-CN"/>
        </w:rPr>
        <w:t>；</w:t>
      </w:r>
    </w:p>
    <w:p w14:paraId="793EF3AC">
      <w:pPr>
        <w:bidi w:val="0"/>
        <w:rPr>
          <w:rFonts w:hint="eastAsia"/>
        </w:rPr>
      </w:pPr>
      <w:r>
        <w:rPr>
          <w:rFonts w:hint="eastAsia"/>
        </w:rPr>
        <w:t>19.2本项目实行电子开评标，</w:t>
      </w:r>
      <w:r>
        <w:rPr>
          <w:rFonts w:hint="eastAsia"/>
          <w:lang w:eastAsia="zh-CN"/>
        </w:rPr>
        <w:t>投标人</w:t>
      </w:r>
      <w:r>
        <w:rPr>
          <w:rFonts w:hint="eastAsia"/>
        </w:rPr>
        <w:t xml:space="preserve">无须前往开评标现场，只需在规定时间内在“政采云”平台上上传电子投标文件。 </w:t>
      </w:r>
    </w:p>
    <w:p w14:paraId="6D409AB2">
      <w:pPr>
        <w:pStyle w:val="6"/>
        <w:numPr>
          <w:ilvl w:val="2"/>
          <w:numId w:val="0"/>
        </w:numPr>
        <w:bidi w:val="0"/>
        <w:ind w:leftChars="200"/>
        <w:rPr>
          <w:rFonts w:hint="eastAsia"/>
        </w:rPr>
      </w:pPr>
      <w:r>
        <w:rPr>
          <w:rFonts w:hint="eastAsia"/>
        </w:rPr>
        <w:t>20.开标程序</w:t>
      </w:r>
    </w:p>
    <w:p w14:paraId="16761075">
      <w:pPr>
        <w:bidi w:val="0"/>
        <w:rPr>
          <w:rFonts w:hint="eastAsia"/>
        </w:rPr>
      </w:pPr>
      <w:r>
        <w:rPr>
          <w:rFonts w:hint="eastAsia"/>
        </w:rPr>
        <w:t>20.1投标截止时间后的30分钟内，由各</w:t>
      </w:r>
      <w:r>
        <w:rPr>
          <w:rFonts w:hint="eastAsia"/>
          <w:lang w:eastAsia="zh-CN"/>
        </w:rPr>
        <w:t>投标人</w:t>
      </w:r>
      <w:r>
        <w:rPr>
          <w:rFonts w:hint="eastAsia"/>
        </w:rPr>
        <w:t>自行对电子投标文件进行解密（请各</w:t>
      </w:r>
      <w:r>
        <w:rPr>
          <w:rFonts w:hint="eastAsia"/>
          <w:lang w:eastAsia="zh-CN"/>
        </w:rPr>
        <w:t>投标人</w:t>
      </w:r>
      <w:r>
        <w:rPr>
          <w:rFonts w:hint="eastAsia"/>
        </w:rPr>
        <w:t>务必在规定时间内完成电子投标文件的解密工作，在电子开评标期间，</w:t>
      </w:r>
      <w:r>
        <w:rPr>
          <w:rFonts w:hint="eastAsia"/>
          <w:lang w:eastAsia="zh-CN"/>
        </w:rPr>
        <w:t>投标人</w:t>
      </w:r>
      <w:r>
        <w:rPr>
          <w:rFonts w:hint="eastAsia"/>
        </w:rPr>
        <w:t>（授权代表）需确保在各自所在的区域具备上网的技术条件并保持网络及联系方式畅通），同时为避免出现意外，建议全程由一台电脑进行操作（包括标书制作、上传、解密等），中途不要更换电脑；</w:t>
      </w:r>
    </w:p>
    <w:p w14:paraId="4A7DA4DE">
      <w:pPr>
        <w:bidi w:val="0"/>
        <w:rPr>
          <w:rFonts w:hint="eastAsia"/>
        </w:rPr>
      </w:pPr>
      <w:r>
        <w:rPr>
          <w:rFonts w:hint="eastAsia"/>
        </w:rPr>
        <w:t>20.2由</w:t>
      </w:r>
      <w:r>
        <w:rPr>
          <w:rFonts w:hint="eastAsia"/>
          <w:lang w:val="en-US" w:eastAsia="zh-CN"/>
        </w:rPr>
        <w:t>采购人或者采购代理机构依法对投标人的资格进行审查</w:t>
      </w:r>
      <w:r>
        <w:rPr>
          <w:rFonts w:hint="eastAsia"/>
        </w:rPr>
        <w:t>。</w:t>
      </w:r>
      <w:r>
        <w:rPr>
          <w:rFonts w:hint="eastAsia"/>
          <w:lang w:val="en-US" w:eastAsia="zh-CN"/>
        </w:rPr>
        <w:t>由评标委员会</w:t>
      </w:r>
      <w:r>
        <w:rPr>
          <w:rFonts w:hint="eastAsia"/>
        </w:rPr>
        <w:t>对</w:t>
      </w:r>
      <w:r>
        <w:rPr>
          <w:rFonts w:hint="eastAsia"/>
          <w:lang w:eastAsia="zh-CN"/>
        </w:rPr>
        <w:t>投标人</w:t>
      </w:r>
      <w:r>
        <w:rPr>
          <w:rFonts w:hint="eastAsia"/>
        </w:rPr>
        <w:t>的商务技术响应文件进行评审；</w:t>
      </w:r>
    </w:p>
    <w:p w14:paraId="31DD80ED">
      <w:pPr>
        <w:bidi w:val="0"/>
        <w:rPr>
          <w:rFonts w:hint="eastAsia"/>
        </w:rPr>
      </w:pPr>
      <w:r>
        <w:rPr>
          <w:rFonts w:hint="eastAsia"/>
        </w:rPr>
        <w:t>20.3对技术标有效的</w:t>
      </w:r>
      <w:r>
        <w:rPr>
          <w:rFonts w:hint="eastAsia"/>
          <w:lang w:eastAsia="zh-CN"/>
        </w:rPr>
        <w:t>投标人</w:t>
      </w:r>
      <w:r>
        <w:rPr>
          <w:rFonts w:hint="eastAsia"/>
        </w:rPr>
        <w:t>的投标报价在“政采云”平台上予以公开；</w:t>
      </w:r>
    </w:p>
    <w:p w14:paraId="11C508BB">
      <w:pPr>
        <w:bidi w:val="0"/>
        <w:rPr>
          <w:rFonts w:hint="eastAsia"/>
        </w:rPr>
      </w:pPr>
      <w:r>
        <w:rPr>
          <w:rFonts w:hint="eastAsia"/>
        </w:rPr>
        <w:t>20.4评标委员会对技术标有效的</w:t>
      </w:r>
      <w:r>
        <w:rPr>
          <w:rFonts w:hint="eastAsia"/>
          <w:lang w:eastAsia="zh-CN"/>
        </w:rPr>
        <w:t>投标人</w:t>
      </w:r>
      <w:r>
        <w:rPr>
          <w:rFonts w:hint="eastAsia"/>
        </w:rPr>
        <w:t>进行投标报价评审，确定投标报价评审有效</w:t>
      </w:r>
      <w:r>
        <w:rPr>
          <w:rFonts w:hint="eastAsia"/>
          <w:lang w:eastAsia="zh-CN"/>
        </w:rPr>
        <w:t>投标人</w:t>
      </w:r>
      <w:r>
        <w:rPr>
          <w:rFonts w:hint="eastAsia"/>
        </w:rPr>
        <w:t>；</w:t>
      </w:r>
    </w:p>
    <w:p w14:paraId="41B9FDB5">
      <w:pPr>
        <w:bidi w:val="0"/>
        <w:rPr>
          <w:rFonts w:hint="eastAsia"/>
        </w:rPr>
      </w:pPr>
      <w:r>
        <w:rPr>
          <w:rFonts w:hint="eastAsia"/>
        </w:rPr>
        <w:t>20.5对投标报价评审后有效的</w:t>
      </w:r>
      <w:r>
        <w:rPr>
          <w:rFonts w:hint="eastAsia"/>
          <w:lang w:eastAsia="zh-CN"/>
        </w:rPr>
        <w:t>投标人</w:t>
      </w:r>
      <w:r>
        <w:rPr>
          <w:rFonts w:hint="eastAsia"/>
        </w:rPr>
        <w:t>计算投标报价分和综合得分；</w:t>
      </w:r>
    </w:p>
    <w:p w14:paraId="5120EA71">
      <w:pPr>
        <w:bidi w:val="0"/>
        <w:rPr>
          <w:rFonts w:hint="eastAsia"/>
        </w:rPr>
      </w:pPr>
      <w:r>
        <w:rPr>
          <w:rFonts w:hint="eastAsia"/>
        </w:rPr>
        <w:t>20.6确定预中标人。</w:t>
      </w:r>
    </w:p>
    <w:p w14:paraId="1D6DAD00">
      <w:pPr>
        <w:bidi w:val="0"/>
        <w:rPr>
          <w:rFonts w:hint="eastAsia"/>
        </w:rPr>
      </w:pPr>
      <w:r>
        <w:rPr>
          <w:rFonts w:hint="eastAsia"/>
        </w:rPr>
        <w:t>特别说明：</w:t>
      </w:r>
    </w:p>
    <w:p w14:paraId="450F6D5B">
      <w:pPr>
        <w:bidi w:val="0"/>
        <w:rPr>
          <w:rFonts w:hint="eastAsia" w:eastAsia="仿宋"/>
          <w:lang w:eastAsia="zh-CN"/>
        </w:rPr>
      </w:pPr>
      <w:r>
        <w:rPr>
          <w:rFonts w:hint="eastAsia"/>
        </w:rPr>
        <w:t>1</w:t>
      </w:r>
      <w:r>
        <w:rPr>
          <w:rFonts w:hint="eastAsia"/>
          <w:lang w:val="en-US" w:eastAsia="zh-CN"/>
        </w:rPr>
        <w:t>.</w:t>
      </w:r>
      <w:r>
        <w:rPr>
          <w:rFonts w:hint="eastAsia"/>
        </w:rPr>
        <w:t>政采云公司如对电子化开标及评审程序有调整的，按调整后的程序操作</w:t>
      </w:r>
      <w:r>
        <w:rPr>
          <w:rFonts w:hint="eastAsia"/>
          <w:lang w:eastAsia="zh-CN"/>
        </w:rPr>
        <w:t>；</w:t>
      </w:r>
    </w:p>
    <w:p w14:paraId="60341A94">
      <w:pPr>
        <w:bidi w:val="0"/>
        <w:rPr>
          <w:rFonts w:hint="eastAsia" w:eastAsia="仿宋"/>
          <w:lang w:eastAsia="zh-CN"/>
        </w:rPr>
      </w:pPr>
      <w:r>
        <w:rPr>
          <w:rFonts w:hint="eastAsia"/>
        </w:rPr>
        <w:t>2</w:t>
      </w:r>
      <w:r>
        <w:rPr>
          <w:rFonts w:hint="eastAsia"/>
          <w:lang w:val="en-US" w:eastAsia="zh-CN"/>
        </w:rPr>
        <w:t>.</w:t>
      </w:r>
      <w:r>
        <w:rPr>
          <w:rFonts w:hint="eastAsia"/>
        </w:rPr>
        <w:t>如中标单位投标文件和招标文件要求不一致，且评审过程中未发现的，履约应按有利于采购人的要求执行</w:t>
      </w:r>
      <w:r>
        <w:rPr>
          <w:rFonts w:hint="eastAsia"/>
          <w:lang w:eastAsia="zh-CN"/>
        </w:rPr>
        <w:t>；</w:t>
      </w:r>
    </w:p>
    <w:p w14:paraId="687CA4F2">
      <w:pPr>
        <w:bidi w:val="0"/>
        <w:rPr>
          <w:rFonts w:hint="eastAsia"/>
        </w:rPr>
      </w:pPr>
      <w:r>
        <w:rPr>
          <w:rFonts w:hint="eastAsia"/>
        </w:rPr>
        <w:t>3</w:t>
      </w:r>
      <w:r>
        <w:rPr>
          <w:rFonts w:hint="eastAsia"/>
          <w:lang w:val="en-US" w:eastAsia="zh-CN"/>
        </w:rPr>
        <w:t>.</w:t>
      </w:r>
      <w:r>
        <w:rPr>
          <w:rFonts w:hint="eastAsia"/>
        </w:rPr>
        <w:t>采购过程中出现以下情形，导致电子交易平台无法正常运行，或者无法保证电子交易的公平、公正和安全时，采购组织机构可中止电子交易活动：</w:t>
      </w:r>
    </w:p>
    <w:p w14:paraId="3B665801">
      <w:pPr>
        <w:bidi w:val="0"/>
        <w:rPr>
          <w:rFonts w:hint="eastAsia"/>
        </w:rPr>
      </w:pPr>
      <w:r>
        <w:rPr>
          <w:rFonts w:hint="eastAsia"/>
        </w:rPr>
        <w:t>（</w:t>
      </w:r>
      <w:r>
        <w:rPr>
          <w:rFonts w:hint="eastAsia"/>
          <w:lang w:val="en-US" w:eastAsia="zh-CN"/>
        </w:rPr>
        <w:t>1</w:t>
      </w:r>
      <w:r>
        <w:rPr>
          <w:rFonts w:hint="eastAsia"/>
        </w:rPr>
        <w:t>）电子交易平台发生故障而无法登录访问的； </w:t>
      </w:r>
    </w:p>
    <w:p w14:paraId="7FF9C832">
      <w:pPr>
        <w:bidi w:val="0"/>
        <w:rPr>
          <w:rFonts w:hint="eastAsia"/>
        </w:rPr>
      </w:pPr>
      <w:r>
        <w:rPr>
          <w:rFonts w:hint="eastAsia"/>
        </w:rPr>
        <w:t>（</w:t>
      </w:r>
      <w:r>
        <w:rPr>
          <w:rFonts w:hint="eastAsia"/>
          <w:lang w:val="en-US" w:eastAsia="zh-CN"/>
        </w:rPr>
        <w:t>2</w:t>
      </w:r>
      <w:r>
        <w:rPr>
          <w:rFonts w:hint="eastAsia"/>
        </w:rPr>
        <w:t>）电子交易平台应用或数据库出现错误，不能进行正常操作的；</w:t>
      </w:r>
    </w:p>
    <w:p w14:paraId="50D6E5CE">
      <w:pPr>
        <w:bidi w:val="0"/>
        <w:rPr>
          <w:rFonts w:hint="eastAsia"/>
        </w:rPr>
      </w:pPr>
      <w:r>
        <w:rPr>
          <w:rFonts w:hint="eastAsia"/>
        </w:rPr>
        <w:t>（</w:t>
      </w:r>
      <w:r>
        <w:rPr>
          <w:rFonts w:hint="eastAsia"/>
          <w:lang w:val="en-US" w:eastAsia="zh-CN"/>
        </w:rPr>
        <w:t>3</w:t>
      </w:r>
      <w:r>
        <w:rPr>
          <w:rFonts w:hint="eastAsia"/>
        </w:rPr>
        <w:t>）电子交易平台发现严重安全漏洞，有潜在泄密危险的；</w:t>
      </w:r>
    </w:p>
    <w:p w14:paraId="1A03A9EF">
      <w:pPr>
        <w:bidi w:val="0"/>
        <w:rPr>
          <w:rFonts w:hint="eastAsia"/>
        </w:rPr>
      </w:pPr>
      <w:r>
        <w:rPr>
          <w:rFonts w:hint="eastAsia"/>
        </w:rPr>
        <w:t>（</w:t>
      </w:r>
      <w:r>
        <w:rPr>
          <w:rFonts w:hint="eastAsia"/>
          <w:lang w:val="en-US" w:eastAsia="zh-CN"/>
        </w:rPr>
        <w:t>4</w:t>
      </w:r>
      <w:r>
        <w:rPr>
          <w:rFonts w:hint="eastAsia"/>
        </w:rPr>
        <w:t>）病毒发作导致不能进行正常操作的； </w:t>
      </w:r>
    </w:p>
    <w:p w14:paraId="2D801C08">
      <w:pPr>
        <w:bidi w:val="0"/>
        <w:rPr>
          <w:rFonts w:hint="eastAsia"/>
        </w:rPr>
      </w:pPr>
      <w:r>
        <w:rPr>
          <w:rFonts w:hint="eastAsia"/>
        </w:rPr>
        <w:t>（</w:t>
      </w:r>
      <w:r>
        <w:rPr>
          <w:rFonts w:hint="eastAsia"/>
          <w:lang w:val="en-US" w:eastAsia="zh-CN"/>
        </w:rPr>
        <w:t>5</w:t>
      </w:r>
      <w:r>
        <w:rPr>
          <w:rFonts w:hint="eastAsia"/>
        </w:rPr>
        <w:t>）其他无法保证电子交易的公平、公正和安全的情况。</w:t>
      </w:r>
    </w:p>
    <w:p w14:paraId="4322F634">
      <w:pPr>
        <w:bidi w:val="0"/>
        <w:rPr>
          <w:rFonts w:hint="eastAsia"/>
        </w:rPr>
      </w:pPr>
      <w:r>
        <w:rPr>
          <w:rFonts w:hint="eastAsia"/>
        </w:rPr>
        <w:t> 出现前款规定情形，不影响采购公平、公正性的，采购组织机构可以待上述情形消除后继续组织电子交易活动；影响或可能影响采购公平、公正性的，应当重新采购。</w:t>
      </w:r>
      <w:bookmarkStart w:id="4" w:name="_Toc125344508"/>
    </w:p>
    <w:p w14:paraId="0DF96231">
      <w:pPr>
        <w:pStyle w:val="5"/>
        <w:spacing w:before="0" w:after="0" w:line="420" w:lineRule="exact"/>
        <w:jc w:val="center"/>
        <w:rPr>
          <w:rFonts w:hint="eastAsia" w:ascii="仿宋" w:hAnsi="仿宋" w:eastAsia="仿宋" w:cs="仿宋"/>
          <w:sz w:val="30"/>
          <w:szCs w:val="30"/>
        </w:rPr>
        <w:sectPr>
          <w:pgSz w:w="11906" w:h="16838"/>
          <w:pgMar w:top="1247" w:right="1134" w:bottom="1020" w:left="1418" w:header="851" w:footer="907" w:gutter="0"/>
          <w:pgNumType w:fmt="numberInDash"/>
          <w:cols w:space="720" w:num="1"/>
          <w:titlePg/>
          <w:docGrid w:type="lines" w:linePitch="312" w:charSpace="0"/>
        </w:sectPr>
      </w:pPr>
    </w:p>
    <w:p w14:paraId="1451354C">
      <w:pPr>
        <w:pStyle w:val="5"/>
        <w:spacing w:before="0" w:after="0" w:line="420" w:lineRule="exact"/>
        <w:jc w:val="center"/>
        <w:rPr>
          <w:rFonts w:hint="eastAsia" w:ascii="仿宋" w:hAnsi="仿宋" w:eastAsia="仿宋" w:cs="仿宋"/>
          <w:b/>
          <w:color w:val="auto"/>
          <w:sz w:val="24"/>
        </w:rPr>
      </w:pPr>
      <w:r>
        <w:rPr>
          <w:rFonts w:hint="eastAsia" w:ascii="仿宋" w:hAnsi="仿宋" w:eastAsia="仿宋" w:cs="仿宋"/>
          <w:sz w:val="30"/>
          <w:szCs w:val="30"/>
        </w:rPr>
        <w:t>五、评标</w:t>
      </w:r>
      <w:bookmarkEnd w:id="4"/>
    </w:p>
    <w:p w14:paraId="54D55D9E">
      <w:pPr>
        <w:pStyle w:val="6"/>
        <w:numPr>
          <w:ilvl w:val="2"/>
          <w:numId w:val="0"/>
        </w:numPr>
        <w:bidi w:val="0"/>
        <w:ind w:leftChars="200"/>
        <w:rPr>
          <w:rFonts w:hint="eastAsia"/>
        </w:rPr>
      </w:pPr>
      <w:r>
        <w:rPr>
          <w:rFonts w:hint="eastAsia"/>
        </w:rPr>
        <w:t>21</w:t>
      </w:r>
      <w:r>
        <w:rPr>
          <w:rFonts w:hint="eastAsia"/>
          <w:lang w:val="en-US" w:eastAsia="zh-CN"/>
        </w:rPr>
        <w:t>.</w:t>
      </w:r>
      <w:r>
        <w:rPr>
          <w:rFonts w:hint="eastAsia"/>
        </w:rPr>
        <w:t>组建评标委员会</w:t>
      </w:r>
    </w:p>
    <w:p w14:paraId="59A449E0">
      <w:pPr>
        <w:bidi w:val="0"/>
        <w:rPr>
          <w:rFonts w:hint="eastAsia"/>
        </w:rPr>
      </w:pPr>
      <w:r>
        <w:rPr>
          <w:rFonts w:hint="eastAsia"/>
        </w:rPr>
        <w:t>评标委员会按照有关规定组建，由1位采购人代表和4位评审专家组成。</w:t>
      </w:r>
    </w:p>
    <w:p w14:paraId="5B3A4AE2">
      <w:pPr>
        <w:pStyle w:val="6"/>
        <w:numPr>
          <w:ilvl w:val="2"/>
          <w:numId w:val="0"/>
        </w:numPr>
        <w:bidi w:val="0"/>
        <w:ind w:leftChars="200"/>
        <w:rPr>
          <w:rFonts w:hint="eastAsia"/>
        </w:rPr>
      </w:pPr>
      <w:r>
        <w:rPr>
          <w:rFonts w:hint="eastAsia"/>
        </w:rPr>
        <w:t>22.评标原则</w:t>
      </w:r>
    </w:p>
    <w:p w14:paraId="4CFD0F39">
      <w:pPr>
        <w:bidi w:val="0"/>
        <w:rPr>
          <w:rFonts w:hint="eastAsia"/>
        </w:rPr>
      </w:pPr>
      <w:r>
        <w:rPr>
          <w:rFonts w:hint="eastAsia"/>
        </w:rPr>
        <w:t>22.1评标委员会必须公平、公正、客观，不带任何倾向性和启发性；</w:t>
      </w:r>
    </w:p>
    <w:p w14:paraId="0A11077A">
      <w:pPr>
        <w:bidi w:val="0"/>
        <w:rPr>
          <w:rFonts w:hint="eastAsia"/>
        </w:rPr>
      </w:pPr>
      <w:r>
        <w:rPr>
          <w:rFonts w:hint="eastAsia"/>
        </w:rPr>
        <w:t>22.2不得向外界透露任何与评标有关的内容；</w:t>
      </w:r>
    </w:p>
    <w:p w14:paraId="3BB5D5B7">
      <w:pPr>
        <w:bidi w:val="0"/>
        <w:rPr>
          <w:rFonts w:hint="eastAsia"/>
        </w:rPr>
      </w:pPr>
      <w:r>
        <w:rPr>
          <w:rFonts w:hint="eastAsia"/>
        </w:rPr>
        <w:t>22.3任何单位和个人不得干扰、影响评标的正常进行；</w:t>
      </w:r>
    </w:p>
    <w:p w14:paraId="790FC00C">
      <w:pPr>
        <w:bidi w:val="0"/>
        <w:rPr>
          <w:rFonts w:hint="eastAsia" w:eastAsia="仿宋"/>
          <w:lang w:eastAsia="zh-CN"/>
        </w:rPr>
      </w:pPr>
      <w:r>
        <w:rPr>
          <w:rFonts w:hint="eastAsia"/>
        </w:rPr>
        <w:t>22.4评标委员会及有关工作人员不得私下与</w:t>
      </w:r>
      <w:r>
        <w:rPr>
          <w:rFonts w:hint="eastAsia"/>
          <w:lang w:eastAsia="zh-CN"/>
        </w:rPr>
        <w:t>投标人</w:t>
      </w:r>
      <w:r>
        <w:rPr>
          <w:rFonts w:hint="eastAsia"/>
        </w:rPr>
        <w:t>接触</w:t>
      </w:r>
      <w:r>
        <w:rPr>
          <w:rFonts w:hint="eastAsia"/>
          <w:lang w:eastAsia="zh-CN"/>
        </w:rPr>
        <w:t>；</w:t>
      </w:r>
    </w:p>
    <w:p w14:paraId="73DF1F2D">
      <w:pPr>
        <w:bidi w:val="0"/>
        <w:rPr>
          <w:rFonts w:hint="eastAsia" w:eastAsia="仿宋"/>
          <w:lang w:eastAsia="zh-CN"/>
        </w:rPr>
      </w:pPr>
      <w:r>
        <w:rPr>
          <w:rFonts w:hint="eastAsia"/>
        </w:rPr>
        <w:t>22.5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w:t>
      </w:r>
      <w:r>
        <w:rPr>
          <w:rFonts w:hint="eastAsia"/>
          <w:lang w:eastAsia="zh-CN"/>
        </w:rPr>
        <w:t>投标人</w:t>
      </w:r>
      <w:r>
        <w:rPr>
          <w:rFonts w:hint="eastAsia"/>
        </w:rPr>
        <w:t>择期重新评审的时间和地点</w:t>
      </w:r>
      <w:r>
        <w:rPr>
          <w:rFonts w:hint="eastAsia"/>
          <w:lang w:eastAsia="zh-CN"/>
        </w:rPr>
        <w:t>；</w:t>
      </w:r>
    </w:p>
    <w:p w14:paraId="5D0C58E5">
      <w:pPr>
        <w:bidi w:val="0"/>
        <w:rPr>
          <w:rFonts w:hint="eastAsia" w:eastAsia="仿宋"/>
          <w:lang w:eastAsia="zh-CN"/>
        </w:rPr>
      </w:pPr>
      <w:r>
        <w:rPr>
          <w:rFonts w:hint="eastAsia"/>
        </w:rPr>
        <w:t>22.6以联合体形式参加政府采购活动的，联合体各方不得再单独参加或者与其他</w:t>
      </w:r>
      <w:r>
        <w:rPr>
          <w:rFonts w:hint="eastAsia"/>
          <w:lang w:val="en-US" w:eastAsia="zh-CN"/>
        </w:rPr>
        <w:t>投标人</w:t>
      </w:r>
      <w:r>
        <w:rPr>
          <w:rFonts w:hint="eastAsia"/>
        </w:rPr>
        <w:t>另外组成联合体参加同一合同项下的政府采购活动</w:t>
      </w:r>
      <w:r>
        <w:rPr>
          <w:rFonts w:hint="eastAsia"/>
          <w:lang w:eastAsia="zh-CN"/>
        </w:rPr>
        <w:t>；</w:t>
      </w:r>
    </w:p>
    <w:p w14:paraId="4A54D7E8">
      <w:pPr>
        <w:bidi w:val="0"/>
        <w:rPr>
          <w:rFonts w:hint="eastAsia" w:eastAsia="仿宋"/>
          <w:lang w:eastAsia="zh-CN"/>
        </w:rPr>
      </w:pPr>
      <w:r>
        <w:rPr>
          <w:rFonts w:hint="eastAsia"/>
        </w:rPr>
        <w:t>22.7除单一来源采购以外，为采购项目提供整体设计、规范编制或者项目管理、监理、检测等服务的供应商，不得参加本采购项目</w:t>
      </w:r>
      <w:r>
        <w:rPr>
          <w:rFonts w:hint="eastAsia"/>
          <w:lang w:eastAsia="zh-CN"/>
        </w:rPr>
        <w:t>；</w:t>
      </w:r>
    </w:p>
    <w:p w14:paraId="79F4005D">
      <w:pPr>
        <w:bidi w:val="0"/>
        <w:rPr>
          <w:rFonts w:hint="eastAsia" w:eastAsia="仿宋"/>
          <w:lang w:eastAsia="zh-CN"/>
        </w:rPr>
      </w:pPr>
      <w:r>
        <w:rPr>
          <w:rFonts w:hint="eastAsia"/>
        </w:rPr>
        <w:t>22.8单位负责人为同一人或者存在直接控股、管理关系的不同供应商，不得参加同一合同项下的政府采购活动</w:t>
      </w:r>
      <w:r>
        <w:rPr>
          <w:rFonts w:hint="eastAsia"/>
          <w:lang w:eastAsia="zh-CN"/>
        </w:rPr>
        <w:t>；</w:t>
      </w:r>
    </w:p>
    <w:p w14:paraId="776D3B24">
      <w:pPr>
        <w:bidi w:val="0"/>
        <w:rPr>
          <w:rFonts w:hint="eastAsia"/>
        </w:rPr>
      </w:pPr>
      <w:r>
        <w:rPr>
          <w:rFonts w:hint="eastAsia"/>
        </w:rPr>
        <w:t>22.9本项目涉及提供的有关资质证书，若原有资质证书处于年审期间，</w:t>
      </w:r>
      <w:r>
        <w:rPr>
          <w:rFonts w:hint="eastAsia"/>
          <w:lang w:eastAsia="zh-CN"/>
        </w:rPr>
        <w:t>投标人</w:t>
      </w:r>
      <w:r>
        <w:rPr>
          <w:rFonts w:hint="eastAsia"/>
        </w:rPr>
        <w:t>提供年审证明的可按原资质投标；若</w:t>
      </w:r>
      <w:r>
        <w:rPr>
          <w:rFonts w:hint="eastAsia"/>
          <w:lang w:eastAsia="zh-CN"/>
        </w:rPr>
        <w:t>投标人</w:t>
      </w:r>
      <w:r>
        <w:rPr>
          <w:rFonts w:hint="eastAsia"/>
        </w:rPr>
        <w:t>正在申报上一级别资质，在未获批准之前，仍按原级别资质投标。</w:t>
      </w:r>
    </w:p>
    <w:p w14:paraId="6010335C">
      <w:pPr>
        <w:pStyle w:val="6"/>
        <w:numPr>
          <w:ilvl w:val="2"/>
          <w:numId w:val="0"/>
        </w:numPr>
        <w:bidi w:val="0"/>
        <w:ind w:leftChars="200"/>
        <w:rPr>
          <w:rFonts w:hint="eastAsia"/>
        </w:rPr>
      </w:pPr>
      <w:r>
        <w:rPr>
          <w:rFonts w:hint="eastAsia"/>
        </w:rPr>
        <w:t>23.评标程序</w:t>
      </w:r>
    </w:p>
    <w:p w14:paraId="01351968">
      <w:pPr>
        <w:bidi w:val="0"/>
        <w:rPr>
          <w:rFonts w:hint="eastAsia"/>
        </w:rPr>
      </w:pPr>
      <w:r>
        <w:rPr>
          <w:rFonts w:hint="eastAsia"/>
        </w:rPr>
        <w:t>23.1资格审查</w:t>
      </w:r>
    </w:p>
    <w:p w14:paraId="384FEFF6">
      <w:pPr>
        <w:bidi w:val="0"/>
        <w:rPr>
          <w:rFonts w:hint="eastAsia"/>
        </w:rPr>
      </w:pPr>
      <w:r>
        <w:rPr>
          <w:rFonts w:hint="eastAsia"/>
        </w:rPr>
        <w:t>由</w:t>
      </w:r>
      <w:r>
        <w:rPr>
          <w:rFonts w:hint="eastAsia"/>
          <w:lang w:val="en-US" w:eastAsia="zh-CN"/>
        </w:rPr>
        <w:t>采购人或者采购代理机构依法对投标人的资格进行审查</w:t>
      </w:r>
      <w:r>
        <w:rPr>
          <w:rFonts w:hint="eastAsia"/>
        </w:rPr>
        <w:t>。</w:t>
      </w:r>
    </w:p>
    <w:p w14:paraId="067711CD">
      <w:pPr>
        <w:bidi w:val="0"/>
        <w:rPr>
          <w:rFonts w:hint="eastAsia"/>
        </w:rPr>
      </w:pPr>
      <w:r>
        <w:rPr>
          <w:rFonts w:hint="eastAsia"/>
        </w:rPr>
        <w:t>23.2形式审查</w:t>
      </w:r>
    </w:p>
    <w:p w14:paraId="22672BAC">
      <w:pPr>
        <w:bidi w:val="0"/>
        <w:rPr>
          <w:rFonts w:hint="eastAsia"/>
        </w:rPr>
      </w:pPr>
      <w:r>
        <w:rPr>
          <w:rFonts w:hint="eastAsia"/>
        </w:rPr>
        <w:t>评标委员会对</w:t>
      </w:r>
      <w:r>
        <w:rPr>
          <w:rFonts w:hint="eastAsia"/>
          <w:lang w:eastAsia="zh-CN"/>
        </w:rPr>
        <w:t>投标人</w:t>
      </w:r>
      <w:r>
        <w:rPr>
          <w:rFonts w:hint="eastAsia"/>
        </w:rPr>
        <w:t>的投标文件的完整性、合法性等进行审查。</w:t>
      </w:r>
    </w:p>
    <w:p w14:paraId="2FB1B76E">
      <w:pPr>
        <w:bidi w:val="0"/>
        <w:rPr>
          <w:rFonts w:hint="eastAsia"/>
        </w:rPr>
      </w:pPr>
      <w:r>
        <w:rPr>
          <w:rFonts w:hint="eastAsia"/>
        </w:rPr>
        <w:t>23.3实质审查与比较</w:t>
      </w:r>
    </w:p>
    <w:p w14:paraId="1916B0E0">
      <w:pPr>
        <w:bidi w:val="0"/>
        <w:rPr>
          <w:rFonts w:hint="eastAsia" w:eastAsia="仿宋"/>
          <w:lang w:eastAsia="zh-CN"/>
        </w:rPr>
      </w:pPr>
      <w:r>
        <w:rPr>
          <w:rFonts w:hint="eastAsia"/>
        </w:rPr>
        <w:t>23.3.1评标时，评标委员会将以招标文件为基本依据，首先评定每份投标文件是否在实质上响应了招标文件的要求。所谓实质上响应，是指投标文件应与招标文件的所有实质性条款、条件和要求相符，无显著差异或保留，或者对合同中约定的采购人的权利和</w:t>
      </w:r>
      <w:r>
        <w:rPr>
          <w:rFonts w:hint="eastAsia"/>
          <w:lang w:eastAsia="zh-CN"/>
        </w:rPr>
        <w:t>投标人</w:t>
      </w:r>
      <w:r>
        <w:rPr>
          <w:rFonts w:hint="eastAsia"/>
        </w:rPr>
        <w:t>的义务方面造成重大的限制，纠正这些显著差异或保留将会对其他实质上响应招标文件要求的投标文件的</w:t>
      </w:r>
      <w:r>
        <w:rPr>
          <w:rFonts w:hint="eastAsia"/>
          <w:lang w:eastAsia="zh-CN"/>
        </w:rPr>
        <w:t>投标人</w:t>
      </w:r>
      <w:r>
        <w:rPr>
          <w:rFonts w:hint="eastAsia"/>
        </w:rPr>
        <w:t>的竞争地位产生不公平的影响</w:t>
      </w:r>
      <w:r>
        <w:rPr>
          <w:rFonts w:hint="eastAsia"/>
          <w:lang w:eastAsia="zh-CN"/>
        </w:rPr>
        <w:t>；</w:t>
      </w:r>
    </w:p>
    <w:p w14:paraId="040D9F18">
      <w:pPr>
        <w:bidi w:val="0"/>
        <w:rPr>
          <w:rFonts w:hint="eastAsia" w:eastAsia="仿宋"/>
          <w:lang w:eastAsia="zh-CN"/>
        </w:rPr>
      </w:pPr>
      <w:r>
        <w:rPr>
          <w:rFonts w:hint="eastAsia"/>
        </w:rPr>
        <w:t>23.3.2评标委员会将根据</w:t>
      </w:r>
      <w:r>
        <w:rPr>
          <w:rFonts w:hint="eastAsia"/>
          <w:lang w:eastAsia="zh-CN"/>
        </w:rPr>
        <w:t>投标人</w:t>
      </w:r>
      <w:r>
        <w:rPr>
          <w:rFonts w:hint="eastAsia"/>
        </w:rPr>
        <w:t>的投标文件进行审查、核对,如有疑问,将对</w:t>
      </w:r>
      <w:r>
        <w:rPr>
          <w:rFonts w:hint="eastAsia"/>
          <w:lang w:eastAsia="zh-CN"/>
        </w:rPr>
        <w:t>投标人</w:t>
      </w:r>
      <w:r>
        <w:rPr>
          <w:rFonts w:hint="eastAsia"/>
        </w:rPr>
        <w:t>进行询标,</w:t>
      </w:r>
      <w:r>
        <w:rPr>
          <w:rFonts w:hint="eastAsia"/>
          <w:lang w:eastAsia="zh-CN"/>
        </w:rPr>
        <w:t>投标人</w:t>
      </w:r>
      <w:r>
        <w:rPr>
          <w:rFonts w:hint="eastAsia"/>
        </w:rPr>
        <w:t>要向评标委员会澄清有关问题,并最终以“政采云”在线询标或其他有效形式形式进行答复。</w:t>
      </w:r>
      <w:r>
        <w:rPr>
          <w:rFonts w:hint="eastAsia"/>
          <w:lang w:eastAsia="zh-CN"/>
        </w:rPr>
        <w:t>投标人</w:t>
      </w:r>
      <w:r>
        <w:rPr>
          <w:rFonts w:hint="eastAsia"/>
        </w:rPr>
        <w:t>代表拒绝澄清或者澄清的内容改变了投标文件的实质性内容的，评标委员会有权对该投标文件作出不利于</w:t>
      </w:r>
      <w:r>
        <w:rPr>
          <w:rFonts w:hint="eastAsia"/>
          <w:lang w:eastAsia="zh-CN"/>
        </w:rPr>
        <w:t>投标人</w:t>
      </w:r>
      <w:r>
        <w:rPr>
          <w:rFonts w:hint="eastAsia"/>
        </w:rPr>
        <w:t>的评判</w:t>
      </w:r>
      <w:r>
        <w:rPr>
          <w:rFonts w:hint="eastAsia"/>
          <w:lang w:eastAsia="zh-CN"/>
        </w:rPr>
        <w:t>；</w:t>
      </w:r>
    </w:p>
    <w:p w14:paraId="73ED2030">
      <w:pPr>
        <w:bidi w:val="0"/>
        <w:rPr>
          <w:rFonts w:hint="eastAsia" w:eastAsia="仿宋"/>
          <w:lang w:eastAsia="zh-CN"/>
        </w:rPr>
      </w:pPr>
      <w:r>
        <w:rPr>
          <w:rFonts w:hint="eastAsia"/>
        </w:rPr>
        <w:t>23.3.3</w:t>
      </w:r>
      <w:r>
        <w:rPr>
          <w:rFonts w:hint="eastAsia"/>
          <w:lang w:eastAsia="zh-CN"/>
        </w:rPr>
        <w:t>投标人</w:t>
      </w:r>
      <w:r>
        <w:rPr>
          <w:rFonts w:hint="eastAsia"/>
        </w:rPr>
        <w:t>应详细说明投标技术方案中产品的具体参数，不得照搬照抄招标文件的技术要求。否则，评标委员会有权认定为投标技术方案不合格响应，其相关分数予以扣减或作无效标处理</w:t>
      </w:r>
      <w:r>
        <w:rPr>
          <w:rFonts w:hint="eastAsia"/>
          <w:lang w:eastAsia="zh-CN"/>
        </w:rPr>
        <w:t>；</w:t>
      </w:r>
    </w:p>
    <w:p w14:paraId="6AB6FC66">
      <w:pPr>
        <w:bidi w:val="0"/>
        <w:rPr>
          <w:rFonts w:hint="eastAsia"/>
        </w:rPr>
      </w:pPr>
      <w:r>
        <w:rPr>
          <w:rFonts w:hint="eastAsia"/>
        </w:rPr>
        <w:t>23.3.4如果投标文件实质不响应招标文件的各项要求，评标委员会将予以拒绝，并且不允许</w:t>
      </w:r>
      <w:r>
        <w:rPr>
          <w:rFonts w:hint="eastAsia"/>
          <w:lang w:eastAsia="zh-CN"/>
        </w:rPr>
        <w:t>投标人</w:t>
      </w:r>
      <w:r>
        <w:rPr>
          <w:rFonts w:hint="eastAsia"/>
        </w:rPr>
        <w:t>通过修改或撤销其不符合要求的差异或保留，使之成为具有响应性的投标。</w:t>
      </w:r>
    </w:p>
    <w:p w14:paraId="125016EE">
      <w:pPr>
        <w:bidi w:val="0"/>
        <w:rPr>
          <w:rFonts w:hint="eastAsia" w:eastAsia="仿宋"/>
          <w:lang w:eastAsia="zh-CN"/>
        </w:rPr>
      </w:pPr>
      <w:r>
        <w:rPr>
          <w:rFonts w:hint="eastAsia"/>
        </w:rPr>
        <w:t>23.3.5各</w:t>
      </w:r>
      <w:r>
        <w:rPr>
          <w:rFonts w:hint="eastAsia"/>
          <w:lang w:eastAsia="zh-CN"/>
        </w:rPr>
        <w:t>投标人</w:t>
      </w:r>
      <w:r>
        <w:rPr>
          <w:rFonts w:hint="eastAsia"/>
        </w:rPr>
        <w:t>的技术得分为所有评委的有效评分的算术平均数</w:t>
      </w:r>
      <w:r>
        <w:rPr>
          <w:rFonts w:hint="eastAsia"/>
          <w:lang w:eastAsia="zh-CN"/>
        </w:rPr>
        <w:t>；</w:t>
      </w:r>
    </w:p>
    <w:p w14:paraId="51B7D8E6">
      <w:pPr>
        <w:bidi w:val="0"/>
        <w:rPr>
          <w:rFonts w:hint="eastAsia" w:eastAsia="仿宋"/>
          <w:lang w:eastAsia="zh-CN"/>
        </w:rPr>
      </w:pPr>
      <w:r>
        <w:rPr>
          <w:rFonts w:hint="eastAsia"/>
        </w:rPr>
        <w:t>23.3.6评标委员会完成评标后,评委对各部分得分汇总,计算出本项目最终得分。评标委员会按评标原则推荐中标候选人，同时起草评标报告</w:t>
      </w:r>
      <w:r>
        <w:rPr>
          <w:rFonts w:hint="eastAsia"/>
          <w:lang w:eastAsia="zh-CN"/>
        </w:rPr>
        <w:t>；</w:t>
      </w:r>
    </w:p>
    <w:p w14:paraId="5E33DC7D">
      <w:pPr>
        <w:bidi w:val="0"/>
        <w:rPr>
          <w:rFonts w:hint="eastAsia" w:eastAsia="仿宋"/>
          <w:lang w:eastAsia="zh-CN"/>
        </w:rPr>
      </w:pPr>
      <w:r>
        <w:rPr>
          <w:rFonts w:hint="eastAsia"/>
        </w:rPr>
        <w:t>23.3.7评标委员会对明显不合理的投标报价，有权要求</w:t>
      </w:r>
      <w:r>
        <w:rPr>
          <w:rFonts w:hint="eastAsia"/>
          <w:lang w:eastAsia="zh-CN"/>
        </w:rPr>
        <w:t>投标人</w:t>
      </w:r>
      <w:r>
        <w:rPr>
          <w:rFonts w:hint="eastAsia"/>
        </w:rPr>
        <w:t>在规定时间内提交说明，</w:t>
      </w:r>
      <w:r>
        <w:rPr>
          <w:rFonts w:hint="eastAsia"/>
          <w:lang w:eastAsia="zh-CN"/>
        </w:rPr>
        <w:t>投标人</w:t>
      </w:r>
      <w:r>
        <w:rPr>
          <w:rFonts w:hint="eastAsia"/>
        </w:rPr>
        <w:t>不能提供的或提供的材料不能说明问题的，评标委员会可以判定其投标无效</w:t>
      </w:r>
      <w:r>
        <w:rPr>
          <w:rFonts w:hint="eastAsia"/>
          <w:lang w:eastAsia="zh-CN"/>
        </w:rPr>
        <w:t>；</w:t>
      </w:r>
    </w:p>
    <w:p w14:paraId="584E75B5">
      <w:pPr>
        <w:bidi w:val="0"/>
        <w:rPr>
          <w:rFonts w:hint="eastAsia" w:eastAsia="仿宋"/>
          <w:lang w:eastAsia="zh-CN"/>
        </w:rPr>
      </w:pPr>
      <w:r>
        <w:rPr>
          <w:rFonts w:hint="eastAsia"/>
        </w:rPr>
        <w:t>23.3.8评审人员对有关招标文件、投标文件、解释、要求、标准存在不同意见的，持不同意见的评审人员及其意见或理由应予以完整记录，并在评审过程中按照少数服从多数的原则表决执行。评审人员拒绝在评审报告中签字又不说明其不同意见或理由的，由现场监督员记录在案后，可视为同意评审结果</w:t>
      </w:r>
      <w:r>
        <w:rPr>
          <w:rFonts w:hint="eastAsia"/>
          <w:lang w:eastAsia="zh-CN"/>
        </w:rPr>
        <w:t>；</w:t>
      </w:r>
    </w:p>
    <w:p w14:paraId="3D543825">
      <w:pPr>
        <w:bidi w:val="0"/>
        <w:rPr>
          <w:rFonts w:hint="eastAsia"/>
        </w:rPr>
      </w:pPr>
      <w:r>
        <w:rPr>
          <w:rFonts w:hint="eastAsia"/>
        </w:rPr>
        <w:t>23.3.9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62D77B59">
      <w:pPr>
        <w:pStyle w:val="6"/>
        <w:numPr>
          <w:ilvl w:val="2"/>
          <w:numId w:val="0"/>
        </w:numPr>
        <w:bidi w:val="0"/>
        <w:ind w:firstLine="482" w:firstLineChars="200"/>
        <w:rPr>
          <w:rFonts w:hint="eastAsia"/>
        </w:rPr>
      </w:pPr>
      <w:r>
        <w:rPr>
          <w:rFonts w:hint="eastAsia"/>
        </w:rPr>
        <w:t>24.如</w:t>
      </w:r>
      <w:r>
        <w:rPr>
          <w:rFonts w:hint="eastAsia"/>
          <w:lang w:eastAsia="zh-CN"/>
        </w:rPr>
        <w:t>投标人</w:t>
      </w:r>
      <w:r>
        <w:rPr>
          <w:rFonts w:hint="eastAsia"/>
        </w:rPr>
        <w:t>或采购人有下列情形之一的，应按串通投标行为认定，禁止其一至三年内进入本市政府采购市场，情节严重的移送有关部门依法处理。</w:t>
      </w:r>
    </w:p>
    <w:p w14:paraId="2E23B0A5">
      <w:pPr>
        <w:bidi w:val="0"/>
        <w:rPr>
          <w:rFonts w:hint="eastAsia"/>
        </w:rPr>
      </w:pPr>
      <w:r>
        <w:rPr>
          <w:rFonts w:hint="eastAsia"/>
        </w:rPr>
        <w:t>24.1不同</w:t>
      </w:r>
      <w:r>
        <w:rPr>
          <w:rFonts w:hint="eastAsia"/>
          <w:lang w:eastAsia="zh-CN"/>
        </w:rPr>
        <w:t>投标人</w:t>
      </w:r>
      <w:r>
        <w:rPr>
          <w:rFonts w:hint="eastAsia"/>
        </w:rPr>
        <w:t xml:space="preserve">的投标文件由同一单位或人员编制； </w:t>
      </w:r>
    </w:p>
    <w:p w14:paraId="5D4958F5">
      <w:pPr>
        <w:bidi w:val="0"/>
        <w:rPr>
          <w:rFonts w:hint="eastAsia"/>
        </w:rPr>
      </w:pPr>
      <w:r>
        <w:rPr>
          <w:rFonts w:hint="eastAsia"/>
        </w:rPr>
        <w:t>24.2不同</w:t>
      </w:r>
      <w:r>
        <w:rPr>
          <w:rFonts w:hint="eastAsia"/>
          <w:lang w:eastAsia="zh-CN"/>
        </w:rPr>
        <w:t>投标人</w:t>
      </w:r>
      <w:r>
        <w:rPr>
          <w:rFonts w:hint="eastAsia"/>
        </w:rPr>
        <w:t>委托同一单位或个人办理投标事宜；</w:t>
      </w:r>
    </w:p>
    <w:p w14:paraId="22DE1B6A">
      <w:pPr>
        <w:bidi w:val="0"/>
        <w:rPr>
          <w:rFonts w:hint="eastAsia"/>
        </w:rPr>
      </w:pPr>
      <w:r>
        <w:rPr>
          <w:rFonts w:hint="eastAsia"/>
        </w:rPr>
        <w:t>24.3不同</w:t>
      </w:r>
      <w:r>
        <w:rPr>
          <w:rFonts w:hint="eastAsia"/>
          <w:lang w:eastAsia="zh-CN"/>
        </w:rPr>
        <w:t>投标人</w:t>
      </w:r>
      <w:r>
        <w:rPr>
          <w:rFonts w:hint="eastAsia"/>
        </w:rPr>
        <w:t>的投标文件载明的项目管理或联系人员为同一人；</w:t>
      </w:r>
    </w:p>
    <w:p w14:paraId="5752995E">
      <w:pPr>
        <w:bidi w:val="0"/>
        <w:rPr>
          <w:rFonts w:hint="eastAsia"/>
        </w:rPr>
      </w:pPr>
      <w:r>
        <w:rPr>
          <w:rFonts w:hint="eastAsia"/>
        </w:rPr>
        <w:t>24.4不同</w:t>
      </w:r>
      <w:r>
        <w:rPr>
          <w:rFonts w:hint="eastAsia"/>
          <w:lang w:eastAsia="zh-CN"/>
        </w:rPr>
        <w:t>投标人</w:t>
      </w:r>
      <w:r>
        <w:rPr>
          <w:rFonts w:hint="eastAsia"/>
        </w:rPr>
        <w:t xml:space="preserve">的投标文件异常一致或者投标报价呈规律性差异； </w:t>
      </w:r>
    </w:p>
    <w:p w14:paraId="7046C37F">
      <w:pPr>
        <w:bidi w:val="0"/>
        <w:rPr>
          <w:rFonts w:hint="eastAsia"/>
        </w:rPr>
      </w:pPr>
      <w:r>
        <w:rPr>
          <w:rFonts w:hint="eastAsia"/>
        </w:rPr>
        <w:t>24.5不同</w:t>
      </w:r>
      <w:r>
        <w:rPr>
          <w:rFonts w:hint="eastAsia"/>
          <w:lang w:eastAsia="zh-CN"/>
        </w:rPr>
        <w:t>投标人</w:t>
      </w:r>
      <w:r>
        <w:rPr>
          <w:rFonts w:hint="eastAsia"/>
        </w:rPr>
        <w:t>的投标文件遗留其他</w:t>
      </w:r>
      <w:r>
        <w:rPr>
          <w:rFonts w:hint="eastAsia"/>
          <w:lang w:eastAsia="zh-CN"/>
        </w:rPr>
        <w:t>投标人</w:t>
      </w:r>
      <w:r>
        <w:rPr>
          <w:rFonts w:hint="eastAsia"/>
        </w:rPr>
        <w:t>不属于本</w:t>
      </w:r>
      <w:r>
        <w:rPr>
          <w:rFonts w:hint="eastAsia"/>
          <w:lang w:eastAsia="zh-CN"/>
        </w:rPr>
        <w:t>投标人</w:t>
      </w:r>
      <w:r>
        <w:rPr>
          <w:rFonts w:hint="eastAsia"/>
        </w:rPr>
        <w:t>参加政府采购必需的信息资料的；</w:t>
      </w:r>
    </w:p>
    <w:p w14:paraId="1456CEE9">
      <w:pPr>
        <w:bidi w:val="0"/>
        <w:rPr>
          <w:rFonts w:hint="eastAsia"/>
        </w:rPr>
      </w:pPr>
      <w:r>
        <w:rPr>
          <w:rFonts w:hint="eastAsia"/>
        </w:rPr>
        <w:t>24.6不同</w:t>
      </w:r>
      <w:r>
        <w:rPr>
          <w:rFonts w:hint="eastAsia"/>
          <w:lang w:eastAsia="zh-CN"/>
        </w:rPr>
        <w:t>投标人</w:t>
      </w:r>
      <w:r>
        <w:rPr>
          <w:rFonts w:hint="eastAsia"/>
        </w:rPr>
        <w:t xml:space="preserve">的授权代表为同一单位的工作人员的；   </w:t>
      </w:r>
    </w:p>
    <w:p w14:paraId="171D33B4">
      <w:pPr>
        <w:bidi w:val="0"/>
        <w:rPr>
          <w:rFonts w:hint="eastAsia"/>
        </w:rPr>
      </w:pPr>
      <w:r>
        <w:rPr>
          <w:rFonts w:hint="eastAsia"/>
        </w:rPr>
        <w:t>24.7采购响应截止时间后，采购人协助</w:t>
      </w:r>
      <w:r>
        <w:rPr>
          <w:rFonts w:hint="eastAsia"/>
          <w:lang w:eastAsia="zh-CN"/>
        </w:rPr>
        <w:t>投标人</w:t>
      </w:r>
      <w:r>
        <w:rPr>
          <w:rFonts w:hint="eastAsia"/>
        </w:rPr>
        <w:t>撤换或更改投标文件的；</w:t>
      </w:r>
    </w:p>
    <w:p w14:paraId="5B9A3BEF">
      <w:pPr>
        <w:bidi w:val="0"/>
        <w:rPr>
          <w:rFonts w:hint="eastAsia"/>
        </w:rPr>
      </w:pPr>
      <w:r>
        <w:rPr>
          <w:rFonts w:hint="eastAsia"/>
        </w:rPr>
        <w:t>24.8采购人泄露有意向参加政府采购的</w:t>
      </w:r>
      <w:r>
        <w:rPr>
          <w:rFonts w:hint="eastAsia"/>
          <w:lang w:eastAsia="zh-CN"/>
        </w:rPr>
        <w:t>投标人</w:t>
      </w:r>
      <w:r>
        <w:rPr>
          <w:rFonts w:hint="eastAsia"/>
        </w:rPr>
        <w:t>名称、数量等应当保密的事项的；</w:t>
      </w:r>
    </w:p>
    <w:p w14:paraId="19CAC51E">
      <w:pPr>
        <w:bidi w:val="0"/>
        <w:rPr>
          <w:rFonts w:hint="eastAsia"/>
        </w:rPr>
      </w:pPr>
      <w:r>
        <w:rPr>
          <w:rFonts w:hint="eastAsia"/>
        </w:rPr>
        <w:t>24.9不同</w:t>
      </w:r>
      <w:r>
        <w:rPr>
          <w:rFonts w:hint="eastAsia"/>
          <w:lang w:eastAsia="zh-CN"/>
        </w:rPr>
        <w:t>投标人</w:t>
      </w:r>
      <w:r>
        <w:rPr>
          <w:rFonts w:hint="eastAsia"/>
        </w:rPr>
        <w:t>之间私下达成书面或口头协议，指定一家</w:t>
      </w:r>
      <w:r>
        <w:rPr>
          <w:rFonts w:hint="eastAsia"/>
          <w:lang w:eastAsia="zh-CN"/>
        </w:rPr>
        <w:t>投标人</w:t>
      </w:r>
      <w:r>
        <w:rPr>
          <w:rFonts w:hint="eastAsia"/>
        </w:rPr>
        <w:t>中标或轮流中标的；</w:t>
      </w:r>
    </w:p>
    <w:p w14:paraId="33420942">
      <w:pPr>
        <w:bidi w:val="0"/>
        <w:rPr>
          <w:rFonts w:hint="eastAsia"/>
        </w:rPr>
      </w:pPr>
      <w:r>
        <w:rPr>
          <w:rFonts w:hint="eastAsia"/>
        </w:rPr>
        <w:t>24.10属于同一集团、协会、商会等组织成员的</w:t>
      </w:r>
      <w:r>
        <w:rPr>
          <w:rFonts w:hint="eastAsia"/>
          <w:lang w:eastAsia="zh-CN"/>
        </w:rPr>
        <w:t>投标人</w:t>
      </w:r>
      <w:r>
        <w:rPr>
          <w:rFonts w:hint="eastAsia"/>
        </w:rPr>
        <w:t>按照该组织要求协同的投标；</w:t>
      </w:r>
    </w:p>
    <w:p w14:paraId="160923BB">
      <w:pPr>
        <w:bidi w:val="0"/>
        <w:rPr>
          <w:rFonts w:hint="eastAsia"/>
        </w:rPr>
      </w:pPr>
      <w:r>
        <w:rPr>
          <w:rFonts w:hint="eastAsia"/>
        </w:rPr>
        <w:t>24.11</w:t>
      </w:r>
      <w:r>
        <w:rPr>
          <w:rFonts w:hint="eastAsia"/>
          <w:lang w:eastAsia="zh-CN"/>
        </w:rPr>
        <w:t>投标人</w:t>
      </w:r>
      <w:r>
        <w:rPr>
          <w:rFonts w:hint="eastAsia"/>
        </w:rPr>
        <w:t>之间为谋取中标或者排斥特定</w:t>
      </w:r>
      <w:r>
        <w:rPr>
          <w:rFonts w:hint="eastAsia"/>
          <w:lang w:eastAsia="zh-CN"/>
        </w:rPr>
        <w:t>投标人</w:t>
      </w:r>
      <w:r>
        <w:rPr>
          <w:rFonts w:hint="eastAsia"/>
        </w:rPr>
        <w:t>而采取的其他联合行动；</w:t>
      </w:r>
    </w:p>
    <w:p w14:paraId="18AECE49">
      <w:pPr>
        <w:bidi w:val="0"/>
        <w:rPr>
          <w:rFonts w:hint="eastAsia"/>
        </w:rPr>
      </w:pPr>
      <w:r>
        <w:rPr>
          <w:rFonts w:hint="eastAsia"/>
        </w:rPr>
        <w:t>24.12不同</w:t>
      </w:r>
      <w:r>
        <w:rPr>
          <w:rFonts w:hint="eastAsia"/>
          <w:lang w:eastAsia="zh-CN"/>
        </w:rPr>
        <w:t>投标人</w:t>
      </w:r>
      <w:r>
        <w:rPr>
          <w:rFonts w:hint="eastAsia"/>
        </w:rPr>
        <w:t>与同一</w:t>
      </w:r>
      <w:r>
        <w:rPr>
          <w:rFonts w:hint="eastAsia"/>
          <w:lang w:eastAsia="zh-CN"/>
        </w:rPr>
        <w:t>投标人</w:t>
      </w:r>
      <w:r>
        <w:rPr>
          <w:rFonts w:hint="eastAsia"/>
        </w:rPr>
        <w:t>联合投标的；</w:t>
      </w:r>
    </w:p>
    <w:p w14:paraId="7C58D9DE">
      <w:pPr>
        <w:bidi w:val="0"/>
        <w:rPr>
          <w:rFonts w:hint="eastAsia"/>
        </w:rPr>
      </w:pPr>
      <w:r>
        <w:rPr>
          <w:rFonts w:hint="eastAsia"/>
        </w:rPr>
        <w:t>24.13采购人（或采购代理机构）明示或者暗示</w:t>
      </w:r>
      <w:r>
        <w:rPr>
          <w:rFonts w:hint="eastAsia"/>
          <w:lang w:eastAsia="zh-CN"/>
        </w:rPr>
        <w:t>投标人</w:t>
      </w:r>
      <w:r>
        <w:rPr>
          <w:rFonts w:hint="eastAsia"/>
        </w:rPr>
        <w:t>压低或者抬高投标报价；</w:t>
      </w:r>
    </w:p>
    <w:p w14:paraId="42470064">
      <w:pPr>
        <w:bidi w:val="0"/>
        <w:rPr>
          <w:rFonts w:hint="eastAsia"/>
        </w:rPr>
      </w:pPr>
      <w:r>
        <w:rPr>
          <w:rFonts w:hint="eastAsia"/>
        </w:rPr>
        <w:t>24.14采购人（或采购代理机构）明示或者暗示</w:t>
      </w:r>
      <w:r>
        <w:rPr>
          <w:rFonts w:hint="eastAsia"/>
          <w:lang w:eastAsia="zh-CN"/>
        </w:rPr>
        <w:t>投标人</w:t>
      </w:r>
      <w:r>
        <w:rPr>
          <w:rFonts w:hint="eastAsia"/>
        </w:rPr>
        <w:t>为特定</w:t>
      </w:r>
      <w:r>
        <w:rPr>
          <w:rFonts w:hint="eastAsia"/>
          <w:lang w:eastAsia="zh-CN"/>
        </w:rPr>
        <w:t>投标人</w:t>
      </w:r>
      <w:r>
        <w:rPr>
          <w:rFonts w:hint="eastAsia"/>
        </w:rPr>
        <w:t>中标提供方便；</w:t>
      </w:r>
    </w:p>
    <w:p w14:paraId="75E011A5">
      <w:pPr>
        <w:bidi w:val="0"/>
        <w:rPr>
          <w:rFonts w:hint="eastAsia"/>
        </w:rPr>
      </w:pPr>
      <w:r>
        <w:rPr>
          <w:rFonts w:hint="eastAsia"/>
        </w:rPr>
        <w:t>24.15采购人（或采购代理机构）与</w:t>
      </w:r>
      <w:r>
        <w:rPr>
          <w:rFonts w:hint="eastAsia"/>
          <w:lang w:eastAsia="zh-CN"/>
        </w:rPr>
        <w:t>投标人</w:t>
      </w:r>
      <w:r>
        <w:rPr>
          <w:rFonts w:hint="eastAsia"/>
        </w:rPr>
        <w:t>为谋求特定</w:t>
      </w:r>
      <w:r>
        <w:rPr>
          <w:rFonts w:hint="eastAsia"/>
          <w:lang w:eastAsia="zh-CN"/>
        </w:rPr>
        <w:t>投标人</w:t>
      </w:r>
      <w:r>
        <w:rPr>
          <w:rFonts w:hint="eastAsia"/>
        </w:rPr>
        <w:t>中标而采取的其他串通行为；</w:t>
      </w:r>
    </w:p>
    <w:p w14:paraId="0CC790F1">
      <w:pPr>
        <w:bidi w:val="0"/>
        <w:rPr>
          <w:rFonts w:hint="eastAsia"/>
        </w:rPr>
      </w:pPr>
      <w:r>
        <w:rPr>
          <w:rFonts w:hint="eastAsia"/>
        </w:rPr>
        <w:t>24.16法律、法规或规章规定的其他串通行为。</w:t>
      </w:r>
    </w:p>
    <w:p w14:paraId="3E52BD4B">
      <w:pPr>
        <w:pStyle w:val="6"/>
        <w:numPr>
          <w:ilvl w:val="2"/>
          <w:numId w:val="0"/>
        </w:numPr>
        <w:bidi w:val="0"/>
        <w:ind w:firstLine="482" w:firstLineChars="200"/>
        <w:rPr>
          <w:rFonts w:hint="eastAsia"/>
        </w:rPr>
      </w:pPr>
      <w:r>
        <w:rPr>
          <w:rFonts w:hint="eastAsia"/>
        </w:rPr>
        <w:t>25.投标文件的澄清</w:t>
      </w:r>
    </w:p>
    <w:p w14:paraId="1CEEC321">
      <w:pPr>
        <w:bidi w:val="0"/>
        <w:rPr>
          <w:rFonts w:hint="eastAsia"/>
        </w:rPr>
      </w:pPr>
      <w:r>
        <w:rPr>
          <w:rFonts w:hint="eastAsia"/>
        </w:rPr>
        <w:t>对投标文件中含义不明确、同类问题表述不一致或者有明显文字错误的内容，评标委员会可以在“政采云”平台在线询标或其他有效形式要求</w:t>
      </w:r>
      <w:r>
        <w:rPr>
          <w:rFonts w:hint="eastAsia"/>
          <w:lang w:eastAsia="zh-CN"/>
        </w:rPr>
        <w:t>投标人</w:t>
      </w:r>
      <w:r>
        <w:rPr>
          <w:rFonts w:hint="eastAsia"/>
        </w:rPr>
        <w:t>对同一份投标文件含义不明确或同类问题表述不一致的内容（招标文件其它地方有规定处理方法的除外）作必要的澄清或说明，</w:t>
      </w:r>
      <w:r>
        <w:rPr>
          <w:rFonts w:hint="eastAsia"/>
          <w:lang w:eastAsia="zh-CN"/>
        </w:rPr>
        <w:t>投标人</w:t>
      </w:r>
      <w:r>
        <w:rPr>
          <w:rFonts w:hint="eastAsia"/>
        </w:rPr>
        <w:t>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r>
        <w:rPr>
          <w:rFonts w:hint="eastAsia"/>
          <w:lang w:eastAsia="zh-CN"/>
        </w:rPr>
        <w:t>投标人</w:t>
      </w:r>
      <w:r>
        <w:rPr>
          <w:rFonts w:hint="eastAsia"/>
        </w:rPr>
        <w:t>的澄清文件是其投标文件的组成部分。</w:t>
      </w:r>
    </w:p>
    <w:p w14:paraId="31648B31">
      <w:pPr>
        <w:pStyle w:val="6"/>
        <w:numPr>
          <w:ilvl w:val="2"/>
          <w:numId w:val="0"/>
        </w:numPr>
        <w:bidi w:val="0"/>
        <w:ind w:leftChars="200"/>
        <w:rPr>
          <w:rFonts w:hint="eastAsia"/>
        </w:rPr>
      </w:pPr>
      <w:r>
        <w:rPr>
          <w:rFonts w:hint="eastAsia"/>
        </w:rPr>
        <w:t>26.错误修正</w:t>
      </w:r>
    </w:p>
    <w:p w14:paraId="1D3BF676">
      <w:pPr>
        <w:bidi w:val="0"/>
        <w:rPr>
          <w:rFonts w:hint="eastAsia"/>
        </w:rPr>
      </w:pPr>
      <w:r>
        <w:rPr>
          <w:rFonts w:hint="eastAsia"/>
        </w:rPr>
        <w:t>投标文件报价出现前后不一致的，按照下列规定修正：</w:t>
      </w:r>
    </w:p>
    <w:p w14:paraId="2BE00F12">
      <w:pPr>
        <w:bidi w:val="0"/>
        <w:rPr>
          <w:rFonts w:hint="eastAsia"/>
          <w:lang w:eastAsia="zh-CN"/>
        </w:rPr>
      </w:pPr>
      <w:r>
        <w:rPr>
          <w:rFonts w:hint="eastAsia"/>
        </w:rPr>
        <w:t>26.1投标文件中开标一览表（报价表）内容与投标文件中相应内容不一致的，以开标一览表（报价表）为准</w:t>
      </w:r>
      <w:r>
        <w:rPr>
          <w:rFonts w:hint="eastAsia"/>
          <w:lang w:eastAsia="zh-CN"/>
        </w:rPr>
        <w:t>；</w:t>
      </w:r>
    </w:p>
    <w:p w14:paraId="1BE415D2">
      <w:pPr>
        <w:bidi w:val="0"/>
        <w:rPr>
          <w:rFonts w:hint="eastAsia"/>
          <w:lang w:eastAsia="zh-CN"/>
        </w:rPr>
      </w:pPr>
      <w:r>
        <w:rPr>
          <w:rFonts w:hint="eastAsia"/>
        </w:rPr>
        <w:t>26.2大写金额和小写金额不一致的，以大写金额为准</w:t>
      </w:r>
      <w:r>
        <w:rPr>
          <w:rFonts w:hint="eastAsia"/>
          <w:lang w:eastAsia="zh-CN"/>
        </w:rPr>
        <w:t>；</w:t>
      </w:r>
    </w:p>
    <w:p w14:paraId="7CB543F8">
      <w:pPr>
        <w:bidi w:val="0"/>
        <w:rPr>
          <w:rFonts w:hint="eastAsia"/>
          <w:lang w:eastAsia="zh-CN"/>
        </w:rPr>
      </w:pPr>
      <w:r>
        <w:rPr>
          <w:rFonts w:hint="eastAsia"/>
        </w:rPr>
        <w:t>26.3单价金额小数点或者百分比有明显错位的，以开标一览表的总价为准，并修改单价</w:t>
      </w:r>
      <w:r>
        <w:rPr>
          <w:rFonts w:hint="eastAsia"/>
          <w:lang w:eastAsia="zh-CN"/>
        </w:rPr>
        <w:t>；</w:t>
      </w:r>
    </w:p>
    <w:p w14:paraId="420A86A9">
      <w:pPr>
        <w:bidi w:val="0"/>
        <w:rPr>
          <w:rFonts w:hint="eastAsia" w:eastAsia="仿宋"/>
          <w:lang w:eastAsia="zh-CN"/>
        </w:rPr>
      </w:pPr>
      <w:r>
        <w:rPr>
          <w:rFonts w:hint="eastAsia"/>
        </w:rPr>
        <w:t>26.4总价金额与按单价汇总金额不一致的，以单价金额计算结果为准</w:t>
      </w:r>
      <w:r>
        <w:rPr>
          <w:rFonts w:hint="eastAsia"/>
          <w:lang w:eastAsia="zh-CN"/>
        </w:rPr>
        <w:t>。</w:t>
      </w:r>
    </w:p>
    <w:p w14:paraId="41230EDD">
      <w:pPr>
        <w:bidi w:val="0"/>
        <w:rPr>
          <w:rFonts w:hint="eastAsia"/>
        </w:rPr>
      </w:pPr>
      <w:r>
        <w:rPr>
          <w:rFonts w:hint="eastAsia"/>
        </w:rPr>
        <w:t>同时出现两种以上不一致的，按照上述规定的顺序修正。</w:t>
      </w:r>
    </w:p>
    <w:p w14:paraId="622036F1">
      <w:pPr>
        <w:bidi w:val="0"/>
        <w:rPr>
          <w:rFonts w:hint="eastAsia"/>
        </w:rPr>
      </w:pPr>
      <w:r>
        <w:rPr>
          <w:rFonts w:hint="eastAsia"/>
        </w:rPr>
        <w:t>按上述修正错误的原则及方法调整或修正投标文件的投标报价，</w:t>
      </w:r>
      <w:r>
        <w:rPr>
          <w:rFonts w:hint="eastAsia"/>
          <w:lang w:eastAsia="zh-CN"/>
        </w:rPr>
        <w:t>投标人</w:t>
      </w:r>
      <w:r>
        <w:rPr>
          <w:rFonts w:hint="eastAsia"/>
        </w:rPr>
        <w:t>同意并加盖公章确认，调整后的投标报价对</w:t>
      </w:r>
      <w:r>
        <w:rPr>
          <w:rFonts w:hint="eastAsia"/>
          <w:lang w:eastAsia="zh-CN"/>
        </w:rPr>
        <w:t>投标人</w:t>
      </w:r>
      <w:r>
        <w:rPr>
          <w:rFonts w:hint="eastAsia"/>
        </w:rPr>
        <w:t>具有约束作用。如果</w:t>
      </w:r>
      <w:r>
        <w:rPr>
          <w:rFonts w:hint="eastAsia"/>
          <w:lang w:eastAsia="zh-CN"/>
        </w:rPr>
        <w:t>投标人</w:t>
      </w:r>
      <w:r>
        <w:rPr>
          <w:rFonts w:hint="eastAsia"/>
        </w:rPr>
        <w:t>不接受修正后的报价，则其投标将作为无效投标处理。</w:t>
      </w:r>
    </w:p>
    <w:p w14:paraId="2EF96CB9">
      <w:pPr>
        <w:pStyle w:val="6"/>
        <w:numPr>
          <w:ilvl w:val="2"/>
          <w:numId w:val="0"/>
        </w:numPr>
        <w:bidi w:val="0"/>
        <w:ind w:leftChars="200"/>
        <w:rPr>
          <w:rFonts w:hint="eastAsia"/>
        </w:rPr>
      </w:pPr>
      <w:r>
        <w:rPr>
          <w:rFonts w:hint="eastAsia"/>
        </w:rPr>
        <w:t>27.评标办法</w:t>
      </w:r>
    </w:p>
    <w:p w14:paraId="068D8443">
      <w:pPr>
        <w:bidi w:val="0"/>
        <w:rPr>
          <w:rFonts w:hint="eastAsia"/>
        </w:rPr>
      </w:pPr>
      <w:r>
        <w:rPr>
          <w:rFonts w:hint="eastAsia"/>
        </w:rPr>
        <w:t>本项目评标办法是综合评分法，具体评标内容及评分标准等详见《第</w:t>
      </w:r>
      <w:r>
        <w:rPr>
          <w:rFonts w:hint="eastAsia"/>
          <w:lang w:val="en-US" w:eastAsia="zh-CN"/>
        </w:rPr>
        <w:t>四</w:t>
      </w:r>
      <w:r>
        <w:rPr>
          <w:rFonts w:hint="eastAsia"/>
        </w:rPr>
        <w:t>章：评标办法及评分标准》。</w:t>
      </w:r>
    </w:p>
    <w:p w14:paraId="65D37E94">
      <w:pPr>
        <w:pStyle w:val="6"/>
        <w:numPr>
          <w:ilvl w:val="2"/>
          <w:numId w:val="0"/>
        </w:numPr>
        <w:bidi w:val="0"/>
        <w:ind w:firstLine="482" w:firstLineChars="200"/>
        <w:rPr>
          <w:rFonts w:hint="eastAsia"/>
        </w:rPr>
      </w:pPr>
      <w:r>
        <w:rPr>
          <w:rFonts w:hint="eastAsia"/>
        </w:rPr>
        <w:t>28.评标过程的保密</w:t>
      </w:r>
    </w:p>
    <w:p w14:paraId="0D93DE22">
      <w:pPr>
        <w:bidi w:val="0"/>
        <w:rPr>
          <w:rFonts w:hint="eastAsia"/>
          <w:lang w:eastAsia="zh-CN"/>
        </w:rPr>
      </w:pPr>
      <w:r>
        <w:rPr>
          <w:rFonts w:hint="eastAsia"/>
        </w:rPr>
        <w:t>28.1开标后，直到宣布授予中标人合同为止，凡属于审查、澄清、评价和比较投标文件的有关资料和授予合同的信息，采购人、评标委员会成员都不应向</w:t>
      </w:r>
      <w:r>
        <w:rPr>
          <w:rFonts w:hint="eastAsia"/>
          <w:lang w:eastAsia="zh-CN"/>
        </w:rPr>
        <w:t>投标人</w:t>
      </w:r>
      <w:r>
        <w:rPr>
          <w:rFonts w:hint="eastAsia"/>
        </w:rPr>
        <w:t>或与该过程无关的其他人员泄露</w:t>
      </w:r>
      <w:r>
        <w:rPr>
          <w:rFonts w:hint="eastAsia"/>
          <w:lang w:eastAsia="zh-CN"/>
        </w:rPr>
        <w:t>；</w:t>
      </w:r>
    </w:p>
    <w:p w14:paraId="230D9178">
      <w:pPr>
        <w:bidi w:val="0"/>
        <w:rPr>
          <w:rFonts w:hint="eastAsia"/>
          <w:lang w:eastAsia="zh-CN"/>
        </w:rPr>
      </w:pPr>
      <w:r>
        <w:rPr>
          <w:rFonts w:hint="eastAsia"/>
        </w:rPr>
        <w:t>28.2任何单位和个人都不得干扰、影响评标活动的正常进行。</w:t>
      </w:r>
      <w:r>
        <w:rPr>
          <w:rFonts w:hint="eastAsia"/>
          <w:lang w:eastAsia="zh-CN"/>
        </w:rPr>
        <w:t>投标人</w:t>
      </w:r>
      <w:r>
        <w:rPr>
          <w:rFonts w:hint="eastAsia"/>
        </w:rPr>
        <w:t>在评标过程中所进行的试图影响评标结果的一切不符合法律或招标规定的活动，都可能导致其被取消投标资格，并由其承担相应的法律责任</w:t>
      </w:r>
      <w:r>
        <w:rPr>
          <w:rFonts w:hint="eastAsia"/>
          <w:lang w:eastAsia="zh-CN"/>
        </w:rPr>
        <w:t>；</w:t>
      </w:r>
    </w:p>
    <w:p w14:paraId="4EF83635">
      <w:pPr>
        <w:bidi w:val="0"/>
        <w:rPr>
          <w:rFonts w:hint="eastAsia"/>
        </w:rPr>
      </w:pPr>
      <w:r>
        <w:rPr>
          <w:rFonts w:hint="eastAsia"/>
        </w:rPr>
        <w:t>28.3中标人确定后，采购人不对未中标人就评标过程以及未能中标原因作出任何解释。未中标人不得向评标委员会或其他有关人员索问评标过程的情况和材料。</w:t>
      </w:r>
    </w:p>
    <w:p w14:paraId="5C04D8B2">
      <w:pPr>
        <w:pStyle w:val="5"/>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0AD56EF7">
      <w:pPr>
        <w:pStyle w:val="5"/>
        <w:bidi w:val="0"/>
        <w:ind w:left="0" w:leftChars="0" w:firstLine="0" w:firstLineChars="0"/>
        <w:jc w:val="center"/>
        <w:rPr>
          <w:rFonts w:hint="eastAsia" w:ascii="仿宋" w:hAnsi="仿宋" w:eastAsia="仿宋" w:cs="仿宋"/>
          <w:b/>
          <w:bCs/>
          <w:sz w:val="24"/>
        </w:rPr>
      </w:pPr>
      <w:r>
        <w:rPr>
          <w:rFonts w:hint="eastAsia"/>
        </w:rPr>
        <w:t>六、定标</w:t>
      </w:r>
    </w:p>
    <w:p w14:paraId="6A81D275">
      <w:pPr>
        <w:pStyle w:val="6"/>
        <w:numPr>
          <w:ilvl w:val="2"/>
          <w:numId w:val="0"/>
        </w:numPr>
        <w:bidi w:val="0"/>
        <w:ind w:leftChars="200"/>
        <w:rPr>
          <w:rFonts w:hint="eastAsia"/>
        </w:rPr>
      </w:pPr>
      <w:r>
        <w:rPr>
          <w:rFonts w:hint="eastAsia"/>
        </w:rPr>
        <w:t>29.确定中标人</w:t>
      </w:r>
    </w:p>
    <w:p w14:paraId="296D8C8E">
      <w:pPr>
        <w:bidi w:val="0"/>
        <w:rPr>
          <w:rFonts w:hint="eastAsia"/>
          <w:lang w:eastAsia="zh-CN"/>
        </w:rPr>
      </w:pPr>
      <w:r>
        <w:rPr>
          <w:rFonts w:hint="eastAsia"/>
        </w:rPr>
        <w:t>29.1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r>
        <w:rPr>
          <w:rFonts w:hint="eastAsia"/>
          <w:lang w:eastAsia="zh-CN"/>
        </w:rPr>
        <w:t>；</w:t>
      </w:r>
    </w:p>
    <w:p w14:paraId="31241B0B">
      <w:pPr>
        <w:bidi w:val="0"/>
        <w:rPr>
          <w:rFonts w:hint="eastAsia"/>
        </w:rPr>
      </w:pPr>
      <w:r>
        <w:rPr>
          <w:rFonts w:hint="eastAsia"/>
        </w:rPr>
        <w:t>29.2第一名中标候选人无正当理由放弃中标成交或被取消中标资格的，将上报武义县财政局，武义县财政局将按《中华人民共和国政府采购法》进行处理。此标的将另行组织采购。</w:t>
      </w:r>
    </w:p>
    <w:p w14:paraId="187E6F8B">
      <w:pPr>
        <w:pStyle w:val="6"/>
        <w:numPr>
          <w:ilvl w:val="2"/>
          <w:numId w:val="0"/>
        </w:numPr>
        <w:bidi w:val="0"/>
        <w:ind w:leftChars="200"/>
        <w:rPr>
          <w:rFonts w:hint="eastAsia"/>
        </w:rPr>
      </w:pPr>
      <w:r>
        <w:rPr>
          <w:rFonts w:hint="eastAsia"/>
        </w:rPr>
        <w:t>30.中标通知与中标结果公告</w:t>
      </w:r>
    </w:p>
    <w:p w14:paraId="27937B02">
      <w:pPr>
        <w:bidi w:val="0"/>
        <w:rPr>
          <w:rFonts w:hint="eastAsia"/>
          <w:lang w:eastAsia="zh-CN"/>
        </w:rPr>
      </w:pPr>
      <w:r>
        <w:rPr>
          <w:rFonts w:hint="eastAsia"/>
        </w:rPr>
        <w:t>30.1采购结果经采购人确认后，采购代理机构将于2个工作日内在浙江省政府采购网上发布中标公告，并同时发放《中标通知书》，中标结果公告期限为1个工作日。《中标通知书》一经发出即发生法律效力</w:t>
      </w:r>
      <w:r>
        <w:rPr>
          <w:rFonts w:hint="eastAsia"/>
          <w:lang w:eastAsia="zh-CN"/>
        </w:rPr>
        <w:t>；</w:t>
      </w:r>
    </w:p>
    <w:p w14:paraId="37DBBBC2">
      <w:pPr>
        <w:bidi w:val="0"/>
        <w:rPr>
          <w:rFonts w:hint="eastAsia"/>
        </w:rPr>
      </w:pPr>
      <w:r>
        <w:rPr>
          <w:rFonts w:hint="eastAsia"/>
        </w:rPr>
        <w:t>30.2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27479064">
      <w:pPr>
        <w:pStyle w:val="6"/>
        <w:numPr>
          <w:ilvl w:val="2"/>
          <w:numId w:val="0"/>
        </w:numPr>
        <w:bidi w:val="0"/>
        <w:ind w:leftChars="200"/>
        <w:rPr>
          <w:rFonts w:hint="eastAsia"/>
        </w:rPr>
      </w:pPr>
      <w:r>
        <w:rPr>
          <w:rFonts w:hint="eastAsia"/>
        </w:rPr>
        <w:t>31.中标无效情形</w:t>
      </w:r>
    </w:p>
    <w:p w14:paraId="184A797F">
      <w:pPr>
        <w:bidi w:val="0"/>
        <w:rPr>
          <w:rFonts w:hint="eastAsia"/>
        </w:rPr>
      </w:pPr>
      <w:r>
        <w:rPr>
          <w:rFonts w:hint="eastAsia"/>
        </w:rPr>
        <w:t>中标人存在下列情形之一的，中标无效：</w:t>
      </w:r>
    </w:p>
    <w:p w14:paraId="2C9283D2">
      <w:pPr>
        <w:bidi w:val="0"/>
        <w:rPr>
          <w:rFonts w:hint="eastAsia"/>
        </w:rPr>
      </w:pPr>
      <w:r>
        <w:rPr>
          <w:rFonts w:hint="eastAsia"/>
        </w:rPr>
        <w:t>31.1提供虚假材料谋取中标的；</w:t>
      </w:r>
    </w:p>
    <w:p w14:paraId="314DB540">
      <w:pPr>
        <w:bidi w:val="0"/>
        <w:rPr>
          <w:rFonts w:hint="eastAsia"/>
        </w:rPr>
      </w:pPr>
      <w:r>
        <w:rPr>
          <w:rFonts w:hint="eastAsia"/>
        </w:rPr>
        <w:t>31.2采取不正当手段诋毁、排挤其他</w:t>
      </w:r>
      <w:r>
        <w:rPr>
          <w:rFonts w:hint="eastAsia"/>
          <w:lang w:eastAsia="zh-CN"/>
        </w:rPr>
        <w:t>投标人</w:t>
      </w:r>
      <w:r>
        <w:rPr>
          <w:rFonts w:hint="eastAsia"/>
        </w:rPr>
        <w:t>的；</w:t>
      </w:r>
    </w:p>
    <w:p w14:paraId="49177C19">
      <w:pPr>
        <w:bidi w:val="0"/>
        <w:rPr>
          <w:rFonts w:hint="eastAsia"/>
        </w:rPr>
      </w:pPr>
      <w:r>
        <w:rPr>
          <w:rFonts w:hint="eastAsia"/>
        </w:rPr>
        <w:t>31.3与采购人、其他</w:t>
      </w:r>
      <w:r>
        <w:rPr>
          <w:rFonts w:hint="eastAsia"/>
          <w:lang w:eastAsia="zh-CN"/>
        </w:rPr>
        <w:t>投标人</w:t>
      </w:r>
      <w:r>
        <w:rPr>
          <w:rFonts w:hint="eastAsia"/>
        </w:rPr>
        <w:t>恶意串通的；</w:t>
      </w:r>
    </w:p>
    <w:p w14:paraId="33B7001C">
      <w:pPr>
        <w:bidi w:val="0"/>
        <w:rPr>
          <w:rFonts w:hint="eastAsia"/>
        </w:rPr>
      </w:pPr>
      <w:r>
        <w:rPr>
          <w:rFonts w:hint="eastAsia"/>
        </w:rPr>
        <w:t>31.4向采购人、采购代理机构行贿或者提供其他不正当利益的；</w:t>
      </w:r>
    </w:p>
    <w:p w14:paraId="2265AC41">
      <w:pPr>
        <w:bidi w:val="0"/>
        <w:rPr>
          <w:rFonts w:hint="eastAsia"/>
        </w:rPr>
      </w:pPr>
      <w:r>
        <w:rPr>
          <w:rFonts w:hint="eastAsia"/>
        </w:rPr>
        <w:t>31.5在招标过程中与采购人进行协商谈判；不按照招标文件和投标文件订立合同或者与采购人另行背离合同实质性内容的协议的；</w:t>
      </w:r>
    </w:p>
    <w:p w14:paraId="0D90FB59">
      <w:pPr>
        <w:bidi w:val="0"/>
        <w:rPr>
          <w:rFonts w:hint="eastAsia"/>
        </w:rPr>
      </w:pPr>
      <w:r>
        <w:rPr>
          <w:rFonts w:hint="eastAsia"/>
        </w:rPr>
        <w:t>31.6拖延、拒签合同的；</w:t>
      </w:r>
    </w:p>
    <w:p w14:paraId="588A7033">
      <w:pPr>
        <w:bidi w:val="0"/>
        <w:rPr>
          <w:rFonts w:hint="eastAsia"/>
        </w:rPr>
      </w:pPr>
      <w:r>
        <w:rPr>
          <w:rFonts w:hint="eastAsia"/>
        </w:rPr>
        <w:t>31.7存在法律、法规规定的其它损害采购人或采购</w:t>
      </w:r>
      <w:r>
        <w:rPr>
          <w:rFonts w:hint="eastAsia"/>
          <w:lang w:eastAsia="zh-CN"/>
        </w:rPr>
        <w:t>人</w:t>
      </w:r>
      <w:r>
        <w:rPr>
          <w:rFonts w:hint="eastAsia"/>
        </w:rPr>
        <w:t>利益或社会公共利益的情形的。</w:t>
      </w:r>
    </w:p>
    <w:p w14:paraId="717F2E49">
      <w:pPr>
        <w:pStyle w:val="6"/>
        <w:numPr>
          <w:ilvl w:val="2"/>
          <w:numId w:val="0"/>
        </w:numPr>
        <w:bidi w:val="0"/>
        <w:ind w:leftChars="200"/>
        <w:rPr>
          <w:rFonts w:hint="eastAsia"/>
        </w:rPr>
      </w:pPr>
      <w:r>
        <w:rPr>
          <w:rFonts w:hint="eastAsia"/>
        </w:rPr>
        <w:t>32.重新招标</w:t>
      </w:r>
    </w:p>
    <w:p w14:paraId="02160927">
      <w:pPr>
        <w:bidi w:val="0"/>
        <w:rPr>
          <w:rFonts w:hint="eastAsia" w:ascii="仿宋" w:hAnsi="仿宋" w:eastAsia="仿宋" w:cs="仿宋"/>
          <w:b/>
          <w:bCs/>
          <w:color w:val="auto"/>
        </w:rPr>
      </w:pPr>
      <w:r>
        <w:rPr>
          <w:rFonts w:hint="eastAsia"/>
        </w:rPr>
        <w:t>投标截止时间及评审期间，出现有效供应商不足3家的，本项目流标，重新组织采购。</w:t>
      </w:r>
    </w:p>
    <w:p w14:paraId="181FF46B">
      <w:pPr>
        <w:snapToGrid w:val="0"/>
        <w:spacing w:line="420" w:lineRule="exact"/>
        <w:outlineLvl w:val="9"/>
        <w:rPr>
          <w:rFonts w:hint="eastAsia" w:ascii="仿宋" w:hAnsi="仿宋" w:eastAsia="仿宋" w:cs="仿宋"/>
          <w:b/>
          <w:bCs/>
          <w:color w:val="auto"/>
          <w:sz w:val="24"/>
        </w:rPr>
      </w:pPr>
    </w:p>
    <w:p w14:paraId="39E39996">
      <w:pPr>
        <w:pStyle w:val="5"/>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1C3574C3">
      <w:pPr>
        <w:pStyle w:val="5"/>
        <w:bidi w:val="0"/>
        <w:ind w:left="0" w:leftChars="0" w:firstLine="0" w:firstLineChars="0"/>
        <w:jc w:val="center"/>
        <w:rPr>
          <w:rFonts w:hint="eastAsia" w:ascii="仿宋" w:hAnsi="仿宋" w:eastAsia="仿宋" w:cs="仿宋"/>
          <w:b/>
          <w:bCs/>
          <w:color w:val="auto"/>
          <w:sz w:val="24"/>
        </w:rPr>
      </w:pPr>
      <w:r>
        <w:rPr>
          <w:rFonts w:hint="eastAsia"/>
        </w:rPr>
        <w:t>七、授予合同</w:t>
      </w:r>
    </w:p>
    <w:p w14:paraId="162CE047">
      <w:pPr>
        <w:pStyle w:val="6"/>
        <w:numPr>
          <w:ilvl w:val="2"/>
          <w:numId w:val="0"/>
        </w:numPr>
        <w:bidi w:val="0"/>
        <w:ind w:leftChars="200"/>
        <w:rPr>
          <w:rFonts w:hint="eastAsia"/>
        </w:rPr>
      </w:pPr>
      <w:r>
        <w:rPr>
          <w:rFonts w:hint="eastAsia"/>
        </w:rPr>
        <w:t>33.签订合同</w:t>
      </w:r>
    </w:p>
    <w:p w14:paraId="1E950A13">
      <w:pPr>
        <w:bidi w:val="0"/>
        <w:rPr>
          <w:rFonts w:hint="eastAsia" w:eastAsia="仿宋"/>
          <w:lang w:eastAsia="zh-CN"/>
        </w:rPr>
      </w:pPr>
      <w:r>
        <w:rPr>
          <w:rFonts w:hint="eastAsia"/>
        </w:rPr>
        <w:t>33.1采购人与中标人应当在《中标通知书》发出之日起20日内签订政府采购合同。合同签订后2个工作日内在浙江政府采购网上发布合同公告</w:t>
      </w:r>
      <w:r>
        <w:rPr>
          <w:rFonts w:hint="eastAsia"/>
          <w:lang w:eastAsia="zh-CN"/>
        </w:rPr>
        <w:t>；</w:t>
      </w:r>
    </w:p>
    <w:p w14:paraId="19515695">
      <w:pPr>
        <w:bidi w:val="0"/>
        <w:rPr>
          <w:rFonts w:hint="eastAsia"/>
        </w:rPr>
      </w:pPr>
      <w:r>
        <w:rPr>
          <w:rFonts w:hint="eastAsia"/>
        </w:rPr>
        <w:t>33.2招标文件、中标人的投标文件和评标过程中</w:t>
      </w:r>
      <w:r>
        <w:rPr>
          <w:rFonts w:hint="eastAsia"/>
          <w:lang w:eastAsia="zh-CN"/>
        </w:rPr>
        <w:t>投标人</w:t>
      </w:r>
      <w:r>
        <w:rPr>
          <w:rFonts w:hint="eastAsia"/>
        </w:rPr>
        <w:t>的询标时作出的承诺及其澄清文件等作为合同签订的依据和主要附件。</w:t>
      </w:r>
    </w:p>
    <w:p w14:paraId="3E0B0E94">
      <w:pPr>
        <w:bidi w:val="0"/>
        <w:rPr>
          <w:rFonts w:hint="eastAsia"/>
          <w:b/>
          <w:bCs/>
        </w:rPr>
      </w:pPr>
      <w:r>
        <w:rPr>
          <w:rFonts w:hint="eastAsia"/>
          <w:b/>
          <w:bCs/>
        </w:rPr>
        <w:t>33.3合同一式陆份，采购</w:t>
      </w:r>
      <w:r>
        <w:rPr>
          <w:rFonts w:hint="eastAsia"/>
          <w:b/>
          <w:bCs/>
          <w:lang w:eastAsia="zh-CN"/>
        </w:rPr>
        <w:t>人</w:t>
      </w:r>
      <w:r>
        <w:rPr>
          <w:rFonts w:hint="eastAsia"/>
          <w:b/>
          <w:bCs/>
        </w:rPr>
        <w:t>和中标人各执贰份，采购办、代理机构各执一份。</w:t>
      </w:r>
    </w:p>
    <w:p w14:paraId="00FA31CA">
      <w:pPr>
        <w:bidi w:val="0"/>
        <w:rPr>
          <w:rFonts w:hint="eastAsia"/>
        </w:rPr>
      </w:pPr>
      <w:r>
        <w:rPr>
          <w:rFonts w:hint="eastAsia"/>
        </w:rPr>
        <w:t>33.4中标人和采购</w:t>
      </w:r>
      <w:r>
        <w:rPr>
          <w:rFonts w:hint="eastAsia"/>
          <w:lang w:eastAsia="zh-CN"/>
        </w:rPr>
        <w:t>人</w:t>
      </w:r>
      <w:r>
        <w:rPr>
          <w:rFonts w:hint="eastAsia"/>
        </w:rPr>
        <w:t>不得擅自变更、中止或者终止合同，不得另外订立背离合同实质性内容的其它协议。</w:t>
      </w:r>
    </w:p>
    <w:p w14:paraId="4644533C">
      <w:pPr>
        <w:spacing w:line="360" w:lineRule="auto"/>
        <w:ind w:firstLine="480" w:firstLineChars="200"/>
        <w:rPr>
          <w:rFonts w:hint="eastAsia" w:ascii="仿宋" w:hAnsi="仿宋" w:eastAsia="仿宋" w:cs="仿宋"/>
          <w:color w:val="auto"/>
          <w:sz w:val="24"/>
        </w:rPr>
      </w:pPr>
    </w:p>
    <w:p w14:paraId="5ED1C86F">
      <w:pPr>
        <w:pStyle w:val="5"/>
        <w:bidi w:val="0"/>
        <w:ind w:left="0" w:leftChars="0" w:firstLine="0" w:firstLineChars="0"/>
        <w:jc w:val="center"/>
        <w:rPr>
          <w:rFonts w:hint="eastAsia"/>
          <w:lang w:val="en-US" w:eastAsia="zh-CN"/>
        </w:rPr>
        <w:sectPr>
          <w:pgSz w:w="11906" w:h="16838"/>
          <w:pgMar w:top="1247" w:right="1134" w:bottom="1020" w:left="1418" w:header="851" w:footer="907" w:gutter="0"/>
          <w:pgNumType w:fmt="numberInDash"/>
          <w:cols w:space="720" w:num="1"/>
          <w:titlePg/>
          <w:docGrid w:type="lines" w:linePitch="312" w:charSpace="0"/>
        </w:sectPr>
      </w:pPr>
    </w:p>
    <w:p w14:paraId="0C640C9E">
      <w:pPr>
        <w:pStyle w:val="5"/>
        <w:bidi w:val="0"/>
        <w:ind w:left="0" w:leftChars="0" w:firstLine="0" w:firstLineChars="0"/>
        <w:jc w:val="center"/>
        <w:rPr>
          <w:rFonts w:hint="eastAsia"/>
        </w:rPr>
      </w:pPr>
      <w:r>
        <w:rPr>
          <w:rFonts w:hint="eastAsia"/>
          <w:lang w:val="en-US" w:eastAsia="zh-CN"/>
        </w:rPr>
        <w:t>八、</w:t>
      </w:r>
      <w:r>
        <w:rPr>
          <w:rFonts w:hint="eastAsia"/>
        </w:rPr>
        <w:t>履约验收</w:t>
      </w:r>
    </w:p>
    <w:p w14:paraId="1B0E4A08">
      <w:pPr>
        <w:bidi w:val="0"/>
        <w:rPr>
          <w:rFonts w:hint="eastAsia" w:eastAsia="仿宋"/>
          <w:lang w:eastAsia="zh-CN"/>
        </w:rPr>
      </w:pPr>
      <w:r>
        <w:rPr>
          <w:rFonts w:hint="eastAsia"/>
        </w:rPr>
        <w:t>34.1采购人组织对</w:t>
      </w:r>
      <w:r>
        <w:rPr>
          <w:rFonts w:hint="eastAsia"/>
          <w:lang w:val="en-US" w:eastAsia="zh-CN"/>
        </w:rPr>
        <w:t>中标人</w:t>
      </w:r>
      <w:r>
        <w:rPr>
          <w:rFonts w:hint="eastAsia"/>
        </w:rPr>
        <w:t>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r>
        <w:rPr>
          <w:rFonts w:hint="eastAsia"/>
          <w:lang w:eastAsia="zh-CN"/>
        </w:rPr>
        <w:t>；</w:t>
      </w:r>
    </w:p>
    <w:p w14:paraId="7DC5823E">
      <w:pPr>
        <w:bidi w:val="0"/>
        <w:rPr>
          <w:rFonts w:hint="eastAsia" w:eastAsia="仿宋"/>
          <w:lang w:eastAsia="zh-CN"/>
        </w:rPr>
      </w:pPr>
      <w:r>
        <w:rPr>
          <w:rFonts w:hint="eastAsia"/>
        </w:rPr>
        <w:t>34.2采购人可以邀请参加本项目的其他</w:t>
      </w:r>
      <w:r>
        <w:rPr>
          <w:rFonts w:hint="eastAsia"/>
          <w:lang w:val="en-US" w:eastAsia="zh-CN"/>
        </w:rPr>
        <w:t>投标人</w:t>
      </w:r>
      <w:r>
        <w:rPr>
          <w:rFonts w:hint="eastAsia"/>
        </w:rPr>
        <w:t>或者第三方机构参与验收。参与验收的供应商或者第三方机构的意见作为验收书的参考资料一并存档</w:t>
      </w:r>
      <w:r>
        <w:rPr>
          <w:rFonts w:hint="eastAsia"/>
          <w:lang w:eastAsia="zh-CN"/>
        </w:rPr>
        <w:t>；</w:t>
      </w:r>
    </w:p>
    <w:p w14:paraId="445C7305">
      <w:pPr>
        <w:bidi w:val="0"/>
        <w:rPr>
          <w:rFonts w:hint="eastAsia" w:eastAsia="仿宋"/>
          <w:lang w:eastAsia="zh-CN"/>
        </w:rPr>
      </w:pPr>
      <w:r>
        <w:rPr>
          <w:rFonts w:hint="eastAsia"/>
        </w:rPr>
        <w:t>34.3严格按照采购合同开展履约验收。采购人成立验收小组，按照采购合同的约定对</w:t>
      </w:r>
      <w:r>
        <w:rPr>
          <w:rFonts w:hint="eastAsia"/>
          <w:lang w:val="en-US" w:eastAsia="zh-CN"/>
        </w:rPr>
        <w:t>中标人</w:t>
      </w:r>
      <w:r>
        <w:rPr>
          <w:rFonts w:hint="eastAsia"/>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返还条件挂钩。履约验收的各项资料应当存档备查</w:t>
      </w:r>
      <w:r>
        <w:rPr>
          <w:rFonts w:hint="eastAsia"/>
          <w:lang w:eastAsia="zh-CN"/>
        </w:rPr>
        <w:t>；</w:t>
      </w:r>
    </w:p>
    <w:p w14:paraId="3464C187">
      <w:pPr>
        <w:bidi w:val="0"/>
        <w:rPr>
          <w:rFonts w:hint="eastAsia" w:eastAsia="仿宋"/>
          <w:lang w:eastAsia="zh-CN"/>
        </w:rPr>
      </w:pPr>
      <w:r>
        <w:rPr>
          <w:rFonts w:hint="eastAsia"/>
        </w:rPr>
        <w:t>34.4采购人原则上应当在履约验收之日起2个工作日内，将履约验收结果在浙江政府采购网上公告</w:t>
      </w:r>
      <w:r>
        <w:rPr>
          <w:rFonts w:hint="eastAsia"/>
          <w:lang w:eastAsia="zh-CN"/>
        </w:rPr>
        <w:t>；</w:t>
      </w:r>
    </w:p>
    <w:p w14:paraId="1FE8F345">
      <w:pPr>
        <w:bidi w:val="0"/>
        <w:rPr>
          <w:rFonts w:hint="eastAsia" w:eastAsia="仿宋"/>
          <w:lang w:eastAsia="zh-CN"/>
        </w:rPr>
      </w:pPr>
      <w:r>
        <w:rPr>
          <w:rFonts w:hint="eastAsia"/>
        </w:rPr>
        <w:t>34.5验收合格的项目，采购人将根据采购合同的约定及时向</w:t>
      </w:r>
      <w:r>
        <w:rPr>
          <w:rFonts w:hint="eastAsia"/>
          <w:lang w:val="en-US" w:eastAsia="zh-CN"/>
        </w:rPr>
        <w:t>中标人</w:t>
      </w:r>
      <w:r>
        <w:rPr>
          <w:rFonts w:hint="eastAsia"/>
        </w:rPr>
        <w:t>支付采购资金</w:t>
      </w:r>
      <w:r>
        <w:rPr>
          <w:rFonts w:hint="eastAsia"/>
          <w:lang w:eastAsia="zh-CN"/>
        </w:rPr>
        <w:t>；</w:t>
      </w:r>
    </w:p>
    <w:p w14:paraId="46B5928A">
      <w:pPr>
        <w:bidi w:val="0"/>
        <w:rPr>
          <w:rFonts w:hint="eastAsia"/>
        </w:rPr>
      </w:pPr>
      <w:r>
        <w:rPr>
          <w:rFonts w:hint="eastAsia"/>
        </w:rPr>
        <w:t>34.6验收不合格的项目，采购人将依法及时处理。采购合同的履行、违约责任和解决争议的方式等适用《中华人民共和国民法典》。</w:t>
      </w:r>
      <w:r>
        <w:rPr>
          <w:rFonts w:hint="eastAsia"/>
          <w:lang w:val="en-US" w:eastAsia="zh-CN"/>
        </w:rPr>
        <w:t>中标人</w:t>
      </w:r>
      <w:r>
        <w:rPr>
          <w:rFonts w:hint="eastAsia"/>
        </w:rPr>
        <w:t>在履约过程中有政府采购法律法规规定的违法违规情形的，采购人应当及时报告本级财政部门。</w:t>
      </w:r>
    </w:p>
    <w:p w14:paraId="24EF33AD">
      <w:pPr>
        <w:spacing w:line="420" w:lineRule="exact"/>
        <w:ind w:firstLine="602" w:firstLineChars="200"/>
        <w:jc w:val="center"/>
        <w:rPr>
          <w:rFonts w:hint="eastAsia" w:ascii="仿宋" w:hAnsi="仿宋" w:eastAsia="仿宋" w:cs="仿宋"/>
          <w:b/>
          <w:bCs/>
          <w:color w:val="auto"/>
          <w:sz w:val="30"/>
          <w:szCs w:val="30"/>
        </w:rPr>
      </w:pPr>
    </w:p>
    <w:p w14:paraId="2EB4CF79">
      <w:pPr>
        <w:spacing w:line="420" w:lineRule="exact"/>
        <w:ind w:firstLine="602" w:firstLineChars="200"/>
        <w:jc w:val="center"/>
        <w:rPr>
          <w:rFonts w:hint="eastAsia" w:ascii="仿宋" w:hAnsi="仿宋" w:eastAsia="仿宋" w:cs="仿宋"/>
          <w:b/>
          <w:bCs/>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0CC139A8">
      <w:pPr>
        <w:pStyle w:val="5"/>
        <w:bidi w:val="0"/>
        <w:ind w:left="0" w:leftChars="0" w:firstLine="0" w:firstLineChars="0"/>
        <w:jc w:val="center"/>
        <w:rPr>
          <w:rFonts w:hint="eastAsia" w:ascii="仿宋" w:hAnsi="仿宋" w:eastAsia="仿宋" w:cs="仿宋"/>
          <w:color w:val="auto"/>
          <w:sz w:val="24"/>
        </w:rPr>
      </w:pPr>
      <w:r>
        <w:rPr>
          <w:rFonts w:hint="eastAsia"/>
        </w:rPr>
        <w:t>九、质疑和投诉</w:t>
      </w:r>
    </w:p>
    <w:p w14:paraId="129E2A11">
      <w:pPr>
        <w:bidi w:val="0"/>
        <w:rPr>
          <w:rFonts w:hint="eastAsia" w:eastAsia="仿宋"/>
          <w:lang w:eastAsia="zh-CN"/>
        </w:rPr>
      </w:pPr>
      <w:r>
        <w:rPr>
          <w:rFonts w:hint="eastAsia"/>
        </w:rPr>
        <w:t>35.1开标过程中，投标人对开标有异议的，应当在“政采云”平台上及时提出，评审委员应对异常情况制作相关记录</w:t>
      </w:r>
      <w:r>
        <w:rPr>
          <w:rFonts w:hint="eastAsia"/>
          <w:lang w:eastAsia="zh-CN"/>
        </w:rPr>
        <w:t>；</w:t>
      </w:r>
    </w:p>
    <w:p w14:paraId="4F95A909">
      <w:pPr>
        <w:bidi w:val="0"/>
        <w:rPr>
          <w:rFonts w:hint="eastAsia" w:eastAsia="仿宋"/>
          <w:lang w:eastAsia="zh-CN"/>
        </w:rPr>
      </w:pPr>
      <w:r>
        <w:rPr>
          <w:rFonts w:hint="eastAsia"/>
        </w:rPr>
        <w:t>35.2开评标结束后，投标人或者其他利害关系人对依法必须进行招标的项目的评标结果有异议的，应在采购结果公告期限结束之日（公告发布之日起至第2日24小时止）起7个工作日内依据招投标相关法律法规向采购人、招标代理机构提出质疑。质疑供应商应当在法定质疑期内一次性提出针对同一采购程序环节的质疑。采购人或招标代理机构将在收到书面质疑后7个工作日内对质疑内容做出答复。若投标人对采购人或招标代理机构的答复、处理结果不满意，应在收到采购人或招标代理机构的书面答复后十五个工作日内到招标投标管理部门投诉</w:t>
      </w:r>
      <w:r>
        <w:rPr>
          <w:rFonts w:hint="eastAsia"/>
          <w:lang w:eastAsia="zh-CN"/>
        </w:rPr>
        <w:t>；</w:t>
      </w:r>
    </w:p>
    <w:p w14:paraId="27949C47">
      <w:pPr>
        <w:bidi w:val="0"/>
        <w:rPr>
          <w:rFonts w:hint="eastAsia" w:eastAsia="仿宋"/>
          <w:lang w:eastAsia="zh-CN"/>
        </w:rPr>
      </w:pPr>
      <w:r>
        <w:rPr>
          <w:rFonts w:hint="eastAsia"/>
        </w:rPr>
        <w:t>35.3质疑投诉的相关规定</w:t>
      </w:r>
      <w:r>
        <w:rPr>
          <w:rFonts w:hint="eastAsia"/>
          <w:lang w:eastAsia="zh-CN"/>
        </w:rPr>
        <w:t>：</w:t>
      </w:r>
    </w:p>
    <w:p w14:paraId="61C4C1DC">
      <w:pPr>
        <w:bidi w:val="0"/>
        <w:rPr>
          <w:rFonts w:hint="eastAsia" w:eastAsia="仿宋"/>
          <w:lang w:eastAsia="zh-CN"/>
        </w:rPr>
      </w:pPr>
      <w:r>
        <w:rPr>
          <w:rFonts w:hint="eastAsia"/>
          <w:lang w:val="en-US" w:eastAsia="zh-CN"/>
        </w:rPr>
        <w:t>35.3.1</w:t>
      </w:r>
      <w:r>
        <w:rPr>
          <w:rFonts w:hint="eastAsia"/>
        </w:rPr>
        <w:t>质疑投诉递交的资料需为书面材料。质疑投诉书面材料需法人代表人（或负责人）或授权代表签字并加盖公章</w:t>
      </w:r>
      <w:r>
        <w:rPr>
          <w:rFonts w:hint="eastAsia"/>
          <w:lang w:eastAsia="zh-CN"/>
        </w:rPr>
        <w:t>；</w:t>
      </w:r>
    </w:p>
    <w:p w14:paraId="02AC4B97">
      <w:pPr>
        <w:bidi w:val="0"/>
        <w:rPr>
          <w:rFonts w:hint="eastAsia"/>
        </w:rPr>
      </w:pPr>
      <w:r>
        <w:rPr>
          <w:rFonts w:hint="eastAsia"/>
          <w:lang w:val="en-US" w:eastAsia="zh-CN"/>
        </w:rPr>
        <w:t>35.3.2</w:t>
      </w:r>
      <w:r>
        <w:rPr>
          <w:rFonts w:hint="eastAsia"/>
        </w:rPr>
        <w:t>质疑投诉属于以下情况之一的，将不予受理：</w:t>
      </w:r>
    </w:p>
    <w:p w14:paraId="132D7E57">
      <w:pPr>
        <w:bidi w:val="0"/>
        <w:rPr>
          <w:rFonts w:hint="eastAsia" w:eastAsia="仿宋"/>
          <w:lang w:eastAsia="zh-CN"/>
        </w:rPr>
      </w:pPr>
      <w:r>
        <w:rPr>
          <w:rFonts w:hint="eastAsia"/>
        </w:rPr>
        <w:t>(1)质疑投诉人不是所投诉项目的参与者，或者与质疑投诉项目无任何利害关系</w:t>
      </w:r>
      <w:r>
        <w:rPr>
          <w:rFonts w:hint="eastAsia"/>
          <w:lang w:eastAsia="zh-CN"/>
        </w:rPr>
        <w:t>；</w:t>
      </w:r>
    </w:p>
    <w:p w14:paraId="08F4639E">
      <w:pPr>
        <w:bidi w:val="0"/>
        <w:rPr>
          <w:rFonts w:hint="eastAsia" w:eastAsia="仿宋"/>
          <w:lang w:eastAsia="zh-CN"/>
        </w:rPr>
      </w:pPr>
      <w:r>
        <w:rPr>
          <w:rFonts w:hint="eastAsia"/>
        </w:rPr>
        <w:t>(2)质疑投诉事项不具体，且未提供有效线索，难以查证</w:t>
      </w:r>
      <w:r>
        <w:rPr>
          <w:rFonts w:hint="eastAsia"/>
          <w:lang w:eastAsia="zh-CN"/>
        </w:rPr>
        <w:t>；</w:t>
      </w:r>
    </w:p>
    <w:p w14:paraId="56BCD764">
      <w:pPr>
        <w:bidi w:val="0"/>
        <w:rPr>
          <w:rFonts w:hint="eastAsia" w:eastAsia="仿宋"/>
          <w:lang w:eastAsia="zh-CN"/>
        </w:rPr>
      </w:pPr>
      <w:r>
        <w:rPr>
          <w:rFonts w:hint="eastAsia"/>
        </w:rPr>
        <w:t>(3)未提供书面质疑或者质疑未加盖公章的；投诉人为法人或者其他组织，其投诉书未经法定代表人或者主要负责人签字并加盖公章的</w:t>
      </w:r>
      <w:r>
        <w:rPr>
          <w:rFonts w:hint="eastAsia"/>
          <w:lang w:eastAsia="zh-CN"/>
        </w:rPr>
        <w:t>；</w:t>
      </w:r>
    </w:p>
    <w:p w14:paraId="54D36FCD">
      <w:pPr>
        <w:bidi w:val="0"/>
        <w:rPr>
          <w:rFonts w:hint="eastAsia" w:eastAsia="仿宋"/>
          <w:lang w:eastAsia="zh-CN"/>
        </w:rPr>
      </w:pPr>
      <w:r>
        <w:rPr>
          <w:rFonts w:hint="eastAsia"/>
        </w:rPr>
        <w:t>(4)已超过招标文件规定质疑投诉提出期限的事项</w:t>
      </w:r>
      <w:r>
        <w:rPr>
          <w:rFonts w:hint="eastAsia"/>
          <w:lang w:eastAsia="zh-CN"/>
        </w:rPr>
        <w:t>；</w:t>
      </w:r>
    </w:p>
    <w:p w14:paraId="37D421AF">
      <w:pPr>
        <w:bidi w:val="0"/>
        <w:rPr>
          <w:rFonts w:hint="eastAsia" w:eastAsia="仿宋"/>
          <w:lang w:eastAsia="zh-CN"/>
        </w:rPr>
      </w:pPr>
      <w:r>
        <w:rPr>
          <w:rFonts w:hint="eastAsia"/>
        </w:rPr>
        <w:t>(5)投诉事项已作出处理决定，并且投诉人没有提出新的证据</w:t>
      </w:r>
      <w:r>
        <w:rPr>
          <w:rFonts w:hint="eastAsia"/>
          <w:lang w:eastAsia="zh-CN"/>
        </w:rPr>
        <w:t>；</w:t>
      </w:r>
    </w:p>
    <w:p w14:paraId="00CC1206">
      <w:pPr>
        <w:bidi w:val="0"/>
        <w:rPr>
          <w:rFonts w:hint="eastAsia" w:eastAsia="仿宋"/>
          <w:lang w:eastAsia="zh-CN"/>
        </w:rPr>
      </w:pPr>
      <w:r>
        <w:rPr>
          <w:rFonts w:hint="eastAsia"/>
        </w:rPr>
        <w:t>(6)质疑投诉的事项已经进入行政复议或者行政诉讼程序的；投诉事项应先提出质疑而没有提出质疑的</w:t>
      </w:r>
      <w:r>
        <w:rPr>
          <w:rFonts w:hint="eastAsia"/>
          <w:lang w:eastAsia="zh-CN"/>
        </w:rPr>
        <w:t>；</w:t>
      </w:r>
    </w:p>
    <w:p w14:paraId="058F2747">
      <w:pPr>
        <w:bidi w:val="0"/>
        <w:rPr>
          <w:rFonts w:hint="eastAsia"/>
        </w:rPr>
      </w:pPr>
      <w:r>
        <w:rPr>
          <w:rFonts w:hint="eastAsia"/>
        </w:rPr>
        <w:t>(7)不符合《政府采购质疑和投诉办法》（财政部令第94号）等有关规定的投诉。</w:t>
      </w:r>
    </w:p>
    <w:p w14:paraId="4E288AFA">
      <w:pPr>
        <w:spacing w:before="0" w:after="0" w:line="420" w:lineRule="exact"/>
        <w:jc w:val="center"/>
        <w:outlineLvl w:val="9"/>
        <w:rPr>
          <w:rFonts w:hint="eastAsia" w:ascii="仿宋" w:hAnsi="仿宋" w:eastAsia="仿宋" w:cs="仿宋"/>
          <w:sz w:val="30"/>
          <w:szCs w:val="30"/>
        </w:rPr>
      </w:pPr>
    </w:p>
    <w:p w14:paraId="58236AF9">
      <w:pPr>
        <w:spacing w:before="0" w:after="0" w:line="420" w:lineRule="exact"/>
        <w:jc w:val="center"/>
        <w:outlineLvl w:val="9"/>
        <w:rPr>
          <w:rFonts w:hint="eastAsia" w:ascii="仿宋" w:hAnsi="仿宋" w:eastAsia="仿宋" w:cs="仿宋"/>
          <w:sz w:val="30"/>
          <w:szCs w:val="30"/>
        </w:rPr>
      </w:pPr>
    </w:p>
    <w:p w14:paraId="11024AD8">
      <w:pPr>
        <w:pStyle w:val="5"/>
        <w:bidi w:val="0"/>
        <w:jc w:val="center"/>
        <w:rPr>
          <w:rFonts w:hint="eastAsia" w:ascii="仿宋" w:hAnsi="仿宋" w:eastAsia="仿宋" w:cs="仿宋"/>
          <w:b/>
          <w:bCs/>
          <w:color w:val="auto"/>
          <w:sz w:val="24"/>
        </w:rPr>
      </w:pPr>
      <w:r>
        <w:rPr>
          <w:rFonts w:hint="eastAsia"/>
        </w:rPr>
        <w:t>十、监督和解释</w:t>
      </w:r>
    </w:p>
    <w:p w14:paraId="0B727F80">
      <w:pPr>
        <w:bidi w:val="0"/>
        <w:rPr>
          <w:rFonts w:hint="eastAsia"/>
        </w:rPr>
      </w:pPr>
      <w:r>
        <w:rPr>
          <w:rFonts w:hint="eastAsia"/>
        </w:rPr>
        <w:t>36.本招标文件的解释权属于采购人和</w:t>
      </w:r>
      <w:r>
        <w:rPr>
          <w:rFonts w:hint="eastAsia"/>
          <w:lang w:eastAsia="zh-CN"/>
        </w:rPr>
        <w:t>浙江日晟信息咨询有限公司</w:t>
      </w:r>
      <w:r>
        <w:rPr>
          <w:rFonts w:hint="eastAsia"/>
        </w:rPr>
        <w:t>。</w:t>
      </w:r>
    </w:p>
    <w:p w14:paraId="099B1D1E">
      <w:pPr>
        <w:spacing w:line="420" w:lineRule="exact"/>
        <w:rPr>
          <w:rFonts w:hint="eastAsia" w:ascii="仿宋" w:hAnsi="仿宋" w:eastAsia="仿宋" w:cs="仿宋"/>
          <w:b/>
          <w:color w:val="auto"/>
          <w:lang w:bidi="ar"/>
        </w:rPr>
      </w:pPr>
    </w:p>
    <w:p w14:paraId="4B49FEE5">
      <w:pPr>
        <w:pStyle w:val="4"/>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color w:val="auto"/>
          <w:sz w:val="36"/>
          <w:szCs w:val="36"/>
        </w:rPr>
        <w:br w:type="page"/>
      </w:r>
      <w:r>
        <w:rPr>
          <w:rFonts w:hint="eastAsia" w:ascii="仿宋" w:hAnsi="仿宋" w:eastAsia="仿宋" w:cs="仿宋"/>
          <w:b/>
          <w:color w:val="auto"/>
          <w:sz w:val="36"/>
          <w:szCs w:val="36"/>
        </w:rPr>
        <w:t>第三章  招标需求</w:t>
      </w:r>
    </w:p>
    <w:p w14:paraId="3BD39549">
      <w:pPr>
        <w:numPr>
          <w:ilvl w:val="0"/>
          <w:numId w:val="0"/>
        </w:numPr>
        <w:spacing w:line="360" w:lineRule="auto"/>
        <w:rPr>
          <w:rFonts w:hint="eastAsia" w:ascii="仿宋" w:hAnsi="仿宋" w:eastAsia="仿宋" w:cs="仿宋"/>
          <w:bCs/>
          <w:sz w:val="24"/>
          <w:szCs w:val="24"/>
          <w:lang w:eastAsia="zh-CN"/>
        </w:rPr>
      </w:pPr>
      <w:bookmarkStart w:id="5" w:name="_Toc49435409"/>
      <w:r>
        <w:rPr>
          <w:rFonts w:hint="eastAsia" w:ascii="仿宋" w:hAnsi="仿宋" w:eastAsia="仿宋" w:cs="仿宋"/>
          <w:b/>
          <w:bCs/>
          <w:sz w:val="24"/>
          <w:szCs w:val="24"/>
          <w:lang w:val="en-US" w:eastAsia="zh-CN"/>
        </w:rPr>
        <w:t>一、</w:t>
      </w:r>
      <w:r>
        <w:rPr>
          <w:rFonts w:hint="eastAsia" w:cs="仿宋"/>
          <w:b/>
          <w:bCs/>
          <w:sz w:val="24"/>
          <w:szCs w:val="24"/>
          <w:lang w:val="en-US" w:eastAsia="zh-CN"/>
        </w:rPr>
        <w:t>项目概况</w:t>
      </w:r>
      <w:r>
        <w:rPr>
          <w:rFonts w:hint="eastAsia" w:ascii="仿宋" w:hAnsi="仿宋" w:eastAsia="仿宋" w:cs="仿宋"/>
          <w:b/>
          <w:bCs/>
          <w:sz w:val="24"/>
          <w:szCs w:val="24"/>
          <w:lang w:eastAsia="zh-CN"/>
        </w:rPr>
        <w:t>：</w:t>
      </w:r>
    </w:p>
    <w:p w14:paraId="0307B37A">
      <w:pPr>
        <w:numPr>
          <w:ilvl w:val="0"/>
          <w:numId w:val="0"/>
        </w:numPr>
        <w:spacing w:line="360" w:lineRule="auto"/>
        <w:ind w:firstLine="480" w:firstLineChars="200"/>
        <w:rPr>
          <w:rFonts w:hint="eastAsia" w:ascii="仿宋" w:hAnsi="仿宋" w:eastAsia="仿宋" w:cs="仿宋"/>
          <w:bCs/>
          <w:sz w:val="24"/>
          <w:szCs w:val="24"/>
          <w:highlight w:val="yellow"/>
        </w:rPr>
      </w:pPr>
      <w:r>
        <w:rPr>
          <w:rFonts w:hint="eastAsia" w:ascii="仿宋" w:hAnsi="仿宋" w:eastAsia="仿宋" w:cs="仿宋"/>
          <w:bCs/>
          <w:sz w:val="24"/>
          <w:szCs w:val="24"/>
        </w:rPr>
        <w:t>本项目是武义县范围内的交</w:t>
      </w:r>
      <w:r>
        <w:rPr>
          <w:rFonts w:hint="eastAsia" w:ascii="仿宋" w:hAnsi="仿宋" w:eastAsia="仿宋" w:cs="仿宋"/>
          <w:bCs/>
          <w:sz w:val="24"/>
          <w:szCs w:val="24"/>
          <w:lang w:val="en-US" w:eastAsia="zh-CN"/>
        </w:rPr>
        <w:t>通</w:t>
      </w:r>
      <w:r>
        <w:rPr>
          <w:rFonts w:hint="eastAsia" w:ascii="仿宋" w:hAnsi="仿宋" w:eastAsia="仿宋" w:cs="仿宋"/>
          <w:bCs/>
          <w:sz w:val="24"/>
          <w:szCs w:val="24"/>
        </w:rPr>
        <w:t>信号灯维护保养，截止2026年4月30日过保的126个路口交通信号灯维护保养，主要服务内容为对维护期限内的交通信号灯（含设备、设施）日常的维修、保养、清洁，及时更换损坏或被盗的管道、线缆、绝缘子、导线、灯具、灯座、杆件、信号机等设备或元器件，有计划的巡查和维修线路、表箱、接线井、控制箱（主机箱）、配电设备及其他相关设施的管理和养护、拖放临时红绿灯及电池更换、配合完成前端设备与新智慧交管平台的对接、新旧平台割接及信号机更新迭代相</w:t>
      </w:r>
      <w:r>
        <w:rPr>
          <w:rFonts w:hint="eastAsia" w:ascii="仿宋" w:hAnsi="仿宋" w:eastAsia="仿宋" w:cs="仿宋"/>
          <w:bCs/>
          <w:sz w:val="24"/>
          <w:szCs w:val="24"/>
          <w:highlight w:val="none"/>
        </w:rPr>
        <w:t>关工作。</w:t>
      </w:r>
    </w:p>
    <w:p w14:paraId="681464E4">
      <w:pPr>
        <w:numPr>
          <w:ilvl w:val="0"/>
          <w:numId w:val="0"/>
        </w:numPr>
        <w:spacing w:line="360" w:lineRule="auto"/>
        <w:jc w:val="both"/>
        <w:rPr>
          <w:rFonts w:hint="eastAsia" w:ascii="仿宋" w:hAnsi="仿宋" w:eastAsia="仿宋" w:cs="仿宋"/>
          <w:b/>
          <w:bCs/>
          <w:sz w:val="24"/>
          <w:szCs w:val="24"/>
          <w:highlight w:val="none"/>
          <w:lang w:eastAsia="zh-CN"/>
        </w:rPr>
      </w:pPr>
      <w:r>
        <w:rPr>
          <w:rFonts w:hint="eastAsia" w:cs="仿宋"/>
          <w:b/>
          <w:bCs/>
          <w:sz w:val="24"/>
          <w:szCs w:val="24"/>
          <w:highlight w:val="none"/>
          <w:lang w:val="en-US" w:eastAsia="zh-CN"/>
        </w:rPr>
        <w:t>1.</w:t>
      </w:r>
      <w:r>
        <w:rPr>
          <w:rFonts w:hint="eastAsia" w:ascii="仿宋" w:hAnsi="仿宋" w:eastAsia="仿宋" w:cs="仿宋"/>
          <w:b/>
          <w:bCs/>
          <w:sz w:val="24"/>
          <w:szCs w:val="24"/>
          <w:highlight w:val="none"/>
        </w:rPr>
        <w:t>信号灯路口名称</w:t>
      </w:r>
    </w:p>
    <w:tbl>
      <w:tblPr>
        <w:tblStyle w:val="20"/>
        <w:tblW w:w="485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281"/>
        <w:gridCol w:w="8017"/>
      </w:tblGrid>
      <w:tr w14:paraId="6F79DB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689" w:type="pct"/>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00DD35A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4310" w:type="pct"/>
            <w:tcBorders>
              <w:top w:val="single" w:color="000000" w:sz="8" w:space="0"/>
              <w:left w:val="single" w:color="000000" w:sz="8" w:space="0"/>
              <w:bottom w:val="single" w:color="000000" w:sz="8" w:space="0"/>
              <w:right w:val="single" w:color="000000" w:sz="8" w:space="0"/>
            </w:tcBorders>
            <w:shd w:val="clear" w:color="auto" w:fill="auto"/>
            <w:noWrap w:val="0"/>
            <w:vAlign w:val="center"/>
          </w:tcPr>
          <w:p w14:paraId="7C9CB09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路口名称</w:t>
            </w:r>
          </w:p>
        </w:tc>
      </w:tr>
      <w:tr w14:paraId="6F7977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F169DD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0C5D78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330国道209KM</w:t>
            </w:r>
          </w:p>
        </w:tc>
      </w:tr>
      <w:tr w14:paraId="1FB07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42FC88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19122B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330国道与昌盛建材</w:t>
            </w:r>
          </w:p>
        </w:tc>
      </w:tr>
      <w:tr w14:paraId="18CB7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10D986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B57667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330国道与董村</w:t>
            </w:r>
          </w:p>
        </w:tc>
      </w:tr>
      <w:tr w14:paraId="5A382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5B5559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86BC96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330国道与茭道小学</w:t>
            </w:r>
          </w:p>
        </w:tc>
      </w:tr>
      <w:tr w14:paraId="6EA515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EC92A9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D7932C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330国道与天道矿业</w:t>
            </w:r>
          </w:p>
        </w:tc>
      </w:tr>
      <w:tr w14:paraId="647AC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F3A923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949C78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330国道与杨家</w:t>
            </w:r>
          </w:p>
        </w:tc>
      </w:tr>
      <w:tr w14:paraId="42CE6A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777DEC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D737F2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G235国道花田小镇</w:t>
            </w:r>
          </w:p>
        </w:tc>
      </w:tr>
      <w:tr w14:paraId="1B528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311CB4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ABAA85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G235国道武王线</w:t>
            </w:r>
          </w:p>
        </w:tc>
      </w:tr>
      <w:tr w14:paraId="78043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E1EA8A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870AD3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G235国道与金村垄村口</w:t>
            </w:r>
          </w:p>
        </w:tc>
      </w:tr>
      <w:tr w14:paraId="15B86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A66E2E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7ACFA0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G235国道与柳城镇环城南路</w:t>
            </w:r>
          </w:p>
        </w:tc>
      </w:tr>
      <w:tr w14:paraId="2755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B2B302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55E452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G235国道与柳城镇利群路</w:t>
            </w:r>
          </w:p>
        </w:tc>
      </w:tr>
      <w:tr w14:paraId="1BE09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E67DD7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348D7B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G235国道与下泥村</w:t>
            </w:r>
          </w:p>
        </w:tc>
      </w:tr>
      <w:tr w14:paraId="1CA45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F2C119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FBFAFC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G235国道与新上松线</w:t>
            </w:r>
          </w:p>
        </w:tc>
      </w:tr>
      <w:tr w14:paraId="04E5A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8F6F11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8A6B69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G235与城中路</w:t>
            </w:r>
          </w:p>
        </w:tc>
      </w:tr>
      <w:tr w14:paraId="671B2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0938F8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E252BC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G235与桃白线</w:t>
            </w:r>
          </w:p>
        </w:tc>
      </w:tr>
      <w:tr w14:paraId="334EB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11E185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B40F6F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G235与延福寺</w:t>
            </w:r>
          </w:p>
        </w:tc>
      </w:tr>
      <w:tr w14:paraId="1F408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1FA999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1D5587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宝塔路东升路</w:t>
            </w:r>
          </w:p>
        </w:tc>
      </w:tr>
      <w:tr w14:paraId="04D27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16B572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ED66FB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宝塔路武阳路</w:t>
            </w:r>
          </w:p>
        </w:tc>
      </w:tr>
      <w:tr w14:paraId="2DD09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06B1E2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FB9749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城东路与壶山下街</w:t>
            </w:r>
          </w:p>
        </w:tc>
      </w:tr>
      <w:tr w14:paraId="38028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34A6A9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137A31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法金线与泉深线</w:t>
            </w:r>
          </w:p>
        </w:tc>
      </w:tr>
      <w:tr w14:paraId="15781A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3092B1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16DAD4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芳华路与川北路</w:t>
            </w:r>
          </w:p>
        </w:tc>
      </w:tr>
      <w:tr w14:paraId="6AD57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7D586C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0E1A76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芳华路与建设路</w:t>
            </w:r>
          </w:p>
        </w:tc>
      </w:tr>
      <w:tr w14:paraId="7B424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AF6AB7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CE75FD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环城南路与环城西路</w:t>
            </w:r>
          </w:p>
        </w:tc>
      </w:tr>
      <w:tr w14:paraId="22E16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C2792C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AD4D58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环城西路与城脚路</w:t>
            </w:r>
          </w:p>
        </w:tc>
      </w:tr>
      <w:tr w14:paraId="64FD4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DAAFD6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DF76E8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环城西路与光明路</w:t>
            </w:r>
          </w:p>
        </w:tc>
      </w:tr>
      <w:tr w14:paraId="7BDD6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667B13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25747F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环城西路与莹乡路</w:t>
            </w:r>
          </w:p>
        </w:tc>
      </w:tr>
      <w:tr w14:paraId="30081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DE3D5D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3220A5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黄龙二路与莹乡路</w:t>
            </w:r>
          </w:p>
        </w:tc>
      </w:tr>
      <w:tr w14:paraId="097D0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CD479D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797DAF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黄龙三路与莹乡路</w:t>
            </w:r>
          </w:p>
        </w:tc>
      </w:tr>
      <w:tr w14:paraId="5BE11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2F961D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BB9BFF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黄龙一路与莹乡路</w:t>
            </w:r>
          </w:p>
        </w:tc>
      </w:tr>
      <w:tr w14:paraId="07F1B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9DDCAA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E4A099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建设路与文兴路</w:t>
            </w:r>
          </w:p>
        </w:tc>
      </w:tr>
      <w:tr w14:paraId="5BDE8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98608C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5B1D8E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解放北街与武阳路</w:t>
            </w:r>
          </w:p>
        </w:tc>
      </w:tr>
      <w:tr w14:paraId="4152B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903028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24D9F2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解放街与东升路</w:t>
            </w:r>
          </w:p>
        </w:tc>
      </w:tr>
      <w:tr w14:paraId="07C9C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86A7A7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796425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解放街与壶山街</w:t>
            </w:r>
          </w:p>
        </w:tc>
      </w:tr>
      <w:tr w14:paraId="7AB7B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CCA7B3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B913EB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开发大道与荷花路</w:t>
            </w:r>
          </w:p>
        </w:tc>
      </w:tr>
      <w:tr w14:paraId="00D6F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4E5F7D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54AE67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开发大道与环城东路</w:t>
            </w:r>
          </w:p>
        </w:tc>
      </w:tr>
      <w:tr w14:paraId="12305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830FF3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D4AA42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开发大道与菊花路</w:t>
            </w:r>
          </w:p>
        </w:tc>
      </w:tr>
      <w:tr w14:paraId="14F2E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D96A15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E195C5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开发大道与兰花路</w:t>
            </w:r>
          </w:p>
        </w:tc>
      </w:tr>
      <w:tr w14:paraId="00D9C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751161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BAD57A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开发大道与莹乡路</w:t>
            </w:r>
          </w:p>
        </w:tc>
      </w:tr>
      <w:tr w14:paraId="14597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CD3369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91A0F4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老上松线与建设路</w:t>
            </w:r>
          </w:p>
        </w:tc>
      </w:tr>
      <w:tr w14:paraId="49406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615D7B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CBD664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明招路湖滨路</w:t>
            </w:r>
          </w:p>
        </w:tc>
      </w:tr>
      <w:tr w14:paraId="45948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B0114C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71029A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明招路环城南路</w:t>
            </w:r>
          </w:p>
        </w:tc>
      </w:tr>
      <w:tr w14:paraId="0F602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0B762B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232B41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明招路三江口</w:t>
            </w:r>
          </w:p>
        </w:tc>
      </w:tr>
      <w:tr w14:paraId="75D42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121946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85BD5D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明招路武川路</w:t>
            </w:r>
          </w:p>
        </w:tc>
      </w:tr>
      <w:tr w14:paraId="295EC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79C01F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950E2D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明招路武阳路</w:t>
            </w:r>
          </w:p>
        </w:tc>
      </w:tr>
      <w:tr w14:paraId="63580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F26ABE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51383E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明招路与东升路</w:t>
            </w:r>
          </w:p>
        </w:tc>
      </w:tr>
      <w:tr w14:paraId="1387D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BD0882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95063C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明招路与建设路</w:t>
            </w:r>
          </w:p>
        </w:tc>
      </w:tr>
      <w:tr w14:paraId="68994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01B2AA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BAF3B3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明招路与青年路</w:t>
            </w:r>
          </w:p>
        </w:tc>
      </w:tr>
      <w:tr w14:paraId="599D8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08DF7A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14271F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明招路与桐双线</w:t>
            </w:r>
          </w:p>
        </w:tc>
      </w:tr>
      <w:tr w14:paraId="69947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91EB23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A9D731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明招路与莹乡路</w:t>
            </w:r>
          </w:p>
        </w:tc>
      </w:tr>
      <w:tr w14:paraId="4D917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CE2F42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EC55CB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南门街与环城南路</w:t>
            </w:r>
          </w:p>
        </w:tc>
      </w:tr>
      <w:tr w14:paraId="66044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470058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D64D6D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南门街与栖霞路</w:t>
            </w:r>
          </w:p>
        </w:tc>
      </w:tr>
      <w:tr w14:paraId="22B8A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26E0B3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B1FCA4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南门街与武阳路</w:t>
            </w:r>
          </w:p>
        </w:tc>
      </w:tr>
      <w:tr w14:paraId="5BE0A6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9BDF90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ED2F51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南门街与中盛路</w:t>
            </w:r>
          </w:p>
        </w:tc>
      </w:tr>
      <w:tr w14:paraId="410F0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EB6D30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61017D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南苑路东干中学</w:t>
            </w:r>
          </w:p>
        </w:tc>
      </w:tr>
      <w:tr w14:paraId="0F055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A41558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3A11AE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秦余路与法金路</w:t>
            </w:r>
          </w:p>
        </w:tc>
      </w:tr>
      <w:tr w14:paraId="2CDA2B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D5100E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66A3C7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青云路与东夏线</w:t>
            </w:r>
          </w:p>
        </w:tc>
      </w:tr>
      <w:tr w14:paraId="41F37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9CE0A3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CB6C71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上松线与十白线</w:t>
            </w:r>
          </w:p>
        </w:tc>
      </w:tr>
      <w:tr w14:paraId="3A714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2DFE9C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6889CA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上松线与王大路</w:t>
            </w:r>
          </w:p>
        </w:tc>
      </w:tr>
      <w:tr w14:paraId="1861A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B3D8B0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A830B2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上松线与王岭线</w:t>
            </w:r>
          </w:p>
        </w:tc>
      </w:tr>
      <w:tr w14:paraId="7ADA8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FD7CA5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54B7AC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上松线与站前路</w:t>
            </w:r>
          </w:p>
        </w:tc>
      </w:tr>
      <w:tr w14:paraId="26D9A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BB9469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C22F39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沈桐路与倪上线</w:t>
            </w:r>
          </w:p>
        </w:tc>
      </w:tr>
      <w:tr w14:paraId="28600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1C4299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ACD9C1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十白线与履三村</w:t>
            </w:r>
          </w:p>
        </w:tc>
      </w:tr>
      <w:tr w14:paraId="26C72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C419A8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95B17D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十白线与履王线</w:t>
            </w:r>
          </w:p>
        </w:tc>
      </w:tr>
      <w:tr w14:paraId="4797B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535674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5C35A3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水仙路与荷花路</w:t>
            </w:r>
          </w:p>
        </w:tc>
      </w:tr>
      <w:tr w14:paraId="51341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296CDD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068AE2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桐凤线与永缙线</w:t>
            </w:r>
          </w:p>
        </w:tc>
      </w:tr>
      <w:tr w14:paraId="7ED34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CDAA50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35693A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桐双线与湖沿路口</w:t>
            </w:r>
          </w:p>
        </w:tc>
      </w:tr>
      <w:tr w14:paraId="33D0F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8E5B3F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2BB2B0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桐双线与泉深线</w:t>
            </w:r>
          </w:p>
        </w:tc>
      </w:tr>
      <w:tr w14:paraId="72A27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E95A52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9940F4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桐双线与中润路</w:t>
            </w:r>
          </w:p>
        </w:tc>
      </w:tr>
      <w:tr w14:paraId="1D40F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2673CD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4440B5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温泉北路与川北路</w:t>
            </w:r>
          </w:p>
        </w:tc>
      </w:tr>
      <w:tr w14:paraId="5991B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CD6FA3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7C618D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温泉北路与莹乡路</w:t>
            </w:r>
          </w:p>
        </w:tc>
      </w:tr>
      <w:tr w14:paraId="7240E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F5F26A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4A5E0F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温泉路湖滨路</w:t>
            </w:r>
          </w:p>
        </w:tc>
      </w:tr>
      <w:tr w14:paraId="39CDB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C0245C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1AD4FF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温泉路与大桥南路</w:t>
            </w:r>
          </w:p>
        </w:tc>
      </w:tr>
      <w:tr w14:paraId="73FF3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D5F6DC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73E6F8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温泉路与东升路</w:t>
            </w:r>
          </w:p>
        </w:tc>
      </w:tr>
      <w:tr w14:paraId="47710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F9F33C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4C6BDA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温泉路与环城北路</w:t>
            </w:r>
          </w:p>
        </w:tc>
      </w:tr>
      <w:tr w14:paraId="44CE0E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E4E6E4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7277E3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温泉路与环城南路</w:t>
            </w:r>
          </w:p>
        </w:tc>
      </w:tr>
      <w:tr w14:paraId="260DF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FA9F9F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4EDA7B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温泉路与熟溪北路</w:t>
            </w:r>
          </w:p>
        </w:tc>
      </w:tr>
      <w:tr w14:paraId="7F3E5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8BF523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DCC5A9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温泉路与熟溪南路</w:t>
            </w:r>
          </w:p>
        </w:tc>
      </w:tr>
      <w:tr w14:paraId="219D3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58D488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FB47DC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温泉路与武阳路</w:t>
            </w:r>
          </w:p>
        </w:tc>
      </w:tr>
      <w:tr w14:paraId="5ABAB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8E224E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79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CFA854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温泉路与下王宅路</w:t>
            </w:r>
          </w:p>
        </w:tc>
      </w:tr>
      <w:tr w14:paraId="02D4F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AA0244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D3B2DA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温泉路与中源路</w:t>
            </w:r>
          </w:p>
        </w:tc>
      </w:tr>
      <w:tr w14:paraId="00D48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AE6B0F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D0F43A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温泉南路与中盛路</w:t>
            </w:r>
          </w:p>
        </w:tc>
      </w:tr>
      <w:tr w14:paraId="12C458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BBE3CD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DF655E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五金大道与江滨路</w:t>
            </w:r>
          </w:p>
        </w:tc>
      </w:tr>
      <w:tr w14:paraId="099B1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5142AD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A6CA85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武川路与东升路</w:t>
            </w:r>
          </w:p>
        </w:tc>
      </w:tr>
      <w:tr w14:paraId="774A2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4B161C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4F9F82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武川路与环城北路</w:t>
            </w:r>
          </w:p>
        </w:tc>
      </w:tr>
      <w:tr w14:paraId="00F06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A0F9AD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1981CF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武川路与环城南路</w:t>
            </w:r>
          </w:p>
        </w:tc>
      </w:tr>
      <w:tr w14:paraId="58BDCA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01D2F2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43F54E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武川路与新兴路</w:t>
            </w:r>
          </w:p>
        </w:tc>
      </w:tr>
      <w:tr w14:paraId="46E1D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4AACAA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FD1FB1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武丽线溪郭线</w:t>
            </w:r>
          </w:p>
        </w:tc>
      </w:tr>
      <w:tr w14:paraId="5E1D0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2A662C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D5C258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武丽线与永武线</w:t>
            </w:r>
          </w:p>
        </w:tc>
      </w:tr>
      <w:tr w14:paraId="30792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8EB421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212E16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武阳路与环城西路</w:t>
            </w:r>
          </w:p>
        </w:tc>
      </w:tr>
      <w:tr w14:paraId="640E8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66F27F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7CE57A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武阳路与商城路</w:t>
            </w:r>
          </w:p>
        </w:tc>
      </w:tr>
      <w:tr w14:paraId="4FB15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9FD07B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A7ECDB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武阳路与武川路</w:t>
            </w:r>
          </w:p>
        </w:tc>
      </w:tr>
      <w:tr w14:paraId="0235F3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F41E1A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F9CCEA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西田畈高速出口路口</w:t>
            </w:r>
          </w:p>
        </w:tc>
      </w:tr>
      <w:tr w14:paraId="45092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6F743F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4A2018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新上松线与履王线</w:t>
            </w:r>
          </w:p>
        </w:tc>
      </w:tr>
      <w:tr w14:paraId="02928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8B17D9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0FBD7E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新上松线与五棉线</w:t>
            </w:r>
          </w:p>
        </w:tc>
      </w:tr>
      <w:tr w14:paraId="69B79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D4CA42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24AEA8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新上松线与义武公路</w:t>
            </w:r>
          </w:p>
        </w:tc>
      </w:tr>
      <w:tr w14:paraId="0DF7D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94965C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E58A4B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新上松线与朱村</w:t>
            </w:r>
          </w:p>
        </w:tc>
      </w:tr>
      <w:tr w14:paraId="1DD2F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AB9F82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0AC011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莹乡路新上松线</w:t>
            </w:r>
          </w:p>
        </w:tc>
      </w:tr>
      <w:tr w14:paraId="00AF8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C79C6C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E8B9A3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莹乡路与湖滨路</w:t>
            </w:r>
          </w:p>
        </w:tc>
      </w:tr>
      <w:tr w14:paraId="2BDF7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38E9CE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2B3403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莹乡路与上松线</w:t>
            </w:r>
          </w:p>
        </w:tc>
      </w:tr>
      <w:tr w14:paraId="534C0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87D9EA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CA8D3C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莹乡路与十下线</w:t>
            </w:r>
          </w:p>
        </w:tc>
      </w:tr>
      <w:tr w14:paraId="3F2AD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A216D6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692A4F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莹乡路与文兴路</w:t>
            </w:r>
          </w:p>
        </w:tc>
      </w:tr>
      <w:tr w14:paraId="39251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ED5430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D7AF3F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莹乡路与新一中</w:t>
            </w:r>
          </w:p>
        </w:tc>
      </w:tr>
      <w:tr w14:paraId="13360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C662AE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81AD3A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莹乡路与永武线（二环西路）</w:t>
            </w:r>
          </w:p>
        </w:tc>
      </w:tr>
      <w:tr w14:paraId="6BB17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4E8F55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359066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永武二线湖沿</w:t>
            </w:r>
          </w:p>
        </w:tc>
      </w:tr>
      <w:tr w14:paraId="14CC8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1F4410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B5A5FD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永武四线与法金线</w:t>
            </w:r>
          </w:p>
        </w:tc>
      </w:tr>
      <w:tr w14:paraId="22A4A0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59B936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45B2491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永武四线与开发大道</w:t>
            </w:r>
          </w:p>
        </w:tc>
      </w:tr>
      <w:tr w14:paraId="2E0B3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4670DB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6CB525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永武四线与兰花路</w:t>
            </w:r>
          </w:p>
        </w:tc>
      </w:tr>
      <w:tr w14:paraId="3CD28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7010E7B">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1D4633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永武四线与内白线</w:t>
            </w:r>
          </w:p>
        </w:tc>
      </w:tr>
      <w:tr w14:paraId="4105D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6CD6C3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1327AE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永武四线与新上松线</w:t>
            </w:r>
          </w:p>
        </w:tc>
      </w:tr>
      <w:tr w14:paraId="72981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4AC8DD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0A4D4D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永武线金丝村</w:t>
            </w:r>
          </w:p>
        </w:tc>
      </w:tr>
      <w:tr w14:paraId="4ADB6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493620B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EB2793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永武线明招路</w:t>
            </w:r>
          </w:p>
        </w:tc>
      </w:tr>
      <w:tr w14:paraId="5D1E3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15BF7F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2FB421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永武线泉深线</w:t>
            </w:r>
          </w:p>
        </w:tc>
      </w:tr>
      <w:tr w14:paraId="223AD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2BCDD4C">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E9E90F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永武线与陈宅</w:t>
            </w:r>
          </w:p>
        </w:tc>
      </w:tr>
      <w:tr w14:paraId="3B843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ABC2500">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2E06350D">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永武线与东夏线</w:t>
            </w:r>
          </w:p>
        </w:tc>
      </w:tr>
      <w:tr w14:paraId="6CC91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474EEA9">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21D090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永武线与凤凰大道</w:t>
            </w:r>
          </w:p>
        </w:tc>
      </w:tr>
      <w:tr w14:paraId="631D5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446835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557474F">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永武线与环城南路</w:t>
            </w:r>
          </w:p>
        </w:tc>
      </w:tr>
      <w:tr w14:paraId="11B8E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52ED8CF3">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117</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31E927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永武线与南门街</w:t>
            </w:r>
          </w:p>
        </w:tc>
      </w:tr>
      <w:tr w14:paraId="58B95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E777026">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118</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490E67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永武线与倪上线</w:t>
            </w:r>
          </w:p>
        </w:tc>
      </w:tr>
      <w:tr w14:paraId="2852B5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3DC551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119</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144BA6D7">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永武线与清源路口</w:t>
            </w:r>
          </w:p>
        </w:tc>
      </w:tr>
      <w:tr w14:paraId="789CA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A622AA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120</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98D04E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永武线与桐双线</w:t>
            </w:r>
          </w:p>
        </w:tc>
      </w:tr>
      <w:tr w14:paraId="2146D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769C6CC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121</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6F574E4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永武线与王山头</w:t>
            </w:r>
          </w:p>
        </w:tc>
      </w:tr>
      <w:tr w14:paraId="05A28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605605B1">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122</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74A23E1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永武线与王赵线</w:t>
            </w:r>
          </w:p>
        </w:tc>
      </w:tr>
      <w:tr w14:paraId="2F83B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006648D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123</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868988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永武线与五金大道</w:t>
            </w:r>
          </w:p>
        </w:tc>
      </w:tr>
      <w:tr w14:paraId="1D321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2854216A">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124</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09312BB4">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永武线与武阳路</w:t>
            </w:r>
          </w:p>
        </w:tc>
      </w:tr>
      <w:tr w14:paraId="61DDC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13706592">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125</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5888E535">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永武线纵三路</w:t>
            </w:r>
          </w:p>
        </w:tc>
      </w:tr>
      <w:tr w14:paraId="6F2FE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689" w:type="pct"/>
            <w:tcBorders>
              <w:top w:val="single" w:color="000000" w:sz="8" w:space="0"/>
              <w:left w:val="single" w:color="000000" w:sz="8" w:space="0"/>
              <w:bottom w:val="single" w:color="000000" w:sz="8" w:space="0"/>
              <w:right w:val="single" w:color="000000" w:sz="8" w:space="0"/>
            </w:tcBorders>
            <w:noWrap w:val="0"/>
            <w:vAlign w:val="center"/>
          </w:tcPr>
          <w:p w14:paraId="3BCFE89E">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126</w:t>
            </w:r>
          </w:p>
        </w:tc>
        <w:tc>
          <w:tcPr>
            <w:tcW w:w="8017" w:type="dxa"/>
            <w:tcBorders>
              <w:top w:val="single" w:color="000000" w:sz="8" w:space="0"/>
              <w:left w:val="single" w:color="000000" w:sz="8" w:space="0"/>
              <w:bottom w:val="single" w:color="000000" w:sz="8" w:space="0"/>
              <w:right w:val="single" w:color="000000" w:sz="8" w:space="0"/>
            </w:tcBorders>
            <w:noWrap w:val="0"/>
            <w:vAlign w:val="center"/>
          </w:tcPr>
          <w:p w14:paraId="32AEADA8">
            <w:pPr>
              <w:keepNext w:val="0"/>
              <w:keepLines w:val="0"/>
              <w:pageBreakBefore w:val="0"/>
              <w:widowControl/>
              <w:suppressLineNumbers w:val="0"/>
              <w:kinsoku/>
              <w:wordWrap/>
              <w:overflowPunct/>
              <w:topLinePunct w:val="0"/>
              <w:autoSpaceDE w:val="0"/>
              <w:autoSpaceDN w:val="0"/>
              <w:bidi w:val="0"/>
              <w:adjustRightInd w:val="0"/>
              <w:snapToGrid/>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永武线纵一路</w:t>
            </w:r>
          </w:p>
        </w:tc>
      </w:tr>
    </w:tbl>
    <w:p w14:paraId="41080974">
      <w:pPr>
        <w:pStyle w:val="33"/>
        <w:ind w:left="0" w:leftChars="0" w:firstLine="0" w:firstLineChars="0"/>
        <w:rPr>
          <w:rFonts w:hint="eastAsia" w:ascii="仿宋" w:hAnsi="仿宋" w:eastAsia="仿宋" w:cs="仿宋"/>
        </w:rPr>
      </w:pPr>
    </w:p>
    <w:p w14:paraId="0586D555">
      <w:pPr>
        <w:pStyle w:val="2"/>
        <w:numPr>
          <w:ilvl w:val="0"/>
          <w:numId w:val="0"/>
        </w:numPr>
        <w:kinsoku w:val="0"/>
        <w:overflowPunct w:val="0"/>
        <w:spacing w:before="50" w:beforeLines="0" w:afterLines="0"/>
        <w:rPr>
          <w:rFonts w:hint="eastAsia" w:ascii="仿宋" w:hAnsi="仿宋" w:eastAsia="仿宋" w:cs="仿宋"/>
          <w:b/>
          <w:bCs/>
          <w:color w:val="000000"/>
          <w:sz w:val="24"/>
          <w:szCs w:val="24"/>
          <w:lang w:val="en-US" w:eastAsia="zh-CN" w:bidi="ar-SA"/>
        </w:rPr>
      </w:pPr>
      <w:r>
        <w:rPr>
          <w:rFonts w:hint="eastAsia" w:cs="仿宋"/>
          <w:b/>
          <w:bCs/>
          <w:color w:val="000000"/>
          <w:sz w:val="24"/>
          <w:szCs w:val="24"/>
          <w:lang w:val="en-US" w:eastAsia="zh-CN" w:bidi="ar-SA"/>
        </w:rPr>
        <w:t>2.</w:t>
      </w:r>
      <w:r>
        <w:rPr>
          <w:rFonts w:hint="eastAsia" w:ascii="仿宋" w:hAnsi="仿宋" w:eastAsia="仿宋" w:cs="仿宋"/>
          <w:b/>
          <w:bCs/>
          <w:color w:val="000000"/>
          <w:sz w:val="24"/>
          <w:szCs w:val="24"/>
          <w:lang w:val="en-US" w:eastAsia="zh-CN" w:bidi="ar-SA"/>
        </w:rPr>
        <w:t>信号灯维护采购清单</w:t>
      </w:r>
    </w:p>
    <w:tbl>
      <w:tblPr>
        <w:tblStyle w:val="20"/>
        <w:tblW w:w="9601" w:type="dxa"/>
        <w:tblInd w:w="-23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4"/>
        <w:gridCol w:w="1276"/>
        <w:gridCol w:w="5455"/>
        <w:gridCol w:w="982"/>
        <w:gridCol w:w="1064"/>
      </w:tblGrid>
      <w:tr w14:paraId="362E6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24" w:type="dxa"/>
            <w:vMerge w:val="restart"/>
            <w:tcBorders>
              <w:top w:val="single" w:color="000000" w:sz="4" w:space="0"/>
              <w:left w:val="single" w:color="000000" w:sz="4" w:space="0"/>
              <w:bottom w:val="single" w:color="000000" w:sz="4" w:space="0"/>
              <w:right w:val="single" w:color="000000" w:sz="4" w:space="0"/>
            </w:tcBorders>
            <w:noWrap w:val="0"/>
            <w:vAlign w:val="center"/>
          </w:tcPr>
          <w:p w14:paraId="4BE3A0C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序号</w:t>
            </w:r>
          </w:p>
        </w:tc>
        <w:tc>
          <w:tcPr>
            <w:tcW w:w="1276" w:type="dxa"/>
            <w:vMerge w:val="restart"/>
            <w:tcBorders>
              <w:top w:val="single" w:color="000000" w:sz="4" w:space="0"/>
              <w:left w:val="single" w:color="000000" w:sz="4" w:space="0"/>
              <w:bottom w:val="single" w:color="000000" w:sz="4" w:space="0"/>
              <w:right w:val="single" w:color="000000" w:sz="4" w:space="0"/>
            </w:tcBorders>
            <w:noWrap w:val="0"/>
            <w:vAlign w:val="center"/>
          </w:tcPr>
          <w:p w14:paraId="07DD3C9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名称</w:t>
            </w:r>
          </w:p>
        </w:tc>
        <w:tc>
          <w:tcPr>
            <w:tcW w:w="5455" w:type="dxa"/>
            <w:vMerge w:val="restart"/>
            <w:tcBorders>
              <w:top w:val="single" w:color="000000" w:sz="4" w:space="0"/>
              <w:left w:val="single" w:color="000000" w:sz="4" w:space="0"/>
              <w:bottom w:val="single" w:color="000000" w:sz="4" w:space="0"/>
              <w:right w:val="single" w:color="000000" w:sz="4" w:space="0"/>
            </w:tcBorders>
            <w:noWrap w:val="0"/>
            <w:vAlign w:val="center"/>
          </w:tcPr>
          <w:p w14:paraId="0E51F2F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技术参数</w:t>
            </w:r>
          </w:p>
        </w:tc>
        <w:tc>
          <w:tcPr>
            <w:tcW w:w="982" w:type="dxa"/>
            <w:vMerge w:val="restart"/>
            <w:tcBorders>
              <w:top w:val="single" w:color="000000" w:sz="4" w:space="0"/>
              <w:left w:val="single" w:color="000000" w:sz="4" w:space="0"/>
              <w:bottom w:val="single" w:color="000000" w:sz="4" w:space="0"/>
              <w:right w:val="single" w:color="000000" w:sz="4" w:space="0"/>
            </w:tcBorders>
            <w:noWrap w:val="0"/>
            <w:vAlign w:val="center"/>
          </w:tcPr>
          <w:p w14:paraId="7251124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单位</w:t>
            </w:r>
          </w:p>
        </w:tc>
        <w:tc>
          <w:tcPr>
            <w:tcW w:w="1064" w:type="dxa"/>
            <w:vMerge w:val="restart"/>
            <w:tcBorders>
              <w:top w:val="single" w:color="000000" w:sz="4" w:space="0"/>
              <w:left w:val="single" w:color="000000" w:sz="4" w:space="0"/>
              <w:bottom w:val="single" w:color="000000" w:sz="4" w:space="0"/>
              <w:right w:val="single" w:color="000000" w:sz="4" w:space="0"/>
            </w:tcBorders>
            <w:noWrap w:val="0"/>
            <w:vAlign w:val="center"/>
          </w:tcPr>
          <w:p w14:paraId="6BF47CB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b/>
                <w:bCs/>
                <w:i w:val="0"/>
                <w:iCs w:val="0"/>
                <w:color w:val="000000"/>
                <w:sz w:val="24"/>
                <w:szCs w:val="24"/>
                <w:highlight w:val="none"/>
                <w:u w:val="none"/>
              </w:rPr>
            </w:pPr>
            <w:r>
              <w:rPr>
                <w:rFonts w:hint="eastAsia" w:ascii="仿宋" w:hAnsi="仿宋" w:eastAsia="仿宋" w:cs="仿宋"/>
                <w:b/>
                <w:bCs/>
                <w:i w:val="0"/>
                <w:iCs w:val="0"/>
                <w:color w:val="000000"/>
                <w:kern w:val="0"/>
                <w:sz w:val="24"/>
                <w:szCs w:val="24"/>
                <w:highlight w:val="none"/>
                <w:u w:val="none"/>
                <w:lang w:val="en-US" w:eastAsia="zh-CN" w:bidi="ar"/>
              </w:rPr>
              <w:t>数量</w:t>
            </w:r>
          </w:p>
        </w:tc>
      </w:tr>
      <w:tr w14:paraId="6F36F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trPr>
        <w:tc>
          <w:tcPr>
            <w:tcW w:w="82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9BD056">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b/>
                <w:bCs/>
                <w:i w:val="0"/>
                <w:iCs w:val="0"/>
                <w:color w:val="000000"/>
                <w:sz w:val="24"/>
                <w:szCs w:val="24"/>
                <w:highlight w:val="none"/>
                <w:u w:val="none"/>
              </w:rPr>
            </w:pPr>
          </w:p>
        </w:tc>
        <w:tc>
          <w:tcPr>
            <w:tcW w:w="1276"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EFCD13">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b/>
                <w:bCs/>
                <w:i w:val="0"/>
                <w:iCs w:val="0"/>
                <w:color w:val="000000"/>
                <w:sz w:val="24"/>
                <w:szCs w:val="24"/>
                <w:highlight w:val="none"/>
                <w:u w:val="none"/>
              </w:rPr>
            </w:pPr>
          </w:p>
        </w:tc>
        <w:tc>
          <w:tcPr>
            <w:tcW w:w="545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72B0BD">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b/>
                <w:bCs/>
                <w:i w:val="0"/>
                <w:iCs w:val="0"/>
                <w:color w:val="000000"/>
                <w:sz w:val="24"/>
                <w:szCs w:val="24"/>
                <w:highlight w:val="none"/>
                <w:u w:val="none"/>
              </w:rPr>
            </w:pPr>
          </w:p>
        </w:tc>
        <w:tc>
          <w:tcPr>
            <w:tcW w:w="98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1240AB">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b/>
                <w:bCs/>
                <w:i w:val="0"/>
                <w:iCs w:val="0"/>
                <w:color w:val="000000"/>
                <w:sz w:val="24"/>
                <w:szCs w:val="24"/>
                <w:highlight w:val="none"/>
                <w:u w:val="none"/>
              </w:rPr>
            </w:pPr>
          </w:p>
        </w:tc>
        <w:tc>
          <w:tcPr>
            <w:tcW w:w="106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E88A56">
            <w:pPr>
              <w:keepNext w:val="0"/>
              <w:keepLines w:val="0"/>
              <w:pageBreakBefore w:val="0"/>
              <w:kinsoku/>
              <w:wordWrap/>
              <w:overflowPunct/>
              <w:topLinePunct w:val="0"/>
              <w:autoSpaceDE w:val="0"/>
              <w:autoSpaceDN w:val="0"/>
              <w:bidi w:val="0"/>
              <w:adjustRightInd w:val="0"/>
              <w:snapToGrid/>
              <w:spacing w:line="360" w:lineRule="auto"/>
              <w:ind w:firstLine="0" w:firstLineChars="0"/>
              <w:jc w:val="center"/>
              <w:rPr>
                <w:rFonts w:hint="eastAsia" w:ascii="仿宋" w:hAnsi="仿宋" w:eastAsia="仿宋" w:cs="仿宋"/>
                <w:b/>
                <w:bCs/>
                <w:i w:val="0"/>
                <w:iCs w:val="0"/>
                <w:color w:val="000000"/>
                <w:sz w:val="24"/>
                <w:szCs w:val="24"/>
                <w:highlight w:val="none"/>
                <w:u w:val="none"/>
              </w:rPr>
            </w:pPr>
          </w:p>
        </w:tc>
      </w:tr>
      <w:tr w14:paraId="3032A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824" w:type="dxa"/>
            <w:tcBorders>
              <w:top w:val="single" w:color="000000" w:sz="4" w:space="0"/>
              <w:left w:val="single" w:color="000000" w:sz="4" w:space="0"/>
              <w:bottom w:val="single" w:color="000000" w:sz="4" w:space="0"/>
              <w:right w:val="single" w:color="000000" w:sz="4" w:space="0"/>
            </w:tcBorders>
            <w:noWrap/>
            <w:vAlign w:val="center"/>
          </w:tcPr>
          <w:p w14:paraId="11D61CE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276" w:type="dxa"/>
            <w:tcBorders>
              <w:top w:val="single" w:color="000000" w:sz="4" w:space="0"/>
              <w:left w:val="single" w:color="000000" w:sz="4" w:space="0"/>
              <w:bottom w:val="single" w:color="000000" w:sz="4" w:space="0"/>
              <w:right w:val="single" w:color="000000" w:sz="4" w:space="0"/>
            </w:tcBorders>
            <w:noWrap w:val="0"/>
            <w:vAlign w:val="center"/>
          </w:tcPr>
          <w:p w14:paraId="4D5814E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交通信号控制机</w:t>
            </w:r>
          </w:p>
        </w:tc>
        <w:tc>
          <w:tcPr>
            <w:tcW w:w="5455" w:type="dxa"/>
            <w:tcBorders>
              <w:top w:val="single" w:color="000000" w:sz="4" w:space="0"/>
              <w:left w:val="single" w:color="000000" w:sz="4" w:space="0"/>
              <w:bottom w:val="single" w:color="000000" w:sz="4" w:space="0"/>
              <w:right w:val="single" w:color="000000" w:sz="4" w:space="0"/>
            </w:tcBorders>
            <w:noWrap w:val="0"/>
            <w:vAlign w:val="center"/>
          </w:tcPr>
          <w:p w14:paraId="481CE8C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信号转换：满足GB-14886规定；</w:t>
            </w:r>
          </w:p>
          <w:p w14:paraId="181769C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支持不少于32个主相位，并支持主相位重复运行，满足周期内交通流重复放行及参数独立设置</w:t>
            </w:r>
            <w:r>
              <w:rPr>
                <w:rFonts w:hint="eastAsia" w:cs="仿宋"/>
                <w:i w:val="0"/>
                <w:iCs w:val="0"/>
                <w:color w:val="000000"/>
                <w:kern w:val="0"/>
                <w:sz w:val="24"/>
                <w:szCs w:val="24"/>
                <w:highlight w:val="none"/>
                <w:u w:val="none"/>
                <w:lang w:val="en-US" w:eastAsia="zh-CN" w:bidi="ar"/>
              </w:rPr>
              <w:t>；</w:t>
            </w:r>
          </w:p>
          <w:p w14:paraId="6F26C325">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支持不少于24路独立信号输出</w:t>
            </w:r>
            <w:r>
              <w:rPr>
                <w:rFonts w:hint="eastAsia" w:cs="仿宋"/>
                <w:i w:val="0"/>
                <w:iCs w:val="0"/>
                <w:color w:val="000000"/>
                <w:kern w:val="0"/>
                <w:sz w:val="24"/>
                <w:szCs w:val="24"/>
                <w:highlight w:val="none"/>
                <w:u w:val="none"/>
                <w:lang w:val="en-US" w:eastAsia="zh-CN" w:bidi="ar"/>
              </w:rPr>
              <w:t>；</w:t>
            </w:r>
          </w:p>
          <w:p w14:paraId="0B13DB4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信号机应具有独立于灯具驱动输出电路的黄闪控制装置，信号机无法正常工作时，应能通过独立的黄闪控制装置将信号输出切换为黄闪状态</w:t>
            </w:r>
            <w:r>
              <w:rPr>
                <w:rFonts w:hint="eastAsia" w:cs="仿宋"/>
                <w:i w:val="0"/>
                <w:iCs w:val="0"/>
                <w:color w:val="000000"/>
                <w:kern w:val="0"/>
                <w:sz w:val="24"/>
                <w:szCs w:val="24"/>
                <w:highlight w:val="none"/>
                <w:u w:val="none"/>
                <w:lang w:val="en-US" w:eastAsia="zh-CN" w:bidi="ar"/>
              </w:rPr>
              <w:t>；</w:t>
            </w:r>
          </w:p>
          <w:p w14:paraId="15B36C0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支持对不小于48路道路交通信号灯进行控制</w:t>
            </w:r>
            <w:r>
              <w:rPr>
                <w:rFonts w:hint="eastAsia" w:cs="仿宋"/>
                <w:i w:val="0"/>
                <w:iCs w:val="0"/>
                <w:color w:val="000000"/>
                <w:kern w:val="0"/>
                <w:sz w:val="24"/>
                <w:szCs w:val="24"/>
                <w:highlight w:val="none"/>
                <w:u w:val="none"/>
                <w:lang w:val="en-US" w:eastAsia="zh-CN" w:bidi="ar"/>
              </w:rPr>
              <w:t>；</w:t>
            </w:r>
          </w:p>
          <w:p w14:paraId="2972A7C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6</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支持不小于32个周期方案</w:t>
            </w:r>
            <w:r>
              <w:rPr>
                <w:rFonts w:hint="eastAsia" w:cs="仿宋"/>
                <w:i w:val="0"/>
                <w:iCs w:val="0"/>
                <w:color w:val="000000"/>
                <w:kern w:val="0"/>
                <w:sz w:val="24"/>
                <w:szCs w:val="24"/>
                <w:highlight w:val="none"/>
                <w:u w:val="none"/>
                <w:lang w:val="en-US" w:eastAsia="zh-CN" w:bidi="ar"/>
              </w:rPr>
              <w:t>；</w:t>
            </w:r>
          </w:p>
          <w:p w14:paraId="52C4C6D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7</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支持不小于32种日计划</w:t>
            </w:r>
            <w:r>
              <w:rPr>
                <w:rFonts w:hint="eastAsia" w:cs="仿宋"/>
                <w:i w:val="0"/>
                <w:iCs w:val="0"/>
                <w:color w:val="000000"/>
                <w:kern w:val="0"/>
                <w:sz w:val="24"/>
                <w:szCs w:val="24"/>
                <w:highlight w:val="none"/>
                <w:u w:val="none"/>
                <w:lang w:val="en-US" w:eastAsia="zh-CN" w:bidi="ar"/>
              </w:rPr>
              <w:t>；</w:t>
            </w:r>
          </w:p>
          <w:p w14:paraId="4055D47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8</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支持不小于32个日计划时间段</w:t>
            </w:r>
            <w:r>
              <w:rPr>
                <w:rFonts w:hint="eastAsia" w:cs="仿宋"/>
                <w:i w:val="0"/>
                <w:iCs w:val="0"/>
                <w:color w:val="000000"/>
                <w:kern w:val="0"/>
                <w:sz w:val="24"/>
                <w:szCs w:val="24"/>
                <w:highlight w:val="none"/>
                <w:u w:val="none"/>
                <w:lang w:val="en-US" w:eastAsia="zh-CN" w:bidi="ar"/>
              </w:rPr>
              <w:t>；</w:t>
            </w:r>
          </w:p>
          <w:p w14:paraId="7680677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支持不小于32个特殊计划</w:t>
            </w:r>
            <w:r>
              <w:rPr>
                <w:rFonts w:hint="eastAsia" w:cs="仿宋"/>
                <w:i w:val="0"/>
                <w:iCs w:val="0"/>
                <w:color w:val="000000"/>
                <w:kern w:val="0"/>
                <w:sz w:val="24"/>
                <w:szCs w:val="24"/>
                <w:highlight w:val="none"/>
                <w:u w:val="none"/>
                <w:lang w:val="en-US" w:eastAsia="zh-CN" w:bidi="ar"/>
              </w:rPr>
              <w:t>；</w:t>
            </w:r>
          </w:p>
          <w:p w14:paraId="04865695">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10</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★信号机具有多路控制功能，支持同时控制两个交叉功能，且两个交叉口的周期方案独立运行（提供权威机构出具的检测报告）</w:t>
            </w:r>
            <w:r>
              <w:rPr>
                <w:rFonts w:hint="eastAsia" w:cs="仿宋"/>
                <w:i w:val="0"/>
                <w:iCs w:val="0"/>
                <w:color w:val="000000"/>
                <w:kern w:val="0"/>
                <w:sz w:val="24"/>
                <w:szCs w:val="24"/>
                <w:highlight w:val="none"/>
                <w:u w:val="none"/>
                <w:lang w:val="en-US" w:eastAsia="zh-CN" w:bidi="ar"/>
              </w:rPr>
              <w:t>；</w:t>
            </w:r>
          </w:p>
          <w:p w14:paraId="244DB03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11</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★具备手动控制功能，在手动工作方式下，按一次手动按钮，信号状态能按预定的相位要求改变一次（提供权威机构出具的检测报告）</w:t>
            </w:r>
            <w:r>
              <w:rPr>
                <w:rFonts w:hint="eastAsia" w:cs="仿宋"/>
                <w:i w:val="0"/>
                <w:iCs w:val="0"/>
                <w:color w:val="000000"/>
                <w:kern w:val="0"/>
                <w:sz w:val="24"/>
                <w:szCs w:val="24"/>
                <w:highlight w:val="none"/>
                <w:u w:val="none"/>
                <w:lang w:val="en-US" w:eastAsia="zh-CN" w:bidi="ar"/>
              </w:rPr>
              <w:t>；</w:t>
            </w:r>
          </w:p>
          <w:p w14:paraId="757D74E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12</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支持可变车道、潮汐车道、闸道通行方案设置及控制，该路口其余车道红绿灯控制信号可独立运行</w:t>
            </w:r>
            <w:r>
              <w:rPr>
                <w:rFonts w:hint="eastAsia" w:cs="仿宋"/>
                <w:i w:val="0"/>
                <w:iCs w:val="0"/>
                <w:color w:val="000000"/>
                <w:kern w:val="0"/>
                <w:sz w:val="24"/>
                <w:szCs w:val="24"/>
                <w:highlight w:val="none"/>
                <w:u w:val="none"/>
                <w:lang w:val="en-US" w:eastAsia="zh-CN" w:bidi="ar"/>
              </w:rPr>
              <w:t>；</w:t>
            </w:r>
          </w:p>
          <w:p w14:paraId="6482ACB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13</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方案放行灯色特殊控制，包括：全红、黄闪、关灯</w:t>
            </w:r>
            <w:r>
              <w:rPr>
                <w:rFonts w:hint="eastAsia" w:cs="仿宋"/>
                <w:i w:val="0"/>
                <w:iCs w:val="0"/>
                <w:color w:val="000000"/>
                <w:kern w:val="0"/>
                <w:sz w:val="24"/>
                <w:szCs w:val="24"/>
                <w:highlight w:val="none"/>
                <w:u w:val="none"/>
                <w:lang w:val="en-US" w:eastAsia="zh-CN" w:bidi="ar"/>
              </w:rPr>
              <w:t>；</w:t>
            </w:r>
          </w:p>
          <w:p w14:paraId="29D3A5F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14</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发送方案过程中断电/断网，设备重启/恢复网络后无异常，正常运行原来的周期方案；发送方案成功后断电/断网，设备重启/恢复网络后无异常，正常运行新的周期方案</w:t>
            </w:r>
            <w:r>
              <w:rPr>
                <w:rFonts w:hint="eastAsia" w:cs="仿宋"/>
                <w:i w:val="0"/>
                <w:iCs w:val="0"/>
                <w:color w:val="000000"/>
                <w:kern w:val="0"/>
                <w:sz w:val="24"/>
                <w:szCs w:val="24"/>
                <w:highlight w:val="none"/>
                <w:u w:val="none"/>
                <w:lang w:val="en-US" w:eastAsia="zh-CN" w:bidi="ar"/>
              </w:rPr>
              <w:t>；</w:t>
            </w:r>
          </w:p>
          <w:p w14:paraId="6C22761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15</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具有流量采集功能，可接入车辆检测器，实现交通流量数据采集功能，并支持通过平台导出流量数据，生成流量统计报表</w:t>
            </w:r>
            <w:r>
              <w:rPr>
                <w:rFonts w:hint="eastAsia" w:cs="仿宋"/>
                <w:i w:val="0"/>
                <w:iCs w:val="0"/>
                <w:color w:val="000000"/>
                <w:kern w:val="0"/>
                <w:sz w:val="24"/>
                <w:szCs w:val="24"/>
                <w:highlight w:val="none"/>
                <w:u w:val="none"/>
                <w:lang w:val="en-US" w:eastAsia="zh-CN" w:bidi="ar"/>
              </w:rPr>
              <w:t>；</w:t>
            </w:r>
          </w:p>
          <w:p w14:paraId="539421F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16</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支持车检器接入并接收数据，可按固定间隔或信控周期获取每个车道的车流量、平均车速、平均车头时距、时间占有率、排队长度数据</w:t>
            </w:r>
            <w:r>
              <w:rPr>
                <w:rFonts w:hint="eastAsia" w:cs="仿宋"/>
                <w:i w:val="0"/>
                <w:iCs w:val="0"/>
                <w:color w:val="000000"/>
                <w:kern w:val="0"/>
                <w:sz w:val="24"/>
                <w:szCs w:val="24"/>
                <w:highlight w:val="none"/>
                <w:u w:val="none"/>
                <w:lang w:val="en-US" w:eastAsia="zh-CN" w:bidi="ar"/>
              </w:rPr>
              <w:t>；</w:t>
            </w:r>
          </w:p>
          <w:p w14:paraId="44F3B21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17</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具有手控面板，可用来进行参数配置与调整</w:t>
            </w:r>
            <w:r>
              <w:rPr>
                <w:rFonts w:hint="eastAsia" w:cs="仿宋"/>
                <w:i w:val="0"/>
                <w:iCs w:val="0"/>
                <w:color w:val="000000"/>
                <w:kern w:val="0"/>
                <w:sz w:val="24"/>
                <w:szCs w:val="24"/>
                <w:highlight w:val="none"/>
                <w:u w:val="none"/>
                <w:lang w:val="en-US" w:eastAsia="zh-CN" w:bidi="ar"/>
              </w:rPr>
              <w:t>；</w:t>
            </w:r>
          </w:p>
          <w:p w14:paraId="2475AA7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18</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具有故障监控功能：当信号机出现黄灯、绿灯故障、通信故障或检测器故障时，信号机应能够在功能降级的情况下继续运行；信号机无法正常工作时，应能通过独立的黄闪控制装置将信号输出切换为黄闪状态（提供权威机构出具的检测报告）；</w:t>
            </w:r>
          </w:p>
          <w:p w14:paraId="1DCC8DC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19</w:t>
            </w:r>
            <w:r>
              <w:rPr>
                <w:rFonts w:hint="eastAsia" w:cs="仿宋"/>
                <w:i w:val="0"/>
                <w:iCs w:val="0"/>
                <w:color w:val="000000"/>
                <w:kern w:val="0"/>
                <w:sz w:val="24"/>
                <w:szCs w:val="24"/>
                <w:highlight w:val="none"/>
                <w:u w:val="none"/>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★支持无缝接入武义县公安局交警大队交通信号控制系统平台</w:t>
            </w:r>
            <w:r>
              <w:rPr>
                <w:rFonts w:hint="eastAsia" w:cs="仿宋"/>
                <w:i w:val="0"/>
                <w:iCs w:val="0"/>
                <w:color w:val="000000"/>
                <w:kern w:val="0"/>
                <w:sz w:val="24"/>
                <w:szCs w:val="24"/>
                <w:highlight w:val="none"/>
                <w:u w:val="none"/>
                <w:lang w:val="en-US" w:eastAsia="zh-CN" w:bidi="ar"/>
              </w:rPr>
              <w:t>。</w:t>
            </w:r>
          </w:p>
          <w:p w14:paraId="476942A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highlight w:val="none"/>
                <w:u w:val="none"/>
              </w:rPr>
            </w:pPr>
            <w:r>
              <w:rPr>
                <w:rFonts w:hint="eastAsia" w:cs="仿宋"/>
                <w:i w:val="0"/>
                <w:iCs w:val="0"/>
                <w:color w:val="000000"/>
                <w:kern w:val="0"/>
                <w:sz w:val="24"/>
                <w:szCs w:val="24"/>
                <w:highlight w:val="none"/>
                <w:u w:val="none"/>
                <w:lang w:val="en-US" w:eastAsia="zh-CN" w:bidi="ar"/>
              </w:rPr>
              <w:t>20.该设备不作为日常维护配件使用，供货前须经采购人确认。</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1843A70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套</w:t>
            </w:r>
          </w:p>
        </w:tc>
        <w:tc>
          <w:tcPr>
            <w:tcW w:w="1064" w:type="dxa"/>
            <w:tcBorders>
              <w:top w:val="single" w:color="000000" w:sz="4" w:space="0"/>
              <w:left w:val="single" w:color="000000" w:sz="4" w:space="0"/>
              <w:bottom w:val="single" w:color="000000" w:sz="4" w:space="0"/>
              <w:right w:val="single" w:color="000000" w:sz="4" w:space="0"/>
            </w:tcBorders>
            <w:noWrap/>
            <w:vAlign w:val="center"/>
          </w:tcPr>
          <w:p w14:paraId="1E3D6CA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cs="仿宋"/>
                <w:i w:val="0"/>
                <w:iCs w:val="0"/>
                <w:color w:val="000000"/>
                <w:kern w:val="0"/>
                <w:sz w:val="24"/>
                <w:szCs w:val="24"/>
                <w:highlight w:val="none"/>
                <w:u w:val="none"/>
                <w:lang w:val="en-US" w:eastAsia="zh-CN" w:bidi="ar"/>
              </w:rPr>
              <w:t>4</w:t>
            </w:r>
          </w:p>
        </w:tc>
      </w:tr>
      <w:tr w14:paraId="5311F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824" w:type="dxa"/>
            <w:tcBorders>
              <w:top w:val="single" w:color="000000" w:sz="4" w:space="0"/>
              <w:left w:val="single" w:color="000000" w:sz="4" w:space="0"/>
              <w:bottom w:val="single" w:color="000000" w:sz="4" w:space="0"/>
              <w:right w:val="single" w:color="000000" w:sz="4" w:space="0"/>
            </w:tcBorders>
            <w:noWrap/>
            <w:vAlign w:val="center"/>
          </w:tcPr>
          <w:p w14:paraId="7E06554B">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cs="仿宋"/>
                <w:i w:val="0"/>
                <w:iCs w:val="0"/>
                <w:color w:val="000000"/>
                <w:sz w:val="24"/>
                <w:szCs w:val="24"/>
                <w:highlight w:val="none"/>
                <w:u w:val="none"/>
                <w:lang w:val="en-US" w:eastAsia="zh-CN"/>
              </w:rPr>
              <w:t>2</w:t>
            </w:r>
          </w:p>
        </w:tc>
        <w:tc>
          <w:tcPr>
            <w:tcW w:w="1276" w:type="dxa"/>
            <w:tcBorders>
              <w:top w:val="single" w:color="000000" w:sz="4" w:space="0"/>
              <w:left w:val="single" w:color="000000" w:sz="4" w:space="0"/>
              <w:bottom w:val="single" w:color="000000" w:sz="4" w:space="0"/>
              <w:right w:val="single" w:color="000000" w:sz="4" w:space="0"/>
            </w:tcBorders>
            <w:noWrap w:val="0"/>
            <w:vAlign w:val="center"/>
          </w:tcPr>
          <w:p w14:paraId="198DB596">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运维服务</w:t>
            </w:r>
          </w:p>
        </w:tc>
        <w:tc>
          <w:tcPr>
            <w:tcW w:w="5455" w:type="dxa"/>
            <w:tcBorders>
              <w:top w:val="single" w:color="000000" w:sz="4" w:space="0"/>
              <w:left w:val="single" w:color="000000" w:sz="4" w:space="0"/>
              <w:bottom w:val="single" w:color="000000" w:sz="4" w:space="0"/>
              <w:right w:val="single" w:color="000000" w:sz="4" w:space="0"/>
            </w:tcBorders>
            <w:noWrap w:val="0"/>
            <w:vAlign w:val="center"/>
          </w:tcPr>
          <w:p w14:paraId="3C2FAF4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截止2026年4月30日过保的126个路口交通信号灯维护保养，主要服务内容为对维护期限内的交通信号灯（含设备、设施）日常的维修、保养、清洁，及时更换损坏或被盗的管道、线缆、绝缘子、导线、灯具、灯座、杆件、信号机等设备或元器件，有计划的巡查和维修线路、表箱、接线井、控制箱（主机箱）、配电设备及其他相关设施的管理和养护、拖放临时红绿灯及电池更换、配合完成前端设备与新智慧交管平台的对接、新旧平台割接及信号机更新迭代相关工作。（含临时班组实施费用），中标人在维护期内，采购人因中途临时需要增加维护交通信号灯点位数量的，中标人须提供维护，费用</w:t>
            </w:r>
            <w:r>
              <w:rPr>
                <w:rFonts w:hint="eastAsia" w:cs="仿宋"/>
                <w:i w:val="0"/>
                <w:iCs w:val="0"/>
                <w:color w:val="000000"/>
                <w:kern w:val="0"/>
                <w:sz w:val="24"/>
                <w:szCs w:val="24"/>
                <w:highlight w:val="none"/>
                <w:u w:val="none"/>
                <w:lang w:val="en-US" w:eastAsia="zh-CN" w:bidi="ar"/>
              </w:rPr>
              <w:t>（注：此费用指人工费用和车辆使用费用，若因增加点位维护需要产生的材料费、电费等从第4条其他费用中列支）</w:t>
            </w:r>
            <w:r>
              <w:rPr>
                <w:rFonts w:hint="eastAsia" w:ascii="仿宋" w:hAnsi="仿宋" w:eastAsia="仿宋" w:cs="仿宋"/>
                <w:i w:val="0"/>
                <w:iCs w:val="0"/>
                <w:color w:val="000000"/>
                <w:kern w:val="0"/>
                <w:sz w:val="24"/>
                <w:szCs w:val="24"/>
                <w:highlight w:val="none"/>
                <w:u w:val="none"/>
                <w:lang w:val="en-US" w:eastAsia="zh-CN" w:bidi="ar"/>
              </w:rPr>
              <w:t>不再另行计算，此风险在报价中自行考虑，但数量不超过维护路口总量的5%，超过部分费用由中标单位和采购单位另行协商解决。</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0F73B2A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月</w:t>
            </w:r>
          </w:p>
        </w:tc>
        <w:tc>
          <w:tcPr>
            <w:tcW w:w="1064" w:type="dxa"/>
            <w:tcBorders>
              <w:top w:val="single" w:color="000000" w:sz="4" w:space="0"/>
              <w:left w:val="single" w:color="000000" w:sz="4" w:space="0"/>
              <w:bottom w:val="single" w:color="000000" w:sz="4" w:space="0"/>
              <w:right w:val="single" w:color="000000" w:sz="4" w:space="0"/>
            </w:tcBorders>
            <w:noWrap/>
            <w:vAlign w:val="center"/>
          </w:tcPr>
          <w:p w14:paraId="7E50311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highlight w:val="none"/>
                <w:u w:val="none"/>
                <w:lang w:val="en-US"/>
              </w:rPr>
            </w:pPr>
            <w:r>
              <w:rPr>
                <w:rFonts w:hint="eastAsia" w:cs="仿宋"/>
                <w:i w:val="0"/>
                <w:iCs w:val="0"/>
                <w:color w:val="000000"/>
                <w:kern w:val="0"/>
                <w:sz w:val="24"/>
                <w:szCs w:val="24"/>
                <w:highlight w:val="none"/>
                <w:u w:val="none"/>
                <w:lang w:val="en-US" w:eastAsia="zh-CN" w:bidi="ar"/>
              </w:rPr>
              <w:t>1410</w:t>
            </w:r>
          </w:p>
        </w:tc>
      </w:tr>
      <w:tr w14:paraId="74329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824" w:type="dxa"/>
            <w:tcBorders>
              <w:top w:val="single" w:color="000000" w:sz="4" w:space="0"/>
              <w:left w:val="single" w:color="000000" w:sz="4" w:space="0"/>
              <w:bottom w:val="single" w:color="000000" w:sz="4" w:space="0"/>
              <w:right w:val="single" w:color="000000" w:sz="4" w:space="0"/>
            </w:tcBorders>
            <w:noWrap/>
            <w:vAlign w:val="center"/>
          </w:tcPr>
          <w:p w14:paraId="34DAA31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cs="仿宋"/>
                <w:i w:val="0"/>
                <w:iCs w:val="0"/>
                <w:color w:val="000000"/>
                <w:kern w:val="0"/>
                <w:sz w:val="24"/>
                <w:szCs w:val="24"/>
                <w:highlight w:val="none"/>
                <w:u w:val="none"/>
                <w:lang w:val="en-US" w:eastAsia="zh-CN" w:bidi="ar"/>
              </w:rPr>
              <w:t>3</w:t>
            </w:r>
          </w:p>
        </w:tc>
        <w:tc>
          <w:tcPr>
            <w:tcW w:w="1276" w:type="dxa"/>
            <w:tcBorders>
              <w:top w:val="single" w:color="000000" w:sz="4" w:space="0"/>
              <w:left w:val="single" w:color="000000" w:sz="4" w:space="0"/>
              <w:bottom w:val="single" w:color="000000" w:sz="4" w:space="0"/>
              <w:right w:val="single" w:color="000000" w:sz="4" w:space="0"/>
            </w:tcBorders>
            <w:noWrap w:val="0"/>
            <w:vAlign w:val="center"/>
          </w:tcPr>
          <w:p w14:paraId="548803E4">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电费</w:t>
            </w:r>
          </w:p>
        </w:tc>
        <w:tc>
          <w:tcPr>
            <w:tcW w:w="5455" w:type="dxa"/>
            <w:tcBorders>
              <w:top w:val="single" w:color="000000" w:sz="4" w:space="0"/>
              <w:left w:val="single" w:color="000000" w:sz="4" w:space="0"/>
              <w:bottom w:val="single" w:color="000000" w:sz="4" w:space="0"/>
              <w:right w:val="single" w:color="000000" w:sz="4" w:space="0"/>
            </w:tcBorders>
            <w:noWrap w:val="0"/>
            <w:vAlign w:val="center"/>
          </w:tcPr>
          <w:p w14:paraId="7960AE3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G235国道王岭线、永武线王赵线、330国道昌盛建材、法金线泉深线、永武线纵三路、330国道地磅口（球机）、解放北街北岭四路路口、环城北路宝塔路路口、环城北路烈士纪念馆路口、环城北路唐风温泉路口、法金线下陈村、永武四线水仙路、永武四线柳宅村、永武四线沈宝路、永武四线知音路、永武四线与法金线交叉口、永武四线与兰花路、永武四线与开发大道交叉口、永武四线与内白线交叉口、永武四线与新上松线交叉口、植物园路口、武川路环城南路路口、330国道与董村、330国道与茭道小学、G235国道花田小镇、环城西路与莹乡路、明招路环城南路、桐凤线与永缙线、温泉路与中源路、温泉南路与中盛路、武丽线溪郭线、武阳路与商城路维护期间产生的电费。(22个路口支付12个月,2个路口支付10个月，8个路口支付5个月，共计324个月）</w:t>
            </w:r>
          </w:p>
        </w:tc>
        <w:tc>
          <w:tcPr>
            <w:tcW w:w="982" w:type="dxa"/>
            <w:tcBorders>
              <w:top w:val="single" w:color="000000" w:sz="4" w:space="0"/>
              <w:left w:val="single" w:color="000000" w:sz="4" w:space="0"/>
              <w:bottom w:val="single" w:color="000000" w:sz="4" w:space="0"/>
              <w:right w:val="single" w:color="000000" w:sz="4" w:space="0"/>
            </w:tcBorders>
            <w:noWrap/>
            <w:vAlign w:val="center"/>
          </w:tcPr>
          <w:p w14:paraId="55BC4B6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月</w:t>
            </w:r>
          </w:p>
        </w:tc>
        <w:tc>
          <w:tcPr>
            <w:tcW w:w="1064" w:type="dxa"/>
            <w:tcBorders>
              <w:top w:val="single" w:color="000000" w:sz="4" w:space="0"/>
              <w:left w:val="single" w:color="000000" w:sz="4" w:space="0"/>
              <w:bottom w:val="single" w:color="000000" w:sz="4" w:space="0"/>
              <w:right w:val="single" w:color="000000" w:sz="4" w:space="0"/>
            </w:tcBorders>
            <w:noWrap/>
            <w:vAlign w:val="center"/>
          </w:tcPr>
          <w:p w14:paraId="14F5FA4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highlight w:val="none"/>
                <w:u w:val="none"/>
                <w:lang w:val="en-US"/>
              </w:rPr>
            </w:pPr>
            <w:r>
              <w:rPr>
                <w:rFonts w:hint="eastAsia" w:cs="仿宋"/>
                <w:i w:val="0"/>
                <w:iCs w:val="0"/>
                <w:color w:val="000000"/>
                <w:kern w:val="0"/>
                <w:sz w:val="24"/>
                <w:szCs w:val="24"/>
                <w:highlight w:val="none"/>
                <w:u w:val="none"/>
                <w:lang w:val="en-US" w:eastAsia="zh-CN" w:bidi="ar"/>
              </w:rPr>
              <w:t>324</w:t>
            </w:r>
          </w:p>
        </w:tc>
      </w:tr>
      <w:tr w14:paraId="24B33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824" w:type="dxa"/>
            <w:tcBorders>
              <w:top w:val="single" w:color="000000" w:sz="4" w:space="0"/>
              <w:left w:val="single" w:color="000000" w:sz="4" w:space="0"/>
              <w:bottom w:val="single" w:color="000000" w:sz="4" w:space="0"/>
              <w:right w:val="single" w:color="000000" w:sz="4" w:space="0"/>
            </w:tcBorders>
            <w:noWrap/>
            <w:vAlign w:val="center"/>
          </w:tcPr>
          <w:p w14:paraId="0044F16B">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4</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C0FCA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其他</w:t>
            </w:r>
          </w:p>
        </w:tc>
        <w:tc>
          <w:tcPr>
            <w:tcW w:w="545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091C838">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本项目预留合同总额的10%作为路口优化、隐患整治及其他不在上述条框内，但需要维护方提供服务的其他情形，，项目实施前须经采购人同意，全年结束根据实际情况进行结算，费用超出此项总价部分不予计取。</w:t>
            </w:r>
          </w:p>
        </w:tc>
        <w:tc>
          <w:tcPr>
            <w:tcW w:w="9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27D54">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w:t>
            </w:r>
          </w:p>
        </w:tc>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982F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项</w:t>
            </w:r>
          </w:p>
        </w:tc>
      </w:tr>
    </w:tbl>
    <w:p w14:paraId="0138B88F">
      <w:pPr>
        <w:bidi w:val="0"/>
        <w:rPr>
          <w:rFonts w:hint="eastAsia"/>
          <w:lang w:val="en-US" w:eastAsia="zh-CN"/>
        </w:rPr>
      </w:pPr>
      <w:r>
        <w:rPr>
          <w:rFonts w:hint="eastAsia"/>
          <w:lang w:val="en-US" w:eastAsia="zh-CN"/>
        </w:rPr>
        <w:t>注：</w:t>
      </w:r>
    </w:p>
    <w:p w14:paraId="70033EC7">
      <w:pPr>
        <w:widowControl/>
        <w:autoSpaceDE w:val="0"/>
        <w:autoSpaceDN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w:t>
      </w:r>
      <w:r>
        <w:rPr>
          <w:rFonts w:hint="eastAsia" w:cs="仿宋"/>
          <w:sz w:val="24"/>
          <w:szCs w:val="24"/>
          <w:lang w:val="zh-CN" w:eastAsia="zh-CN"/>
        </w:rPr>
        <w:t>）</w:t>
      </w:r>
      <w:r>
        <w:rPr>
          <w:rFonts w:hint="eastAsia" w:ascii="仿宋" w:hAnsi="仿宋" w:eastAsia="仿宋" w:cs="仿宋"/>
          <w:sz w:val="24"/>
          <w:szCs w:val="24"/>
          <w:lang w:val="zh-CN" w:eastAsia="zh-CN"/>
        </w:rPr>
        <w:t>维护路</w:t>
      </w:r>
      <w:r>
        <w:rPr>
          <w:rFonts w:hint="eastAsia" w:ascii="仿宋" w:hAnsi="仿宋" w:eastAsia="仿宋" w:cs="仿宋"/>
          <w:sz w:val="24"/>
          <w:szCs w:val="24"/>
          <w:highlight w:val="none"/>
          <w:lang w:val="zh-CN" w:eastAsia="zh-CN"/>
        </w:rPr>
        <w:t>口暂定</w:t>
      </w:r>
      <w:r>
        <w:rPr>
          <w:rFonts w:hint="eastAsia" w:cs="仿宋"/>
          <w:sz w:val="24"/>
          <w:szCs w:val="24"/>
          <w:highlight w:val="none"/>
          <w:lang w:val="en-US" w:eastAsia="zh-CN"/>
        </w:rPr>
        <w:t>126</w:t>
      </w:r>
      <w:r>
        <w:rPr>
          <w:rFonts w:hint="eastAsia" w:ascii="仿宋" w:hAnsi="仿宋" w:eastAsia="仿宋" w:cs="仿宋"/>
          <w:sz w:val="24"/>
          <w:szCs w:val="24"/>
          <w:highlight w:val="none"/>
          <w:lang w:val="zh-CN" w:eastAsia="zh-CN"/>
        </w:rPr>
        <w:t>个，后</w:t>
      </w:r>
      <w:r>
        <w:rPr>
          <w:rFonts w:hint="eastAsia" w:ascii="仿宋" w:hAnsi="仿宋" w:eastAsia="仿宋" w:cs="仿宋"/>
          <w:sz w:val="24"/>
          <w:szCs w:val="24"/>
          <w:lang w:val="zh-CN" w:eastAsia="zh-CN"/>
        </w:rPr>
        <w:t>续根据实际过保路口时间按实结算</w:t>
      </w:r>
      <w:r>
        <w:rPr>
          <w:rFonts w:hint="eastAsia" w:cs="仿宋"/>
          <w:sz w:val="24"/>
          <w:szCs w:val="24"/>
          <w:lang w:val="zh-CN" w:eastAsia="zh-CN"/>
        </w:rPr>
        <w:t>。</w:t>
      </w:r>
    </w:p>
    <w:p w14:paraId="04CA6117">
      <w:pPr>
        <w:keepNext w:val="0"/>
        <w:keepLines w:val="0"/>
        <w:pageBreakBefore w:val="0"/>
        <w:widowControl/>
        <w:kinsoku/>
        <w:wordWrap/>
        <w:overflowPunct/>
        <w:topLinePunct w:val="0"/>
        <w:autoSpaceDE w:val="0"/>
        <w:autoSpaceDN w:val="0"/>
        <w:bidi w:val="0"/>
        <w:adjustRightInd w:val="0"/>
        <w:snapToGrid/>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2</w:t>
      </w:r>
      <w:r>
        <w:rPr>
          <w:rFonts w:hint="eastAsia" w:cs="仿宋"/>
          <w:sz w:val="24"/>
          <w:szCs w:val="24"/>
          <w:lang w:val="zh-CN" w:eastAsia="zh-CN"/>
        </w:rPr>
        <w:t>）</w:t>
      </w:r>
      <w:r>
        <w:rPr>
          <w:rFonts w:hint="eastAsia" w:ascii="仿宋" w:hAnsi="仿宋" w:eastAsia="仿宋" w:cs="仿宋"/>
          <w:sz w:val="24"/>
          <w:szCs w:val="24"/>
          <w:lang w:val="en-US" w:eastAsia="zh-CN"/>
        </w:rPr>
        <w:t>建设清单中，为方便评标小组评定，不</w:t>
      </w:r>
      <w:r>
        <w:rPr>
          <w:rFonts w:hint="eastAsia" w:ascii="仿宋" w:hAnsi="仿宋" w:eastAsia="仿宋" w:cs="仿宋"/>
          <w:sz w:val="24"/>
          <w:szCs w:val="24"/>
          <w:lang w:val="zh-CN" w:eastAsia="zh-CN"/>
        </w:rPr>
        <w:t>限制或者拒绝投标人以其他能满足本项目技术需求且性能与所明确品牌相当或更优的货物参加投标，如投标的货物优于采购要求，请在</w:t>
      </w:r>
      <w:r>
        <w:rPr>
          <w:rFonts w:hint="eastAsia" w:ascii="仿宋" w:hAnsi="仿宋" w:eastAsia="仿宋" w:cs="仿宋"/>
          <w:sz w:val="24"/>
          <w:szCs w:val="24"/>
          <w:lang w:val="en-US" w:eastAsia="zh-CN"/>
        </w:rPr>
        <w:t>技术参数</w:t>
      </w:r>
      <w:r>
        <w:rPr>
          <w:rFonts w:hint="eastAsia" w:ascii="仿宋" w:hAnsi="仿宋" w:eastAsia="仿宋" w:cs="仿宋"/>
          <w:sz w:val="24"/>
          <w:szCs w:val="24"/>
          <w:lang w:val="zh-CN" w:eastAsia="zh-CN"/>
        </w:rPr>
        <w:t>偏离表内具体表述正偏离内容及理由。</w:t>
      </w:r>
    </w:p>
    <w:p w14:paraId="68DB19F2">
      <w:pPr>
        <w:keepNext w:val="0"/>
        <w:keepLines w:val="0"/>
        <w:pageBreakBefore w:val="0"/>
        <w:widowControl/>
        <w:kinsoku/>
        <w:wordWrap/>
        <w:overflowPunct/>
        <w:topLinePunct w:val="0"/>
        <w:autoSpaceDE w:val="0"/>
        <w:autoSpaceDN w:val="0"/>
        <w:bidi w:val="0"/>
        <w:adjustRightInd w:val="0"/>
        <w:snapToGrid/>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3</w:t>
      </w:r>
      <w:r>
        <w:rPr>
          <w:rFonts w:hint="eastAsia" w:cs="仿宋"/>
          <w:sz w:val="24"/>
          <w:szCs w:val="24"/>
          <w:lang w:val="zh-CN" w:eastAsia="zh-CN"/>
        </w:rPr>
        <w:t>）</w:t>
      </w:r>
      <w:r>
        <w:rPr>
          <w:rFonts w:hint="eastAsia" w:ascii="仿宋" w:hAnsi="仿宋" w:eastAsia="仿宋" w:cs="仿宋"/>
          <w:sz w:val="24"/>
          <w:szCs w:val="24"/>
          <w:lang w:val="zh-CN" w:eastAsia="zh-CN"/>
        </w:rPr>
        <w:t>本项目不集中组织现场踏勘，投标人可自行前往现场查看、测量。</w:t>
      </w:r>
    </w:p>
    <w:p w14:paraId="5A807E71">
      <w:pPr>
        <w:bidi w:val="0"/>
        <w:rPr>
          <w:rFonts w:hint="eastAsia"/>
          <w:b/>
          <w:bCs/>
          <w:lang w:val="en-US" w:eastAsia="zh-CN"/>
        </w:rPr>
      </w:pPr>
      <w:r>
        <w:rPr>
          <w:rFonts w:hint="eastAsia"/>
          <w:b/>
          <w:bCs/>
          <w:lang w:val="en-US" w:eastAsia="zh-CN"/>
        </w:rPr>
        <w:t>二、维护工作要求：</w:t>
      </w:r>
    </w:p>
    <w:p w14:paraId="1075F572">
      <w:pPr>
        <w:bidi w:val="0"/>
        <w:rPr>
          <w:rFonts w:hint="eastAsia"/>
          <w:b/>
          <w:bCs/>
          <w:lang w:val="en-US" w:eastAsia="zh-CN"/>
        </w:rPr>
      </w:pPr>
      <w:r>
        <w:rPr>
          <w:rFonts w:hint="eastAsia"/>
          <w:b/>
          <w:bCs/>
          <w:lang w:val="en-US" w:eastAsia="zh-CN"/>
        </w:rPr>
        <w:t>1.设备检查维护内容</w:t>
      </w:r>
    </w:p>
    <w:p w14:paraId="6CE23D44">
      <w:pPr>
        <w:bidi w:val="0"/>
        <w:rPr>
          <w:rFonts w:hint="eastAsia"/>
          <w:lang w:val="zh-CN" w:eastAsia="zh-CN"/>
        </w:rPr>
      </w:pPr>
      <w:r>
        <w:rPr>
          <w:rFonts w:hint="eastAsia"/>
          <w:lang w:val="zh-CN" w:eastAsia="zh-CN"/>
        </w:rPr>
        <w:t>根据公安部颁布的公安安全行业标准的要求及结合我县实际情况，定期维护的内容 如下表所示：</w:t>
      </w:r>
    </w:p>
    <w:tbl>
      <w:tblPr>
        <w:tblStyle w:val="20"/>
        <w:tblW w:w="949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2"/>
        <w:gridCol w:w="8228"/>
      </w:tblGrid>
      <w:tr w14:paraId="41680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1262" w:type="dxa"/>
            <w:tcBorders>
              <w:tl2br w:val="nil"/>
              <w:tr2bl w:val="nil"/>
            </w:tcBorders>
            <w:noWrap w:val="0"/>
            <w:vAlign w:val="center"/>
          </w:tcPr>
          <w:p w14:paraId="15B59EFE">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0" w:leftChars="0" w:right="30" w:firstLine="0" w:firstLineChars="0"/>
              <w:jc w:val="center"/>
              <w:textAlignment w:val="auto"/>
              <w:rPr>
                <w:rFonts w:hint="eastAsia" w:ascii="仿宋" w:hAnsi="仿宋" w:eastAsia="仿宋" w:cs="仿宋"/>
                <w:b/>
                <w:bCs/>
                <w:color w:val="auto"/>
                <w:sz w:val="24"/>
                <w:szCs w:val="24"/>
                <w:lang w:val="en-US" w:eastAsia="zh-CN" w:bidi="ar-SA"/>
              </w:rPr>
            </w:pPr>
            <w:r>
              <w:rPr>
                <w:rFonts w:hint="eastAsia" w:ascii="仿宋" w:hAnsi="仿宋" w:eastAsia="仿宋" w:cs="仿宋"/>
                <w:b/>
                <w:bCs/>
                <w:color w:val="auto"/>
                <w:sz w:val="24"/>
                <w:szCs w:val="24"/>
                <w:lang w:val="en-US" w:eastAsia="zh-CN" w:bidi="ar-SA"/>
              </w:rPr>
              <w:t>设备名称</w:t>
            </w:r>
          </w:p>
        </w:tc>
        <w:tc>
          <w:tcPr>
            <w:tcW w:w="8228" w:type="dxa"/>
            <w:tcBorders>
              <w:tl2br w:val="nil"/>
              <w:tr2bl w:val="nil"/>
            </w:tcBorders>
            <w:noWrap w:val="0"/>
            <w:vAlign w:val="center"/>
          </w:tcPr>
          <w:p w14:paraId="60183CDB">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right="3166" w:firstLine="0" w:firstLineChars="0"/>
              <w:jc w:val="center"/>
              <w:textAlignment w:val="auto"/>
              <w:rPr>
                <w:rFonts w:hint="eastAsia" w:ascii="仿宋" w:hAnsi="仿宋" w:eastAsia="仿宋" w:cs="仿宋"/>
                <w:b/>
                <w:bCs/>
                <w:color w:val="auto"/>
                <w:sz w:val="24"/>
                <w:szCs w:val="24"/>
                <w:lang w:val="en-US" w:eastAsia="zh-CN" w:bidi="ar-SA"/>
              </w:rPr>
            </w:pPr>
            <w:r>
              <w:rPr>
                <w:rFonts w:hint="eastAsia" w:ascii="仿宋" w:hAnsi="仿宋" w:eastAsia="仿宋" w:cs="仿宋"/>
                <w:b/>
                <w:bCs/>
                <w:color w:val="auto"/>
                <w:sz w:val="24"/>
                <w:szCs w:val="24"/>
                <w:lang w:val="en-US" w:eastAsia="zh-CN" w:bidi="ar-SA"/>
              </w:rPr>
              <w:t xml:space="preserve">                          检查维护内容</w:t>
            </w:r>
          </w:p>
        </w:tc>
      </w:tr>
      <w:tr w14:paraId="113EC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9490" w:type="dxa"/>
            <w:gridSpan w:val="2"/>
            <w:tcBorders>
              <w:tl2br w:val="nil"/>
              <w:tr2bl w:val="nil"/>
            </w:tcBorders>
            <w:noWrap w:val="0"/>
            <w:vAlign w:val="top"/>
          </w:tcPr>
          <w:p w14:paraId="076DD05A">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12" w:firstLine="0" w:firstLineChars="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一、</w:t>
            </w:r>
            <w:r>
              <w:rPr>
                <w:rFonts w:hint="eastAsia" w:ascii="仿宋" w:hAnsi="仿宋" w:eastAsia="仿宋" w:cs="仿宋"/>
                <w:sz w:val="24"/>
                <w:szCs w:val="24"/>
              </w:rPr>
              <w:t>信号灯控制系统</w:t>
            </w:r>
          </w:p>
        </w:tc>
      </w:tr>
      <w:tr w14:paraId="73AB0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1262" w:type="dxa"/>
            <w:tcBorders>
              <w:tl2br w:val="nil"/>
              <w:tr2bl w:val="nil"/>
            </w:tcBorders>
            <w:noWrap w:val="0"/>
            <w:vAlign w:val="top"/>
          </w:tcPr>
          <w:p w14:paraId="676790E9">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right="44" w:firstLine="0" w:firstLineChars="0"/>
              <w:jc w:val="both"/>
              <w:textAlignment w:val="auto"/>
              <w:rPr>
                <w:rFonts w:hint="eastAsia" w:ascii="仿宋" w:hAnsi="仿宋" w:eastAsia="仿宋" w:cs="仿宋"/>
                <w:color w:val="000000"/>
                <w:sz w:val="24"/>
                <w:szCs w:val="24"/>
                <w:lang w:val="zh-CN" w:eastAsia="zh-CN" w:bidi="zh-CN"/>
              </w:rPr>
            </w:pPr>
          </w:p>
          <w:p w14:paraId="2A8C7B93">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right="44" w:firstLine="0" w:firstLineChars="0"/>
              <w:jc w:val="both"/>
              <w:textAlignment w:val="auto"/>
              <w:rPr>
                <w:rFonts w:hint="eastAsia" w:ascii="仿宋" w:hAnsi="仿宋" w:eastAsia="仿宋" w:cs="仿宋"/>
                <w:color w:val="000000"/>
                <w:sz w:val="24"/>
                <w:szCs w:val="24"/>
                <w:lang w:val="zh-CN" w:eastAsia="zh-CN" w:bidi="zh-CN"/>
              </w:rPr>
            </w:pPr>
          </w:p>
          <w:p w14:paraId="752FDE3C">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right="44" w:firstLine="0" w:firstLineChars="0"/>
              <w:jc w:val="both"/>
              <w:textAlignment w:val="auto"/>
              <w:rPr>
                <w:rFonts w:hint="eastAsia" w:ascii="仿宋" w:hAnsi="仿宋" w:eastAsia="仿宋" w:cs="仿宋"/>
                <w:color w:val="000000"/>
                <w:sz w:val="24"/>
                <w:szCs w:val="24"/>
                <w:lang w:val="zh-CN" w:eastAsia="zh-CN" w:bidi="zh-CN"/>
              </w:rPr>
            </w:pPr>
          </w:p>
          <w:p w14:paraId="3C44E207">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right="44" w:firstLine="0" w:firstLineChars="0"/>
              <w:jc w:val="center"/>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文档类</w:t>
            </w:r>
          </w:p>
        </w:tc>
        <w:tc>
          <w:tcPr>
            <w:tcW w:w="8228" w:type="dxa"/>
            <w:tcBorders>
              <w:tl2br w:val="nil"/>
              <w:tr2bl w:val="nil"/>
            </w:tcBorders>
            <w:noWrap w:val="0"/>
            <w:vAlign w:val="top"/>
          </w:tcPr>
          <w:p w14:paraId="135B5364">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8" w:beforeLines="0" w:afterLines="0" w:line="360" w:lineRule="auto"/>
              <w:ind w:left="84" w:leftChars="0" w:right="-72" w:rightChars="0"/>
              <w:textAlignment w:val="auto"/>
              <w:rPr>
                <w:rFonts w:hint="default" w:ascii="仿宋" w:hAnsi="仿宋" w:eastAsia="仿宋" w:cs="仿宋"/>
                <w:color w:val="000000"/>
                <w:sz w:val="24"/>
                <w:szCs w:val="24"/>
                <w:lang w:val="zh-CN" w:eastAsia="zh-CN" w:bidi="zh-CN"/>
              </w:rPr>
            </w:pPr>
            <w:r>
              <w:rPr>
                <w:rFonts w:hint="eastAsia" w:ascii="仿宋" w:hAnsi="仿宋" w:eastAsia="仿宋" w:cs="仿宋"/>
                <w:color w:val="000000"/>
                <w:sz w:val="24"/>
                <w:szCs w:val="24"/>
                <w:lang w:val="en-US" w:eastAsia="zh-CN" w:bidi="zh-CN"/>
              </w:rPr>
              <w:t>1.</w:t>
            </w:r>
            <w:r>
              <w:rPr>
                <w:rFonts w:hint="default" w:ascii="仿宋" w:hAnsi="仿宋" w:eastAsia="仿宋" w:cs="仿宋"/>
                <w:color w:val="000000"/>
                <w:sz w:val="24"/>
                <w:szCs w:val="24"/>
                <w:lang w:val="zh-CN" w:eastAsia="zh-CN" w:bidi="zh-CN"/>
              </w:rPr>
              <w:t>交通设施调查，内容包括：</w:t>
            </w:r>
          </w:p>
          <w:p w14:paraId="61DBEA1F">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8" w:beforeLines="0" w:afterLines="0" w:line="360" w:lineRule="auto"/>
              <w:ind w:right="-72" w:rightChars="0"/>
              <w:textAlignment w:val="auto"/>
              <w:rPr>
                <w:rFonts w:hint="default"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w:t>
            </w:r>
            <w:r>
              <w:rPr>
                <w:rFonts w:hint="eastAsia" w:ascii="仿宋" w:hAnsi="仿宋" w:eastAsia="仿宋" w:cs="仿宋"/>
                <w:color w:val="000000"/>
                <w:sz w:val="24"/>
                <w:szCs w:val="24"/>
                <w:lang w:val="en-US" w:eastAsia="zh-CN" w:bidi="zh-CN"/>
              </w:rPr>
              <w:t>1</w:t>
            </w:r>
            <w:r>
              <w:rPr>
                <w:rFonts w:hint="eastAsia" w:ascii="仿宋" w:hAnsi="仿宋" w:eastAsia="仿宋" w:cs="仿宋"/>
                <w:color w:val="000000"/>
                <w:sz w:val="24"/>
                <w:szCs w:val="24"/>
                <w:lang w:val="zh-CN" w:eastAsia="zh-CN" w:bidi="zh-CN"/>
              </w:rPr>
              <w:t>）</w:t>
            </w:r>
            <w:r>
              <w:rPr>
                <w:rFonts w:hint="default" w:ascii="仿宋" w:hAnsi="仿宋" w:eastAsia="仿宋" w:cs="仿宋"/>
                <w:color w:val="000000"/>
                <w:sz w:val="24"/>
                <w:szCs w:val="24"/>
                <w:lang w:val="zh-CN" w:eastAsia="zh-CN" w:bidi="zh-CN"/>
              </w:rPr>
              <w:t>对需维护的交通信号灯控路口的数量、类型、所处地理位置、灯杆、灯具、信号机类型、接线井位置等信息，按业主的要求标注清楚；</w:t>
            </w:r>
          </w:p>
          <w:p w14:paraId="4DF50A30">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8" w:beforeLines="0" w:afterLines="0" w:line="360" w:lineRule="auto"/>
              <w:ind w:right="-72" w:rightChars="0"/>
              <w:textAlignment w:val="auto"/>
              <w:rPr>
                <w:rFonts w:hint="default" w:ascii="仿宋" w:hAnsi="仿宋" w:eastAsia="仿宋" w:cs="仿宋"/>
                <w:color w:val="000000"/>
                <w:sz w:val="24"/>
                <w:szCs w:val="24"/>
                <w:lang w:val="zh-CN" w:eastAsia="zh-CN" w:bidi="zh-CN"/>
              </w:rPr>
            </w:pPr>
            <w:r>
              <w:rPr>
                <w:rFonts w:hint="default" w:ascii="仿宋" w:hAnsi="仿宋" w:eastAsia="仿宋" w:cs="仿宋"/>
                <w:color w:val="000000"/>
                <w:sz w:val="24"/>
                <w:szCs w:val="24"/>
                <w:lang w:val="zh-CN" w:eastAsia="zh-CN" w:bidi="zh-CN"/>
              </w:rPr>
              <w:t>（2）对各交通信号灯杆的安全性情况进行记录；</w:t>
            </w:r>
          </w:p>
          <w:p w14:paraId="7FFFA284">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8" w:beforeLines="0" w:afterLines="0" w:line="360" w:lineRule="auto"/>
              <w:ind w:right="-72" w:rightChars="0"/>
              <w:textAlignment w:val="auto"/>
              <w:rPr>
                <w:rFonts w:hint="default" w:ascii="仿宋" w:hAnsi="仿宋" w:eastAsia="仿宋" w:cs="仿宋"/>
                <w:color w:val="000000"/>
                <w:sz w:val="24"/>
                <w:szCs w:val="24"/>
                <w:lang w:val="zh-CN" w:eastAsia="zh-CN" w:bidi="zh-CN"/>
              </w:rPr>
            </w:pPr>
            <w:r>
              <w:rPr>
                <w:rFonts w:hint="default" w:ascii="仿宋" w:hAnsi="仿宋" w:eastAsia="仿宋" w:cs="仿宋"/>
                <w:color w:val="000000"/>
                <w:sz w:val="24"/>
                <w:szCs w:val="24"/>
                <w:lang w:val="zh-CN" w:eastAsia="zh-CN" w:bidi="zh-CN"/>
              </w:rPr>
              <w:t>（3）制作调查表格及标准示意图，以电子文档格式存档、上报业主。调查内容应在合同生效后</w:t>
            </w:r>
            <w:r>
              <w:rPr>
                <w:rFonts w:hint="eastAsia" w:ascii="仿宋" w:hAnsi="仿宋" w:eastAsia="仿宋" w:cs="仿宋"/>
                <w:color w:val="000000"/>
                <w:sz w:val="24"/>
                <w:szCs w:val="24"/>
                <w:lang w:val="en-US" w:eastAsia="zh-CN" w:bidi="zh-CN"/>
              </w:rPr>
              <w:t>1</w:t>
            </w:r>
            <w:r>
              <w:rPr>
                <w:rFonts w:hint="default" w:ascii="仿宋" w:hAnsi="仿宋" w:eastAsia="仿宋" w:cs="仿宋"/>
                <w:color w:val="000000"/>
                <w:sz w:val="24"/>
                <w:szCs w:val="24"/>
                <w:lang w:val="zh-CN" w:eastAsia="zh-CN" w:bidi="zh-CN"/>
              </w:rPr>
              <w:t>个月内完成。</w:t>
            </w:r>
          </w:p>
          <w:p w14:paraId="7FC4DD96">
            <w:pPr>
              <w:pStyle w:val="34"/>
              <w:keepNext w:val="0"/>
              <w:keepLines w:val="0"/>
              <w:pageBreakBefore w:val="0"/>
              <w:widowControl w:val="0"/>
              <w:kinsoku w:val="0"/>
              <w:wordWrap/>
              <w:overflowPunct w:val="0"/>
              <w:topLinePunct w:val="0"/>
              <w:autoSpaceDE w:val="0"/>
              <w:autoSpaceDN w:val="0"/>
              <w:bidi w:val="0"/>
              <w:adjustRightInd w:val="0"/>
              <w:snapToGrid/>
              <w:spacing w:before="8" w:beforeLines="0" w:afterLines="0" w:line="360" w:lineRule="auto"/>
              <w:ind w:left="84" w:leftChars="0" w:right="-72" w:rightChars="0" w:firstLine="0" w:firstLineChars="0"/>
              <w:textAlignment w:val="auto"/>
              <w:rPr>
                <w:rFonts w:hint="eastAsia" w:ascii="仿宋" w:hAnsi="仿宋" w:eastAsia="仿宋" w:cs="仿宋"/>
                <w:color w:val="000000"/>
                <w:sz w:val="24"/>
                <w:szCs w:val="24"/>
                <w:lang w:val="zh-CN" w:eastAsia="zh-CN" w:bidi="zh-CN"/>
              </w:rPr>
            </w:pPr>
            <w:r>
              <w:rPr>
                <w:rFonts w:hint="default" w:ascii="仿宋" w:hAnsi="仿宋" w:eastAsia="仿宋" w:cs="仿宋"/>
                <w:color w:val="000000"/>
                <w:sz w:val="24"/>
                <w:szCs w:val="24"/>
                <w:lang w:val="zh-CN" w:eastAsia="zh-CN" w:bidi="zh-CN"/>
              </w:rPr>
              <w:t>2</w:t>
            </w:r>
            <w:r>
              <w:rPr>
                <w:rFonts w:hint="eastAsia" w:ascii="仿宋" w:hAnsi="仿宋" w:eastAsia="仿宋" w:cs="仿宋"/>
                <w:color w:val="000000"/>
                <w:sz w:val="24"/>
                <w:szCs w:val="24"/>
                <w:lang w:val="en-US" w:eastAsia="zh-CN" w:bidi="zh-CN"/>
              </w:rPr>
              <w:t>.</w:t>
            </w:r>
            <w:r>
              <w:rPr>
                <w:rFonts w:hint="default" w:ascii="仿宋" w:hAnsi="仿宋" w:eastAsia="仿宋" w:cs="仿宋"/>
                <w:color w:val="000000"/>
                <w:sz w:val="24"/>
                <w:szCs w:val="24"/>
                <w:lang w:val="zh-CN" w:eastAsia="zh-CN" w:bidi="zh-CN"/>
              </w:rPr>
              <w:t>建立各路口信号灯的基础信息台账</w:t>
            </w:r>
            <w:r>
              <w:rPr>
                <w:rFonts w:hint="eastAsia" w:ascii="仿宋" w:hAnsi="仿宋" w:eastAsia="仿宋" w:cs="仿宋"/>
                <w:color w:val="000000"/>
                <w:sz w:val="24"/>
                <w:szCs w:val="24"/>
                <w:lang w:val="zh-CN" w:eastAsia="zh-CN" w:bidi="zh-CN"/>
              </w:rPr>
              <w:t>并</w:t>
            </w:r>
            <w:r>
              <w:rPr>
                <w:rFonts w:hint="default" w:ascii="仿宋" w:hAnsi="仿宋" w:eastAsia="仿宋" w:cs="仿宋"/>
                <w:color w:val="000000"/>
                <w:sz w:val="24"/>
                <w:szCs w:val="24"/>
                <w:lang w:val="zh-CN" w:eastAsia="zh-CN" w:bidi="zh-CN"/>
              </w:rPr>
              <w:t>按月准时上报业主</w:t>
            </w:r>
            <w:r>
              <w:rPr>
                <w:rFonts w:hint="eastAsia" w:ascii="仿宋" w:hAnsi="仿宋" w:eastAsia="仿宋" w:cs="仿宋"/>
                <w:color w:val="000000"/>
                <w:sz w:val="24"/>
                <w:szCs w:val="24"/>
                <w:lang w:val="zh-CN" w:eastAsia="zh-CN" w:bidi="zh-CN"/>
              </w:rPr>
              <w:t>，台账内容</w:t>
            </w:r>
            <w:r>
              <w:rPr>
                <w:rFonts w:hint="default" w:ascii="仿宋" w:hAnsi="仿宋" w:eastAsia="仿宋" w:cs="仿宋"/>
                <w:color w:val="000000"/>
                <w:sz w:val="24"/>
                <w:szCs w:val="24"/>
                <w:lang w:val="zh-CN" w:eastAsia="zh-CN" w:bidi="zh-CN"/>
              </w:rPr>
              <w:t>包括：信号灯维护、信号灯保洁、零部件更换、零部件维修、移动信号灯摆</w:t>
            </w:r>
            <w:r>
              <w:rPr>
                <w:rFonts w:hint="eastAsia" w:ascii="仿宋" w:hAnsi="仿宋" w:eastAsia="仿宋" w:cs="仿宋"/>
                <w:color w:val="000000"/>
                <w:sz w:val="24"/>
                <w:szCs w:val="24"/>
                <w:lang w:val="zh-CN" w:eastAsia="zh-CN" w:bidi="zh-CN"/>
              </w:rPr>
              <w:t>、电池更换、井盖更换、设备箱维修</w:t>
            </w:r>
            <w:r>
              <w:rPr>
                <w:rFonts w:hint="default" w:ascii="仿宋" w:hAnsi="仿宋" w:eastAsia="仿宋" w:cs="仿宋"/>
                <w:color w:val="000000"/>
                <w:sz w:val="24"/>
                <w:szCs w:val="24"/>
                <w:lang w:val="zh-CN" w:eastAsia="zh-CN" w:bidi="zh-CN"/>
              </w:rPr>
              <w:t>等。</w:t>
            </w:r>
          </w:p>
        </w:tc>
      </w:tr>
      <w:tr w14:paraId="708A8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1262" w:type="dxa"/>
            <w:tcBorders>
              <w:tl2br w:val="nil"/>
              <w:tr2bl w:val="nil"/>
            </w:tcBorders>
            <w:noWrap w:val="0"/>
            <w:vAlign w:val="center"/>
          </w:tcPr>
          <w:p w14:paraId="496A4478">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left="0" w:leftChars="0" w:right="44" w:firstLine="0" w:firstLineChars="0"/>
              <w:jc w:val="center"/>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维护类</w:t>
            </w:r>
          </w:p>
        </w:tc>
        <w:tc>
          <w:tcPr>
            <w:tcW w:w="8228" w:type="dxa"/>
            <w:tcBorders>
              <w:tl2br w:val="nil"/>
              <w:tr2bl w:val="nil"/>
            </w:tcBorders>
            <w:noWrap w:val="0"/>
            <w:vAlign w:val="top"/>
          </w:tcPr>
          <w:p w14:paraId="1BE7ABE0">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1</w:t>
            </w:r>
            <w:r>
              <w:rPr>
                <w:rFonts w:hint="eastAsia" w:ascii="仿宋" w:hAnsi="仿宋" w:eastAsia="仿宋" w:cs="仿宋"/>
                <w:color w:val="000000"/>
                <w:sz w:val="24"/>
                <w:szCs w:val="24"/>
                <w:lang w:val="en-US" w:eastAsia="zh-CN" w:bidi="zh-CN"/>
              </w:rPr>
              <w:t>.</w:t>
            </w:r>
            <w:r>
              <w:rPr>
                <w:rFonts w:hint="eastAsia" w:ascii="仿宋" w:hAnsi="仿宋" w:eastAsia="仿宋" w:cs="仿宋"/>
                <w:color w:val="000000"/>
                <w:sz w:val="24"/>
                <w:szCs w:val="24"/>
                <w:lang w:val="zh-CN" w:eastAsia="zh-CN" w:bidi="zh-CN"/>
              </w:rPr>
              <w:t>路口信号灯（含过保信号机）的定期巡查，每周至少通过视频监控巡查一次，每月至少现场巡查一次，全天候保障所有路口信号灯正常运行。</w:t>
            </w:r>
          </w:p>
          <w:p w14:paraId="704CF34C">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2</w:t>
            </w:r>
            <w:r>
              <w:rPr>
                <w:rFonts w:hint="eastAsia" w:ascii="仿宋" w:hAnsi="仿宋" w:eastAsia="仿宋" w:cs="仿宋"/>
                <w:color w:val="000000"/>
                <w:sz w:val="24"/>
                <w:szCs w:val="24"/>
                <w:lang w:val="en-US" w:eastAsia="zh-CN" w:bidi="zh-CN"/>
              </w:rPr>
              <w:t>.</w:t>
            </w:r>
            <w:r>
              <w:rPr>
                <w:rFonts w:hint="eastAsia" w:ascii="仿宋" w:hAnsi="仿宋" w:eastAsia="仿宋" w:cs="仿宋"/>
                <w:color w:val="000000"/>
                <w:sz w:val="24"/>
                <w:szCs w:val="24"/>
                <w:lang w:val="zh-CN" w:eastAsia="zh-CN" w:bidi="zh-CN"/>
              </w:rPr>
              <w:t>交通信号系统配时调整（根据需要进行路口信号配时方案设计、信号机现场配时调整、监控中心数据库更新等相应工作）。</w:t>
            </w:r>
          </w:p>
          <w:p w14:paraId="6D0E6059">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3</w:t>
            </w:r>
            <w:r>
              <w:rPr>
                <w:rFonts w:hint="eastAsia" w:ascii="仿宋" w:hAnsi="仿宋" w:eastAsia="仿宋" w:cs="仿宋"/>
                <w:color w:val="000000"/>
                <w:sz w:val="24"/>
                <w:szCs w:val="24"/>
                <w:lang w:val="en-US" w:eastAsia="zh-CN" w:bidi="zh-CN"/>
              </w:rPr>
              <w:t>.</w:t>
            </w:r>
            <w:r>
              <w:rPr>
                <w:rFonts w:hint="eastAsia" w:ascii="仿宋" w:hAnsi="仿宋" w:eastAsia="仿宋" w:cs="仿宋"/>
                <w:color w:val="000000"/>
                <w:sz w:val="24"/>
                <w:szCs w:val="24"/>
                <w:lang w:val="zh-CN" w:eastAsia="zh-CN" w:bidi="zh-CN"/>
              </w:rPr>
              <w:t>交通信号系统隐患排查，修复、更换信号灯杆件、管线、信号灯壳、灯盘、发光单元、井盖等，清理树木对信号灯的遮挡，清洁信号机箱、杆件上的牛皮癣等。</w:t>
            </w:r>
          </w:p>
          <w:p w14:paraId="408D780E">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4</w:t>
            </w:r>
            <w:r>
              <w:rPr>
                <w:rFonts w:hint="eastAsia" w:ascii="仿宋" w:hAnsi="仿宋" w:eastAsia="仿宋" w:cs="仿宋"/>
                <w:color w:val="000000"/>
                <w:sz w:val="24"/>
                <w:szCs w:val="24"/>
                <w:lang w:val="en-US" w:eastAsia="zh-CN" w:bidi="zh-CN"/>
              </w:rPr>
              <w:t>.</w:t>
            </w:r>
            <w:r>
              <w:rPr>
                <w:rFonts w:hint="eastAsia" w:ascii="仿宋" w:hAnsi="仿宋" w:eastAsia="仿宋" w:cs="仿宋"/>
                <w:color w:val="000000"/>
                <w:sz w:val="24"/>
                <w:szCs w:val="24"/>
                <w:lang w:val="zh-CN" w:eastAsia="zh-CN" w:bidi="zh-CN"/>
              </w:rPr>
              <w:t>对移动信号灯做好常态化维护，积极响应并妥善处理采购人安排的临时、应急任务。如遇到重大活动、特殊事件等情况，应提前做好信号灯故障的排查维修工作，确保在应急情况下信号灯零故障。</w:t>
            </w:r>
          </w:p>
        </w:tc>
      </w:tr>
      <w:tr w14:paraId="0B74F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9490" w:type="dxa"/>
            <w:gridSpan w:val="2"/>
            <w:tcBorders>
              <w:tl2br w:val="nil"/>
              <w:tr2bl w:val="nil"/>
            </w:tcBorders>
            <w:noWrap w:val="0"/>
            <w:vAlign w:val="top"/>
          </w:tcPr>
          <w:p w14:paraId="3435F186">
            <w:pPr>
              <w:pStyle w:val="34"/>
              <w:keepNext w:val="0"/>
              <w:keepLines w:val="0"/>
              <w:pageBreakBefore w:val="0"/>
              <w:widowControl w:val="0"/>
              <w:kinsoku w:val="0"/>
              <w:wordWrap/>
              <w:overflowPunct w:val="0"/>
              <w:topLinePunct w:val="0"/>
              <w:autoSpaceDE w:val="0"/>
              <w:autoSpaceDN w:val="0"/>
              <w:bidi w:val="0"/>
              <w:adjustRightInd w:val="0"/>
              <w:snapToGrid/>
              <w:spacing w:before="29" w:beforeLines="0" w:afterLines="0" w:line="36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二、其他</w:t>
            </w:r>
          </w:p>
        </w:tc>
      </w:tr>
      <w:tr w14:paraId="38013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262" w:type="dxa"/>
            <w:tcBorders>
              <w:tl2br w:val="nil"/>
              <w:tr2bl w:val="nil"/>
            </w:tcBorders>
            <w:noWrap w:val="0"/>
            <w:vAlign w:val="top"/>
          </w:tcPr>
          <w:p w14:paraId="5AD0A6DF">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firstLine="0" w:firstLineChars="0"/>
              <w:textAlignment w:val="auto"/>
              <w:rPr>
                <w:rFonts w:hint="eastAsia" w:ascii="仿宋" w:hAnsi="仿宋" w:eastAsia="仿宋" w:cs="仿宋"/>
                <w:sz w:val="24"/>
                <w:szCs w:val="24"/>
              </w:rPr>
            </w:pPr>
          </w:p>
          <w:p w14:paraId="47FD3974">
            <w:pPr>
              <w:pStyle w:val="34"/>
              <w:keepNext w:val="0"/>
              <w:keepLines w:val="0"/>
              <w:pageBreakBefore w:val="0"/>
              <w:widowControl w:val="0"/>
              <w:kinsoku w:val="0"/>
              <w:wordWrap/>
              <w:overflowPunct w:val="0"/>
              <w:topLinePunct w:val="0"/>
              <w:autoSpaceDE w:val="0"/>
              <w:autoSpaceDN w:val="0"/>
              <w:bidi w:val="0"/>
              <w:adjustRightInd w:val="0"/>
              <w:snapToGrid/>
              <w:spacing w:before="5" w:beforeLines="0" w:afterLines="0" w:line="360" w:lineRule="auto"/>
              <w:ind w:firstLine="0" w:firstLineChars="0"/>
              <w:textAlignment w:val="auto"/>
              <w:rPr>
                <w:rFonts w:hint="eastAsia" w:ascii="仿宋" w:hAnsi="仿宋" w:eastAsia="仿宋" w:cs="仿宋"/>
                <w:sz w:val="24"/>
                <w:szCs w:val="24"/>
              </w:rPr>
            </w:pPr>
          </w:p>
          <w:p w14:paraId="05B444D4">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left="0" w:leftChars="0" w:right="56" w:firstLine="0" w:firstLineChars="0"/>
              <w:jc w:val="center"/>
              <w:textAlignment w:val="auto"/>
              <w:rPr>
                <w:rFonts w:hint="eastAsia" w:ascii="仿宋" w:hAnsi="仿宋" w:eastAsia="仿宋" w:cs="仿宋"/>
                <w:w w:val="95"/>
                <w:sz w:val="24"/>
                <w:szCs w:val="24"/>
              </w:rPr>
            </w:pPr>
            <w:r>
              <w:rPr>
                <w:rFonts w:hint="eastAsia" w:ascii="仿宋" w:hAnsi="仿宋" w:eastAsia="仿宋" w:cs="仿宋"/>
                <w:w w:val="95"/>
                <w:sz w:val="24"/>
                <w:szCs w:val="24"/>
              </w:rPr>
              <w:t>光纤、电源</w:t>
            </w:r>
          </w:p>
        </w:tc>
        <w:tc>
          <w:tcPr>
            <w:tcW w:w="8228" w:type="dxa"/>
            <w:tcBorders>
              <w:tl2br w:val="nil"/>
              <w:tr2bl w:val="nil"/>
            </w:tcBorders>
            <w:noWrap w:val="0"/>
            <w:vAlign w:val="top"/>
          </w:tcPr>
          <w:p w14:paraId="320BE0B7">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武义县公安局交通警察大队租用当地运营商网络的，运营商应负责相应的网络维护；供电线路为本项目中标方负责维护；未过保信号机由原安装单位维护。本项目维护单位发现属于网络、未过保信号机故障后，应立即将相应的故障信息上报武义县公安局交通警察大队，交警部门</w:t>
            </w:r>
            <w:r>
              <w:rPr>
                <w:rFonts w:hint="eastAsia" w:ascii="仿宋" w:hAnsi="仿宋" w:eastAsia="仿宋" w:cs="仿宋"/>
                <w:color w:val="000000"/>
                <w:sz w:val="24"/>
                <w:szCs w:val="24"/>
                <w:lang w:val="en-US" w:eastAsia="zh-CN" w:bidi="zh-CN"/>
              </w:rPr>
              <w:t>负责</w:t>
            </w:r>
            <w:r>
              <w:rPr>
                <w:rFonts w:hint="eastAsia" w:ascii="仿宋" w:hAnsi="仿宋" w:eastAsia="仿宋" w:cs="仿宋"/>
                <w:color w:val="000000"/>
                <w:sz w:val="24"/>
                <w:szCs w:val="24"/>
                <w:lang w:val="zh-CN" w:eastAsia="zh-CN" w:bidi="zh-CN"/>
              </w:rPr>
              <w:t>协调相关责任部门维护。</w:t>
            </w:r>
          </w:p>
        </w:tc>
      </w:tr>
      <w:tr w14:paraId="37E54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1262" w:type="dxa"/>
            <w:tcBorders>
              <w:tl2br w:val="nil"/>
              <w:tr2bl w:val="nil"/>
            </w:tcBorders>
            <w:noWrap w:val="0"/>
            <w:vAlign w:val="top"/>
          </w:tcPr>
          <w:p w14:paraId="6CB7A0B2">
            <w:pPr>
              <w:pStyle w:val="34"/>
              <w:keepNext w:val="0"/>
              <w:keepLines w:val="0"/>
              <w:pageBreakBefore w:val="0"/>
              <w:widowControl w:val="0"/>
              <w:kinsoku w:val="0"/>
              <w:wordWrap/>
              <w:overflowPunct w:val="0"/>
              <w:topLinePunct w:val="0"/>
              <w:autoSpaceDE w:val="0"/>
              <w:autoSpaceDN w:val="0"/>
              <w:bidi w:val="0"/>
              <w:adjustRightInd w:val="0"/>
              <w:snapToGrid/>
              <w:spacing w:before="230" w:beforeLines="0" w:afterLines="0" w:line="360" w:lineRule="auto"/>
              <w:ind w:left="85" w:right="54"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意外</w:t>
            </w:r>
          </w:p>
        </w:tc>
        <w:tc>
          <w:tcPr>
            <w:tcW w:w="8228" w:type="dxa"/>
            <w:tcBorders>
              <w:tl2br w:val="nil"/>
              <w:tr2bl w:val="nil"/>
            </w:tcBorders>
            <w:noWrap w:val="0"/>
            <w:vAlign w:val="top"/>
          </w:tcPr>
          <w:p w14:paraId="2AAE5E79">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因不可抗力或交通事故导致设备故障，本项目中标方应及时先行维护，交警部门应协调相关责任人或部门进行理赔。</w:t>
            </w:r>
          </w:p>
        </w:tc>
      </w:tr>
      <w:tr w14:paraId="48B8C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262" w:type="dxa"/>
            <w:tcBorders>
              <w:tl2br w:val="nil"/>
              <w:tr2bl w:val="nil"/>
            </w:tcBorders>
            <w:noWrap w:val="0"/>
            <w:vAlign w:val="center"/>
          </w:tcPr>
          <w:p w14:paraId="256A0445">
            <w:pPr>
              <w:pStyle w:val="34"/>
              <w:keepNext w:val="0"/>
              <w:keepLines w:val="0"/>
              <w:pageBreakBefore w:val="0"/>
              <w:widowControl w:val="0"/>
              <w:kinsoku w:val="0"/>
              <w:wordWrap/>
              <w:overflowPunct w:val="0"/>
              <w:topLinePunct w:val="0"/>
              <w:autoSpaceDE w:val="0"/>
              <w:autoSpaceDN w:val="0"/>
              <w:bidi w:val="0"/>
              <w:adjustRightInd w:val="0"/>
              <w:snapToGrid/>
              <w:spacing w:beforeLines="0" w:afterLines="0" w:line="360" w:lineRule="auto"/>
              <w:ind w:left="0" w:leftChars="0" w:right="33"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系统运行</w:t>
            </w:r>
          </w:p>
        </w:tc>
        <w:tc>
          <w:tcPr>
            <w:tcW w:w="8228" w:type="dxa"/>
            <w:tcBorders>
              <w:tl2br w:val="nil"/>
              <w:tr2bl w:val="nil"/>
            </w:tcBorders>
            <w:noWrap w:val="0"/>
            <w:vAlign w:val="top"/>
          </w:tcPr>
          <w:p w14:paraId="38F2747F">
            <w:pPr>
              <w:pStyle w:val="34"/>
              <w:keepNext w:val="0"/>
              <w:keepLines w:val="0"/>
              <w:pageBreakBefore w:val="0"/>
              <w:widowControl w:val="0"/>
              <w:kinsoku w:val="0"/>
              <w:wordWrap/>
              <w:overflowPunct w:val="0"/>
              <w:topLinePunct w:val="0"/>
              <w:autoSpaceDE w:val="0"/>
              <w:autoSpaceDN w:val="0"/>
              <w:bidi w:val="0"/>
              <w:adjustRightInd w:val="0"/>
              <w:snapToGrid/>
              <w:spacing w:before="78" w:beforeLines="0" w:afterLines="0" w:line="360" w:lineRule="auto"/>
              <w:ind w:left="85" w:right="-72" w:firstLine="0" w:firstLine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系统运行常规化检测：</w:t>
            </w:r>
          </w:p>
          <w:p w14:paraId="4D158F2A">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78" w:beforeLines="0" w:afterLines="0" w:line="360" w:lineRule="auto"/>
              <w:ind w:left="85" w:leftChars="0" w:right="-72" w:right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en-US" w:eastAsia="zh-CN" w:bidi="zh-CN"/>
              </w:rPr>
              <w:t>1.</w:t>
            </w:r>
            <w:r>
              <w:rPr>
                <w:rFonts w:hint="eastAsia" w:ascii="仿宋" w:hAnsi="仿宋" w:eastAsia="仿宋" w:cs="仿宋"/>
                <w:color w:val="000000"/>
                <w:sz w:val="24"/>
                <w:szCs w:val="24"/>
                <w:lang w:val="zh-CN" w:eastAsia="zh-CN" w:bidi="zh-CN"/>
              </w:rPr>
              <w:t>数据传输是否通畅；</w:t>
            </w:r>
          </w:p>
          <w:p w14:paraId="19BADC27">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78" w:beforeLines="0" w:afterLines="0" w:line="360" w:lineRule="auto"/>
              <w:ind w:left="85" w:leftChars="0" w:right="-72" w:right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en-US" w:eastAsia="zh-CN" w:bidi="zh-CN"/>
              </w:rPr>
              <w:t>2.</w:t>
            </w:r>
            <w:r>
              <w:rPr>
                <w:rFonts w:hint="eastAsia" w:ascii="仿宋" w:hAnsi="仿宋" w:eastAsia="仿宋" w:cs="仿宋"/>
                <w:color w:val="000000"/>
                <w:sz w:val="24"/>
                <w:szCs w:val="24"/>
                <w:lang w:val="zh-CN" w:eastAsia="zh-CN" w:bidi="zh-CN"/>
              </w:rPr>
              <w:t>网络是否通畅；</w:t>
            </w:r>
          </w:p>
          <w:p w14:paraId="77966FB9">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78" w:beforeLines="0" w:afterLines="0" w:line="360" w:lineRule="auto"/>
              <w:ind w:left="85" w:leftChars="0" w:right="-72" w:right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en-US" w:eastAsia="zh-CN" w:bidi="zh-CN"/>
              </w:rPr>
              <w:t>3.</w:t>
            </w:r>
            <w:r>
              <w:rPr>
                <w:rFonts w:hint="eastAsia" w:ascii="仿宋" w:hAnsi="仿宋" w:eastAsia="仿宋" w:cs="仿宋"/>
                <w:color w:val="000000"/>
                <w:sz w:val="24"/>
                <w:szCs w:val="24"/>
                <w:lang w:val="zh-CN" w:eastAsia="zh-CN" w:bidi="zh-CN"/>
              </w:rPr>
              <w:t>网络是否安全；</w:t>
            </w:r>
          </w:p>
          <w:p w14:paraId="0E612C3C">
            <w:pPr>
              <w:pStyle w:val="34"/>
              <w:keepNext w:val="0"/>
              <w:keepLines w:val="0"/>
              <w:pageBreakBefore w:val="0"/>
              <w:widowControl w:val="0"/>
              <w:numPr>
                <w:ilvl w:val="0"/>
                <w:numId w:val="0"/>
              </w:numPr>
              <w:kinsoku w:val="0"/>
              <w:wordWrap/>
              <w:overflowPunct w:val="0"/>
              <w:topLinePunct w:val="0"/>
              <w:autoSpaceDE w:val="0"/>
              <w:autoSpaceDN w:val="0"/>
              <w:bidi w:val="0"/>
              <w:adjustRightInd w:val="0"/>
              <w:snapToGrid/>
              <w:spacing w:before="78" w:beforeLines="0" w:afterLines="0" w:line="360" w:lineRule="auto"/>
              <w:ind w:left="85" w:leftChars="0" w:right="-72" w:rightChars="0"/>
              <w:textAlignment w:val="auto"/>
              <w:rPr>
                <w:rFonts w:hint="eastAsia" w:ascii="仿宋" w:hAnsi="仿宋" w:eastAsia="仿宋" w:cs="仿宋"/>
                <w:color w:val="000000"/>
                <w:sz w:val="24"/>
                <w:szCs w:val="24"/>
                <w:lang w:val="zh-CN" w:eastAsia="zh-CN" w:bidi="zh-CN"/>
              </w:rPr>
            </w:pPr>
            <w:r>
              <w:rPr>
                <w:rFonts w:hint="eastAsia" w:ascii="仿宋" w:hAnsi="仿宋" w:eastAsia="仿宋" w:cs="仿宋"/>
                <w:color w:val="000000"/>
                <w:sz w:val="24"/>
                <w:szCs w:val="24"/>
                <w:lang w:val="zh-CN" w:eastAsia="zh-CN" w:bidi="zh-CN"/>
              </w:rPr>
              <w:t>4</w:t>
            </w:r>
            <w:r>
              <w:rPr>
                <w:rFonts w:hint="eastAsia" w:ascii="仿宋" w:hAnsi="仿宋" w:eastAsia="仿宋" w:cs="仿宋"/>
                <w:color w:val="000000"/>
                <w:sz w:val="24"/>
                <w:szCs w:val="24"/>
                <w:lang w:val="en-US" w:eastAsia="zh-CN" w:bidi="zh-CN"/>
              </w:rPr>
              <w:t>.</w:t>
            </w:r>
            <w:r>
              <w:rPr>
                <w:rFonts w:hint="eastAsia" w:ascii="仿宋" w:hAnsi="仿宋" w:eastAsia="仿宋" w:cs="仿宋"/>
                <w:color w:val="000000"/>
                <w:sz w:val="24"/>
                <w:szCs w:val="24"/>
                <w:lang w:val="zh-CN" w:eastAsia="zh-CN" w:bidi="zh-CN"/>
              </w:rPr>
              <w:t>信号灯系统是否正常。</w:t>
            </w:r>
          </w:p>
        </w:tc>
      </w:tr>
    </w:tbl>
    <w:p w14:paraId="0E033C7C">
      <w:pPr>
        <w:bidi w:val="0"/>
        <w:ind w:left="0" w:leftChars="0" w:firstLine="482" w:firstLineChars="200"/>
        <w:rPr>
          <w:rFonts w:hint="eastAsia"/>
          <w:b/>
          <w:bCs/>
          <w:lang w:val="en-US" w:eastAsia="zh-CN"/>
        </w:rPr>
      </w:pPr>
      <w:r>
        <w:rPr>
          <w:rFonts w:hint="eastAsia"/>
          <w:b/>
          <w:bCs/>
          <w:lang w:val="en-US" w:eastAsia="zh-CN"/>
        </w:rPr>
        <w:t>2.维护作业的主要要求</w:t>
      </w:r>
    </w:p>
    <w:p w14:paraId="102059E6">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w:t>
      </w:r>
      <w:r>
        <w:rPr>
          <w:rFonts w:hint="eastAsia" w:cs="仿宋"/>
          <w:sz w:val="24"/>
          <w:szCs w:val="24"/>
          <w:lang w:val="zh-CN" w:eastAsia="zh-CN"/>
        </w:rPr>
        <w:t>）</w:t>
      </w:r>
      <w:r>
        <w:rPr>
          <w:rFonts w:hint="eastAsia" w:ascii="仿宋" w:hAnsi="仿宋" w:eastAsia="仿宋" w:cs="仿宋"/>
          <w:sz w:val="24"/>
          <w:szCs w:val="24"/>
          <w:lang w:val="zh-CN" w:eastAsia="zh-CN"/>
        </w:rPr>
        <w:t>中标人将作为武义县交通信号灯维护服务的承办单位，在合同履行期间必须接受武义县公安局交通警察大队的监督管理。</w:t>
      </w:r>
    </w:p>
    <w:p w14:paraId="1A0BCB95">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2</w:t>
      </w:r>
      <w:r>
        <w:rPr>
          <w:rFonts w:hint="eastAsia" w:cs="仿宋"/>
          <w:sz w:val="24"/>
          <w:szCs w:val="24"/>
          <w:lang w:val="zh-CN" w:eastAsia="zh-CN"/>
        </w:rPr>
        <w:t>）</w:t>
      </w:r>
      <w:r>
        <w:rPr>
          <w:rFonts w:hint="eastAsia" w:ascii="仿宋" w:hAnsi="仿宋" w:eastAsia="仿宋" w:cs="仿宋"/>
          <w:sz w:val="24"/>
          <w:szCs w:val="24"/>
          <w:lang w:val="zh-CN" w:eastAsia="zh-CN"/>
        </w:rPr>
        <w:t>服务方在承包前必须全面检测一，次其费用由服务方负责，以确保各路口交通信号灯运作正常、无故障。服务方在服务期间需每天进行巡查，做好相应的巡查记录。服务方在服务期间需每天进行巡查（线上或线下），做好相应的巡查记录。在服务期间若定期巡查工作未做到位或有遗洞的，每发现一次扣罚1000元，若在一个月内</w:t>
      </w:r>
      <w:r>
        <w:rPr>
          <w:rFonts w:hint="eastAsia" w:ascii="仿宋" w:hAnsi="仿宋" w:eastAsia="仿宋" w:cs="仿宋"/>
          <w:sz w:val="24"/>
          <w:szCs w:val="24"/>
          <w:lang w:val="en-US" w:eastAsia="zh-CN"/>
        </w:rPr>
        <w:t>累计</w:t>
      </w:r>
      <w:r>
        <w:rPr>
          <w:rFonts w:hint="eastAsia" w:ascii="仿宋" w:hAnsi="仿宋" w:eastAsia="仿宋" w:cs="仿宋"/>
          <w:sz w:val="24"/>
          <w:szCs w:val="24"/>
          <w:lang w:val="zh-CN" w:eastAsia="zh-CN"/>
        </w:rPr>
        <w:t>发现三次以上遗洞或未到位的，则扣罚当月应付的前端维护费用，若连续三个月都发现巡检遗洞或不到位的，则采购人有权解除合同。</w:t>
      </w:r>
    </w:p>
    <w:p w14:paraId="0656B2B0">
      <w:pPr>
        <w:bidi w:val="0"/>
        <w:rPr>
          <w:rFonts w:hint="eastAsia" w:ascii="仿宋" w:hAnsi="仿宋" w:eastAsia="仿宋" w:cs="仿宋"/>
          <w:sz w:val="24"/>
          <w:szCs w:val="24"/>
          <w:highlight w:val="none"/>
          <w:lang w:val="zh-CN" w:eastAsia="zh-CN"/>
        </w:rPr>
      </w:pPr>
      <w:r>
        <w:rPr>
          <w:rFonts w:hint="eastAsia" w:cs="仿宋"/>
          <w:sz w:val="24"/>
          <w:szCs w:val="24"/>
          <w:lang w:val="zh-CN" w:eastAsia="zh-CN"/>
        </w:rPr>
        <w:t>（</w:t>
      </w:r>
      <w:r>
        <w:rPr>
          <w:rFonts w:hint="eastAsia" w:cs="仿宋"/>
          <w:sz w:val="24"/>
          <w:szCs w:val="24"/>
          <w:lang w:val="en-US" w:eastAsia="zh-CN"/>
        </w:rPr>
        <w:t>3</w:t>
      </w:r>
      <w:r>
        <w:rPr>
          <w:rFonts w:hint="eastAsia" w:cs="仿宋"/>
          <w:sz w:val="24"/>
          <w:szCs w:val="24"/>
          <w:lang w:val="zh-CN" w:eastAsia="zh-CN"/>
        </w:rPr>
        <w:t>）</w:t>
      </w:r>
      <w:r>
        <w:rPr>
          <w:rFonts w:hint="eastAsia" w:ascii="仿宋" w:hAnsi="仿宋" w:eastAsia="仿宋" w:cs="仿宋"/>
          <w:sz w:val="24"/>
          <w:szCs w:val="24"/>
          <w:lang w:val="zh-CN" w:eastAsia="zh-CN"/>
        </w:rPr>
        <w:t>服务方必须在项目所在地长期设置固定的专业相关维护人员不少于</w:t>
      </w:r>
      <w:r>
        <w:rPr>
          <w:rFonts w:hint="eastAsia" w:ascii="仿宋" w:hAnsi="仿宋" w:eastAsia="仿宋" w:cs="仿宋"/>
          <w:sz w:val="24"/>
          <w:szCs w:val="24"/>
          <w:highlight w:val="none"/>
          <w:lang w:val="zh-CN" w:eastAsia="zh-CN"/>
        </w:rPr>
        <w:t>3名</w:t>
      </w:r>
      <w:r>
        <w:rPr>
          <w:rFonts w:hint="eastAsia" w:cs="仿宋"/>
          <w:sz w:val="24"/>
          <w:szCs w:val="24"/>
          <w:highlight w:val="none"/>
          <w:lang w:val="zh-CN" w:eastAsia="zh-CN"/>
        </w:rPr>
        <w:t>（包含至少一名内场驻点</w:t>
      </w:r>
      <w:r>
        <w:rPr>
          <w:rFonts w:hint="eastAsia" w:cs="仿宋"/>
          <w:sz w:val="24"/>
          <w:szCs w:val="24"/>
          <w:highlight w:val="none"/>
          <w:lang w:val="en-US" w:eastAsia="zh-CN"/>
        </w:rPr>
        <w:t>人员</w:t>
      </w:r>
      <w:r>
        <w:rPr>
          <w:rFonts w:hint="eastAsia" w:cs="仿宋"/>
          <w:sz w:val="24"/>
          <w:szCs w:val="24"/>
          <w:highlight w:val="none"/>
          <w:lang w:val="zh-CN" w:eastAsia="zh-CN"/>
        </w:rPr>
        <w:t>）</w:t>
      </w:r>
      <w:r>
        <w:rPr>
          <w:rFonts w:hint="eastAsia" w:ascii="仿宋" w:hAnsi="仿宋" w:eastAsia="仿宋" w:cs="仿宋"/>
          <w:sz w:val="24"/>
          <w:szCs w:val="24"/>
          <w:highlight w:val="none"/>
          <w:lang w:val="zh-CN" w:eastAsia="zh-CN"/>
        </w:rPr>
        <w:t>。</w:t>
      </w:r>
    </w:p>
    <w:p w14:paraId="041A99D5">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4</w:t>
      </w:r>
      <w:r>
        <w:rPr>
          <w:rFonts w:hint="eastAsia" w:cs="仿宋"/>
          <w:sz w:val="24"/>
          <w:szCs w:val="24"/>
          <w:lang w:val="zh-CN" w:eastAsia="zh-CN"/>
        </w:rPr>
        <w:t>）</w:t>
      </w:r>
      <w:r>
        <w:rPr>
          <w:rFonts w:hint="eastAsia" w:ascii="仿宋" w:hAnsi="仿宋" w:eastAsia="仿宋" w:cs="仿宋"/>
          <w:sz w:val="24"/>
          <w:szCs w:val="24"/>
          <w:lang w:val="zh-CN" w:eastAsia="zh-CN"/>
        </w:rPr>
        <w:t>服务方必须在本项目所在地提供登高专业作业车至少一辆。登高作业车需长期停放在武义县，如因特殊原因（如年审等）需驶离本地的，服务方须另行提供备用车辆，并至武义县公安局交通警察大队报备，得到许可后方可更换。</w:t>
      </w:r>
    </w:p>
    <w:p w14:paraId="5F742D56">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default" w:cs="仿宋"/>
          <w:color w:val="auto"/>
          <w:sz w:val="24"/>
          <w:szCs w:val="24"/>
          <w:highlight w:val="none"/>
          <w:lang w:val="en-US" w:eastAsia="zh-CN"/>
        </w:rPr>
      </w:pPr>
      <w:r>
        <w:rPr>
          <w:rFonts w:hint="eastAsia" w:cs="仿宋"/>
          <w:sz w:val="24"/>
          <w:szCs w:val="24"/>
          <w:lang w:val="zh-CN" w:eastAsia="zh-CN"/>
        </w:rPr>
        <w:t>（</w:t>
      </w:r>
      <w:r>
        <w:rPr>
          <w:rFonts w:hint="eastAsia" w:cs="仿宋"/>
          <w:sz w:val="24"/>
          <w:szCs w:val="24"/>
          <w:lang w:val="en-US" w:eastAsia="zh-CN"/>
        </w:rPr>
        <w:t>5</w:t>
      </w:r>
      <w:r>
        <w:rPr>
          <w:rFonts w:hint="eastAsia" w:cs="仿宋"/>
          <w:sz w:val="24"/>
          <w:szCs w:val="24"/>
          <w:lang w:val="zh-CN" w:eastAsia="zh-CN"/>
        </w:rPr>
        <w:t>）</w:t>
      </w:r>
      <w:r>
        <w:rPr>
          <w:rFonts w:hint="eastAsia" w:ascii="仿宋" w:hAnsi="仿宋" w:eastAsia="仿宋" w:cs="仿宋"/>
          <w:sz w:val="24"/>
          <w:szCs w:val="24"/>
          <w:lang w:val="zh-CN" w:eastAsia="zh-CN"/>
        </w:rPr>
        <w:t>服务方须设立投诉专线电话并安排</w:t>
      </w:r>
      <w:r>
        <w:rPr>
          <w:rFonts w:hint="eastAsia" w:ascii="仿宋" w:hAnsi="仿宋" w:eastAsia="仿宋" w:cs="仿宋"/>
          <w:sz w:val="24"/>
          <w:szCs w:val="24"/>
          <w:highlight w:val="none"/>
          <w:lang w:val="zh-CN" w:eastAsia="zh-CN"/>
        </w:rPr>
        <w:t>人员实行24小时值班，当出现故障时，接到通知后（包括微信通知、短信通知、电话通知及书面通知等），服务方必须在城区内</w:t>
      </w:r>
      <w:r>
        <w:rPr>
          <w:rFonts w:hint="eastAsia" w:cs="仿宋"/>
          <w:sz w:val="24"/>
          <w:szCs w:val="24"/>
          <w:highlight w:val="none"/>
          <w:lang w:val="en-US" w:eastAsia="zh-CN"/>
        </w:rPr>
        <w:t>1</w:t>
      </w:r>
      <w:r>
        <w:rPr>
          <w:rFonts w:hint="eastAsia" w:ascii="仿宋" w:hAnsi="仿宋" w:eastAsia="仿宋" w:cs="仿宋"/>
          <w:sz w:val="24"/>
          <w:szCs w:val="24"/>
          <w:highlight w:val="none"/>
          <w:lang w:val="zh-CN" w:eastAsia="zh-CN"/>
        </w:rPr>
        <w:t>个小时、其他地方</w:t>
      </w:r>
      <w:r>
        <w:rPr>
          <w:rFonts w:hint="eastAsia" w:cs="仿宋"/>
          <w:sz w:val="24"/>
          <w:szCs w:val="24"/>
          <w:highlight w:val="none"/>
          <w:lang w:val="en-US" w:eastAsia="zh-CN"/>
        </w:rPr>
        <w:t>2</w:t>
      </w:r>
      <w:r>
        <w:rPr>
          <w:rFonts w:hint="eastAsia" w:ascii="仿宋" w:hAnsi="仿宋" w:eastAsia="仿宋" w:cs="仿宋"/>
          <w:sz w:val="24"/>
          <w:szCs w:val="24"/>
          <w:highlight w:val="none"/>
          <w:lang w:val="zh-CN" w:eastAsia="zh-CN"/>
        </w:rPr>
        <w:t>小时内派</w:t>
      </w:r>
      <w:r>
        <w:rPr>
          <w:rFonts w:hint="eastAsia" w:cs="仿宋"/>
          <w:sz w:val="24"/>
          <w:szCs w:val="24"/>
          <w:highlight w:val="none"/>
          <w:lang w:val="en-US" w:eastAsia="zh-CN"/>
        </w:rPr>
        <w:t>人</w:t>
      </w:r>
      <w:r>
        <w:rPr>
          <w:rFonts w:hint="eastAsia" w:ascii="仿宋" w:hAnsi="仿宋" w:eastAsia="仿宋" w:cs="仿宋"/>
          <w:sz w:val="24"/>
          <w:szCs w:val="24"/>
          <w:highlight w:val="none"/>
          <w:lang w:val="zh-CN" w:eastAsia="zh-CN"/>
        </w:rPr>
        <w:t>员赶到现场进行维修</w:t>
      </w:r>
      <w:r>
        <w:rPr>
          <w:rFonts w:hint="eastAsia" w:cs="仿宋"/>
          <w:sz w:val="24"/>
          <w:szCs w:val="24"/>
          <w:highlight w:val="none"/>
          <w:lang w:val="en-US" w:eastAsia="zh-CN"/>
        </w:rPr>
        <w:t>并</w:t>
      </w:r>
      <w:r>
        <w:rPr>
          <w:rFonts w:hint="eastAsia" w:cs="仿宋"/>
          <w:color w:val="auto"/>
          <w:sz w:val="24"/>
          <w:szCs w:val="24"/>
          <w:highlight w:val="none"/>
          <w:lang w:val="en-US" w:eastAsia="zh-CN"/>
        </w:rPr>
        <w:t>在8小时内完成故障修复。未按要求完成修复的，每次扣1000元。</w:t>
      </w:r>
    </w:p>
    <w:p w14:paraId="4BE1732A">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highlight w:val="none"/>
          <w:lang w:val="zh-CN" w:eastAsia="zh-CN"/>
        </w:rPr>
      </w:pPr>
      <w:r>
        <w:rPr>
          <w:rFonts w:hint="eastAsia" w:cs="仿宋"/>
          <w:color w:val="auto"/>
          <w:sz w:val="24"/>
          <w:szCs w:val="24"/>
          <w:highlight w:val="none"/>
          <w:lang w:val="en-US" w:eastAsia="zh-CN"/>
        </w:rPr>
        <w:t>（6）服务方在现场维修但因维修难度大未能在8小时内完成维修的，经采购人同意，可延迟修复时间至24小时。</w:t>
      </w:r>
    </w:p>
    <w:p w14:paraId="071FA78C">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7</w:t>
      </w:r>
      <w:r>
        <w:rPr>
          <w:rFonts w:hint="eastAsia" w:cs="仿宋"/>
          <w:sz w:val="24"/>
          <w:szCs w:val="24"/>
          <w:lang w:val="zh-CN" w:eastAsia="zh-CN"/>
        </w:rPr>
        <w:t>）</w:t>
      </w:r>
      <w:r>
        <w:rPr>
          <w:rFonts w:hint="eastAsia" w:ascii="仿宋" w:hAnsi="仿宋" w:eastAsia="仿宋" w:cs="仿宋"/>
          <w:sz w:val="24"/>
          <w:szCs w:val="24"/>
          <w:lang w:val="zh-CN" w:eastAsia="zh-CN"/>
        </w:rPr>
        <w:t>若线路井盖及线箱损坏或袚盗时，服务方必须负责更换；如在更换或维修交通信号灯时对绿化造成损害，服务方必须负责补种，补种费用由服务方负责。</w:t>
      </w:r>
    </w:p>
    <w:p w14:paraId="7DE45204">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8</w:t>
      </w:r>
      <w:r>
        <w:rPr>
          <w:rFonts w:hint="eastAsia" w:cs="仿宋"/>
          <w:sz w:val="24"/>
          <w:szCs w:val="24"/>
          <w:lang w:val="zh-CN" w:eastAsia="zh-CN"/>
        </w:rPr>
        <w:t>）</w:t>
      </w:r>
      <w:r>
        <w:rPr>
          <w:rFonts w:hint="eastAsia" w:ascii="仿宋" w:hAnsi="仿宋" w:eastAsia="仿宋" w:cs="仿宋"/>
          <w:sz w:val="24"/>
          <w:szCs w:val="24"/>
          <w:lang w:val="zh-CN" w:eastAsia="zh-CN"/>
        </w:rPr>
        <w:t>如果线路维修需要开凿路面，的须经有关部门批准，后服务方才能施行路面开凿工作，恢复开凿路面的费用由维护方负责（落地机柜到信号灯杆件）。</w:t>
      </w:r>
    </w:p>
    <w:p w14:paraId="56CEF03E">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9</w:t>
      </w:r>
      <w:r>
        <w:rPr>
          <w:rFonts w:hint="eastAsia" w:cs="仿宋"/>
          <w:sz w:val="24"/>
          <w:szCs w:val="24"/>
          <w:lang w:val="zh-CN" w:eastAsia="zh-CN"/>
        </w:rPr>
        <w:t>）</w:t>
      </w:r>
      <w:r>
        <w:rPr>
          <w:rFonts w:hint="eastAsia" w:ascii="仿宋" w:hAnsi="仿宋" w:eastAsia="仿宋" w:cs="仿宋"/>
          <w:sz w:val="24"/>
          <w:szCs w:val="24"/>
          <w:lang w:val="zh-CN" w:eastAsia="zh-CN"/>
        </w:rPr>
        <w:t>对承包项目内的品项，服务方必须定期保养以便其正常运转。</w:t>
      </w:r>
    </w:p>
    <w:p w14:paraId="32873ECE">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10</w:t>
      </w:r>
      <w:r>
        <w:rPr>
          <w:rFonts w:hint="eastAsia" w:cs="仿宋"/>
          <w:sz w:val="24"/>
          <w:szCs w:val="24"/>
          <w:lang w:val="zh-CN" w:eastAsia="zh-CN"/>
        </w:rPr>
        <w:t>）</w:t>
      </w:r>
      <w:r>
        <w:rPr>
          <w:rFonts w:hint="eastAsia" w:ascii="仿宋" w:hAnsi="仿宋" w:eastAsia="仿宋" w:cs="仿宋"/>
          <w:sz w:val="24"/>
          <w:szCs w:val="24"/>
          <w:lang w:val="zh-CN" w:eastAsia="zh-CN"/>
        </w:rPr>
        <w:t>在设施维修施工过程，中服务方必须做好安全防护措，施并且遵守和执行安全、文明施工等规定，尽可能不影响道路交通。必须为所有维修人员购买人身意外保险，维护期所有发生的安全事故均由服务方自行承担，采购人不承担任何责任。</w:t>
      </w:r>
    </w:p>
    <w:p w14:paraId="39B60E81">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11</w:t>
      </w:r>
      <w:r>
        <w:rPr>
          <w:rFonts w:hint="eastAsia" w:cs="仿宋"/>
          <w:sz w:val="24"/>
          <w:szCs w:val="24"/>
          <w:lang w:val="zh-CN" w:eastAsia="zh-CN"/>
        </w:rPr>
        <w:t>）</w:t>
      </w:r>
      <w:r>
        <w:rPr>
          <w:rFonts w:hint="eastAsia" w:ascii="仿宋" w:hAnsi="仿宋" w:eastAsia="仿宋" w:cs="仿宋"/>
          <w:sz w:val="24"/>
          <w:szCs w:val="24"/>
          <w:lang w:val="zh-CN" w:eastAsia="zh-CN"/>
        </w:rPr>
        <w:t>在维护管理期间，服务方必须购置相应的维修应急配件一批，承包费用不作增</w:t>
      </w:r>
      <w:r>
        <w:rPr>
          <w:rFonts w:hint="eastAsia" w:ascii="仿宋" w:hAnsi="仿宋" w:eastAsia="仿宋" w:cs="仿宋"/>
          <w:sz w:val="24"/>
          <w:szCs w:val="24"/>
          <w:lang w:val="en-US" w:eastAsia="zh-CN"/>
        </w:rPr>
        <w:t>减</w:t>
      </w:r>
      <w:r>
        <w:rPr>
          <w:rFonts w:hint="eastAsia" w:ascii="仿宋" w:hAnsi="仿宋" w:eastAsia="仿宋" w:cs="仿宋"/>
          <w:sz w:val="24"/>
          <w:szCs w:val="24"/>
          <w:lang w:val="zh-CN" w:eastAsia="zh-CN"/>
        </w:rPr>
        <w:t>，由服务方在报价中考虑。</w:t>
      </w:r>
    </w:p>
    <w:p w14:paraId="5DBAE371">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12</w:t>
      </w:r>
      <w:r>
        <w:rPr>
          <w:rFonts w:hint="eastAsia" w:cs="仿宋"/>
          <w:sz w:val="24"/>
          <w:szCs w:val="24"/>
          <w:lang w:val="zh-CN" w:eastAsia="zh-CN"/>
        </w:rPr>
        <w:t>）</w:t>
      </w:r>
      <w:r>
        <w:rPr>
          <w:rFonts w:hint="eastAsia" w:ascii="仿宋" w:hAnsi="仿宋" w:eastAsia="仿宋" w:cs="仿宋"/>
          <w:sz w:val="24"/>
          <w:szCs w:val="24"/>
          <w:lang w:val="zh-CN" w:eastAsia="zh-CN"/>
        </w:rPr>
        <w:t>服务方必须接受武义县公安局交通警察大队的业务指导，及时处理和改正提出的存在间题。</w:t>
      </w:r>
    </w:p>
    <w:p w14:paraId="1377447B">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13</w:t>
      </w:r>
      <w:r>
        <w:rPr>
          <w:rFonts w:hint="eastAsia" w:cs="仿宋"/>
          <w:sz w:val="24"/>
          <w:szCs w:val="24"/>
          <w:lang w:val="zh-CN" w:eastAsia="zh-CN"/>
        </w:rPr>
        <w:t>）</w:t>
      </w:r>
      <w:r>
        <w:rPr>
          <w:rFonts w:hint="eastAsia" w:ascii="仿宋" w:hAnsi="仿宋" w:eastAsia="仿宋" w:cs="仿宋"/>
          <w:sz w:val="24"/>
          <w:szCs w:val="24"/>
          <w:lang w:val="zh-CN" w:eastAsia="zh-CN"/>
        </w:rPr>
        <w:t>各路口如设备损坏后，无法修复，必须更换新的设备，更换时设备应不低于此次招标要求的参数，不得以次充好，设备更换前需征得武义县公安局</w:t>
      </w:r>
      <w:r>
        <w:rPr>
          <w:rFonts w:hint="eastAsia" w:ascii="仿宋" w:hAnsi="仿宋" w:eastAsia="仿宋" w:cs="仿宋"/>
          <w:sz w:val="24"/>
          <w:szCs w:val="24"/>
          <w:lang w:val="en-US" w:eastAsia="zh-CN"/>
        </w:rPr>
        <w:t>交通</w:t>
      </w:r>
      <w:r>
        <w:rPr>
          <w:rFonts w:hint="eastAsia" w:ascii="仿宋" w:hAnsi="仿宋" w:eastAsia="仿宋" w:cs="仿宋"/>
          <w:sz w:val="24"/>
          <w:szCs w:val="24"/>
          <w:lang w:val="zh-CN" w:eastAsia="zh-CN"/>
        </w:rPr>
        <w:t>警察大队的同意。如未经批准擅自更换，经查实后，需立即按照武义县公安局交通警察人队的要求无条件更换，发现一次扣1000元。</w:t>
      </w:r>
    </w:p>
    <w:p w14:paraId="5A3480A0">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14</w:t>
      </w:r>
      <w:r>
        <w:rPr>
          <w:rFonts w:hint="eastAsia" w:cs="仿宋"/>
          <w:sz w:val="24"/>
          <w:szCs w:val="24"/>
          <w:lang w:val="zh-CN" w:eastAsia="zh-CN"/>
        </w:rPr>
        <w:t>）</w:t>
      </w:r>
      <w:r>
        <w:rPr>
          <w:rFonts w:hint="eastAsia" w:ascii="仿宋" w:hAnsi="仿宋" w:eastAsia="仿宋" w:cs="仿宋"/>
          <w:sz w:val="24"/>
          <w:szCs w:val="24"/>
          <w:lang w:val="zh-CN" w:eastAsia="zh-CN"/>
        </w:rPr>
        <w:t>各路口如管路损坏后，预埋管路必须采购DN70及以上的钢管或PE管，不得采用PVC管。</w:t>
      </w:r>
    </w:p>
    <w:p w14:paraId="02F2D194">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15</w:t>
      </w:r>
      <w:r>
        <w:rPr>
          <w:rFonts w:hint="eastAsia" w:cs="仿宋"/>
          <w:sz w:val="24"/>
          <w:szCs w:val="24"/>
          <w:lang w:val="zh-CN" w:eastAsia="zh-CN"/>
        </w:rPr>
        <w:t>）</w:t>
      </w:r>
      <w:r>
        <w:rPr>
          <w:rFonts w:hint="eastAsia" w:ascii="仿宋" w:hAnsi="仿宋" w:eastAsia="仿宋" w:cs="仿宋"/>
          <w:sz w:val="24"/>
          <w:szCs w:val="24"/>
          <w:lang w:val="zh-CN" w:eastAsia="zh-CN"/>
        </w:rPr>
        <w:t>建立完整维护档案</w:t>
      </w:r>
    </w:p>
    <w:p w14:paraId="234A77FF">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①</w:t>
      </w:r>
      <w:r>
        <w:rPr>
          <w:rFonts w:hint="eastAsia" w:ascii="仿宋" w:hAnsi="仿宋" w:eastAsia="仿宋" w:cs="仿宋"/>
          <w:sz w:val="24"/>
          <w:szCs w:val="24"/>
          <w:lang w:val="zh-CN" w:eastAsia="zh-CN"/>
        </w:rPr>
        <w:t>中标单位在签订维护合同半年内需把维护范围内所有路口的资料输入电脑建立档案库，档案库以路口示意图为单元，内容包括路口的管线管井图、建造时间、现状、维护纪录。路口管井图有路口中井的类型、数量、位置，井与井之间管道的数量，信号机的位置，取电点的位置等资料。</w:t>
      </w:r>
    </w:p>
    <w:p w14:paraId="358BA2A8">
      <w:pPr>
        <w:keepNext w:val="0"/>
        <w:keepLines w:val="0"/>
        <w:pageBreakBefore w:val="0"/>
        <w:widowControl/>
        <w:kinsoku/>
        <w:wordWrap/>
        <w:overflowPunct/>
        <w:topLinePunct w:val="0"/>
        <w:autoSpaceDE w:val="0"/>
        <w:autoSpaceDN w:val="0"/>
        <w:bidi w:val="0"/>
        <w:adjustRightInd w:val="0"/>
        <w:snapToGrid/>
        <w:spacing w:line="546" w:lineRule="exact"/>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②</w:t>
      </w:r>
      <w:r>
        <w:rPr>
          <w:rFonts w:hint="eastAsia" w:ascii="仿宋" w:hAnsi="仿宋" w:eastAsia="仿宋" w:cs="仿宋"/>
          <w:sz w:val="24"/>
          <w:szCs w:val="24"/>
          <w:lang w:val="zh-CN" w:eastAsia="zh-CN"/>
        </w:rPr>
        <w:t>档案库要随时进行更新，在维护期间内路口管井资料有改变或有新增或改造的灯控路口时，路口资料要在30天内录入档案库，并把最新的档案库提供给招标人使用和存档。</w:t>
      </w:r>
    </w:p>
    <w:p w14:paraId="5E302397">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③</w:t>
      </w:r>
      <w:r>
        <w:rPr>
          <w:rFonts w:hint="eastAsia" w:ascii="仿宋" w:hAnsi="仿宋" w:eastAsia="仿宋" w:cs="仿宋"/>
          <w:sz w:val="24"/>
          <w:szCs w:val="24"/>
          <w:lang w:val="zh-CN" w:eastAsia="zh-CN"/>
        </w:rPr>
        <w:t>运用电脑建立交通设施维护记录档案，报修记录包括上报单位、上报人姓名、时间、地点和故障类型。并要建立与报修记录对应的处理记录，记录维修的结果、维修责任人、维修时间等。报修记录和处理记录要每星期送招标人检查和存档，以便能确定交通管井设施是否及时维修、没有及时维修的责任所属。</w:t>
      </w:r>
    </w:p>
    <w:p w14:paraId="6B44CCB9">
      <w:pPr>
        <w:bidi w:val="0"/>
        <w:rPr>
          <w:rFonts w:hint="eastAsia"/>
          <w:b/>
          <w:bCs/>
          <w:lang w:val="zh-CN" w:eastAsia="zh-CN"/>
        </w:rPr>
      </w:pPr>
      <w:r>
        <w:rPr>
          <w:rFonts w:hint="eastAsia"/>
          <w:b/>
          <w:bCs/>
          <w:lang w:val="en-US" w:eastAsia="zh-CN"/>
        </w:rPr>
        <w:t>3.交通信号灯日常维护内容及范围</w:t>
      </w:r>
    </w:p>
    <w:p w14:paraId="52F260EB">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1</w:t>
      </w:r>
      <w:r>
        <w:rPr>
          <w:rFonts w:hint="eastAsia" w:cs="仿宋"/>
          <w:sz w:val="24"/>
          <w:szCs w:val="24"/>
          <w:lang w:val="zh-CN" w:eastAsia="zh-CN"/>
        </w:rPr>
        <w:t>）</w:t>
      </w:r>
      <w:r>
        <w:rPr>
          <w:rFonts w:hint="eastAsia" w:ascii="仿宋" w:hAnsi="仿宋" w:eastAsia="仿宋" w:cs="仿宋"/>
          <w:sz w:val="24"/>
          <w:szCs w:val="24"/>
          <w:lang w:val="zh-CN" w:eastAsia="zh-CN"/>
        </w:rPr>
        <w:t>在期限内维保内容包括各路口的交通信号机、信号灯（车道灯、非机动车道灯、人行横道灯）倒计时器以及地下管道、馈线、</w:t>
      </w:r>
      <w:r>
        <w:rPr>
          <w:rFonts w:hint="eastAsia" w:ascii="仿宋" w:hAnsi="仿宋" w:eastAsia="仿宋" w:cs="仿宋"/>
          <w:sz w:val="24"/>
          <w:szCs w:val="24"/>
          <w:lang w:val="en-US" w:eastAsia="zh-CN"/>
        </w:rPr>
        <w:t>窑</w:t>
      </w:r>
      <w:r>
        <w:rPr>
          <w:rFonts w:hint="eastAsia" w:ascii="仿宋" w:hAnsi="仿宋" w:eastAsia="仿宋" w:cs="仿宋"/>
          <w:sz w:val="24"/>
          <w:szCs w:val="24"/>
          <w:lang w:val="zh-CN" w:eastAsia="zh-CN"/>
        </w:rPr>
        <w:t>井等。</w:t>
      </w:r>
    </w:p>
    <w:p w14:paraId="3ED1FCC7">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zh-CN" w:eastAsia="zh-CN"/>
        </w:rPr>
        <w:t>（</w:t>
      </w:r>
      <w:r>
        <w:rPr>
          <w:rFonts w:hint="eastAsia" w:cs="仿宋"/>
          <w:sz w:val="24"/>
          <w:szCs w:val="24"/>
          <w:lang w:val="en-US" w:eastAsia="zh-CN"/>
        </w:rPr>
        <w:t>2</w:t>
      </w:r>
      <w:r>
        <w:rPr>
          <w:rFonts w:hint="eastAsia" w:cs="仿宋"/>
          <w:sz w:val="24"/>
          <w:szCs w:val="24"/>
          <w:lang w:val="zh-CN" w:eastAsia="zh-CN"/>
        </w:rPr>
        <w:t>）</w:t>
      </w:r>
      <w:r>
        <w:rPr>
          <w:rFonts w:hint="eastAsia" w:ascii="仿宋" w:hAnsi="仿宋" w:eastAsia="仿宋" w:cs="仿宋"/>
          <w:sz w:val="24"/>
          <w:szCs w:val="24"/>
          <w:lang w:val="zh-CN" w:eastAsia="zh-CN"/>
        </w:rPr>
        <w:t>交通信号灯线缆短路、断路及交通信号灯配件、附件损坏的，信号机自然损坏、烧毁以及电子元件故障的，凡影响交通信号灯正常运转的都在维护之列。</w:t>
      </w:r>
    </w:p>
    <w:p w14:paraId="75632CDE">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val="zh-CN" w:eastAsia="zh-CN"/>
        </w:rPr>
        <w:t>）如信号机损坏，经检测无法修复，需重新购置的，在维护之列。</w:t>
      </w:r>
    </w:p>
    <w:p w14:paraId="77C85FAF">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lang w:val="zh-CN" w:eastAsia="zh-CN"/>
        </w:rPr>
        <w:t>）因不可抗拒力如遇自然灾害（指台风、水灾、火灾、地震、雷击等）双方协商处理。</w:t>
      </w:r>
    </w:p>
    <w:p w14:paraId="1BD4F782">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lang w:val="zh-CN" w:eastAsia="zh-CN"/>
        </w:rPr>
        <w:t>）因道路改造、交通重新组织需移动或改变交</w:t>
      </w:r>
      <w:r>
        <w:rPr>
          <w:rFonts w:hint="eastAsia" w:ascii="仿宋" w:hAnsi="仿宋" w:eastAsia="仿宋" w:cs="仿宋"/>
          <w:sz w:val="24"/>
          <w:szCs w:val="24"/>
          <w:lang w:val="en-US" w:eastAsia="zh-CN"/>
        </w:rPr>
        <w:t>通</w:t>
      </w:r>
      <w:r>
        <w:rPr>
          <w:rFonts w:hint="eastAsia" w:ascii="仿宋" w:hAnsi="仿宋" w:eastAsia="仿宋" w:cs="仿宋"/>
          <w:sz w:val="24"/>
          <w:szCs w:val="24"/>
          <w:lang w:val="zh-CN" w:eastAsia="zh-CN"/>
        </w:rPr>
        <w:t>设施的，其修复费用不在包年维护范围之内。</w:t>
      </w:r>
    </w:p>
    <w:p w14:paraId="437EB365">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6</w:t>
      </w:r>
      <w:r>
        <w:rPr>
          <w:rFonts w:hint="eastAsia" w:ascii="仿宋" w:hAnsi="仿宋" w:eastAsia="仿宋" w:cs="仿宋"/>
          <w:sz w:val="24"/>
          <w:szCs w:val="24"/>
          <w:lang w:val="zh-CN" w:eastAsia="zh-CN"/>
        </w:rPr>
        <w:t>）因人为原因（如交通事故、他人施工、故意破坏及盗窃等）造成信号灯等设备损坏引起各项故障的，由武义县公安局交通警察大队出面处理，维护单位收到武义县公安局交通警察大队通知后，及时修复，产生费用由维护单位或肇事者（当事人）承担。</w:t>
      </w:r>
    </w:p>
    <w:p w14:paraId="33D87E18">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4.</w:t>
      </w:r>
      <w:r>
        <w:rPr>
          <w:rFonts w:hint="eastAsia" w:ascii="仿宋" w:hAnsi="仿宋" w:eastAsia="仿宋" w:cs="仿宋"/>
          <w:sz w:val="24"/>
          <w:szCs w:val="24"/>
          <w:lang w:val="zh-CN" w:eastAsia="zh-CN"/>
        </w:rPr>
        <w:t>维护单位负责检查系统报修情况并反馈维修成果，及时安排维修工作，并协助交警完成日常的工作事务，保证路口通行。</w:t>
      </w:r>
    </w:p>
    <w:p w14:paraId="24E15D05">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5.</w:t>
      </w:r>
      <w:r>
        <w:rPr>
          <w:rFonts w:hint="eastAsia" w:ascii="仿宋" w:hAnsi="仿宋" w:eastAsia="仿宋" w:cs="仿宋"/>
          <w:sz w:val="24"/>
          <w:szCs w:val="24"/>
          <w:lang w:val="zh-CN" w:eastAsia="zh-CN"/>
        </w:rPr>
        <w:t>维护单位接到维修通知后要按照时限进行，维因修特殊情况不能及时修复的，要将故障原因和解决方案立即通知交警大队，确因特殊原因长时间不能修复的，24小时内提供相关情况说明的书面材料到交警大队；不按时修复的、瞒报漏报的每次扣除维护费</w:t>
      </w:r>
      <w:r>
        <w:rPr>
          <w:rFonts w:hint="eastAsia" w:cs="仿宋"/>
          <w:sz w:val="24"/>
          <w:szCs w:val="24"/>
          <w:lang w:val="en-US" w:eastAsia="zh-CN"/>
        </w:rPr>
        <w:t>1000</w:t>
      </w:r>
      <w:r>
        <w:rPr>
          <w:rFonts w:hint="eastAsia" w:ascii="仿宋" w:hAnsi="仿宋" w:eastAsia="仿宋" w:cs="仿宋"/>
          <w:sz w:val="24"/>
          <w:szCs w:val="24"/>
          <w:lang w:val="zh-CN" w:eastAsia="zh-CN"/>
        </w:rPr>
        <w:t>元。</w:t>
      </w:r>
    </w:p>
    <w:p w14:paraId="4589692E">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6.</w:t>
      </w:r>
      <w:r>
        <w:rPr>
          <w:rFonts w:hint="eastAsia" w:ascii="仿宋" w:hAnsi="仿宋" w:eastAsia="仿宋" w:cs="仿宋"/>
          <w:sz w:val="24"/>
          <w:szCs w:val="24"/>
          <w:lang w:val="zh-CN" w:eastAsia="zh-CN"/>
        </w:rPr>
        <w:t>施工安全责任：维护单位维修施工期间严格按照国家有关规定，施确工保施工质量和安全，自行承担期间的全部责任。因维护单位维护质量原因造成人身和财产损害的，维护单位应承担损害赔偿责任。在日常新建和维修隐蔽（地下）管道中不得有电源接头并且保证交通信号灯是一灯一线的要求或者乱拉电线，隐蔽工程施工要求达到相关技术标注，未达到上述要求的，每发现一次扣2000元，上不封顶；其他相关工程未达到</w:t>
      </w:r>
      <w:r>
        <w:rPr>
          <w:rFonts w:hint="eastAsia" w:ascii="仿宋" w:hAnsi="仿宋" w:eastAsia="仿宋" w:cs="仿宋"/>
          <w:sz w:val="24"/>
          <w:szCs w:val="24"/>
          <w:lang w:val="en-US" w:eastAsia="zh-CN"/>
        </w:rPr>
        <w:t>《</w:t>
      </w:r>
      <w:r>
        <w:rPr>
          <w:rFonts w:hint="eastAsia" w:ascii="仿宋" w:hAnsi="仿宋" w:eastAsia="仿宋" w:cs="仿宋"/>
          <w:sz w:val="24"/>
          <w:szCs w:val="24"/>
          <w:lang w:val="zh-CN" w:eastAsia="zh-CN"/>
        </w:rPr>
        <w:t>道路交通信号灯设置与安装规</w:t>
      </w:r>
      <w:r>
        <w:rPr>
          <w:rFonts w:hint="eastAsia" w:ascii="仿宋" w:hAnsi="仿宋" w:eastAsia="仿宋" w:cs="仿宋"/>
          <w:sz w:val="24"/>
          <w:szCs w:val="24"/>
          <w:lang w:val="en-US" w:eastAsia="zh-CN"/>
        </w:rPr>
        <w:t>》</w:t>
      </w:r>
      <w:r>
        <w:rPr>
          <w:rFonts w:hint="eastAsia" w:ascii="仿宋" w:hAnsi="仿宋" w:eastAsia="仿宋" w:cs="仿宋"/>
          <w:sz w:val="24"/>
          <w:szCs w:val="24"/>
          <w:lang w:val="zh-CN" w:eastAsia="zh-CN"/>
        </w:rPr>
        <w:t>GB14886-2016等也参照上述罚金执行。交警大队可以对保修内的各个路口进行抽查，发现上述间题同样参照上述罚金执行。</w:t>
      </w:r>
    </w:p>
    <w:p w14:paraId="3E9C2C72">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7.</w:t>
      </w:r>
      <w:r>
        <w:rPr>
          <w:rFonts w:hint="eastAsia" w:ascii="仿宋" w:hAnsi="仿宋" w:eastAsia="仿宋" w:cs="仿宋"/>
          <w:sz w:val="24"/>
          <w:szCs w:val="24"/>
          <w:lang w:val="zh-CN" w:eastAsia="zh-CN"/>
        </w:rPr>
        <w:t>武义县需要改造或重新渠化路口，</w:t>
      </w:r>
      <w:r>
        <w:rPr>
          <w:rFonts w:hint="eastAsia" w:ascii="仿宋" w:hAnsi="仿宋" w:eastAsia="仿宋" w:cs="仿宋"/>
          <w:sz w:val="24"/>
          <w:szCs w:val="24"/>
          <w:lang w:val="en-US" w:eastAsia="zh-CN"/>
        </w:rPr>
        <w:t>维护时</w:t>
      </w:r>
      <w:r>
        <w:rPr>
          <w:rFonts w:hint="eastAsia" w:ascii="仿宋" w:hAnsi="仿宋" w:eastAsia="仿宋" w:cs="仿宋"/>
          <w:sz w:val="24"/>
          <w:szCs w:val="24"/>
          <w:lang w:val="zh-CN" w:eastAsia="zh-CN"/>
        </w:rPr>
        <w:t>中标单位需要积极配合建设单位进行施工，包括施工期间需使用移动式太阳能信号灯暂时指挥路口车辆通行，保证路口各项交通设施可以正常运行。其中产生的各项费用与建设单位协商解决。</w:t>
      </w:r>
    </w:p>
    <w:p w14:paraId="00A8D735">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8.</w:t>
      </w:r>
      <w:r>
        <w:rPr>
          <w:rFonts w:hint="eastAsia" w:ascii="仿宋" w:hAnsi="仿宋" w:eastAsia="仿宋" w:cs="仿宋"/>
          <w:sz w:val="24"/>
          <w:szCs w:val="24"/>
          <w:lang w:val="zh-CN" w:eastAsia="zh-CN"/>
        </w:rPr>
        <w:t>维护单位有2次以上（不含2次）无正当理由不履行合，交警大队有权无条件解除合同，并没收剩余款项（如果造成交警大队损失的，维护单位应予以赔偿）。</w:t>
      </w:r>
    </w:p>
    <w:p w14:paraId="09FC0D91">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9.</w:t>
      </w:r>
      <w:r>
        <w:rPr>
          <w:rFonts w:hint="eastAsia" w:ascii="仿宋" w:hAnsi="仿宋" w:eastAsia="仿宋" w:cs="仿宋"/>
          <w:sz w:val="24"/>
          <w:szCs w:val="24"/>
          <w:lang w:val="zh-CN" w:eastAsia="zh-CN"/>
        </w:rPr>
        <w:t>维护单位在承担上述所有条款或多项违约责任后，仍应继续履行合同规定的义务（交警大队给予解除合同的除外）。交警大队未能及时追究维护单位的任何一项违约责任并不表明交警大队放弃追究维护单位该项或其他违约责任。</w:t>
      </w:r>
    </w:p>
    <w:p w14:paraId="0749F317">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10.</w:t>
      </w:r>
      <w:r>
        <w:rPr>
          <w:rFonts w:hint="eastAsia" w:ascii="仿宋" w:hAnsi="仿宋" w:eastAsia="仿宋" w:cs="仿宋"/>
          <w:sz w:val="24"/>
          <w:szCs w:val="24"/>
          <w:lang w:val="zh-CN" w:eastAsia="zh-CN"/>
        </w:rPr>
        <w:t>合同期结束后，维护单位需对路口信号灯进行全面检查，确保正常运行后，交付业务主方，待业主验收后方能解除合同。</w:t>
      </w:r>
    </w:p>
    <w:p w14:paraId="3BDBC59B">
      <w:pPr>
        <w:keepNext w:val="0"/>
        <w:keepLines w:val="0"/>
        <w:pageBreakBefore w:val="0"/>
        <w:widowControl/>
        <w:kinsoku/>
        <w:wordWrap/>
        <w:overflowPunct/>
        <w:topLinePunct w:val="0"/>
        <w:autoSpaceDE w:val="0"/>
        <w:autoSpaceDN w:val="0"/>
        <w:bidi w:val="0"/>
        <w:adjustRightInd w:val="0"/>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11.</w:t>
      </w:r>
      <w:r>
        <w:rPr>
          <w:rFonts w:hint="eastAsia" w:ascii="仿宋" w:hAnsi="仿宋" w:eastAsia="仿宋" w:cs="仿宋"/>
          <w:sz w:val="24"/>
          <w:szCs w:val="24"/>
          <w:lang w:val="zh-CN" w:eastAsia="zh-CN"/>
        </w:rPr>
        <w:t>备品备件：维护单位需要在武义县当地保存一定数量的相关</w:t>
      </w:r>
      <w:r>
        <w:rPr>
          <w:rFonts w:hint="eastAsia" w:ascii="仿宋" w:hAnsi="仿宋" w:eastAsia="仿宋" w:cs="仿宋"/>
          <w:sz w:val="24"/>
          <w:szCs w:val="24"/>
          <w:lang w:val="en-US" w:eastAsia="zh-CN"/>
        </w:rPr>
        <w:t>交通设</w:t>
      </w:r>
      <w:r>
        <w:rPr>
          <w:rFonts w:hint="eastAsia" w:ascii="仿宋" w:hAnsi="仿宋" w:eastAsia="仿宋" w:cs="仿宋"/>
          <w:sz w:val="24"/>
          <w:szCs w:val="24"/>
          <w:lang w:val="zh-CN" w:eastAsia="zh-CN"/>
        </w:rPr>
        <w:t>施产品，保证路口出现间题时可以及时更换。</w:t>
      </w:r>
    </w:p>
    <w:p w14:paraId="6815E154">
      <w:pPr>
        <w:keepNext w:val="0"/>
        <w:keepLines w:val="0"/>
        <w:pageBreakBefore w:val="0"/>
        <w:widowControl/>
        <w:kinsoku/>
        <w:wordWrap/>
        <w:overflowPunct/>
        <w:topLinePunct w:val="0"/>
        <w:autoSpaceDE w:val="0"/>
        <w:autoSpaceDN w:val="0"/>
        <w:bidi w:val="0"/>
        <w:adjustRightInd w:val="0"/>
        <w:snapToGrid/>
        <w:spacing w:line="546" w:lineRule="exact"/>
        <w:ind w:firstLine="480" w:firstLineChars="200"/>
        <w:textAlignment w:val="bottom"/>
        <w:rPr>
          <w:rFonts w:hint="eastAsia" w:ascii="仿宋" w:hAnsi="仿宋" w:eastAsia="仿宋" w:cs="仿宋"/>
          <w:sz w:val="24"/>
          <w:szCs w:val="24"/>
          <w:lang w:val="zh-CN" w:eastAsia="zh-CN"/>
        </w:rPr>
      </w:pPr>
      <w:r>
        <w:rPr>
          <w:rFonts w:hint="eastAsia" w:cs="仿宋"/>
          <w:sz w:val="24"/>
          <w:szCs w:val="24"/>
          <w:lang w:val="en-US" w:eastAsia="zh-CN"/>
        </w:rPr>
        <w:t>12.</w:t>
      </w:r>
      <w:r>
        <w:rPr>
          <w:rFonts w:hint="eastAsia" w:ascii="仿宋" w:hAnsi="仿宋" w:eastAsia="仿宋" w:cs="仿宋"/>
          <w:sz w:val="24"/>
          <w:szCs w:val="24"/>
          <w:lang w:val="zh-CN" w:eastAsia="zh-CN"/>
        </w:rPr>
        <w:t>为了保证采购人的维护效果，在原维护单位维护期满至该项目合同签订生效之日止，采购人相关的前端维护工作由原维护单位继续承担，中标单位需承诺：在原维护单位维护期满至该项目合同签订生效之日止，中标单位需向原维护单位支付相应的维护费，费用支付不小于中标方的中标单价</w:t>
      </w:r>
      <w:r>
        <w:rPr>
          <w:rFonts w:hint="eastAsia" w:ascii="仿宋" w:hAnsi="仿宋" w:eastAsia="仿宋" w:cs="仿宋"/>
          <w:sz w:val="24"/>
          <w:szCs w:val="24"/>
          <w:lang w:val="en-US" w:eastAsia="zh-CN"/>
        </w:rPr>
        <w:t>*</w:t>
      </w:r>
      <w:r>
        <w:rPr>
          <w:rFonts w:hint="eastAsia" w:ascii="仿宋" w:hAnsi="仿宋" w:eastAsia="仿宋" w:cs="仿宋"/>
          <w:sz w:val="24"/>
          <w:szCs w:val="24"/>
          <w:lang w:val="zh-CN" w:eastAsia="zh-CN"/>
        </w:rPr>
        <w:t>对应内容的数</w:t>
      </w:r>
      <w:r>
        <w:rPr>
          <w:rFonts w:hint="eastAsia" w:ascii="仿宋" w:hAnsi="仿宋" w:eastAsia="仿宋" w:cs="仿宋"/>
          <w:sz w:val="24"/>
          <w:szCs w:val="24"/>
          <w:lang w:val="en-US" w:eastAsia="zh-CN"/>
        </w:rPr>
        <w:t>量</w:t>
      </w:r>
      <w:r>
        <w:rPr>
          <w:rFonts w:hint="eastAsia" w:ascii="仿宋" w:hAnsi="仿宋" w:eastAsia="仿宋" w:cs="仿宋"/>
          <w:sz w:val="24"/>
          <w:szCs w:val="24"/>
          <w:lang w:val="zh-CN" w:eastAsia="zh-CN"/>
        </w:rPr>
        <w:t>，相应协调工作由采购人负责。</w:t>
      </w:r>
    </w:p>
    <w:p w14:paraId="4AE266B0">
      <w:pPr>
        <w:keepNext w:val="0"/>
        <w:keepLines w:val="0"/>
        <w:pageBreakBefore w:val="0"/>
        <w:kinsoku/>
        <w:wordWrap/>
        <w:overflowPunct/>
        <w:topLinePunct w:val="0"/>
        <w:autoSpaceDE w:val="0"/>
        <w:autoSpaceDN w:val="0"/>
        <w:bidi w:val="0"/>
        <w:adjustRightInd w:val="0"/>
        <w:spacing w:line="546" w:lineRule="exact"/>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三</w:t>
      </w:r>
      <w:r>
        <w:rPr>
          <w:rFonts w:hint="eastAsia" w:ascii="仿宋" w:hAnsi="仿宋" w:eastAsia="仿宋" w:cs="仿宋"/>
          <w:b/>
          <w:sz w:val="24"/>
          <w:szCs w:val="24"/>
        </w:rPr>
        <w:t>、材料与设备</w:t>
      </w:r>
      <w:r>
        <w:rPr>
          <w:rFonts w:hint="eastAsia" w:ascii="仿宋" w:hAnsi="仿宋" w:eastAsia="仿宋" w:cs="仿宋"/>
          <w:b/>
          <w:sz w:val="24"/>
          <w:szCs w:val="24"/>
          <w:lang w:eastAsia="zh-CN"/>
        </w:rPr>
        <w:t>：</w:t>
      </w:r>
    </w:p>
    <w:p w14:paraId="48964895">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主要材料原则上由中标人自行采购，但必须有质量保证书、合格证书或试验报告，符合国家规定的相关技术标准及环保标准，并按规定程序复试检验合格后方可使用，否则采购人有权拒绝。若使用劣质材料，一经发现，采购人有权制止使用，甚至停工、返工或中止合同。</w:t>
      </w:r>
    </w:p>
    <w:p w14:paraId="7C7D8AA3">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2.主要材料必须先提供样品，经采购人确认后，才可大批量进货，否则发包人有权要求调货，一切责任和费用均由承包人自行承担。</w:t>
      </w:r>
    </w:p>
    <w:p w14:paraId="5597F989">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本项目所采用的主要材料等到货时，应由采购人就材料设备规定的种类、产地、品牌、数量、规格等，按投标文件中的品牌和国家制定的有关质量标准规范要求进行验收或抽查试验，承包人并应向验收人员提供有关产品合格证、许可证、准用证等出厂日期等以供核对。</w:t>
      </w:r>
    </w:p>
    <w:p w14:paraId="159D38B0">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4.承包人应负责材料的保管及成品、半成品的保管工作,费用包含在合同总价内。</w:t>
      </w:r>
    </w:p>
    <w:p w14:paraId="1DF0495C">
      <w:pPr>
        <w:keepNext w:val="0"/>
        <w:keepLines w:val="0"/>
        <w:pageBreakBefore w:val="0"/>
        <w:widowControl/>
        <w:kinsoku/>
        <w:wordWrap/>
        <w:overflowPunct/>
        <w:topLinePunct w:val="0"/>
        <w:autoSpaceDE w:val="0"/>
        <w:autoSpaceDN w:val="0"/>
        <w:bidi w:val="0"/>
        <w:adjustRightInd w:val="0"/>
        <w:spacing w:line="546" w:lineRule="exact"/>
        <w:textAlignment w:val="bottom"/>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四</w:t>
      </w:r>
      <w:r>
        <w:rPr>
          <w:rFonts w:hint="eastAsia" w:ascii="仿宋" w:hAnsi="仿宋" w:eastAsia="仿宋" w:cs="仿宋"/>
          <w:b/>
          <w:sz w:val="24"/>
          <w:szCs w:val="24"/>
        </w:rPr>
        <w:t>、现场勘察</w:t>
      </w:r>
      <w:r>
        <w:rPr>
          <w:rFonts w:hint="eastAsia" w:ascii="仿宋" w:hAnsi="仿宋" w:eastAsia="仿宋" w:cs="仿宋"/>
          <w:b/>
          <w:sz w:val="24"/>
          <w:szCs w:val="24"/>
          <w:lang w:eastAsia="zh-CN"/>
        </w:rPr>
        <w:t>：</w:t>
      </w:r>
    </w:p>
    <w:p w14:paraId="0DE443ED">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8"/>
          <w:szCs w:val="28"/>
        </w:rPr>
      </w:pPr>
      <w:r>
        <w:rPr>
          <w:rFonts w:hint="eastAsia" w:ascii="仿宋" w:hAnsi="仿宋" w:eastAsia="仿宋" w:cs="仿宋"/>
          <w:sz w:val="24"/>
          <w:szCs w:val="24"/>
        </w:rPr>
        <w:t>投标人自行到现场勘察，进一步了解现场周围的环境情况，勘察各路扣的</w:t>
      </w:r>
      <w:r>
        <w:rPr>
          <w:rFonts w:hint="eastAsia" w:ascii="仿宋" w:hAnsi="仿宋" w:eastAsia="仿宋" w:cs="仿宋"/>
          <w:bCs/>
          <w:sz w:val="24"/>
          <w:szCs w:val="24"/>
        </w:rPr>
        <w:t>交通信号灯</w:t>
      </w:r>
      <w:r>
        <w:rPr>
          <w:rFonts w:hint="eastAsia" w:ascii="仿宋" w:hAnsi="仿宋" w:eastAsia="仿宋" w:cs="仿宋"/>
          <w:sz w:val="24"/>
          <w:szCs w:val="24"/>
        </w:rPr>
        <w:t>设施设备及周围环境，临路状况的照片等影像资料，施工现场勘察确定立杆位置,杆子的长度,车道长度,打孔位置确定,现场供电,拟定线缆、管、</w:t>
      </w:r>
      <w:r>
        <w:rPr>
          <w:rFonts w:hint="eastAsia" w:ascii="仿宋" w:hAnsi="仿宋" w:eastAsia="仿宋" w:cs="仿宋"/>
          <w:bCs/>
          <w:sz w:val="24"/>
          <w:szCs w:val="24"/>
        </w:rPr>
        <w:t>表箱、接线井、控制箱（主机箱）、配电设备</w:t>
      </w:r>
      <w:r>
        <w:rPr>
          <w:rFonts w:hint="eastAsia" w:ascii="仿宋" w:hAnsi="仿宋" w:eastAsia="仿宋" w:cs="仿宋"/>
          <w:sz w:val="24"/>
          <w:szCs w:val="24"/>
        </w:rPr>
        <w:t>等。以获取有用的信息并据此作出是否投标或投标策略以及投标报价。</w:t>
      </w:r>
    </w:p>
    <w:p w14:paraId="02A9B9E9">
      <w:pPr>
        <w:keepNext w:val="0"/>
        <w:keepLines w:val="0"/>
        <w:pageBreakBefore w:val="0"/>
        <w:kinsoku/>
        <w:wordWrap/>
        <w:overflowPunct/>
        <w:topLinePunct w:val="0"/>
        <w:autoSpaceDE w:val="0"/>
        <w:autoSpaceDN w:val="0"/>
        <w:bidi w:val="0"/>
        <w:adjustRightInd w:val="0"/>
        <w:spacing w:line="546" w:lineRule="exact"/>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五</w:t>
      </w:r>
      <w:r>
        <w:rPr>
          <w:rFonts w:hint="eastAsia" w:ascii="仿宋" w:hAnsi="仿宋" w:eastAsia="仿宋" w:cs="仿宋"/>
          <w:b/>
          <w:sz w:val="24"/>
          <w:szCs w:val="24"/>
        </w:rPr>
        <w:t>、安全生产</w:t>
      </w:r>
      <w:r>
        <w:rPr>
          <w:rFonts w:hint="eastAsia" w:ascii="仿宋" w:hAnsi="仿宋" w:eastAsia="仿宋" w:cs="仿宋"/>
          <w:b/>
          <w:sz w:val="24"/>
          <w:szCs w:val="24"/>
          <w:lang w:eastAsia="zh-CN"/>
        </w:rPr>
        <w:t>：</w:t>
      </w:r>
    </w:p>
    <w:p w14:paraId="34FCA4E2">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中标人应遵守有关安全管理规定，落实安全管理措施。中标人在安装、调试、维修等过程中造成施工、维修人员或第三方人员伤亡、财产损失的，均由中标人自行承担责任并负责赔偿和解决，与采购人无任何关系。</w:t>
      </w:r>
    </w:p>
    <w:p w14:paraId="455019CF">
      <w:pPr>
        <w:keepNext w:val="0"/>
        <w:keepLines w:val="0"/>
        <w:pageBreakBefore w:val="0"/>
        <w:widowControl/>
        <w:kinsoku/>
        <w:wordWrap/>
        <w:overflowPunct/>
        <w:topLinePunct w:val="0"/>
        <w:autoSpaceDE w:val="0"/>
        <w:autoSpaceDN w:val="0"/>
        <w:bidi w:val="0"/>
        <w:adjustRightInd w:val="0"/>
        <w:spacing w:line="546" w:lineRule="exact"/>
        <w:textAlignment w:val="bottom"/>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六</w:t>
      </w:r>
      <w:r>
        <w:rPr>
          <w:rFonts w:hint="eastAsia" w:ascii="仿宋" w:hAnsi="仿宋" w:eastAsia="仿宋" w:cs="仿宋"/>
          <w:b/>
          <w:sz w:val="24"/>
          <w:szCs w:val="24"/>
        </w:rPr>
        <w:t>、商务条款</w:t>
      </w:r>
      <w:r>
        <w:rPr>
          <w:rFonts w:hint="eastAsia" w:ascii="仿宋" w:hAnsi="仿宋" w:eastAsia="仿宋" w:cs="仿宋"/>
          <w:b/>
          <w:sz w:val="24"/>
          <w:szCs w:val="24"/>
          <w:lang w:eastAsia="zh-CN"/>
        </w:rPr>
        <w:t>：</w:t>
      </w:r>
    </w:p>
    <w:p w14:paraId="18F959AE">
      <w:pPr>
        <w:bidi w:val="0"/>
        <w:rPr>
          <w:rFonts w:hint="default"/>
          <w:lang w:val="en-US"/>
        </w:rPr>
      </w:pPr>
      <w:r>
        <w:rPr>
          <w:rFonts w:hint="eastAsia"/>
          <w:lang w:val="en-US" w:eastAsia="zh-CN"/>
        </w:rPr>
        <w:t>1.</w:t>
      </w:r>
      <w:r>
        <w:rPr>
          <w:rFonts w:hint="eastAsia"/>
        </w:rPr>
        <w:t>服务期：</w:t>
      </w:r>
      <w:r>
        <w:rPr>
          <w:rFonts w:hint="eastAsia"/>
          <w:lang w:val="en-US" w:eastAsia="zh-CN"/>
        </w:rPr>
        <w:t>2025年5月1日至2026年4月30日止。</w:t>
      </w:r>
    </w:p>
    <w:p w14:paraId="008A7EB7">
      <w:pPr>
        <w:keepNext w:val="0"/>
        <w:keepLines w:val="0"/>
        <w:pageBreakBefore w:val="0"/>
        <w:kinsoku/>
        <w:wordWrap/>
        <w:overflowPunct/>
        <w:topLinePunct w:val="0"/>
        <w:autoSpaceDE w:val="0"/>
        <w:autoSpaceDN w:val="0"/>
        <w:bidi w:val="0"/>
        <w:adjustRightInd w:val="0"/>
        <w:spacing w:line="546"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w:t>
      </w:r>
      <w:r>
        <w:rPr>
          <w:rFonts w:hint="eastAsia" w:cs="仿宋"/>
          <w:color w:val="000000"/>
          <w:sz w:val="24"/>
          <w:szCs w:val="24"/>
          <w:lang w:val="en-US" w:eastAsia="zh-CN"/>
        </w:rPr>
        <w:t>2.</w:t>
      </w:r>
      <w:r>
        <w:rPr>
          <w:rFonts w:hint="eastAsia" w:ascii="仿宋" w:hAnsi="仿宋" w:eastAsia="仿宋" w:cs="仿宋"/>
          <w:color w:val="000000"/>
          <w:sz w:val="24"/>
          <w:szCs w:val="24"/>
        </w:rPr>
        <w:t>质保期：</w:t>
      </w:r>
      <w:r>
        <w:rPr>
          <w:rFonts w:hint="eastAsia" w:ascii="仿宋" w:hAnsi="仿宋" w:eastAsia="仿宋" w:cs="仿宋"/>
          <w:sz w:val="24"/>
          <w:szCs w:val="24"/>
        </w:rPr>
        <w:t>产品设备（信号机、信号灯等）质保期从验收通过之日起计算，按要求原厂五年质保。</w:t>
      </w:r>
    </w:p>
    <w:p w14:paraId="710ACE48">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cs="仿宋"/>
          <w:sz w:val="24"/>
          <w:szCs w:val="24"/>
          <w:lang w:eastAsia="zh-CN"/>
        </w:rPr>
        <w:t>（</w:t>
      </w:r>
      <w:r>
        <w:rPr>
          <w:rFonts w:hint="eastAsia" w:cs="仿宋"/>
          <w:sz w:val="24"/>
          <w:szCs w:val="24"/>
          <w:lang w:val="en-US" w:eastAsia="zh-CN"/>
        </w:rPr>
        <w:t>1</w:t>
      </w:r>
      <w:r>
        <w:rPr>
          <w:rFonts w:hint="eastAsia" w:cs="仿宋"/>
          <w:sz w:val="24"/>
          <w:szCs w:val="24"/>
          <w:lang w:eastAsia="zh-CN"/>
        </w:rPr>
        <w:t>）</w:t>
      </w:r>
      <w:r>
        <w:rPr>
          <w:rFonts w:hint="eastAsia" w:ascii="仿宋" w:hAnsi="仿宋" w:eastAsia="仿宋" w:cs="仿宋"/>
          <w:sz w:val="24"/>
          <w:szCs w:val="24"/>
        </w:rPr>
        <w:t>质保期内，当系统出现故障后，接到采购人通知后做出响应并提出解决办法。如在规定时间内不能解决故障，则提供备品备件以保障业主单位使用需要。</w:t>
      </w:r>
    </w:p>
    <w:p w14:paraId="1AA3CFF3">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cs="仿宋"/>
          <w:sz w:val="24"/>
          <w:szCs w:val="24"/>
          <w:lang w:eastAsia="zh-CN"/>
        </w:rPr>
        <w:t>（</w:t>
      </w:r>
      <w:r>
        <w:rPr>
          <w:rFonts w:hint="eastAsia" w:cs="仿宋"/>
          <w:sz w:val="24"/>
          <w:szCs w:val="24"/>
          <w:lang w:val="en-US" w:eastAsia="zh-CN"/>
        </w:rPr>
        <w:t>2</w:t>
      </w:r>
      <w:r>
        <w:rPr>
          <w:rFonts w:hint="eastAsia" w:cs="仿宋"/>
          <w:sz w:val="24"/>
          <w:szCs w:val="24"/>
          <w:lang w:eastAsia="zh-CN"/>
        </w:rPr>
        <w:t>）</w:t>
      </w:r>
      <w:r>
        <w:rPr>
          <w:rFonts w:hint="eastAsia" w:ascii="仿宋" w:hAnsi="仿宋" w:eastAsia="仿宋" w:cs="仿宋"/>
          <w:sz w:val="24"/>
          <w:szCs w:val="24"/>
        </w:rPr>
        <w:t>因不可抗拒力如遇自然灾害（指台风、水灾、火灾、地震、雷击等）双方协商处理。</w:t>
      </w:r>
    </w:p>
    <w:p w14:paraId="24D27278">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cs="仿宋"/>
          <w:sz w:val="24"/>
          <w:szCs w:val="24"/>
          <w:lang w:val="zh-CN" w:eastAsia="zh-CN"/>
        </w:rPr>
        <w:t>（</w:t>
      </w:r>
      <w:r>
        <w:rPr>
          <w:rFonts w:hint="eastAsia" w:cs="仿宋"/>
          <w:sz w:val="24"/>
          <w:szCs w:val="24"/>
          <w:lang w:val="en-US" w:eastAsia="zh-CN"/>
        </w:rPr>
        <w:t>3</w:t>
      </w:r>
      <w:r>
        <w:rPr>
          <w:rFonts w:hint="eastAsia" w:cs="仿宋"/>
          <w:sz w:val="24"/>
          <w:szCs w:val="24"/>
          <w:lang w:val="zh-CN" w:eastAsia="zh-CN"/>
        </w:rPr>
        <w:t>）</w:t>
      </w:r>
      <w:r>
        <w:rPr>
          <w:rFonts w:hint="eastAsia" w:ascii="仿宋" w:hAnsi="仿宋" w:eastAsia="仿宋" w:cs="仿宋"/>
          <w:sz w:val="24"/>
          <w:szCs w:val="24"/>
        </w:rPr>
        <w:t>因道路改造、交通重新组织需移动或改变交通设施的，其修复费用不在包年维护范围之内。</w:t>
      </w:r>
    </w:p>
    <w:p w14:paraId="37563829">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cs="仿宋"/>
          <w:sz w:val="24"/>
          <w:szCs w:val="24"/>
          <w:lang w:val="zh-CN" w:eastAsia="zh-CN"/>
        </w:rPr>
        <w:t>（</w:t>
      </w:r>
      <w:r>
        <w:rPr>
          <w:rFonts w:hint="eastAsia" w:cs="仿宋"/>
          <w:sz w:val="24"/>
          <w:szCs w:val="24"/>
          <w:lang w:val="en-US" w:eastAsia="zh-CN"/>
        </w:rPr>
        <w:t>4</w:t>
      </w:r>
      <w:r>
        <w:rPr>
          <w:rFonts w:hint="eastAsia" w:cs="仿宋"/>
          <w:sz w:val="24"/>
          <w:szCs w:val="24"/>
          <w:lang w:val="zh-CN" w:eastAsia="zh-CN"/>
        </w:rPr>
        <w:t>）</w:t>
      </w:r>
      <w:r>
        <w:rPr>
          <w:rFonts w:hint="eastAsia" w:ascii="仿宋" w:hAnsi="仿宋" w:eastAsia="仿宋" w:cs="仿宋"/>
          <w:sz w:val="24"/>
          <w:szCs w:val="24"/>
        </w:rPr>
        <w:t>因人为原因（如交通事故、他人施工、故意破坏及盗窃等）造成信号灯等设备损坏，引起各项故障的，由服务方先行负责修复更换，产生费用由业主单位或肇事者（当事人）承担。</w:t>
      </w:r>
    </w:p>
    <w:p w14:paraId="083F3C6F">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rPr>
      </w:pPr>
      <w:r>
        <w:rPr>
          <w:rFonts w:hint="eastAsia" w:cs="仿宋"/>
          <w:sz w:val="24"/>
          <w:szCs w:val="24"/>
          <w:lang w:val="en-US" w:eastAsia="zh-CN"/>
        </w:rPr>
        <w:t>3.</w:t>
      </w:r>
      <w:r>
        <w:rPr>
          <w:rFonts w:hint="eastAsia" w:ascii="仿宋" w:hAnsi="仿宋" w:eastAsia="仿宋" w:cs="仿宋"/>
          <w:sz w:val="24"/>
          <w:szCs w:val="24"/>
        </w:rPr>
        <w:t>服务地点：按采购单位要求。</w:t>
      </w:r>
    </w:p>
    <w:p w14:paraId="3C6B5CBE">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lang w:val="zh-CN" w:eastAsia="zh-CN"/>
        </w:rPr>
      </w:pPr>
      <w:r>
        <w:rPr>
          <w:rFonts w:hint="eastAsia" w:cs="仿宋"/>
          <w:sz w:val="24"/>
          <w:szCs w:val="24"/>
          <w:lang w:val="en-US" w:eastAsia="zh-CN"/>
        </w:rPr>
        <w:t>4.</w:t>
      </w:r>
      <w:r>
        <w:rPr>
          <w:rFonts w:hint="eastAsia" w:ascii="仿宋" w:hAnsi="仿宋" w:eastAsia="仿宋" w:cs="仿宋"/>
          <w:sz w:val="24"/>
          <w:szCs w:val="24"/>
        </w:rPr>
        <w:t>团队成员要求：</w:t>
      </w:r>
      <w:r>
        <w:rPr>
          <w:rFonts w:hint="eastAsia" w:ascii="仿宋" w:hAnsi="仿宋" w:eastAsia="仿宋" w:cs="仿宋"/>
          <w:sz w:val="24"/>
          <w:szCs w:val="24"/>
          <w:lang w:val="zh-CN" w:eastAsia="zh-CN"/>
        </w:rPr>
        <w:t>项目实施团队人员需按本项目实际</w:t>
      </w:r>
      <w:r>
        <w:rPr>
          <w:rFonts w:hint="eastAsia" w:ascii="仿宋" w:hAnsi="仿宋" w:eastAsia="仿宋" w:cs="仿宋"/>
          <w:sz w:val="24"/>
          <w:szCs w:val="24"/>
          <w:lang w:val="en-US" w:eastAsia="zh-CN"/>
        </w:rPr>
        <w:t>要求，</w:t>
      </w:r>
      <w:r>
        <w:rPr>
          <w:rFonts w:hint="eastAsia" w:ascii="仿宋" w:hAnsi="仿宋" w:eastAsia="仿宋" w:cs="仿宋"/>
          <w:sz w:val="24"/>
          <w:szCs w:val="24"/>
          <w:lang w:val="zh-CN" w:eastAsia="zh-CN"/>
        </w:rPr>
        <w:t>配需备专业的技术人员。</w:t>
      </w:r>
    </w:p>
    <w:p w14:paraId="42EA4BBF">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lang w:val="zh-CN" w:eastAsia="zh-CN"/>
        </w:rPr>
      </w:pPr>
      <w:r>
        <w:rPr>
          <w:rFonts w:hint="eastAsia" w:cs="仿宋"/>
          <w:sz w:val="24"/>
          <w:szCs w:val="24"/>
          <w:lang w:val="en-US" w:eastAsia="zh-CN"/>
        </w:rPr>
        <w:t>5.</w:t>
      </w:r>
      <w:r>
        <w:rPr>
          <w:rFonts w:hint="eastAsia" w:ascii="仿宋" w:hAnsi="仿宋" w:eastAsia="仿宋" w:cs="仿宋"/>
          <w:sz w:val="24"/>
          <w:szCs w:val="24"/>
          <w:lang w:val="zh-CN" w:eastAsia="zh-CN"/>
        </w:rPr>
        <w:t>设备采购要求：本次项目采购清单中所列的所有主要设备和配套线缆需经采购单位组织开箱验收合格后方可投入使用。</w:t>
      </w:r>
    </w:p>
    <w:p w14:paraId="157D7D40">
      <w:pPr>
        <w:keepNext w:val="0"/>
        <w:keepLines w:val="0"/>
        <w:pageBreakBefore w:val="0"/>
        <w:widowControl/>
        <w:kinsoku/>
        <w:wordWrap/>
        <w:overflowPunct/>
        <w:topLinePunct w:val="0"/>
        <w:autoSpaceDE w:val="0"/>
        <w:autoSpaceDN w:val="0"/>
        <w:bidi w:val="0"/>
        <w:adjustRightInd w:val="0"/>
        <w:snapToGrid w:val="0"/>
        <w:spacing w:line="546" w:lineRule="exact"/>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cs="仿宋"/>
          <w:b/>
          <w:bCs/>
          <w:sz w:val="24"/>
          <w:szCs w:val="24"/>
          <w:lang w:val="en-US" w:eastAsia="zh-CN"/>
        </w:rPr>
        <w:t>6.</w:t>
      </w:r>
      <w:r>
        <w:rPr>
          <w:rFonts w:hint="eastAsia" w:ascii="仿宋" w:hAnsi="仿宋" w:eastAsia="仿宋" w:cs="仿宋"/>
          <w:b/>
          <w:bCs/>
          <w:sz w:val="24"/>
          <w:szCs w:val="24"/>
          <w:lang w:val="zh-CN" w:eastAsia="zh-CN"/>
        </w:rPr>
        <w:t>投标人</w:t>
      </w:r>
      <w:r>
        <w:rPr>
          <w:rFonts w:hint="eastAsia" w:ascii="仿宋" w:hAnsi="仿宋" w:eastAsia="仿宋" w:cs="仿宋"/>
          <w:b/>
          <w:bCs/>
          <w:sz w:val="24"/>
          <w:szCs w:val="24"/>
          <w:lang w:val="en-US" w:eastAsia="zh-CN"/>
        </w:rPr>
        <w:t>须</w:t>
      </w:r>
      <w:r>
        <w:rPr>
          <w:rFonts w:hint="eastAsia" w:ascii="仿宋" w:hAnsi="仿宋" w:eastAsia="仿宋" w:cs="仿宋"/>
          <w:b/>
          <w:bCs/>
          <w:sz w:val="24"/>
          <w:szCs w:val="24"/>
          <w:lang w:val="zh-CN" w:eastAsia="zh-CN"/>
        </w:rPr>
        <w:t>提供信号控制机与武义交警交通信号控制系统平台的对接承诺函，且在项目中标后7天内完成对接测试；</w:t>
      </w:r>
      <w:r>
        <w:rPr>
          <w:rFonts w:hint="eastAsia" w:ascii="仿宋" w:hAnsi="仿宋" w:eastAsia="仿宋" w:cs="仿宋"/>
          <w:sz w:val="24"/>
          <w:szCs w:val="24"/>
          <w:lang w:val="zh-CN" w:eastAsia="zh-CN"/>
        </w:rPr>
        <w:t>若中标人在中标后7天内无法完成对接的，每延期一天从后续合同款中扣除2000元，超过一个月未完成对接的，采购人有权终止合同。</w:t>
      </w:r>
    </w:p>
    <w:p w14:paraId="0FDA2ECD">
      <w:pPr>
        <w:keepNext w:val="0"/>
        <w:keepLines w:val="0"/>
        <w:pageBreakBefore w:val="0"/>
        <w:widowControl/>
        <w:kinsoku/>
        <w:wordWrap/>
        <w:overflowPunct/>
        <w:topLinePunct w:val="0"/>
        <w:autoSpaceDE w:val="0"/>
        <w:autoSpaceDN w:val="0"/>
        <w:bidi w:val="0"/>
        <w:adjustRightInd w:val="0"/>
        <w:spacing w:line="408" w:lineRule="auto"/>
        <w:ind w:left="0" w:leftChars="0" w:firstLine="0" w:firstLineChars="0"/>
        <w:textAlignment w:val="bottom"/>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七、验收：</w:t>
      </w:r>
    </w:p>
    <w:p w14:paraId="6E06A61D">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1.验收申请提前一周报采购人审批，由中标商、采购人及相关部门人员组成验收小组</w:t>
      </w:r>
      <w:r>
        <w:rPr>
          <w:rFonts w:hint="eastAsia" w:ascii="仿宋" w:hAnsi="仿宋" w:eastAsia="仿宋" w:cs="仿宋"/>
          <w:sz w:val="24"/>
          <w:szCs w:val="24"/>
          <w:lang w:val="zh-CN" w:eastAsia="zh-CN"/>
        </w:rPr>
        <w:t>。验收时应做好记录，签署相关验收证书，并应立卷、归档。</w:t>
      </w:r>
    </w:p>
    <w:p w14:paraId="20EA9F3F">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val="zh-CN" w:eastAsia="zh-CN"/>
        </w:rPr>
        <w:t>维护设备到货验收</w:t>
      </w:r>
    </w:p>
    <w:p w14:paraId="0179AAA3">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lang w:val="zh-CN" w:eastAsia="zh-CN"/>
        </w:rPr>
        <w:t>）设备到货后，中标方交货前应对产品做出全面检查和对验收文件进行整理，并列出清单，作为采购方收货验收和使用的技术条件依据，检验的结果应随随货物交采购方。</w:t>
      </w:r>
    </w:p>
    <w:p w14:paraId="70F64E6D">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2）验收小组对中标方提交的货物依据采购文件上的相关性能指标要求和国家有关质量标准进行现场初步验收，外观、说明书符合招标采购文件技术要求的予以签收；初步验收不合格的，不予签收。货到后，验收小组需在五个工作日验收</w:t>
      </w:r>
      <w:r>
        <w:rPr>
          <w:rFonts w:hint="eastAsia" w:ascii="仿宋" w:hAnsi="仿宋" w:eastAsia="仿宋" w:cs="仿宋"/>
          <w:sz w:val="24"/>
          <w:szCs w:val="24"/>
          <w:lang w:val="zh-CN" w:eastAsia="zh-CN"/>
        </w:rPr>
        <w:t>。</w:t>
      </w:r>
    </w:p>
    <w:p w14:paraId="20E3ED37">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3.维护</w:t>
      </w:r>
      <w:r>
        <w:rPr>
          <w:rFonts w:hint="eastAsia" w:ascii="仿宋" w:hAnsi="仿宋" w:eastAsia="仿宋" w:cs="仿宋"/>
          <w:sz w:val="24"/>
          <w:szCs w:val="24"/>
          <w:lang w:val="zh-CN" w:eastAsia="zh-CN"/>
        </w:rPr>
        <w:t>质量</w:t>
      </w:r>
      <w:r>
        <w:rPr>
          <w:rFonts w:hint="eastAsia" w:ascii="仿宋" w:hAnsi="仿宋" w:eastAsia="仿宋" w:cs="仿宋"/>
          <w:sz w:val="24"/>
          <w:szCs w:val="24"/>
          <w:lang w:val="en-US" w:eastAsia="zh-CN"/>
        </w:rPr>
        <w:t>验收</w:t>
      </w:r>
    </w:p>
    <w:p w14:paraId="5CC35919">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（1）</w:t>
      </w:r>
      <w:r>
        <w:rPr>
          <w:rFonts w:hint="eastAsia" w:ascii="仿宋" w:hAnsi="仿宋" w:eastAsia="仿宋" w:cs="仿宋"/>
          <w:sz w:val="24"/>
          <w:szCs w:val="24"/>
          <w:lang w:val="en-US" w:eastAsia="zh-CN"/>
        </w:rPr>
        <w:t>维护</w:t>
      </w:r>
      <w:r>
        <w:rPr>
          <w:rFonts w:hint="eastAsia" w:ascii="仿宋" w:hAnsi="仿宋" w:eastAsia="仿宋" w:cs="仿宋"/>
          <w:sz w:val="24"/>
          <w:szCs w:val="24"/>
          <w:lang w:val="zh-CN" w:eastAsia="zh-CN"/>
        </w:rPr>
        <w:t>质量应按</w:t>
      </w:r>
      <w:r>
        <w:rPr>
          <w:rFonts w:hint="eastAsia" w:ascii="仿宋" w:hAnsi="仿宋" w:eastAsia="仿宋" w:cs="仿宋"/>
          <w:sz w:val="24"/>
          <w:szCs w:val="24"/>
          <w:lang w:val="en-US" w:eastAsia="zh-CN"/>
        </w:rPr>
        <w:t>招标文件规定的相关维护</w:t>
      </w:r>
      <w:r>
        <w:rPr>
          <w:rFonts w:hint="eastAsia" w:ascii="仿宋" w:hAnsi="仿宋" w:eastAsia="仿宋" w:cs="仿宋"/>
          <w:sz w:val="24"/>
          <w:szCs w:val="24"/>
          <w:lang w:val="zh-CN" w:eastAsia="zh-CN"/>
        </w:rPr>
        <w:t>要求验收，检查的项目和内容应符合规定。</w:t>
      </w:r>
    </w:p>
    <w:p w14:paraId="246B7D95">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（2）验收前，中标</w:t>
      </w:r>
      <w:r>
        <w:rPr>
          <w:rFonts w:hint="eastAsia" w:ascii="仿宋" w:hAnsi="仿宋" w:eastAsia="仿宋" w:cs="仿宋"/>
          <w:sz w:val="24"/>
          <w:szCs w:val="24"/>
          <w:lang w:val="en-US" w:eastAsia="zh-CN"/>
        </w:rPr>
        <w:t>方根据招标文件要求的维护内容</w:t>
      </w:r>
      <w:r>
        <w:rPr>
          <w:rFonts w:hint="eastAsia" w:ascii="仿宋" w:hAnsi="仿宋" w:eastAsia="仿宋" w:cs="仿宋"/>
          <w:sz w:val="24"/>
          <w:szCs w:val="24"/>
          <w:lang w:val="zh-CN" w:eastAsia="zh-CN"/>
        </w:rPr>
        <w:t>编制竣工验收文件一式三份交给</w:t>
      </w:r>
      <w:r>
        <w:rPr>
          <w:rFonts w:hint="eastAsia" w:ascii="仿宋" w:hAnsi="仿宋" w:eastAsia="仿宋" w:cs="仿宋"/>
          <w:sz w:val="24"/>
          <w:szCs w:val="24"/>
          <w:lang w:val="en-US" w:eastAsia="zh-CN"/>
        </w:rPr>
        <w:t>采购方，</w:t>
      </w:r>
      <w:r>
        <w:rPr>
          <w:rFonts w:hint="eastAsia" w:ascii="仿宋" w:hAnsi="仿宋" w:eastAsia="仿宋" w:cs="仿宋"/>
          <w:sz w:val="24"/>
          <w:szCs w:val="24"/>
          <w:lang w:val="zh-CN" w:eastAsia="zh-CN"/>
        </w:rPr>
        <w:t>竣工验收文件应保证质量，做到内容齐全，标记详细，编写清楚，数据准确，互相对应。</w:t>
      </w:r>
    </w:p>
    <w:p w14:paraId="16AFB891">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（3）维护期结束，验收小组对维护内容进行最终验收，并签署验收证书。当验收不合格时，应由中标单位返修直到合格后，再行验收。</w:t>
      </w:r>
    </w:p>
    <w:p w14:paraId="0066A47A">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ascii="仿宋" w:hAnsi="仿宋" w:eastAsia="仿宋" w:cs="仿宋"/>
          <w:b/>
          <w:sz w:val="24"/>
          <w:szCs w:val="24"/>
          <w:lang w:val="en-US" w:eastAsia="zh-CN"/>
        </w:rPr>
      </w:pPr>
      <w:r>
        <w:rPr>
          <w:rFonts w:hint="eastAsia" w:ascii="仿宋" w:hAnsi="仿宋" w:eastAsia="仿宋" w:cs="仿宋"/>
          <w:sz w:val="24"/>
          <w:szCs w:val="24"/>
          <w:lang w:val="en-US" w:eastAsia="zh-CN"/>
        </w:rPr>
        <w:t>4.验收应按照设计文件及相关部分的标准要求进行。</w:t>
      </w:r>
    </w:p>
    <w:p w14:paraId="13966860">
      <w:pPr>
        <w:keepNext w:val="0"/>
        <w:keepLines w:val="0"/>
        <w:pageBreakBefore w:val="0"/>
        <w:widowControl/>
        <w:kinsoku/>
        <w:wordWrap/>
        <w:overflowPunct/>
        <w:topLinePunct w:val="0"/>
        <w:autoSpaceDE w:val="0"/>
        <w:autoSpaceDN w:val="0"/>
        <w:bidi w:val="0"/>
        <w:adjustRightInd w:val="0"/>
        <w:spacing w:line="408" w:lineRule="auto"/>
        <w:ind w:left="0" w:leftChars="0" w:firstLine="0" w:firstLineChars="0"/>
        <w:textAlignment w:val="bottom"/>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八、付款方式：</w:t>
      </w:r>
    </w:p>
    <w:p w14:paraId="56938A15">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cs="仿宋"/>
          <w:color w:val="auto"/>
          <w:sz w:val="24"/>
          <w:szCs w:val="24"/>
          <w:highlight w:val="none"/>
          <w:lang w:val="en-US" w:eastAsia="zh-CN"/>
        </w:rPr>
      </w:pPr>
      <w:r>
        <w:rPr>
          <w:rFonts w:hint="eastAsia" w:cs="仿宋"/>
          <w:color w:val="auto"/>
          <w:sz w:val="24"/>
          <w:szCs w:val="24"/>
          <w:highlight w:val="none"/>
          <w:lang w:val="en-US" w:eastAsia="zh-CN"/>
        </w:rPr>
        <w:t>1.合同签订并具备实施条件后7个工作日内</w:t>
      </w:r>
      <w:r>
        <w:rPr>
          <w:rFonts w:hint="eastAsia" w:ascii="仿宋" w:hAnsi="仿宋" w:eastAsia="仿宋" w:cs="仿宋"/>
          <w:color w:val="auto"/>
          <w:sz w:val="24"/>
          <w:szCs w:val="24"/>
          <w:highlight w:val="none"/>
          <w:lang w:val="en-US" w:eastAsia="zh-CN"/>
        </w:rPr>
        <w:t>，</w:t>
      </w:r>
      <w:r>
        <w:rPr>
          <w:rFonts w:hint="eastAsia" w:cs="仿宋"/>
          <w:color w:val="auto"/>
          <w:sz w:val="24"/>
          <w:szCs w:val="24"/>
          <w:highlight w:val="none"/>
          <w:lang w:val="en-US" w:eastAsia="zh-CN"/>
        </w:rPr>
        <w:t>根据财政资金安排</w:t>
      </w:r>
      <w:r>
        <w:rPr>
          <w:rFonts w:hint="eastAsia" w:ascii="仿宋" w:hAnsi="仿宋" w:eastAsia="仿宋" w:cs="仿宋"/>
          <w:color w:val="auto"/>
          <w:sz w:val="24"/>
          <w:szCs w:val="24"/>
          <w:highlight w:val="none"/>
          <w:lang w:val="en-US" w:eastAsia="zh-CN"/>
        </w:rPr>
        <w:t>支付</w:t>
      </w:r>
      <w:r>
        <w:rPr>
          <w:rFonts w:hint="eastAsia" w:cs="仿宋"/>
          <w:color w:val="auto"/>
          <w:sz w:val="24"/>
          <w:szCs w:val="24"/>
          <w:highlight w:val="none"/>
          <w:lang w:val="en-US" w:eastAsia="zh-CN"/>
        </w:rPr>
        <w:t>25万元。</w:t>
      </w:r>
    </w:p>
    <w:p w14:paraId="0ACE47FB">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cs="仿宋"/>
          <w:sz w:val="24"/>
          <w:szCs w:val="24"/>
          <w:highlight w:val="none"/>
          <w:lang w:val="zh-CN" w:eastAsia="zh-CN"/>
        </w:rPr>
      </w:pPr>
      <w:bookmarkStart w:id="9" w:name="_GoBack"/>
      <w:bookmarkEnd w:id="9"/>
      <w:r>
        <w:rPr>
          <w:rFonts w:hint="eastAsia" w:cs="仿宋"/>
          <w:sz w:val="24"/>
          <w:szCs w:val="24"/>
          <w:highlight w:val="none"/>
          <w:lang w:val="en-US" w:eastAsia="zh-CN"/>
        </w:rPr>
        <w:t>2.</w:t>
      </w:r>
      <w:r>
        <w:rPr>
          <w:rFonts w:hint="eastAsia" w:ascii="仿宋" w:hAnsi="仿宋" w:eastAsia="仿宋" w:cs="仿宋"/>
          <w:color w:val="auto"/>
          <w:sz w:val="24"/>
          <w:szCs w:val="24"/>
          <w:highlight w:val="none"/>
          <w:lang w:val="en-US" w:eastAsia="zh-CN"/>
        </w:rPr>
        <w:t>维护期满</w:t>
      </w:r>
      <w:r>
        <w:rPr>
          <w:rFonts w:hint="eastAsia" w:cs="仿宋"/>
          <w:color w:val="auto"/>
          <w:sz w:val="24"/>
          <w:szCs w:val="24"/>
          <w:highlight w:val="none"/>
          <w:lang w:val="en-US" w:eastAsia="zh-CN"/>
        </w:rPr>
        <w:t>，根据考核结果及其他费用使用情况，</w:t>
      </w:r>
      <w:r>
        <w:rPr>
          <w:rFonts w:hint="eastAsia" w:ascii="仿宋" w:hAnsi="仿宋" w:eastAsia="仿宋" w:cs="仿宋"/>
          <w:color w:val="auto"/>
          <w:sz w:val="24"/>
          <w:szCs w:val="24"/>
          <w:highlight w:val="none"/>
          <w:lang w:val="en-US" w:eastAsia="zh-CN"/>
        </w:rPr>
        <w:t>并经相关审计部门审计后，</w:t>
      </w:r>
      <w:r>
        <w:rPr>
          <w:rFonts w:hint="eastAsia" w:cs="仿宋"/>
          <w:color w:val="auto"/>
          <w:sz w:val="24"/>
          <w:szCs w:val="24"/>
          <w:highlight w:val="none"/>
          <w:lang w:val="en-US" w:eastAsia="zh-CN"/>
        </w:rPr>
        <w:t>支付剩余合同款项</w:t>
      </w:r>
      <w:r>
        <w:rPr>
          <w:rFonts w:hint="eastAsia" w:cs="仿宋"/>
          <w:sz w:val="24"/>
          <w:szCs w:val="24"/>
          <w:highlight w:val="none"/>
          <w:lang w:val="zh-CN" w:eastAsia="zh-CN"/>
        </w:rPr>
        <w:t>。</w:t>
      </w:r>
    </w:p>
    <w:p w14:paraId="15A4FB7D">
      <w:pPr>
        <w:keepNext w:val="0"/>
        <w:keepLines w:val="0"/>
        <w:pageBreakBefore w:val="0"/>
        <w:widowControl/>
        <w:kinsoku/>
        <w:wordWrap/>
        <w:overflowPunct/>
        <w:topLinePunct w:val="0"/>
        <w:autoSpaceDE w:val="0"/>
        <w:autoSpaceDN w:val="0"/>
        <w:bidi w:val="0"/>
        <w:adjustRightInd w:val="0"/>
        <w:snapToGrid w:val="0"/>
        <w:spacing w:line="408" w:lineRule="auto"/>
        <w:ind w:firstLine="480" w:firstLineChars="200"/>
        <w:rPr>
          <w:rFonts w:hint="eastAsia"/>
          <w:highlight w:val="none"/>
        </w:rPr>
      </w:pPr>
      <w:r>
        <w:rPr>
          <w:rFonts w:hint="eastAsia" w:cs="仿宋"/>
          <w:sz w:val="24"/>
          <w:szCs w:val="24"/>
          <w:highlight w:val="none"/>
          <w:lang w:val="en-US" w:eastAsia="zh-CN"/>
        </w:rPr>
        <w:t>3.中标人需提供税务正式发票。</w:t>
      </w:r>
      <w:bookmarkEnd w:id="5"/>
    </w:p>
    <w:p w14:paraId="36539A60">
      <w:pPr>
        <w:bidi w:val="0"/>
        <w:ind w:left="0" w:leftChars="0" w:firstLine="0" w:firstLineChars="0"/>
        <w:rPr>
          <w:rFonts w:hint="eastAsia"/>
        </w:rPr>
        <w:sectPr>
          <w:pgSz w:w="11906" w:h="16838"/>
          <w:pgMar w:top="1247" w:right="1134" w:bottom="1020" w:left="1418" w:header="851" w:footer="907" w:gutter="0"/>
          <w:pgNumType w:fmt="numberInDash"/>
          <w:cols w:space="720" w:num="1"/>
          <w:titlePg/>
          <w:docGrid w:type="lines" w:linePitch="312" w:charSpace="0"/>
        </w:sectPr>
      </w:pPr>
    </w:p>
    <w:p w14:paraId="3AD812C0">
      <w:pPr>
        <w:pStyle w:val="4"/>
        <w:keepNext/>
        <w:keepLines/>
        <w:pageBreakBefore w:val="0"/>
        <w:widowControl w:val="0"/>
        <w:kinsoku/>
        <w:wordWrap/>
        <w:overflowPunct/>
        <w:topLinePunct w:val="0"/>
        <w:autoSpaceDE w:val="0"/>
        <w:autoSpaceDN w:val="0"/>
        <w:bidi w:val="0"/>
        <w:adjustRightInd w:val="0"/>
        <w:snapToGrid/>
        <w:ind w:left="0" w:leftChars="0" w:firstLine="0" w:firstLineChars="0"/>
        <w:jc w:val="center"/>
        <w:textAlignment w:val="auto"/>
        <w:rPr>
          <w:rFonts w:hint="eastAsia" w:ascii="仿宋" w:hAnsi="仿宋" w:eastAsia="仿宋" w:cs="仿宋"/>
          <w:sz w:val="24"/>
          <w:szCs w:val="24"/>
        </w:rPr>
      </w:pPr>
      <w:r>
        <w:rPr>
          <w:rFonts w:hint="eastAsia"/>
        </w:rPr>
        <w:t>第四章  评标办法及评分标准</w:t>
      </w:r>
    </w:p>
    <w:p w14:paraId="11EC350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一、采用</w:t>
      </w:r>
      <w:r>
        <w:rPr>
          <w:rFonts w:hint="eastAsia" w:ascii="仿宋" w:hAnsi="仿宋" w:eastAsia="仿宋" w:cs="仿宋"/>
          <w:sz w:val="24"/>
          <w:szCs w:val="24"/>
          <w:u w:val="single"/>
        </w:rPr>
        <w:t>　综合评分法　</w:t>
      </w:r>
      <w:r>
        <w:rPr>
          <w:rFonts w:hint="eastAsia" w:ascii="仿宋" w:hAnsi="仿宋" w:eastAsia="仿宋" w:cs="仿宋"/>
          <w:sz w:val="24"/>
          <w:szCs w:val="24"/>
        </w:rPr>
        <w:t>。即在符合招标文件要求的前提下，择定最高得分者为第一中标候选人，即预中标人。</w:t>
      </w:r>
    </w:p>
    <w:p w14:paraId="7D51421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二、合格</w:t>
      </w:r>
      <w:r>
        <w:rPr>
          <w:rFonts w:hint="eastAsia" w:cs="仿宋"/>
          <w:sz w:val="24"/>
          <w:szCs w:val="24"/>
          <w:lang w:eastAsia="zh-CN"/>
        </w:rPr>
        <w:t>投标人</w:t>
      </w:r>
      <w:r>
        <w:rPr>
          <w:rFonts w:hint="eastAsia" w:ascii="仿宋" w:hAnsi="仿宋" w:eastAsia="仿宋" w:cs="仿宋"/>
          <w:sz w:val="24"/>
          <w:szCs w:val="24"/>
        </w:rPr>
        <w:t>的评标得分为各项目汇总得分，中标候选资格按评标得分由高到低顺序排列，得分相同的，按投标报价由低到高顺序排列；得分且投标报价相同的，按技术指标由高到低顺序排列。排名第一的</w:t>
      </w:r>
      <w:r>
        <w:rPr>
          <w:rFonts w:hint="eastAsia" w:cs="仿宋"/>
          <w:sz w:val="24"/>
          <w:szCs w:val="24"/>
          <w:lang w:eastAsia="zh-CN"/>
        </w:rPr>
        <w:t>投标人</w:t>
      </w:r>
      <w:r>
        <w:rPr>
          <w:rFonts w:hint="eastAsia" w:ascii="仿宋" w:hAnsi="仿宋" w:eastAsia="仿宋" w:cs="仿宋"/>
          <w:sz w:val="24"/>
          <w:szCs w:val="24"/>
        </w:rPr>
        <w:t>为中标候选人。</w:t>
      </w:r>
      <w:r>
        <w:rPr>
          <w:rFonts w:hint="eastAsia" w:ascii="仿宋" w:hAnsi="仿宋" w:eastAsia="仿宋" w:cs="仿宋"/>
          <w:bCs/>
          <w:sz w:val="24"/>
          <w:szCs w:val="24"/>
        </w:rPr>
        <w:t>评分过程中采用四舍五入</w:t>
      </w:r>
      <w:r>
        <w:rPr>
          <w:rFonts w:hint="eastAsia" w:ascii="仿宋" w:hAnsi="仿宋" w:eastAsia="仿宋" w:cs="仿宋"/>
          <w:sz w:val="24"/>
          <w:szCs w:val="24"/>
        </w:rPr>
        <w:t>法，并保留小数2位。</w:t>
      </w:r>
    </w:p>
    <w:p w14:paraId="1A523D99">
      <w:pPr>
        <w:spacing w:line="360" w:lineRule="auto"/>
        <w:ind w:firstLine="480" w:firstLineChars="200"/>
        <w:rPr>
          <w:rFonts w:hint="eastAsia" w:ascii="仿宋" w:hAnsi="仿宋" w:eastAsia="仿宋" w:cs="仿宋"/>
          <w:color w:val="auto"/>
          <w:sz w:val="24"/>
          <w:szCs w:val="24"/>
        </w:rPr>
      </w:pPr>
      <w:bookmarkStart w:id="6" w:name="_Hlk36476656"/>
      <w:r>
        <w:rPr>
          <w:rFonts w:hint="eastAsia" w:ascii="仿宋" w:hAnsi="仿宋" w:eastAsia="仿宋" w:cs="仿宋"/>
          <w:sz w:val="24"/>
          <w:szCs w:val="24"/>
        </w:rPr>
        <w:t>三、评分办法</w:t>
      </w:r>
    </w:p>
    <w:p w14:paraId="0743F509">
      <w:pPr>
        <w:spacing w:line="360" w:lineRule="auto"/>
        <w:ind w:firstLine="480" w:firstLineChars="200"/>
        <w:rPr>
          <w:rFonts w:hint="eastAsia" w:ascii="仿宋" w:hAnsi="仿宋" w:eastAsia="仿宋" w:cs="仿宋"/>
          <w:color w:val="auto"/>
          <w:kern w:val="1"/>
          <w:sz w:val="24"/>
          <w:szCs w:val="24"/>
          <w:highlight w:val="none"/>
        </w:rPr>
      </w:pPr>
      <w:r>
        <w:rPr>
          <w:rFonts w:hint="eastAsia" w:ascii="仿宋" w:hAnsi="仿宋" w:eastAsia="仿宋" w:cs="仿宋"/>
          <w:color w:val="auto"/>
          <w:sz w:val="24"/>
          <w:szCs w:val="24"/>
          <w:highlight w:val="none"/>
        </w:rPr>
        <w:t>（一）满分为100分</w:t>
      </w:r>
      <w:r>
        <w:rPr>
          <w:rFonts w:hint="eastAsia" w:ascii="仿宋" w:hAnsi="仿宋" w:eastAsia="仿宋" w:cs="仿宋"/>
          <w:color w:val="auto"/>
          <w:kern w:val="1"/>
          <w:sz w:val="24"/>
          <w:szCs w:val="24"/>
          <w:highlight w:val="none"/>
        </w:rPr>
        <w:t>。总得分=商务技术分（</w:t>
      </w:r>
      <w:r>
        <w:rPr>
          <w:rFonts w:hint="eastAsia" w:cs="仿宋"/>
          <w:color w:val="auto"/>
          <w:kern w:val="1"/>
          <w:sz w:val="24"/>
          <w:szCs w:val="24"/>
          <w:highlight w:val="none"/>
          <w:lang w:val="en-US" w:eastAsia="zh-CN"/>
        </w:rPr>
        <w:t>7</w:t>
      </w:r>
      <w:r>
        <w:rPr>
          <w:rFonts w:hint="eastAsia" w:ascii="仿宋" w:hAnsi="仿宋" w:eastAsia="仿宋" w:cs="仿宋"/>
          <w:color w:val="auto"/>
          <w:kern w:val="1"/>
          <w:sz w:val="24"/>
          <w:szCs w:val="24"/>
          <w:highlight w:val="none"/>
        </w:rPr>
        <w:t>0分）+报价分（</w:t>
      </w:r>
      <w:r>
        <w:rPr>
          <w:rFonts w:hint="eastAsia" w:cs="仿宋"/>
          <w:color w:val="auto"/>
          <w:kern w:val="1"/>
          <w:sz w:val="24"/>
          <w:szCs w:val="24"/>
          <w:highlight w:val="none"/>
          <w:lang w:val="en-US" w:eastAsia="zh-CN"/>
        </w:rPr>
        <w:t>3</w:t>
      </w:r>
      <w:r>
        <w:rPr>
          <w:rFonts w:hint="eastAsia" w:ascii="仿宋" w:hAnsi="仿宋" w:eastAsia="仿宋" w:cs="仿宋"/>
          <w:color w:val="auto"/>
          <w:kern w:val="1"/>
          <w:sz w:val="24"/>
          <w:szCs w:val="24"/>
          <w:highlight w:val="none"/>
        </w:rPr>
        <w:t>0分）；</w:t>
      </w:r>
    </w:p>
    <w:p w14:paraId="0BEBE39C">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（二）技术得分=技术评分，技术评分=所有评委的有效评分的算术平均数</w:t>
      </w:r>
      <w:r>
        <w:rPr>
          <w:rFonts w:hint="eastAsia" w:cs="仿宋"/>
          <w:color w:val="auto"/>
          <w:sz w:val="24"/>
          <w:szCs w:val="24"/>
          <w:highlight w:val="none"/>
          <w:lang w:eastAsia="zh-CN"/>
        </w:rPr>
        <w:t>；</w:t>
      </w:r>
    </w:p>
    <w:p w14:paraId="4CFF0EAA">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sz w:val="24"/>
          <w:szCs w:val="24"/>
        </w:rPr>
        <w:t>（三）</w:t>
      </w:r>
      <w:r>
        <w:rPr>
          <w:rFonts w:hint="eastAsia" w:ascii="仿宋" w:hAnsi="仿宋" w:eastAsia="仿宋" w:cs="仿宋"/>
          <w:color w:val="auto"/>
          <w:kern w:val="1"/>
          <w:sz w:val="24"/>
          <w:szCs w:val="24"/>
        </w:rPr>
        <w:t>报价评分将在有效</w:t>
      </w:r>
      <w:r>
        <w:rPr>
          <w:rFonts w:hint="eastAsia" w:cs="仿宋"/>
          <w:color w:val="auto"/>
          <w:kern w:val="1"/>
          <w:sz w:val="24"/>
          <w:szCs w:val="24"/>
          <w:lang w:eastAsia="zh-CN"/>
        </w:rPr>
        <w:t>投标人</w:t>
      </w:r>
      <w:r>
        <w:rPr>
          <w:rFonts w:hint="eastAsia" w:ascii="仿宋" w:hAnsi="仿宋" w:eastAsia="仿宋" w:cs="仿宋"/>
          <w:color w:val="auto"/>
          <w:kern w:val="1"/>
          <w:sz w:val="24"/>
          <w:szCs w:val="24"/>
        </w:rPr>
        <w:t>范围内进行，最高得</w:t>
      </w:r>
      <w:r>
        <w:rPr>
          <w:rFonts w:hint="eastAsia" w:cs="仿宋"/>
          <w:color w:val="auto"/>
          <w:kern w:val="1"/>
          <w:sz w:val="24"/>
          <w:szCs w:val="24"/>
          <w:lang w:val="en-US" w:eastAsia="zh-CN"/>
        </w:rPr>
        <w:t>3</w:t>
      </w:r>
      <w:r>
        <w:rPr>
          <w:rFonts w:hint="eastAsia" w:ascii="仿宋" w:hAnsi="仿宋" w:eastAsia="仿宋" w:cs="仿宋"/>
          <w:color w:val="auto"/>
          <w:kern w:val="1"/>
          <w:sz w:val="24"/>
          <w:szCs w:val="24"/>
        </w:rPr>
        <w:t>0分，小数点后保留2位小数</w:t>
      </w:r>
      <w:r>
        <w:rPr>
          <w:rFonts w:hint="eastAsia" w:cs="仿宋"/>
          <w:color w:val="auto"/>
          <w:kern w:val="1"/>
          <w:sz w:val="24"/>
          <w:szCs w:val="24"/>
          <w:lang w:eastAsia="zh-CN"/>
        </w:rPr>
        <w:t>；</w:t>
      </w:r>
      <w:r>
        <w:rPr>
          <w:rFonts w:hint="eastAsia" w:ascii="仿宋" w:hAnsi="仿宋" w:eastAsia="仿宋" w:cs="仿宋"/>
          <w:color w:val="auto"/>
          <w:kern w:val="1"/>
          <w:sz w:val="24"/>
          <w:szCs w:val="24"/>
        </w:rPr>
        <w:t>满足招标文件要求且投标价格最低的投标报价为评标基准价，其报价分为满分。其他</w:t>
      </w:r>
      <w:r>
        <w:rPr>
          <w:rFonts w:hint="eastAsia" w:cs="仿宋"/>
          <w:color w:val="auto"/>
          <w:kern w:val="1"/>
          <w:sz w:val="24"/>
          <w:szCs w:val="24"/>
          <w:lang w:eastAsia="zh-CN"/>
        </w:rPr>
        <w:t>投标人</w:t>
      </w:r>
      <w:r>
        <w:rPr>
          <w:rFonts w:hint="eastAsia" w:ascii="仿宋" w:hAnsi="仿宋" w:eastAsia="仿宋" w:cs="仿宋"/>
          <w:color w:val="auto"/>
          <w:kern w:val="1"/>
          <w:sz w:val="24"/>
          <w:szCs w:val="24"/>
        </w:rPr>
        <w:t>的价格分按照下列公式计算：</w:t>
      </w:r>
    </w:p>
    <w:p w14:paraId="6104641C">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报价分=(评标基准价／投标报价)×</w:t>
      </w:r>
      <w:r>
        <w:rPr>
          <w:rFonts w:hint="eastAsia" w:cs="仿宋"/>
          <w:color w:val="auto"/>
          <w:kern w:val="1"/>
          <w:sz w:val="24"/>
          <w:szCs w:val="24"/>
          <w:lang w:val="en-US" w:eastAsia="zh-CN"/>
        </w:rPr>
        <w:t>3</w:t>
      </w:r>
      <w:r>
        <w:rPr>
          <w:rFonts w:hint="eastAsia" w:ascii="仿宋" w:hAnsi="仿宋" w:eastAsia="仿宋" w:cs="仿宋"/>
          <w:color w:val="auto"/>
          <w:kern w:val="1"/>
          <w:sz w:val="24"/>
          <w:szCs w:val="24"/>
        </w:rPr>
        <w:t>0，计算结果保留2位小数。</w:t>
      </w:r>
    </w:p>
    <w:p w14:paraId="69A1AB75">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（四）落实政府采购政策说明：</w:t>
      </w:r>
    </w:p>
    <w:p w14:paraId="0E40E81C">
      <w:pPr>
        <w:spacing w:line="360" w:lineRule="auto"/>
        <w:ind w:firstLine="480" w:firstLineChars="200"/>
        <w:rPr>
          <w:rFonts w:hint="eastAsia" w:ascii="仿宋" w:hAnsi="仿宋" w:eastAsia="仿宋" w:cs="仿宋"/>
          <w:color w:val="auto"/>
          <w:kern w:val="1"/>
          <w:sz w:val="24"/>
          <w:szCs w:val="24"/>
        </w:rPr>
      </w:pPr>
      <w:r>
        <w:rPr>
          <w:rFonts w:hint="eastAsia" w:ascii="仿宋" w:hAnsi="仿宋" w:eastAsia="仿宋" w:cs="仿宋"/>
          <w:color w:val="auto"/>
          <w:kern w:val="1"/>
          <w:sz w:val="24"/>
          <w:szCs w:val="24"/>
        </w:rPr>
        <w:t>对小型或微型企业投标的扶持：</w:t>
      </w:r>
    </w:p>
    <w:p w14:paraId="6ADEE83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1"/>
          <w:sz w:val="24"/>
          <w:szCs w:val="24"/>
        </w:rPr>
        <w:t>根据《政府采购促进中小企业发展管理办法》第九条，该项目专门面向中小企业进行采购，中小微企业参加该项目采购应当不享受报价扣除。根据财库[2017]141号、财库[2014]68 号的相关规定，残疾人福利性单位和监狱企业在参加政府采购项目时，视同小型、</w:t>
      </w:r>
      <w:r>
        <w:rPr>
          <w:rFonts w:hint="eastAsia" w:ascii="仿宋" w:hAnsi="仿宋" w:eastAsia="仿宋" w:cs="仿宋"/>
          <w:color w:val="auto"/>
          <w:kern w:val="1"/>
          <w:sz w:val="24"/>
          <w:szCs w:val="24"/>
          <w:highlight w:val="none"/>
        </w:rPr>
        <w:t>微型企业。</w:t>
      </w:r>
    </w:p>
    <w:p w14:paraId="5FCF05D8">
      <w:pPr>
        <w:spacing w:line="42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（五）技术分评分细则（</w:t>
      </w:r>
      <w:r>
        <w:rPr>
          <w:rFonts w:hint="eastAsia" w:cs="仿宋"/>
          <w:color w:val="auto"/>
          <w:sz w:val="24"/>
          <w:szCs w:val="24"/>
          <w:highlight w:val="none"/>
          <w:lang w:val="en-US" w:eastAsia="zh-CN"/>
        </w:rPr>
        <w:t>7</w:t>
      </w:r>
      <w:r>
        <w:rPr>
          <w:rFonts w:hint="eastAsia" w:ascii="仿宋" w:hAnsi="仿宋" w:eastAsia="仿宋" w:cs="仿宋"/>
          <w:color w:val="auto"/>
          <w:sz w:val="24"/>
          <w:szCs w:val="24"/>
          <w:highlight w:val="none"/>
        </w:rPr>
        <w:t>0分）</w:t>
      </w:r>
    </w:p>
    <w:bookmarkEnd w:id="6"/>
    <w:tbl>
      <w:tblPr>
        <w:tblStyle w:val="20"/>
        <w:tblW w:w="9682" w:type="dxa"/>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6"/>
        <w:gridCol w:w="1132"/>
        <w:gridCol w:w="6887"/>
        <w:gridCol w:w="927"/>
      </w:tblGrid>
      <w:tr w14:paraId="75BE1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3" w:hRule="atLeast"/>
        </w:trPr>
        <w:tc>
          <w:tcPr>
            <w:tcW w:w="736" w:type="dxa"/>
            <w:shd w:val="clear" w:color="auto" w:fill="BEBEBE"/>
            <w:noWrap w:val="0"/>
            <w:tcMar>
              <w:top w:w="12" w:type="dxa"/>
              <w:left w:w="12" w:type="dxa"/>
              <w:right w:w="12" w:type="dxa"/>
            </w:tcMar>
            <w:vAlign w:val="center"/>
          </w:tcPr>
          <w:p w14:paraId="395E8951">
            <w:pPr>
              <w:keepNext w:val="0"/>
              <w:keepLines w:val="0"/>
              <w:pageBreakBefore w:val="0"/>
              <w:wordWrap/>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val="0"/>
                <w:sz w:val="24"/>
                <w:szCs w:val="24"/>
              </w:rPr>
            </w:pPr>
            <w:r>
              <w:rPr>
                <w:rFonts w:hint="eastAsia" w:ascii="仿宋" w:hAnsi="仿宋" w:eastAsia="仿宋" w:cs="仿宋"/>
                <w:b/>
                <w:bCs w:val="0"/>
                <w:sz w:val="24"/>
                <w:szCs w:val="24"/>
              </w:rPr>
              <w:t>序号</w:t>
            </w:r>
          </w:p>
        </w:tc>
        <w:tc>
          <w:tcPr>
            <w:tcW w:w="1132" w:type="dxa"/>
            <w:shd w:val="clear" w:color="auto" w:fill="BEBEBE"/>
            <w:noWrap w:val="0"/>
            <w:tcMar>
              <w:top w:w="12" w:type="dxa"/>
              <w:left w:w="12" w:type="dxa"/>
              <w:right w:w="12" w:type="dxa"/>
            </w:tcMar>
            <w:vAlign w:val="center"/>
          </w:tcPr>
          <w:p w14:paraId="12B34899">
            <w:pPr>
              <w:keepNext w:val="0"/>
              <w:keepLines w:val="0"/>
              <w:pageBreakBefore w:val="0"/>
              <w:wordWrap/>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val="0"/>
                <w:sz w:val="24"/>
                <w:szCs w:val="24"/>
              </w:rPr>
            </w:pPr>
            <w:r>
              <w:rPr>
                <w:rFonts w:hint="eastAsia" w:ascii="仿宋" w:hAnsi="仿宋" w:eastAsia="仿宋" w:cs="仿宋"/>
                <w:b/>
                <w:bCs w:val="0"/>
                <w:sz w:val="24"/>
                <w:szCs w:val="24"/>
              </w:rPr>
              <w:t>评审内容</w:t>
            </w:r>
          </w:p>
        </w:tc>
        <w:tc>
          <w:tcPr>
            <w:tcW w:w="6887" w:type="dxa"/>
            <w:shd w:val="clear" w:color="auto" w:fill="BEBEBE"/>
            <w:noWrap w:val="0"/>
            <w:tcMar>
              <w:top w:w="12" w:type="dxa"/>
              <w:left w:w="12" w:type="dxa"/>
              <w:right w:w="12" w:type="dxa"/>
            </w:tcMar>
            <w:vAlign w:val="center"/>
          </w:tcPr>
          <w:p w14:paraId="36395F32">
            <w:pPr>
              <w:keepNext w:val="0"/>
              <w:keepLines w:val="0"/>
              <w:pageBreakBefore w:val="0"/>
              <w:wordWrap/>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val="0"/>
                <w:sz w:val="24"/>
                <w:szCs w:val="24"/>
              </w:rPr>
            </w:pPr>
            <w:r>
              <w:rPr>
                <w:rFonts w:hint="eastAsia" w:ascii="仿宋" w:hAnsi="仿宋" w:eastAsia="仿宋" w:cs="仿宋"/>
                <w:b/>
                <w:bCs w:val="0"/>
                <w:sz w:val="24"/>
                <w:szCs w:val="24"/>
              </w:rPr>
              <w:t>评分标准</w:t>
            </w:r>
          </w:p>
        </w:tc>
        <w:tc>
          <w:tcPr>
            <w:tcW w:w="927" w:type="dxa"/>
            <w:shd w:val="clear" w:color="auto" w:fill="BEBEBE"/>
            <w:noWrap w:val="0"/>
            <w:tcMar>
              <w:top w:w="12" w:type="dxa"/>
              <w:left w:w="12" w:type="dxa"/>
              <w:right w:w="12" w:type="dxa"/>
            </w:tcMar>
            <w:vAlign w:val="center"/>
          </w:tcPr>
          <w:p w14:paraId="737C1C31">
            <w:pPr>
              <w:keepNext w:val="0"/>
              <w:keepLines w:val="0"/>
              <w:pageBreakBefore w:val="0"/>
              <w:wordWrap/>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val="0"/>
                <w:sz w:val="24"/>
                <w:szCs w:val="24"/>
              </w:rPr>
            </w:pPr>
            <w:r>
              <w:rPr>
                <w:rFonts w:hint="eastAsia" w:ascii="仿宋" w:hAnsi="仿宋" w:eastAsia="仿宋" w:cs="仿宋"/>
                <w:b/>
                <w:bCs w:val="0"/>
                <w:sz w:val="24"/>
                <w:szCs w:val="24"/>
              </w:rPr>
              <w:t>分值（分）</w:t>
            </w:r>
          </w:p>
        </w:tc>
      </w:tr>
      <w:tr w14:paraId="6F0BB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4" w:hRule="atLeast"/>
        </w:trPr>
        <w:tc>
          <w:tcPr>
            <w:tcW w:w="736" w:type="dxa"/>
            <w:noWrap w:val="0"/>
            <w:tcMar>
              <w:top w:w="12" w:type="dxa"/>
              <w:left w:w="12" w:type="dxa"/>
              <w:right w:w="12" w:type="dxa"/>
            </w:tcMar>
            <w:vAlign w:val="center"/>
          </w:tcPr>
          <w:p w14:paraId="29248550">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1</w:t>
            </w:r>
          </w:p>
        </w:tc>
        <w:tc>
          <w:tcPr>
            <w:tcW w:w="1132" w:type="dxa"/>
            <w:noWrap w:val="0"/>
            <w:tcMar>
              <w:top w:w="12" w:type="dxa"/>
              <w:left w:w="12" w:type="dxa"/>
              <w:right w:w="12" w:type="dxa"/>
            </w:tcMar>
            <w:vAlign w:val="center"/>
          </w:tcPr>
          <w:p w14:paraId="697D7345">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项目业绩</w:t>
            </w:r>
          </w:p>
        </w:tc>
        <w:tc>
          <w:tcPr>
            <w:tcW w:w="6887" w:type="dxa"/>
            <w:noWrap w:val="0"/>
            <w:tcMar>
              <w:top w:w="12" w:type="dxa"/>
              <w:left w:w="12" w:type="dxa"/>
              <w:right w:w="12" w:type="dxa"/>
            </w:tcMar>
            <w:vAlign w:val="center"/>
          </w:tcPr>
          <w:p w14:paraId="02A673DB">
            <w:pPr>
              <w:keepNext w:val="0"/>
              <w:keepLines w:val="0"/>
              <w:pageBreakBefore w:val="0"/>
              <w:wordWrap/>
              <w:topLinePunct w:val="0"/>
              <w:autoSpaceDE w:val="0"/>
              <w:autoSpaceDN w:val="0"/>
              <w:bidi w:val="0"/>
              <w:adjustRightInd w:val="0"/>
              <w:snapToGrid/>
              <w:spacing w:line="360" w:lineRule="auto"/>
              <w:ind w:firstLine="0" w:firstLineChars="0"/>
              <w:rPr>
                <w:rFonts w:hint="eastAsia" w:ascii="仿宋" w:hAnsi="仿宋" w:eastAsia="仿宋" w:cs="仿宋"/>
                <w:bCs/>
                <w:color w:val="auto"/>
                <w:sz w:val="24"/>
                <w:szCs w:val="24"/>
              </w:rPr>
            </w:pPr>
            <w:r>
              <w:rPr>
                <w:rFonts w:hint="eastAsia" w:ascii="仿宋" w:hAnsi="仿宋" w:eastAsia="仿宋" w:cs="仿宋"/>
                <w:bCs/>
                <w:color w:val="auto"/>
                <w:sz w:val="24"/>
                <w:szCs w:val="24"/>
              </w:rPr>
              <w:t>投标人提供自202</w:t>
            </w:r>
            <w:r>
              <w:rPr>
                <w:rFonts w:hint="eastAsia" w:cs="仿宋"/>
                <w:bCs/>
                <w:color w:val="auto"/>
                <w:sz w:val="24"/>
                <w:szCs w:val="24"/>
                <w:lang w:val="en-US" w:eastAsia="zh-CN"/>
              </w:rPr>
              <w:t>2</w:t>
            </w:r>
            <w:r>
              <w:rPr>
                <w:rFonts w:hint="eastAsia" w:ascii="仿宋" w:hAnsi="仿宋" w:eastAsia="仿宋" w:cs="仿宋"/>
                <w:bCs/>
                <w:color w:val="auto"/>
                <w:sz w:val="24"/>
                <w:szCs w:val="24"/>
              </w:rPr>
              <w:t>年1月1日以来（以合同签订时间为准）同类型项目业绩，每个业绩得1分，最高得</w:t>
            </w:r>
            <w:r>
              <w:rPr>
                <w:rFonts w:hint="eastAsia" w:cs="仿宋"/>
                <w:bCs/>
                <w:color w:val="auto"/>
                <w:sz w:val="24"/>
                <w:szCs w:val="24"/>
                <w:lang w:val="en-US" w:eastAsia="zh-CN"/>
              </w:rPr>
              <w:t>3</w:t>
            </w:r>
            <w:r>
              <w:rPr>
                <w:rFonts w:hint="eastAsia" w:ascii="仿宋" w:hAnsi="仿宋" w:eastAsia="仿宋" w:cs="仿宋"/>
                <w:bCs/>
                <w:color w:val="auto"/>
                <w:sz w:val="24"/>
                <w:szCs w:val="24"/>
              </w:rPr>
              <w:t>分。</w:t>
            </w:r>
          </w:p>
          <w:p w14:paraId="1D66EF73">
            <w:pPr>
              <w:keepNext w:val="0"/>
              <w:keepLines w:val="0"/>
              <w:pageBreakBefore w:val="0"/>
              <w:wordWrap/>
              <w:topLinePunct w:val="0"/>
              <w:autoSpaceDE w:val="0"/>
              <w:autoSpaceDN w:val="0"/>
              <w:bidi w:val="0"/>
              <w:adjustRightInd w:val="0"/>
              <w:snapToGrid/>
              <w:spacing w:line="360" w:lineRule="auto"/>
              <w:ind w:firstLine="0" w:firstLineChars="0"/>
              <w:rPr>
                <w:rFonts w:hint="eastAsia" w:ascii="仿宋" w:hAnsi="仿宋" w:eastAsia="仿宋" w:cs="仿宋"/>
                <w:bCs/>
                <w:color w:val="auto"/>
                <w:sz w:val="24"/>
                <w:szCs w:val="24"/>
              </w:rPr>
            </w:pPr>
            <w:r>
              <w:rPr>
                <w:rFonts w:hint="eastAsia" w:ascii="仿宋" w:hAnsi="仿宋" w:eastAsia="仿宋" w:cs="仿宋"/>
                <w:b/>
                <w:bCs w:val="0"/>
                <w:color w:val="auto"/>
                <w:sz w:val="24"/>
                <w:szCs w:val="24"/>
              </w:rPr>
              <w:t>（提供相关业绩合同扫描件，不提供不得分）</w:t>
            </w:r>
          </w:p>
        </w:tc>
        <w:tc>
          <w:tcPr>
            <w:tcW w:w="927" w:type="dxa"/>
            <w:noWrap w:val="0"/>
            <w:tcMar>
              <w:top w:w="12" w:type="dxa"/>
              <w:left w:w="12" w:type="dxa"/>
              <w:right w:w="12" w:type="dxa"/>
            </w:tcMar>
            <w:vAlign w:val="center"/>
          </w:tcPr>
          <w:p w14:paraId="2C0E9487">
            <w:pPr>
              <w:keepNext w:val="0"/>
              <w:keepLines w:val="0"/>
              <w:pageBreakBefore w:val="0"/>
              <w:widowControl w:val="0"/>
              <w:wordWrap/>
              <w:topLinePunct w:val="0"/>
              <w:autoSpaceDE w:val="0"/>
              <w:autoSpaceDN w:val="0"/>
              <w:bidi w:val="0"/>
              <w:adjustRightInd w:val="0"/>
              <w:snapToGrid/>
              <w:ind w:firstLine="0" w:firstLineChars="0"/>
              <w:jc w:val="center"/>
              <w:textAlignment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0-</w:t>
            </w:r>
            <w:r>
              <w:rPr>
                <w:rFonts w:hint="eastAsia" w:cs="仿宋"/>
                <w:color w:val="auto"/>
                <w:sz w:val="24"/>
                <w:szCs w:val="24"/>
                <w:lang w:val="en-US" w:eastAsia="zh-CN"/>
              </w:rPr>
              <w:t>3</w:t>
            </w:r>
          </w:p>
          <w:p w14:paraId="512A58C3">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rPr>
            </w:pP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客观分</w:t>
            </w:r>
            <w:r>
              <w:rPr>
                <w:rFonts w:hint="eastAsia" w:ascii="仿宋" w:hAnsi="仿宋" w:eastAsia="仿宋" w:cs="仿宋"/>
                <w:color w:val="auto"/>
                <w:sz w:val="18"/>
                <w:szCs w:val="18"/>
                <w:lang w:eastAsia="zh-CN"/>
              </w:rPr>
              <w:t>）</w:t>
            </w:r>
          </w:p>
        </w:tc>
      </w:tr>
      <w:tr w14:paraId="1E5A6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6" w:type="dxa"/>
            <w:noWrap w:val="0"/>
            <w:tcMar>
              <w:top w:w="12" w:type="dxa"/>
              <w:left w:w="12" w:type="dxa"/>
              <w:right w:w="12" w:type="dxa"/>
            </w:tcMar>
            <w:vAlign w:val="center"/>
          </w:tcPr>
          <w:p w14:paraId="20B82B67">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2</w:t>
            </w:r>
          </w:p>
        </w:tc>
        <w:tc>
          <w:tcPr>
            <w:tcW w:w="1132" w:type="dxa"/>
            <w:noWrap w:val="0"/>
            <w:tcMar>
              <w:top w:w="12" w:type="dxa"/>
              <w:left w:w="12" w:type="dxa"/>
              <w:right w:w="12" w:type="dxa"/>
            </w:tcMar>
            <w:vAlign w:val="center"/>
          </w:tcPr>
          <w:p w14:paraId="673B66CC">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体系认证</w:t>
            </w:r>
          </w:p>
        </w:tc>
        <w:tc>
          <w:tcPr>
            <w:tcW w:w="6887" w:type="dxa"/>
            <w:noWrap w:val="0"/>
            <w:tcMar>
              <w:top w:w="12" w:type="dxa"/>
              <w:left w:w="12" w:type="dxa"/>
              <w:right w:w="12" w:type="dxa"/>
            </w:tcMar>
            <w:vAlign w:val="center"/>
          </w:tcPr>
          <w:p w14:paraId="18F6F767">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投标人具有质量管理体系认证、环境管理体系认证、职业健康安全管理体系认证的，证书在有效期内的每项得</w:t>
            </w:r>
            <w:r>
              <w:rPr>
                <w:rFonts w:hint="eastAsia" w:cs="仿宋"/>
                <w:bCs/>
                <w:color w:val="auto"/>
                <w:sz w:val="24"/>
                <w:szCs w:val="24"/>
                <w:lang w:val="en-US" w:eastAsia="zh-CN"/>
              </w:rPr>
              <w:t>1</w:t>
            </w:r>
            <w:r>
              <w:rPr>
                <w:rFonts w:hint="eastAsia" w:ascii="仿宋" w:hAnsi="仿宋" w:eastAsia="仿宋" w:cs="仿宋"/>
                <w:bCs/>
                <w:color w:val="auto"/>
                <w:sz w:val="24"/>
                <w:szCs w:val="24"/>
              </w:rPr>
              <w:t>分，最高得</w:t>
            </w:r>
            <w:r>
              <w:rPr>
                <w:rFonts w:hint="eastAsia" w:cs="仿宋"/>
                <w:bCs/>
                <w:color w:val="auto"/>
                <w:sz w:val="24"/>
                <w:szCs w:val="24"/>
                <w:lang w:val="en-US" w:eastAsia="zh-CN"/>
              </w:rPr>
              <w:t>3</w:t>
            </w:r>
            <w:r>
              <w:rPr>
                <w:rFonts w:hint="eastAsia" w:ascii="仿宋" w:hAnsi="仿宋" w:eastAsia="仿宋" w:cs="仿宋"/>
                <w:bCs/>
                <w:color w:val="auto"/>
                <w:sz w:val="24"/>
                <w:szCs w:val="24"/>
              </w:rPr>
              <w:t>分。</w:t>
            </w:r>
          </w:p>
          <w:p w14:paraId="6DE64F0D">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rPr>
            </w:pPr>
            <w:r>
              <w:rPr>
                <w:rFonts w:hint="eastAsia" w:ascii="仿宋" w:hAnsi="仿宋" w:eastAsia="仿宋" w:cs="仿宋"/>
                <w:b/>
                <w:bCs w:val="0"/>
                <w:color w:val="auto"/>
                <w:sz w:val="24"/>
                <w:szCs w:val="24"/>
              </w:rPr>
              <w:t>（提供相关证书复印件，不提供不得分）</w:t>
            </w:r>
          </w:p>
        </w:tc>
        <w:tc>
          <w:tcPr>
            <w:tcW w:w="927" w:type="dxa"/>
            <w:noWrap w:val="0"/>
            <w:tcMar>
              <w:top w:w="12" w:type="dxa"/>
              <w:left w:w="12" w:type="dxa"/>
              <w:right w:w="12" w:type="dxa"/>
            </w:tcMar>
            <w:vAlign w:val="center"/>
          </w:tcPr>
          <w:p w14:paraId="73BD73DE">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rPr>
              <w:t>0-</w:t>
            </w:r>
            <w:r>
              <w:rPr>
                <w:rFonts w:hint="eastAsia" w:cs="仿宋"/>
                <w:bCs/>
                <w:color w:val="auto"/>
                <w:sz w:val="24"/>
                <w:szCs w:val="24"/>
                <w:lang w:val="en-US" w:eastAsia="zh-CN"/>
              </w:rPr>
              <w:t>3</w:t>
            </w:r>
          </w:p>
          <w:p w14:paraId="3C8D2553">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rPr>
            </w:pP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客观分</w:t>
            </w:r>
            <w:r>
              <w:rPr>
                <w:rFonts w:hint="eastAsia" w:ascii="仿宋" w:hAnsi="仿宋" w:eastAsia="仿宋" w:cs="仿宋"/>
                <w:color w:val="auto"/>
                <w:sz w:val="18"/>
                <w:szCs w:val="18"/>
                <w:lang w:eastAsia="zh-CN"/>
              </w:rPr>
              <w:t>）</w:t>
            </w:r>
          </w:p>
        </w:tc>
      </w:tr>
      <w:tr w14:paraId="188D8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72" w:hRule="atLeast"/>
        </w:trPr>
        <w:tc>
          <w:tcPr>
            <w:tcW w:w="736" w:type="dxa"/>
            <w:noWrap w:val="0"/>
            <w:tcMar>
              <w:top w:w="12" w:type="dxa"/>
              <w:left w:w="12" w:type="dxa"/>
              <w:right w:w="12" w:type="dxa"/>
            </w:tcMar>
            <w:vAlign w:val="center"/>
          </w:tcPr>
          <w:p w14:paraId="17C80298">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3</w:t>
            </w:r>
          </w:p>
        </w:tc>
        <w:tc>
          <w:tcPr>
            <w:tcW w:w="1132" w:type="dxa"/>
            <w:noWrap w:val="0"/>
            <w:tcMar>
              <w:top w:w="12" w:type="dxa"/>
              <w:left w:w="12" w:type="dxa"/>
              <w:right w:w="12" w:type="dxa"/>
            </w:tcMar>
            <w:vAlign w:val="center"/>
          </w:tcPr>
          <w:p w14:paraId="4B8F2E2F">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技术指标</w:t>
            </w:r>
          </w:p>
        </w:tc>
        <w:tc>
          <w:tcPr>
            <w:tcW w:w="6887" w:type="dxa"/>
            <w:noWrap w:val="0"/>
            <w:tcMar>
              <w:top w:w="12" w:type="dxa"/>
              <w:left w:w="12" w:type="dxa"/>
              <w:right w:w="12" w:type="dxa"/>
            </w:tcMar>
            <w:vAlign w:val="center"/>
          </w:tcPr>
          <w:p w14:paraId="4ADD6452">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eastAsia" w:ascii="仿宋" w:hAnsi="仿宋" w:eastAsia="仿宋" w:cs="仿宋"/>
                <w:sz w:val="24"/>
                <w:szCs w:val="24"/>
                <w:lang w:eastAsia="zh-CN" w:bidi="ar"/>
              </w:rPr>
            </w:pPr>
            <w:r>
              <w:rPr>
                <w:rFonts w:hint="eastAsia" w:ascii="仿宋" w:hAnsi="仿宋" w:eastAsia="仿宋" w:cs="仿宋"/>
                <w:sz w:val="24"/>
                <w:szCs w:val="24"/>
                <w:lang w:bidi="ar"/>
              </w:rPr>
              <w:t>全部响应招标文件要求的技术参数、技术规范和技术要求的得</w:t>
            </w:r>
            <w:r>
              <w:rPr>
                <w:rFonts w:hint="eastAsia" w:ascii="仿宋" w:hAnsi="仿宋" w:eastAsia="仿宋" w:cs="仿宋"/>
                <w:sz w:val="24"/>
                <w:szCs w:val="24"/>
                <w:lang w:val="en-US" w:bidi="ar"/>
              </w:rPr>
              <w:t>1</w:t>
            </w:r>
            <w:r>
              <w:rPr>
                <w:rFonts w:hint="eastAsia" w:ascii="仿宋" w:hAnsi="仿宋" w:eastAsia="仿宋" w:cs="仿宋"/>
                <w:sz w:val="24"/>
                <w:szCs w:val="24"/>
                <w:lang w:val="en-US" w:eastAsia="zh-CN" w:bidi="ar"/>
              </w:rPr>
              <w:t>6</w:t>
            </w:r>
            <w:r>
              <w:rPr>
                <w:rFonts w:hint="eastAsia" w:ascii="仿宋" w:hAnsi="仿宋" w:eastAsia="仿宋" w:cs="仿宋"/>
                <w:sz w:val="24"/>
                <w:szCs w:val="24"/>
                <w:lang w:bidi="ar"/>
              </w:rPr>
              <w:t>分；</w:t>
            </w:r>
          </w:p>
          <w:p w14:paraId="0B94F933">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eastAsia" w:ascii="仿宋" w:hAnsi="仿宋" w:eastAsia="仿宋" w:cs="仿宋"/>
                <w:sz w:val="24"/>
                <w:szCs w:val="24"/>
                <w:lang w:eastAsia="zh-CN" w:bidi="ar"/>
              </w:rPr>
            </w:pPr>
            <w:r>
              <w:rPr>
                <w:rFonts w:hint="eastAsia" w:ascii="仿宋" w:hAnsi="仿宋" w:eastAsia="仿宋" w:cs="仿宋"/>
                <w:sz w:val="24"/>
                <w:szCs w:val="24"/>
                <w:lang w:bidi="ar"/>
              </w:rPr>
              <w:t>低于招标文件要求的技术参数、技术规范和技术要求的给予逐项减分（非实质性偏离），每低于一项扣1分</w:t>
            </w:r>
            <w:r>
              <w:rPr>
                <w:rFonts w:hint="eastAsia" w:ascii="仿宋" w:hAnsi="仿宋" w:eastAsia="仿宋" w:cs="仿宋"/>
                <w:sz w:val="24"/>
                <w:szCs w:val="24"/>
                <w:lang w:eastAsia="zh-CN" w:bidi="ar"/>
              </w:rPr>
              <w:t>；</w:t>
            </w:r>
            <w:r>
              <w:rPr>
                <w:rFonts w:hint="eastAsia" w:ascii="仿宋" w:hAnsi="仿宋" w:eastAsia="仿宋" w:cs="仿宋"/>
                <w:sz w:val="24"/>
                <w:szCs w:val="24"/>
                <w:lang w:bidi="ar"/>
              </w:rPr>
              <w:t>标“★”项每低于一项扣2分，扣完为止</w:t>
            </w:r>
            <w:r>
              <w:rPr>
                <w:rFonts w:hint="eastAsia" w:ascii="仿宋" w:hAnsi="仿宋" w:eastAsia="仿宋" w:cs="仿宋"/>
                <w:sz w:val="24"/>
                <w:szCs w:val="24"/>
                <w:lang w:eastAsia="zh-CN" w:bidi="ar"/>
              </w:rPr>
              <w:t>。</w:t>
            </w:r>
          </w:p>
          <w:p w14:paraId="416D8C5B">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eastAsia" w:ascii="仿宋" w:hAnsi="仿宋" w:eastAsia="仿宋" w:cs="仿宋"/>
                <w:bCs/>
                <w:color w:val="auto"/>
                <w:sz w:val="24"/>
                <w:szCs w:val="24"/>
                <w:lang w:val="en-US" w:bidi="ar-SA"/>
              </w:rPr>
            </w:pPr>
            <w:r>
              <w:rPr>
                <w:rFonts w:hint="eastAsia" w:ascii="仿宋" w:hAnsi="仿宋" w:eastAsia="仿宋" w:cs="仿宋"/>
                <w:bCs/>
                <w:color w:val="auto"/>
                <w:sz w:val="24"/>
                <w:szCs w:val="24"/>
                <w:lang w:val="en-US" w:bidi="ar-SA"/>
              </w:rPr>
              <w:t>注：须提供所投产品的原厂设备参数配置清单和相关说明文件，</w:t>
            </w:r>
            <w:r>
              <w:rPr>
                <w:rFonts w:hint="eastAsia" w:ascii="仿宋" w:hAnsi="仿宋" w:eastAsia="仿宋" w:cs="仿宋"/>
                <w:b/>
                <w:bCs w:val="0"/>
                <w:color w:val="auto"/>
                <w:sz w:val="24"/>
                <w:szCs w:val="24"/>
                <w:lang w:val="en-US" w:bidi="ar-SA"/>
              </w:rPr>
              <w:t>（投标人需确保上述文件的真实性且印有针对该项目的水印“如：仅限于</w:t>
            </w:r>
            <w:r>
              <w:rPr>
                <w:rFonts w:hint="eastAsia" w:ascii="仿宋" w:hAnsi="仿宋" w:eastAsia="仿宋" w:cs="仿宋"/>
                <w:b/>
                <w:bCs w:val="0"/>
                <w:color w:val="auto"/>
                <w:sz w:val="24"/>
                <w:szCs w:val="24"/>
                <w:lang w:val="en-US" w:eastAsia="zh-CN" w:bidi="ar-SA"/>
              </w:rPr>
              <w:t>武义县公安局交通警察大队2025年-2026年交通信号灯维护项目</w:t>
            </w:r>
            <w:r>
              <w:rPr>
                <w:rFonts w:hint="eastAsia" w:ascii="仿宋" w:hAnsi="仿宋" w:eastAsia="仿宋" w:cs="仿宋"/>
                <w:b/>
                <w:bCs w:val="0"/>
                <w:color w:val="auto"/>
                <w:sz w:val="24"/>
                <w:szCs w:val="24"/>
                <w:lang w:val="en-US" w:bidi="ar-SA"/>
              </w:rPr>
              <w:t>”否则不得分。）</w:t>
            </w:r>
          </w:p>
        </w:tc>
        <w:tc>
          <w:tcPr>
            <w:tcW w:w="927" w:type="dxa"/>
            <w:noWrap w:val="0"/>
            <w:tcMar>
              <w:top w:w="12" w:type="dxa"/>
              <w:left w:w="12" w:type="dxa"/>
              <w:right w:w="12" w:type="dxa"/>
            </w:tcMar>
            <w:vAlign w:val="center"/>
          </w:tcPr>
          <w:p w14:paraId="7E4D22AD">
            <w:pPr>
              <w:keepNext w:val="0"/>
              <w:keepLines w:val="0"/>
              <w:pageBreakBefore w:val="0"/>
              <w:wordWrap/>
              <w:topLinePunct w:val="0"/>
              <w:autoSpaceDE w:val="0"/>
              <w:autoSpaceDN w:val="0"/>
              <w:bidi w:val="0"/>
              <w:adjustRightInd w:val="0"/>
              <w:snapToGrid/>
              <w:ind w:firstLine="0" w:firstLineChars="0"/>
              <w:textAlignment w:val="center"/>
              <w:rPr>
                <w:rFonts w:hint="eastAsia" w:ascii="仿宋" w:hAnsi="仿宋" w:eastAsia="仿宋" w:cs="仿宋"/>
                <w:bCs/>
                <w:color w:val="auto"/>
                <w:sz w:val="24"/>
                <w:szCs w:val="24"/>
              </w:rPr>
            </w:pPr>
          </w:p>
          <w:p w14:paraId="40D1160C">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sz w:val="24"/>
                <w:szCs w:val="24"/>
                <w:lang w:val="en-US" w:eastAsia="zh-CN"/>
              </w:rPr>
            </w:pPr>
            <w:r>
              <w:rPr>
                <w:rFonts w:hint="eastAsia" w:ascii="仿宋" w:hAnsi="仿宋" w:eastAsia="仿宋" w:cs="仿宋"/>
                <w:bCs/>
                <w:sz w:val="24"/>
                <w:szCs w:val="24"/>
              </w:rPr>
              <w:t>0-1</w:t>
            </w:r>
            <w:r>
              <w:rPr>
                <w:rFonts w:hint="eastAsia" w:cs="仿宋"/>
                <w:bCs/>
                <w:sz w:val="24"/>
                <w:szCs w:val="24"/>
                <w:lang w:val="en-US" w:eastAsia="zh-CN"/>
              </w:rPr>
              <w:t>6</w:t>
            </w:r>
          </w:p>
          <w:p w14:paraId="284BFC4A">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sz w:val="24"/>
                <w:szCs w:val="24"/>
              </w:rPr>
            </w:pP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客观分</w:t>
            </w:r>
            <w:r>
              <w:rPr>
                <w:rFonts w:hint="eastAsia" w:ascii="仿宋" w:hAnsi="仿宋" w:eastAsia="仿宋" w:cs="仿宋"/>
                <w:color w:val="auto"/>
                <w:sz w:val="18"/>
                <w:szCs w:val="18"/>
                <w:lang w:eastAsia="zh-CN"/>
              </w:rPr>
              <w:t>）</w:t>
            </w:r>
          </w:p>
          <w:p w14:paraId="19717678">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rPr>
            </w:pPr>
          </w:p>
        </w:tc>
      </w:tr>
      <w:tr w14:paraId="404C1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0" w:hRule="atLeast"/>
        </w:trPr>
        <w:tc>
          <w:tcPr>
            <w:tcW w:w="736" w:type="dxa"/>
            <w:noWrap w:val="0"/>
            <w:tcMar>
              <w:top w:w="12" w:type="dxa"/>
              <w:left w:w="12" w:type="dxa"/>
              <w:right w:w="12" w:type="dxa"/>
            </w:tcMar>
            <w:vAlign w:val="center"/>
          </w:tcPr>
          <w:p w14:paraId="1B6A4CBE">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4</w:t>
            </w:r>
          </w:p>
        </w:tc>
        <w:tc>
          <w:tcPr>
            <w:tcW w:w="1132" w:type="dxa"/>
            <w:vMerge w:val="restart"/>
            <w:noWrap w:val="0"/>
            <w:tcMar>
              <w:top w:w="12" w:type="dxa"/>
              <w:left w:w="12" w:type="dxa"/>
              <w:right w:w="12" w:type="dxa"/>
            </w:tcMar>
            <w:vAlign w:val="center"/>
          </w:tcPr>
          <w:p w14:paraId="17CEEFBD">
            <w:pPr>
              <w:keepNext w:val="0"/>
              <w:keepLines w:val="0"/>
              <w:pageBreakBefore w:val="0"/>
              <w:wordWrap/>
              <w:topLinePunct w:val="0"/>
              <w:autoSpaceDE w:val="0"/>
              <w:autoSpaceDN w:val="0"/>
              <w:bidi w:val="0"/>
              <w:adjustRightInd w:val="0"/>
              <w:snapToGrid/>
              <w:spacing w:line="320" w:lineRule="exact"/>
              <w:ind w:firstLine="0" w:firstLineChars="0"/>
              <w:jc w:val="center"/>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项目团队</w:t>
            </w:r>
          </w:p>
        </w:tc>
        <w:tc>
          <w:tcPr>
            <w:tcW w:w="6887" w:type="dxa"/>
            <w:noWrap w:val="0"/>
            <w:tcMar>
              <w:top w:w="12" w:type="dxa"/>
              <w:left w:w="12" w:type="dxa"/>
              <w:right w:w="12" w:type="dxa"/>
            </w:tcMar>
            <w:vAlign w:val="top"/>
          </w:tcPr>
          <w:p w14:paraId="16301C6C">
            <w:pPr>
              <w:keepNext w:val="0"/>
              <w:keepLines w:val="0"/>
              <w:pageBreakBefore w:val="0"/>
              <w:wordWrap/>
              <w:topLinePunct w:val="0"/>
              <w:autoSpaceDE w:val="0"/>
              <w:autoSpaceDN w:val="0"/>
              <w:bidi w:val="0"/>
              <w:adjustRightInd w:val="0"/>
              <w:snapToGrid/>
              <w:spacing w:line="440" w:lineRule="exact"/>
              <w:ind w:firstLine="0" w:firstLineChars="0"/>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项目负责人</w:t>
            </w:r>
            <w:r>
              <w:rPr>
                <w:rFonts w:hint="eastAsia" w:ascii="仿宋" w:hAnsi="仿宋" w:eastAsia="仿宋" w:cs="仿宋"/>
                <w:sz w:val="24"/>
                <w:szCs w:val="24"/>
              </w:rPr>
              <w:t>具有计算机技术与软件专业技术资格级别中级或高级（专业：系统集成项目管理工程师或信息系统项目管理师）证书或具有中级</w:t>
            </w:r>
            <w:r>
              <w:rPr>
                <w:rFonts w:hint="eastAsia" w:ascii="仿宋" w:hAnsi="仿宋" w:eastAsia="仿宋" w:cs="仿宋"/>
                <w:sz w:val="24"/>
                <w:szCs w:val="24"/>
                <w:lang w:val="en-US" w:eastAsia="zh-CN"/>
              </w:rPr>
              <w:t>及</w:t>
            </w:r>
            <w:r>
              <w:rPr>
                <w:rFonts w:hint="eastAsia" w:ascii="仿宋" w:hAnsi="仿宋" w:eastAsia="仿宋" w:cs="仿宋"/>
                <w:sz w:val="24"/>
                <w:szCs w:val="24"/>
              </w:rPr>
              <w:t>以上职称（信息技术）</w:t>
            </w:r>
            <w:r>
              <w:rPr>
                <w:rFonts w:hint="eastAsia" w:cs="仿宋"/>
                <w:sz w:val="24"/>
                <w:szCs w:val="24"/>
                <w:lang w:eastAsia="zh-CN"/>
              </w:rPr>
              <w:t>的</w:t>
            </w:r>
            <w:r>
              <w:rPr>
                <w:rFonts w:hint="eastAsia" w:cs="仿宋"/>
                <w:sz w:val="24"/>
                <w:szCs w:val="24"/>
                <w:lang w:val="en-US" w:eastAsia="zh-CN"/>
              </w:rPr>
              <w:t>得2分；</w:t>
            </w:r>
            <w:r>
              <w:rPr>
                <w:rFonts w:hint="eastAsia" w:ascii="仿宋" w:hAnsi="仿宋" w:eastAsia="仿宋" w:cs="仿宋"/>
                <w:sz w:val="24"/>
                <w:szCs w:val="24"/>
                <w:lang w:val="en-US" w:eastAsia="zh-CN"/>
              </w:rPr>
              <w:t>具有通信专业技术人员职业资格中级（专业：传输与接入(无线方向)）的得</w:t>
            </w:r>
            <w:r>
              <w:rPr>
                <w:rFonts w:hint="eastAsia" w:cs="仿宋"/>
                <w:sz w:val="24"/>
                <w:szCs w:val="24"/>
                <w:lang w:val="en-US" w:eastAsia="zh-CN"/>
              </w:rPr>
              <w:t>2</w:t>
            </w:r>
            <w:r>
              <w:rPr>
                <w:rFonts w:hint="eastAsia" w:ascii="仿宋" w:hAnsi="仿宋" w:eastAsia="仿宋" w:cs="仿宋"/>
                <w:sz w:val="24"/>
                <w:szCs w:val="24"/>
                <w:lang w:val="en-US" w:eastAsia="zh-CN"/>
              </w:rPr>
              <w:t>分</w:t>
            </w:r>
            <w:r>
              <w:rPr>
                <w:rFonts w:hint="eastAsia" w:cs="仿宋"/>
                <w:sz w:val="24"/>
                <w:szCs w:val="24"/>
                <w:lang w:val="en-US" w:eastAsia="zh-CN"/>
              </w:rPr>
              <w:t>；本项最高得4分。</w:t>
            </w:r>
          </w:p>
          <w:p w14:paraId="05CC1D3E">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eastAsia" w:ascii="仿宋" w:hAnsi="仿宋" w:eastAsia="仿宋" w:cs="仿宋"/>
                <w:color w:val="000000"/>
                <w:sz w:val="24"/>
                <w:szCs w:val="24"/>
                <w:lang w:val="en-US" w:eastAsia="zh-CN" w:bidi="ar"/>
              </w:rPr>
            </w:pPr>
            <w:r>
              <w:rPr>
                <w:rFonts w:hint="eastAsia" w:ascii="仿宋" w:hAnsi="仿宋" w:eastAsia="仿宋" w:cs="仿宋"/>
                <w:b/>
                <w:bCs/>
                <w:color w:val="000000"/>
                <w:sz w:val="24"/>
                <w:szCs w:val="24"/>
                <w:lang w:val="en-US" w:eastAsia="zh-CN" w:bidi="ar"/>
              </w:rPr>
              <w:t>（提供项目负责人相关证书扫描件及本单位为其缴纳的近三个月中任意一个月的社保清单，不提供或提供不全的不得分）</w:t>
            </w:r>
          </w:p>
        </w:tc>
        <w:tc>
          <w:tcPr>
            <w:tcW w:w="927" w:type="dxa"/>
            <w:noWrap w:val="0"/>
            <w:tcMar>
              <w:top w:w="12" w:type="dxa"/>
              <w:left w:w="12" w:type="dxa"/>
              <w:right w:w="12" w:type="dxa"/>
            </w:tcMar>
            <w:vAlign w:val="center"/>
          </w:tcPr>
          <w:p w14:paraId="72D6260A">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4</w:t>
            </w:r>
          </w:p>
          <w:p w14:paraId="050CFB2C">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kern w:val="2"/>
                <w:sz w:val="24"/>
                <w:szCs w:val="24"/>
              </w:rPr>
            </w:pP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客观分</w:t>
            </w:r>
            <w:r>
              <w:rPr>
                <w:rFonts w:hint="eastAsia" w:ascii="仿宋" w:hAnsi="仿宋" w:eastAsia="仿宋" w:cs="仿宋"/>
                <w:color w:val="auto"/>
                <w:sz w:val="18"/>
                <w:szCs w:val="18"/>
                <w:lang w:eastAsia="zh-CN"/>
              </w:rPr>
              <w:t>）</w:t>
            </w:r>
          </w:p>
        </w:tc>
      </w:tr>
      <w:tr w14:paraId="5A9AE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0" w:hRule="atLeast"/>
        </w:trPr>
        <w:tc>
          <w:tcPr>
            <w:tcW w:w="736" w:type="dxa"/>
            <w:noWrap w:val="0"/>
            <w:tcMar>
              <w:top w:w="12" w:type="dxa"/>
              <w:left w:w="12" w:type="dxa"/>
              <w:right w:w="12" w:type="dxa"/>
            </w:tcMar>
            <w:vAlign w:val="center"/>
          </w:tcPr>
          <w:p w14:paraId="53036AA6">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5</w:t>
            </w:r>
          </w:p>
        </w:tc>
        <w:tc>
          <w:tcPr>
            <w:tcW w:w="1132" w:type="dxa"/>
            <w:vMerge w:val="continue"/>
            <w:noWrap w:val="0"/>
            <w:tcMar>
              <w:top w:w="12" w:type="dxa"/>
              <w:left w:w="12" w:type="dxa"/>
              <w:right w:w="12" w:type="dxa"/>
            </w:tcMar>
            <w:vAlign w:val="center"/>
          </w:tcPr>
          <w:p w14:paraId="2F1D70FF">
            <w:pPr>
              <w:keepNext w:val="0"/>
              <w:keepLines w:val="0"/>
              <w:pageBreakBefore w:val="0"/>
              <w:wordWrap/>
              <w:topLinePunct w:val="0"/>
              <w:autoSpaceDE w:val="0"/>
              <w:autoSpaceDN w:val="0"/>
              <w:bidi w:val="0"/>
              <w:adjustRightInd w:val="0"/>
              <w:snapToGrid/>
              <w:spacing w:line="320" w:lineRule="exact"/>
              <w:ind w:firstLine="0" w:firstLineChars="0"/>
              <w:jc w:val="center"/>
              <w:rPr>
                <w:rFonts w:hint="eastAsia" w:ascii="仿宋" w:hAnsi="仿宋" w:eastAsia="仿宋" w:cs="仿宋"/>
                <w:bCs/>
                <w:sz w:val="24"/>
                <w:szCs w:val="24"/>
              </w:rPr>
            </w:pPr>
          </w:p>
        </w:tc>
        <w:tc>
          <w:tcPr>
            <w:tcW w:w="6887" w:type="dxa"/>
            <w:noWrap w:val="0"/>
            <w:tcMar>
              <w:top w:w="12" w:type="dxa"/>
              <w:left w:w="12" w:type="dxa"/>
              <w:right w:w="12" w:type="dxa"/>
            </w:tcMar>
            <w:vAlign w:val="top"/>
          </w:tcPr>
          <w:p w14:paraId="7BFAE6B1">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eastAsia" w:ascii="仿宋" w:hAnsi="仿宋" w:eastAsia="仿宋" w:cs="仿宋"/>
                <w:color w:val="000000"/>
                <w:sz w:val="24"/>
                <w:szCs w:val="24"/>
                <w:lang w:val="en-US" w:eastAsia="zh-CN" w:bidi="ar"/>
              </w:rPr>
            </w:pPr>
            <w:r>
              <w:rPr>
                <w:rFonts w:hint="eastAsia" w:ascii="仿宋" w:hAnsi="仿宋" w:eastAsia="仿宋" w:cs="仿宋"/>
                <w:color w:val="000000"/>
                <w:sz w:val="24"/>
                <w:szCs w:val="24"/>
                <w:lang w:val="en-US" w:eastAsia="zh-CN" w:bidi="ar"/>
              </w:rPr>
              <w:t>项目团队成员（项目负责人除外）具有计算机技术与软件专业技术资格级别中级或高级（专业：系统集成项目管理工程师或信息系统项目管理师）证书或具有中级</w:t>
            </w:r>
            <w:r>
              <w:rPr>
                <w:rFonts w:hint="eastAsia" w:ascii="仿宋" w:hAnsi="仿宋" w:eastAsia="仿宋" w:cs="仿宋"/>
                <w:sz w:val="24"/>
                <w:szCs w:val="24"/>
                <w:lang w:val="en-US" w:eastAsia="zh-CN"/>
              </w:rPr>
              <w:t>及</w:t>
            </w:r>
            <w:r>
              <w:rPr>
                <w:rFonts w:hint="eastAsia" w:ascii="仿宋" w:hAnsi="仿宋" w:eastAsia="仿宋" w:cs="仿宋"/>
                <w:color w:val="000000"/>
                <w:sz w:val="24"/>
                <w:szCs w:val="24"/>
                <w:lang w:val="en-US" w:eastAsia="zh-CN" w:bidi="ar"/>
              </w:rPr>
              <w:t>以上职称（信息技术）每个得1分；具备“信息技术”专业助理工程师职称的每个得0.5分；本项最高得3分。</w:t>
            </w:r>
          </w:p>
          <w:p w14:paraId="08B906C3">
            <w:pPr>
              <w:pStyle w:val="34"/>
              <w:keepNext w:val="0"/>
              <w:keepLines w:val="0"/>
              <w:pageBreakBefore w:val="0"/>
              <w:kinsoku w:val="0"/>
              <w:wordWrap/>
              <w:overflowPunct w:val="0"/>
              <w:topLinePunct w:val="0"/>
              <w:autoSpaceDE w:val="0"/>
              <w:autoSpaceDN w:val="0"/>
              <w:bidi w:val="0"/>
              <w:adjustRightInd w:val="0"/>
              <w:snapToGrid/>
              <w:spacing w:before="48" w:line="355" w:lineRule="auto"/>
              <w:ind w:left="100" w:right="53" w:firstLine="0" w:firstLineChars="0"/>
              <w:rPr>
                <w:rFonts w:hint="default" w:ascii="仿宋" w:hAnsi="仿宋" w:eastAsia="仿宋" w:cs="仿宋"/>
                <w:color w:val="000000"/>
                <w:sz w:val="24"/>
                <w:szCs w:val="24"/>
                <w:lang w:val="en-US" w:eastAsia="zh-CN" w:bidi="ar"/>
              </w:rPr>
            </w:pPr>
            <w:r>
              <w:rPr>
                <w:rFonts w:hint="eastAsia" w:ascii="仿宋" w:hAnsi="仿宋" w:eastAsia="仿宋" w:cs="仿宋"/>
                <w:b/>
                <w:bCs/>
                <w:color w:val="000000"/>
                <w:sz w:val="24"/>
                <w:szCs w:val="24"/>
                <w:lang w:val="en-US" w:eastAsia="zh-CN" w:bidi="ar"/>
              </w:rPr>
              <w:t>（提供项目团队成员相关证书扫描件及本单位为其缴纳的近三个月中任意一个月的社保清单，不提供或提供不全的不得分）</w:t>
            </w:r>
          </w:p>
        </w:tc>
        <w:tc>
          <w:tcPr>
            <w:tcW w:w="927" w:type="dxa"/>
            <w:noWrap w:val="0"/>
            <w:tcMar>
              <w:top w:w="12" w:type="dxa"/>
              <w:left w:w="12" w:type="dxa"/>
              <w:right w:w="12" w:type="dxa"/>
            </w:tcMar>
            <w:vAlign w:val="center"/>
          </w:tcPr>
          <w:p w14:paraId="25460BC3">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3</w:t>
            </w:r>
          </w:p>
          <w:p w14:paraId="2C425731">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color w:val="auto"/>
                <w:sz w:val="18"/>
                <w:szCs w:val="18"/>
                <w:lang w:eastAsia="zh-CN"/>
              </w:rPr>
            </w:pP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lang w:val="en-US" w:eastAsia="zh-CN"/>
              </w:rPr>
              <w:t>客观分</w:t>
            </w:r>
            <w:r>
              <w:rPr>
                <w:rFonts w:hint="eastAsia" w:ascii="仿宋" w:hAnsi="仿宋" w:eastAsia="仿宋" w:cs="仿宋"/>
                <w:color w:val="auto"/>
                <w:sz w:val="18"/>
                <w:szCs w:val="18"/>
                <w:lang w:eastAsia="zh-CN"/>
              </w:rPr>
              <w:t>）</w:t>
            </w:r>
          </w:p>
        </w:tc>
      </w:tr>
      <w:tr w14:paraId="1E33E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3" w:hRule="atLeast"/>
        </w:trPr>
        <w:tc>
          <w:tcPr>
            <w:tcW w:w="736" w:type="dxa"/>
            <w:noWrap w:val="0"/>
            <w:tcMar>
              <w:top w:w="12" w:type="dxa"/>
              <w:left w:w="12" w:type="dxa"/>
              <w:right w:w="12" w:type="dxa"/>
            </w:tcMar>
            <w:vAlign w:val="center"/>
          </w:tcPr>
          <w:p w14:paraId="2F321C3E">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rPr>
            </w:pPr>
            <w:r>
              <w:rPr>
                <w:rFonts w:hint="eastAsia" w:cs="仿宋"/>
                <w:bCs/>
                <w:color w:val="auto"/>
                <w:sz w:val="24"/>
                <w:szCs w:val="24"/>
                <w:lang w:val="en-US" w:eastAsia="zh-CN"/>
              </w:rPr>
              <w:t>6</w:t>
            </w:r>
          </w:p>
        </w:tc>
        <w:tc>
          <w:tcPr>
            <w:tcW w:w="1132" w:type="dxa"/>
            <w:noWrap w:val="0"/>
            <w:tcMar>
              <w:top w:w="12" w:type="dxa"/>
              <w:left w:w="12" w:type="dxa"/>
              <w:right w:w="12" w:type="dxa"/>
            </w:tcMar>
            <w:vAlign w:val="center"/>
          </w:tcPr>
          <w:p w14:paraId="74AD98F3">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bCs/>
                <w:color w:val="auto"/>
                <w:sz w:val="24"/>
                <w:szCs w:val="24"/>
              </w:rPr>
            </w:pPr>
            <w:r>
              <w:rPr>
                <w:rFonts w:hint="eastAsia" w:ascii="仿宋" w:hAnsi="仿宋" w:eastAsia="仿宋" w:cs="仿宋"/>
                <w:sz w:val="24"/>
                <w:szCs w:val="24"/>
                <w:lang w:bidi="ar"/>
              </w:rPr>
              <w:t>维护方案</w:t>
            </w:r>
          </w:p>
        </w:tc>
        <w:tc>
          <w:tcPr>
            <w:tcW w:w="6887" w:type="dxa"/>
            <w:noWrap w:val="0"/>
            <w:tcMar>
              <w:top w:w="12" w:type="dxa"/>
              <w:left w:w="12" w:type="dxa"/>
              <w:right w:w="12" w:type="dxa"/>
            </w:tcMar>
            <w:vAlign w:val="center"/>
          </w:tcPr>
          <w:p w14:paraId="79266F8A">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根据投标人</w:t>
            </w:r>
            <w:r>
              <w:rPr>
                <w:rFonts w:hint="eastAsia" w:ascii="仿宋" w:hAnsi="仿宋" w:eastAsia="仿宋" w:cs="仿宋"/>
                <w:bCs/>
                <w:color w:val="auto"/>
                <w:sz w:val="24"/>
                <w:szCs w:val="24"/>
                <w:lang w:val="en-US" w:eastAsia="zh-CN"/>
              </w:rPr>
              <w:t>对</w:t>
            </w:r>
            <w:r>
              <w:rPr>
                <w:rFonts w:hint="eastAsia" w:ascii="仿宋" w:hAnsi="仿宋" w:eastAsia="仿宋" w:cs="仿宋"/>
                <w:bCs/>
                <w:color w:val="auto"/>
                <w:sz w:val="24"/>
                <w:szCs w:val="24"/>
                <w:lang w:val="zh-CN" w:eastAsia="zh-CN"/>
              </w:rPr>
              <w:t>维护方案的</w:t>
            </w:r>
            <w:r>
              <w:rPr>
                <w:rFonts w:hint="eastAsia" w:ascii="仿宋" w:hAnsi="仿宋" w:eastAsia="仿宋" w:cs="仿宋"/>
                <w:bCs/>
                <w:color w:val="auto"/>
                <w:sz w:val="24"/>
                <w:szCs w:val="24"/>
                <w:lang w:val="en-US" w:eastAsia="zh-CN"/>
              </w:rPr>
              <w:t>巡检计划是否科学可行、维护内容是否</w:t>
            </w:r>
            <w:r>
              <w:rPr>
                <w:rFonts w:hint="eastAsia" w:ascii="仿宋" w:hAnsi="仿宋" w:eastAsia="仿宋" w:cs="仿宋"/>
                <w:bCs/>
                <w:color w:val="auto"/>
                <w:sz w:val="24"/>
                <w:szCs w:val="24"/>
                <w:lang w:val="zh-CN" w:eastAsia="zh-CN"/>
              </w:rPr>
              <w:t>完整、合理性等情况</w:t>
            </w:r>
            <w:r>
              <w:rPr>
                <w:rFonts w:hint="eastAsia" w:ascii="仿宋" w:hAnsi="仿宋" w:eastAsia="仿宋" w:cs="仿宋"/>
                <w:bCs/>
                <w:color w:val="auto"/>
                <w:sz w:val="24"/>
                <w:szCs w:val="24"/>
                <w:lang w:val="en-US" w:eastAsia="zh-CN"/>
              </w:rPr>
              <w:t>进行打分</w:t>
            </w:r>
            <w:r>
              <w:rPr>
                <w:rFonts w:hint="eastAsia" w:ascii="仿宋" w:hAnsi="仿宋" w:eastAsia="仿宋" w:cs="仿宋"/>
                <w:bCs/>
                <w:color w:val="auto"/>
                <w:sz w:val="24"/>
                <w:szCs w:val="24"/>
                <w:lang w:val="zh-CN" w:eastAsia="zh-CN"/>
              </w:rPr>
              <w:t>。</w:t>
            </w:r>
          </w:p>
          <w:p w14:paraId="1DC5E0C2">
            <w:pPr>
              <w:keepNext w:val="0"/>
              <w:keepLines w:val="0"/>
              <w:pageBreakBefore w:val="0"/>
              <w:widowControl/>
              <w:wordWrap/>
              <w:topLinePunct w:val="0"/>
              <w:autoSpaceDE w:val="0"/>
              <w:autoSpaceDN w:val="0"/>
              <w:bidi w:val="0"/>
              <w:adjustRightInd w:val="0"/>
              <w:snapToGrid/>
              <w:spacing w:line="520" w:lineRule="exact"/>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en-US" w:eastAsia="zh-CN"/>
              </w:rPr>
              <w:t>巡检计划</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p w14:paraId="48F3CA4E">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en-US" w:eastAsia="zh-CN"/>
              </w:rPr>
              <w:t>维护内容</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tc>
        <w:tc>
          <w:tcPr>
            <w:tcW w:w="927" w:type="dxa"/>
            <w:noWrap w:val="0"/>
            <w:tcMar>
              <w:top w:w="12" w:type="dxa"/>
              <w:left w:w="12" w:type="dxa"/>
              <w:right w:w="12" w:type="dxa"/>
            </w:tcMar>
            <w:vAlign w:val="center"/>
          </w:tcPr>
          <w:p w14:paraId="18076475">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rPr>
            </w:pPr>
            <w:r>
              <w:rPr>
                <w:rFonts w:hint="eastAsia" w:ascii="仿宋" w:hAnsi="仿宋" w:eastAsia="仿宋" w:cs="仿宋"/>
                <w:bCs/>
                <w:kern w:val="2"/>
                <w:sz w:val="24"/>
                <w:szCs w:val="24"/>
              </w:rPr>
              <w:t>0-6</w:t>
            </w:r>
          </w:p>
        </w:tc>
      </w:tr>
      <w:tr w14:paraId="2BE70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0" w:hRule="atLeast"/>
        </w:trPr>
        <w:tc>
          <w:tcPr>
            <w:tcW w:w="736" w:type="dxa"/>
            <w:shd w:val="clear" w:color="auto" w:fill="auto"/>
            <w:noWrap w:val="0"/>
            <w:tcMar>
              <w:top w:w="12" w:type="dxa"/>
              <w:left w:w="12" w:type="dxa"/>
              <w:right w:w="12" w:type="dxa"/>
            </w:tcMar>
            <w:vAlign w:val="center"/>
          </w:tcPr>
          <w:p w14:paraId="223EB747">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7</w:t>
            </w:r>
          </w:p>
        </w:tc>
        <w:tc>
          <w:tcPr>
            <w:tcW w:w="1132" w:type="dxa"/>
            <w:noWrap w:val="0"/>
            <w:tcMar>
              <w:top w:w="12" w:type="dxa"/>
              <w:left w:w="12" w:type="dxa"/>
              <w:right w:w="12" w:type="dxa"/>
            </w:tcMar>
            <w:vAlign w:val="center"/>
          </w:tcPr>
          <w:p w14:paraId="2F401CC3">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sz w:val="24"/>
                <w:szCs w:val="24"/>
              </w:rPr>
            </w:pPr>
            <w:r>
              <w:rPr>
                <w:rFonts w:hint="eastAsia" w:ascii="仿宋" w:hAnsi="仿宋" w:eastAsia="仿宋" w:cs="仿宋"/>
                <w:sz w:val="24"/>
                <w:szCs w:val="24"/>
                <w:lang w:bidi="ar"/>
              </w:rPr>
              <w:t>应急方案</w:t>
            </w:r>
          </w:p>
          <w:p w14:paraId="167E73EA">
            <w:pPr>
              <w:keepNext w:val="0"/>
              <w:keepLines w:val="0"/>
              <w:pageBreakBefore w:val="0"/>
              <w:wordWrap/>
              <w:topLinePunct w:val="0"/>
              <w:autoSpaceDE w:val="0"/>
              <w:autoSpaceDN w:val="0"/>
              <w:bidi w:val="0"/>
              <w:adjustRightInd w:val="0"/>
              <w:snapToGrid/>
              <w:spacing w:line="320" w:lineRule="exact"/>
              <w:ind w:firstLine="0" w:firstLineChars="0"/>
              <w:jc w:val="center"/>
              <w:rPr>
                <w:rFonts w:hint="eastAsia" w:ascii="仿宋" w:hAnsi="仿宋" w:eastAsia="仿宋" w:cs="仿宋"/>
                <w:bCs/>
                <w:sz w:val="24"/>
                <w:szCs w:val="24"/>
              </w:rPr>
            </w:pPr>
          </w:p>
        </w:tc>
        <w:tc>
          <w:tcPr>
            <w:tcW w:w="6887" w:type="dxa"/>
            <w:noWrap w:val="0"/>
            <w:tcMar>
              <w:top w:w="12" w:type="dxa"/>
              <w:left w:w="12" w:type="dxa"/>
              <w:right w:w="12" w:type="dxa"/>
            </w:tcMar>
            <w:vAlign w:val="center"/>
          </w:tcPr>
          <w:p w14:paraId="4E9095F3">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zh-CN" w:eastAsia="zh-CN"/>
              </w:rPr>
              <w:t>根据投标人应急方案</w:t>
            </w:r>
            <w:r>
              <w:rPr>
                <w:rFonts w:hint="eastAsia" w:ascii="仿宋" w:hAnsi="仿宋" w:eastAsia="仿宋" w:cs="仿宋"/>
                <w:bCs/>
                <w:color w:val="auto"/>
                <w:sz w:val="24"/>
                <w:szCs w:val="24"/>
                <w:lang w:val="en-US" w:eastAsia="zh-CN"/>
              </w:rPr>
              <w:t>的应急响应机制是否科学、应急处置方案是否合理等情况进行打分。</w:t>
            </w:r>
          </w:p>
          <w:p w14:paraId="4F750349">
            <w:pPr>
              <w:keepNext w:val="0"/>
              <w:keepLines w:val="0"/>
              <w:pageBreakBefore w:val="0"/>
              <w:widowControl/>
              <w:wordWrap/>
              <w:topLinePunct w:val="0"/>
              <w:autoSpaceDE w:val="0"/>
              <w:autoSpaceDN w:val="0"/>
              <w:bidi w:val="0"/>
              <w:adjustRightInd w:val="0"/>
              <w:snapToGrid/>
              <w:spacing w:line="520" w:lineRule="exact"/>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en-US" w:eastAsia="zh-CN"/>
              </w:rPr>
              <w:t>应急响应机制</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p w14:paraId="405F55B1">
            <w:pPr>
              <w:pStyle w:val="2"/>
              <w:keepNext w:val="0"/>
              <w:keepLines w:val="0"/>
              <w:pageBreakBefore w:val="0"/>
              <w:wordWrap/>
              <w:topLinePunct w:val="0"/>
              <w:autoSpaceDE w:val="0"/>
              <w:autoSpaceDN w:val="0"/>
              <w:bidi w:val="0"/>
              <w:adjustRightInd w:val="0"/>
              <w:snapToGrid/>
              <w:ind w:firstLine="0" w:firstLineChars="0"/>
              <w:rPr>
                <w:rFonts w:hint="default"/>
                <w:lang w:val="en-US" w:eastAsia="zh-CN"/>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en-US" w:eastAsia="zh-CN"/>
              </w:rPr>
              <w:t>应急处置方案</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tc>
        <w:tc>
          <w:tcPr>
            <w:tcW w:w="927" w:type="dxa"/>
            <w:noWrap w:val="0"/>
            <w:tcMar>
              <w:top w:w="12" w:type="dxa"/>
              <w:left w:w="12" w:type="dxa"/>
              <w:right w:w="12" w:type="dxa"/>
            </w:tcMar>
            <w:vAlign w:val="center"/>
          </w:tcPr>
          <w:p w14:paraId="70847C93">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6</w:t>
            </w:r>
          </w:p>
        </w:tc>
      </w:tr>
      <w:tr w14:paraId="41FD9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736" w:type="dxa"/>
            <w:shd w:val="clear" w:color="auto" w:fill="auto"/>
            <w:noWrap w:val="0"/>
            <w:tcMar>
              <w:top w:w="12" w:type="dxa"/>
              <w:left w:w="12" w:type="dxa"/>
              <w:right w:w="12" w:type="dxa"/>
            </w:tcMar>
            <w:vAlign w:val="center"/>
          </w:tcPr>
          <w:p w14:paraId="4520DF9D">
            <w:pPr>
              <w:keepNext w:val="0"/>
              <w:keepLines w:val="0"/>
              <w:pageBreakBefore w:val="0"/>
              <w:wordWrap/>
              <w:topLinePunct w:val="0"/>
              <w:autoSpaceDE w:val="0"/>
              <w:autoSpaceDN w:val="0"/>
              <w:bidi w:val="0"/>
              <w:adjustRightInd w:val="0"/>
              <w:snapToGrid/>
              <w:ind w:firstLine="0" w:firstLineChars="0"/>
              <w:jc w:val="center"/>
              <w:textAlignment w:val="center"/>
              <w:rPr>
                <w:rFonts w:hint="eastAsia"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8</w:t>
            </w:r>
          </w:p>
        </w:tc>
        <w:tc>
          <w:tcPr>
            <w:tcW w:w="1132" w:type="dxa"/>
            <w:noWrap w:val="0"/>
            <w:tcMar>
              <w:top w:w="12" w:type="dxa"/>
              <w:left w:w="12" w:type="dxa"/>
              <w:right w:w="12" w:type="dxa"/>
            </w:tcMar>
            <w:vAlign w:val="center"/>
          </w:tcPr>
          <w:p w14:paraId="6C146F86">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bCs/>
                <w:sz w:val="24"/>
                <w:szCs w:val="24"/>
                <w:lang w:eastAsia="zh-CN"/>
              </w:rPr>
            </w:pPr>
            <w:r>
              <w:rPr>
                <w:rFonts w:hint="eastAsia" w:ascii="仿宋" w:hAnsi="仿宋" w:eastAsia="仿宋" w:cs="仿宋"/>
                <w:sz w:val="24"/>
                <w:szCs w:val="24"/>
                <w:lang w:bidi="ar"/>
              </w:rPr>
              <w:t>服务</w:t>
            </w:r>
            <w:r>
              <w:rPr>
                <w:rFonts w:hint="eastAsia" w:ascii="仿宋" w:hAnsi="仿宋" w:eastAsia="仿宋" w:cs="仿宋"/>
                <w:sz w:val="24"/>
                <w:szCs w:val="24"/>
                <w:lang w:val="en-US" w:eastAsia="zh-CN" w:bidi="ar"/>
              </w:rPr>
              <w:t>流程</w:t>
            </w:r>
          </w:p>
        </w:tc>
        <w:tc>
          <w:tcPr>
            <w:tcW w:w="6887" w:type="dxa"/>
            <w:noWrap w:val="0"/>
            <w:tcMar>
              <w:top w:w="12" w:type="dxa"/>
              <w:left w:w="12" w:type="dxa"/>
              <w:right w:w="12" w:type="dxa"/>
            </w:tcMar>
            <w:vAlign w:val="center"/>
          </w:tcPr>
          <w:p w14:paraId="1EE9A9AA">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根据投标人服务</w:t>
            </w:r>
            <w:r>
              <w:rPr>
                <w:rFonts w:hint="eastAsia" w:ascii="仿宋" w:hAnsi="仿宋" w:eastAsia="仿宋" w:cs="仿宋"/>
                <w:bCs/>
                <w:color w:val="auto"/>
                <w:sz w:val="24"/>
                <w:szCs w:val="24"/>
                <w:lang w:val="en-US" w:eastAsia="zh-CN"/>
              </w:rPr>
              <w:t>方案是否全面、服务响应是否合理可行等</w:t>
            </w:r>
            <w:r>
              <w:rPr>
                <w:rFonts w:hint="eastAsia" w:ascii="仿宋" w:hAnsi="仿宋" w:eastAsia="仿宋" w:cs="仿宋"/>
                <w:bCs/>
                <w:color w:val="auto"/>
                <w:sz w:val="24"/>
                <w:szCs w:val="24"/>
                <w:lang w:val="zh-CN" w:eastAsia="zh-CN"/>
              </w:rPr>
              <w:t>情况</w:t>
            </w:r>
            <w:r>
              <w:rPr>
                <w:rFonts w:hint="eastAsia" w:ascii="仿宋" w:hAnsi="仿宋" w:eastAsia="仿宋" w:cs="仿宋"/>
                <w:bCs/>
                <w:color w:val="auto"/>
                <w:sz w:val="24"/>
                <w:szCs w:val="24"/>
                <w:lang w:val="en-US" w:eastAsia="zh-CN"/>
              </w:rPr>
              <w:t>进行打分</w:t>
            </w:r>
            <w:r>
              <w:rPr>
                <w:rFonts w:hint="eastAsia" w:ascii="仿宋" w:hAnsi="仿宋" w:eastAsia="仿宋" w:cs="仿宋"/>
                <w:bCs/>
                <w:color w:val="auto"/>
                <w:sz w:val="24"/>
                <w:szCs w:val="24"/>
                <w:lang w:val="zh-CN" w:eastAsia="zh-CN"/>
              </w:rPr>
              <w:t>。</w:t>
            </w:r>
          </w:p>
          <w:p w14:paraId="4B6D834B">
            <w:pPr>
              <w:keepNext w:val="0"/>
              <w:keepLines w:val="0"/>
              <w:pageBreakBefore w:val="0"/>
              <w:widowControl/>
              <w:wordWrap/>
              <w:topLinePunct w:val="0"/>
              <w:autoSpaceDE w:val="0"/>
              <w:autoSpaceDN w:val="0"/>
              <w:bidi w:val="0"/>
              <w:adjustRightInd w:val="0"/>
              <w:snapToGrid/>
              <w:spacing w:line="520" w:lineRule="exact"/>
              <w:ind w:firstLine="0" w:firstLine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zh-CN" w:eastAsia="zh-CN"/>
              </w:rPr>
              <w:t>服务</w:t>
            </w:r>
            <w:r>
              <w:rPr>
                <w:rFonts w:hint="eastAsia" w:ascii="仿宋" w:hAnsi="仿宋" w:eastAsia="仿宋" w:cs="仿宋"/>
                <w:bCs/>
                <w:color w:val="auto"/>
                <w:sz w:val="24"/>
                <w:szCs w:val="24"/>
                <w:lang w:val="en-US" w:eastAsia="zh-CN"/>
              </w:rPr>
              <w:t>方案</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p w14:paraId="0090DFED">
            <w:pPr>
              <w:pStyle w:val="2"/>
              <w:keepNext w:val="0"/>
              <w:keepLines w:val="0"/>
              <w:pageBreakBefore w:val="0"/>
              <w:wordWrap/>
              <w:topLinePunct w:val="0"/>
              <w:autoSpaceDE w:val="0"/>
              <w:autoSpaceDN w:val="0"/>
              <w:bidi w:val="0"/>
              <w:adjustRightInd w:val="0"/>
              <w:snapToGrid/>
              <w:ind w:firstLine="0" w:firstLineChars="0"/>
              <w:rPr>
                <w:rFonts w:hint="eastAsia"/>
                <w:lang w:val="zh-CN" w:eastAsia="zh-CN"/>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bCs/>
                <w:color w:val="auto"/>
                <w:sz w:val="24"/>
                <w:szCs w:val="24"/>
                <w:lang w:val="en-US" w:eastAsia="zh-CN"/>
              </w:rPr>
              <w:t>服务响应</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p>
        </w:tc>
        <w:tc>
          <w:tcPr>
            <w:tcW w:w="927" w:type="dxa"/>
            <w:noWrap w:val="0"/>
            <w:tcMar>
              <w:top w:w="12" w:type="dxa"/>
              <w:left w:w="12" w:type="dxa"/>
              <w:right w:w="12" w:type="dxa"/>
            </w:tcMar>
            <w:vAlign w:val="center"/>
          </w:tcPr>
          <w:p w14:paraId="33982E3F">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6</w:t>
            </w:r>
          </w:p>
        </w:tc>
      </w:tr>
      <w:tr w14:paraId="69460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5" w:hRule="atLeast"/>
        </w:trPr>
        <w:tc>
          <w:tcPr>
            <w:tcW w:w="736" w:type="dxa"/>
            <w:shd w:val="clear" w:color="auto" w:fill="auto"/>
            <w:noWrap w:val="0"/>
            <w:tcMar>
              <w:top w:w="12" w:type="dxa"/>
              <w:left w:w="12" w:type="dxa"/>
              <w:right w:w="12" w:type="dxa"/>
            </w:tcMar>
            <w:vAlign w:val="center"/>
          </w:tcPr>
          <w:p w14:paraId="4F1C3683">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9</w:t>
            </w:r>
          </w:p>
        </w:tc>
        <w:tc>
          <w:tcPr>
            <w:tcW w:w="1132" w:type="dxa"/>
            <w:noWrap w:val="0"/>
            <w:tcMar>
              <w:top w:w="12" w:type="dxa"/>
              <w:left w:w="12" w:type="dxa"/>
              <w:right w:w="12" w:type="dxa"/>
            </w:tcMar>
            <w:vAlign w:val="center"/>
          </w:tcPr>
          <w:p w14:paraId="7F26F995">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bCs/>
                <w:sz w:val="24"/>
                <w:szCs w:val="24"/>
              </w:rPr>
            </w:pPr>
            <w:r>
              <w:rPr>
                <w:rFonts w:hint="eastAsia" w:ascii="仿宋" w:hAnsi="仿宋" w:eastAsia="仿宋" w:cs="仿宋"/>
                <w:sz w:val="24"/>
                <w:szCs w:val="24"/>
                <w:lang w:bidi="ar"/>
              </w:rPr>
              <w:t>车辆配备</w:t>
            </w:r>
          </w:p>
        </w:tc>
        <w:tc>
          <w:tcPr>
            <w:tcW w:w="6887" w:type="dxa"/>
            <w:noWrap w:val="0"/>
            <w:tcMar>
              <w:top w:w="12" w:type="dxa"/>
              <w:left w:w="12" w:type="dxa"/>
              <w:right w:w="12" w:type="dxa"/>
            </w:tcMar>
            <w:vAlign w:val="center"/>
          </w:tcPr>
          <w:p w14:paraId="7E53A282">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根据投标人提供的投入本项目各标项的车辆数量</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、种类</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等情况</w:t>
            </w:r>
            <w:r>
              <w:rPr>
                <w:rFonts w:hint="eastAsia" w:ascii="仿宋" w:hAnsi="仿宋" w:eastAsia="仿宋" w:cs="仿宋"/>
                <w:bCs/>
                <w:color w:val="auto"/>
                <w:sz w:val="24"/>
                <w:szCs w:val="24"/>
                <w:lang w:val="en-US" w:eastAsia="zh-CN"/>
              </w:rPr>
              <w:t>进行打分</w:t>
            </w:r>
            <w:r>
              <w:rPr>
                <w:rFonts w:hint="eastAsia" w:ascii="仿宋" w:hAnsi="仿宋" w:eastAsia="仿宋" w:cs="仿宋"/>
                <w:bCs/>
                <w:color w:val="auto"/>
                <w:sz w:val="24"/>
                <w:szCs w:val="24"/>
                <w:lang w:val="zh-CN" w:eastAsia="zh-CN"/>
              </w:rPr>
              <w:t>。</w:t>
            </w:r>
          </w:p>
          <w:p w14:paraId="4C9DD92D">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
                <w:bCs w:val="0"/>
                <w:color w:val="auto"/>
                <w:sz w:val="24"/>
                <w:szCs w:val="24"/>
                <w:lang w:val="zh-CN" w:eastAsia="zh-CN"/>
              </w:rPr>
            </w:pPr>
            <w:r>
              <w:rPr>
                <w:rFonts w:hint="eastAsia" w:ascii="仿宋" w:hAnsi="仿宋" w:eastAsia="仿宋" w:cs="仿宋"/>
                <w:b/>
                <w:bCs w:val="0"/>
                <w:color w:val="auto"/>
                <w:sz w:val="24"/>
                <w:szCs w:val="24"/>
                <w:lang w:val="zh-CN" w:eastAsia="zh-CN"/>
              </w:rPr>
              <w:t>（以检验有效期内的行驶证</w:t>
            </w:r>
            <w:r>
              <w:rPr>
                <w:rFonts w:hint="eastAsia" w:cs="仿宋"/>
                <w:b/>
                <w:bCs w:val="0"/>
                <w:color w:val="auto"/>
                <w:sz w:val="24"/>
                <w:szCs w:val="24"/>
                <w:lang w:val="en-US" w:eastAsia="zh-CN"/>
              </w:rPr>
              <w:t>扫描件</w:t>
            </w:r>
            <w:r>
              <w:rPr>
                <w:rFonts w:hint="eastAsia" w:ascii="仿宋" w:hAnsi="仿宋" w:eastAsia="仿宋" w:cs="仿宋"/>
                <w:b/>
                <w:bCs w:val="0"/>
                <w:color w:val="auto"/>
                <w:sz w:val="24"/>
                <w:szCs w:val="24"/>
                <w:lang w:val="en-US" w:eastAsia="zh-CN"/>
              </w:rPr>
              <w:t>或车辆租赁协议为准</w:t>
            </w:r>
            <w:r>
              <w:rPr>
                <w:rFonts w:hint="eastAsia" w:ascii="仿宋" w:hAnsi="仿宋" w:eastAsia="仿宋" w:cs="仿宋"/>
                <w:b/>
                <w:bCs w:val="0"/>
                <w:color w:val="auto"/>
                <w:sz w:val="24"/>
                <w:szCs w:val="24"/>
                <w:lang w:val="zh-CN" w:eastAsia="zh-CN"/>
              </w:rPr>
              <w:t>）</w:t>
            </w:r>
          </w:p>
          <w:p w14:paraId="245DB475">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
                <w:bCs w:val="0"/>
                <w:color w:val="auto"/>
                <w:sz w:val="24"/>
                <w:szCs w:val="24"/>
                <w:lang w:val="zh-CN" w:eastAsia="zh-CN"/>
              </w:rPr>
              <w:t>注：车辆</w:t>
            </w:r>
            <w:r>
              <w:rPr>
                <w:rFonts w:hint="eastAsia" w:ascii="仿宋" w:hAnsi="仿宋" w:eastAsia="仿宋" w:cs="仿宋"/>
                <w:b/>
                <w:bCs w:val="0"/>
                <w:color w:val="auto"/>
                <w:sz w:val="24"/>
                <w:szCs w:val="24"/>
                <w:lang w:val="en-US" w:eastAsia="zh-CN"/>
              </w:rPr>
              <w:t>可以是</w:t>
            </w:r>
            <w:r>
              <w:rPr>
                <w:rFonts w:hint="eastAsia" w:ascii="仿宋" w:hAnsi="仿宋" w:eastAsia="仿宋" w:cs="仿宋"/>
                <w:b/>
                <w:bCs w:val="0"/>
                <w:color w:val="auto"/>
                <w:sz w:val="24"/>
                <w:szCs w:val="24"/>
                <w:lang w:val="zh-CN" w:eastAsia="zh-CN"/>
              </w:rPr>
              <w:t>投标人</w:t>
            </w:r>
            <w:r>
              <w:rPr>
                <w:rFonts w:hint="eastAsia" w:ascii="仿宋" w:hAnsi="仿宋" w:eastAsia="仿宋" w:cs="仿宋"/>
                <w:b/>
                <w:bCs w:val="0"/>
                <w:color w:val="auto"/>
                <w:sz w:val="24"/>
                <w:szCs w:val="24"/>
                <w:lang w:val="en-US" w:eastAsia="zh-CN"/>
              </w:rPr>
              <w:t>所有</w:t>
            </w:r>
            <w:r>
              <w:rPr>
                <w:rFonts w:hint="eastAsia" w:ascii="仿宋" w:hAnsi="仿宋" w:eastAsia="仿宋" w:cs="仿宋"/>
                <w:b/>
                <w:bCs w:val="0"/>
                <w:color w:val="auto"/>
                <w:sz w:val="24"/>
                <w:szCs w:val="24"/>
                <w:lang w:val="zh-CN" w:eastAsia="zh-CN"/>
              </w:rPr>
              <w:t>或合法的施工班组所有。</w:t>
            </w:r>
          </w:p>
        </w:tc>
        <w:tc>
          <w:tcPr>
            <w:tcW w:w="927" w:type="dxa"/>
            <w:noWrap w:val="0"/>
            <w:tcMar>
              <w:top w:w="12" w:type="dxa"/>
              <w:left w:w="12" w:type="dxa"/>
              <w:right w:w="12" w:type="dxa"/>
            </w:tcMar>
            <w:vAlign w:val="center"/>
          </w:tcPr>
          <w:p w14:paraId="0F84A695">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eastAsia="zh-CN"/>
              </w:rPr>
            </w:pPr>
            <w:r>
              <w:rPr>
                <w:rFonts w:hint="eastAsia" w:ascii="仿宋" w:hAnsi="仿宋" w:eastAsia="仿宋" w:cs="仿宋"/>
                <w:bCs/>
                <w:kern w:val="2"/>
                <w:sz w:val="24"/>
                <w:szCs w:val="24"/>
              </w:rPr>
              <w:t>0-</w:t>
            </w:r>
            <w:r>
              <w:rPr>
                <w:rFonts w:hint="eastAsia" w:ascii="仿宋" w:hAnsi="仿宋" w:eastAsia="仿宋" w:cs="仿宋"/>
                <w:bCs/>
                <w:kern w:val="2"/>
                <w:sz w:val="24"/>
                <w:szCs w:val="24"/>
                <w:lang w:val="en-US" w:eastAsia="zh-CN"/>
              </w:rPr>
              <w:t>6</w:t>
            </w:r>
          </w:p>
        </w:tc>
      </w:tr>
      <w:tr w14:paraId="69CC5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3" w:hRule="atLeast"/>
        </w:trPr>
        <w:tc>
          <w:tcPr>
            <w:tcW w:w="736" w:type="dxa"/>
            <w:shd w:val="clear" w:color="auto" w:fill="auto"/>
            <w:noWrap w:val="0"/>
            <w:tcMar>
              <w:top w:w="12" w:type="dxa"/>
              <w:left w:w="12" w:type="dxa"/>
              <w:right w:w="12" w:type="dxa"/>
            </w:tcMar>
            <w:vAlign w:val="center"/>
          </w:tcPr>
          <w:p w14:paraId="2AD90831">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10</w:t>
            </w:r>
          </w:p>
        </w:tc>
        <w:tc>
          <w:tcPr>
            <w:tcW w:w="1132" w:type="dxa"/>
            <w:noWrap w:val="0"/>
            <w:tcMar>
              <w:top w:w="12" w:type="dxa"/>
              <w:left w:w="12" w:type="dxa"/>
              <w:right w:w="12" w:type="dxa"/>
            </w:tcMar>
            <w:vAlign w:val="center"/>
          </w:tcPr>
          <w:p w14:paraId="408F407B">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bCs/>
                <w:sz w:val="24"/>
                <w:szCs w:val="24"/>
              </w:rPr>
            </w:pPr>
            <w:r>
              <w:rPr>
                <w:rFonts w:hint="eastAsia" w:ascii="仿宋" w:hAnsi="仿宋" w:eastAsia="仿宋" w:cs="仿宋"/>
                <w:sz w:val="24"/>
                <w:szCs w:val="24"/>
                <w:lang w:bidi="ar"/>
              </w:rPr>
              <w:t>服务能力</w:t>
            </w:r>
          </w:p>
        </w:tc>
        <w:tc>
          <w:tcPr>
            <w:tcW w:w="6887" w:type="dxa"/>
            <w:noWrap w:val="0"/>
            <w:tcMar>
              <w:top w:w="12" w:type="dxa"/>
              <w:left w:w="12" w:type="dxa"/>
              <w:right w:w="12" w:type="dxa"/>
            </w:tcMar>
            <w:vAlign w:val="center"/>
          </w:tcPr>
          <w:p w14:paraId="4552CE5E">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根据投标人在本地运维</w:t>
            </w:r>
            <w:r>
              <w:rPr>
                <w:rFonts w:hint="eastAsia" w:ascii="仿宋" w:hAnsi="仿宋" w:eastAsia="仿宋" w:cs="仿宋"/>
                <w:bCs/>
                <w:color w:val="auto"/>
                <w:sz w:val="24"/>
                <w:szCs w:val="24"/>
                <w:lang w:val="en-US" w:eastAsia="zh-CN"/>
              </w:rPr>
              <w:t>团队情况</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、本地化服务的措施</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等</w:t>
            </w:r>
            <w:r>
              <w:rPr>
                <w:rFonts w:hint="eastAsia" w:cs="仿宋"/>
                <w:bCs/>
                <w:color w:val="auto"/>
                <w:sz w:val="24"/>
                <w:szCs w:val="24"/>
                <w:lang w:val="en-US" w:eastAsia="zh-CN"/>
              </w:rPr>
              <w:t>是否合理有效</w:t>
            </w:r>
            <w:r>
              <w:rPr>
                <w:rFonts w:hint="eastAsia" w:ascii="仿宋" w:hAnsi="仿宋" w:eastAsia="仿宋" w:cs="仿宋"/>
                <w:bCs/>
                <w:color w:val="auto"/>
                <w:sz w:val="24"/>
                <w:szCs w:val="24"/>
                <w:lang w:val="en-US" w:eastAsia="zh-CN"/>
              </w:rPr>
              <w:t>进行打分</w:t>
            </w:r>
            <w:r>
              <w:rPr>
                <w:rFonts w:hint="eastAsia" w:ascii="仿宋" w:hAnsi="仿宋" w:eastAsia="仿宋" w:cs="仿宋"/>
                <w:bCs/>
                <w:color w:val="auto"/>
                <w:sz w:val="24"/>
                <w:szCs w:val="24"/>
                <w:lang w:val="zh-CN" w:eastAsia="zh-CN"/>
              </w:rPr>
              <w:t>。</w:t>
            </w:r>
          </w:p>
        </w:tc>
        <w:tc>
          <w:tcPr>
            <w:tcW w:w="927" w:type="dxa"/>
            <w:noWrap w:val="0"/>
            <w:tcMar>
              <w:top w:w="12" w:type="dxa"/>
              <w:left w:w="12" w:type="dxa"/>
              <w:right w:w="12" w:type="dxa"/>
            </w:tcMar>
            <w:vAlign w:val="center"/>
          </w:tcPr>
          <w:p w14:paraId="74FB9783">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6</w:t>
            </w:r>
          </w:p>
        </w:tc>
      </w:tr>
      <w:tr w14:paraId="4CB3B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6" w:hRule="atLeast"/>
        </w:trPr>
        <w:tc>
          <w:tcPr>
            <w:tcW w:w="736" w:type="dxa"/>
            <w:shd w:val="clear" w:color="auto" w:fill="auto"/>
            <w:noWrap w:val="0"/>
            <w:tcMar>
              <w:top w:w="12" w:type="dxa"/>
              <w:left w:w="12" w:type="dxa"/>
              <w:right w:w="12" w:type="dxa"/>
            </w:tcMar>
            <w:vAlign w:val="center"/>
          </w:tcPr>
          <w:p w14:paraId="4853A5C1">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11</w:t>
            </w:r>
          </w:p>
        </w:tc>
        <w:tc>
          <w:tcPr>
            <w:tcW w:w="1132" w:type="dxa"/>
            <w:noWrap w:val="0"/>
            <w:tcMar>
              <w:top w:w="12" w:type="dxa"/>
              <w:left w:w="12" w:type="dxa"/>
              <w:right w:w="12" w:type="dxa"/>
            </w:tcMar>
            <w:vAlign w:val="center"/>
          </w:tcPr>
          <w:p w14:paraId="107AF9FA">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sz w:val="24"/>
                <w:szCs w:val="24"/>
              </w:rPr>
            </w:pPr>
            <w:r>
              <w:rPr>
                <w:rFonts w:hint="eastAsia" w:ascii="仿宋" w:hAnsi="仿宋" w:eastAsia="仿宋" w:cs="仿宋"/>
                <w:bCs/>
                <w:sz w:val="24"/>
                <w:szCs w:val="24"/>
              </w:rPr>
              <w:t>接入能力</w:t>
            </w:r>
          </w:p>
        </w:tc>
        <w:tc>
          <w:tcPr>
            <w:tcW w:w="6887" w:type="dxa"/>
            <w:noWrap w:val="0"/>
            <w:tcMar>
              <w:top w:w="12" w:type="dxa"/>
              <w:left w:w="12" w:type="dxa"/>
              <w:right w:w="12" w:type="dxa"/>
            </w:tcMar>
            <w:vAlign w:val="center"/>
          </w:tcPr>
          <w:p w14:paraId="411287B3">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根据投标人对武义交警交通信号控制系统平台的理解</w:t>
            </w:r>
            <w:r>
              <w:rPr>
                <w:rFonts w:hint="eastAsia" w:ascii="仿宋" w:hAnsi="仿宋" w:eastAsia="仿宋" w:cs="仿宋"/>
                <w:color w:val="auto"/>
                <w:sz w:val="24"/>
                <w:highlight w:val="none"/>
              </w:rPr>
              <w:t>（</w:t>
            </w:r>
            <w:r>
              <w:rPr>
                <w:rFonts w:hint="eastAsia" w:cs="仿宋"/>
                <w:color w:val="auto"/>
                <w:sz w:val="24"/>
                <w:highlight w:val="none"/>
                <w:lang w:val="en-US" w:eastAsia="zh-CN"/>
              </w:rPr>
              <w:t>0,0.5,1,2</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en-US" w:eastAsia="zh-CN"/>
              </w:rPr>
              <w:t>、对接方案描述</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en-US" w:eastAsia="zh-CN"/>
              </w:rPr>
              <w:t>、提供的信号机接入能力</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等</w:t>
            </w:r>
            <w:r>
              <w:rPr>
                <w:rFonts w:hint="eastAsia" w:cs="仿宋"/>
                <w:bCs/>
                <w:color w:val="auto"/>
                <w:sz w:val="24"/>
                <w:szCs w:val="24"/>
                <w:lang w:val="en-US" w:eastAsia="zh-CN"/>
              </w:rPr>
              <w:t>是否合理有效</w:t>
            </w:r>
            <w:r>
              <w:rPr>
                <w:rFonts w:hint="eastAsia" w:ascii="仿宋" w:hAnsi="仿宋" w:eastAsia="仿宋" w:cs="仿宋"/>
                <w:bCs/>
                <w:color w:val="auto"/>
                <w:sz w:val="24"/>
                <w:szCs w:val="24"/>
                <w:lang w:val="en-US" w:eastAsia="zh-CN"/>
              </w:rPr>
              <w:t>进行打分</w:t>
            </w:r>
            <w:r>
              <w:rPr>
                <w:rFonts w:hint="eastAsia" w:ascii="仿宋" w:hAnsi="仿宋" w:eastAsia="仿宋" w:cs="仿宋"/>
                <w:bCs/>
                <w:color w:val="auto"/>
                <w:sz w:val="24"/>
                <w:szCs w:val="24"/>
                <w:lang w:val="zh-CN" w:eastAsia="zh-CN"/>
              </w:rPr>
              <w:t>。</w:t>
            </w:r>
          </w:p>
        </w:tc>
        <w:tc>
          <w:tcPr>
            <w:tcW w:w="927" w:type="dxa"/>
            <w:noWrap w:val="0"/>
            <w:tcMar>
              <w:top w:w="12" w:type="dxa"/>
              <w:left w:w="12" w:type="dxa"/>
              <w:right w:w="12" w:type="dxa"/>
            </w:tcMar>
            <w:vAlign w:val="center"/>
          </w:tcPr>
          <w:p w14:paraId="1050AB94">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8</w:t>
            </w:r>
          </w:p>
        </w:tc>
      </w:tr>
      <w:tr w14:paraId="07C1E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6" w:hRule="atLeast"/>
        </w:trPr>
        <w:tc>
          <w:tcPr>
            <w:tcW w:w="736" w:type="dxa"/>
            <w:shd w:val="clear" w:color="auto" w:fill="auto"/>
            <w:noWrap w:val="0"/>
            <w:tcMar>
              <w:top w:w="12" w:type="dxa"/>
              <w:left w:w="12" w:type="dxa"/>
              <w:right w:w="12" w:type="dxa"/>
            </w:tcMar>
            <w:vAlign w:val="center"/>
          </w:tcPr>
          <w:p w14:paraId="6C7A508C">
            <w:pPr>
              <w:keepNext w:val="0"/>
              <w:keepLines w:val="0"/>
              <w:pageBreakBefore w:val="0"/>
              <w:wordWrap/>
              <w:topLinePunct w:val="0"/>
              <w:autoSpaceDE w:val="0"/>
              <w:autoSpaceDN w:val="0"/>
              <w:bidi w:val="0"/>
              <w:adjustRightInd w:val="0"/>
              <w:snapToGrid/>
              <w:ind w:firstLine="0" w:firstLineChars="0"/>
              <w:jc w:val="center"/>
              <w:textAlignment w:val="center"/>
              <w:rPr>
                <w:rFonts w:hint="default" w:ascii="仿宋" w:hAnsi="仿宋" w:eastAsia="仿宋" w:cs="仿宋"/>
                <w:bCs/>
                <w:color w:val="auto"/>
                <w:sz w:val="24"/>
                <w:szCs w:val="24"/>
                <w:lang w:val="en-US" w:eastAsia="zh-CN" w:bidi="ar-SA"/>
              </w:rPr>
            </w:pPr>
            <w:r>
              <w:rPr>
                <w:rFonts w:hint="eastAsia" w:ascii="仿宋" w:hAnsi="仿宋" w:eastAsia="仿宋" w:cs="仿宋"/>
                <w:bCs/>
                <w:color w:val="auto"/>
                <w:sz w:val="24"/>
                <w:szCs w:val="24"/>
                <w:lang w:val="en-US" w:eastAsia="zh-CN"/>
              </w:rPr>
              <w:t>12</w:t>
            </w:r>
          </w:p>
        </w:tc>
        <w:tc>
          <w:tcPr>
            <w:tcW w:w="1132" w:type="dxa"/>
            <w:noWrap w:val="0"/>
            <w:tcMar>
              <w:top w:w="12" w:type="dxa"/>
              <w:left w:w="12" w:type="dxa"/>
              <w:right w:w="12" w:type="dxa"/>
            </w:tcMar>
            <w:vAlign w:val="center"/>
          </w:tcPr>
          <w:p w14:paraId="4776BDA0">
            <w:pPr>
              <w:keepNext w:val="0"/>
              <w:keepLines w:val="0"/>
              <w:pageBreakBefore w:val="0"/>
              <w:widowControl/>
              <w:wordWrap/>
              <w:topLinePunct w:val="0"/>
              <w:autoSpaceDE w:val="0"/>
              <w:autoSpaceDN w:val="0"/>
              <w:bidi w:val="0"/>
              <w:adjustRightInd w:val="0"/>
              <w:snapToGrid/>
              <w:ind w:firstLine="0" w:firstLineChars="0"/>
              <w:jc w:val="center"/>
              <w:rPr>
                <w:rFonts w:hint="eastAsia" w:ascii="仿宋" w:hAnsi="仿宋" w:eastAsia="仿宋" w:cs="仿宋"/>
                <w:bCs/>
                <w:sz w:val="24"/>
                <w:szCs w:val="24"/>
              </w:rPr>
            </w:pPr>
            <w:r>
              <w:rPr>
                <w:rFonts w:hint="eastAsia" w:ascii="仿宋" w:hAnsi="仿宋" w:eastAsia="仿宋" w:cs="仿宋"/>
                <w:sz w:val="24"/>
                <w:szCs w:val="24"/>
                <w:lang w:bidi="ar"/>
              </w:rPr>
              <w:t>特别措施</w:t>
            </w:r>
          </w:p>
        </w:tc>
        <w:tc>
          <w:tcPr>
            <w:tcW w:w="6887" w:type="dxa"/>
            <w:noWrap w:val="0"/>
            <w:tcMar>
              <w:top w:w="12" w:type="dxa"/>
              <w:left w:w="12" w:type="dxa"/>
              <w:right w:w="12" w:type="dxa"/>
            </w:tcMar>
            <w:vAlign w:val="center"/>
          </w:tcPr>
          <w:p w14:paraId="22FBFF8F">
            <w:pPr>
              <w:keepNext w:val="0"/>
              <w:keepLines w:val="0"/>
              <w:pageBreakBefore w:val="0"/>
              <w:wordWrap/>
              <w:topLinePunct w:val="0"/>
              <w:autoSpaceDE w:val="0"/>
              <w:autoSpaceDN w:val="0"/>
              <w:bidi w:val="0"/>
              <w:adjustRightInd w:val="0"/>
              <w:snapToGrid/>
              <w:spacing w:line="360" w:lineRule="auto"/>
              <w:ind w:firstLine="0" w:firstLineChars="0"/>
              <w:textAlignment w:val="center"/>
              <w:rPr>
                <w:rFonts w:hint="eastAsia" w:ascii="仿宋" w:hAnsi="仿宋" w:eastAsia="仿宋" w:cs="仿宋"/>
                <w:bCs/>
                <w:color w:val="auto"/>
                <w:sz w:val="24"/>
                <w:szCs w:val="24"/>
                <w:lang w:val="zh-CN" w:eastAsia="zh-CN"/>
              </w:rPr>
            </w:pPr>
            <w:r>
              <w:rPr>
                <w:rFonts w:hint="eastAsia" w:ascii="仿宋" w:hAnsi="仿宋" w:eastAsia="仿宋" w:cs="仿宋"/>
                <w:bCs/>
                <w:color w:val="auto"/>
                <w:sz w:val="24"/>
                <w:szCs w:val="24"/>
                <w:lang w:val="zh-CN" w:eastAsia="zh-CN"/>
              </w:rPr>
              <w:t>根据投标人其它针对本项目拟采取的特别措施等情况</w:t>
            </w:r>
            <w:r>
              <w:rPr>
                <w:rFonts w:hint="eastAsia" w:cs="仿宋"/>
                <w:bCs/>
                <w:color w:val="auto"/>
                <w:sz w:val="24"/>
                <w:szCs w:val="24"/>
                <w:lang w:val="en-US" w:eastAsia="zh-CN"/>
              </w:rPr>
              <w:t>是否合理有效</w:t>
            </w:r>
            <w:r>
              <w:rPr>
                <w:rFonts w:hint="eastAsia" w:ascii="仿宋" w:hAnsi="仿宋" w:eastAsia="仿宋" w:cs="仿宋"/>
                <w:bCs/>
                <w:color w:val="auto"/>
                <w:sz w:val="24"/>
                <w:szCs w:val="24"/>
                <w:lang w:val="en-US" w:eastAsia="zh-CN"/>
              </w:rPr>
              <w:t>进行打分</w:t>
            </w:r>
            <w:r>
              <w:rPr>
                <w:rFonts w:hint="eastAsia" w:ascii="仿宋" w:hAnsi="仿宋" w:eastAsia="仿宋" w:cs="仿宋"/>
                <w:color w:val="auto"/>
                <w:sz w:val="24"/>
                <w:highlight w:val="none"/>
              </w:rPr>
              <w:t>（</w:t>
            </w:r>
            <w:r>
              <w:rPr>
                <w:rFonts w:hint="eastAsia" w:cs="仿宋"/>
                <w:color w:val="auto"/>
                <w:sz w:val="24"/>
                <w:highlight w:val="none"/>
                <w:lang w:val="en-US" w:eastAsia="zh-CN"/>
              </w:rPr>
              <w:t>0,0.5,1,2,3</w:t>
            </w:r>
            <w:r>
              <w:rPr>
                <w:rFonts w:hint="eastAsia" w:ascii="仿宋" w:hAnsi="仿宋" w:eastAsia="仿宋" w:cs="仿宋"/>
                <w:color w:val="auto"/>
                <w:sz w:val="24"/>
                <w:highlight w:val="none"/>
              </w:rPr>
              <w:t>分）</w:t>
            </w:r>
            <w:r>
              <w:rPr>
                <w:rFonts w:hint="eastAsia" w:ascii="仿宋" w:hAnsi="仿宋" w:eastAsia="仿宋" w:cs="仿宋"/>
                <w:bCs/>
                <w:color w:val="auto"/>
                <w:sz w:val="24"/>
                <w:szCs w:val="24"/>
                <w:lang w:val="zh-CN" w:eastAsia="zh-CN"/>
              </w:rPr>
              <w:t>。</w:t>
            </w:r>
          </w:p>
        </w:tc>
        <w:tc>
          <w:tcPr>
            <w:tcW w:w="927" w:type="dxa"/>
            <w:noWrap w:val="0"/>
            <w:tcMar>
              <w:top w:w="12" w:type="dxa"/>
              <w:left w:w="12" w:type="dxa"/>
              <w:right w:w="12" w:type="dxa"/>
            </w:tcMar>
            <w:vAlign w:val="center"/>
          </w:tcPr>
          <w:p w14:paraId="44B02722">
            <w:pPr>
              <w:keepNext w:val="0"/>
              <w:keepLines w:val="0"/>
              <w:pageBreakBefore w:val="0"/>
              <w:wordWrap/>
              <w:topLinePunct w:val="0"/>
              <w:autoSpaceDE w:val="0"/>
              <w:autoSpaceDN w:val="0"/>
              <w:bidi w:val="0"/>
              <w:adjustRightInd w:val="0"/>
              <w:snapToGrid/>
              <w:spacing w:line="440" w:lineRule="exact"/>
              <w:ind w:firstLine="0" w:firstLineChars="0"/>
              <w:jc w:val="center"/>
              <w:rPr>
                <w:rFonts w:hint="eastAsia" w:ascii="仿宋" w:hAnsi="仿宋" w:eastAsia="仿宋" w:cs="仿宋"/>
                <w:bCs/>
                <w:kern w:val="2"/>
                <w:sz w:val="24"/>
                <w:szCs w:val="24"/>
                <w:lang w:val="en-US" w:eastAsia="zh-CN"/>
              </w:rPr>
            </w:pPr>
            <w:r>
              <w:rPr>
                <w:rFonts w:hint="eastAsia" w:ascii="仿宋" w:hAnsi="仿宋" w:eastAsia="仿宋" w:cs="仿宋"/>
                <w:bCs/>
                <w:kern w:val="2"/>
                <w:sz w:val="24"/>
                <w:szCs w:val="24"/>
              </w:rPr>
              <w:t>0-</w:t>
            </w:r>
            <w:r>
              <w:rPr>
                <w:rFonts w:hint="eastAsia" w:cs="仿宋"/>
                <w:bCs/>
                <w:kern w:val="2"/>
                <w:sz w:val="24"/>
                <w:szCs w:val="24"/>
                <w:lang w:val="en-US" w:eastAsia="zh-CN"/>
              </w:rPr>
              <w:t>3</w:t>
            </w:r>
          </w:p>
        </w:tc>
      </w:tr>
    </w:tbl>
    <w:p w14:paraId="3CB3E366">
      <w:pPr>
        <w:pStyle w:val="11"/>
        <w:ind w:left="0" w:leftChars="0"/>
        <w:jc w:val="both"/>
        <w:outlineLvl w:val="9"/>
        <w:rPr>
          <w:rFonts w:hint="eastAsia" w:ascii="仿宋" w:hAnsi="仿宋" w:eastAsia="仿宋" w:cs="仿宋"/>
          <w:b/>
          <w:color w:val="auto"/>
          <w:kern w:val="44"/>
          <w:sz w:val="36"/>
          <w:szCs w:val="36"/>
        </w:rPr>
      </w:pPr>
    </w:p>
    <w:p w14:paraId="1CB32BF6">
      <w:pPr>
        <w:pStyle w:val="11"/>
        <w:ind w:left="0" w:leftChars="0"/>
        <w:jc w:val="center"/>
        <w:outlineLvl w:val="9"/>
        <w:rPr>
          <w:rFonts w:hint="eastAsia" w:ascii="仿宋" w:hAnsi="仿宋" w:eastAsia="仿宋" w:cs="仿宋"/>
          <w:b/>
          <w:color w:val="auto"/>
          <w:kern w:val="44"/>
          <w:sz w:val="36"/>
          <w:szCs w:val="36"/>
        </w:rPr>
      </w:pPr>
    </w:p>
    <w:p w14:paraId="6EBF61BC">
      <w:pPr>
        <w:pStyle w:val="11"/>
        <w:ind w:left="0" w:leftChars="0"/>
        <w:jc w:val="center"/>
        <w:outlineLvl w:val="9"/>
        <w:rPr>
          <w:rFonts w:hint="eastAsia" w:ascii="仿宋" w:hAnsi="仿宋" w:eastAsia="仿宋" w:cs="仿宋"/>
          <w:b/>
          <w:color w:val="auto"/>
          <w:kern w:val="44"/>
          <w:sz w:val="36"/>
          <w:szCs w:val="36"/>
        </w:rPr>
      </w:pPr>
    </w:p>
    <w:p w14:paraId="19678FB5">
      <w:pPr>
        <w:pStyle w:val="4"/>
        <w:bidi w:val="0"/>
        <w:ind w:left="0" w:leftChars="0" w:firstLine="0" w:firstLineChars="0"/>
        <w:jc w:val="center"/>
        <w:rPr>
          <w:rFonts w:hint="eastAsia" w:ascii="仿宋" w:hAnsi="仿宋" w:eastAsia="仿宋" w:cs="仿宋"/>
          <w:b/>
          <w:color w:val="auto"/>
          <w:kern w:val="44"/>
          <w:sz w:val="36"/>
          <w:szCs w:val="36"/>
        </w:rPr>
        <w:sectPr>
          <w:pgSz w:w="11906" w:h="16838"/>
          <w:pgMar w:top="1247" w:right="1134" w:bottom="1020" w:left="1418" w:header="851" w:footer="907" w:gutter="0"/>
          <w:pgNumType w:fmt="numberInDash"/>
          <w:cols w:space="720" w:num="1"/>
          <w:titlePg/>
          <w:docGrid w:type="lines" w:linePitch="312" w:charSpace="0"/>
        </w:sectPr>
      </w:pPr>
    </w:p>
    <w:p w14:paraId="1AA02ABD">
      <w:pPr>
        <w:pStyle w:val="4"/>
        <w:bidi w:val="0"/>
        <w:ind w:left="0" w:leftChars="0" w:firstLine="0" w:firstLineChars="0"/>
        <w:jc w:val="center"/>
        <w:rPr>
          <w:rFonts w:hint="eastAsia" w:ascii="宋体" w:hAnsi="宋体"/>
          <w:sz w:val="24"/>
        </w:rPr>
      </w:pPr>
      <w:r>
        <w:rPr>
          <w:rFonts w:hint="eastAsia" w:ascii="仿宋" w:hAnsi="仿宋" w:eastAsia="仿宋" w:cs="仿宋"/>
          <w:b/>
          <w:color w:val="auto"/>
          <w:kern w:val="44"/>
          <w:sz w:val="36"/>
          <w:szCs w:val="36"/>
        </w:rPr>
        <w:t>第五章  政府采购合同</w:t>
      </w:r>
      <w:r>
        <w:rPr>
          <w:rFonts w:hint="eastAsia" w:ascii="仿宋" w:hAnsi="仿宋" w:eastAsia="仿宋" w:cs="仿宋"/>
          <w:b/>
          <w:color w:val="auto"/>
          <w:kern w:val="44"/>
          <w:sz w:val="32"/>
          <w:szCs w:val="32"/>
        </w:rPr>
        <w:t>（</w:t>
      </w:r>
      <w:r>
        <w:rPr>
          <w:rFonts w:hint="eastAsia" w:ascii="仿宋" w:hAnsi="仿宋" w:eastAsia="仿宋" w:cs="仿宋"/>
          <w:b/>
          <w:color w:val="auto"/>
          <w:kern w:val="44"/>
          <w:sz w:val="32"/>
          <w:szCs w:val="32"/>
          <w:lang w:val="en-US" w:eastAsia="zh-CN"/>
        </w:rPr>
        <w:t>供参考</w:t>
      </w:r>
      <w:r>
        <w:rPr>
          <w:rFonts w:hint="eastAsia" w:ascii="仿宋" w:hAnsi="仿宋" w:eastAsia="仿宋" w:cs="仿宋"/>
          <w:b/>
          <w:color w:val="auto"/>
          <w:kern w:val="44"/>
          <w:sz w:val="32"/>
          <w:szCs w:val="32"/>
        </w:rPr>
        <w:t>）</w:t>
      </w:r>
    </w:p>
    <w:p w14:paraId="65411036">
      <w:pPr>
        <w:spacing w:line="42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甲方（采购人）：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29E8B87D">
      <w:pPr>
        <w:spacing w:line="420" w:lineRule="exact"/>
        <w:rPr>
          <w:rFonts w:hint="eastAsia" w:ascii="仿宋" w:hAnsi="仿宋" w:eastAsia="仿宋" w:cs="仿宋"/>
          <w:color w:val="auto"/>
          <w:sz w:val="24"/>
          <w:szCs w:val="24"/>
        </w:rPr>
      </w:pPr>
      <w:r>
        <w:rPr>
          <w:rFonts w:hint="eastAsia" w:ascii="仿宋" w:hAnsi="仿宋" w:eastAsia="仿宋" w:cs="仿宋"/>
          <w:color w:val="auto"/>
          <w:sz w:val="24"/>
          <w:szCs w:val="24"/>
        </w:rPr>
        <w:t>乙方（中标人）：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签订地点：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65FF37FD">
      <w:pPr>
        <w:spacing w:line="440" w:lineRule="exact"/>
        <w:ind w:firstLine="420"/>
        <w:rPr>
          <w:rFonts w:hint="eastAsia" w:ascii="仿宋" w:hAnsi="仿宋" w:eastAsia="仿宋" w:cs="仿宋"/>
          <w:sz w:val="24"/>
          <w:szCs w:val="24"/>
          <w:u w:val="single"/>
        </w:rPr>
      </w:pPr>
      <w:r>
        <w:rPr>
          <w:rFonts w:hint="eastAsia" w:ascii="仿宋" w:hAnsi="仿宋" w:eastAsia="仿宋" w:cs="仿宋"/>
          <w:color w:val="auto"/>
          <w:sz w:val="24"/>
          <w:szCs w:val="24"/>
        </w:rPr>
        <w:t>根据《中华人民共和国民法典》、《中华人民共和国政府采购法》等有关规定，以及</w:t>
      </w:r>
      <w:r>
        <w:rPr>
          <w:rFonts w:hint="eastAsia" w:cs="仿宋"/>
          <w:color w:val="auto"/>
          <w:sz w:val="24"/>
          <w:szCs w:val="24"/>
          <w:u w:val="single"/>
          <w:lang w:eastAsia="zh-CN"/>
        </w:rPr>
        <w:t>武义县公安局交通警察大队2025年-2026年交通信号灯维护项目</w:t>
      </w:r>
      <w:r>
        <w:rPr>
          <w:rFonts w:hint="eastAsia" w:ascii="仿宋" w:hAnsi="仿宋" w:eastAsia="仿宋" w:cs="仿宋"/>
          <w:color w:val="auto"/>
          <w:sz w:val="24"/>
          <w:szCs w:val="24"/>
        </w:rPr>
        <w:t>（项目编号：</w:t>
      </w:r>
      <w:r>
        <w:rPr>
          <w:rFonts w:hint="eastAsia" w:cs="仿宋"/>
          <w:color w:val="auto"/>
          <w:sz w:val="24"/>
          <w:szCs w:val="24"/>
          <w:u w:val="single"/>
          <w:lang w:eastAsia="zh-CN"/>
        </w:rPr>
        <w:t>ZJRS2025-CG060</w:t>
      </w:r>
      <w:r>
        <w:rPr>
          <w:rFonts w:hint="eastAsia" w:ascii="仿宋" w:hAnsi="仿宋" w:eastAsia="仿宋" w:cs="仿宋"/>
          <w:color w:val="auto"/>
          <w:sz w:val="24"/>
          <w:szCs w:val="24"/>
        </w:rPr>
        <w:t>）采购文件相关要求，经法定程序采购，双方同意签订以下合同条款，以便双方共同遵守、履行合同。</w:t>
      </w:r>
    </w:p>
    <w:p w14:paraId="27B5F7E7">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一、采购项目</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4719"/>
        <w:gridCol w:w="1758"/>
        <w:gridCol w:w="1440"/>
      </w:tblGrid>
      <w:tr w14:paraId="1EABF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059" w:type="dxa"/>
            <w:noWrap w:val="0"/>
            <w:vAlign w:val="center"/>
          </w:tcPr>
          <w:p w14:paraId="1B4A8072">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cs="仿宋"/>
                <w:b/>
                <w:bCs/>
                <w:color w:val="auto"/>
                <w:sz w:val="24"/>
                <w:szCs w:val="24"/>
                <w:lang w:val="en-US" w:eastAsia="zh-CN"/>
              </w:rPr>
              <w:t>序号</w:t>
            </w:r>
          </w:p>
        </w:tc>
        <w:tc>
          <w:tcPr>
            <w:tcW w:w="4719" w:type="dxa"/>
            <w:noWrap w:val="0"/>
            <w:vAlign w:val="center"/>
          </w:tcPr>
          <w:p w14:paraId="2289050A">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lang w:eastAsia="zh-CN"/>
              </w:rPr>
            </w:pPr>
            <w:r>
              <w:rPr>
                <w:rFonts w:hint="eastAsia" w:cs="仿宋"/>
                <w:b/>
                <w:bCs/>
                <w:color w:val="auto"/>
                <w:sz w:val="24"/>
                <w:szCs w:val="24"/>
                <w:lang w:val="en-US" w:eastAsia="zh-CN"/>
              </w:rPr>
              <w:t>项目名称</w:t>
            </w:r>
          </w:p>
        </w:tc>
        <w:tc>
          <w:tcPr>
            <w:tcW w:w="1758" w:type="dxa"/>
            <w:noWrap w:val="0"/>
            <w:vAlign w:val="center"/>
          </w:tcPr>
          <w:p w14:paraId="273FA1F7">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服务期限</w:t>
            </w:r>
          </w:p>
        </w:tc>
        <w:tc>
          <w:tcPr>
            <w:tcW w:w="1440" w:type="dxa"/>
            <w:noWrap w:val="0"/>
            <w:vAlign w:val="center"/>
          </w:tcPr>
          <w:p w14:paraId="389A1EB0">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金额</w:t>
            </w:r>
            <w:r>
              <w:rPr>
                <w:rFonts w:hint="eastAsia" w:ascii="仿宋" w:hAnsi="仿宋" w:eastAsia="仿宋" w:cs="仿宋"/>
                <w:b/>
                <w:bCs/>
                <w:color w:val="auto"/>
                <w:sz w:val="24"/>
                <w:szCs w:val="24"/>
              </w:rPr>
              <w:t>（元）</w:t>
            </w:r>
          </w:p>
        </w:tc>
      </w:tr>
      <w:tr w14:paraId="22B5C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059" w:type="dxa"/>
            <w:noWrap w:val="0"/>
            <w:vAlign w:val="top"/>
          </w:tcPr>
          <w:p w14:paraId="23948357">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4719" w:type="dxa"/>
            <w:noWrap w:val="0"/>
            <w:vAlign w:val="top"/>
          </w:tcPr>
          <w:p w14:paraId="5E58B432">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758" w:type="dxa"/>
            <w:noWrap w:val="0"/>
            <w:vAlign w:val="top"/>
          </w:tcPr>
          <w:p w14:paraId="045209A9">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c>
          <w:tcPr>
            <w:tcW w:w="1440" w:type="dxa"/>
            <w:noWrap w:val="0"/>
            <w:vAlign w:val="top"/>
          </w:tcPr>
          <w:p w14:paraId="78AD6DA4">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rPr>
            </w:pPr>
          </w:p>
        </w:tc>
      </w:tr>
      <w:tr w14:paraId="6698C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976" w:type="dxa"/>
            <w:gridSpan w:val="4"/>
            <w:noWrap w:val="0"/>
            <w:vAlign w:val="center"/>
          </w:tcPr>
          <w:p w14:paraId="2EBE807B">
            <w:pPr>
              <w:keepNext w:val="0"/>
              <w:keepLines w:val="0"/>
              <w:pageBreakBefore w:val="0"/>
              <w:widowControl w:val="0"/>
              <w:kinsoku/>
              <w:wordWrap/>
              <w:overflowPunct/>
              <w:topLinePunct w:val="0"/>
              <w:autoSpaceDE w:val="0"/>
              <w:autoSpaceDN w:val="0"/>
              <w:bidi w:val="0"/>
              <w:adjustRightInd w:val="0"/>
              <w:snapToGrid/>
              <w:spacing w:line="420" w:lineRule="exact"/>
              <w:ind w:firstLine="0" w:firstLineChars="0"/>
              <w:textAlignment w:val="auto"/>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rPr>
              <w:t>合计人民币大写</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u w:val="single"/>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u w:val="single"/>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lang w:val="en-US" w:eastAsia="zh-CN"/>
              </w:rPr>
              <w:t>元整；</w:t>
            </w:r>
            <w:r>
              <w:rPr>
                <w:rFonts w:hint="eastAsia" w:ascii="仿宋" w:hAnsi="仿宋" w:eastAsia="仿宋" w:cs="仿宋"/>
                <w:b/>
                <w:bCs/>
                <w:color w:val="auto"/>
                <w:sz w:val="24"/>
                <w:szCs w:val="24"/>
              </w:rPr>
              <w:t xml:space="preserve"> </w:t>
            </w:r>
            <w:r>
              <w:rPr>
                <w:rFonts w:hint="eastAsia" w:ascii="仿宋" w:hAnsi="仿宋" w:eastAsia="仿宋" w:cs="仿宋"/>
                <w:b/>
                <w:bCs/>
                <w:color w:val="auto"/>
                <w:sz w:val="24"/>
                <w:szCs w:val="24"/>
                <w:lang w:val="en-US" w:eastAsia="zh-CN"/>
              </w:rPr>
              <w:t xml:space="preserve">  小写 ¥</w:t>
            </w:r>
            <w:r>
              <w:rPr>
                <w:rFonts w:hint="eastAsia" w:ascii="仿宋" w:hAnsi="仿宋" w:eastAsia="仿宋" w:cs="仿宋"/>
                <w:b/>
                <w:bCs/>
                <w:color w:val="auto"/>
                <w:sz w:val="24"/>
                <w:szCs w:val="24"/>
              </w:rPr>
              <w:t>：</w:t>
            </w:r>
            <w:r>
              <w:rPr>
                <w:rFonts w:hint="eastAsia" w:ascii="仿宋" w:hAnsi="仿宋" w:eastAsia="仿宋" w:cs="仿宋"/>
                <w:b/>
                <w:bCs/>
                <w:color w:val="auto"/>
                <w:sz w:val="24"/>
                <w:szCs w:val="24"/>
                <w:u w:val="single"/>
                <w:lang w:val="en-US" w:eastAsia="zh-CN"/>
              </w:rPr>
              <w:t xml:space="preserve">   </w:t>
            </w:r>
            <w:r>
              <w:rPr>
                <w:rFonts w:hint="eastAsia" w:cs="仿宋"/>
                <w:b/>
                <w:bCs/>
                <w:color w:val="auto"/>
                <w:sz w:val="24"/>
                <w:szCs w:val="24"/>
                <w:u w:val="single"/>
                <w:lang w:val="en-US" w:eastAsia="zh-CN"/>
              </w:rPr>
              <w:t xml:space="preserve">   </w:t>
            </w: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lang w:val="en-US" w:eastAsia="zh-CN"/>
              </w:rPr>
              <w:t>元</w:t>
            </w:r>
          </w:p>
        </w:tc>
      </w:tr>
    </w:tbl>
    <w:p w14:paraId="0EF37EC4">
      <w:pPr>
        <w:spacing w:line="420" w:lineRule="exact"/>
        <w:rPr>
          <w:rFonts w:hint="eastAsia" w:ascii="仿宋" w:hAnsi="仿宋" w:eastAsia="仿宋" w:cs="仿宋"/>
          <w:b/>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color w:val="auto"/>
          <w:sz w:val="24"/>
          <w:szCs w:val="24"/>
        </w:rPr>
        <w:t>二、服务要求</w:t>
      </w:r>
    </w:p>
    <w:p w14:paraId="45D58D0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496174F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2241A8B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6BCABE11">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（以上按采购文件采购需求中对应的服务要求内容填写）</w:t>
      </w:r>
    </w:p>
    <w:p w14:paraId="2D085D7F">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三、服务质量要求</w:t>
      </w:r>
    </w:p>
    <w:p w14:paraId="1FDAAF8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0EAE95F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w:t>
      </w:r>
    </w:p>
    <w:p w14:paraId="57F0CF3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F1DDA7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（以上按采购文件采购需求中对应的服务质量内容填写）</w:t>
      </w:r>
    </w:p>
    <w:p w14:paraId="0A38B4A5">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四、项目验收</w:t>
      </w:r>
    </w:p>
    <w:p w14:paraId="4477F5E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项目由甲方单位组织验收。</w:t>
      </w:r>
    </w:p>
    <w:p w14:paraId="6DCBDECC">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五、付款方式</w:t>
      </w:r>
    </w:p>
    <w:p w14:paraId="038E5D7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（按采购文件规定付款方式填写）</w:t>
      </w:r>
    </w:p>
    <w:p w14:paraId="2C0E7BA4">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六、产品数量变更</w:t>
      </w:r>
    </w:p>
    <w:p w14:paraId="6408F51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履行过程中，甲方根据实际情况，需要增减与合同标的相同的服务，在不改变合同其他条款的前提下，可以与乙方协商签订补充合同，但所有补充合同的采购金额不得超过原合同采购金额的10%，增减服务的价格为相应中标服务的价格。</w:t>
      </w:r>
    </w:p>
    <w:p w14:paraId="1F997A4C">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七、售后服务</w:t>
      </w:r>
    </w:p>
    <w:p w14:paraId="1009C45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具体售后服务条款参照文件及乙方文件中的售后服务承诺。</w:t>
      </w:r>
    </w:p>
    <w:p w14:paraId="62417483">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八、违约责任</w:t>
      </w:r>
    </w:p>
    <w:p w14:paraId="79BF1A2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甲方无正当理由拒收服务，由甲方向乙方偿付合同总价的5%违约金。</w:t>
      </w:r>
    </w:p>
    <w:p w14:paraId="432FA3C3">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甲方未能在合同规定期限内验收完毕的，每超过一天，付合同价的</w:t>
      </w:r>
      <w:r>
        <w:rPr>
          <w:rFonts w:hint="eastAsia" w:ascii="仿宋" w:hAnsi="仿宋" w:eastAsia="仿宋" w:cs="仿宋"/>
          <w:color w:val="auto"/>
          <w:sz w:val="24"/>
          <w:szCs w:val="24"/>
          <w:u w:val="single"/>
        </w:rPr>
        <w:t xml:space="preserve"> 0.5 </w:t>
      </w:r>
      <w:r>
        <w:rPr>
          <w:rFonts w:hint="eastAsia" w:ascii="仿宋" w:hAnsi="仿宋" w:eastAsia="仿宋" w:cs="仿宋"/>
          <w:color w:val="auto"/>
          <w:sz w:val="24"/>
          <w:szCs w:val="24"/>
        </w:rPr>
        <w:t>%的违约金给乙方。</w:t>
      </w:r>
    </w:p>
    <w:p w14:paraId="2F906BEF">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乙方不能交付服务，乙方向甲方支付合同款总价5%的违约金。</w:t>
      </w:r>
    </w:p>
    <w:p w14:paraId="01F3F537">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乙方逾期交付服务的，每逾期1天，乙方向甲方偿付逾期部分服务货款的0.5%的滞纳金，如乙方逾期15天，甲方有权解除合同，解除合同的通知自到达乙方时生效。合同解除后7日内，乙方需将甲方已支付的款项全额退还甲方，并赔偿甲方合同总价的5%违约金。</w:t>
      </w:r>
    </w:p>
    <w:p w14:paraId="49A2D6AC">
      <w:pPr>
        <w:spacing w:line="420" w:lineRule="exact"/>
        <w:ind w:firstLine="482" w:firstLineChars="200"/>
        <w:rPr>
          <w:rFonts w:hint="eastAsia" w:ascii="仿宋" w:hAnsi="仿宋" w:eastAsia="仿宋" w:cs="仿宋"/>
          <w:b/>
          <w:color w:val="auto"/>
          <w:sz w:val="24"/>
          <w:szCs w:val="24"/>
        </w:rPr>
      </w:pPr>
      <w:r>
        <w:rPr>
          <w:rFonts w:hint="eastAsia" w:cs="仿宋"/>
          <w:b/>
          <w:color w:val="auto"/>
          <w:sz w:val="24"/>
          <w:szCs w:val="24"/>
          <w:lang w:val="en-US" w:eastAsia="zh-CN"/>
        </w:rPr>
        <w:t>九</w:t>
      </w:r>
      <w:r>
        <w:rPr>
          <w:rFonts w:hint="eastAsia" w:ascii="仿宋" w:hAnsi="仿宋" w:eastAsia="仿宋" w:cs="仿宋"/>
          <w:b/>
          <w:color w:val="auto"/>
          <w:sz w:val="24"/>
          <w:szCs w:val="24"/>
        </w:rPr>
        <w:t>、解决合同纠纷方式</w:t>
      </w:r>
    </w:p>
    <w:p w14:paraId="285B337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其它未尽事宜或履行时发生争议，由双方本着诚实信用的原则协商解决，协商不成功可选择</w:t>
      </w:r>
      <w:r>
        <w:rPr>
          <w:rFonts w:hint="eastAsia" w:cs="仿宋"/>
          <w:color w:val="auto"/>
          <w:sz w:val="24"/>
          <w:szCs w:val="24"/>
          <w:lang w:val="en-US" w:eastAsia="zh-CN"/>
        </w:rPr>
        <w:t>甲方所在地</w:t>
      </w:r>
      <w:r>
        <w:rPr>
          <w:rFonts w:hint="eastAsia" w:ascii="仿宋" w:hAnsi="仿宋" w:eastAsia="仿宋" w:cs="仿宋"/>
          <w:color w:val="auto"/>
          <w:sz w:val="24"/>
          <w:szCs w:val="24"/>
          <w:lang w:val="en-US" w:eastAsia="zh-CN"/>
        </w:rPr>
        <w:t>人民法院</w:t>
      </w:r>
      <w:r>
        <w:rPr>
          <w:rFonts w:hint="eastAsia" w:ascii="仿宋" w:hAnsi="仿宋" w:eastAsia="仿宋" w:cs="仿宋"/>
          <w:color w:val="auto"/>
          <w:sz w:val="24"/>
          <w:szCs w:val="24"/>
        </w:rPr>
        <w:t>起诉。</w:t>
      </w:r>
    </w:p>
    <w:p w14:paraId="3F8E6CE0">
      <w:pPr>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十、其它</w:t>
      </w:r>
    </w:p>
    <w:p w14:paraId="10728BEA">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本项目的招标文件、投标文件、中标通知书作为合同的附件，具有同等法律效力。</w:t>
      </w:r>
    </w:p>
    <w:p w14:paraId="4CD3D99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本合同自签订之日起生效。</w:t>
      </w:r>
    </w:p>
    <w:p w14:paraId="79137736">
      <w:pPr>
        <w:spacing w:line="420" w:lineRule="exact"/>
        <w:ind w:firstLine="482" w:firstLineChars="200"/>
        <w:rPr>
          <w:rFonts w:hint="eastAsia" w:ascii="仿宋" w:hAnsi="仿宋" w:eastAsia="仿宋" w:cs="仿宋"/>
          <w:b/>
          <w:bCs/>
          <w:color w:val="0000FF"/>
          <w:sz w:val="24"/>
          <w:szCs w:val="24"/>
        </w:rPr>
      </w:pPr>
      <w:r>
        <w:rPr>
          <w:rFonts w:hint="eastAsia" w:ascii="仿宋" w:hAnsi="仿宋" w:eastAsia="仿宋" w:cs="仿宋"/>
          <w:b/>
          <w:bCs/>
          <w:color w:val="0000FF"/>
          <w:sz w:val="24"/>
          <w:szCs w:val="24"/>
        </w:rPr>
        <w:t>3</w:t>
      </w:r>
      <w:r>
        <w:rPr>
          <w:rFonts w:hint="eastAsia" w:ascii="仿宋" w:hAnsi="仿宋" w:eastAsia="仿宋" w:cs="仿宋"/>
          <w:b/>
          <w:bCs/>
          <w:color w:val="0000FF"/>
          <w:sz w:val="24"/>
          <w:szCs w:val="24"/>
          <w:lang w:val="en-US" w:eastAsia="zh-CN"/>
        </w:rPr>
        <w:t>.</w:t>
      </w:r>
      <w:r>
        <w:rPr>
          <w:rFonts w:hint="eastAsia" w:ascii="仿宋" w:hAnsi="仿宋" w:eastAsia="仿宋" w:cs="仿宋"/>
          <w:b/>
          <w:bCs/>
          <w:color w:val="0000FF"/>
          <w:sz w:val="24"/>
          <w:szCs w:val="24"/>
        </w:rPr>
        <w:t>本合同一式陆份，甲乙双方各执贰份，采购办备案一份，代理机构存档一份。</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9"/>
        <w:gridCol w:w="4727"/>
      </w:tblGrid>
      <w:tr w14:paraId="70B2F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exact"/>
          <w:jc w:val="center"/>
        </w:trPr>
        <w:tc>
          <w:tcPr>
            <w:tcW w:w="4809" w:type="dxa"/>
            <w:noWrap w:val="0"/>
            <w:vAlign w:val="top"/>
          </w:tcPr>
          <w:p w14:paraId="7C9BC6F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r>
              <w:rPr>
                <w:rFonts w:hint="eastAsia" w:ascii="仿宋" w:hAnsi="仿宋" w:eastAsia="仿宋" w:cs="仿宋"/>
                <w:sz w:val="24"/>
              </w:rPr>
              <w:t>甲  方</w:t>
            </w:r>
          </w:p>
          <w:p w14:paraId="47E23323">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14AE35BE">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0C1A0289">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7A34D77B">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或项目经办人（签字）：</w:t>
            </w:r>
          </w:p>
          <w:p w14:paraId="4B65F260">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1FF48C51">
            <w:pPr>
              <w:keepNext w:val="0"/>
              <w:keepLines w:val="0"/>
              <w:pageBreakBefore w:val="0"/>
              <w:widowControl w:val="0"/>
              <w:kinsoku/>
              <w:wordWrap/>
              <w:overflowPunct/>
              <w:topLinePunct w:val="0"/>
              <w:autoSpaceDE w:val="0"/>
              <w:autoSpaceDN w:val="0"/>
              <w:bidi w:val="0"/>
              <w:adjustRightInd w:val="0"/>
              <w:snapToGrid/>
              <w:spacing w:line="360" w:lineRule="auto"/>
              <w:ind w:left="-101" w:leftChars="-42" w:right="-74" w:rightChars="-31" w:firstLine="0" w:firstLineChars="0"/>
              <w:textAlignment w:val="auto"/>
              <w:rPr>
                <w:rFonts w:hint="eastAsia" w:ascii="仿宋" w:hAnsi="仿宋" w:eastAsia="仿宋" w:cs="仿宋"/>
                <w:sz w:val="24"/>
              </w:rPr>
            </w:pPr>
            <w:r>
              <w:rPr>
                <w:rFonts w:hint="eastAsia" w:ascii="仿宋" w:hAnsi="仿宋" w:eastAsia="仿宋" w:cs="仿宋"/>
                <w:sz w:val="24"/>
              </w:rPr>
              <w:t>邮政编码：321200</w:t>
            </w:r>
          </w:p>
        </w:tc>
        <w:tc>
          <w:tcPr>
            <w:tcW w:w="4727" w:type="dxa"/>
            <w:noWrap w:val="0"/>
            <w:vAlign w:val="top"/>
          </w:tcPr>
          <w:p w14:paraId="6397B511">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jc w:val="center"/>
              <w:textAlignment w:val="auto"/>
              <w:rPr>
                <w:rFonts w:hint="eastAsia" w:ascii="仿宋" w:hAnsi="仿宋" w:eastAsia="仿宋" w:cs="仿宋"/>
                <w:sz w:val="24"/>
              </w:rPr>
            </w:pPr>
            <w:r>
              <w:rPr>
                <w:rFonts w:hint="eastAsia" w:ascii="仿宋" w:hAnsi="仿宋" w:eastAsia="仿宋" w:cs="仿宋"/>
                <w:sz w:val="24"/>
              </w:rPr>
              <w:t>乙  方</w:t>
            </w:r>
          </w:p>
          <w:p w14:paraId="5A60F156">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单位名称（盖章）：</w:t>
            </w:r>
          </w:p>
          <w:p w14:paraId="750DCB96">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单位地址：</w:t>
            </w:r>
          </w:p>
          <w:p w14:paraId="1FC17E40">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法定代表人（签字）：</w:t>
            </w:r>
          </w:p>
          <w:p w14:paraId="698CDE8E">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或委托代理人（签字）：</w:t>
            </w:r>
          </w:p>
          <w:p w14:paraId="4EFF8D39">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电话：</w:t>
            </w:r>
          </w:p>
          <w:p w14:paraId="72ECC4F4">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开户银行</w:t>
            </w:r>
            <w:r>
              <w:rPr>
                <w:rFonts w:hint="eastAsia" w:ascii="仿宋" w:hAnsi="仿宋" w:eastAsia="仿宋" w:cs="仿宋"/>
                <w:color w:val="FF0000"/>
                <w:sz w:val="24"/>
              </w:rPr>
              <w:t>（必填）</w:t>
            </w:r>
            <w:r>
              <w:rPr>
                <w:rFonts w:hint="eastAsia" w:ascii="仿宋" w:hAnsi="仿宋" w:eastAsia="仿宋" w:cs="仿宋"/>
                <w:sz w:val="24"/>
              </w:rPr>
              <w:t>：</w:t>
            </w:r>
          </w:p>
          <w:p w14:paraId="2B77F253">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账号</w:t>
            </w:r>
            <w:r>
              <w:rPr>
                <w:rFonts w:hint="eastAsia" w:ascii="仿宋" w:hAnsi="仿宋" w:eastAsia="仿宋" w:cs="仿宋"/>
                <w:color w:val="FF0000"/>
                <w:sz w:val="24"/>
              </w:rPr>
              <w:t>（必填）</w:t>
            </w:r>
            <w:r>
              <w:rPr>
                <w:rFonts w:hint="eastAsia" w:ascii="仿宋" w:hAnsi="仿宋" w:eastAsia="仿宋" w:cs="仿宋"/>
                <w:sz w:val="24"/>
              </w:rPr>
              <w:t>：</w:t>
            </w:r>
          </w:p>
          <w:p w14:paraId="2682E221">
            <w:pPr>
              <w:keepNext w:val="0"/>
              <w:keepLines w:val="0"/>
              <w:pageBreakBefore w:val="0"/>
              <w:widowControl w:val="0"/>
              <w:kinsoku/>
              <w:wordWrap/>
              <w:overflowPunct/>
              <w:topLinePunct w:val="0"/>
              <w:autoSpaceDE w:val="0"/>
              <w:autoSpaceDN w:val="0"/>
              <w:bidi w:val="0"/>
              <w:adjustRightInd w:val="0"/>
              <w:snapToGrid/>
              <w:spacing w:line="360" w:lineRule="auto"/>
              <w:ind w:left="-89" w:leftChars="-37" w:right="-65" w:rightChars="-27" w:firstLine="0" w:firstLineChars="0"/>
              <w:textAlignment w:val="auto"/>
              <w:rPr>
                <w:rFonts w:hint="eastAsia" w:ascii="仿宋" w:hAnsi="仿宋" w:eastAsia="仿宋" w:cs="仿宋"/>
                <w:sz w:val="24"/>
              </w:rPr>
            </w:pPr>
            <w:r>
              <w:rPr>
                <w:rFonts w:hint="eastAsia" w:ascii="仿宋" w:hAnsi="仿宋" w:eastAsia="仿宋" w:cs="仿宋"/>
                <w:sz w:val="24"/>
              </w:rPr>
              <w:t>邮政编码：</w:t>
            </w:r>
          </w:p>
          <w:p w14:paraId="72C118F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center"/>
              <w:textAlignment w:val="auto"/>
              <w:rPr>
                <w:rFonts w:hint="eastAsia" w:ascii="仿宋" w:hAnsi="仿宋" w:eastAsia="仿宋" w:cs="仿宋"/>
                <w:sz w:val="24"/>
              </w:rPr>
            </w:pPr>
          </w:p>
          <w:p w14:paraId="759C304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jc w:val="right"/>
              <w:textAlignment w:val="auto"/>
              <w:rPr>
                <w:rFonts w:hint="eastAsia" w:ascii="仿宋" w:hAnsi="仿宋" w:eastAsia="仿宋" w:cs="仿宋"/>
                <w:sz w:val="24"/>
              </w:rPr>
            </w:pPr>
            <w:r>
              <w:rPr>
                <w:rFonts w:hint="eastAsia" w:ascii="仿宋" w:hAnsi="仿宋" w:eastAsia="仿宋" w:cs="仿宋"/>
                <w:sz w:val="24"/>
              </w:rPr>
              <w:t xml:space="preserve"> </w:t>
            </w:r>
          </w:p>
        </w:tc>
      </w:tr>
      <w:tr w14:paraId="72474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3" w:hRule="exact"/>
          <w:jc w:val="center"/>
        </w:trPr>
        <w:tc>
          <w:tcPr>
            <w:tcW w:w="9536" w:type="dxa"/>
            <w:gridSpan w:val="2"/>
            <w:noWrap w:val="0"/>
            <w:vAlign w:val="top"/>
          </w:tcPr>
          <w:p w14:paraId="083D8319">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lang w:eastAsia="zh-CN"/>
              </w:rPr>
            </w:pPr>
            <w:r>
              <w:rPr>
                <w:rFonts w:hint="eastAsia" w:ascii="仿宋" w:hAnsi="仿宋" w:eastAsia="仿宋" w:cs="仿宋"/>
                <w:sz w:val="24"/>
              </w:rPr>
              <w:t>见证方（盖章）：</w:t>
            </w:r>
            <w:r>
              <w:rPr>
                <w:rFonts w:hint="eastAsia" w:ascii="仿宋" w:hAnsi="仿宋" w:eastAsia="仿宋" w:cs="仿宋"/>
                <w:sz w:val="24"/>
                <w:lang w:eastAsia="zh-CN"/>
              </w:rPr>
              <w:t>浙江日晟信息咨询有限公司</w:t>
            </w:r>
          </w:p>
          <w:p w14:paraId="7CE4439C">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sz w:val="24"/>
              </w:rPr>
            </w:pPr>
            <w:r>
              <w:rPr>
                <w:rFonts w:hint="eastAsia" w:ascii="仿宋" w:hAnsi="仿宋" w:eastAsia="仿宋" w:cs="仿宋"/>
                <w:sz w:val="24"/>
              </w:rPr>
              <w:t>经办人（签字）：</w:t>
            </w:r>
          </w:p>
          <w:p w14:paraId="16A40B38">
            <w:pPr>
              <w:keepNext w:val="0"/>
              <w:keepLines w:val="0"/>
              <w:pageBreakBefore w:val="0"/>
              <w:widowControl w:val="0"/>
              <w:tabs>
                <w:tab w:val="left" w:pos="760"/>
              </w:tabs>
              <w:kinsoku/>
              <w:wordWrap/>
              <w:overflowPunct/>
              <w:topLinePunct w:val="0"/>
              <w:autoSpaceDE w:val="0"/>
              <w:autoSpaceDN w:val="0"/>
              <w:bidi w:val="0"/>
              <w:adjustRightInd w:val="0"/>
              <w:snapToGrid/>
              <w:spacing w:line="360" w:lineRule="auto"/>
              <w:ind w:firstLine="0" w:firstLineChars="0"/>
              <w:jc w:val="left"/>
              <w:textAlignment w:val="auto"/>
              <w:rPr>
                <w:rFonts w:hint="eastAsia" w:ascii="仿宋" w:hAnsi="仿宋" w:eastAsia="仿宋" w:cs="仿宋"/>
              </w:rPr>
            </w:pPr>
            <w:r>
              <w:rPr>
                <w:rFonts w:hint="eastAsia" w:ascii="仿宋" w:hAnsi="仿宋" w:eastAsia="仿宋" w:cs="仿宋"/>
                <w:sz w:val="24"/>
              </w:rPr>
              <w:t>时  间：      年     月     日</w:t>
            </w:r>
          </w:p>
        </w:tc>
      </w:tr>
    </w:tbl>
    <w:p w14:paraId="311AA3F9">
      <w:pPr>
        <w:spacing w:line="312" w:lineRule="auto"/>
        <w:jc w:val="center"/>
        <w:outlineLvl w:val="9"/>
        <w:rPr>
          <w:rFonts w:hint="eastAsia" w:ascii="仿宋" w:hAnsi="仿宋" w:eastAsia="仿宋" w:cs="仿宋"/>
          <w:b/>
          <w:bCs/>
          <w:color w:val="auto"/>
          <w:sz w:val="36"/>
          <w:szCs w:val="36"/>
        </w:rPr>
      </w:pPr>
    </w:p>
    <w:p w14:paraId="1B467588">
      <w:pPr>
        <w:pStyle w:val="4"/>
        <w:bidi w:val="0"/>
        <w:ind w:left="0" w:leftChars="0" w:firstLine="0" w:firstLineChars="0"/>
        <w:jc w:val="center"/>
        <w:rPr>
          <w:rFonts w:hint="eastAsia"/>
        </w:rPr>
      </w:pPr>
      <w:r>
        <w:rPr>
          <w:rFonts w:hint="eastAsia"/>
        </w:rPr>
        <w:t>第六章  应提交的有关格式范例</w:t>
      </w:r>
    </w:p>
    <w:p w14:paraId="372219DF">
      <w:pPr>
        <w:widowControl/>
        <w:tabs>
          <w:tab w:val="left" w:pos="450"/>
          <w:tab w:val="left" w:pos="8280"/>
        </w:tabs>
        <w:spacing w:line="312" w:lineRule="auto"/>
        <w:ind w:firstLine="480"/>
        <w:jc w:val="center"/>
        <w:rPr>
          <w:rFonts w:hint="eastAsia" w:ascii="仿宋" w:hAnsi="仿宋" w:eastAsia="仿宋" w:cs="仿宋"/>
          <w:b/>
          <w:bCs/>
          <w:color w:val="auto"/>
          <w:sz w:val="32"/>
          <w:szCs w:val="32"/>
        </w:rPr>
      </w:pPr>
    </w:p>
    <w:p w14:paraId="59E9BE5A">
      <w:pPr>
        <w:pStyle w:val="5"/>
        <w:bidi w:val="0"/>
        <w:jc w:val="center"/>
        <w:rPr>
          <w:rFonts w:hint="eastAsia"/>
        </w:rPr>
      </w:pPr>
      <w:r>
        <w:rPr>
          <w:rFonts w:hint="eastAsia"/>
        </w:rPr>
        <w:t>一、封面格式</w:t>
      </w:r>
    </w:p>
    <w:p w14:paraId="60B99BE4">
      <w:pPr>
        <w:bidi w:val="0"/>
        <w:rPr>
          <w:rFonts w:hint="eastAsia"/>
        </w:rPr>
      </w:pPr>
    </w:p>
    <w:p w14:paraId="4373FC52">
      <w:pPr>
        <w:bidi w:val="0"/>
        <w:jc w:val="center"/>
        <w:rPr>
          <w:rFonts w:hint="eastAsia"/>
          <w:b/>
          <w:bCs/>
        </w:rPr>
      </w:pPr>
      <w:r>
        <w:rPr>
          <w:rFonts w:hint="eastAsia"/>
          <w:b/>
          <w:bCs/>
        </w:rPr>
        <w:t>资格文件或商务技术文件或报价文件</w:t>
      </w:r>
    </w:p>
    <w:p w14:paraId="0F5B61C9">
      <w:pPr>
        <w:bidi w:val="0"/>
        <w:rPr>
          <w:rFonts w:hint="eastAsia"/>
        </w:rPr>
      </w:pPr>
      <w:r>
        <w:rPr>
          <w:rFonts w:hint="eastAsia"/>
        </w:rPr>
        <w:tab/>
      </w:r>
    </w:p>
    <w:p w14:paraId="166C2D8C">
      <w:pPr>
        <w:bidi w:val="0"/>
        <w:rPr>
          <w:rFonts w:hint="eastAsia"/>
          <w:b/>
          <w:bCs/>
        </w:rPr>
      </w:pPr>
      <w:r>
        <w:rPr>
          <w:rFonts w:hint="eastAsia"/>
          <w:b/>
          <w:bCs/>
        </w:rPr>
        <w:t>项目名称：</w:t>
      </w:r>
      <w:r>
        <w:rPr>
          <w:rFonts w:hint="eastAsia"/>
          <w:b/>
          <w:bCs/>
          <w:u w:val="single"/>
        </w:rPr>
        <w:t xml:space="preserve">                               </w:t>
      </w:r>
      <w:r>
        <w:rPr>
          <w:rFonts w:hint="eastAsia"/>
          <w:b/>
          <w:bCs/>
        </w:rPr>
        <w:t xml:space="preserve">       </w:t>
      </w:r>
    </w:p>
    <w:p w14:paraId="56B3C9B0">
      <w:pPr>
        <w:bidi w:val="0"/>
        <w:rPr>
          <w:rFonts w:hint="eastAsia"/>
          <w:b/>
          <w:bCs/>
        </w:rPr>
      </w:pPr>
    </w:p>
    <w:p w14:paraId="1B0CEC4E">
      <w:pPr>
        <w:bidi w:val="0"/>
        <w:rPr>
          <w:rFonts w:hint="eastAsia"/>
          <w:b/>
          <w:bCs/>
        </w:rPr>
      </w:pPr>
      <w:r>
        <w:rPr>
          <w:rFonts w:hint="eastAsia"/>
          <w:b/>
          <w:bCs/>
        </w:rPr>
        <w:t>项目编号：</w:t>
      </w:r>
      <w:r>
        <w:rPr>
          <w:rFonts w:hint="eastAsia"/>
          <w:b/>
          <w:bCs/>
          <w:u w:val="single"/>
        </w:rPr>
        <w:t xml:space="preserve">                               </w:t>
      </w:r>
      <w:r>
        <w:rPr>
          <w:rFonts w:hint="eastAsia"/>
          <w:b/>
          <w:bCs/>
        </w:rPr>
        <w:t xml:space="preserve">                                        </w:t>
      </w:r>
    </w:p>
    <w:p w14:paraId="3766F1D1">
      <w:pPr>
        <w:bidi w:val="0"/>
        <w:rPr>
          <w:rFonts w:hint="eastAsia"/>
          <w:b/>
          <w:bCs/>
        </w:rPr>
      </w:pPr>
      <w:r>
        <w:rPr>
          <w:rFonts w:hint="eastAsia"/>
          <w:b/>
          <w:bCs/>
        </w:rPr>
        <w:tab/>
      </w:r>
    </w:p>
    <w:p w14:paraId="09D63CC4">
      <w:pPr>
        <w:bidi w:val="0"/>
        <w:rPr>
          <w:rFonts w:hint="eastAsia"/>
          <w:b/>
          <w:bCs/>
        </w:rPr>
      </w:pPr>
      <w:r>
        <w:rPr>
          <w:rFonts w:hint="eastAsia"/>
          <w:b/>
          <w:bCs/>
          <w:lang w:eastAsia="zh-CN"/>
        </w:rPr>
        <w:t>投标人</w:t>
      </w:r>
      <w:r>
        <w:rPr>
          <w:rFonts w:hint="eastAsia"/>
          <w:b/>
          <w:bCs/>
        </w:rPr>
        <w:t>：</w:t>
      </w:r>
      <w:r>
        <w:rPr>
          <w:rFonts w:hint="eastAsia"/>
          <w:b/>
          <w:bCs/>
          <w:u w:val="single"/>
        </w:rPr>
        <w:t xml:space="preserve">                               </w:t>
      </w:r>
      <w:r>
        <w:rPr>
          <w:rFonts w:hint="eastAsia"/>
          <w:b/>
          <w:bCs/>
        </w:rPr>
        <w:t xml:space="preserve">（盖章）              </w:t>
      </w:r>
    </w:p>
    <w:p w14:paraId="4EADA47E">
      <w:pPr>
        <w:bidi w:val="0"/>
        <w:rPr>
          <w:rFonts w:hint="eastAsia"/>
          <w:b/>
          <w:bCs/>
        </w:rPr>
      </w:pPr>
    </w:p>
    <w:p w14:paraId="6E17F236">
      <w:pPr>
        <w:bidi w:val="0"/>
        <w:rPr>
          <w:rFonts w:hint="eastAsia"/>
          <w:b/>
          <w:bCs/>
        </w:rPr>
      </w:pPr>
      <w:r>
        <w:rPr>
          <w:rFonts w:hint="eastAsia"/>
          <w:b/>
          <w:bCs/>
        </w:rPr>
        <w:t>法定代表人或授权代表：</w:t>
      </w:r>
      <w:r>
        <w:rPr>
          <w:rFonts w:hint="eastAsia"/>
          <w:b/>
          <w:bCs/>
          <w:u w:val="single"/>
        </w:rPr>
        <w:t xml:space="preserve">                   </w:t>
      </w:r>
      <w:r>
        <w:rPr>
          <w:rFonts w:hint="eastAsia"/>
          <w:b/>
          <w:bCs/>
        </w:rPr>
        <w:t xml:space="preserve">（签字或盖章）                 </w:t>
      </w:r>
    </w:p>
    <w:p w14:paraId="7F39CDB0">
      <w:pPr>
        <w:bidi w:val="0"/>
        <w:rPr>
          <w:rFonts w:hint="eastAsia"/>
          <w:b/>
          <w:bCs/>
        </w:rPr>
      </w:pPr>
    </w:p>
    <w:p w14:paraId="284023A4">
      <w:pPr>
        <w:bidi w:val="0"/>
        <w:rPr>
          <w:rFonts w:hint="eastAsia" w:ascii="仿宋" w:hAnsi="仿宋" w:eastAsia="仿宋" w:cs="仿宋"/>
          <w:b/>
          <w:bCs/>
          <w:color w:val="auto"/>
          <w:szCs w:val="30"/>
        </w:rPr>
      </w:pPr>
      <w:r>
        <w:rPr>
          <w:rFonts w:hint="eastAsia"/>
          <w:b/>
          <w:bCs/>
        </w:rPr>
        <w:t>日期：       年     月     日</w:t>
      </w:r>
    </w:p>
    <w:p w14:paraId="0D7A5947">
      <w:pPr>
        <w:widowControl/>
        <w:tabs>
          <w:tab w:val="left" w:pos="350"/>
          <w:tab w:val="left" w:pos="8280"/>
        </w:tabs>
        <w:spacing w:line="312" w:lineRule="auto"/>
        <w:ind w:firstLine="480"/>
        <w:jc w:val="left"/>
        <w:rPr>
          <w:rFonts w:hint="eastAsia" w:ascii="仿宋" w:hAnsi="仿宋" w:eastAsia="仿宋" w:cs="仿宋"/>
          <w:b/>
          <w:color w:val="auto"/>
          <w:sz w:val="32"/>
          <w:szCs w:val="32"/>
        </w:rPr>
      </w:pPr>
    </w:p>
    <w:p w14:paraId="02483AA7">
      <w:pPr>
        <w:spacing w:line="312" w:lineRule="auto"/>
        <w:jc w:val="center"/>
        <w:outlineLvl w:val="9"/>
        <w:rPr>
          <w:rFonts w:hint="eastAsia" w:ascii="仿宋" w:hAnsi="仿宋" w:eastAsia="仿宋" w:cs="仿宋"/>
          <w:b w:val="0"/>
        </w:rPr>
      </w:pPr>
    </w:p>
    <w:p w14:paraId="25468AE7">
      <w:pPr>
        <w:outlineLvl w:val="9"/>
        <w:rPr>
          <w:rFonts w:hint="eastAsia" w:ascii="仿宋" w:hAnsi="仿宋" w:eastAsia="仿宋" w:cs="仿宋"/>
          <w:color w:val="auto"/>
        </w:rPr>
      </w:pPr>
    </w:p>
    <w:p w14:paraId="7BC6AEE0">
      <w:pPr>
        <w:outlineLvl w:val="9"/>
        <w:rPr>
          <w:rFonts w:hint="eastAsia" w:ascii="仿宋" w:hAnsi="仿宋" w:eastAsia="仿宋" w:cs="仿宋"/>
          <w:color w:val="auto"/>
        </w:rPr>
      </w:pPr>
    </w:p>
    <w:p w14:paraId="1C7497E8">
      <w:pPr>
        <w:outlineLvl w:val="9"/>
        <w:rPr>
          <w:rFonts w:hint="eastAsia" w:ascii="仿宋" w:hAnsi="仿宋" w:eastAsia="仿宋" w:cs="仿宋"/>
          <w:color w:val="auto"/>
        </w:rPr>
      </w:pPr>
    </w:p>
    <w:p w14:paraId="72FEEB50">
      <w:pPr>
        <w:outlineLvl w:val="9"/>
        <w:rPr>
          <w:rFonts w:hint="eastAsia" w:ascii="仿宋" w:hAnsi="仿宋" w:eastAsia="仿宋" w:cs="仿宋"/>
          <w:color w:val="auto"/>
        </w:rPr>
      </w:pPr>
    </w:p>
    <w:p w14:paraId="15DD9BAF">
      <w:pPr>
        <w:outlineLvl w:val="9"/>
        <w:rPr>
          <w:rFonts w:hint="eastAsia" w:ascii="仿宋" w:hAnsi="仿宋" w:eastAsia="仿宋" w:cs="仿宋"/>
          <w:color w:val="auto"/>
        </w:rPr>
      </w:pPr>
    </w:p>
    <w:p w14:paraId="5E416461">
      <w:pPr>
        <w:outlineLvl w:val="9"/>
        <w:rPr>
          <w:rFonts w:hint="eastAsia" w:ascii="仿宋" w:hAnsi="仿宋" w:eastAsia="仿宋" w:cs="仿宋"/>
          <w:color w:val="auto"/>
        </w:rPr>
      </w:pPr>
    </w:p>
    <w:p w14:paraId="6DED1632">
      <w:pPr>
        <w:outlineLvl w:val="9"/>
        <w:rPr>
          <w:rFonts w:hint="eastAsia" w:ascii="仿宋" w:hAnsi="仿宋" w:eastAsia="仿宋" w:cs="仿宋"/>
          <w:color w:val="auto"/>
        </w:rPr>
      </w:pPr>
    </w:p>
    <w:p w14:paraId="1B943D0D">
      <w:pPr>
        <w:widowControl/>
        <w:tabs>
          <w:tab w:val="left" w:pos="8280"/>
        </w:tabs>
        <w:spacing w:line="312" w:lineRule="auto"/>
        <w:ind w:firstLine="480"/>
        <w:jc w:val="center"/>
        <w:rPr>
          <w:rFonts w:hint="eastAsia" w:ascii="仿宋" w:hAnsi="仿宋" w:eastAsia="仿宋" w:cs="仿宋"/>
          <w:b/>
          <w:color w:val="auto"/>
          <w:sz w:val="30"/>
          <w:szCs w:val="30"/>
        </w:rPr>
      </w:pPr>
    </w:p>
    <w:p w14:paraId="02458E47">
      <w:pPr>
        <w:pStyle w:val="5"/>
        <w:bidi w:val="0"/>
        <w:ind w:left="0" w:leftChars="0" w:firstLine="0" w:firstLineChars="0"/>
        <w:jc w:val="center"/>
        <w:rPr>
          <w:rFonts w:hint="eastAsia"/>
        </w:rPr>
      </w:pPr>
      <w:r>
        <w:rPr>
          <w:rFonts w:hint="eastAsia"/>
        </w:rPr>
        <w:t>二、评分索引表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761"/>
        <w:gridCol w:w="4272"/>
        <w:gridCol w:w="1366"/>
        <w:gridCol w:w="1108"/>
        <w:gridCol w:w="965"/>
      </w:tblGrid>
      <w:tr w14:paraId="4EDE7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D8E9D1A">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序号</w:t>
            </w:r>
          </w:p>
        </w:tc>
        <w:tc>
          <w:tcPr>
            <w:tcW w:w="761" w:type="dxa"/>
            <w:noWrap w:val="0"/>
            <w:vAlign w:val="center"/>
          </w:tcPr>
          <w:p w14:paraId="5193D5B8">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项目</w:t>
            </w:r>
          </w:p>
        </w:tc>
        <w:tc>
          <w:tcPr>
            <w:tcW w:w="4272" w:type="dxa"/>
            <w:noWrap w:val="0"/>
            <w:vAlign w:val="center"/>
          </w:tcPr>
          <w:p w14:paraId="4D92AB2F">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评分标准</w:t>
            </w:r>
          </w:p>
        </w:tc>
        <w:tc>
          <w:tcPr>
            <w:tcW w:w="1366" w:type="dxa"/>
            <w:noWrap w:val="0"/>
            <w:vAlign w:val="center"/>
          </w:tcPr>
          <w:p w14:paraId="7A703139">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分值</w:t>
            </w:r>
          </w:p>
        </w:tc>
        <w:tc>
          <w:tcPr>
            <w:tcW w:w="1108" w:type="dxa"/>
            <w:noWrap w:val="0"/>
            <w:vAlign w:val="center"/>
          </w:tcPr>
          <w:p w14:paraId="29E4B1A0">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自评分</w:t>
            </w:r>
          </w:p>
        </w:tc>
        <w:tc>
          <w:tcPr>
            <w:tcW w:w="965" w:type="dxa"/>
            <w:noWrap w:val="0"/>
            <w:vAlign w:val="center"/>
          </w:tcPr>
          <w:p w14:paraId="3BBB7B13">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
              </w:rPr>
            </w:pPr>
            <w:r>
              <w:rPr>
                <w:rFonts w:hint="eastAsia" w:ascii="仿宋" w:hAnsi="仿宋" w:eastAsia="仿宋" w:cs="仿宋"/>
                <w:b/>
              </w:rPr>
              <w:t>页码</w:t>
            </w:r>
          </w:p>
        </w:tc>
      </w:tr>
      <w:tr w14:paraId="75A0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1FC1DC02">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1</w:t>
            </w:r>
          </w:p>
        </w:tc>
        <w:tc>
          <w:tcPr>
            <w:tcW w:w="761" w:type="dxa"/>
            <w:noWrap w:val="0"/>
            <w:vAlign w:val="center"/>
          </w:tcPr>
          <w:p w14:paraId="19436CF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CFB63E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…（请按技术评分标准填写）</w:t>
            </w:r>
          </w:p>
        </w:tc>
        <w:tc>
          <w:tcPr>
            <w:tcW w:w="1366" w:type="dxa"/>
            <w:noWrap w:val="0"/>
            <w:vAlign w:val="center"/>
          </w:tcPr>
          <w:p w14:paraId="512A656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0779A7E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265C432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100E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A25E58D">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2</w:t>
            </w:r>
          </w:p>
        </w:tc>
        <w:tc>
          <w:tcPr>
            <w:tcW w:w="761" w:type="dxa"/>
            <w:noWrap w:val="0"/>
            <w:vAlign w:val="center"/>
          </w:tcPr>
          <w:p w14:paraId="70F67DD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2CBD00A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2418CA4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3DF84F3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F083AF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6511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1C60A566">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3</w:t>
            </w:r>
          </w:p>
        </w:tc>
        <w:tc>
          <w:tcPr>
            <w:tcW w:w="761" w:type="dxa"/>
            <w:noWrap w:val="0"/>
            <w:vAlign w:val="center"/>
          </w:tcPr>
          <w:p w14:paraId="64FA845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0F6678F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19FB07A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5A5594B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350C09E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0E9B3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D3E6E90">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4</w:t>
            </w:r>
          </w:p>
        </w:tc>
        <w:tc>
          <w:tcPr>
            <w:tcW w:w="761" w:type="dxa"/>
            <w:noWrap w:val="0"/>
            <w:vAlign w:val="center"/>
          </w:tcPr>
          <w:p w14:paraId="62178D6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1CE6F29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41DD585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FE3939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56E0832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C417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0E86E07D">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5</w:t>
            </w:r>
          </w:p>
        </w:tc>
        <w:tc>
          <w:tcPr>
            <w:tcW w:w="761" w:type="dxa"/>
            <w:noWrap w:val="0"/>
            <w:vAlign w:val="center"/>
          </w:tcPr>
          <w:p w14:paraId="691B5CE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0967E6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35D37C6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5E5B786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3C7B4A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2E008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5A24B0E">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6</w:t>
            </w:r>
          </w:p>
        </w:tc>
        <w:tc>
          <w:tcPr>
            <w:tcW w:w="761" w:type="dxa"/>
            <w:noWrap w:val="0"/>
            <w:vAlign w:val="center"/>
          </w:tcPr>
          <w:p w14:paraId="0840A98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085C7A0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1B3CB5E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2CE141D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6A5030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49B9C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3341AA01">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7</w:t>
            </w:r>
          </w:p>
        </w:tc>
        <w:tc>
          <w:tcPr>
            <w:tcW w:w="761" w:type="dxa"/>
            <w:noWrap w:val="0"/>
            <w:vAlign w:val="center"/>
          </w:tcPr>
          <w:p w14:paraId="72DD49A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595C2FA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1C71D2CA">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08ABE249">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04FCD2D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B236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C12B94C">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r>
              <w:rPr>
                <w:rFonts w:hint="eastAsia" w:ascii="仿宋" w:hAnsi="仿宋" w:eastAsia="仿宋" w:cs="仿宋"/>
                <w:bCs/>
              </w:rPr>
              <w:t>8</w:t>
            </w:r>
          </w:p>
        </w:tc>
        <w:tc>
          <w:tcPr>
            <w:tcW w:w="761" w:type="dxa"/>
            <w:noWrap w:val="0"/>
            <w:vAlign w:val="center"/>
          </w:tcPr>
          <w:p w14:paraId="0E71AA8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r>
              <w:rPr>
                <w:rFonts w:hint="eastAsia" w:ascii="仿宋" w:hAnsi="仿宋" w:eastAsia="仿宋" w:cs="仿宋"/>
                <w:bCs/>
              </w:rPr>
              <w:t>…</w:t>
            </w:r>
          </w:p>
        </w:tc>
        <w:tc>
          <w:tcPr>
            <w:tcW w:w="4272" w:type="dxa"/>
            <w:noWrap w:val="0"/>
            <w:vAlign w:val="center"/>
          </w:tcPr>
          <w:p w14:paraId="1D9BFA3D">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r>
              <w:rPr>
                <w:rFonts w:hint="eastAsia" w:ascii="仿宋" w:hAnsi="仿宋" w:eastAsia="仿宋" w:cs="仿宋"/>
                <w:bCs/>
              </w:rPr>
              <w:t>…</w:t>
            </w:r>
          </w:p>
        </w:tc>
        <w:tc>
          <w:tcPr>
            <w:tcW w:w="1366" w:type="dxa"/>
            <w:noWrap w:val="0"/>
            <w:vAlign w:val="center"/>
          </w:tcPr>
          <w:p w14:paraId="2815CA8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132683B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36C57F08">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034B8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0C2A63E5">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62A09F5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31DE6D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272A284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01CEA3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53AEFCB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7EBA5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29F7E168">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388F941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67879CD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0A1347D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40AD1EB2">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7AFEA5CF">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143EC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66FC7D76">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00FB2461">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6A1051B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668D8325">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7B83372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604E6F14">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7B108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84F3639">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5A71A9E0">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74A4AEF3">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4772136B">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398EB28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4B6AB86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r w14:paraId="3BF8B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99" w:type="dxa"/>
            <w:noWrap w:val="0"/>
            <w:vAlign w:val="center"/>
          </w:tcPr>
          <w:p w14:paraId="75EACACF">
            <w:pPr>
              <w:keepLines w:val="0"/>
              <w:pageBreakBefore w:val="0"/>
              <w:widowControl w:val="0"/>
              <w:kinsoku/>
              <w:wordWrap/>
              <w:overflowPunct/>
              <w:topLinePunct w:val="0"/>
              <w:autoSpaceDE w:val="0"/>
              <w:autoSpaceDN w:val="0"/>
              <w:bidi w:val="0"/>
              <w:adjustRightInd w:val="0"/>
              <w:ind w:firstLine="0" w:firstLineChars="0"/>
              <w:jc w:val="center"/>
              <w:textAlignment w:val="auto"/>
              <w:rPr>
                <w:rFonts w:hint="eastAsia" w:ascii="仿宋" w:hAnsi="仿宋" w:eastAsia="仿宋" w:cs="仿宋"/>
                <w:bCs/>
              </w:rPr>
            </w:pPr>
          </w:p>
        </w:tc>
        <w:tc>
          <w:tcPr>
            <w:tcW w:w="761" w:type="dxa"/>
            <w:noWrap w:val="0"/>
            <w:vAlign w:val="center"/>
          </w:tcPr>
          <w:p w14:paraId="53A308EC">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rPr>
            </w:pPr>
          </w:p>
        </w:tc>
        <w:tc>
          <w:tcPr>
            <w:tcW w:w="4272" w:type="dxa"/>
            <w:noWrap w:val="0"/>
            <w:vAlign w:val="center"/>
          </w:tcPr>
          <w:p w14:paraId="1DE9F6D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textAlignment w:val="auto"/>
              <w:rPr>
                <w:rFonts w:hint="eastAsia" w:ascii="仿宋" w:hAnsi="仿宋" w:eastAsia="仿宋" w:cs="仿宋"/>
                <w:bCs/>
              </w:rPr>
            </w:pPr>
          </w:p>
        </w:tc>
        <w:tc>
          <w:tcPr>
            <w:tcW w:w="1366" w:type="dxa"/>
            <w:noWrap w:val="0"/>
            <w:vAlign w:val="center"/>
          </w:tcPr>
          <w:p w14:paraId="61CF1757">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1108" w:type="dxa"/>
            <w:noWrap w:val="0"/>
            <w:vAlign w:val="center"/>
          </w:tcPr>
          <w:p w14:paraId="6326D6DE">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c>
          <w:tcPr>
            <w:tcW w:w="965" w:type="dxa"/>
            <w:noWrap w:val="0"/>
            <w:vAlign w:val="center"/>
          </w:tcPr>
          <w:p w14:paraId="1FFA7FE6">
            <w:pPr>
              <w:keepNext/>
              <w:keepLines w:val="0"/>
              <w:pageBreakBefore w:val="0"/>
              <w:widowControl w:val="0"/>
              <w:tabs>
                <w:tab w:val="left" w:pos="3808"/>
              </w:tabs>
              <w:kinsoku/>
              <w:wordWrap/>
              <w:overflowPunct/>
              <w:topLinePunct w:val="0"/>
              <w:autoSpaceDE w:val="0"/>
              <w:autoSpaceDN w:val="0"/>
              <w:bidi w:val="0"/>
              <w:adjustRightInd w:val="0"/>
              <w:snapToGrid w:val="0"/>
              <w:spacing w:before="60" w:after="60"/>
              <w:ind w:firstLine="0" w:firstLineChars="0"/>
              <w:jc w:val="center"/>
              <w:textAlignment w:val="auto"/>
              <w:rPr>
                <w:rFonts w:hint="eastAsia" w:ascii="仿宋" w:hAnsi="仿宋" w:eastAsia="仿宋" w:cs="仿宋"/>
                <w:bCs/>
                <w:spacing w:val="20"/>
              </w:rPr>
            </w:pPr>
          </w:p>
        </w:tc>
      </w:tr>
    </w:tbl>
    <w:p w14:paraId="6A53FD11">
      <w:pPr>
        <w:widowControl/>
        <w:tabs>
          <w:tab w:val="left" w:pos="450"/>
          <w:tab w:val="left" w:pos="2520"/>
          <w:tab w:val="left" w:pos="8280"/>
        </w:tabs>
        <w:spacing w:line="312" w:lineRule="auto"/>
        <w:ind w:left="0" w:leftChars="0" w:firstLine="426" w:firstLineChars="200"/>
        <w:jc w:val="both"/>
        <w:rPr>
          <w:rFonts w:hint="eastAsia" w:ascii="仿宋" w:hAnsi="仿宋" w:eastAsia="仿宋" w:cs="仿宋"/>
          <w:b/>
          <w:bCs/>
          <w:color w:val="auto"/>
          <w:sz w:val="28"/>
          <w:szCs w:val="28"/>
        </w:rPr>
      </w:pPr>
      <w:r>
        <w:rPr>
          <w:rFonts w:hint="eastAsia" w:ascii="仿宋" w:hAnsi="仿宋" w:eastAsia="仿宋" w:cs="仿宋"/>
          <w:b/>
          <w:spacing w:val="-4"/>
          <w:sz w:val="22"/>
          <w:szCs w:val="20"/>
        </w:rPr>
        <w:t>备注：该表格仅为方便评标之用，表格放置在技术文件目录的前页，以方便评标委员会进行评审。</w:t>
      </w:r>
    </w:p>
    <w:p w14:paraId="193FCAEC">
      <w:pPr>
        <w:rPr>
          <w:rFonts w:hint="eastAsia" w:ascii="仿宋" w:hAnsi="仿宋" w:eastAsia="仿宋" w:cs="仿宋"/>
          <w:color w:val="auto"/>
        </w:rPr>
      </w:pPr>
    </w:p>
    <w:p w14:paraId="4CB1807C">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pPr>
    </w:p>
    <w:p w14:paraId="1F15C6BB">
      <w:pPr>
        <w:widowControl/>
        <w:tabs>
          <w:tab w:val="left" w:pos="450"/>
          <w:tab w:val="left" w:pos="2520"/>
          <w:tab w:val="left" w:pos="8280"/>
        </w:tabs>
        <w:spacing w:line="312" w:lineRule="auto"/>
        <w:ind w:firstLine="480"/>
        <w:jc w:val="center"/>
        <w:rPr>
          <w:rFonts w:hint="eastAsia" w:ascii="仿宋" w:hAnsi="仿宋" w:eastAsia="仿宋" w:cs="仿宋"/>
          <w:b/>
          <w:bCs/>
          <w:color w:val="auto"/>
          <w:sz w:val="32"/>
          <w:szCs w:val="32"/>
        </w:rPr>
        <w:sectPr>
          <w:pgSz w:w="11906" w:h="16838"/>
          <w:pgMar w:top="1247" w:right="1134" w:bottom="1020" w:left="1418" w:header="851" w:footer="907" w:gutter="0"/>
          <w:pgNumType w:fmt="numberInDash"/>
          <w:cols w:space="720" w:num="1"/>
          <w:titlePg/>
          <w:docGrid w:type="lines" w:linePitch="312" w:charSpace="0"/>
        </w:sectPr>
      </w:pPr>
    </w:p>
    <w:p w14:paraId="3E47E7AD">
      <w:pPr>
        <w:pStyle w:val="5"/>
        <w:bidi w:val="0"/>
        <w:ind w:left="0" w:leftChars="0" w:firstLine="0" w:firstLineChars="0"/>
        <w:jc w:val="center"/>
        <w:rPr>
          <w:rFonts w:hint="eastAsia"/>
        </w:rPr>
      </w:pPr>
      <w:r>
        <w:rPr>
          <w:rFonts w:hint="eastAsia"/>
        </w:rPr>
        <w:t>三、授权委托书（格式）</w:t>
      </w:r>
    </w:p>
    <w:p w14:paraId="425DFF2E">
      <w:pPr>
        <w:spacing w:line="420" w:lineRule="exact"/>
        <w:rPr>
          <w:rFonts w:hint="eastAsia" w:ascii="仿宋" w:hAnsi="仿宋" w:eastAsia="仿宋" w:cs="仿宋"/>
          <w:color w:val="auto"/>
          <w:sz w:val="24"/>
          <w:szCs w:val="24"/>
        </w:rPr>
      </w:pPr>
    </w:p>
    <w:p w14:paraId="2E28C3B6">
      <w:pPr>
        <w:spacing w:line="360" w:lineRule="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lang w:eastAsia="zh-CN"/>
        </w:rPr>
        <w:t>浙江日晟信息咨询有限公司</w:t>
      </w:r>
    </w:p>
    <w:p w14:paraId="294EC75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系</w:t>
      </w:r>
      <w:r>
        <w:rPr>
          <w:rFonts w:hint="eastAsia" w:ascii="仿宋" w:hAnsi="仿宋" w:eastAsia="仿宋" w:cs="仿宋"/>
          <w:color w:val="auto"/>
          <w:sz w:val="24"/>
          <w:szCs w:val="24"/>
          <w:u w:val="single"/>
        </w:rPr>
        <w:t xml:space="preserve">        (投标人名称)　　　</w:t>
      </w:r>
      <w:r>
        <w:rPr>
          <w:rFonts w:hint="eastAsia" w:ascii="仿宋" w:hAnsi="仿宋" w:eastAsia="仿宋" w:cs="仿宋"/>
          <w:color w:val="auto"/>
          <w:sz w:val="24"/>
          <w:szCs w:val="24"/>
        </w:rPr>
        <w:t>的法定代表人，现授权委托本单位在职职工</w:t>
      </w:r>
      <w:r>
        <w:rPr>
          <w:rFonts w:hint="eastAsia" w:ascii="仿宋" w:hAnsi="仿宋" w:eastAsia="仿宋" w:cs="仿宋"/>
          <w:color w:val="auto"/>
          <w:sz w:val="24"/>
          <w:szCs w:val="24"/>
          <w:u w:val="single"/>
        </w:rPr>
        <w:t xml:space="preserve">   (姓名)  　 （职务：    身份证号码：     ）</w:t>
      </w:r>
      <w:r>
        <w:rPr>
          <w:rFonts w:hint="eastAsia" w:ascii="仿宋" w:hAnsi="仿宋" w:eastAsia="仿宋" w:cs="仿宋"/>
          <w:color w:val="auto"/>
          <w:sz w:val="24"/>
          <w:szCs w:val="24"/>
        </w:rPr>
        <w:t>以我方的名义参加贵中心组织的</w:t>
      </w:r>
      <w:r>
        <w:rPr>
          <w:rFonts w:hint="eastAsia" w:ascii="仿宋" w:hAnsi="仿宋" w:eastAsia="仿宋" w:cs="仿宋"/>
          <w:color w:val="auto"/>
          <w:sz w:val="24"/>
          <w:szCs w:val="24"/>
          <w:u w:val="single"/>
        </w:rPr>
        <w:t xml:space="preserve">       　(招标项目)        项目</w:t>
      </w:r>
      <w:r>
        <w:rPr>
          <w:rFonts w:hint="eastAsia" w:ascii="仿宋" w:hAnsi="仿宋" w:eastAsia="仿宋" w:cs="仿宋"/>
          <w:color w:val="auto"/>
          <w:sz w:val="24"/>
          <w:szCs w:val="24"/>
        </w:rPr>
        <w:t>的投标活动，并代表我方全权办理针对上述项目的投标、开标、评标、签约等具体事务和签署相关文件。</w:t>
      </w:r>
    </w:p>
    <w:p w14:paraId="2048591A">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我方对被授权人的签名事项负全部责任。</w:t>
      </w:r>
    </w:p>
    <w:p w14:paraId="096D0033">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在撤销授权的书面通知以前，本授权书一直有效。被授权人在授权书有效期内签署的所有文件不因授权的撤销而失效。</w:t>
      </w:r>
    </w:p>
    <w:p w14:paraId="20D846BD">
      <w:pPr>
        <w:snapToGrid w:val="0"/>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被授权人无转委托权，特此委托。</w:t>
      </w:r>
    </w:p>
    <w:p w14:paraId="498F67E0">
      <w:pPr>
        <w:spacing w:line="360" w:lineRule="auto"/>
        <w:rPr>
          <w:rFonts w:hint="eastAsia" w:ascii="仿宋" w:hAnsi="仿宋" w:eastAsia="仿宋" w:cs="仿宋"/>
          <w:color w:val="auto"/>
          <w:sz w:val="24"/>
          <w:szCs w:val="24"/>
        </w:rPr>
      </w:pPr>
    </w:p>
    <w:p w14:paraId="455CCBE8">
      <w:pPr>
        <w:spacing w:line="360" w:lineRule="auto"/>
        <w:rPr>
          <w:rFonts w:hint="eastAsia" w:ascii="仿宋" w:hAnsi="仿宋" w:eastAsia="仿宋" w:cs="仿宋"/>
          <w:color w:val="auto"/>
          <w:sz w:val="24"/>
          <w:szCs w:val="24"/>
        </w:rPr>
      </w:pPr>
    </w:p>
    <w:p w14:paraId="2EAB939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附：法定代表人和被授权人身份证</w:t>
      </w:r>
      <w:r>
        <w:rPr>
          <w:rFonts w:hint="eastAsia" w:cs="仿宋"/>
          <w:color w:val="auto"/>
          <w:sz w:val="24"/>
          <w:szCs w:val="24"/>
          <w:lang w:val="en-US" w:eastAsia="zh-CN"/>
        </w:rPr>
        <w:t>正反面</w:t>
      </w:r>
      <w:r>
        <w:rPr>
          <w:rFonts w:hint="eastAsia" w:ascii="仿宋" w:hAnsi="仿宋" w:eastAsia="仿宋" w:cs="仿宋"/>
          <w:color w:val="auto"/>
          <w:sz w:val="24"/>
          <w:szCs w:val="24"/>
        </w:rPr>
        <w:t>扫描件。</w:t>
      </w:r>
    </w:p>
    <w:p w14:paraId="6D4D9E9F">
      <w:pPr>
        <w:spacing w:line="360" w:lineRule="auto"/>
        <w:ind w:firstLine="4440" w:firstLineChars="1850"/>
        <w:rPr>
          <w:rFonts w:hint="eastAsia" w:ascii="仿宋" w:hAnsi="仿宋" w:eastAsia="仿宋" w:cs="仿宋"/>
          <w:color w:val="auto"/>
          <w:sz w:val="24"/>
          <w:szCs w:val="24"/>
        </w:rPr>
      </w:pPr>
    </w:p>
    <w:p w14:paraId="3FE3010E">
      <w:pPr>
        <w:spacing w:line="360" w:lineRule="auto"/>
        <w:ind w:firstLine="4440" w:firstLineChars="1850"/>
        <w:rPr>
          <w:rFonts w:hint="eastAsia" w:ascii="仿宋" w:hAnsi="仿宋" w:eastAsia="仿宋" w:cs="仿宋"/>
          <w:color w:val="auto"/>
          <w:sz w:val="24"/>
          <w:szCs w:val="24"/>
        </w:rPr>
      </w:pPr>
    </w:p>
    <w:p w14:paraId="6791FB4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p>
    <w:p w14:paraId="17A36EBE">
      <w:pPr>
        <w:spacing w:line="360" w:lineRule="auto"/>
        <w:ind w:firstLine="2640" w:firstLineChars="1100"/>
        <w:rPr>
          <w:rFonts w:hint="eastAsia" w:ascii="仿宋" w:hAnsi="仿宋" w:eastAsia="仿宋" w:cs="仿宋"/>
          <w:color w:val="auto"/>
          <w:sz w:val="24"/>
          <w:szCs w:val="24"/>
        </w:rPr>
      </w:pPr>
    </w:p>
    <w:p w14:paraId="7D046D8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法定代表人（签字或盖章）：</w:t>
      </w:r>
      <w:r>
        <w:rPr>
          <w:rFonts w:hint="eastAsia" w:ascii="仿宋" w:hAnsi="仿宋" w:eastAsia="仿宋" w:cs="仿宋"/>
          <w:color w:val="auto"/>
          <w:sz w:val="24"/>
          <w:szCs w:val="24"/>
          <w:u w:val="single"/>
        </w:rPr>
        <w:t xml:space="preserve">                  </w:t>
      </w:r>
    </w:p>
    <w:p w14:paraId="7D844C4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1717224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授权代表</w:t>
      </w:r>
      <w:r>
        <w:rPr>
          <w:rFonts w:hint="eastAsia" w:cs="仿宋"/>
          <w:color w:val="auto"/>
          <w:sz w:val="24"/>
          <w:szCs w:val="24"/>
          <w:lang w:eastAsia="zh-CN"/>
        </w:rPr>
        <w:t>人</w:t>
      </w:r>
      <w:r>
        <w:rPr>
          <w:rFonts w:hint="eastAsia" w:ascii="仿宋" w:hAnsi="仿宋" w:eastAsia="仿宋" w:cs="仿宋"/>
          <w:color w:val="auto"/>
          <w:sz w:val="24"/>
          <w:szCs w:val="24"/>
        </w:rPr>
        <w:t>（签字或盖章）：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093B2993">
      <w:pPr>
        <w:spacing w:line="360" w:lineRule="auto"/>
        <w:ind w:firstLine="3360" w:firstLineChars="1400"/>
        <w:rPr>
          <w:rFonts w:hint="eastAsia" w:ascii="仿宋" w:hAnsi="仿宋" w:eastAsia="仿宋" w:cs="仿宋"/>
          <w:bCs/>
          <w:color w:val="auto"/>
          <w:sz w:val="24"/>
          <w:szCs w:val="24"/>
        </w:rPr>
      </w:pPr>
    </w:p>
    <w:p w14:paraId="7B19ABC6">
      <w:pPr>
        <w:spacing w:line="360" w:lineRule="auto"/>
        <w:rPr>
          <w:rStyle w:val="32"/>
          <w:rFonts w:hint="eastAsia" w:ascii="仿宋" w:hAnsi="仿宋" w:eastAsia="仿宋" w:cs="仿宋"/>
          <w:b w:val="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13E3E204">
      <w:pPr>
        <w:numPr>
          <w:ilvl w:val="0"/>
          <w:numId w:val="0"/>
        </w:numPr>
        <w:tabs>
          <w:tab w:val="left" w:pos="432"/>
        </w:tabs>
        <w:jc w:val="center"/>
        <w:outlineLvl w:val="9"/>
        <w:rPr>
          <w:rStyle w:val="32"/>
          <w:rFonts w:hint="eastAsia" w:ascii="仿宋" w:hAnsi="仿宋" w:eastAsia="仿宋" w:cs="仿宋"/>
          <w:b w:val="0"/>
          <w:sz w:val="30"/>
          <w:szCs w:val="30"/>
        </w:rPr>
      </w:pPr>
    </w:p>
    <w:p w14:paraId="61949043">
      <w:pPr>
        <w:numPr>
          <w:ilvl w:val="0"/>
          <w:numId w:val="0"/>
        </w:numPr>
        <w:tabs>
          <w:tab w:val="left" w:pos="432"/>
        </w:tabs>
        <w:outlineLvl w:val="9"/>
        <w:rPr>
          <w:rStyle w:val="32"/>
          <w:rFonts w:hint="eastAsia" w:ascii="仿宋" w:hAnsi="仿宋" w:eastAsia="仿宋" w:cs="仿宋"/>
          <w:b w:val="0"/>
          <w:sz w:val="30"/>
          <w:szCs w:val="30"/>
        </w:rPr>
      </w:pPr>
    </w:p>
    <w:p w14:paraId="1E21609D">
      <w:pPr>
        <w:outlineLvl w:val="9"/>
        <w:rPr>
          <w:rFonts w:hint="eastAsia" w:ascii="仿宋" w:hAnsi="仿宋" w:eastAsia="仿宋" w:cs="仿宋"/>
        </w:rPr>
      </w:pPr>
    </w:p>
    <w:p w14:paraId="2ADB8A77">
      <w:pPr>
        <w:pStyle w:val="5"/>
        <w:bidi w:val="0"/>
        <w:ind w:left="0" w:leftChars="0" w:firstLine="0" w:firstLineChars="0"/>
        <w:jc w:val="center"/>
        <w:rPr>
          <w:rFonts w:hint="eastAsia"/>
        </w:rPr>
        <w:sectPr>
          <w:pgSz w:w="11906" w:h="16838"/>
          <w:pgMar w:top="1247" w:right="1134" w:bottom="1020" w:left="1418" w:header="851" w:footer="907" w:gutter="0"/>
          <w:pgNumType w:fmt="numberInDash"/>
          <w:cols w:space="720" w:num="1"/>
          <w:titlePg/>
          <w:docGrid w:type="lines" w:linePitch="312" w:charSpace="0"/>
        </w:sectPr>
      </w:pPr>
    </w:p>
    <w:p w14:paraId="2DFE9F62">
      <w:pPr>
        <w:pStyle w:val="5"/>
        <w:bidi w:val="0"/>
        <w:ind w:left="0" w:leftChars="0" w:firstLine="0" w:firstLineChars="0"/>
        <w:jc w:val="center"/>
        <w:rPr>
          <w:rFonts w:hint="eastAsia"/>
        </w:rPr>
      </w:pPr>
      <w:r>
        <w:rPr>
          <w:rFonts w:hint="eastAsia"/>
        </w:rPr>
        <w:t>四、符合参加政府采购活动应当具备的一般条件的承诺函（格式）</w:t>
      </w:r>
    </w:p>
    <w:p w14:paraId="6F60EDD5">
      <w:pPr>
        <w:snapToGrid w:val="0"/>
        <w:spacing w:line="360" w:lineRule="auto"/>
        <w:rPr>
          <w:rFonts w:hint="eastAsia" w:ascii="仿宋" w:hAnsi="仿宋" w:eastAsia="仿宋" w:cs="仿宋"/>
          <w:sz w:val="24"/>
          <w:u w:val="single"/>
        </w:rPr>
      </w:pPr>
    </w:p>
    <w:p w14:paraId="5A527EBB">
      <w:pPr>
        <w:snapToGrid w:val="0"/>
        <w:spacing w:line="360" w:lineRule="auto"/>
        <w:rPr>
          <w:rFonts w:hint="eastAsia" w:ascii="仿宋" w:hAnsi="仿宋" w:eastAsia="仿宋" w:cs="仿宋"/>
          <w:sz w:val="24"/>
        </w:rPr>
      </w:pPr>
      <w:r>
        <w:rPr>
          <w:rFonts w:hint="eastAsia" w:ascii="仿宋" w:hAnsi="仿宋" w:eastAsia="仿宋" w:cs="仿宋"/>
          <w:sz w:val="24"/>
          <w:u w:val="single"/>
        </w:rPr>
        <w:t>（采购单位）、（代理机构）</w:t>
      </w:r>
      <w:r>
        <w:rPr>
          <w:rFonts w:hint="eastAsia" w:ascii="仿宋" w:hAnsi="仿宋" w:eastAsia="仿宋" w:cs="仿宋"/>
          <w:sz w:val="24"/>
        </w:rPr>
        <w:t>：</w:t>
      </w:r>
    </w:p>
    <w:p w14:paraId="291068EA">
      <w:pPr>
        <w:snapToGrid w:val="0"/>
        <w:spacing w:line="360" w:lineRule="auto"/>
        <w:ind w:firstLine="420"/>
        <w:rPr>
          <w:rFonts w:hint="eastAsia" w:ascii="仿宋" w:hAnsi="仿宋" w:eastAsia="仿宋" w:cs="仿宋"/>
          <w:sz w:val="24"/>
        </w:rPr>
      </w:pPr>
      <w:r>
        <w:rPr>
          <w:rFonts w:hint="eastAsia" w:ascii="仿宋" w:hAnsi="仿宋" w:eastAsia="仿宋" w:cs="仿宋"/>
          <w:sz w:val="24"/>
        </w:rPr>
        <w:t>我方参与</w:t>
      </w:r>
      <w:r>
        <w:rPr>
          <w:rFonts w:hint="eastAsia" w:cs="仿宋"/>
          <w:sz w:val="24"/>
          <w:u w:val="single"/>
          <w:lang w:eastAsia="zh-CN"/>
        </w:rPr>
        <w:t>武义县公安局交通警察大队2025年-2026年交通信号灯维护项目</w:t>
      </w:r>
      <w:r>
        <w:rPr>
          <w:rFonts w:hint="eastAsia" w:ascii="仿宋" w:hAnsi="仿宋" w:eastAsia="仿宋" w:cs="仿宋"/>
          <w:sz w:val="24"/>
        </w:rPr>
        <w:t>【项目编号：</w:t>
      </w:r>
      <w:r>
        <w:rPr>
          <w:rFonts w:hint="eastAsia" w:cs="仿宋"/>
          <w:sz w:val="24"/>
          <w:lang w:eastAsia="zh-CN"/>
        </w:rPr>
        <w:t>ZJRS2025-CG060</w:t>
      </w:r>
      <w:r>
        <w:rPr>
          <w:rFonts w:hint="eastAsia" w:ascii="仿宋" w:hAnsi="仿宋" w:eastAsia="仿宋" w:cs="仿宋"/>
          <w:sz w:val="24"/>
        </w:rPr>
        <w:t>】政府采购活动，郑重承诺：</w:t>
      </w:r>
    </w:p>
    <w:p w14:paraId="71B1E056">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59E507C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具有独立承担民事责任的能力；</w:t>
      </w:r>
    </w:p>
    <w:p w14:paraId="07EEE74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 xml:space="preserve">具有良好的商业信誉和健全的财务会计制度； </w:t>
      </w:r>
    </w:p>
    <w:p w14:paraId="7AE9B91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w:t>
      </w:r>
      <w:r>
        <w:rPr>
          <w:rFonts w:hint="eastAsia" w:ascii="仿宋" w:hAnsi="仿宋" w:eastAsia="仿宋" w:cs="仿宋"/>
          <w:sz w:val="24"/>
        </w:rPr>
        <w:t>具有履行合同所必需的设备和专业技术能力；</w:t>
      </w:r>
    </w:p>
    <w:p w14:paraId="4842FD8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val="en-US" w:eastAsia="zh-CN"/>
        </w:rPr>
        <w:t>.</w:t>
      </w:r>
      <w:r>
        <w:rPr>
          <w:rFonts w:hint="eastAsia" w:ascii="仿宋" w:hAnsi="仿宋" w:eastAsia="仿宋" w:cs="仿宋"/>
          <w:sz w:val="24"/>
        </w:rPr>
        <w:t>有依法缴纳税收和社会保障资金的良好记录；</w:t>
      </w:r>
    </w:p>
    <w:p w14:paraId="13F8334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w:t>
      </w:r>
      <w:r>
        <w:rPr>
          <w:rFonts w:hint="eastAsia" w:ascii="仿宋" w:hAnsi="仿宋" w:eastAsia="仿宋" w:cs="仿宋"/>
          <w:sz w:val="24"/>
          <w:lang w:val="en-US" w:eastAsia="zh-CN"/>
        </w:rPr>
        <w:t>.</w:t>
      </w:r>
      <w:r>
        <w:rPr>
          <w:rFonts w:hint="eastAsia" w:ascii="仿宋" w:hAnsi="仿宋" w:eastAsia="仿宋" w:cs="仿宋"/>
          <w:sz w:val="24"/>
        </w:rPr>
        <w:t>参加政府采购活动前三年内，在经营活动中没有重大违法记录；</w:t>
      </w:r>
    </w:p>
    <w:p w14:paraId="09D27CC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sz w:val="24"/>
          <w:lang w:val="en-US" w:eastAsia="zh-CN"/>
        </w:rPr>
        <w:t>.</w:t>
      </w:r>
      <w:r>
        <w:rPr>
          <w:rFonts w:hint="eastAsia" w:ascii="仿宋" w:hAnsi="仿宋" w:eastAsia="仿宋" w:cs="仿宋"/>
          <w:sz w:val="24"/>
        </w:rPr>
        <w:t>具有法律、行政法规规定的其他条件。</w:t>
      </w:r>
    </w:p>
    <w:p w14:paraId="532E017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527000C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3E503F4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w:t>
      </w:r>
      <w:r>
        <w:rPr>
          <w:rFonts w:hint="eastAsia" w:ascii="仿宋" w:hAnsi="仿宋" w:eastAsia="仿宋" w:cs="仿宋"/>
          <w:sz w:val="24"/>
        </w:rPr>
        <w:t>单位负责人为同一人或者存在直接控股、管理关系的不同供应商参加同一合同项下的政府采购活动的；</w:t>
      </w:r>
    </w:p>
    <w:p w14:paraId="07F8CFC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w:t>
      </w:r>
      <w:r>
        <w:rPr>
          <w:rFonts w:hint="eastAsia" w:ascii="仿宋" w:hAnsi="仿宋" w:eastAsia="仿宋" w:cs="仿宋"/>
          <w:sz w:val="24"/>
        </w:rPr>
        <w:t>为采购项目提供整体设计、规范编制或者项目管理、监理、检测等服务后再参加该采购项目的其他采购活动的。</w:t>
      </w:r>
    </w:p>
    <w:p w14:paraId="7579B0E1">
      <w:pPr>
        <w:pStyle w:val="11"/>
        <w:snapToGrid w:val="0"/>
        <w:spacing w:line="360" w:lineRule="auto"/>
        <w:rPr>
          <w:rFonts w:hint="eastAsia" w:ascii="仿宋" w:hAnsi="仿宋" w:eastAsia="仿宋" w:cs="仿宋"/>
        </w:rPr>
      </w:pPr>
    </w:p>
    <w:p w14:paraId="2640D9FB">
      <w:pPr>
        <w:snapToGrid w:val="0"/>
        <w:spacing w:line="360" w:lineRule="auto"/>
        <w:rPr>
          <w:rFonts w:hint="eastAsia" w:ascii="仿宋" w:hAnsi="仿宋" w:eastAsia="仿宋" w:cs="仿宋"/>
        </w:rPr>
      </w:pPr>
    </w:p>
    <w:p w14:paraId="4ACAE1BF">
      <w:pPr>
        <w:snapToGrid w:val="0"/>
        <w:spacing w:line="600" w:lineRule="auto"/>
        <w:jc w:val="left"/>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1854417E">
      <w:pPr>
        <w:snapToGrid w:val="0"/>
        <w:spacing w:line="600" w:lineRule="auto"/>
        <w:jc w:val="left"/>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4D0BDA5D">
      <w:pPr>
        <w:snapToGrid w:val="0"/>
        <w:spacing w:line="600" w:lineRule="auto"/>
        <w:jc w:val="left"/>
        <w:rPr>
          <w:rFonts w:hint="eastAsia" w:ascii="仿宋" w:hAnsi="仿宋" w:eastAsia="仿宋" w:cs="仿宋"/>
          <w:b/>
          <w:bCs/>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6500C579">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6F475AB1">
      <w:pPr>
        <w:widowControl/>
        <w:tabs>
          <w:tab w:val="left" w:pos="450"/>
          <w:tab w:val="left" w:pos="2520"/>
          <w:tab w:val="left" w:pos="8280"/>
        </w:tabs>
        <w:spacing w:line="312" w:lineRule="auto"/>
        <w:ind w:firstLine="480"/>
        <w:jc w:val="center"/>
        <w:rPr>
          <w:rFonts w:hint="eastAsia" w:ascii="仿宋" w:hAnsi="仿宋" w:eastAsia="仿宋" w:cs="仿宋"/>
          <w:b/>
          <w:bCs/>
          <w:color w:val="auto"/>
          <w:sz w:val="30"/>
          <w:szCs w:val="30"/>
        </w:rPr>
      </w:pPr>
    </w:p>
    <w:p w14:paraId="209E56CA">
      <w:pPr>
        <w:pStyle w:val="5"/>
        <w:bidi w:val="0"/>
        <w:ind w:left="0" w:leftChars="0" w:firstLine="0" w:firstLineChars="0"/>
        <w:jc w:val="center"/>
        <w:rPr>
          <w:rFonts w:hint="eastAsia" w:ascii="仿宋" w:hAnsi="仿宋" w:eastAsia="仿宋" w:cs="仿宋"/>
          <w:color w:val="auto"/>
          <w:spacing w:val="8"/>
          <w:sz w:val="24"/>
          <w:szCs w:val="24"/>
        </w:rPr>
      </w:pPr>
      <w:r>
        <w:rPr>
          <w:rFonts w:hint="eastAsia"/>
        </w:rPr>
        <w:t>五、投标函（格式）</w:t>
      </w:r>
    </w:p>
    <w:p w14:paraId="0C9872EE">
      <w:pPr>
        <w:spacing w:line="420" w:lineRule="exact"/>
        <w:rPr>
          <w:rFonts w:hint="eastAsia" w:ascii="仿宋" w:hAnsi="仿宋" w:eastAsia="仿宋" w:cs="仿宋"/>
          <w:color w:val="auto"/>
          <w:spacing w:val="8"/>
          <w:sz w:val="24"/>
          <w:szCs w:val="24"/>
          <w:lang w:eastAsia="zh-CN"/>
        </w:rPr>
      </w:pPr>
      <w:r>
        <w:rPr>
          <w:rFonts w:hint="eastAsia" w:ascii="仿宋" w:hAnsi="仿宋" w:eastAsia="仿宋" w:cs="仿宋"/>
          <w:color w:val="auto"/>
          <w:spacing w:val="8"/>
          <w:sz w:val="24"/>
          <w:szCs w:val="24"/>
        </w:rPr>
        <w:t>致：</w:t>
      </w:r>
      <w:r>
        <w:rPr>
          <w:rFonts w:hint="eastAsia" w:ascii="仿宋" w:hAnsi="仿宋" w:eastAsia="仿宋" w:cs="仿宋"/>
          <w:color w:val="auto"/>
          <w:spacing w:val="8"/>
          <w:sz w:val="24"/>
          <w:szCs w:val="24"/>
          <w:u w:val="single"/>
          <w:lang w:eastAsia="zh-CN"/>
        </w:rPr>
        <w:t>浙江日晟信息咨询有限公司</w:t>
      </w:r>
    </w:p>
    <w:p w14:paraId="5F3523AE">
      <w:pPr>
        <w:spacing w:line="420" w:lineRule="exact"/>
        <w:ind w:firstLine="384" w:firstLineChars="150"/>
        <w:rPr>
          <w:rFonts w:hint="eastAsia" w:ascii="仿宋" w:hAnsi="仿宋" w:eastAsia="仿宋" w:cs="仿宋"/>
          <w:color w:val="auto"/>
          <w:sz w:val="24"/>
          <w:szCs w:val="24"/>
        </w:rPr>
      </w:pPr>
      <w:r>
        <w:rPr>
          <w:rFonts w:hint="eastAsia" w:ascii="仿宋" w:hAnsi="仿宋" w:eastAsia="仿宋" w:cs="仿宋"/>
          <w:color w:val="auto"/>
          <w:spacing w:val="8"/>
          <w:sz w:val="24"/>
          <w:szCs w:val="24"/>
        </w:rPr>
        <w:t>根据贵方</w:t>
      </w:r>
      <w:r>
        <w:rPr>
          <w:rFonts w:hint="eastAsia" w:cs="仿宋"/>
          <w:sz w:val="24"/>
          <w:u w:val="single"/>
          <w:lang w:eastAsia="zh-CN"/>
        </w:rPr>
        <w:t>武义县公安局交通警察大队2025年-2026年交通信号灯维护项目</w:t>
      </w:r>
      <w:r>
        <w:rPr>
          <w:rFonts w:hint="eastAsia" w:ascii="仿宋" w:hAnsi="仿宋" w:eastAsia="仿宋" w:cs="仿宋"/>
          <w:color w:val="auto"/>
          <w:spacing w:val="8"/>
          <w:sz w:val="24"/>
          <w:szCs w:val="24"/>
        </w:rPr>
        <w:t>的招标文件（项目编号：</w:t>
      </w:r>
      <w:r>
        <w:rPr>
          <w:rFonts w:hint="eastAsia" w:cs="仿宋"/>
          <w:color w:val="auto"/>
          <w:spacing w:val="8"/>
          <w:sz w:val="24"/>
          <w:szCs w:val="24"/>
          <w:u w:val="single"/>
          <w:lang w:eastAsia="zh-CN"/>
        </w:rPr>
        <w:t>ZJRS2025-CG060</w:t>
      </w:r>
      <w:r>
        <w:rPr>
          <w:rFonts w:hint="eastAsia" w:ascii="仿宋" w:hAnsi="仿宋" w:eastAsia="仿宋" w:cs="仿宋"/>
          <w:color w:val="auto"/>
          <w:spacing w:val="8"/>
          <w:sz w:val="24"/>
          <w:szCs w:val="24"/>
        </w:rPr>
        <w:t xml:space="preserve">）有关要求， </w:t>
      </w:r>
      <w:r>
        <w:rPr>
          <w:rFonts w:hint="eastAsia" w:ascii="仿宋" w:hAnsi="仿宋" w:eastAsia="仿宋" w:cs="仿宋"/>
          <w:color w:val="auto"/>
          <w:spacing w:val="8"/>
          <w:sz w:val="24"/>
          <w:szCs w:val="24"/>
          <w:u w:val="single"/>
        </w:rPr>
        <w:t xml:space="preserve">   　　（投标人全称）       </w:t>
      </w:r>
      <w:r>
        <w:rPr>
          <w:rFonts w:hint="eastAsia" w:ascii="仿宋" w:hAnsi="仿宋" w:eastAsia="仿宋" w:cs="仿宋"/>
          <w:color w:val="auto"/>
          <w:spacing w:val="8"/>
          <w:sz w:val="24"/>
          <w:szCs w:val="24"/>
        </w:rPr>
        <w:t>授权</w:t>
      </w:r>
      <w:r>
        <w:rPr>
          <w:rFonts w:hint="eastAsia" w:ascii="仿宋" w:hAnsi="仿宋" w:eastAsia="仿宋" w:cs="仿宋"/>
          <w:color w:val="auto"/>
          <w:spacing w:val="8"/>
          <w:sz w:val="24"/>
          <w:szCs w:val="24"/>
          <w:u w:val="single"/>
        </w:rPr>
        <w:t xml:space="preserve">     （委托代理人姓名）   </w:t>
      </w:r>
      <w:r>
        <w:rPr>
          <w:rFonts w:hint="eastAsia" w:ascii="仿宋" w:hAnsi="仿宋" w:eastAsia="仿宋" w:cs="仿宋"/>
          <w:color w:val="auto"/>
          <w:sz w:val="24"/>
          <w:szCs w:val="24"/>
        </w:rPr>
        <w:t>为全权代表，参加贵方组织的招标采购活动，并进行投标。为此：</w:t>
      </w:r>
    </w:p>
    <w:p w14:paraId="14F0326D">
      <w:pPr>
        <w:snapToGrid w:val="0"/>
        <w:spacing w:line="420" w:lineRule="exact"/>
        <w:ind w:firstLine="480" w:firstLineChars="200"/>
        <w:rPr>
          <w:rFonts w:hint="eastAsia" w:ascii="仿宋" w:hAnsi="仿宋" w:eastAsia="仿宋" w:cs="仿宋"/>
          <w:bCs/>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我方已详细研读了全部招标文件，包括修改文件（如有的话）以及全部参考资料和有关附件等，</w:t>
      </w:r>
      <w:r>
        <w:rPr>
          <w:rFonts w:hint="eastAsia" w:ascii="仿宋" w:hAnsi="仿宋" w:eastAsia="仿宋" w:cs="仿宋"/>
          <w:bCs/>
          <w:color w:val="auto"/>
          <w:sz w:val="24"/>
          <w:szCs w:val="24"/>
        </w:rPr>
        <w:t>完全理解并接受招标文件的各项规定和要求，对招标文件的合理性、合法性不再有异议</w:t>
      </w:r>
      <w:r>
        <w:rPr>
          <w:rFonts w:hint="eastAsia" w:cs="仿宋"/>
          <w:bCs/>
          <w:color w:val="auto"/>
          <w:sz w:val="24"/>
          <w:szCs w:val="24"/>
          <w:lang w:eastAsia="zh-CN"/>
        </w:rPr>
        <w:t>；</w:t>
      </w:r>
    </w:p>
    <w:p w14:paraId="0B1FAC4A">
      <w:pPr>
        <w:tabs>
          <w:tab w:val="left" w:pos="900"/>
        </w:tabs>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我方承诺本投标文件在开标之日起至投标有效期满均具有约束力，并严格遵守投标文件中的承诺</w:t>
      </w:r>
      <w:r>
        <w:rPr>
          <w:rFonts w:hint="eastAsia" w:cs="仿宋"/>
          <w:color w:val="auto"/>
          <w:sz w:val="24"/>
          <w:szCs w:val="24"/>
          <w:lang w:eastAsia="zh-CN"/>
        </w:rPr>
        <w:t>；</w:t>
      </w:r>
    </w:p>
    <w:p w14:paraId="4892C3A3">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我方承诺已经具备《中华人民共和国政府采购法》及招标文件中规定的参加本项目的供应商资格条件</w:t>
      </w:r>
      <w:r>
        <w:rPr>
          <w:rFonts w:hint="eastAsia" w:cs="仿宋"/>
          <w:color w:val="auto"/>
          <w:sz w:val="24"/>
          <w:szCs w:val="24"/>
          <w:lang w:eastAsia="zh-CN"/>
        </w:rPr>
        <w:t>；</w:t>
      </w:r>
    </w:p>
    <w:p w14:paraId="59CB83B0">
      <w:pPr>
        <w:snapToGrid w:val="0"/>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我方严格按照招标文件的规定报价，并提供招标文件规定的全部投标文件</w:t>
      </w:r>
      <w:r>
        <w:rPr>
          <w:rFonts w:hint="eastAsia" w:cs="仿宋"/>
          <w:color w:val="auto"/>
          <w:sz w:val="24"/>
          <w:szCs w:val="24"/>
          <w:lang w:eastAsia="zh-CN"/>
        </w:rPr>
        <w:t>；</w:t>
      </w:r>
    </w:p>
    <w:p w14:paraId="662A093F">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如我方中标，投标文件将作为本项目合同的组成部分，直到合同履行完毕均保持有效，我方将按招标文件及政府采购法律、法规的规定履行合同责任和义务</w:t>
      </w:r>
      <w:r>
        <w:rPr>
          <w:rFonts w:hint="eastAsia" w:cs="仿宋"/>
          <w:color w:val="auto"/>
          <w:sz w:val="24"/>
          <w:szCs w:val="24"/>
          <w:lang w:eastAsia="zh-CN"/>
        </w:rPr>
        <w:t>；</w:t>
      </w:r>
    </w:p>
    <w:p w14:paraId="4BD5E4F9">
      <w:pPr>
        <w:spacing w:line="420" w:lineRule="exact"/>
        <w:ind w:firstLine="480"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我方完全理解贵方不一定接受最低价的投标</w:t>
      </w:r>
      <w:r>
        <w:rPr>
          <w:rFonts w:hint="eastAsia" w:cs="仿宋"/>
          <w:color w:val="auto"/>
          <w:sz w:val="24"/>
          <w:szCs w:val="24"/>
          <w:lang w:eastAsia="zh-CN"/>
        </w:rPr>
        <w:t>；</w:t>
      </w:r>
    </w:p>
    <w:p w14:paraId="3B2BC47A">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我方同意向贵方提供任何与该项投标有关的一切数据或资料。若贵方需要，我方愿意提供我方作出的一切承诺的证明材料。</w:t>
      </w:r>
    </w:p>
    <w:p w14:paraId="75968A8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与本次投标有关的一切正式往来通讯，请寄</w:t>
      </w:r>
    </w:p>
    <w:p w14:paraId="06CA0010">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single"/>
        </w:rPr>
        <w:t xml:space="preserve">                     </w:t>
      </w:r>
    </w:p>
    <w:p w14:paraId="0C14AC42">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电话：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传真：</w:t>
      </w:r>
      <w:r>
        <w:rPr>
          <w:rFonts w:hint="eastAsia" w:ascii="仿宋" w:hAnsi="仿宋" w:eastAsia="仿宋" w:cs="仿宋"/>
          <w:color w:val="auto"/>
          <w:sz w:val="24"/>
          <w:szCs w:val="24"/>
          <w:u w:val="single"/>
        </w:rPr>
        <w:t xml:space="preserve">                     </w:t>
      </w:r>
    </w:p>
    <w:p w14:paraId="679EABD8">
      <w:pPr>
        <w:spacing w:line="420" w:lineRule="exact"/>
        <w:ind w:firstLine="480" w:firstLineChars="200"/>
        <w:rPr>
          <w:rFonts w:hint="eastAsia" w:ascii="仿宋" w:hAnsi="仿宋" w:eastAsia="仿宋" w:cs="仿宋"/>
          <w:color w:val="auto"/>
          <w:sz w:val="24"/>
          <w:szCs w:val="24"/>
        </w:rPr>
      </w:pPr>
    </w:p>
    <w:p w14:paraId="6D84B575">
      <w:pPr>
        <w:spacing w:line="42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投标</w:t>
      </w:r>
      <w:r>
        <w:rPr>
          <w:rFonts w:hint="eastAsia" w:ascii="仿宋" w:hAnsi="仿宋" w:eastAsia="仿宋" w:cs="仿宋"/>
          <w:color w:val="auto"/>
          <w:sz w:val="24"/>
          <w:szCs w:val="24"/>
          <w:u w:val="none"/>
        </w:rPr>
        <w:t>人（盖章）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1A076A51">
      <w:pPr>
        <w:spacing w:line="420" w:lineRule="exact"/>
        <w:ind w:firstLine="480" w:firstLineChars="200"/>
        <w:rPr>
          <w:rFonts w:hint="eastAsia" w:ascii="仿宋" w:hAnsi="仿宋" w:eastAsia="仿宋" w:cs="仿宋"/>
          <w:color w:val="auto"/>
          <w:sz w:val="24"/>
          <w:szCs w:val="24"/>
        </w:rPr>
      </w:pPr>
    </w:p>
    <w:p w14:paraId="6A1E42B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法定代表人或授权代表（签字或盖章）：</w:t>
      </w:r>
      <w:r>
        <w:rPr>
          <w:rFonts w:hint="eastAsia" w:ascii="仿宋" w:hAnsi="仿宋" w:eastAsia="仿宋" w:cs="仿宋"/>
          <w:color w:val="auto"/>
          <w:sz w:val="24"/>
          <w:szCs w:val="24"/>
          <w:u w:val="single"/>
        </w:rPr>
        <w:t xml:space="preserve">                  </w:t>
      </w:r>
    </w:p>
    <w:p w14:paraId="5DDFA50F">
      <w:pPr>
        <w:spacing w:line="420" w:lineRule="exact"/>
        <w:ind w:firstLine="480" w:firstLineChars="200"/>
        <w:rPr>
          <w:rFonts w:hint="eastAsia" w:ascii="仿宋" w:hAnsi="仿宋" w:eastAsia="仿宋" w:cs="仿宋"/>
          <w:color w:val="auto"/>
          <w:sz w:val="24"/>
          <w:szCs w:val="24"/>
        </w:rPr>
      </w:pPr>
    </w:p>
    <w:p w14:paraId="4B599B47">
      <w:pPr>
        <w:spacing w:line="312"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7DE12A83">
      <w:pPr>
        <w:spacing w:line="312" w:lineRule="auto"/>
        <w:rPr>
          <w:rFonts w:hint="eastAsia" w:ascii="仿宋" w:hAnsi="仿宋" w:eastAsia="仿宋" w:cs="仿宋"/>
          <w:color w:val="auto"/>
          <w:sz w:val="24"/>
          <w:szCs w:val="24"/>
        </w:rPr>
      </w:pPr>
    </w:p>
    <w:p w14:paraId="6D421802">
      <w:pPr>
        <w:spacing w:line="312" w:lineRule="auto"/>
        <w:rPr>
          <w:rFonts w:hint="eastAsia" w:ascii="仿宋" w:hAnsi="仿宋" w:eastAsia="仿宋" w:cs="仿宋"/>
          <w:color w:val="auto"/>
          <w:sz w:val="24"/>
          <w:szCs w:val="24"/>
        </w:rPr>
      </w:pPr>
    </w:p>
    <w:p w14:paraId="6092E137">
      <w:pPr>
        <w:spacing w:line="312" w:lineRule="auto"/>
        <w:rPr>
          <w:rFonts w:hint="eastAsia" w:ascii="仿宋" w:hAnsi="仿宋" w:eastAsia="仿宋" w:cs="仿宋"/>
          <w:color w:val="auto"/>
          <w:sz w:val="24"/>
          <w:szCs w:val="24"/>
        </w:rPr>
      </w:pPr>
    </w:p>
    <w:p w14:paraId="3C064D3C">
      <w:pPr>
        <w:spacing w:line="312" w:lineRule="auto"/>
        <w:rPr>
          <w:rFonts w:hint="eastAsia" w:ascii="仿宋" w:hAnsi="仿宋" w:eastAsia="仿宋" w:cs="仿宋"/>
          <w:color w:val="auto"/>
          <w:sz w:val="24"/>
          <w:szCs w:val="24"/>
        </w:rPr>
      </w:pPr>
    </w:p>
    <w:p w14:paraId="2DD4312D">
      <w:pPr>
        <w:pStyle w:val="15"/>
        <w:ind w:left="0" w:leftChars="0"/>
        <w:rPr>
          <w:rFonts w:hint="eastAsia" w:ascii="仿宋" w:hAnsi="仿宋" w:eastAsia="仿宋" w:cs="仿宋"/>
        </w:rPr>
      </w:pPr>
    </w:p>
    <w:p w14:paraId="0479CB6D">
      <w:pPr>
        <w:pStyle w:val="5"/>
        <w:bidi w:val="0"/>
        <w:ind w:left="0" w:leftChars="0" w:firstLine="0" w:firstLineChars="0"/>
        <w:jc w:val="center"/>
        <w:rPr>
          <w:rFonts w:hint="eastAsia" w:ascii="仿宋" w:hAnsi="仿宋" w:eastAsia="仿宋" w:cs="仿宋"/>
          <w:sz w:val="24"/>
        </w:rPr>
      </w:pPr>
      <w:r>
        <w:rPr>
          <w:rFonts w:hint="eastAsia"/>
        </w:rPr>
        <w:t>六、</w:t>
      </w:r>
      <w:bookmarkStart w:id="7" w:name="_Toc331876394"/>
      <w:bookmarkStart w:id="8" w:name="_Toc48672384"/>
      <w:r>
        <w:rPr>
          <w:rFonts w:hint="eastAsia"/>
        </w:rPr>
        <w:t>开标一览表（格式</w:t>
      </w:r>
      <w:r>
        <w:rPr>
          <w:rFonts w:hint="eastAsia"/>
          <w:lang w:eastAsia="zh-CN"/>
        </w:rPr>
        <w:t>）</w:t>
      </w:r>
      <w:r>
        <w:rPr>
          <w:rFonts w:hint="eastAsia" w:ascii="仿宋" w:hAnsi="仿宋" w:eastAsia="仿宋" w:cs="仿宋"/>
          <w:color w:val="auto"/>
          <w:sz w:val="24"/>
          <w:szCs w:val="24"/>
        </w:rPr>
        <w:t xml:space="preserve">                       </w:t>
      </w:r>
      <w:r>
        <w:rPr>
          <w:rFonts w:hint="eastAsia" w:ascii="仿宋" w:hAnsi="仿宋" w:eastAsia="仿宋" w:cs="仿宋"/>
          <w:sz w:val="24"/>
        </w:rPr>
        <w:t xml:space="preserve">                                                     </w:t>
      </w:r>
    </w:p>
    <w:p w14:paraId="4F902DB2">
      <w:pPr>
        <w:spacing w:line="480" w:lineRule="auto"/>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cs="仿宋"/>
          <w:sz w:val="24"/>
          <w:szCs w:val="24"/>
          <w:lang w:eastAsia="zh-CN"/>
        </w:rPr>
        <w:t>武义县公安局交通警察大队2025年-2026年交通信号灯维护项目</w:t>
      </w:r>
    </w:p>
    <w:p w14:paraId="7FFBF891">
      <w:pPr>
        <w:spacing w:line="480" w:lineRule="auto"/>
        <w:rPr>
          <w:rFonts w:hint="eastAsia" w:ascii="仿宋" w:hAnsi="仿宋" w:eastAsia="仿宋" w:cs="仿宋"/>
          <w:sz w:val="24"/>
          <w:szCs w:val="24"/>
          <w:lang w:eastAsia="zh-CN"/>
        </w:rPr>
      </w:pPr>
      <w:r>
        <w:rPr>
          <w:rFonts w:hint="eastAsia" w:ascii="仿宋" w:hAnsi="仿宋" w:eastAsia="仿宋" w:cs="仿宋"/>
          <w:color w:val="auto"/>
          <w:sz w:val="24"/>
          <w:szCs w:val="24"/>
        </w:rPr>
        <w:t>项目编号：</w:t>
      </w:r>
      <w:r>
        <w:rPr>
          <w:rFonts w:hint="eastAsia" w:cs="仿宋"/>
          <w:color w:val="auto"/>
          <w:sz w:val="24"/>
          <w:szCs w:val="24"/>
          <w:lang w:eastAsia="zh-CN"/>
        </w:rPr>
        <w:t>ZJRS2025-CG060</w:t>
      </w:r>
    </w:p>
    <w:p w14:paraId="71EAA89A">
      <w:pPr>
        <w:jc w:val="cente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20"/>
        <w:tblW w:w="9309" w:type="dxa"/>
        <w:tblInd w:w="5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8"/>
        <w:gridCol w:w="4635"/>
        <w:gridCol w:w="3506"/>
      </w:tblGrid>
      <w:tr w14:paraId="0FB245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3" w:hRule="atLeast"/>
        </w:trPr>
        <w:tc>
          <w:tcPr>
            <w:tcW w:w="1168" w:type="dxa"/>
            <w:tcBorders>
              <w:top w:val="single" w:color="000000" w:sz="4" w:space="0"/>
              <w:left w:val="single" w:color="000000" w:sz="4" w:space="0"/>
              <w:bottom w:val="single" w:color="000000" w:sz="4" w:space="0"/>
              <w:right w:val="single" w:color="000000" w:sz="4" w:space="0"/>
            </w:tcBorders>
            <w:noWrap w:val="0"/>
            <w:vAlign w:val="center"/>
          </w:tcPr>
          <w:p w14:paraId="397D00F2">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8"/>
                <w:rFonts w:ascii="仿宋" w:hAnsi="仿宋" w:eastAsia="仿宋"/>
                <w:b/>
                <w:sz w:val="24"/>
                <w:szCs w:val="24"/>
              </w:rPr>
            </w:pPr>
            <w:r>
              <w:rPr>
                <w:rStyle w:val="28"/>
                <w:rFonts w:hint="eastAsia" w:ascii="仿宋" w:hAnsi="仿宋" w:eastAsia="仿宋"/>
                <w:b/>
                <w:sz w:val="24"/>
                <w:szCs w:val="24"/>
              </w:rPr>
              <w:t>序号</w:t>
            </w:r>
          </w:p>
        </w:tc>
        <w:tc>
          <w:tcPr>
            <w:tcW w:w="4635" w:type="dxa"/>
            <w:tcBorders>
              <w:top w:val="single" w:color="000000" w:sz="4" w:space="0"/>
              <w:left w:val="single" w:color="000000" w:sz="4" w:space="0"/>
              <w:bottom w:val="single" w:color="000000" w:sz="4" w:space="0"/>
              <w:right w:val="single" w:color="000000" w:sz="4" w:space="0"/>
            </w:tcBorders>
            <w:noWrap w:val="0"/>
            <w:vAlign w:val="center"/>
          </w:tcPr>
          <w:p w14:paraId="17D33D58">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8"/>
                <w:rFonts w:ascii="仿宋" w:hAnsi="仿宋" w:eastAsia="仿宋"/>
                <w:b/>
                <w:sz w:val="24"/>
                <w:szCs w:val="24"/>
              </w:rPr>
            </w:pPr>
            <w:r>
              <w:rPr>
                <w:rStyle w:val="28"/>
                <w:rFonts w:ascii="仿宋" w:hAnsi="仿宋" w:eastAsia="仿宋"/>
                <w:b/>
                <w:sz w:val="24"/>
                <w:szCs w:val="24"/>
              </w:rPr>
              <w:t>标的内容</w:t>
            </w:r>
          </w:p>
        </w:tc>
        <w:tc>
          <w:tcPr>
            <w:tcW w:w="3506" w:type="dxa"/>
            <w:tcBorders>
              <w:top w:val="single" w:color="000000" w:sz="4" w:space="0"/>
              <w:left w:val="single" w:color="000000" w:sz="4" w:space="0"/>
              <w:bottom w:val="single" w:color="000000" w:sz="4" w:space="0"/>
              <w:right w:val="single" w:color="000000" w:sz="4" w:space="0"/>
            </w:tcBorders>
            <w:noWrap w:val="0"/>
            <w:vAlign w:val="center"/>
          </w:tcPr>
          <w:p w14:paraId="4DEFEB86">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8"/>
                <w:rFonts w:hint="default" w:ascii="仿宋" w:hAnsi="仿宋" w:eastAsia="仿宋"/>
                <w:b/>
                <w:sz w:val="24"/>
                <w:szCs w:val="24"/>
                <w:lang w:val="en-US" w:eastAsia="zh-CN"/>
              </w:rPr>
            </w:pPr>
            <w:r>
              <w:rPr>
                <w:rStyle w:val="28"/>
                <w:rFonts w:hint="eastAsia" w:ascii="仿宋" w:hAnsi="仿宋" w:eastAsia="仿宋"/>
                <w:b/>
                <w:sz w:val="24"/>
                <w:szCs w:val="24"/>
                <w:lang w:val="en-US" w:eastAsia="zh-CN"/>
              </w:rPr>
              <w:t>合计金额</w:t>
            </w:r>
          </w:p>
        </w:tc>
      </w:tr>
      <w:tr w14:paraId="1D646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5" w:hRule="atLeast"/>
        </w:trPr>
        <w:tc>
          <w:tcPr>
            <w:tcW w:w="1168" w:type="dxa"/>
            <w:tcBorders>
              <w:top w:val="single" w:color="000000" w:sz="4" w:space="0"/>
              <w:left w:val="single" w:color="000000" w:sz="4" w:space="0"/>
              <w:bottom w:val="single" w:color="000000" w:sz="4" w:space="0"/>
              <w:right w:val="single" w:color="000000" w:sz="4" w:space="0"/>
            </w:tcBorders>
            <w:noWrap w:val="0"/>
            <w:vAlign w:val="center"/>
          </w:tcPr>
          <w:p w14:paraId="1AAE2E45">
            <w:pPr>
              <w:keepNext w:val="0"/>
              <w:keepLines w:val="0"/>
              <w:pageBreakBefore w:val="0"/>
              <w:widowControl w:val="0"/>
              <w:kinsoku/>
              <w:wordWrap/>
              <w:overflowPunct/>
              <w:topLinePunct w:val="0"/>
              <w:bidi w:val="0"/>
              <w:snapToGrid/>
              <w:spacing w:line="312" w:lineRule="auto"/>
              <w:ind w:firstLine="0" w:firstLineChars="0"/>
              <w:jc w:val="center"/>
              <w:textAlignment w:val="baseline"/>
              <w:rPr>
                <w:rStyle w:val="28"/>
                <w:rFonts w:ascii="仿宋" w:hAnsi="仿宋" w:eastAsia="仿宋"/>
                <w:sz w:val="24"/>
                <w:szCs w:val="24"/>
              </w:rPr>
            </w:pPr>
            <w:r>
              <w:rPr>
                <w:rStyle w:val="28"/>
                <w:rFonts w:hint="eastAsia" w:ascii="仿宋" w:hAnsi="仿宋" w:eastAsia="仿宋"/>
                <w:sz w:val="24"/>
                <w:szCs w:val="24"/>
              </w:rPr>
              <w:t>1</w:t>
            </w:r>
          </w:p>
        </w:tc>
        <w:tc>
          <w:tcPr>
            <w:tcW w:w="4635" w:type="dxa"/>
            <w:tcBorders>
              <w:top w:val="single" w:color="000000" w:sz="4" w:space="0"/>
              <w:left w:val="single" w:color="000000" w:sz="4" w:space="0"/>
              <w:bottom w:val="single" w:color="000000" w:sz="4" w:space="0"/>
              <w:right w:val="single" w:color="000000" w:sz="4" w:space="0"/>
            </w:tcBorders>
            <w:noWrap w:val="0"/>
            <w:vAlign w:val="center"/>
          </w:tcPr>
          <w:p w14:paraId="23222401">
            <w:pPr>
              <w:pStyle w:val="16"/>
              <w:keepNext w:val="0"/>
              <w:keepLines w:val="0"/>
              <w:pageBreakBefore w:val="0"/>
              <w:widowControl w:val="0"/>
              <w:tabs>
                <w:tab w:val="left" w:pos="0"/>
                <w:tab w:val="left" w:pos="1134"/>
              </w:tabs>
              <w:kinsoku/>
              <w:wordWrap/>
              <w:overflowPunct/>
              <w:topLinePunct w:val="0"/>
              <w:bidi w:val="0"/>
              <w:snapToGrid/>
              <w:spacing w:line="360" w:lineRule="auto"/>
              <w:ind w:firstLine="0" w:firstLineChars="0"/>
              <w:jc w:val="center"/>
              <w:rPr>
                <w:rStyle w:val="28"/>
                <w:rFonts w:hint="eastAsia" w:ascii="仿宋" w:hAnsi="仿宋" w:eastAsia="仿宋"/>
                <w:color w:val="000000"/>
                <w:kern w:val="0"/>
                <w:sz w:val="24"/>
                <w:szCs w:val="24"/>
                <w:lang w:eastAsia="zh-CN"/>
              </w:rPr>
            </w:pPr>
            <w:r>
              <w:rPr>
                <w:rFonts w:hint="eastAsia" w:cs="仿宋"/>
                <w:sz w:val="24"/>
                <w:szCs w:val="24"/>
                <w:lang w:eastAsia="zh-CN"/>
              </w:rPr>
              <w:t>武义县公安局交通警察大队2025年-2026年交通信号灯维护项目</w:t>
            </w:r>
          </w:p>
        </w:tc>
        <w:tc>
          <w:tcPr>
            <w:tcW w:w="3506" w:type="dxa"/>
            <w:tcBorders>
              <w:top w:val="single" w:color="000000" w:sz="4" w:space="0"/>
              <w:left w:val="single" w:color="000000" w:sz="4" w:space="0"/>
              <w:bottom w:val="single" w:color="000000" w:sz="4" w:space="0"/>
              <w:right w:val="single" w:color="000000" w:sz="4" w:space="0"/>
            </w:tcBorders>
            <w:noWrap w:val="0"/>
            <w:vAlign w:val="center"/>
          </w:tcPr>
          <w:p w14:paraId="25C0C5D6">
            <w:pPr>
              <w:pStyle w:val="16"/>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8"/>
                <w:rFonts w:hint="eastAsia" w:ascii="仿宋" w:hAnsi="仿宋" w:eastAsia="仿宋"/>
                <w:color w:val="000000"/>
                <w:sz w:val="24"/>
                <w:szCs w:val="24"/>
              </w:rPr>
            </w:pPr>
            <w:r>
              <w:rPr>
                <w:rStyle w:val="28"/>
                <w:rFonts w:hint="eastAsia" w:ascii="仿宋" w:hAnsi="仿宋" w:eastAsia="仿宋"/>
                <w:color w:val="000000"/>
                <w:sz w:val="24"/>
                <w:szCs w:val="24"/>
              </w:rPr>
              <w:t>大写：</w:t>
            </w:r>
            <w:r>
              <w:rPr>
                <w:rStyle w:val="28"/>
                <w:rFonts w:hint="eastAsia" w:ascii="仿宋" w:hAnsi="仿宋" w:eastAsia="仿宋"/>
                <w:color w:val="000000"/>
                <w:sz w:val="24"/>
                <w:szCs w:val="24"/>
                <w:u w:val="single"/>
              </w:rPr>
              <w:t xml:space="preserve">    </w:t>
            </w:r>
            <w:r>
              <w:rPr>
                <w:rStyle w:val="28"/>
                <w:rFonts w:hint="eastAsia" w:ascii="仿宋" w:hAnsi="仿宋" w:eastAsia="仿宋"/>
                <w:color w:val="000000"/>
                <w:sz w:val="24"/>
                <w:szCs w:val="24"/>
                <w:u w:val="single"/>
                <w:lang w:val="en-US" w:eastAsia="zh-CN"/>
              </w:rPr>
              <w:t xml:space="preserve">  </w:t>
            </w:r>
            <w:r>
              <w:rPr>
                <w:rStyle w:val="28"/>
                <w:rFonts w:hint="eastAsia"/>
                <w:color w:val="000000"/>
                <w:sz w:val="24"/>
                <w:szCs w:val="24"/>
                <w:u w:val="single"/>
                <w:lang w:val="en-US" w:eastAsia="zh-CN"/>
              </w:rPr>
              <w:t xml:space="preserve">          </w:t>
            </w:r>
            <w:r>
              <w:rPr>
                <w:rStyle w:val="28"/>
                <w:rFonts w:hint="eastAsia" w:ascii="仿宋" w:hAnsi="仿宋" w:eastAsia="仿宋"/>
                <w:color w:val="000000"/>
                <w:sz w:val="24"/>
                <w:szCs w:val="24"/>
                <w:u w:val="single"/>
                <w:lang w:val="en-US" w:eastAsia="zh-CN"/>
              </w:rPr>
              <w:t xml:space="preserve"> </w:t>
            </w:r>
            <w:r>
              <w:rPr>
                <w:rStyle w:val="28"/>
                <w:rFonts w:hint="eastAsia" w:ascii="仿宋" w:hAnsi="仿宋" w:eastAsia="仿宋"/>
                <w:color w:val="000000"/>
                <w:sz w:val="24"/>
                <w:szCs w:val="24"/>
              </w:rPr>
              <w:t>元整</w:t>
            </w:r>
          </w:p>
          <w:p w14:paraId="391AA0E1">
            <w:pPr>
              <w:pStyle w:val="16"/>
              <w:keepNext w:val="0"/>
              <w:keepLines w:val="0"/>
              <w:pageBreakBefore w:val="0"/>
              <w:widowControl w:val="0"/>
              <w:tabs>
                <w:tab w:val="left" w:pos="0"/>
                <w:tab w:val="left" w:pos="1134"/>
              </w:tabs>
              <w:kinsoku/>
              <w:wordWrap/>
              <w:overflowPunct/>
              <w:topLinePunct w:val="0"/>
              <w:bidi w:val="0"/>
              <w:snapToGrid/>
              <w:spacing w:line="480" w:lineRule="auto"/>
              <w:ind w:firstLine="0" w:firstLineChars="0"/>
              <w:jc w:val="left"/>
              <w:rPr>
                <w:rStyle w:val="28"/>
                <w:rFonts w:hint="eastAsia" w:ascii="仿宋" w:hAnsi="仿宋" w:eastAsia="仿宋"/>
                <w:color w:val="000000"/>
                <w:sz w:val="24"/>
                <w:szCs w:val="24"/>
              </w:rPr>
            </w:pPr>
            <w:r>
              <w:rPr>
                <w:rStyle w:val="28"/>
                <w:rFonts w:hint="eastAsia" w:ascii="仿宋" w:hAnsi="仿宋" w:eastAsia="仿宋"/>
                <w:color w:val="000000"/>
                <w:sz w:val="24"/>
                <w:szCs w:val="24"/>
              </w:rPr>
              <w:t>小写：¥</w:t>
            </w:r>
            <w:r>
              <w:rPr>
                <w:rStyle w:val="28"/>
                <w:rFonts w:hint="eastAsia" w:ascii="仿宋" w:hAnsi="仿宋" w:eastAsia="仿宋"/>
                <w:color w:val="000000"/>
                <w:sz w:val="24"/>
                <w:szCs w:val="24"/>
                <w:u w:val="single"/>
              </w:rPr>
              <w:t xml:space="preserve">     </w:t>
            </w:r>
            <w:r>
              <w:rPr>
                <w:rStyle w:val="28"/>
                <w:rFonts w:hint="eastAsia" w:ascii="仿宋" w:hAnsi="仿宋" w:eastAsia="仿宋"/>
                <w:color w:val="000000"/>
                <w:sz w:val="24"/>
                <w:szCs w:val="24"/>
                <w:u w:val="single"/>
                <w:lang w:val="en-US" w:eastAsia="zh-CN"/>
              </w:rPr>
              <w:t xml:space="preserve"> </w:t>
            </w:r>
            <w:r>
              <w:rPr>
                <w:rStyle w:val="28"/>
                <w:rFonts w:hint="eastAsia"/>
                <w:color w:val="000000"/>
                <w:sz w:val="24"/>
                <w:szCs w:val="24"/>
                <w:u w:val="single"/>
                <w:lang w:val="en-US" w:eastAsia="zh-CN"/>
              </w:rPr>
              <w:t xml:space="preserve">        </w:t>
            </w:r>
            <w:r>
              <w:rPr>
                <w:rStyle w:val="28"/>
                <w:rFonts w:hint="eastAsia" w:ascii="仿宋" w:hAnsi="仿宋" w:eastAsia="仿宋"/>
                <w:color w:val="000000"/>
                <w:sz w:val="24"/>
                <w:szCs w:val="24"/>
                <w:u w:val="single"/>
              </w:rPr>
              <w:t xml:space="preserve">  </w:t>
            </w:r>
            <w:r>
              <w:rPr>
                <w:rStyle w:val="28"/>
                <w:rFonts w:hint="eastAsia" w:ascii="仿宋" w:hAnsi="仿宋" w:eastAsia="仿宋"/>
                <w:color w:val="000000"/>
                <w:sz w:val="24"/>
                <w:szCs w:val="24"/>
              </w:rPr>
              <w:t>元</w:t>
            </w:r>
          </w:p>
        </w:tc>
      </w:tr>
    </w:tbl>
    <w:p w14:paraId="006BB34E">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p w14:paraId="662353BB">
      <w:pPr>
        <w:snapToGrid w:val="0"/>
        <w:jc w:val="left"/>
        <w:rPr>
          <w:rFonts w:hint="eastAsia" w:ascii="仿宋" w:hAnsi="仿宋" w:eastAsia="仿宋" w:cs="仿宋"/>
          <w:color w:val="auto"/>
          <w:sz w:val="30"/>
          <w:szCs w:val="30"/>
        </w:rPr>
      </w:pPr>
    </w:p>
    <w:p w14:paraId="08C5AD46">
      <w:pPr>
        <w:snapToGrid w:val="0"/>
        <w:jc w:val="left"/>
        <w:rPr>
          <w:rFonts w:hint="eastAsia" w:ascii="仿宋" w:hAnsi="仿宋" w:eastAsia="仿宋" w:cs="仿宋"/>
          <w:color w:val="auto"/>
          <w:sz w:val="30"/>
          <w:szCs w:val="30"/>
        </w:rPr>
      </w:pPr>
    </w:p>
    <w:p w14:paraId="15A5EA8C">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00E743C0">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3C724DEE">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4AD91E2D">
      <w:pPr>
        <w:spacing w:line="400" w:lineRule="exact"/>
        <w:rPr>
          <w:rFonts w:hint="eastAsia" w:ascii="仿宋" w:hAnsi="仿宋" w:eastAsia="仿宋" w:cs="仿宋"/>
          <w:w w:val="110"/>
          <w:sz w:val="24"/>
          <w:szCs w:val="24"/>
        </w:rPr>
      </w:pPr>
    </w:p>
    <w:p w14:paraId="0873FE98">
      <w:pPr>
        <w:rPr>
          <w:rFonts w:hint="eastAsia" w:ascii="仿宋" w:hAnsi="仿宋" w:eastAsia="仿宋" w:cs="仿宋"/>
        </w:rPr>
      </w:pPr>
    </w:p>
    <w:bookmarkEnd w:id="7"/>
    <w:bookmarkEnd w:id="8"/>
    <w:p w14:paraId="4F774C91">
      <w:pPr>
        <w:snapToGrid w:val="0"/>
        <w:rPr>
          <w:rFonts w:hint="eastAsia" w:ascii="仿宋" w:hAnsi="仿宋" w:eastAsia="仿宋" w:cs="仿宋"/>
          <w:b/>
          <w:bCs/>
          <w:color w:val="auto"/>
          <w:sz w:val="32"/>
          <w:szCs w:val="32"/>
        </w:rPr>
      </w:pPr>
    </w:p>
    <w:p w14:paraId="5EB2BE45">
      <w:pPr>
        <w:snapToGrid w:val="0"/>
        <w:jc w:val="center"/>
        <w:rPr>
          <w:rFonts w:hint="eastAsia" w:ascii="仿宋" w:hAnsi="仿宋" w:eastAsia="仿宋" w:cs="仿宋"/>
          <w:b/>
          <w:bCs/>
          <w:color w:val="auto"/>
          <w:sz w:val="32"/>
          <w:szCs w:val="32"/>
        </w:rPr>
      </w:pPr>
    </w:p>
    <w:p w14:paraId="70BFBE26">
      <w:pPr>
        <w:snapToGrid w:val="0"/>
        <w:jc w:val="center"/>
        <w:rPr>
          <w:rFonts w:hint="eastAsia" w:ascii="仿宋" w:hAnsi="仿宋" w:eastAsia="仿宋" w:cs="仿宋"/>
          <w:b/>
          <w:bCs/>
          <w:color w:val="auto"/>
          <w:sz w:val="30"/>
          <w:szCs w:val="30"/>
        </w:rPr>
      </w:pPr>
    </w:p>
    <w:p w14:paraId="31FEAF66">
      <w:pPr>
        <w:snapToGrid w:val="0"/>
        <w:jc w:val="center"/>
        <w:rPr>
          <w:rFonts w:hint="eastAsia" w:ascii="仿宋" w:hAnsi="仿宋" w:eastAsia="仿宋" w:cs="仿宋"/>
          <w:b/>
          <w:bCs/>
          <w:color w:val="auto"/>
          <w:sz w:val="30"/>
          <w:szCs w:val="30"/>
        </w:rPr>
      </w:pPr>
    </w:p>
    <w:p w14:paraId="16D3A88A">
      <w:pPr>
        <w:snapToGrid w:val="0"/>
        <w:jc w:val="center"/>
        <w:rPr>
          <w:rFonts w:hint="eastAsia" w:ascii="仿宋" w:hAnsi="仿宋" w:eastAsia="仿宋" w:cs="仿宋"/>
          <w:b/>
          <w:bCs/>
          <w:color w:val="auto"/>
          <w:sz w:val="32"/>
          <w:szCs w:val="32"/>
          <w:highlight w:val="none"/>
          <w:lang w:val="en-US" w:eastAsia="zh-CN"/>
        </w:rPr>
        <w:sectPr>
          <w:pgSz w:w="11906" w:h="16838"/>
          <w:pgMar w:top="1247" w:right="1134" w:bottom="1020" w:left="1418" w:header="851" w:footer="907" w:gutter="0"/>
          <w:pgNumType w:fmt="numberInDash"/>
          <w:cols w:space="720" w:num="1"/>
          <w:titlePg/>
          <w:docGrid w:type="lines" w:linePitch="312" w:charSpace="0"/>
        </w:sectPr>
      </w:pPr>
    </w:p>
    <w:p w14:paraId="2551EF6B">
      <w:pPr>
        <w:pStyle w:val="5"/>
        <w:bidi w:val="0"/>
        <w:ind w:left="0" w:leftChars="0" w:firstLine="0" w:firstLineChars="0"/>
        <w:jc w:val="center"/>
        <w:rPr>
          <w:rFonts w:hint="eastAsia"/>
        </w:rPr>
      </w:pPr>
      <w:r>
        <w:rPr>
          <w:rFonts w:hint="eastAsia"/>
          <w:lang w:val="en-US" w:eastAsia="zh-CN"/>
        </w:rPr>
        <w:t>七、分项报价表（格式）</w:t>
      </w:r>
    </w:p>
    <w:tbl>
      <w:tblPr>
        <w:tblStyle w:val="20"/>
        <w:tblW w:w="9832" w:type="dxa"/>
        <w:tblInd w:w="-23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2"/>
        <w:gridCol w:w="1273"/>
        <w:gridCol w:w="3798"/>
        <w:gridCol w:w="980"/>
        <w:gridCol w:w="1075"/>
        <w:gridCol w:w="971"/>
        <w:gridCol w:w="913"/>
      </w:tblGrid>
      <w:tr w14:paraId="24BAF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822" w:type="dxa"/>
            <w:tcBorders>
              <w:top w:val="single" w:color="000000" w:sz="4" w:space="0"/>
              <w:left w:val="single" w:color="000000" w:sz="4" w:space="0"/>
              <w:bottom w:val="single" w:color="000000" w:sz="4" w:space="0"/>
              <w:right w:val="single" w:color="000000" w:sz="4" w:space="0"/>
            </w:tcBorders>
            <w:noWrap w:val="0"/>
            <w:vAlign w:val="center"/>
          </w:tcPr>
          <w:p w14:paraId="3D2CEE24">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序号</w:t>
            </w:r>
          </w:p>
        </w:tc>
        <w:tc>
          <w:tcPr>
            <w:tcW w:w="1273" w:type="dxa"/>
            <w:tcBorders>
              <w:top w:val="single" w:color="000000" w:sz="4" w:space="0"/>
              <w:left w:val="single" w:color="000000" w:sz="4" w:space="0"/>
              <w:bottom w:val="single" w:color="000000" w:sz="4" w:space="0"/>
              <w:right w:val="single" w:color="000000" w:sz="4" w:space="0"/>
            </w:tcBorders>
            <w:noWrap w:val="0"/>
            <w:vAlign w:val="center"/>
          </w:tcPr>
          <w:p w14:paraId="6B6A2617">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名称</w:t>
            </w:r>
          </w:p>
        </w:tc>
        <w:tc>
          <w:tcPr>
            <w:tcW w:w="3798" w:type="dxa"/>
            <w:tcBorders>
              <w:top w:val="single" w:color="000000" w:sz="4" w:space="0"/>
              <w:left w:val="single" w:color="000000" w:sz="4" w:space="0"/>
              <w:bottom w:val="single" w:color="000000" w:sz="4" w:space="0"/>
              <w:right w:val="single" w:color="000000" w:sz="4" w:space="0"/>
            </w:tcBorders>
            <w:noWrap w:val="0"/>
            <w:vAlign w:val="center"/>
          </w:tcPr>
          <w:p w14:paraId="5AA447DF">
            <w:pPr>
              <w:keepNext w:val="0"/>
              <w:keepLines w:val="0"/>
              <w:widowControl/>
              <w:suppressLineNumbers w:val="0"/>
              <w:spacing w:line="240" w:lineRule="auto"/>
              <w:jc w:val="center"/>
              <w:textAlignment w:val="center"/>
              <w:rPr>
                <w:rFonts w:hint="eastAsia" w:ascii="仿宋" w:hAnsi="仿宋" w:eastAsia="仿宋" w:cs="仿宋"/>
                <w:b/>
                <w:bCs/>
                <w:i w:val="0"/>
                <w:iCs w:val="0"/>
                <w:color w:val="000000"/>
                <w:kern w:val="0"/>
                <w:sz w:val="24"/>
                <w:szCs w:val="24"/>
                <w:u w:val="none"/>
                <w:lang w:val="en-US" w:eastAsia="zh-CN" w:bidi="ar"/>
              </w:rPr>
            </w:pPr>
            <w:r>
              <w:rPr>
                <w:rFonts w:hint="eastAsia" w:ascii="仿宋" w:hAnsi="仿宋" w:eastAsia="仿宋" w:cs="仿宋"/>
                <w:b/>
                <w:bCs/>
                <w:i w:val="0"/>
                <w:iCs w:val="0"/>
                <w:color w:val="000000"/>
                <w:kern w:val="0"/>
                <w:sz w:val="24"/>
                <w:szCs w:val="24"/>
                <w:u w:val="none"/>
                <w:lang w:val="en-US" w:eastAsia="zh-CN" w:bidi="ar"/>
              </w:rPr>
              <w:t>技术参数</w:t>
            </w:r>
          </w:p>
          <w:p w14:paraId="0EED2EE4">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FF"/>
                <w:kern w:val="0"/>
                <w:sz w:val="24"/>
                <w:szCs w:val="24"/>
                <w:highlight w:val="yellow"/>
                <w:u w:val="none"/>
                <w:lang w:val="en-US" w:eastAsia="zh-CN" w:bidi="ar"/>
              </w:rPr>
              <w:t>（按实际响应参数进行填写）</w:t>
            </w:r>
          </w:p>
        </w:tc>
        <w:tc>
          <w:tcPr>
            <w:tcW w:w="980" w:type="dxa"/>
            <w:tcBorders>
              <w:top w:val="single" w:color="000000" w:sz="4" w:space="0"/>
              <w:left w:val="single" w:color="000000" w:sz="4" w:space="0"/>
              <w:bottom w:val="single" w:color="000000" w:sz="4" w:space="0"/>
              <w:right w:val="single" w:color="000000" w:sz="4" w:space="0"/>
            </w:tcBorders>
            <w:noWrap w:val="0"/>
            <w:vAlign w:val="center"/>
          </w:tcPr>
          <w:p w14:paraId="134A94F6">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单位</w:t>
            </w:r>
          </w:p>
        </w:tc>
        <w:tc>
          <w:tcPr>
            <w:tcW w:w="1075" w:type="dxa"/>
            <w:tcBorders>
              <w:top w:val="single" w:color="000000" w:sz="4" w:space="0"/>
              <w:left w:val="single" w:color="000000" w:sz="4" w:space="0"/>
              <w:bottom w:val="single" w:color="000000" w:sz="4" w:space="0"/>
              <w:right w:val="single" w:color="000000" w:sz="4" w:space="0"/>
            </w:tcBorders>
            <w:noWrap w:val="0"/>
            <w:vAlign w:val="center"/>
          </w:tcPr>
          <w:p w14:paraId="0E7CE946">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数量</w:t>
            </w:r>
          </w:p>
        </w:tc>
        <w:tc>
          <w:tcPr>
            <w:tcW w:w="971" w:type="dxa"/>
            <w:tcBorders>
              <w:top w:val="single" w:color="000000" w:sz="4" w:space="0"/>
              <w:left w:val="single" w:color="000000" w:sz="4" w:space="0"/>
              <w:right w:val="single" w:color="000000" w:sz="4" w:space="0"/>
            </w:tcBorders>
            <w:noWrap w:val="0"/>
            <w:vAlign w:val="center"/>
          </w:tcPr>
          <w:p w14:paraId="56CE1281">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default" w:ascii="仿宋" w:hAnsi="仿宋" w:eastAsia="仿宋" w:cs="仿宋"/>
                <w:b/>
                <w:bCs/>
                <w:i w:val="0"/>
                <w:iCs w:val="0"/>
                <w:color w:val="000000"/>
                <w:kern w:val="0"/>
                <w:sz w:val="24"/>
                <w:szCs w:val="24"/>
                <w:u w:val="none"/>
                <w:lang w:val="en-US" w:eastAsia="zh-CN" w:bidi="ar"/>
              </w:rPr>
            </w:pPr>
            <w:r>
              <w:rPr>
                <w:rFonts w:hint="eastAsia" w:cs="仿宋"/>
                <w:b/>
                <w:bCs/>
                <w:i w:val="0"/>
                <w:iCs w:val="0"/>
                <w:color w:val="000000"/>
                <w:kern w:val="0"/>
                <w:sz w:val="24"/>
                <w:szCs w:val="24"/>
                <w:u w:val="none"/>
                <w:lang w:val="en-US" w:eastAsia="zh-CN" w:bidi="ar"/>
              </w:rPr>
              <w:t>单价（元）</w:t>
            </w:r>
          </w:p>
        </w:tc>
        <w:tc>
          <w:tcPr>
            <w:tcW w:w="913" w:type="dxa"/>
            <w:tcBorders>
              <w:top w:val="single" w:color="000000" w:sz="4" w:space="0"/>
              <w:left w:val="single" w:color="000000" w:sz="4" w:space="0"/>
              <w:bottom w:val="single" w:color="000000" w:sz="4" w:space="0"/>
              <w:right w:val="single" w:color="000000" w:sz="4" w:space="0"/>
            </w:tcBorders>
            <w:noWrap w:val="0"/>
            <w:vAlign w:val="center"/>
          </w:tcPr>
          <w:p w14:paraId="7ACED303">
            <w:pPr>
              <w:keepNext w:val="0"/>
              <w:keepLines w:val="0"/>
              <w:pageBreakBefore w:val="0"/>
              <w:widowControl/>
              <w:suppressLineNumbers w:val="0"/>
              <w:kinsoku/>
              <w:wordWrap/>
              <w:overflowPunct/>
              <w:topLinePunct w:val="0"/>
              <w:autoSpaceDE w:val="0"/>
              <w:autoSpaceDN w:val="0"/>
              <w:bidi w:val="0"/>
              <w:adjustRightInd w:val="0"/>
              <w:snapToGrid/>
              <w:spacing w:line="240" w:lineRule="auto"/>
              <w:ind w:firstLine="0" w:firstLineChars="0"/>
              <w:jc w:val="center"/>
              <w:textAlignment w:val="center"/>
              <w:rPr>
                <w:rFonts w:hint="default" w:ascii="仿宋" w:hAnsi="仿宋" w:eastAsia="仿宋" w:cs="仿宋"/>
                <w:b/>
                <w:bCs/>
                <w:i w:val="0"/>
                <w:iCs w:val="0"/>
                <w:color w:val="000000"/>
                <w:kern w:val="0"/>
                <w:sz w:val="24"/>
                <w:szCs w:val="24"/>
                <w:u w:val="none"/>
                <w:lang w:val="en-US" w:eastAsia="zh-CN" w:bidi="ar"/>
              </w:rPr>
            </w:pPr>
            <w:r>
              <w:rPr>
                <w:rFonts w:hint="eastAsia" w:cs="仿宋"/>
                <w:b/>
                <w:bCs/>
                <w:i w:val="0"/>
                <w:iCs w:val="0"/>
                <w:color w:val="000000"/>
                <w:kern w:val="0"/>
                <w:sz w:val="24"/>
                <w:szCs w:val="24"/>
                <w:u w:val="none"/>
                <w:lang w:val="en-US" w:eastAsia="zh-CN" w:bidi="ar"/>
              </w:rPr>
              <w:t>总价（元）</w:t>
            </w:r>
          </w:p>
        </w:tc>
      </w:tr>
      <w:tr w14:paraId="66E0F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0" w:hRule="atLeast"/>
        </w:trPr>
        <w:tc>
          <w:tcPr>
            <w:tcW w:w="822" w:type="dxa"/>
            <w:tcBorders>
              <w:top w:val="single" w:color="000000" w:sz="4" w:space="0"/>
              <w:left w:val="single" w:color="000000" w:sz="4" w:space="0"/>
              <w:bottom w:val="single" w:color="000000" w:sz="4" w:space="0"/>
              <w:right w:val="single" w:color="000000" w:sz="4" w:space="0"/>
            </w:tcBorders>
            <w:noWrap/>
            <w:vAlign w:val="center"/>
          </w:tcPr>
          <w:p w14:paraId="4A345F82">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1273" w:type="dxa"/>
            <w:tcBorders>
              <w:top w:val="single" w:color="000000" w:sz="4" w:space="0"/>
              <w:left w:val="single" w:color="000000" w:sz="4" w:space="0"/>
              <w:bottom w:val="single" w:color="000000" w:sz="4" w:space="0"/>
              <w:right w:val="single" w:color="000000" w:sz="4" w:space="0"/>
            </w:tcBorders>
            <w:noWrap w:val="0"/>
            <w:vAlign w:val="center"/>
          </w:tcPr>
          <w:p w14:paraId="10279B2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交通信号控制机</w:t>
            </w:r>
          </w:p>
        </w:tc>
        <w:tc>
          <w:tcPr>
            <w:tcW w:w="3798" w:type="dxa"/>
            <w:tcBorders>
              <w:top w:val="single" w:color="000000" w:sz="4" w:space="0"/>
              <w:left w:val="single" w:color="000000" w:sz="4" w:space="0"/>
              <w:bottom w:val="single" w:color="000000" w:sz="4" w:space="0"/>
              <w:right w:val="single" w:color="000000" w:sz="4" w:space="0"/>
            </w:tcBorders>
            <w:noWrap w:val="0"/>
            <w:vAlign w:val="center"/>
          </w:tcPr>
          <w:p w14:paraId="18B9CC2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u w:val="none"/>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14:paraId="0BF60BD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1075" w:type="dxa"/>
            <w:tcBorders>
              <w:top w:val="single" w:color="000000" w:sz="4" w:space="0"/>
              <w:left w:val="single" w:color="000000" w:sz="4" w:space="0"/>
              <w:bottom w:val="single" w:color="000000" w:sz="4" w:space="0"/>
              <w:right w:val="single" w:color="000000" w:sz="4" w:space="0"/>
            </w:tcBorders>
            <w:noWrap/>
            <w:vAlign w:val="center"/>
          </w:tcPr>
          <w:p w14:paraId="66F7707B">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4</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10CA2D8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noWrap/>
            <w:vAlign w:val="center"/>
          </w:tcPr>
          <w:p w14:paraId="1C79961E">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r>
      <w:tr w14:paraId="5B594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0" w:hRule="atLeast"/>
        </w:trPr>
        <w:tc>
          <w:tcPr>
            <w:tcW w:w="822" w:type="dxa"/>
            <w:tcBorders>
              <w:top w:val="single" w:color="000000" w:sz="4" w:space="0"/>
              <w:left w:val="single" w:color="000000" w:sz="4" w:space="0"/>
              <w:bottom w:val="single" w:color="000000" w:sz="4" w:space="0"/>
              <w:right w:val="single" w:color="000000" w:sz="4" w:space="0"/>
            </w:tcBorders>
            <w:noWrap/>
            <w:vAlign w:val="center"/>
          </w:tcPr>
          <w:p w14:paraId="374A08E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2</w:t>
            </w:r>
          </w:p>
        </w:tc>
        <w:tc>
          <w:tcPr>
            <w:tcW w:w="1273" w:type="dxa"/>
            <w:tcBorders>
              <w:top w:val="single" w:color="000000" w:sz="4" w:space="0"/>
              <w:left w:val="single" w:color="000000" w:sz="4" w:space="0"/>
              <w:bottom w:val="single" w:color="000000" w:sz="4" w:space="0"/>
              <w:right w:val="single" w:color="000000" w:sz="4" w:space="0"/>
            </w:tcBorders>
            <w:noWrap w:val="0"/>
            <w:vAlign w:val="center"/>
          </w:tcPr>
          <w:p w14:paraId="77D4634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运维服务</w:t>
            </w:r>
          </w:p>
        </w:tc>
        <w:tc>
          <w:tcPr>
            <w:tcW w:w="3798" w:type="dxa"/>
            <w:tcBorders>
              <w:top w:val="single" w:color="000000" w:sz="4" w:space="0"/>
              <w:left w:val="single" w:color="000000" w:sz="4" w:space="0"/>
              <w:bottom w:val="single" w:color="000000" w:sz="4" w:space="0"/>
              <w:right w:val="single" w:color="000000" w:sz="4" w:space="0"/>
            </w:tcBorders>
            <w:noWrap w:val="0"/>
            <w:vAlign w:val="center"/>
          </w:tcPr>
          <w:p w14:paraId="0FE2F74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u w:val="none"/>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14:paraId="2AE7284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月</w:t>
            </w:r>
          </w:p>
        </w:tc>
        <w:tc>
          <w:tcPr>
            <w:tcW w:w="1075" w:type="dxa"/>
            <w:tcBorders>
              <w:top w:val="single" w:color="000000" w:sz="4" w:space="0"/>
              <w:left w:val="single" w:color="000000" w:sz="4" w:space="0"/>
              <w:bottom w:val="single" w:color="000000" w:sz="4" w:space="0"/>
              <w:right w:val="single" w:color="000000" w:sz="4" w:space="0"/>
            </w:tcBorders>
            <w:noWrap/>
            <w:vAlign w:val="center"/>
          </w:tcPr>
          <w:p w14:paraId="480FBE37">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1410</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2FD723DA">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noWrap/>
            <w:vAlign w:val="center"/>
          </w:tcPr>
          <w:p w14:paraId="66FA690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r>
      <w:tr w14:paraId="15D1A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7" w:hRule="atLeast"/>
        </w:trPr>
        <w:tc>
          <w:tcPr>
            <w:tcW w:w="822" w:type="dxa"/>
            <w:tcBorders>
              <w:top w:val="single" w:color="000000" w:sz="4" w:space="0"/>
              <w:left w:val="single" w:color="000000" w:sz="4" w:space="0"/>
              <w:bottom w:val="single" w:color="000000" w:sz="4" w:space="0"/>
              <w:right w:val="single" w:color="000000" w:sz="4" w:space="0"/>
            </w:tcBorders>
            <w:noWrap/>
            <w:vAlign w:val="center"/>
          </w:tcPr>
          <w:p w14:paraId="7D8ADF1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cs="仿宋"/>
                <w:i w:val="0"/>
                <w:iCs w:val="0"/>
                <w:color w:val="000000"/>
                <w:kern w:val="0"/>
                <w:sz w:val="24"/>
                <w:szCs w:val="24"/>
                <w:u w:val="none"/>
                <w:lang w:val="en-US" w:eastAsia="zh-CN" w:bidi="ar"/>
              </w:rPr>
              <w:t>3</w:t>
            </w:r>
          </w:p>
        </w:tc>
        <w:tc>
          <w:tcPr>
            <w:tcW w:w="1273" w:type="dxa"/>
            <w:tcBorders>
              <w:top w:val="single" w:color="000000" w:sz="4" w:space="0"/>
              <w:left w:val="single" w:color="000000" w:sz="4" w:space="0"/>
              <w:bottom w:val="single" w:color="000000" w:sz="4" w:space="0"/>
              <w:right w:val="single" w:color="000000" w:sz="4" w:space="0"/>
            </w:tcBorders>
            <w:noWrap w:val="0"/>
            <w:vAlign w:val="center"/>
          </w:tcPr>
          <w:p w14:paraId="454418E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电费</w:t>
            </w:r>
          </w:p>
        </w:tc>
        <w:tc>
          <w:tcPr>
            <w:tcW w:w="3798" w:type="dxa"/>
            <w:tcBorders>
              <w:top w:val="single" w:color="000000" w:sz="4" w:space="0"/>
              <w:left w:val="single" w:color="000000" w:sz="4" w:space="0"/>
              <w:bottom w:val="single" w:color="000000" w:sz="4" w:space="0"/>
              <w:right w:val="single" w:color="000000" w:sz="4" w:space="0"/>
            </w:tcBorders>
            <w:noWrap w:val="0"/>
            <w:vAlign w:val="center"/>
          </w:tcPr>
          <w:p w14:paraId="517FF3E5">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left"/>
              <w:textAlignment w:val="center"/>
              <w:rPr>
                <w:rFonts w:hint="eastAsia" w:ascii="仿宋" w:hAnsi="仿宋" w:eastAsia="仿宋" w:cs="仿宋"/>
                <w:i w:val="0"/>
                <w:iCs w:val="0"/>
                <w:color w:val="000000"/>
                <w:sz w:val="24"/>
                <w:szCs w:val="24"/>
                <w:u w:val="none"/>
              </w:rPr>
            </w:pPr>
          </w:p>
        </w:tc>
        <w:tc>
          <w:tcPr>
            <w:tcW w:w="980" w:type="dxa"/>
            <w:tcBorders>
              <w:top w:val="single" w:color="000000" w:sz="4" w:space="0"/>
              <w:left w:val="single" w:color="000000" w:sz="4" w:space="0"/>
              <w:bottom w:val="single" w:color="000000" w:sz="4" w:space="0"/>
              <w:right w:val="single" w:color="000000" w:sz="4" w:space="0"/>
            </w:tcBorders>
            <w:noWrap/>
            <w:vAlign w:val="center"/>
          </w:tcPr>
          <w:p w14:paraId="5BBF9AA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月</w:t>
            </w:r>
          </w:p>
        </w:tc>
        <w:tc>
          <w:tcPr>
            <w:tcW w:w="1075" w:type="dxa"/>
            <w:tcBorders>
              <w:top w:val="single" w:color="000000" w:sz="4" w:space="0"/>
              <w:left w:val="single" w:color="000000" w:sz="4" w:space="0"/>
              <w:bottom w:val="single" w:color="000000" w:sz="4" w:space="0"/>
              <w:right w:val="single" w:color="000000" w:sz="4" w:space="0"/>
            </w:tcBorders>
            <w:noWrap/>
            <w:vAlign w:val="center"/>
          </w:tcPr>
          <w:p w14:paraId="4595511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ascii="仿宋" w:hAnsi="仿宋" w:eastAsia="仿宋" w:cs="仿宋"/>
                <w:i w:val="0"/>
                <w:iCs w:val="0"/>
                <w:color w:val="000000"/>
                <w:sz w:val="24"/>
                <w:szCs w:val="24"/>
                <w:u w:val="none"/>
                <w:lang w:val="en-US"/>
              </w:rPr>
            </w:pPr>
            <w:r>
              <w:rPr>
                <w:rFonts w:hint="eastAsia" w:cs="仿宋"/>
                <w:i w:val="0"/>
                <w:iCs w:val="0"/>
                <w:color w:val="000000"/>
                <w:kern w:val="0"/>
                <w:sz w:val="24"/>
                <w:szCs w:val="24"/>
                <w:u w:val="none"/>
                <w:lang w:val="en-US" w:eastAsia="zh-CN" w:bidi="ar"/>
              </w:rPr>
              <w:t>324</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5ADD890C">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noWrap/>
            <w:vAlign w:val="center"/>
          </w:tcPr>
          <w:p w14:paraId="1BA37D71">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r>
      <w:tr w14:paraId="54F22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7" w:hRule="atLeast"/>
        </w:trPr>
        <w:tc>
          <w:tcPr>
            <w:tcW w:w="822" w:type="dxa"/>
            <w:tcBorders>
              <w:top w:val="single" w:color="000000" w:sz="4" w:space="0"/>
              <w:left w:val="single" w:color="000000" w:sz="4" w:space="0"/>
              <w:bottom w:val="single" w:color="000000" w:sz="4" w:space="0"/>
              <w:right w:val="single" w:color="000000" w:sz="4" w:space="0"/>
            </w:tcBorders>
            <w:noWrap/>
            <w:vAlign w:val="center"/>
          </w:tcPr>
          <w:p w14:paraId="6DD30B28">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cs="仿宋"/>
                <w:i w:val="0"/>
                <w:iCs w:val="0"/>
                <w:color w:val="000000"/>
                <w:kern w:val="0"/>
                <w:sz w:val="24"/>
                <w:szCs w:val="24"/>
                <w:u w:val="none"/>
                <w:lang w:val="en-US" w:eastAsia="zh-CN" w:bidi="ar"/>
              </w:rPr>
            </w:pPr>
            <w:r>
              <w:rPr>
                <w:rFonts w:hint="eastAsia" w:cs="仿宋"/>
                <w:i w:val="0"/>
                <w:iCs w:val="0"/>
                <w:color w:val="000000"/>
                <w:kern w:val="0"/>
                <w:sz w:val="24"/>
                <w:szCs w:val="24"/>
                <w:u w:val="none"/>
                <w:lang w:val="en-US" w:eastAsia="zh-CN" w:bidi="ar"/>
              </w:rPr>
              <w:t>4</w:t>
            </w:r>
          </w:p>
        </w:tc>
        <w:tc>
          <w:tcPr>
            <w:tcW w:w="127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4F50E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其他</w:t>
            </w:r>
          </w:p>
        </w:tc>
        <w:tc>
          <w:tcPr>
            <w:tcW w:w="379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349BE76">
            <w:pPr>
              <w:keepNext w:val="0"/>
              <w:keepLines w:val="0"/>
              <w:pageBreakBefore w:val="0"/>
              <w:widowControl/>
              <w:suppressLineNumbers w:val="0"/>
              <w:kinsoku/>
              <w:wordWrap/>
              <w:overflowPunct/>
              <w:topLinePunct w:val="0"/>
              <w:bidi w:val="0"/>
              <w:snapToGrid/>
              <w:spacing w:line="360" w:lineRule="auto"/>
              <w:ind w:firstLine="0" w:firstLineChars="0"/>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此项金额为投标总报价的10%</w:t>
            </w:r>
          </w:p>
        </w:tc>
        <w:tc>
          <w:tcPr>
            <w:tcW w:w="9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EA3DA">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1</w:t>
            </w:r>
          </w:p>
        </w:tc>
        <w:tc>
          <w:tcPr>
            <w:tcW w:w="1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C1F85">
            <w:pPr>
              <w:keepNext w:val="0"/>
              <w:keepLines w:val="0"/>
              <w:pageBreakBefore w:val="0"/>
              <w:widowControl/>
              <w:suppressLineNumbers w:val="0"/>
              <w:kinsoku/>
              <w:wordWrap/>
              <w:overflowPunct/>
              <w:topLinePunct w:val="0"/>
              <w:bidi w:val="0"/>
              <w:snapToGrid/>
              <w:spacing w:line="360" w:lineRule="auto"/>
              <w:ind w:firstLine="0" w:firstLineChars="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cs="仿宋"/>
                <w:i w:val="0"/>
                <w:iCs w:val="0"/>
                <w:color w:val="000000"/>
                <w:kern w:val="0"/>
                <w:sz w:val="24"/>
                <w:szCs w:val="24"/>
                <w:highlight w:val="none"/>
                <w:u w:val="none"/>
                <w:lang w:val="en-US" w:eastAsia="zh-CN" w:bidi="ar"/>
              </w:rPr>
              <w:t>项</w:t>
            </w:r>
          </w:p>
        </w:tc>
        <w:tc>
          <w:tcPr>
            <w:tcW w:w="971" w:type="dxa"/>
            <w:tcBorders>
              <w:top w:val="single" w:color="000000" w:sz="4" w:space="0"/>
              <w:left w:val="single" w:color="000000" w:sz="4" w:space="0"/>
              <w:bottom w:val="single" w:color="000000" w:sz="4" w:space="0"/>
              <w:right w:val="single" w:color="000000" w:sz="4" w:space="0"/>
            </w:tcBorders>
            <w:noWrap/>
            <w:vAlign w:val="center"/>
          </w:tcPr>
          <w:p w14:paraId="0341F4E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noWrap/>
            <w:vAlign w:val="center"/>
          </w:tcPr>
          <w:p w14:paraId="79BC99B0">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r>
      <w:tr w14:paraId="37131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8" w:hRule="atLeast"/>
        </w:trPr>
        <w:tc>
          <w:tcPr>
            <w:tcW w:w="8919" w:type="dxa"/>
            <w:gridSpan w:val="6"/>
            <w:tcBorders>
              <w:top w:val="single" w:color="000000" w:sz="4" w:space="0"/>
              <w:left w:val="single" w:color="000000" w:sz="4" w:space="0"/>
              <w:bottom w:val="single" w:color="000000" w:sz="4" w:space="0"/>
              <w:right w:val="single" w:color="000000" w:sz="4" w:space="0"/>
            </w:tcBorders>
            <w:noWrap/>
            <w:vAlign w:val="center"/>
          </w:tcPr>
          <w:p w14:paraId="53DBCB83">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default" w:cs="仿宋"/>
                <w:i w:val="0"/>
                <w:iCs w:val="0"/>
                <w:color w:val="000000"/>
                <w:kern w:val="0"/>
                <w:sz w:val="24"/>
                <w:szCs w:val="24"/>
                <w:u w:val="none"/>
                <w:lang w:val="en-US" w:eastAsia="zh-CN" w:bidi="ar"/>
              </w:rPr>
            </w:pPr>
            <w:r>
              <w:rPr>
                <w:rFonts w:hint="eastAsia" w:cs="仿宋"/>
                <w:b/>
                <w:bCs/>
                <w:i w:val="0"/>
                <w:iCs w:val="0"/>
                <w:color w:val="000000"/>
                <w:kern w:val="0"/>
                <w:sz w:val="24"/>
                <w:szCs w:val="24"/>
                <w:u w:val="none"/>
                <w:lang w:val="en-US" w:eastAsia="zh-CN" w:bidi="ar"/>
              </w:rPr>
              <w:t>合计金额</w:t>
            </w:r>
          </w:p>
        </w:tc>
        <w:tc>
          <w:tcPr>
            <w:tcW w:w="913" w:type="dxa"/>
            <w:tcBorders>
              <w:top w:val="single" w:color="000000" w:sz="4" w:space="0"/>
              <w:left w:val="single" w:color="000000" w:sz="4" w:space="0"/>
              <w:bottom w:val="single" w:color="000000" w:sz="4" w:space="0"/>
              <w:right w:val="single" w:color="000000" w:sz="4" w:space="0"/>
            </w:tcBorders>
            <w:noWrap/>
            <w:vAlign w:val="center"/>
          </w:tcPr>
          <w:p w14:paraId="2F7961BD">
            <w:pPr>
              <w:keepNext w:val="0"/>
              <w:keepLines w:val="0"/>
              <w:pageBreakBefore w:val="0"/>
              <w:widowControl/>
              <w:suppressLineNumbers w:val="0"/>
              <w:kinsoku/>
              <w:wordWrap/>
              <w:overflowPunct/>
              <w:topLinePunct w:val="0"/>
              <w:autoSpaceDE w:val="0"/>
              <w:autoSpaceDN w:val="0"/>
              <w:bidi w:val="0"/>
              <w:adjustRightInd w:val="0"/>
              <w:snapToGrid/>
              <w:spacing w:line="360" w:lineRule="auto"/>
              <w:ind w:firstLine="0" w:firstLineChars="0"/>
              <w:jc w:val="center"/>
              <w:textAlignment w:val="center"/>
              <w:rPr>
                <w:rFonts w:hint="eastAsia" w:cs="仿宋"/>
                <w:i w:val="0"/>
                <w:iCs w:val="0"/>
                <w:color w:val="000000"/>
                <w:kern w:val="0"/>
                <w:sz w:val="24"/>
                <w:szCs w:val="24"/>
                <w:u w:val="none"/>
                <w:lang w:val="en-US" w:eastAsia="zh-CN" w:bidi="ar"/>
              </w:rPr>
            </w:pPr>
          </w:p>
        </w:tc>
      </w:tr>
    </w:tbl>
    <w:p w14:paraId="6D6FD680">
      <w:pPr>
        <w:snapToGrid w:val="0"/>
        <w:spacing w:line="360" w:lineRule="auto"/>
        <w:ind w:left="0" w:leftChars="0" w:firstLine="0" w:firstLineChars="0"/>
        <w:rPr>
          <w:rFonts w:hint="eastAsia" w:ascii="仿宋" w:hAnsi="仿宋" w:eastAsia="仿宋" w:cs="仿宋"/>
          <w:color w:val="auto"/>
          <w:sz w:val="28"/>
          <w:szCs w:val="28"/>
          <w:highlight w:val="none"/>
          <w:lang w:val="zh-CN"/>
        </w:rPr>
      </w:pPr>
    </w:p>
    <w:p w14:paraId="08B741B3">
      <w:pPr>
        <w:snapToGrid w:val="0"/>
        <w:spacing w:line="360" w:lineRule="auto"/>
        <w:ind w:left="0" w:leftChars="0" w:firstLine="560" w:firstLineChars="20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lang w:val="zh-CN"/>
        </w:rPr>
        <w:t>投标人</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zh-CN"/>
        </w:rPr>
        <w:t>盖单位公章</w:t>
      </w:r>
      <w:r>
        <w:rPr>
          <w:rFonts w:hint="eastAsia" w:ascii="仿宋" w:hAnsi="仿宋" w:eastAsia="仿宋" w:cs="仿宋"/>
          <w:color w:val="auto"/>
          <w:sz w:val="28"/>
          <w:szCs w:val="28"/>
          <w:highlight w:val="none"/>
          <w:u w:val="single"/>
        </w:rPr>
        <w:t>）</w:t>
      </w:r>
    </w:p>
    <w:p w14:paraId="6848B64D">
      <w:pPr>
        <w:widowControl/>
        <w:tabs>
          <w:tab w:val="left" w:pos="8280"/>
        </w:tabs>
        <w:spacing w:line="312" w:lineRule="auto"/>
        <w:rPr>
          <w:rFonts w:hint="eastAsia" w:ascii="仿宋" w:hAnsi="仿宋" w:eastAsia="仿宋" w:cs="仿宋"/>
          <w:color w:val="auto"/>
          <w:sz w:val="28"/>
          <w:szCs w:val="28"/>
          <w:highlight w:val="none"/>
          <w:lang w:val="zh-CN"/>
        </w:rPr>
      </w:pPr>
      <w:r>
        <w:rPr>
          <w:rFonts w:hint="eastAsia" w:ascii="仿宋" w:hAnsi="仿宋" w:eastAsia="仿宋" w:cs="仿宋"/>
          <w:color w:val="auto"/>
          <w:sz w:val="28"/>
          <w:szCs w:val="28"/>
          <w:highlight w:val="none"/>
        </w:rPr>
        <w:t>法定代表人或授权代表（签字或盖章）:</w:t>
      </w:r>
      <w:r>
        <w:rPr>
          <w:rFonts w:hint="eastAsia" w:ascii="仿宋" w:hAnsi="仿宋" w:eastAsia="仿宋" w:cs="仿宋"/>
          <w:color w:val="auto"/>
          <w:sz w:val="28"/>
          <w:szCs w:val="28"/>
          <w:highlight w:val="none"/>
          <w:u w:val="single"/>
          <w:lang w:val="zh-CN"/>
        </w:rPr>
        <w:t xml:space="preserve">          </w:t>
      </w:r>
      <w:r>
        <w:rPr>
          <w:rFonts w:hint="eastAsia" w:ascii="仿宋" w:hAnsi="仿宋" w:eastAsia="仿宋" w:cs="仿宋"/>
          <w:color w:val="auto"/>
          <w:sz w:val="28"/>
          <w:szCs w:val="28"/>
          <w:highlight w:val="none"/>
          <w:lang w:val="zh-CN"/>
        </w:rPr>
        <w:t xml:space="preserve">        </w:t>
      </w:r>
    </w:p>
    <w:p w14:paraId="55ABB230">
      <w:pPr>
        <w:snapToGrid w:val="0"/>
        <w:spacing w:line="360" w:lineRule="auto"/>
        <w:rPr>
          <w:rFonts w:hint="eastAsia" w:ascii="仿宋" w:hAnsi="仿宋" w:eastAsia="仿宋" w:cs="仿宋"/>
          <w:color w:val="auto"/>
          <w:sz w:val="28"/>
          <w:szCs w:val="28"/>
          <w:highlight w:val="none"/>
          <w:lang w:val="zh-CN"/>
        </w:rPr>
      </w:pPr>
    </w:p>
    <w:p w14:paraId="6F69435D">
      <w:pPr>
        <w:snapToGrid w:val="0"/>
        <w:jc w:val="both"/>
        <w:rPr>
          <w:rFonts w:hint="eastAsia" w:ascii="仿宋" w:hAnsi="仿宋" w:eastAsia="仿宋" w:cs="仿宋"/>
          <w:b/>
          <w:bCs/>
          <w:color w:val="auto"/>
          <w:sz w:val="30"/>
          <w:szCs w:val="30"/>
          <w:highlight w:val="none"/>
        </w:rPr>
      </w:pPr>
      <w:r>
        <w:rPr>
          <w:rFonts w:hint="eastAsia" w:ascii="仿宋" w:hAnsi="仿宋" w:eastAsia="仿宋" w:cs="仿宋"/>
          <w:color w:val="auto"/>
          <w:sz w:val="28"/>
          <w:szCs w:val="28"/>
          <w:highlight w:val="none"/>
          <w:lang w:val="zh-CN"/>
        </w:rPr>
        <w:t>日期</w:t>
      </w:r>
      <w:r>
        <w:rPr>
          <w:rFonts w:hint="eastAsia" w:ascii="仿宋" w:hAnsi="仿宋" w:eastAsia="仿宋" w:cs="仿宋"/>
          <w:color w:val="auto"/>
          <w:sz w:val="28"/>
          <w:szCs w:val="28"/>
          <w:highlight w:val="none"/>
        </w:rPr>
        <w:t xml:space="preserve">：  年  </w:t>
      </w:r>
      <w:r>
        <w:rPr>
          <w:rFonts w:hint="eastAsia" w:ascii="仿宋" w:hAnsi="仿宋" w:eastAsia="仿宋" w:cs="仿宋"/>
          <w:color w:val="auto"/>
          <w:sz w:val="28"/>
          <w:szCs w:val="28"/>
          <w:highlight w:val="none"/>
          <w:lang w:val="zh-CN"/>
        </w:rPr>
        <w:t>月</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zh-CN"/>
        </w:rPr>
        <w:t>日</w:t>
      </w:r>
    </w:p>
    <w:p w14:paraId="11FC21F2">
      <w:pPr>
        <w:snapToGrid w:val="0"/>
        <w:ind w:left="0" w:leftChars="0" w:firstLine="0" w:firstLineChars="0"/>
        <w:jc w:val="both"/>
        <w:rPr>
          <w:rFonts w:hint="eastAsia" w:ascii="仿宋" w:hAnsi="仿宋" w:eastAsia="仿宋" w:cs="仿宋"/>
          <w:b/>
          <w:bCs/>
          <w:color w:val="auto"/>
          <w:sz w:val="30"/>
          <w:szCs w:val="30"/>
        </w:rPr>
      </w:pPr>
    </w:p>
    <w:p w14:paraId="104FB04F">
      <w:pPr>
        <w:pStyle w:val="5"/>
        <w:bidi w:val="0"/>
        <w:ind w:left="0" w:leftChars="0" w:firstLine="0" w:firstLineChars="0"/>
        <w:jc w:val="center"/>
        <w:rPr>
          <w:rFonts w:hint="eastAsia" w:ascii="仿宋" w:hAnsi="仿宋" w:eastAsia="仿宋" w:cs="仿宋"/>
          <w:b/>
          <w:bCs/>
          <w:color w:val="auto"/>
          <w:sz w:val="32"/>
          <w:szCs w:val="32"/>
        </w:rPr>
        <w:sectPr>
          <w:pgSz w:w="11906" w:h="16838"/>
          <w:pgMar w:top="1247" w:right="1134" w:bottom="1020" w:left="1418" w:header="851" w:footer="907" w:gutter="0"/>
          <w:pgNumType w:fmt="numberInDash"/>
          <w:cols w:space="720" w:num="1"/>
          <w:titlePg/>
          <w:docGrid w:type="lines" w:linePitch="312" w:charSpace="0"/>
        </w:sectPr>
      </w:pPr>
    </w:p>
    <w:p w14:paraId="4789FE89">
      <w:pPr>
        <w:pStyle w:val="5"/>
        <w:bidi w:val="0"/>
        <w:ind w:left="0" w:leftChars="0" w:firstLine="0" w:firstLineChars="0"/>
        <w:jc w:val="center"/>
        <w:rPr>
          <w:rFonts w:hint="eastAsia" w:ascii="仿宋" w:hAnsi="仿宋" w:eastAsia="仿宋" w:cs="仿宋"/>
          <w:color w:val="auto"/>
          <w:sz w:val="24"/>
          <w:szCs w:val="24"/>
        </w:rPr>
      </w:pPr>
      <w:r>
        <w:rPr>
          <w:rFonts w:hint="eastAsia" w:ascii="仿宋" w:hAnsi="仿宋" w:cs="仿宋"/>
          <w:b/>
          <w:bCs/>
          <w:color w:val="auto"/>
          <w:sz w:val="32"/>
          <w:szCs w:val="32"/>
          <w:lang w:val="en-US" w:eastAsia="zh-CN"/>
        </w:rPr>
        <w:t>八</w:t>
      </w:r>
      <w:r>
        <w:rPr>
          <w:rFonts w:hint="eastAsia" w:ascii="仿宋" w:hAnsi="仿宋" w:eastAsia="仿宋" w:cs="仿宋"/>
          <w:b/>
          <w:bCs/>
          <w:color w:val="auto"/>
          <w:sz w:val="32"/>
          <w:szCs w:val="32"/>
        </w:rPr>
        <w:t>、</w:t>
      </w:r>
      <w:r>
        <w:rPr>
          <w:rFonts w:hint="eastAsia" w:ascii="仿宋" w:hAnsi="仿宋" w:eastAsia="仿宋" w:cs="仿宋"/>
          <w:b/>
          <w:bCs/>
          <w:color w:val="auto"/>
          <w:sz w:val="30"/>
          <w:szCs w:val="30"/>
        </w:rPr>
        <w:t>投标承诺书（格式）</w:t>
      </w:r>
    </w:p>
    <w:p w14:paraId="71C36FE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我公司已详细阅读了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cs="仿宋"/>
          <w:color w:val="auto"/>
          <w:sz w:val="24"/>
          <w:szCs w:val="24"/>
          <w:u w:val="single"/>
          <w:lang w:val="en-US" w:eastAsia="zh-CN"/>
        </w:rPr>
        <w:t xml:space="preserve">      </w:t>
      </w:r>
      <w:r>
        <w:rPr>
          <w:rFonts w:hint="eastAsia" w:ascii="仿宋" w:hAnsi="仿宋" w:eastAsia="仿宋" w:cs="仿宋"/>
          <w:color w:val="auto"/>
          <w:sz w:val="24"/>
          <w:szCs w:val="24"/>
        </w:rPr>
        <w:t>）招标文件，现参加该项目投标，并就有关事项作出如下承诺：</w:t>
      </w:r>
    </w:p>
    <w:p w14:paraId="6045C1CB">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一、我公司在该项目招投标及合同履约过程中，不会出现以下行为，否则我公司愿意接受该行为被记录为不良行为，并在不良行为记录时限内放弃在武义县公共资源交易中心投标的资格。</w:t>
      </w:r>
    </w:p>
    <w:p w14:paraId="640C6A2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w:t>
      </w:r>
      <w:r>
        <w:rPr>
          <w:rFonts w:hint="eastAsia" w:ascii="仿宋" w:hAnsi="仿宋" w:eastAsia="仿宋" w:cs="仿宋"/>
          <w:color w:val="auto"/>
          <w:sz w:val="24"/>
          <w:szCs w:val="24"/>
        </w:rPr>
        <w:t>已报名但无故放弃投标(开标前已有书面说明并证实的除外)一年内累计3次以上的；</w:t>
      </w:r>
    </w:p>
    <w:p w14:paraId="2E0FA30A">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w:t>
      </w:r>
      <w:r>
        <w:rPr>
          <w:rFonts w:hint="eastAsia" w:ascii="仿宋" w:hAnsi="仿宋" w:eastAsia="仿宋" w:cs="仿宋"/>
          <w:color w:val="auto"/>
          <w:sz w:val="24"/>
          <w:szCs w:val="24"/>
        </w:rPr>
        <w:t>在招标采购过程中，与采购人进行协商谈判的；</w:t>
      </w:r>
    </w:p>
    <w:p w14:paraId="2F083A19">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3.</w:t>
      </w:r>
      <w:r>
        <w:rPr>
          <w:rFonts w:hint="eastAsia" w:ascii="仿宋" w:hAnsi="仿宋" w:eastAsia="仿宋" w:cs="仿宋"/>
          <w:color w:val="auto"/>
          <w:sz w:val="24"/>
          <w:szCs w:val="24"/>
        </w:rPr>
        <w:t>投标有效期内撤回其投标文件的；</w:t>
      </w:r>
    </w:p>
    <w:p w14:paraId="077FF1B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4.</w:t>
      </w:r>
      <w:r>
        <w:rPr>
          <w:rFonts w:hint="eastAsia" w:ascii="仿宋" w:hAnsi="仿宋" w:eastAsia="仿宋" w:cs="仿宋"/>
          <w:color w:val="auto"/>
          <w:sz w:val="24"/>
          <w:szCs w:val="24"/>
        </w:rPr>
        <w:t>拒绝有关部门监督检查或提供虚假情况的；</w:t>
      </w:r>
    </w:p>
    <w:p w14:paraId="4A22D0E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5.</w:t>
      </w:r>
      <w:r>
        <w:rPr>
          <w:rFonts w:hint="eastAsia" w:ascii="仿宋" w:hAnsi="仿宋" w:eastAsia="仿宋" w:cs="仿宋"/>
          <w:color w:val="auto"/>
          <w:sz w:val="24"/>
          <w:szCs w:val="24"/>
        </w:rPr>
        <w:t>不积极配合采购人做好标的验收工作的；</w:t>
      </w:r>
    </w:p>
    <w:p w14:paraId="67D51CDA">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6.</w:t>
      </w:r>
      <w:r>
        <w:rPr>
          <w:rFonts w:hint="eastAsia" w:ascii="仿宋" w:hAnsi="仿宋" w:eastAsia="仿宋" w:cs="仿宋"/>
          <w:color w:val="auto"/>
          <w:sz w:val="24"/>
          <w:szCs w:val="24"/>
        </w:rPr>
        <w:t>在有关部门的监督检查或考核中被通报批评或处以警告及以上处罚的；</w:t>
      </w:r>
    </w:p>
    <w:p w14:paraId="31A8838B">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7.</w:t>
      </w:r>
      <w:r>
        <w:rPr>
          <w:rFonts w:hint="eastAsia" w:ascii="仿宋" w:hAnsi="仿宋" w:eastAsia="仿宋" w:cs="仿宋"/>
          <w:color w:val="auto"/>
          <w:sz w:val="24"/>
          <w:szCs w:val="24"/>
        </w:rPr>
        <w:t>不遵守投标会场纪律，无理取闹，扰乱秩序的；</w:t>
      </w:r>
    </w:p>
    <w:p w14:paraId="7B55B983">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8.</w:t>
      </w:r>
      <w:r>
        <w:rPr>
          <w:rFonts w:hint="eastAsia" w:ascii="仿宋" w:hAnsi="仿宋" w:eastAsia="仿宋" w:cs="仿宋"/>
          <w:color w:val="auto"/>
          <w:sz w:val="24"/>
          <w:szCs w:val="24"/>
        </w:rPr>
        <w:t>中标后无正当理由放弃中标，或不与采购人签订政府采购合同，或在签订合同时提出附加条件或更改合同实质性内容；</w:t>
      </w:r>
    </w:p>
    <w:p w14:paraId="042A75C7">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9.</w:t>
      </w:r>
      <w:r>
        <w:rPr>
          <w:rFonts w:hint="eastAsia" w:ascii="仿宋" w:hAnsi="仿宋" w:eastAsia="仿宋" w:cs="仿宋"/>
          <w:color w:val="auto"/>
          <w:sz w:val="24"/>
          <w:szCs w:val="24"/>
        </w:rPr>
        <w:t>虚假投诉、恶意投诉或未按层级和相关程序逐级质疑、投诉而影响采购工作正常进行或造成不良影响的；</w:t>
      </w:r>
    </w:p>
    <w:p w14:paraId="1A22532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10.</w:t>
      </w:r>
      <w:r>
        <w:rPr>
          <w:rFonts w:hint="eastAsia" w:ascii="仿宋" w:hAnsi="仿宋" w:eastAsia="仿宋" w:cs="仿宋"/>
          <w:color w:val="auto"/>
          <w:sz w:val="24"/>
          <w:szCs w:val="24"/>
        </w:rPr>
        <w:t>不按照与采购人订立的合同履行义务（包括提供标的、售后服务、技术支持等），严重违反合同规定和廉政合同要求的；</w:t>
      </w:r>
    </w:p>
    <w:p w14:paraId="1B2B75B1">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11.</w:t>
      </w:r>
      <w:r>
        <w:rPr>
          <w:rFonts w:hint="eastAsia" w:ascii="仿宋" w:hAnsi="仿宋" w:eastAsia="仿宋" w:cs="仿宋"/>
          <w:color w:val="auto"/>
          <w:sz w:val="24"/>
          <w:szCs w:val="24"/>
        </w:rPr>
        <w:t>项目负责人不到位，或擅自变换项目负责人，或不认真履行职责造成采购人损失的；</w:t>
      </w:r>
    </w:p>
    <w:p w14:paraId="5A8ED752">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12.</w:t>
      </w:r>
      <w:r>
        <w:rPr>
          <w:rFonts w:hint="eastAsia" w:ascii="仿宋" w:hAnsi="仿宋" w:eastAsia="仿宋" w:cs="仿宋"/>
          <w:color w:val="auto"/>
          <w:sz w:val="24"/>
          <w:szCs w:val="24"/>
        </w:rPr>
        <w:t>发生经营状况重大变化以及重要担保、重大合同纠纷或诉讼、信用等级和资质变化等可能影响履约能力的重大事项，未及时向采购人提供书面报告，因而造成采购人损失的；</w:t>
      </w:r>
    </w:p>
    <w:p w14:paraId="7DADAFEF">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13.</w:t>
      </w:r>
      <w:r>
        <w:rPr>
          <w:rFonts w:hint="eastAsia" w:ascii="仿宋" w:hAnsi="仿宋" w:eastAsia="仿宋" w:cs="仿宋"/>
          <w:color w:val="auto"/>
          <w:sz w:val="24"/>
          <w:szCs w:val="24"/>
        </w:rPr>
        <w:t>与采购人、其他供应商或者采购代理机构相互串通的；</w:t>
      </w:r>
    </w:p>
    <w:p w14:paraId="7557CA14">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14.</w:t>
      </w:r>
      <w:r>
        <w:rPr>
          <w:rFonts w:hint="eastAsia" w:ascii="仿宋" w:hAnsi="仿宋" w:eastAsia="仿宋" w:cs="仿宋"/>
          <w:color w:val="auto"/>
          <w:sz w:val="24"/>
          <w:szCs w:val="24"/>
        </w:rPr>
        <w:t>采取不正当手段排挤其他供应商，进行不公平竞争的；</w:t>
      </w:r>
    </w:p>
    <w:p w14:paraId="13071F58">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15.</w:t>
      </w:r>
      <w:r>
        <w:rPr>
          <w:rFonts w:hint="eastAsia" w:ascii="仿宋" w:hAnsi="仿宋" w:eastAsia="仿宋" w:cs="仿宋"/>
          <w:color w:val="auto"/>
          <w:sz w:val="24"/>
          <w:szCs w:val="24"/>
        </w:rPr>
        <w:t>中标后与采购人另行订立背离合同实质内容的协议的；</w:t>
      </w:r>
    </w:p>
    <w:p w14:paraId="7A435D7A">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16.</w:t>
      </w:r>
      <w:r>
        <w:rPr>
          <w:rFonts w:hint="eastAsia" w:ascii="仿宋" w:hAnsi="仿宋" w:eastAsia="仿宋" w:cs="仿宋"/>
          <w:color w:val="auto"/>
          <w:sz w:val="24"/>
          <w:szCs w:val="24"/>
        </w:rPr>
        <w:t>事先有承诺，而事后违反承诺内容的；</w:t>
      </w:r>
    </w:p>
    <w:p w14:paraId="28920C7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17.</w:t>
      </w:r>
      <w:r>
        <w:rPr>
          <w:rFonts w:hint="eastAsia" w:ascii="仿宋" w:hAnsi="仿宋" w:eastAsia="仿宋" w:cs="仿宋"/>
          <w:color w:val="auto"/>
          <w:sz w:val="24"/>
          <w:szCs w:val="24"/>
        </w:rPr>
        <w:t>将中标项目转包或违反规定进行分包的；</w:t>
      </w:r>
    </w:p>
    <w:p w14:paraId="14D5BA78">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18.</w:t>
      </w:r>
      <w:r>
        <w:rPr>
          <w:rFonts w:hint="eastAsia" w:ascii="仿宋" w:hAnsi="仿宋" w:eastAsia="仿宋" w:cs="仿宋"/>
          <w:color w:val="auto"/>
          <w:sz w:val="24"/>
          <w:szCs w:val="24"/>
        </w:rPr>
        <w:t>以他人名义投标或允许他人以自己名义投标，或者以其他方式弄虚作假的；</w:t>
      </w:r>
    </w:p>
    <w:p w14:paraId="335B9B0C">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19.</w:t>
      </w:r>
      <w:r>
        <w:rPr>
          <w:rFonts w:hint="eastAsia" w:ascii="仿宋" w:hAnsi="仿宋" w:eastAsia="仿宋" w:cs="仿宋"/>
          <w:color w:val="auto"/>
          <w:sz w:val="24"/>
          <w:szCs w:val="24"/>
        </w:rPr>
        <w:t>为获取自身利益，向采购人及其他有利害关系的单位或个人提供不正当利益的；</w:t>
      </w:r>
    </w:p>
    <w:p w14:paraId="6E0D79C2">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20.</w:t>
      </w:r>
      <w:r>
        <w:rPr>
          <w:rFonts w:hint="eastAsia" w:ascii="仿宋" w:hAnsi="仿宋" w:eastAsia="仿宋" w:cs="仿宋"/>
          <w:color w:val="auto"/>
          <w:sz w:val="24"/>
          <w:szCs w:val="24"/>
        </w:rPr>
        <w:t>擅自变更、中止、终止或解除政府采购合同的；</w:t>
      </w:r>
    </w:p>
    <w:p w14:paraId="39DB475D">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21.</w:t>
      </w:r>
      <w:r>
        <w:rPr>
          <w:rFonts w:hint="eastAsia" w:ascii="仿宋" w:hAnsi="仿宋" w:eastAsia="仿宋" w:cs="仿宋"/>
          <w:color w:val="auto"/>
          <w:sz w:val="24"/>
          <w:szCs w:val="24"/>
        </w:rPr>
        <w:t>向有关人员行贿或者提供不正当利益谋取中标的；</w:t>
      </w:r>
    </w:p>
    <w:p w14:paraId="21C1EFF5">
      <w:pPr>
        <w:spacing w:line="420" w:lineRule="exact"/>
        <w:ind w:firstLine="480" w:firstLineChars="200"/>
        <w:rPr>
          <w:rFonts w:hint="eastAsia" w:ascii="仿宋" w:hAnsi="仿宋" w:eastAsia="仿宋" w:cs="仿宋"/>
          <w:color w:val="auto"/>
          <w:sz w:val="24"/>
          <w:szCs w:val="24"/>
        </w:rPr>
      </w:pPr>
      <w:r>
        <w:rPr>
          <w:rFonts w:hint="eastAsia" w:cs="仿宋"/>
          <w:color w:val="auto"/>
          <w:sz w:val="24"/>
          <w:szCs w:val="24"/>
          <w:lang w:val="en-US" w:eastAsia="zh-CN"/>
        </w:rPr>
        <w:t>22.</w:t>
      </w:r>
      <w:r>
        <w:rPr>
          <w:rFonts w:hint="eastAsia" w:ascii="仿宋" w:hAnsi="仿宋" w:eastAsia="仿宋" w:cs="仿宋"/>
          <w:color w:val="auto"/>
          <w:sz w:val="24"/>
          <w:szCs w:val="24"/>
        </w:rPr>
        <w:t>在政府采购活动期间，对管理机构、采购人、其他投标人、评标专家、中介机构等政府采购相关机构和人员，采取诋毁、诽谤、胁迫、暴力等不正当手段的；</w:t>
      </w:r>
    </w:p>
    <w:p w14:paraId="29F847E8">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二、我公司及其他利害关系人如对该项目的中标公示有异议，将在招标文件规定的公示期限内提出符合以下条件的有效质疑，否则我公司愿意接受相关部门不予受理的决定。</w:t>
      </w:r>
    </w:p>
    <w:p w14:paraId="618FA19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质疑人须为投标人和其他利害关系人；</w:t>
      </w:r>
    </w:p>
    <w:p w14:paraId="5252DDA0">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投诉时，应当递交质疑书，质疑书应当包括下列内容：</w:t>
      </w:r>
    </w:p>
    <w:p w14:paraId="6EEC44E5">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（1）质疑人的名称、地址及有效联系方式；</w:t>
      </w:r>
    </w:p>
    <w:p w14:paraId="4C51AB2E">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（2）被质疑人的名称、地址及联系方式；</w:t>
      </w:r>
    </w:p>
    <w:p w14:paraId="61F5A4B6">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（3）质疑事项的基本事实；</w:t>
      </w:r>
    </w:p>
    <w:p w14:paraId="56ADF172">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（4）相关请求及主张；</w:t>
      </w:r>
    </w:p>
    <w:p w14:paraId="7294A1A4">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（5）有效线索和相关证明材料；</w:t>
      </w:r>
    </w:p>
    <w:p w14:paraId="7346C60F">
      <w:pPr>
        <w:spacing w:line="42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（6）质疑人是法人的，质疑书必须由其法定代表人或者授权代表签字并加盖章；其他组织或者个人质疑的，质疑书必须由其主要负责人或者质疑人本人签字，并附有效身份证明扫描件。</w:t>
      </w:r>
    </w:p>
    <w:p w14:paraId="19B11D91">
      <w:pPr>
        <w:spacing w:line="420" w:lineRule="exact"/>
        <w:ind w:firstLine="964" w:firstLineChars="400"/>
        <w:rPr>
          <w:rFonts w:hint="eastAsia" w:ascii="仿宋" w:hAnsi="仿宋" w:eastAsia="仿宋" w:cs="仿宋"/>
          <w:b/>
          <w:color w:val="auto"/>
          <w:sz w:val="24"/>
          <w:szCs w:val="24"/>
        </w:rPr>
      </w:pPr>
    </w:p>
    <w:p w14:paraId="273E9F20">
      <w:pPr>
        <w:spacing w:line="420" w:lineRule="exact"/>
        <w:ind w:firstLine="960" w:firstLineChars="400"/>
        <w:rPr>
          <w:rFonts w:hint="eastAsia" w:ascii="仿宋" w:hAnsi="仿宋" w:eastAsia="仿宋" w:cs="仿宋"/>
          <w:color w:val="auto"/>
          <w:sz w:val="24"/>
          <w:szCs w:val="24"/>
        </w:rPr>
      </w:pPr>
    </w:p>
    <w:p w14:paraId="11E35D89">
      <w:pPr>
        <w:spacing w:line="420" w:lineRule="exact"/>
        <w:ind w:firstLine="960" w:firstLineChars="400"/>
        <w:rPr>
          <w:rFonts w:hint="eastAsia" w:ascii="仿宋" w:hAnsi="仿宋" w:eastAsia="仿宋" w:cs="仿宋"/>
          <w:color w:val="auto"/>
          <w:sz w:val="24"/>
          <w:szCs w:val="24"/>
        </w:rPr>
      </w:pPr>
    </w:p>
    <w:p w14:paraId="6C56658A">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7BC43897">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526078C4">
      <w:pPr>
        <w:snapToGrid w:val="0"/>
        <w:spacing w:line="360" w:lineRule="auto"/>
        <w:rPr>
          <w:rFonts w:hint="eastAsia" w:ascii="仿宋" w:hAnsi="仿宋" w:eastAsia="仿宋" w:cs="仿宋"/>
          <w:color w:val="auto"/>
          <w:sz w:val="24"/>
          <w:szCs w:val="24"/>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58E34E74">
      <w:pPr>
        <w:spacing w:before="0" w:after="0" w:line="420" w:lineRule="exact"/>
        <w:outlineLvl w:val="9"/>
        <w:rPr>
          <w:rFonts w:hint="eastAsia" w:ascii="仿宋" w:hAnsi="仿宋" w:eastAsia="仿宋" w:cs="仿宋"/>
          <w:b w:val="0"/>
          <w:sz w:val="24"/>
          <w:szCs w:val="24"/>
        </w:rPr>
      </w:pPr>
    </w:p>
    <w:p w14:paraId="23D85FAA">
      <w:pPr>
        <w:outlineLvl w:val="9"/>
        <w:rPr>
          <w:rFonts w:hint="eastAsia" w:ascii="仿宋" w:hAnsi="仿宋" w:eastAsia="仿宋" w:cs="仿宋"/>
          <w:color w:val="auto"/>
          <w:sz w:val="44"/>
          <w:szCs w:val="44"/>
        </w:rPr>
      </w:pPr>
    </w:p>
    <w:p w14:paraId="22B127BD">
      <w:pPr>
        <w:spacing w:line="312" w:lineRule="auto"/>
        <w:outlineLvl w:val="9"/>
        <w:rPr>
          <w:rFonts w:hint="eastAsia" w:ascii="仿宋" w:hAnsi="仿宋" w:eastAsia="仿宋" w:cs="仿宋"/>
          <w:color w:val="auto"/>
        </w:rPr>
      </w:pPr>
    </w:p>
    <w:p w14:paraId="0593C6ED">
      <w:pPr>
        <w:pStyle w:val="11"/>
        <w:rPr>
          <w:rFonts w:hint="eastAsia" w:ascii="仿宋" w:hAnsi="仿宋" w:eastAsia="仿宋" w:cs="仿宋"/>
          <w:color w:val="auto"/>
        </w:rPr>
      </w:pPr>
    </w:p>
    <w:p w14:paraId="54602271">
      <w:pPr>
        <w:pStyle w:val="19"/>
        <w:rPr>
          <w:rFonts w:hint="eastAsia"/>
        </w:rPr>
      </w:pPr>
    </w:p>
    <w:p w14:paraId="494109A7">
      <w:pPr>
        <w:pStyle w:val="5"/>
        <w:bidi w:val="0"/>
        <w:ind w:left="0" w:leftChars="0" w:firstLine="0" w:firstLineChars="0"/>
        <w:jc w:val="center"/>
        <w:rPr>
          <w:rFonts w:hint="eastAsia" w:ascii="仿宋" w:hAnsi="仿宋" w:eastAsia="仿宋" w:cs="仿宋"/>
          <w:b/>
          <w:color w:val="auto"/>
          <w:sz w:val="30"/>
          <w:szCs w:val="30"/>
        </w:rPr>
        <w:sectPr>
          <w:pgSz w:w="11906" w:h="16838"/>
          <w:pgMar w:top="1247" w:right="1134" w:bottom="1020" w:left="1418" w:header="851" w:footer="907" w:gutter="0"/>
          <w:pgNumType w:fmt="numberInDash"/>
          <w:cols w:space="720" w:num="1"/>
          <w:titlePg/>
          <w:docGrid w:type="lines" w:linePitch="312" w:charSpace="0"/>
        </w:sectPr>
      </w:pPr>
    </w:p>
    <w:p w14:paraId="6431588F">
      <w:pPr>
        <w:pStyle w:val="5"/>
        <w:bidi w:val="0"/>
        <w:ind w:left="0" w:leftChars="0" w:firstLine="0" w:firstLineChars="0"/>
        <w:jc w:val="center"/>
        <w:rPr>
          <w:rFonts w:hint="eastAsia" w:ascii="仿宋" w:hAnsi="仿宋" w:eastAsia="仿宋" w:cs="仿宋"/>
          <w:b/>
          <w:color w:val="auto"/>
          <w:sz w:val="30"/>
          <w:szCs w:val="30"/>
        </w:rPr>
      </w:pPr>
      <w:r>
        <w:rPr>
          <w:rFonts w:hint="eastAsia" w:ascii="仿宋" w:hAnsi="仿宋" w:cs="仿宋"/>
          <w:b/>
          <w:color w:val="auto"/>
          <w:sz w:val="30"/>
          <w:szCs w:val="30"/>
          <w:lang w:val="en-US" w:eastAsia="zh-CN"/>
        </w:rPr>
        <w:t>九</w:t>
      </w:r>
      <w:r>
        <w:rPr>
          <w:rFonts w:hint="eastAsia" w:ascii="仿宋" w:hAnsi="仿宋" w:eastAsia="仿宋" w:cs="仿宋"/>
          <w:b/>
          <w:color w:val="auto"/>
          <w:sz w:val="30"/>
          <w:szCs w:val="30"/>
        </w:rPr>
        <w:t>、商务技术偏离表</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703"/>
        <w:gridCol w:w="2016"/>
        <w:gridCol w:w="1849"/>
        <w:gridCol w:w="1558"/>
      </w:tblGrid>
      <w:tr w14:paraId="59730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5" w:type="dxa"/>
            <w:tcBorders>
              <w:bottom w:val="single" w:color="auto" w:sz="4" w:space="0"/>
            </w:tcBorders>
            <w:noWrap/>
            <w:vAlign w:val="center"/>
          </w:tcPr>
          <w:p w14:paraId="224E591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2703" w:type="dxa"/>
            <w:tcBorders>
              <w:bottom w:val="single" w:color="auto" w:sz="4" w:space="0"/>
            </w:tcBorders>
            <w:noWrap/>
            <w:vAlign w:val="center"/>
          </w:tcPr>
          <w:p w14:paraId="4F9C2F4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内  容</w:t>
            </w:r>
          </w:p>
        </w:tc>
        <w:tc>
          <w:tcPr>
            <w:tcW w:w="2016" w:type="dxa"/>
            <w:tcBorders>
              <w:bottom w:val="single" w:color="auto" w:sz="4" w:space="0"/>
            </w:tcBorders>
            <w:noWrap/>
            <w:vAlign w:val="center"/>
          </w:tcPr>
          <w:p w14:paraId="4B7444E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招标文件</w:t>
            </w:r>
          </w:p>
          <w:p w14:paraId="50C3521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规范要求</w:t>
            </w:r>
          </w:p>
        </w:tc>
        <w:tc>
          <w:tcPr>
            <w:tcW w:w="1849" w:type="dxa"/>
            <w:tcBorders>
              <w:bottom w:val="single" w:color="auto" w:sz="4" w:space="0"/>
            </w:tcBorders>
            <w:noWrap/>
            <w:vAlign w:val="center"/>
          </w:tcPr>
          <w:p w14:paraId="77A0A804">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投标文件</w:t>
            </w:r>
          </w:p>
          <w:p w14:paraId="0835A942">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对应规范</w:t>
            </w:r>
          </w:p>
        </w:tc>
        <w:tc>
          <w:tcPr>
            <w:tcW w:w="1558" w:type="dxa"/>
            <w:tcBorders>
              <w:bottom w:val="single" w:color="auto" w:sz="4" w:space="0"/>
            </w:tcBorders>
            <w:noWrap/>
            <w:vAlign w:val="center"/>
          </w:tcPr>
          <w:p w14:paraId="6738476E">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eastAsia" w:ascii="仿宋" w:hAnsi="仿宋" w:eastAsia="仿宋" w:cs="仿宋"/>
                <w:b/>
                <w:bCs/>
                <w:sz w:val="24"/>
              </w:rPr>
            </w:pPr>
            <w:r>
              <w:rPr>
                <w:rFonts w:hint="eastAsia" w:ascii="仿宋" w:hAnsi="仿宋" w:eastAsia="仿宋" w:cs="仿宋"/>
                <w:b/>
                <w:bCs/>
                <w:sz w:val="24"/>
              </w:rPr>
              <w:t>偏离</w:t>
            </w:r>
          </w:p>
        </w:tc>
      </w:tr>
      <w:tr w14:paraId="3F86F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1CB8761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D30445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1C3A7B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20DE4BC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5A97B0C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2B2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26D8331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98FEC8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207943F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38E4463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7B3CA46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6640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5F028E4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118967C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5DC5FEF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29C25C8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5867501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13938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39753A56">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2E464D4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1C981D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2A2CE51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44A5271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46A7E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4B5889E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34303B2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739431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30C17EE1">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372E4A53">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5DFF6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6CFD1C0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3F7DE82A">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5A811F0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711F93B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7F69035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6181D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66EAE50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4BC12E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3F790DB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58DA1B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6AE1D14E">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3C27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23E27AE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62A745F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05F6BA8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5410E94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333FCD8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48CB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159D83B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63C0124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140D2D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A9B84AB">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58B34BA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73478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1362A4D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7A47692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7EB945DD">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4EB0C86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20E33005">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23475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995" w:type="dxa"/>
            <w:noWrap/>
            <w:vAlign w:val="top"/>
          </w:tcPr>
          <w:p w14:paraId="0244BB3F">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4DA15AA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77C9187">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A3B6D98">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69434770">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r w14:paraId="0859B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995" w:type="dxa"/>
            <w:noWrap/>
            <w:vAlign w:val="top"/>
          </w:tcPr>
          <w:p w14:paraId="4543E4B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703" w:type="dxa"/>
            <w:noWrap/>
            <w:vAlign w:val="top"/>
          </w:tcPr>
          <w:p w14:paraId="30066CC9">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2016" w:type="dxa"/>
            <w:noWrap/>
            <w:vAlign w:val="top"/>
          </w:tcPr>
          <w:p w14:paraId="6C9D102C">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849" w:type="dxa"/>
            <w:noWrap/>
            <w:vAlign w:val="top"/>
          </w:tcPr>
          <w:p w14:paraId="068DDC82">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c>
          <w:tcPr>
            <w:tcW w:w="1558" w:type="dxa"/>
            <w:noWrap/>
            <w:vAlign w:val="top"/>
          </w:tcPr>
          <w:p w14:paraId="10176664">
            <w:pPr>
              <w:keepNext w:val="0"/>
              <w:keepLines w:val="0"/>
              <w:pageBreakBefore w:val="0"/>
              <w:widowControl w:val="0"/>
              <w:kinsoku/>
              <w:wordWrap/>
              <w:overflowPunct/>
              <w:topLinePunct w:val="0"/>
              <w:autoSpaceDE w:val="0"/>
              <w:autoSpaceDN w:val="0"/>
              <w:bidi w:val="0"/>
              <w:adjustRightInd w:val="0"/>
              <w:snapToGrid/>
              <w:spacing w:line="360" w:lineRule="auto"/>
              <w:ind w:firstLine="0" w:firstLineChars="0"/>
              <w:textAlignment w:val="auto"/>
              <w:rPr>
                <w:rFonts w:hint="eastAsia" w:ascii="仿宋" w:hAnsi="仿宋" w:eastAsia="仿宋" w:cs="仿宋"/>
                <w:sz w:val="24"/>
              </w:rPr>
            </w:pPr>
          </w:p>
        </w:tc>
      </w:tr>
    </w:tbl>
    <w:p w14:paraId="7111A89A">
      <w:pPr>
        <w:spacing w:line="420" w:lineRule="exact"/>
        <w:rPr>
          <w:rFonts w:hint="eastAsia" w:ascii="仿宋" w:hAnsi="仿宋" w:eastAsia="仿宋" w:cs="仿宋"/>
          <w:color w:val="auto"/>
          <w:sz w:val="24"/>
          <w:szCs w:val="24"/>
        </w:rPr>
      </w:pPr>
    </w:p>
    <w:p w14:paraId="33474614">
      <w:pPr>
        <w:spacing w:line="420" w:lineRule="exact"/>
        <w:rPr>
          <w:rFonts w:hint="eastAsia" w:ascii="仿宋" w:hAnsi="仿宋" w:eastAsia="仿宋" w:cs="仿宋"/>
          <w:color w:val="auto"/>
          <w:sz w:val="24"/>
          <w:szCs w:val="24"/>
        </w:rPr>
      </w:pPr>
    </w:p>
    <w:p w14:paraId="552BD03B">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56575A42">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4D403EF9">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7B0D0BA2">
      <w:pPr>
        <w:spacing w:line="420" w:lineRule="exact"/>
        <w:ind w:firstLine="240" w:firstLineChars="100"/>
        <w:rPr>
          <w:rFonts w:hint="eastAsia" w:ascii="仿宋" w:hAnsi="仿宋" w:eastAsia="仿宋" w:cs="仿宋"/>
          <w:color w:val="auto"/>
          <w:sz w:val="24"/>
          <w:szCs w:val="24"/>
        </w:rPr>
      </w:pPr>
    </w:p>
    <w:p w14:paraId="0C114BF9">
      <w:pPr>
        <w:snapToGrid w:val="0"/>
        <w:spacing w:before="50" w:after="50" w:line="312" w:lineRule="auto"/>
        <w:rPr>
          <w:rFonts w:hint="eastAsia" w:ascii="仿宋" w:hAnsi="仿宋" w:eastAsia="仿宋" w:cs="仿宋"/>
          <w:b/>
          <w:color w:val="auto"/>
          <w:sz w:val="36"/>
          <w:szCs w:val="36"/>
        </w:rPr>
      </w:pPr>
    </w:p>
    <w:p w14:paraId="08704E7F">
      <w:pPr>
        <w:snapToGrid w:val="0"/>
        <w:spacing w:before="50" w:after="50" w:line="312" w:lineRule="auto"/>
        <w:jc w:val="center"/>
        <w:rPr>
          <w:rFonts w:hint="eastAsia" w:ascii="仿宋" w:hAnsi="仿宋" w:eastAsia="仿宋" w:cs="仿宋"/>
          <w:b/>
          <w:color w:val="auto"/>
          <w:sz w:val="36"/>
          <w:szCs w:val="36"/>
        </w:rPr>
      </w:pPr>
    </w:p>
    <w:p w14:paraId="06A50961">
      <w:pPr>
        <w:pStyle w:val="5"/>
        <w:bidi w:val="0"/>
        <w:ind w:left="0" w:leftChars="0" w:firstLine="0" w:firstLineChars="0"/>
        <w:jc w:val="center"/>
        <w:rPr>
          <w:rFonts w:hint="eastAsia" w:ascii="仿宋" w:hAnsi="仿宋" w:eastAsia="仿宋" w:cs="仿宋"/>
          <w:b/>
          <w:color w:val="auto"/>
          <w:sz w:val="24"/>
          <w:szCs w:val="24"/>
        </w:rPr>
      </w:pPr>
      <w:r>
        <w:rPr>
          <w:rFonts w:hint="eastAsia"/>
          <w:lang w:val="en-US" w:eastAsia="zh-CN"/>
        </w:rPr>
        <w:t>十</w:t>
      </w:r>
      <w:r>
        <w:rPr>
          <w:rFonts w:hint="eastAsia"/>
        </w:rPr>
        <w:t>、中小企业声明函（服务）</w:t>
      </w:r>
    </w:p>
    <w:p w14:paraId="07CC1498">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本公司（联合体）郑重声明，根据《政府采购促进中小企业发展管理办法》 （财库﹝2020﹞46 号）的规定，本公司（或联合体）参加</w:t>
      </w:r>
      <w:r>
        <w:rPr>
          <w:rFonts w:hint="eastAsia" w:ascii="仿宋" w:hAnsi="仿宋" w:eastAsia="仿宋" w:cs="仿宋"/>
          <w:color w:val="auto"/>
          <w:sz w:val="24"/>
          <w:szCs w:val="24"/>
          <w:u w:val="single"/>
        </w:rPr>
        <w:t xml:space="preserve">          （采购单位）</w:t>
      </w:r>
      <w:r>
        <w:rPr>
          <w:rFonts w:hint="eastAsia" w:ascii="仿宋" w:hAnsi="仿宋" w:eastAsia="仿宋" w:cs="仿宋"/>
          <w:color w:val="auto"/>
          <w:sz w:val="24"/>
          <w:szCs w:val="24"/>
        </w:rPr>
        <w:t>的</w:t>
      </w:r>
      <w:r>
        <w:rPr>
          <w:rFonts w:hint="eastAsia" w:ascii="仿宋" w:hAnsi="仿宋" w:eastAsia="仿宋" w:cs="仿宋"/>
          <w:color w:val="auto"/>
          <w:sz w:val="24"/>
          <w:szCs w:val="24"/>
          <w:u w:val="single"/>
        </w:rPr>
        <w:t xml:space="preserve">       </w:t>
      </w:r>
    </w:p>
    <w:p w14:paraId="0AB0C837">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项目</w:t>
      </w:r>
      <w:r>
        <w:rPr>
          <w:rFonts w:hint="eastAsia" w:ascii="仿宋" w:hAnsi="仿宋" w:eastAsia="仿宋" w:cs="仿宋"/>
          <w:color w:val="auto"/>
          <w:sz w:val="24"/>
          <w:szCs w:val="24"/>
        </w:rPr>
        <w:t>采购活动，工程的施工单位全部为符合政策要求的中小企业（或者：服务全部由符合政策要求的中小企业承接） 。相关企业（含联合体中的中小企业、签订分包意向协议的中小企业）的具体情况如下：</w:t>
      </w:r>
    </w:p>
    <w:p w14:paraId="5CE1871E">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w:t>
      </w:r>
      <w:r>
        <w:rPr>
          <w:rFonts w:hint="eastAsia" w:ascii="仿宋" w:hAnsi="仿宋" w:eastAsia="仿宋" w:cs="仿宋"/>
          <w:b/>
          <w:bCs/>
          <w:sz w:val="24"/>
          <w:u w:val="single"/>
          <w:lang w:val="en-US" w:eastAsia="zh-CN"/>
        </w:rPr>
        <w:t>软件和信息技术服务业</w:t>
      </w:r>
      <w:r>
        <w:rPr>
          <w:rFonts w:hint="eastAsia" w:ascii="仿宋" w:hAnsi="仿宋" w:eastAsia="仿宋" w:cs="仿宋"/>
          <w:color w:val="auto"/>
          <w:sz w:val="24"/>
          <w:szCs w:val="24"/>
          <w:u w:val="single"/>
        </w:rPr>
        <w:t>（采购文件中明确的所属行业）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6DD30971">
      <w:pPr>
        <w:keepNext w:val="0"/>
        <w:keepLines w:val="0"/>
        <w:pageBreakBefore w:val="0"/>
        <w:widowControl w:val="0"/>
        <w:kinsoku/>
        <w:wordWrap/>
        <w:overflowPunct/>
        <w:topLinePunct w:val="0"/>
        <w:autoSpaceDE w:val="0"/>
        <w:autoSpaceDN w:val="0"/>
        <w:bidi w:val="0"/>
        <w:adjustRightInd w:val="0"/>
        <w:snapToGrid/>
        <w:spacing w:line="312" w:lineRule="auto"/>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 xml:space="preserve">        （标的名称）</w:t>
      </w:r>
      <w:r>
        <w:rPr>
          <w:rFonts w:hint="eastAsia" w:ascii="仿宋" w:hAnsi="仿宋" w:eastAsia="仿宋" w:cs="仿宋"/>
          <w:color w:val="auto"/>
          <w:sz w:val="24"/>
          <w:szCs w:val="24"/>
        </w:rPr>
        <w:t>，属于</w:t>
      </w:r>
      <w:r>
        <w:rPr>
          <w:rFonts w:hint="eastAsia" w:ascii="仿宋" w:hAnsi="仿宋" w:eastAsia="仿宋" w:cs="仿宋"/>
          <w:color w:val="auto"/>
          <w:sz w:val="24"/>
          <w:szCs w:val="24"/>
          <w:u w:val="single"/>
        </w:rPr>
        <w:t xml:space="preserve">                  （采购文件中明确的所属行业）</w:t>
      </w:r>
      <w:r>
        <w:rPr>
          <w:rFonts w:hint="eastAsia" w:ascii="仿宋" w:hAnsi="仿宋" w:eastAsia="仿宋" w:cs="仿宋"/>
          <w:color w:val="auto"/>
          <w:sz w:val="24"/>
          <w:szCs w:val="24"/>
        </w:rPr>
        <w:t>；承建（承接）企业为</w:t>
      </w:r>
      <w:r>
        <w:rPr>
          <w:rFonts w:hint="eastAsia" w:ascii="仿宋" w:hAnsi="仿宋" w:eastAsia="仿宋" w:cs="仿宋"/>
          <w:color w:val="auto"/>
          <w:sz w:val="24"/>
          <w:szCs w:val="24"/>
          <w:u w:val="single"/>
        </w:rPr>
        <w:t xml:space="preserve">           （企业名称） </w:t>
      </w:r>
      <w:r>
        <w:rPr>
          <w:rFonts w:hint="eastAsia" w:ascii="仿宋" w:hAnsi="仿宋" w:eastAsia="仿宋" w:cs="仿宋"/>
          <w:color w:val="auto"/>
          <w:sz w:val="24"/>
          <w:szCs w:val="24"/>
        </w:rPr>
        <w:t>，从业人员</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人，营业收入为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万元 ，属于</w:t>
      </w:r>
      <w:r>
        <w:rPr>
          <w:rFonts w:hint="eastAsia" w:ascii="仿宋" w:hAnsi="仿宋" w:eastAsia="仿宋" w:cs="仿宋"/>
          <w:color w:val="auto"/>
          <w:sz w:val="24"/>
          <w:szCs w:val="24"/>
          <w:u w:val="single"/>
        </w:rPr>
        <w:t xml:space="preserve">       （中型企业、小型企业、微型企业）</w:t>
      </w:r>
      <w:r>
        <w:rPr>
          <w:rFonts w:hint="eastAsia" w:ascii="仿宋" w:hAnsi="仿宋" w:eastAsia="仿宋" w:cs="仿宋"/>
          <w:color w:val="auto"/>
          <w:sz w:val="24"/>
          <w:szCs w:val="24"/>
        </w:rPr>
        <w:t xml:space="preserve"> ；</w:t>
      </w:r>
    </w:p>
    <w:p w14:paraId="44B8FC4A">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363EB60B">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▲备注：</w:t>
      </w:r>
    </w:p>
    <w:p w14:paraId="28E09822">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以上企业，不属于大企业的分支机构，不存在控股股东为大企业的情形，也不存在与大企业的负责人为同一人的情形。</w:t>
      </w:r>
    </w:p>
    <w:p w14:paraId="30FBC2E0">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配件、辅料不作为标的，不需要在《中小企业声明函》里填列。</w:t>
      </w:r>
    </w:p>
    <w:p w14:paraId="27AF6AE1">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制造厂商不可以使用他人授权品牌或者授权他人实际生产，此种情况下，声明函无效。</w:t>
      </w:r>
    </w:p>
    <w:p w14:paraId="27576B9A">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图书类项目在货物类项目中，需要填写出版社。如涉及多个出版社，均需明确。在服务类项目中，填写提供服务的供应商。</w:t>
      </w:r>
    </w:p>
    <w:p w14:paraId="627A3359">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新成立的公司也需要提供声明函，在声明函中对营业收入、资产总额、从业人员的数据不填写，对企业类型以及是与大企业的负责人为同一人，或者与大企业存在直接控股、管理关系进行声明，否则声明函无效。</w:t>
      </w:r>
    </w:p>
    <w:p w14:paraId="4A297681">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供应商填写行业错误或者未填写行业的，投标无效。但错填为“采购文件确定的行业”等类似瑕疵的，投标有效。</w:t>
      </w:r>
    </w:p>
    <w:p w14:paraId="456F2C0E">
      <w:pPr>
        <w:keepNext w:val="0"/>
        <w:keepLines w:val="0"/>
        <w:pageBreakBefore w:val="0"/>
        <w:widowControl w:val="0"/>
        <w:kinsoku/>
        <w:wordWrap/>
        <w:overflowPunct/>
        <w:topLinePunct w:val="0"/>
        <w:autoSpaceDE w:val="0"/>
        <w:autoSpaceDN w:val="0"/>
        <w:bidi w:val="0"/>
        <w:adjustRightInd w:val="0"/>
        <w:snapToGrid/>
        <w:spacing w:line="312" w:lineRule="auto"/>
        <w:ind w:right="42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投标人填写的内容类型正确，数据错误，投标有效。对数据有疑义的，由供应商澄清说明，供应商对填报的数据来源作出合理解。</w:t>
      </w:r>
    </w:p>
    <w:p w14:paraId="11DCCDA1">
      <w:pPr>
        <w:keepNext w:val="0"/>
        <w:keepLines w:val="0"/>
        <w:pageBreakBefore w:val="0"/>
        <w:widowControl w:val="0"/>
        <w:kinsoku/>
        <w:wordWrap/>
        <w:overflowPunct/>
        <w:topLinePunct w:val="0"/>
        <w:autoSpaceDE w:val="0"/>
        <w:autoSpaceDN w:val="0"/>
        <w:bidi w:val="0"/>
        <w:adjustRightInd w:val="0"/>
        <w:snapToGrid/>
        <w:spacing w:line="312"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本企业对上述声明内容的真实性负责。如有虚假，将依法承担相应责任。</w:t>
      </w:r>
    </w:p>
    <w:p w14:paraId="1560D1F0">
      <w:pPr>
        <w:keepNext w:val="0"/>
        <w:keepLines w:val="0"/>
        <w:pageBreakBefore w:val="0"/>
        <w:widowControl w:val="0"/>
        <w:kinsoku/>
        <w:wordWrap/>
        <w:overflowPunct/>
        <w:topLinePunct w:val="0"/>
        <w:autoSpaceDE w:val="0"/>
        <w:autoSpaceDN w:val="0"/>
        <w:bidi w:val="0"/>
        <w:adjustRightInd w:val="0"/>
        <w:snapToGrid/>
        <w:spacing w:line="312" w:lineRule="auto"/>
        <w:ind w:right="420"/>
        <w:textAlignment w:val="auto"/>
        <w:rPr>
          <w:rFonts w:hint="eastAsia" w:ascii="仿宋" w:hAnsi="仿宋" w:eastAsia="仿宋" w:cs="仿宋"/>
          <w:color w:val="auto"/>
          <w:sz w:val="24"/>
          <w:szCs w:val="24"/>
        </w:rPr>
      </w:pPr>
    </w:p>
    <w:p w14:paraId="7AA27159">
      <w:pPr>
        <w:snapToGrid w:val="0"/>
        <w:spacing w:line="48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36302ADD">
      <w:pPr>
        <w:snapToGrid w:val="0"/>
        <w:spacing w:line="48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626F19A2">
      <w:pPr>
        <w:snapToGrid w:val="0"/>
        <w:spacing w:line="480" w:lineRule="auto"/>
        <w:jc w:val="both"/>
        <w:rPr>
          <w:rFonts w:hint="eastAsia" w:ascii="仿宋" w:hAnsi="仿宋" w:eastAsia="仿宋" w:cs="仿宋"/>
          <w:color w:val="auto"/>
          <w:sz w:val="30"/>
          <w:szCs w:val="30"/>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r>
        <w:rPr>
          <w:rFonts w:hint="eastAsia" w:ascii="仿宋" w:hAnsi="仿宋" w:eastAsia="仿宋" w:cs="仿宋"/>
          <w:color w:val="auto"/>
          <w:sz w:val="30"/>
          <w:szCs w:val="30"/>
        </w:rPr>
        <w:br w:type="page"/>
      </w:r>
    </w:p>
    <w:p w14:paraId="1A1997EF">
      <w:pPr>
        <w:snapToGrid w:val="0"/>
        <w:spacing w:line="480" w:lineRule="auto"/>
        <w:ind w:left="0" w:leftChars="0" w:firstLine="0" w:firstLineChars="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十</w:t>
      </w:r>
      <w:r>
        <w:rPr>
          <w:rFonts w:hint="eastAsia" w:cs="仿宋"/>
          <w:b/>
          <w:color w:val="auto"/>
          <w:sz w:val="30"/>
          <w:szCs w:val="30"/>
          <w:lang w:val="en-US" w:eastAsia="zh-CN"/>
        </w:rPr>
        <w:t>一</w:t>
      </w:r>
      <w:r>
        <w:rPr>
          <w:rFonts w:hint="eastAsia" w:ascii="仿宋" w:hAnsi="仿宋" w:eastAsia="仿宋" w:cs="仿宋"/>
          <w:b/>
          <w:color w:val="auto"/>
          <w:sz w:val="30"/>
          <w:szCs w:val="30"/>
        </w:rPr>
        <w:t>、残疾人福利性单位声明函（如有）</w:t>
      </w:r>
    </w:p>
    <w:p w14:paraId="13B2FB0F">
      <w:pPr>
        <w:snapToGrid w:val="0"/>
        <w:spacing w:line="420" w:lineRule="exact"/>
        <w:ind w:firstLine="480" w:firstLineChars="200"/>
        <w:rPr>
          <w:rFonts w:hint="eastAsia" w:ascii="仿宋" w:hAnsi="仿宋" w:eastAsia="仿宋" w:cs="仿宋"/>
          <w:color w:val="auto"/>
          <w:sz w:val="24"/>
          <w:szCs w:val="24"/>
        </w:rPr>
      </w:pPr>
    </w:p>
    <w:p w14:paraId="36701C79">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665E612">
      <w:pPr>
        <w:snapToGrid w:val="0"/>
        <w:spacing w:line="48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14:paraId="4B583E17">
      <w:pPr>
        <w:snapToGrid w:val="0"/>
        <w:spacing w:line="420" w:lineRule="exact"/>
        <w:ind w:firstLine="504" w:firstLineChars="200"/>
        <w:jc w:val="right"/>
        <w:rPr>
          <w:rFonts w:hint="eastAsia" w:ascii="仿宋" w:hAnsi="仿宋" w:eastAsia="仿宋" w:cs="仿宋"/>
          <w:sz w:val="24"/>
          <w:lang w:val="zh-CN"/>
        </w:rPr>
      </w:pPr>
      <w:r>
        <w:rPr>
          <w:rFonts w:hint="eastAsia" w:ascii="仿宋" w:hAnsi="仿宋" w:eastAsia="仿宋" w:cs="仿宋"/>
          <w:color w:val="auto"/>
          <w:spacing w:val="6"/>
          <w:sz w:val="24"/>
          <w:szCs w:val="24"/>
        </w:rPr>
        <w:t xml:space="preserve">         </w:t>
      </w:r>
      <w:r>
        <w:rPr>
          <w:rFonts w:hint="eastAsia" w:ascii="仿宋" w:hAnsi="仿宋" w:eastAsia="仿宋" w:cs="仿宋"/>
          <w:color w:val="auto"/>
          <w:sz w:val="24"/>
          <w:szCs w:val="24"/>
        </w:rPr>
        <w:t xml:space="preserve">      </w:t>
      </w:r>
    </w:p>
    <w:p w14:paraId="0E98BB53">
      <w:pPr>
        <w:snapToGrid w:val="0"/>
        <w:spacing w:line="600" w:lineRule="auto"/>
        <w:rPr>
          <w:rFonts w:hint="eastAsia" w:cs="仿宋"/>
          <w:sz w:val="24"/>
          <w:u w:val="single"/>
          <w:lang w:val="en-US" w:eastAsia="zh-CN"/>
        </w:rPr>
      </w:pPr>
      <w:r>
        <w:rPr>
          <w:rFonts w:hint="eastAsia" w:ascii="仿宋" w:hAnsi="仿宋" w:eastAsia="仿宋" w:cs="仿宋"/>
          <w:sz w:val="24"/>
          <w:lang w:val="zh-CN"/>
        </w:rPr>
        <w:t>投标人</w:t>
      </w:r>
      <w:r>
        <w:rPr>
          <w:rFonts w:hint="eastAsia" w:ascii="仿宋" w:hAnsi="仿宋" w:eastAsia="仿宋" w:cs="仿宋"/>
          <w:color w:val="auto"/>
          <w:sz w:val="24"/>
          <w:szCs w:val="24"/>
          <w:u w:val="none"/>
        </w:rPr>
        <w:t>(盖章)</w:t>
      </w:r>
      <w:r>
        <w:rPr>
          <w:rFonts w:hint="eastAsia" w:ascii="仿宋" w:hAnsi="仿宋" w:eastAsia="仿宋" w:cs="仿宋"/>
          <w:sz w:val="24"/>
          <w:lang w:val="zh-CN"/>
        </w:rPr>
        <w:t>：</w:t>
      </w:r>
      <w:r>
        <w:rPr>
          <w:rFonts w:hint="eastAsia" w:ascii="仿宋" w:hAnsi="仿宋" w:eastAsia="仿宋" w:cs="仿宋"/>
          <w:sz w:val="24"/>
          <w:u w:val="single"/>
        </w:rPr>
        <w:t xml:space="preserve">    </w:t>
      </w:r>
      <w:r>
        <w:rPr>
          <w:rFonts w:hint="eastAsia" w:cs="仿宋"/>
          <w:sz w:val="24"/>
          <w:u w:val="single"/>
          <w:lang w:val="en-US" w:eastAsia="zh-CN"/>
        </w:rPr>
        <w:t xml:space="preserve">              </w:t>
      </w:r>
    </w:p>
    <w:p w14:paraId="24B73FA8">
      <w:pPr>
        <w:snapToGrid w:val="0"/>
        <w:spacing w:line="600" w:lineRule="auto"/>
        <w:rPr>
          <w:rFonts w:hint="eastAsia" w:ascii="仿宋" w:hAnsi="仿宋" w:eastAsia="仿宋" w:cs="仿宋"/>
          <w:sz w:val="24"/>
          <w:lang w:val="zh-CN"/>
        </w:rPr>
      </w:pPr>
      <w:r>
        <w:rPr>
          <w:rFonts w:hint="eastAsia" w:ascii="仿宋" w:hAnsi="仿宋" w:eastAsia="仿宋" w:cs="仿宋"/>
          <w:sz w:val="24"/>
        </w:rPr>
        <w:t>法定代表人或授权代表</w:t>
      </w:r>
      <w:r>
        <w:rPr>
          <w:rFonts w:hint="eastAsia" w:cs="仿宋"/>
          <w:sz w:val="24"/>
          <w:lang w:eastAsia="zh-CN"/>
        </w:rPr>
        <w:t>人</w:t>
      </w:r>
      <w:r>
        <w:rPr>
          <w:rFonts w:hint="eastAsia" w:ascii="仿宋" w:hAnsi="仿宋" w:eastAsia="仿宋" w:cs="仿宋"/>
          <w:sz w:val="24"/>
        </w:rPr>
        <w:t>（签字或盖章）：</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p w14:paraId="2A769D5D">
      <w:pPr>
        <w:snapToGrid w:val="0"/>
        <w:spacing w:line="360" w:lineRule="auto"/>
        <w:rPr>
          <w:rFonts w:hint="eastAsia" w:ascii="仿宋" w:hAnsi="仿宋" w:eastAsia="仿宋" w:cs="仿宋"/>
          <w:color w:val="auto"/>
          <w:sz w:val="28"/>
          <w:szCs w:val="28"/>
        </w:rPr>
      </w:pPr>
      <w:r>
        <w:rPr>
          <w:rFonts w:hint="eastAsia" w:ascii="仿宋" w:hAnsi="仿宋" w:eastAsia="仿宋" w:cs="仿宋"/>
          <w:bCs/>
          <w:color w:val="auto"/>
          <w:sz w:val="24"/>
          <w:szCs w:val="24"/>
        </w:rPr>
        <w:t>日期：</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cs="仿宋"/>
          <w:bCs/>
          <w:color w:val="auto"/>
          <w:sz w:val="24"/>
          <w:szCs w:val="24"/>
          <w:u w:val="single"/>
          <w:lang w:val="en-US" w:eastAsia="zh-CN"/>
        </w:rPr>
        <w:t xml:space="preserve"> </w:t>
      </w:r>
      <w:r>
        <w:rPr>
          <w:rFonts w:hint="eastAsia" w:ascii="仿宋" w:hAnsi="仿宋" w:eastAsia="仿宋" w:cs="仿宋"/>
          <w:bCs/>
          <w:color w:val="auto"/>
          <w:sz w:val="24"/>
          <w:szCs w:val="24"/>
        </w:rPr>
        <w:t>日</w:t>
      </w:r>
    </w:p>
    <w:p w14:paraId="23458D85">
      <w:pPr>
        <w:snapToGrid w:val="0"/>
        <w:spacing w:line="420" w:lineRule="exact"/>
        <w:ind w:left="0" w:leftChars="0" w:firstLine="0" w:firstLineChars="0"/>
        <w:rPr>
          <w:rFonts w:hint="eastAsia" w:ascii="仿宋" w:hAnsi="仿宋" w:eastAsia="仿宋" w:cs="仿宋"/>
          <w:color w:val="auto"/>
          <w:sz w:val="24"/>
          <w:szCs w:val="24"/>
        </w:rPr>
      </w:pPr>
    </w:p>
    <w:p w14:paraId="37185860">
      <w:pPr>
        <w:snapToGrid w:val="0"/>
        <w:spacing w:line="42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注：</w:t>
      </w:r>
    </w:p>
    <w:p w14:paraId="211E61A3">
      <w:pPr>
        <w:snapToGrid w:val="0"/>
        <w:spacing w:line="420" w:lineRule="exact"/>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１</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残疾人福利性单位视同小型、微型企业，享受价格扣除</w:t>
      </w:r>
      <w:r>
        <w:rPr>
          <w:rFonts w:hint="eastAsia" w:cs="仿宋"/>
          <w:b/>
          <w:color w:val="auto"/>
          <w:sz w:val="24"/>
          <w:szCs w:val="24"/>
          <w:lang w:eastAsia="zh-CN"/>
        </w:rPr>
        <w:t>；</w:t>
      </w:r>
    </w:p>
    <w:p w14:paraId="5E071BF5">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２</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残疾人福利性单位属于小型、微型企业的，不重复享受政策</w:t>
      </w:r>
      <w:r>
        <w:rPr>
          <w:rFonts w:hint="eastAsia" w:cs="仿宋"/>
          <w:b/>
          <w:color w:val="auto"/>
          <w:sz w:val="24"/>
          <w:szCs w:val="24"/>
          <w:lang w:eastAsia="zh-CN"/>
        </w:rPr>
        <w:t>；</w:t>
      </w:r>
    </w:p>
    <w:p w14:paraId="75B1B1FE">
      <w:pPr>
        <w:snapToGrid w:val="0"/>
        <w:spacing w:line="420" w:lineRule="exact"/>
        <w:ind w:firstLine="482" w:firstLineChars="200"/>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３</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如中标人声明为残疾人福利性单位，本声明函将随中标结果同时公告，接受社会监督</w:t>
      </w:r>
      <w:r>
        <w:rPr>
          <w:rFonts w:hint="eastAsia" w:cs="仿宋"/>
          <w:b/>
          <w:color w:val="auto"/>
          <w:sz w:val="24"/>
          <w:szCs w:val="24"/>
          <w:lang w:eastAsia="zh-CN"/>
        </w:rPr>
        <w:t>；</w:t>
      </w:r>
    </w:p>
    <w:p w14:paraId="6273D672">
      <w:pPr>
        <w:snapToGrid w:val="0"/>
        <w:spacing w:line="42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4</w:t>
      </w:r>
      <w:r>
        <w:rPr>
          <w:rFonts w:hint="eastAsia" w:ascii="仿宋" w:hAnsi="仿宋" w:eastAsia="仿宋" w:cs="仿宋"/>
          <w:b/>
          <w:color w:val="auto"/>
          <w:sz w:val="24"/>
          <w:szCs w:val="24"/>
          <w:lang w:val="en-US" w:eastAsia="zh-CN"/>
        </w:rPr>
        <w:t>.</w:t>
      </w:r>
      <w:r>
        <w:rPr>
          <w:rFonts w:hint="eastAsia" w:ascii="仿宋" w:hAnsi="仿宋" w:eastAsia="仿宋" w:cs="仿宋"/>
          <w:b/>
          <w:color w:val="auto"/>
          <w:sz w:val="24"/>
          <w:szCs w:val="24"/>
        </w:rPr>
        <w:t>享受政府采购支持政策的残疾人福利性单位应当同时满足以下条件：</w:t>
      </w:r>
    </w:p>
    <w:p w14:paraId="62618AE5">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1</w:t>
      </w:r>
      <w:r>
        <w:rPr>
          <w:rFonts w:hint="eastAsia" w:ascii="仿宋" w:hAnsi="仿宋" w:eastAsia="仿宋" w:cs="仿宋"/>
          <w:b/>
          <w:color w:val="auto"/>
          <w:sz w:val="24"/>
          <w:szCs w:val="24"/>
        </w:rPr>
        <w:t>）安置的残疾人占本单位在职职工人数的比例不低于25%（含25%），并且安置的残疾人人数不少于10人（含10人）；</w:t>
      </w:r>
    </w:p>
    <w:p w14:paraId="367CCBF1">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2</w:t>
      </w:r>
      <w:r>
        <w:rPr>
          <w:rFonts w:hint="eastAsia" w:ascii="仿宋" w:hAnsi="仿宋" w:eastAsia="仿宋" w:cs="仿宋"/>
          <w:b/>
          <w:color w:val="auto"/>
          <w:sz w:val="24"/>
          <w:szCs w:val="24"/>
        </w:rPr>
        <w:t>）依法与安置的每位残疾人签订了一年以上（含一年）的劳动合同或服务协议；</w:t>
      </w:r>
    </w:p>
    <w:p w14:paraId="62B5C37D">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3</w:t>
      </w:r>
      <w:r>
        <w:rPr>
          <w:rFonts w:hint="eastAsia" w:ascii="仿宋" w:hAnsi="仿宋" w:eastAsia="仿宋" w:cs="仿宋"/>
          <w:b/>
          <w:color w:val="auto"/>
          <w:sz w:val="24"/>
          <w:szCs w:val="24"/>
        </w:rPr>
        <w:t>）为安置的每位残疾人按月足额缴纳了基本养老保险、基本医疗保险、失业保险、工伤保险和生育保险等社会保险费；</w:t>
      </w:r>
    </w:p>
    <w:p w14:paraId="52CB4F75">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4</w:t>
      </w:r>
      <w:r>
        <w:rPr>
          <w:rFonts w:hint="eastAsia" w:ascii="仿宋" w:hAnsi="仿宋" w:eastAsia="仿宋" w:cs="仿宋"/>
          <w:b/>
          <w:color w:val="auto"/>
          <w:sz w:val="24"/>
          <w:szCs w:val="24"/>
        </w:rPr>
        <w:t>）通过银行等金融机构向安置的每位残疾人，按月支付了不低于单位所在区县适用的经省级人民政府批准的月最低工资标准的工资；</w:t>
      </w:r>
    </w:p>
    <w:p w14:paraId="30AE7A74">
      <w:pPr>
        <w:snapToGrid w:val="0"/>
        <w:spacing w:line="42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w:t>
      </w:r>
      <w:r>
        <w:rPr>
          <w:rFonts w:hint="eastAsia" w:cs="仿宋"/>
          <w:b/>
          <w:color w:val="auto"/>
          <w:sz w:val="24"/>
          <w:szCs w:val="24"/>
          <w:lang w:val="en-US" w:eastAsia="zh-CN"/>
        </w:rPr>
        <w:t>5</w:t>
      </w:r>
      <w:r>
        <w:rPr>
          <w:rFonts w:hint="eastAsia" w:ascii="仿宋" w:hAnsi="仿宋" w:eastAsia="仿宋" w:cs="仿宋"/>
          <w:b/>
          <w:color w:val="auto"/>
          <w:sz w:val="24"/>
          <w:szCs w:val="24"/>
        </w:rPr>
        <w:t>）提供本单位制造的货物、承担的工程或者服务（以下简称产品），或者提供其他残疾人福利性单位制造的货物（不包括使用非残疾人福利性单位注册商标的货物）。</w:t>
      </w:r>
    </w:p>
    <w:p w14:paraId="2695483D">
      <w:pPr>
        <w:pStyle w:val="5"/>
        <w:bidi w:val="0"/>
        <w:ind w:left="0" w:leftChars="0" w:firstLine="0" w:firstLineChars="0"/>
        <w:rPr>
          <w:rFonts w:hint="eastAsia" w:ascii="仿宋" w:hAnsi="仿宋" w:eastAsia="仿宋" w:cs="仿宋"/>
          <w:sz w:val="32"/>
          <w:szCs w:val="32"/>
        </w:rPr>
      </w:pPr>
      <w:r>
        <w:rPr>
          <w:rFonts w:hint="eastAsia"/>
        </w:rPr>
        <w:t>政府采购金融服务提示</w:t>
      </w:r>
    </w:p>
    <w:p w14:paraId="026E02BC">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为扩大政府采购金融服务面，除政采云网上金融服务合作银行外，金华市范围增加线下合作银行三家，具体信息如下：</w:t>
      </w:r>
    </w:p>
    <w:p w14:paraId="27B418E8">
      <w:pPr>
        <w:spacing w:line="360" w:lineRule="auto"/>
        <w:rPr>
          <w:rFonts w:hint="eastAsia" w:ascii="仿宋" w:hAnsi="仿宋" w:eastAsia="仿宋" w:cs="仿宋"/>
          <w:sz w:val="32"/>
          <w:szCs w:val="32"/>
        </w:rPr>
      </w:pPr>
    </w:p>
    <w:p w14:paraId="630EF472">
      <w:pPr>
        <w:spacing w:line="360" w:lineRule="auto"/>
        <w:ind w:firstLine="640" w:firstLineChars="200"/>
        <w:rPr>
          <w:rFonts w:hint="eastAsia" w:ascii="仿宋" w:hAnsi="仿宋" w:eastAsia="仿宋" w:cs="仿宋"/>
          <w:sz w:val="32"/>
          <w:szCs w:val="32"/>
        </w:rPr>
      </w:pPr>
    </w:p>
    <w:p w14:paraId="5399D29E">
      <w:pPr>
        <w:spacing w:line="360" w:lineRule="auto"/>
        <w:ind w:firstLine="640" w:firstLineChars="200"/>
        <w:rPr>
          <w:rFonts w:hint="eastAsia" w:ascii="仿宋" w:hAnsi="仿宋" w:eastAsia="仿宋" w:cs="仿宋"/>
          <w:sz w:val="32"/>
          <w:szCs w:val="32"/>
        </w:rPr>
      </w:pPr>
    </w:p>
    <w:p w14:paraId="1C764E2F">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中国建设银行武义支行   联系人：徐浩</w:t>
      </w:r>
    </w:p>
    <w:p w14:paraId="07B4F464">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联系电话：17858158909    </w:t>
      </w:r>
    </w:p>
    <w:p w14:paraId="4AE74C5D">
      <w:pPr>
        <w:spacing w:line="360" w:lineRule="auto"/>
        <w:ind w:firstLine="5760" w:firstLineChars="1800"/>
        <w:rPr>
          <w:rFonts w:hint="eastAsia" w:ascii="仿宋" w:hAnsi="仿宋" w:eastAsia="仿宋" w:cs="仿宋"/>
          <w:sz w:val="32"/>
          <w:szCs w:val="32"/>
        </w:rPr>
      </w:pPr>
      <w:r>
        <w:rPr>
          <w:rFonts w:hint="eastAsia" w:ascii="仿宋" w:hAnsi="仿宋" w:eastAsia="仿宋" w:cs="仿宋"/>
          <w:sz w:val="32"/>
          <w:szCs w:val="32"/>
        </w:rPr>
        <w:t xml:space="preserve">  0579-87622385</w:t>
      </w:r>
    </w:p>
    <w:p w14:paraId="6DC647A5">
      <w:pPr>
        <w:spacing w:line="360" w:lineRule="auto"/>
        <w:rPr>
          <w:rFonts w:hint="eastAsia" w:ascii="仿宋" w:hAnsi="仿宋" w:eastAsia="仿宋" w:cs="仿宋"/>
          <w:sz w:val="32"/>
          <w:szCs w:val="32"/>
        </w:rPr>
      </w:pPr>
    </w:p>
    <w:p w14:paraId="76F910F0">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金华银行文创支行   联系人：   姜锋 </w:t>
      </w:r>
    </w:p>
    <w:p w14:paraId="74C78CBA">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13505792828 </w:t>
      </w:r>
    </w:p>
    <w:p w14:paraId="11B1B702">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0579-82479020</w:t>
      </w:r>
    </w:p>
    <w:p w14:paraId="064319BF">
      <w:pPr>
        <w:pStyle w:val="5"/>
        <w:spacing w:line="360" w:lineRule="auto"/>
        <w:rPr>
          <w:rFonts w:hint="eastAsia" w:ascii="仿宋" w:hAnsi="仿宋" w:eastAsia="仿宋" w:cs="仿宋"/>
        </w:rPr>
      </w:pPr>
    </w:p>
    <w:p w14:paraId="3D845E1D">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浙商银行金华分行   联系人：   朱晨祥 </w:t>
      </w:r>
    </w:p>
    <w:p w14:paraId="51C308DB">
      <w:pPr>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联系电话： 15857978811</w:t>
      </w:r>
    </w:p>
    <w:p w14:paraId="0F788832">
      <w:pPr>
        <w:pStyle w:val="19"/>
        <w:ind w:firstLine="640"/>
        <w:rPr>
          <w:rFonts w:hint="eastAsia" w:ascii="仿宋" w:hAnsi="仿宋" w:eastAsia="仿宋" w:cs="仿宋"/>
          <w:sz w:val="28"/>
          <w:szCs w:val="28"/>
        </w:rPr>
      </w:pPr>
      <w:r>
        <w:rPr>
          <w:rFonts w:hint="eastAsia" w:ascii="仿宋" w:hAnsi="仿宋" w:eastAsia="仿宋" w:cs="仿宋"/>
          <w:sz w:val="32"/>
          <w:szCs w:val="32"/>
        </w:rPr>
        <w:t xml:space="preserve">                           0579-82999581</w:t>
      </w:r>
    </w:p>
    <w:p w14:paraId="291364E2"/>
    <w:p w14:paraId="2CD86634"/>
    <w:p w14:paraId="69505564">
      <w:pPr>
        <w:pStyle w:val="5"/>
      </w:pPr>
    </w:p>
    <w:p w14:paraId="34A68872"/>
    <w:p w14:paraId="0724F100"/>
    <w:sectPr>
      <w:pgSz w:w="11906" w:h="16838"/>
      <w:pgMar w:top="1247" w:right="1134" w:bottom="1020" w:left="1418" w:header="851" w:footer="907" w:gutter="0"/>
      <w:pgNumType w:fmt="numberInDash"/>
      <w:cols w:space="72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28718">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347E381">
                          <w:pPr>
                            <w:pStyle w:val="13"/>
                          </w:pPr>
                          <w:r>
                            <w:fldChar w:fldCharType="begin"/>
                          </w:r>
                          <w:r>
                            <w:instrText xml:space="preserve"> PAGE  \* MERGEFORMAT </w:instrText>
                          </w:r>
                          <w:r>
                            <w:fldChar w:fldCharType="separate"/>
                          </w:r>
                          <w:r>
                            <w:t>- 21 -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3347E381">
                    <w:pPr>
                      <w:pStyle w:val="13"/>
                    </w:pPr>
                    <w:r>
                      <w:fldChar w:fldCharType="begin"/>
                    </w:r>
                    <w:r>
                      <w:instrText xml:space="preserve"> PAGE  \* MERGEFORMAT </w:instrText>
                    </w:r>
                    <w:r>
                      <w:fldChar w:fldCharType="separate"/>
                    </w:r>
                    <w:r>
                      <w:t>- 21 -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6D421">
    <w:pPr>
      <w:pStyle w:val="13"/>
      <w:framePr w:wrap="around" w:vAnchor="text" w:hAnchor="margin" w:xAlign="center" w:y="1"/>
      <w:rPr>
        <w:rStyle w:val="24"/>
      </w:rPr>
    </w:pPr>
    <w:r>
      <w:fldChar w:fldCharType="begin"/>
    </w:r>
    <w:r>
      <w:rPr>
        <w:rStyle w:val="24"/>
      </w:rPr>
      <w:instrText xml:space="preserve">PAGE  </w:instrText>
    </w:r>
    <w:r>
      <w:fldChar w:fldCharType="end"/>
    </w:r>
  </w:p>
  <w:p w14:paraId="4E09057D">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6FF4A">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4F372CD">
                          <w:pPr>
                            <w:pStyle w:val="13"/>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74F372CD">
                    <w:pPr>
                      <w:pStyle w:val="13"/>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69164">
    <w:pPr>
      <w:pStyle w:val="14"/>
      <w:pBdr>
        <w:bottom w:val="none" w:color="auto" w:sz="0" w:space="1"/>
      </w:pBdr>
      <w:ind w:left="0" w:leftChars="0"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84476">
    <w:pPr>
      <w:pStyle w:val="14"/>
      <w:pBdr>
        <w:bottom w:val="none" w:color="auto" w:sz="0" w:space="1"/>
      </w:pBdr>
      <w:ind w:firstLine="3060" w:firstLineChars="170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C8FB45"/>
    <w:multiLevelType w:val="singleLevel"/>
    <w:tmpl w:val="96C8FB45"/>
    <w:lvl w:ilvl="0" w:tentative="0">
      <w:start w:val="1"/>
      <w:numFmt w:val="decimal"/>
      <w:pStyle w:val="8"/>
      <w:lvlText w:val="%1."/>
      <w:lvlJc w:val="left"/>
      <w:pPr>
        <w:tabs>
          <w:tab w:val="left" w:pos="360"/>
        </w:tabs>
        <w:ind w:left="360" w:hanging="360"/>
      </w:pPr>
    </w:lvl>
  </w:abstractNum>
  <w:abstractNum w:abstractNumId="1">
    <w:nsid w:val="6180D5DC"/>
    <w:multiLevelType w:val="multilevel"/>
    <w:tmpl w:val="6180D5DC"/>
    <w:lvl w:ilvl="0" w:tentative="0">
      <w:start w:val="2"/>
      <w:numFmt w:val="decimal"/>
      <w:lvlText w:val="%1"/>
      <w:lvlJc w:val="left"/>
      <w:pPr>
        <w:ind w:left="432" w:hanging="432"/>
      </w:pPr>
      <w:rPr>
        <w:rFonts w:hint="default" w:ascii="宋体" w:hAnsi="宋体" w:eastAsia="宋体" w:cs="宋体"/>
      </w:rPr>
    </w:lvl>
    <w:lvl w:ilvl="1" w:tentative="0">
      <w:start w:val="5"/>
      <w:numFmt w:val="decimal"/>
      <w:lvlText w:val="%1.%2"/>
      <w:lvlJc w:val="left"/>
      <w:pPr>
        <w:ind w:left="2420" w:hanging="576"/>
      </w:pPr>
      <w:rPr>
        <w:rFonts w:hint="default" w:ascii="宋体" w:hAnsi="宋体" w:eastAsia="宋体" w:cs="宋体"/>
      </w:rPr>
    </w:lvl>
    <w:lvl w:ilvl="2" w:tentative="0">
      <w:start w:val="1"/>
      <w:numFmt w:val="decimal"/>
      <w:pStyle w:val="6"/>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3YWZmNGUzZWY3NGNjZWYzYWRiN2JhYTk3ZGFmNTYifQ=="/>
  </w:docVars>
  <w:rsids>
    <w:rsidRoot w:val="12C3708C"/>
    <w:rsid w:val="004B72AE"/>
    <w:rsid w:val="00A80D43"/>
    <w:rsid w:val="010D04FE"/>
    <w:rsid w:val="01DF693C"/>
    <w:rsid w:val="02AE1145"/>
    <w:rsid w:val="03F47B26"/>
    <w:rsid w:val="040A4D75"/>
    <w:rsid w:val="043174BA"/>
    <w:rsid w:val="045F7856"/>
    <w:rsid w:val="04AE61A9"/>
    <w:rsid w:val="04B770CA"/>
    <w:rsid w:val="04CC4610"/>
    <w:rsid w:val="04EE13EF"/>
    <w:rsid w:val="08270995"/>
    <w:rsid w:val="084D6FF9"/>
    <w:rsid w:val="0853317C"/>
    <w:rsid w:val="08713341"/>
    <w:rsid w:val="08C314CF"/>
    <w:rsid w:val="08D52B99"/>
    <w:rsid w:val="09D32E6B"/>
    <w:rsid w:val="0A3B1E59"/>
    <w:rsid w:val="0A530F50"/>
    <w:rsid w:val="0BA247AC"/>
    <w:rsid w:val="0BC41245"/>
    <w:rsid w:val="0BEA11A7"/>
    <w:rsid w:val="0CC87F73"/>
    <w:rsid w:val="0D5812E9"/>
    <w:rsid w:val="0D5E3385"/>
    <w:rsid w:val="0D7F47B3"/>
    <w:rsid w:val="0DC76A73"/>
    <w:rsid w:val="0F2A6706"/>
    <w:rsid w:val="0F442337"/>
    <w:rsid w:val="0FB622D5"/>
    <w:rsid w:val="10BC2E61"/>
    <w:rsid w:val="111005E9"/>
    <w:rsid w:val="117D4B05"/>
    <w:rsid w:val="128D50B2"/>
    <w:rsid w:val="12AC1975"/>
    <w:rsid w:val="12C3708C"/>
    <w:rsid w:val="1365074E"/>
    <w:rsid w:val="142F73BA"/>
    <w:rsid w:val="14564341"/>
    <w:rsid w:val="1464161D"/>
    <w:rsid w:val="14D3087C"/>
    <w:rsid w:val="151A4975"/>
    <w:rsid w:val="154A3BC3"/>
    <w:rsid w:val="165A5BDD"/>
    <w:rsid w:val="16871483"/>
    <w:rsid w:val="16FA2FFF"/>
    <w:rsid w:val="17304BCD"/>
    <w:rsid w:val="176221FA"/>
    <w:rsid w:val="17946424"/>
    <w:rsid w:val="19513612"/>
    <w:rsid w:val="19542AA1"/>
    <w:rsid w:val="1A212F73"/>
    <w:rsid w:val="1A3F79F9"/>
    <w:rsid w:val="1A4F5DBB"/>
    <w:rsid w:val="1C46158E"/>
    <w:rsid w:val="1C60587B"/>
    <w:rsid w:val="1CB64419"/>
    <w:rsid w:val="1F1C595D"/>
    <w:rsid w:val="1F527973"/>
    <w:rsid w:val="1FC54AD0"/>
    <w:rsid w:val="1FC86D7A"/>
    <w:rsid w:val="1FE275A7"/>
    <w:rsid w:val="208E20A0"/>
    <w:rsid w:val="220B6B0C"/>
    <w:rsid w:val="221C5121"/>
    <w:rsid w:val="221C5F3F"/>
    <w:rsid w:val="22833CE9"/>
    <w:rsid w:val="22857BE1"/>
    <w:rsid w:val="22F65EDC"/>
    <w:rsid w:val="23143C26"/>
    <w:rsid w:val="23472508"/>
    <w:rsid w:val="23906919"/>
    <w:rsid w:val="23DB783C"/>
    <w:rsid w:val="24407C8F"/>
    <w:rsid w:val="24AC2FFD"/>
    <w:rsid w:val="24B34718"/>
    <w:rsid w:val="2637581F"/>
    <w:rsid w:val="27157B90"/>
    <w:rsid w:val="28374162"/>
    <w:rsid w:val="28B30264"/>
    <w:rsid w:val="290D4A1C"/>
    <w:rsid w:val="29361E52"/>
    <w:rsid w:val="29516ADD"/>
    <w:rsid w:val="2A8354A3"/>
    <w:rsid w:val="2AB4611E"/>
    <w:rsid w:val="2ACD0241"/>
    <w:rsid w:val="2B152D4D"/>
    <w:rsid w:val="2B2106C7"/>
    <w:rsid w:val="2B51399B"/>
    <w:rsid w:val="2BC11D66"/>
    <w:rsid w:val="2C7576A1"/>
    <w:rsid w:val="2D5A5A5E"/>
    <w:rsid w:val="2E3658B9"/>
    <w:rsid w:val="2E485D3F"/>
    <w:rsid w:val="2E6676AB"/>
    <w:rsid w:val="2FA01A29"/>
    <w:rsid w:val="2FCC5409"/>
    <w:rsid w:val="2FD02928"/>
    <w:rsid w:val="30983AF5"/>
    <w:rsid w:val="31E367AE"/>
    <w:rsid w:val="32506266"/>
    <w:rsid w:val="32D17C89"/>
    <w:rsid w:val="34451C0D"/>
    <w:rsid w:val="353B3C85"/>
    <w:rsid w:val="357551BE"/>
    <w:rsid w:val="35ED5FA8"/>
    <w:rsid w:val="362548F0"/>
    <w:rsid w:val="36AE35C7"/>
    <w:rsid w:val="36E4748B"/>
    <w:rsid w:val="37025C5E"/>
    <w:rsid w:val="37A33F27"/>
    <w:rsid w:val="38791BEC"/>
    <w:rsid w:val="38884E67"/>
    <w:rsid w:val="38CB67F3"/>
    <w:rsid w:val="38EA21D0"/>
    <w:rsid w:val="39BD08D0"/>
    <w:rsid w:val="3A1E65D5"/>
    <w:rsid w:val="3B9C3058"/>
    <w:rsid w:val="3C602397"/>
    <w:rsid w:val="3CEA79BC"/>
    <w:rsid w:val="3E1821B4"/>
    <w:rsid w:val="3EDC4678"/>
    <w:rsid w:val="3F796CDF"/>
    <w:rsid w:val="40292214"/>
    <w:rsid w:val="40385F17"/>
    <w:rsid w:val="407707ED"/>
    <w:rsid w:val="40B841A9"/>
    <w:rsid w:val="41D1411F"/>
    <w:rsid w:val="42186C4D"/>
    <w:rsid w:val="422F0650"/>
    <w:rsid w:val="425C1921"/>
    <w:rsid w:val="428D5136"/>
    <w:rsid w:val="43CF7A4E"/>
    <w:rsid w:val="443D4F8B"/>
    <w:rsid w:val="44EA4555"/>
    <w:rsid w:val="45092283"/>
    <w:rsid w:val="452C4131"/>
    <w:rsid w:val="46D75610"/>
    <w:rsid w:val="471322AC"/>
    <w:rsid w:val="484C6D3D"/>
    <w:rsid w:val="48B274B7"/>
    <w:rsid w:val="49150D88"/>
    <w:rsid w:val="495E079C"/>
    <w:rsid w:val="49C93A81"/>
    <w:rsid w:val="4A5C5223"/>
    <w:rsid w:val="4B3C4CB1"/>
    <w:rsid w:val="4BB723FD"/>
    <w:rsid w:val="4E5351D8"/>
    <w:rsid w:val="4E5D5DD8"/>
    <w:rsid w:val="4E80080E"/>
    <w:rsid w:val="4F555B9A"/>
    <w:rsid w:val="4F6C3A28"/>
    <w:rsid w:val="501D6570"/>
    <w:rsid w:val="50827C89"/>
    <w:rsid w:val="50ED1847"/>
    <w:rsid w:val="513B1E2E"/>
    <w:rsid w:val="518567A5"/>
    <w:rsid w:val="51972D12"/>
    <w:rsid w:val="51E710E2"/>
    <w:rsid w:val="52541547"/>
    <w:rsid w:val="534E59D4"/>
    <w:rsid w:val="54B26DC3"/>
    <w:rsid w:val="55BA66A9"/>
    <w:rsid w:val="560C6365"/>
    <w:rsid w:val="566D4E6F"/>
    <w:rsid w:val="56AC4B76"/>
    <w:rsid w:val="56BF534C"/>
    <w:rsid w:val="586B2240"/>
    <w:rsid w:val="58875949"/>
    <w:rsid w:val="58CE29E6"/>
    <w:rsid w:val="58DC2494"/>
    <w:rsid w:val="58F73671"/>
    <w:rsid w:val="5AE87033"/>
    <w:rsid w:val="5B226EF2"/>
    <w:rsid w:val="5B5A34F8"/>
    <w:rsid w:val="5B752CF1"/>
    <w:rsid w:val="5C61044E"/>
    <w:rsid w:val="5E016AE1"/>
    <w:rsid w:val="5E432F68"/>
    <w:rsid w:val="5F801FD8"/>
    <w:rsid w:val="5FBC48C0"/>
    <w:rsid w:val="5FC45CAA"/>
    <w:rsid w:val="5FD56E87"/>
    <w:rsid w:val="60712CDB"/>
    <w:rsid w:val="61730EFA"/>
    <w:rsid w:val="61C50CA7"/>
    <w:rsid w:val="62B5766A"/>
    <w:rsid w:val="642844B3"/>
    <w:rsid w:val="645F5A22"/>
    <w:rsid w:val="64E2007C"/>
    <w:rsid w:val="64F113B2"/>
    <w:rsid w:val="658C6AB6"/>
    <w:rsid w:val="662623BF"/>
    <w:rsid w:val="66506310"/>
    <w:rsid w:val="66713AB8"/>
    <w:rsid w:val="66CB52C2"/>
    <w:rsid w:val="67410D4B"/>
    <w:rsid w:val="67AB3997"/>
    <w:rsid w:val="6853337F"/>
    <w:rsid w:val="68870147"/>
    <w:rsid w:val="68AF4179"/>
    <w:rsid w:val="68B851D8"/>
    <w:rsid w:val="68B91F19"/>
    <w:rsid w:val="69161C6B"/>
    <w:rsid w:val="691F4E80"/>
    <w:rsid w:val="699B5BF4"/>
    <w:rsid w:val="6A0377EE"/>
    <w:rsid w:val="6A3D6362"/>
    <w:rsid w:val="6A5C3F04"/>
    <w:rsid w:val="6AC22461"/>
    <w:rsid w:val="6B321784"/>
    <w:rsid w:val="6BBA6840"/>
    <w:rsid w:val="6C723639"/>
    <w:rsid w:val="6C975BF0"/>
    <w:rsid w:val="6CF37D7A"/>
    <w:rsid w:val="6D363685"/>
    <w:rsid w:val="6D386E9F"/>
    <w:rsid w:val="6EBE157C"/>
    <w:rsid w:val="702C748F"/>
    <w:rsid w:val="706D16D3"/>
    <w:rsid w:val="71081093"/>
    <w:rsid w:val="7136410B"/>
    <w:rsid w:val="716B13F9"/>
    <w:rsid w:val="71716953"/>
    <w:rsid w:val="71A36707"/>
    <w:rsid w:val="71F82755"/>
    <w:rsid w:val="72002F79"/>
    <w:rsid w:val="728651F9"/>
    <w:rsid w:val="72CE1DE9"/>
    <w:rsid w:val="73247FFB"/>
    <w:rsid w:val="74407763"/>
    <w:rsid w:val="74AC5FAF"/>
    <w:rsid w:val="755E675F"/>
    <w:rsid w:val="779506FC"/>
    <w:rsid w:val="77A6318B"/>
    <w:rsid w:val="780D2AA1"/>
    <w:rsid w:val="786962CD"/>
    <w:rsid w:val="789059C9"/>
    <w:rsid w:val="7A316CE1"/>
    <w:rsid w:val="7A6F67F8"/>
    <w:rsid w:val="7B0143F1"/>
    <w:rsid w:val="7B1B35B6"/>
    <w:rsid w:val="7B3230E8"/>
    <w:rsid w:val="7B5462E4"/>
    <w:rsid w:val="7BED3B33"/>
    <w:rsid w:val="7BF41DC9"/>
    <w:rsid w:val="7C20127E"/>
    <w:rsid w:val="7C864EA4"/>
    <w:rsid w:val="7D4067FA"/>
    <w:rsid w:val="7DE01A08"/>
    <w:rsid w:val="7E3C5AFA"/>
    <w:rsid w:val="7E773099"/>
    <w:rsid w:val="7F144026"/>
    <w:rsid w:val="7F1C2ACA"/>
    <w:rsid w:val="7F2D7CEE"/>
    <w:rsid w:val="7F445A11"/>
    <w:rsid w:val="7F584C46"/>
    <w:rsid w:val="7FAF5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60" w:lineRule="auto"/>
      <w:ind w:firstLine="1446" w:firstLineChars="200"/>
      <w:jc w:val="both"/>
    </w:pPr>
    <w:rPr>
      <w:rFonts w:ascii="仿宋" w:hAnsi="仿宋" w:eastAsia="仿宋" w:cs="Times New Roman"/>
      <w:color w:val="000000"/>
      <w:sz w:val="24"/>
      <w:szCs w:val="21"/>
      <w:lang w:val="en-US" w:eastAsia="zh-CN" w:bidi="ar-SA"/>
    </w:rPr>
  </w:style>
  <w:style w:type="paragraph" w:styleId="4">
    <w:name w:val="heading 1"/>
    <w:basedOn w:val="1"/>
    <w:next w:val="1"/>
    <w:qFormat/>
    <w:uiPriority w:val="0"/>
    <w:pPr>
      <w:keepNext/>
      <w:keepLines/>
      <w:spacing w:beforeAutospacing="0" w:after="100" w:afterLines="100" w:line="360" w:lineRule="auto"/>
      <w:ind w:firstLine="0" w:firstLineChars="0"/>
      <w:outlineLvl w:val="0"/>
    </w:pPr>
    <w:rPr>
      <w:b/>
      <w:kern w:val="44"/>
      <w:sz w:val="36"/>
    </w:rPr>
  </w:style>
  <w:style w:type="paragraph" w:styleId="5">
    <w:name w:val="heading 2"/>
    <w:basedOn w:val="1"/>
    <w:next w:val="1"/>
    <w:link w:val="32"/>
    <w:qFormat/>
    <w:uiPriority w:val="0"/>
    <w:pPr>
      <w:keepNext/>
      <w:keepLines/>
      <w:autoSpaceDE/>
      <w:autoSpaceDN/>
      <w:adjustRightInd/>
      <w:spacing w:before="57" w:after="100" w:afterLines="100" w:line="360" w:lineRule="auto"/>
      <w:outlineLvl w:val="1"/>
    </w:pPr>
    <w:rPr>
      <w:rFonts w:ascii="Arial" w:hAnsi="Arial"/>
      <w:b/>
      <w:bCs/>
      <w:color w:val="auto"/>
      <w:kern w:val="2"/>
      <w:sz w:val="30"/>
      <w:szCs w:val="32"/>
    </w:rPr>
  </w:style>
  <w:style w:type="paragraph" w:styleId="6">
    <w:name w:val="heading 3"/>
    <w:basedOn w:val="1"/>
    <w:next w:val="1"/>
    <w:qFormat/>
    <w:uiPriority w:val="99"/>
    <w:pPr>
      <w:keepNext/>
      <w:keepLines/>
      <w:numPr>
        <w:ilvl w:val="2"/>
        <w:numId w:val="1"/>
      </w:numPr>
      <w:autoSpaceDE/>
      <w:autoSpaceDN/>
      <w:adjustRightInd w:val="0"/>
      <w:spacing w:line="360" w:lineRule="auto"/>
      <w:ind w:left="0"/>
      <w:textAlignment w:val="baseline"/>
      <w:outlineLvl w:val="2"/>
    </w:pPr>
    <w:rPr>
      <w:b/>
      <w:szCs w:val="20"/>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next w:val="1"/>
    <w:qFormat/>
    <w:uiPriority w:val="0"/>
    <w:pPr>
      <w:autoSpaceDE/>
      <w:autoSpaceDN/>
      <w:adjustRightInd/>
      <w:ind w:firstLine="420" w:firstLineChars="100"/>
    </w:pPr>
    <w:rPr>
      <w:rFonts w:ascii="Calibri" w:hAnsi="Calibri"/>
      <w:color w:val="auto"/>
      <w:kern w:val="2"/>
      <w:szCs w:val="24"/>
      <w:lang w:val="en-US" w:eastAsia="zh-CN"/>
    </w:rPr>
  </w:style>
  <w:style w:type="paragraph" w:styleId="7">
    <w:name w:val="table of authorities"/>
    <w:basedOn w:val="1"/>
    <w:next w:val="1"/>
    <w:unhideWhenUsed/>
    <w:qFormat/>
    <w:uiPriority w:val="99"/>
    <w:pPr>
      <w:ind w:left="420" w:leftChars="200"/>
    </w:pPr>
  </w:style>
  <w:style w:type="paragraph" w:styleId="8">
    <w:name w:val="List Number"/>
    <w:basedOn w:val="1"/>
    <w:qFormat/>
    <w:uiPriority w:val="0"/>
    <w:pPr>
      <w:numPr>
        <w:ilvl w:val="0"/>
        <w:numId w:val="2"/>
      </w:numPr>
    </w:pPr>
  </w:style>
  <w:style w:type="paragraph" w:styleId="9">
    <w:name w:val="Normal Indent"/>
    <w:basedOn w:val="1"/>
    <w:next w:val="10"/>
    <w:qFormat/>
    <w:uiPriority w:val="0"/>
    <w:pPr>
      <w:autoSpaceDE/>
      <w:autoSpaceDN/>
      <w:adjustRightInd/>
      <w:ind w:firstLine="420"/>
    </w:pPr>
    <w:rPr>
      <w:color w:val="auto"/>
      <w:kern w:val="2"/>
      <w:szCs w:val="20"/>
    </w:rPr>
  </w:style>
  <w:style w:type="paragraph" w:styleId="10">
    <w:name w:val="toc 2"/>
    <w:basedOn w:val="1"/>
    <w:next w:val="1"/>
    <w:qFormat/>
    <w:uiPriority w:val="39"/>
    <w:pPr>
      <w:tabs>
        <w:tab w:val="right" w:leader="dot" w:pos="9403"/>
      </w:tabs>
      <w:snapToGrid w:val="0"/>
      <w:spacing w:line="360" w:lineRule="auto"/>
      <w:ind w:firstLine="200" w:firstLineChars="200"/>
    </w:pPr>
    <w:rPr>
      <w:smallCaps/>
    </w:rPr>
  </w:style>
  <w:style w:type="paragraph" w:styleId="11">
    <w:name w:val="Body Text Indent"/>
    <w:basedOn w:val="1"/>
    <w:next w:val="9"/>
    <w:qFormat/>
    <w:uiPriority w:val="0"/>
    <w:pPr>
      <w:spacing w:after="120"/>
      <w:ind w:left="420" w:leftChars="200"/>
    </w:pPr>
  </w:style>
  <w:style w:type="paragraph" w:styleId="12">
    <w:name w:val="Plain Text"/>
    <w:basedOn w:val="1"/>
    <w:qFormat/>
    <w:uiPriority w:val="0"/>
    <w:pPr>
      <w:autoSpaceDE/>
      <w:autoSpaceDN/>
      <w:adjustRightInd/>
    </w:pPr>
    <w:rPr>
      <w:color w:val="auto"/>
      <w:kern w:val="2"/>
      <w:sz w:val="24"/>
      <w:szCs w:val="20"/>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6"/>
    <w:basedOn w:val="1"/>
    <w:next w:val="1"/>
    <w:unhideWhenUsed/>
    <w:qFormat/>
    <w:uiPriority w:val="39"/>
    <w:pPr>
      <w:ind w:left="2100" w:leftChars="1000"/>
    </w:pPr>
    <w:rPr>
      <w:rFonts w:ascii="Calibri" w:hAnsi="Calibri" w:eastAsia="宋体" w:cs="Times New Roman"/>
      <w:szCs w:val="22"/>
    </w:rPr>
  </w:style>
  <w:style w:type="paragraph" w:styleId="16">
    <w:name w:val="Body Text Indent 3"/>
    <w:basedOn w:val="1"/>
    <w:qFormat/>
    <w:uiPriority w:val="0"/>
    <w:pPr>
      <w:autoSpaceDE/>
      <w:autoSpaceDN/>
      <w:adjustRightInd/>
      <w:ind w:firstLine="435"/>
    </w:pPr>
    <w:rPr>
      <w:color w:val="auto"/>
      <w:kern w:val="2"/>
      <w:szCs w:val="24"/>
    </w:rPr>
  </w:style>
  <w:style w:type="paragraph" w:styleId="17">
    <w:name w:val="table of figures"/>
    <w:next w:val="1"/>
    <w:qFormat/>
    <w:uiPriority w:val="0"/>
    <w:pPr>
      <w:widowControl w:val="0"/>
      <w:suppressAutoHyphens/>
      <w:ind w:left="400" w:leftChars="200" w:hanging="200" w:hangingChars="200"/>
      <w:jc w:val="both"/>
    </w:pPr>
    <w:rPr>
      <w:rFonts w:ascii="Calibri" w:hAnsi="Calibri" w:eastAsia="宋体" w:cs="Times New Roman"/>
      <w:kern w:val="2"/>
      <w:sz w:val="21"/>
      <w:szCs w:val="32"/>
      <w:lang w:val="en-US" w:eastAsia="zh-CN" w:bidi="ar-SA"/>
    </w:rPr>
  </w:style>
  <w:style w:type="paragraph" w:styleId="18">
    <w:name w:val="Normal (Web)"/>
    <w:basedOn w:val="1"/>
    <w:unhideWhenUsed/>
    <w:qFormat/>
    <w:uiPriority w:val="99"/>
    <w:pPr>
      <w:widowControl/>
      <w:autoSpaceDE/>
      <w:autoSpaceDN/>
      <w:adjustRightInd/>
      <w:spacing w:before="100" w:beforeAutospacing="1" w:after="100" w:afterAutospacing="1"/>
      <w:jc w:val="left"/>
    </w:pPr>
    <w:rPr>
      <w:rFonts w:ascii="宋体" w:hAnsi="宋体" w:cs="宋体"/>
      <w:color w:val="auto"/>
      <w:sz w:val="24"/>
      <w:szCs w:val="24"/>
    </w:rPr>
  </w:style>
  <w:style w:type="paragraph" w:styleId="19">
    <w:name w:val="Body Text First Indent 2"/>
    <w:basedOn w:val="11"/>
    <w:next w:val="1"/>
    <w:qFormat/>
    <w:uiPriority w:val="0"/>
    <w:pPr>
      <w:autoSpaceDE/>
      <w:autoSpaceDN/>
      <w:adjustRightInd/>
      <w:spacing w:line="360" w:lineRule="auto"/>
      <w:ind w:firstLine="420" w:firstLineChars="200"/>
    </w:pPr>
    <w:rPr>
      <w:rFonts w:ascii="Calibri" w:hAnsi="Calibri"/>
      <w:color w:val="auto"/>
      <w:kern w:val="2"/>
      <w:sz w:val="24"/>
      <w:szCs w:val="22"/>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qFormat/>
    <w:uiPriority w:val="22"/>
    <w:rPr>
      <w:b/>
      <w:bCs/>
    </w:rPr>
  </w:style>
  <w:style w:type="character" w:styleId="24">
    <w:name w:val="page number"/>
    <w:qFormat/>
    <w:uiPriority w:val="0"/>
  </w:style>
  <w:style w:type="character" w:styleId="25">
    <w:name w:val="Hyperlink"/>
    <w:qFormat/>
    <w:uiPriority w:val="0"/>
    <w:rPr>
      <w:color w:val="0000FF"/>
      <w:u w:val="none"/>
    </w:rPr>
  </w:style>
  <w:style w:type="character" w:styleId="26">
    <w:name w:val="HTML Sample"/>
    <w:qFormat/>
    <w:uiPriority w:val="0"/>
    <w:rPr>
      <w:rFonts w:hint="default" w:ascii="Segoe UI" w:hAnsi="Segoe UI" w:eastAsia="Segoe UI" w:cs="Segoe UI"/>
      <w:sz w:val="21"/>
      <w:szCs w:val="21"/>
    </w:rPr>
  </w:style>
  <w:style w:type="paragraph" w:customStyle="1" w:styleId="27">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character" w:customStyle="1" w:styleId="28">
    <w:name w:val="NormalCharacter"/>
    <w:qFormat/>
    <w:uiPriority w:val="0"/>
  </w:style>
  <w:style w:type="paragraph" w:customStyle="1" w:styleId="29">
    <w:name w:val="Body Text 3"/>
    <w:basedOn w:val="1"/>
    <w:qFormat/>
    <w:uiPriority w:val="0"/>
    <w:pPr>
      <w:spacing w:after="120" w:afterLines="0"/>
    </w:pPr>
    <w:rPr>
      <w:sz w:val="16"/>
      <w:szCs w:val="16"/>
    </w:rPr>
  </w:style>
  <w:style w:type="paragraph" w:styleId="30">
    <w:name w:val="List Paragraph"/>
    <w:basedOn w:val="1"/>
    <w:qFormat/>
    <w:uiPriority w:val="99"/>
    <w:pPr>
      <w:widowControl w:val="0"/>
      <w:spacing w:line="360" w:lineRule="auto"/>
      <w:ind w:firstLine="420" w:firstLineChars="200"/>
      <w:jc w:val="both"/>
    </w:pPr>
    <w:rPr>
      <w:rFonts w:ascii="Times New Roman" w:hAnsi="Times New Roman" w:cs="Times New Roman"/>
      <w:kern w:val="2"/>
    </w:rPr>
  </w:style>
  <w:style w:type="paragraph" w:customStyle="1" w:styleId="31">
    <w:name w:val="Other|1"/>
    <w:basedOn w:val="1"/>
    <w:qFormat/>
    <w:uiPriority w:val="0"/>
    <w:pPr>
      <w:adjustRightInd w:val="0"/>
      <w:spacing w:after="600"/>
    </w:pPr>
    <w:rPr>
      <w:rFonts w:ascii="宋体" w:hAnsi="宋体" w:cs="宋体"/>
      <w:sz w:val="32"/>
      <w:szCs w:val="32"/>
      <w:lang w:val="zh-TW" w:eastAsia="zh-TW" w:bidi="zh-TW"/>
    </w:rPr>
  </w:style>
  <w:style w:type="character" w:customStyle="1" w:styleId="32">
    <w:name w:val="标题 2 字符"/>
    <w:link w:val="5"/>
    <w:qFormat/>
    <w:uiPriority w:val="0"/>
    <w:rPr>
      <w:rFonts w:ascii="Arial" w:hAnsi="Arial" w:eastAsia="仿宋"/>
      <w:b/>
      <w:bCs/>
      <w:color w:val="auto"/>
      <w:kern w:val="2"/>
      <w:sz w:val="30"/>
      <w:szCs w:val="32"/>
    </w:rPr>
  </w:style>
  <w:style w:type="paragraph" w:customStyle="1" w:styleId="33">
    <w:name w:val="Normal Indent1"/>
    <w:basedOn w:val="1"/>
    <w:qFormat/>
    <w:uiPriority w:val="0"/>
    <w:pPr>
      <w:ind w:firstLine="420" w:firstLineChars="200"/>
    </w:pPr>
  </w:style>
  <w:style w:type="paragraph" w:customStyle="1" w:styleId="34">
    <w:name w:val="Table Paragraph"/>
    <w:basedOn w:val="1"/>
    <w:qFormat/>
    <w:uiPriority w:val="1"/>
    <w:rPr>
      <w:rFonts w:ascii="宋体" w:hAnsi="宋体" w:eastAsia="宋体" w:cs="宋体"/>
      <w:lang w:val="zh-CN" w:eastAsia="zh-CN" w:bidi="zh-CN"/>
    </w:rPr>
  </w:style>
  <w:style w:type="paragraph" w:customStyle="1" w:styleId="35">
    <w:name w:val="其他"/>
    <w:basedOn w:val="1"/>
    <w:qFormat/>
    <w:uiPriority w:val="0"/>
    <w:pPr>
      <w:widowControl w:val="0"/>
      <w:shd w:val="clear" w:color="auto" w:fill="auto"/>
      <w:spacing w:line="480" w:lineRule="auto"/>
      <w:ind w:firstLine="400"/>
    </w:pPr>
    <w:rPr>
      <w:rFonts w:ascii="黑体" w:hAnsi="黑体" w:eastAsia="黑体" w:cs="黑体"/>
      <w:sz w:val="22"/>
      <w:szCs w:val="22"/>
      <w:u w:val="none"/>
      <w:shd w:val="clear" w:color="auto" w:fill="auto"/>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15270</Words>
  <Characters>16452</Characters>
  <Lines>0</Lines>
  <Paragraphs>0</Paragraphs>
  <TotalTime>0</TotalTime>
  <ScaleCrop>false</ScaleCrop>
  <LinksUpToDate>false</LinksUpToDate>
  <CharactersWithSpaces>16696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2024-09-11T11:01:00Z</dcterms:created>
  <dc:creator>lily</dc:creator>
  <cp:lastModifiedBy>Administrator</cp:lastModifiedBy>
  <dcterms:modified xsi:type="dcterms:W3CDTF">2025-04-03T07:02:37Z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A766C40C460C402FB9B81CA59F0C9114_13</vt:lpwstr>
  </property>
  <property fmtid="{D5CDD505-2E9C-101B-9397-08002B2CF9AE}" pid="4" name="KSOTemplateDocerSaveRecord">
    <vt:lpwstr>eyJoZGlkIjoiYTM3YWZmNGUzZWY3NGNjZWYzYWRiN2JhYTk3ZGFmNTYifQ==</vt:lpwstr>
  </property>
</Properties>
</file>