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37B60">
      <w:pPr>
        <w:spacing w:line="1100" w:lineRule="exact"/>
        <w:jc w:val="center"/>
        <w:rPr>
          <w:rFonts w:hint="eastAsia" w:ascii="宋体" w:hAnsi="宋体" w:eastAsia="宋体" w:cs="宋体"/>
          <w:b/>
          <w:color w:val="auto"/>
          <w:sz w:val="40"/>
          <w:szCs w:val="44"/>
          <w:highlight w:val="none"/>
          <w:lang w:eastAsia="zh-CN"/>
        </w:rPr>
      </w:pPr>
      <w:r>
        <w:rPr>
          <w:rFonts w:hint="eastAsia" w:ascii="宋体" w:hAnsi="宋体" w:cs="宋体"/>
          <w:b/>
          <w:color w:val="auto"/>
          <w:sz w:val="40"/>
          <w:szCs w:val="44"/>
          <w:highlight w:val="none"/>
        </w:rPr>
        <w:t>金华正达工程造价咨询有限公司关于</w:t>
      </w:r>
      <w:r>
        <w:rPr>
          <w:rFonts w:hint="eastAsia" w:ascii="宋体" w:hAnsi="宋体" w:cs="宋体"/>
          <w:b/>
          <w:color w:val="auto"/>
          <w:sz w:val="40"/>
          <w:szCs w:val="44"/>
          <w:highlight w:val="none"/>
          <w:lang w:eastAsia="zh-CN"/>
        </w:rPr>
        <w:t>东阳市南市街道办事处食堂劳务及物资配送服务项目</w:t>
      </w:r>
    </w:p>
    <w:p w14:paraId="7A914187">
      <w:pPr>
        <w:rPr>
          <w:rFonts w:ascii="宋体" w:hAnsi="宋体" w:cs="宋体"/>
          <w:color w:val="auto"/>
          <w:sz w:val="20"/>
          <w:highlight w:val="none"/>
        </w:rPr>
      </w:pPr>
      <w:r>
        <w:rPr>
          <w:rFonts w:hint="eastAsia" w:ascii="宋体" w:hAnsi="宋体" w:cs="宋体"/>
          <w:color w:val="auto"/>
          <w:sz w:val="20"/>
          <w:highlight w:val="none"/>
        </w:rPr>
        <w:tab/>
      </w:r>
    </w:p>
    <w:p w14:paraId="5A364179">
      <w:pPr>
        <w:rPr>
          <w:color w:val="auto"/>
          <w:sz w:val="20"/>
          <w:highlight w:val="none"/>
        </w:rPr>
      </w:pPr>
    </w:p>
    <w:p w14:paraId="0E371CEE">
      <w:pPr>
        <w:rPr>
          <w:color w:val="auto"/>
          <w:sz w:val="20"/>
          <w:highlight w:val="none"/>
        </w:rPr>
      </w:pPr>
    </w:p>
    <w:p w14:paraId="52AB5329">
      <w:pPr>
        <w:rPr>
          <w:color w:val="auto"/>
          <w:sz w:val="20"/>
          <w:highlight w:val="none"/>
        </w:rPr>
      </w:pPr>
    </w:p>
    <w:p w14:paraId="189C8F50">
      <w:pPr>
        <w:rPr>
          <w:color w:val="auto"/>
          <w:sz w:val="20"/>
          <w:highlight w:val="none"/>
        </w:rPr>
      </w:pPr>
    </w:p>
    <w:p w14:paraId="3B9B9F05">
      <w:pPr>
        <w:pStyle w:val="42"/>
        <w:ind w:firstLine="200"/>
        <w:rPr>
          <w:color w:val="auto"/>
          <w:sz w:val="24"/>
          <w:highlight w:val="none"/>
        </w:rPr>
      </w:pPr>
    </w:p>
    <w:p w14:paraId="75F28F6E">
      <w:pPr>
        <w:rPr>
          <w:color w:val="auto"/>
          <w:sz w:val="20"/>
          <w:highlight w:val="none"/>
        </w:rPr>
      </w:pPr>
    </w:p>
    <w:p w14:paraId="2741D271">
      <w:pPr>
        <w:jc w:val="center"/>
        <w:rPr>
          <w:rFonts w:ascii="宋体" w:hAnsi="宋体" w:cs="宋体"/>
          <w:b/>
          <w:bCs/>
          <w:color w:val="auto"/>
          <w:sz w:val="52"/>
          <w:szCs w:val="72"/>
          <w:highlight w:val="none"/>
        </w:rPr>
      </w:pPr>
      <w:r>
        <w:rPr>
          <w:rFonts w:hint="eastAsia" w:ascii="宋体" w:hAnsi="宋体" w:cs="宋体"/>
          <w:b/>
          <w:color w:val="auto"/>
          <w:kern w:val="0"/>
          <w:sz w:val="52"/>
          <w:szCs w:val="72"/>
          <w:highlight w:val="none"/>
        </w:rPr>
        <w:t>公开招标文件</w:t>
      </w:r>
    </w:p>
    <w:p w14:paraId="7FAADED7">
      <w:pPr>
        <w:rPr>
          <w:color w:val="auto"/>
          <w:sz w:val="20"/>
          <w:highlight w:val="none"/>
        </w:rPr>
      </w:pPr>
    </w:p>
    <w:p w14:paraId="730F1F10">
      <w:pPr>
        <w:rPr>
          <w:color w:val="auto"/>
          <w:sz w:val="20"/>
          <w:highlight w:val="none"/>
        </w:rPr>
      </w:pPr>
    </w:p>
    <w:p w14:paraId="2CD146B2">
      <w:pPr>
        <w:rPr>
          <w:color w:val="auto"/>
          <w:sz w:val="20"/>
          <w:highlight w:val="none"/>
        </w:rPr>
      </w:pPr>
    </w:p>
    <w:p w14:paraId="627F7829">
      <w:pPr>
        <w:rPr>
          <w:color w:val="auto"/>
          <w:sz w:val="20"/>
          <w:highlight w:val="none"/>
        </w:rPr>
      </w:pPr>
    </w:p>
    <w:p w14:paraId="48A58842">
      <w:pPr>
        <w:rPr>
          <w:b/>
          <w:bCs/>
          <w:color w:val="auto"/>
          <w:sz w:val="24"/>
          <w:highlight w:val="none"/>
        </w:rPr>
      </w:pPr>
    </w:p>
    <w:p w14:paraId="523D40F5">
      <w:pPr>
        <w:pStyle w:val="42"/>
        <w:ind w:firstLine="200"/>
        <w:rPr>
          <w:color w:val="auto"/>
          <w:sz w:val="24"/>
          <w:highlight w:val="none"/>
        </w:rPr>
      </w:pPr>
    </w:p>
    <w:p w14:paraId="603015FA">
      <w:pPr>
        <w:spacing w:line="600" w:lineRule="auto"/>
        <w:ind w:firstLine="643"/>
        <w:rPr>
          <w:rFonts w:hint="eastAsia" w:ascii="宋体" w:hAnsi="宋体" w:eastAsia="宋体" w:cs="宋体"/>
          <w:b/>
          <w:color w:val="auto"/>
          <w:kern w:val="0"/>
          <w:sz w:val="28"/>
          <w:szCs w:val="32"/>
          <w:highlight w:val="none"/>
          <w:lang w:eastAsia="zh-CN"/>
        </w:rPr>
      </w:pPr>
      <w:r>
        <w:rPr>
          <w:rFonts w:hint="eastAsia" w:ascii="宋体" w:hAnsi="宋体" w:cs="宋体"/>
          <w:b/>
          <w:color w:val="auto"/>
          <w:kern w:val="0"/>
          <w:sz w:val="28"/>
          <w:szCs w:val="32"/>
          <w:highlight w:val="none"/>
        </w:rPr>
        <w:t>项目名称：</w:t>
      </w:r>
      <w:r>
        <w:rPr>
          <w:rFonts w:hint="eastAsia" w:ascii="宋体" w:hAnsi="宋体" w:cs="宋体"/>
          <w:b/>
          <w:color w:val="auto"/>
          <w:kern w:val="0"/>
          <w:sz w:val="28"/>
          <w:szCs w:val="32"/>
          <w:highlight w:val="none"/>
          <w:lang w:eastAsia="zh-CN"/>
        </w:rPr>
        <w:t>东阳市南市街道办事处食堂劳务及物资配送服务项目</w:t>
      </w:r>
    </w:p>
    <w:p w14:paraId="50B59BC6">
      <w:pPr>
        <w:spacing w:line="600" w:lineRule="auto"/>
        <w:ind w:firstLine="643"/>
        <w:rPr>
          <w:rFonts w:hint="eastAsia" w:ascii="宋体" w:hAnsi="宋体" w:eastAsia="宋体" w:cs="宋体"/>
          <w:b/>
          <w:color w:val="auto"/>
          <w:kern w:val="0"/>
          <w:sz w:val="28"/>
          <w:szCs w:val="32"/>
          <w:highlight w:val="none"/>
          <w:lang w:eastAsia="zh-CN"/>
        </w:rPr>
      </w:pPr>
      <w:r>
        <w:rPr>
          <w:rFonts w:hint="eastAsia" w:ascii="宋体" w:hAnsi="宋体" w:cs="宋体"/>
          <w:b/>
          <w:color w:val="auto"/>
          <w:kern w:val="0"/>
          <w:sz w:val="28"/>
          <w:szCs w:val="32"/>
          <w:highlight w:val="none"/>
        </w:rPr>
        <w:t>项目编号：</w:t>
      </w:r>
      <w:r>
        <w:rPr>
          <w:rFonts w:hint="eastAsia" w:ascii="宋体" w:hAnsi="宋体" w:cs="宋体"/>
          <w:b/>
          <w:color w:val="auto"/>
          <w:kern w:val="0"/>
          <w:sz w:val="28"/>
          <w:szCs w:val="32"/>
          <w:highlight w:val="none"/>
          <w:lang w:eastAsia="zh-CN"/>
        </w:rPr>
        <w:t>JHZD2024-016</w:t>
      </w:r>
    </w:p>
    <w:p w14:paraId="3844058C">
      <w:pPr>
        <w:spacing w:line="600" w:lineRule="auto"/>
        <w:ind w:firstLine="643"/>
        <w:rPr>
          <w:rFonts w:ascii="宋体" w:hAnsi="宋体" w:cs="宋体"/>
          <w:b/>
          <w:color w:val="auto"/>
          <w:kern w:val="0"/>
          <w:sz w:val="28"/>
          <w:szCs w:val="32"/>
          <w:highlight w:val="none"/>
        </w:rPr>
      </w:pPr>
      <w:r>
        <w:rPr>
          <w:rFonts w:hint="eastAsia" w:ascii="宋体" w:hAnsi="宋体" w:cs="宋体"/>
          <w:b/>
          <w:color w:val="auto"/>
          <w:kern w:val="0"/>
          <w:sz w:val="28"/>
          <w:szCs w:val="32"/>
          <w:highlight w:val="none"/>
        </w:rPr>
        <w:t>采购单位：东阳市南市街道办事处</w:t>
      </w:r>
    </w:p>
    <w:p w14:paraId="6DFB99D0">
      <w:pPr>
        <w:spacing w:line="600" w:lineRule="auto"/>
        <w:ind w:firstLine="643"/>
        <w:rPr>
          <w:color w:val="auto"/>
          <w:sz w:val="20"/>
          <w:highlight w:val="none"/>
        </w:rPr>
      </w:pPr>
      <w:r>
        <w:rPr>
          <w:rFonts w:hint="eastAsia" w:ascii="宋体" w:hAnsi="宋体" w:cs="宋体"/>
          <w:b/>
          <w:color w:val="auto"/>
          <w:kern w:val="0"/>
          <w:sz w:val="28"/>
          <w:szCs w:val="32"/>
          <w:highlight w:val="none"/>
        </w:rPr>
        <w:t>招标机构：金华正达工程造价咨询有限公司</w:t>
      </w:r>
    </w:p>
    <w:p w14:paraId="117D0A16">
      <w:pPr>
        <w:pStyle w:val="24"/>
        <w:spacing w:before="166" w:after="166"/>
        <w:jc w:val="center"/>
        <w:rPr>
          <w:rFonts w:hAnsi="宋体" w:cs="宋体"/>
          <w:b/>
          <w:color w:val="auto"/>
          <w:kern w:val="0"/>
          <w:sz w:val="28"/>
          <w:szCs w:val="32"/>
          <w:highlight w:val="none"/>
        </w:rPr>
      </w:pPr>
      <w:r>
        <w:rPr>
          <w:rFonts w:hint="eastAsia" w:hAnsi="宋体" w:cs="宋体"/>
          <w:b/>
          <w:color w:val="auto"/>
          <w:kern w:val="0"/>
          <w:sz w:val="28"/>
          <w:szCs w:val="32"/>
          <w:highlight w:val="none"/>
        </w:rPr>
        <w:t>2024年</w:t>
      </w:r>
      <w:r>
        <w:rPr>
          <w:rFonts w:hint="eastAsia" w:hAnsi="宋体" w:cs="宋体"/>
          <w:b/>
          <w:color w:val="auto"/>
          <w:kern w:val="0"/>
          <w:sz w:val="28"/>
          <w:szCs w:val="32"/>
          <w:highlight w:val="none"/>
          <w:lang w:val="en-US" w:eastAsia="zh-CN"/>
        </w:rPr>
        <w:t>12</w:t>
      </w:r>
      <w:r>
        <w:rPr>
          <w:rFonts w:hint="eastAsia" w:hAnsi="宋体" w:cs="宋体"/>
          <w:b/>
          <w:color w:val="auto"/>
          <w:kern w:val="0"/>
          <w:sz w:val="28"/>
          <w:szCs w:val="32"/>
          <w:highlight w:val="none"/>
        </w:rPr>
        <w:t>月</w:t>
      </w:r>
      <w:r>
        <w:rPr>
          <w:rFonts w:hint="eastAsia" w:hAnsi="宋体" w:cs="宋体"/>
          <w:b/>
          <w:color w:val="auto"/>
          <w:kern w:val="0"/>
          <w:sz w:val="28"/>
          <w:szCs w:val="32"/>
          <w:highlight w:val="none"/>
          <w:lang w:val="en-US" w:eastAsia="zh-CN"/>
        </w:rPr>
        <w:t>24</w:t>
      </w:r>
      <w:r>
        <w:rPr>
          <w:rFonts w:hint="eastAsia" w:hAnsi="宋体" w:cs="宋体"/>
          <w:b/>
          <w:color w:val="auto"/>
          <w:kern w:val="0"/>
          <w:sz w:val="28"/>
          <w:szCs w:val="32"/>
          <w:highlight w:val="none"/>
        </w:rPr>
        <w:t>日</w:t>
      </w:r>
    </w:p>
    <w:p w14:paraId="4E5F9A8C">
      <w:pPr>
        <w:snapToGrid w:val="0"/>
        <w:spacing w:before="166" w:beforeLines="50" w:line="360" w:lineRule="auto"/>
        <w:ind w:left="2709" w:leftChars="1290" w:firstLine="2634" w:firstLineChars="863"/>
        <w:rPr>
          <w:rFonts w:ascii="宋体" w:hAnsi="宋体" w:cs="宋体"/>
          <w:b/>
          <w:bCs/>
          <w:color w:val="auto"/>
          <w:w w:val="95"/>
          <w:sz w:val="32"/>
          <w:szCs w:val="32"/>
          <w:highlight w:val="none"/>
        </w:rPr>
      </w:pPr>
    </w:p>
    <w:p w14:paraId="0A23A8D6">
      <w:pPr>
        <w:pStyle w:val="42"/>
        <w:rPr>
          <w:color w:val="auto"/>
          <w:highlight w:val="none"/>
        </w:rPr>
      </w:pPr>
    </w:p>
    <w:p w14:paraId="6B0CD30F">
      <w:pPr>
        <w:ind w:firstLine="3960" w:firstLineChars="900"/>
        <w:rPr>
          <w:rFonts w:hint="eastAsia" w:ascii="创艺简标宋" w:hAnsi="宋体" w:eastAsia="创艺简标宋"/>
          <w:color w:val="auto"/>
          <w:sz w:val="44"/>
          <w:szCs w:val="44"/>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701" w:header="851" w:footer="992" w:gutter="0"/>
          <w:pgNumType w:fmt="decimal"/>
          <w:cols w:space="720" w:num="1"/>
          <w:titlePg/>
          <w:docGrid w:type="lines" w:linePitch="332" w:charSpace="0"/>
        </w:sectPr>
      </w:pPr>
    </w:p>
    <w:p w14:paraId="2593D684">
      <w:pPr>
        <w:ind w:firstLine="3960" w:firstLineChars="900"/>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14:paraId="6AF1776A">
      <w:pPr>
        <w:pStyle w:val="54"/>
        <w:rPr>
          <w:color w:val="auto"/>
          <w:highlight w:val="none"/>
        </w:rPr>
      </w:pPr>
    </w:p>
    <w:p w14:paraId="0095969E">
      <w:pPr>
        <w:numPr>
          <w:ilvl w:val="0"/>
          <w:numId w:val="1"/>
        </w:numPr>
        <w:spacing w:before="166" w:beforeLines="50" w:line="360" w:lineRule="auto"/>
        <w:ind w:firstLine="600"/>
        <w:rPr>
          <w:rFonts w:ascii="宋体" w:hAnsi="宋体"/>
          <w:color w:val="auto"/>
          <w:sz w:val="30"/>
          <w:szCs w:val="20"/>
          <w:highlight w:val="none"/>
        </w:rPr>
      </w:pPr>
      <w:r>
        <w:rPr>
          <w:rFonts w:hint="eastAsia" w:ascii="宋体" w:hAnsi="宋体"/>
          <w:color w:val="auto"/>
          <w:sz w:val="30"/>
          <w:highlight w:val="none"/>
        </w:rPr>
        <w:t>公开招标采购公告</w:t>
      </w:r>
    </w:p>
    <w:p w14:paraId="697C7CCC">
      <w:pPr>
        <w:numPr>
          <w:ilvl w:val="0"/>
          <w:numId w:val="1"/>
        </w:numPr>
        <w:spacing w:before="166" w:beforeLines="50" w:line="360" w:lineRule="auto"/>
        <w:ind w:firstLine="600"/>
        <w:rPr>
          <w:rFonts w:ascii="宋体" w:hAnsi="宋体"/>
          <w:color w:val="auto"/>
          <w:sz w:val="30"/>
          <w:szCs w:val="20"/>
          <w:highlight w:val="none"/>
        </w:rPr>
      </w:pPr>
      <w:r>
        <w:rPr>
          <w:rFonts w:hint="eastAsia" w:ascii="宋体" w:hAnsi="宋体"/>
          <w:color w:val="auto"/>
          <w:sz w:val="30"/>
          <w:highlight w:val="none"/>
        </w:rPr>
        <w:t>招标需求</w:t>
      </w:r>
    </w:p>
    <w:p w14:paraId="7245B3CE">
      <w:pPr>
        <w:numPr>
          <w:ilvl w:val="0"/>
          <w:numId w:val="1"/>
        </w:numPr>
        <w:spacing w:before="166" w:beforeLines="50" w:line="360" w:lineRule="auto"/>
        <w:ind w:firstLine="600"/>
        <w:rPr>
          <w:rFonts w:ascii="宋体" w:hAnsi="宋体"/>
          <w:color w:val="auto"/>
          <w:sz w:val="30"/>
          <w:szCs w:val="20"/>
          <w:highlight w:val="none"/>
        </w:rPr>
      </w:pPr>
      <w:r>
        <w:rPr>
          <w:rFonts w:hint="eastAsia" w:ascii="宋体" w:hAnsi="宋体"/>
          <w:color w:val="auto"/>
          <w:sz w:val="30"/>
          <w:highlight w:val="none"/>
        </w:rPr>
        <w:t>投标人须知</w:t>
      </w:r>
    </w:p>
    <w:p w14:paraId="4CF66BC5">
      <w:pPr>
        <w:numPr>
          <w:ilvl w:val="0"/>
          <w:numId w:val="1"/>
        </w:numPr>
        <w:spacing w:before="166" w:beforeLines="50" w:line="360" w:lineRule="auto"/>
        <w:ind w:firstLine="600"/>
        <w:rPr>
          <w:rFonts w:ascii="宋体" w:hAnsi="宋体"/>
          <w:color w:val="auto"/>
          <w:sz w:val="30"/>
          <w:szCs w:val="20"/>
          <w:highlight w:val="none"/>
        </w:rPr>
      </w:pPr>
      <w:r>
        <w:rPr>
          <w:rFonts w:hint="eastAsia" w:ascii="宋体" w:hAnsi="宋体"/>
          <w:color w:val="auto"/>
          <w:sz w:val="30"/>
          <w:highlight w:val="none"/>
        </w:rPr>
        <w:t>评标办法及评分标准</w:t>
      </w:r>
    </w:p>
    <w:p w14:paraId="0A9AB209">
      <w:pPr>
        <w:numPr>
          <w:ilvl w:val="0"/>
          <w:numId w:val="1"/>
        </w:numPr>
        <w:spacing w:before="166" w:beforeLines="50" w:line="360" w:lineRule="auto"/>
        <w:ind w:firstLine="600"/>
        <w:rPr>
          <w:rFonts w:ascii="宋体" w:hAnsi="宋体"/>
          <w:color w:val="auto"/>
          <w:sz w:val="30"/>
          <w:szCs w:val="20"/>
          <w:highlight w:val="none"/>
        </w:rPr>
      </w:pPr>
      <w:r>
        <w:rPr>
          <w:rFonts w:hint="eastAsia" w:ascii="宋体" w:hAnsi="宋体"/>
          <w:color w:val="auto"/>
          <w:sz w:val="30"/>
          <w:highlight w:val="none"/>
        </w:rPr>
        <w:t>政府采购合同主要条款</w:t>
      </w:r>
    </w:p>
    <w:p w14:paraId="4912252E">
      <w:pPr>
        <w:numPr>
          <w:ilvl w:val="0"/>
          <w:numId w:val="1"/>
        </w:numPr>
        <w:spacing w:before="166" w:beforeLines="50" w:line="360" w:lineRule="auto"/>
        <w:ind w:firstLine="600"/>
        <w:rPr>
          <w:rFonts w:ascii="宋体" w:hAnsi="宋体"/>
          <w:color w:val="auto"/>
          <w:sz w:val="30"/>
          <w:szCs w:val="20"/>
          <w:highlight w:val="none"/>
        </w:rPr>
      </w:pPr>
      <w:r>
        <w:rPr>
          <w:rFonts w:hint="eastAsia" w:ascii="宋体" w:hAnsi="宋体"/>
          <w:color w:val="auto"/>
          <w:sz w:val="30"/>
          <w:highlight w:val="none"/>
        </w:rPr>
        <w:t>投标文件格式</w:t>
      </w:r>
    </w:p>
    <w:p w14:paraId="2286A45D">
      <w:pPr>
        <w:pStyle w:val="24"/>
        <w:spacing w:before="166" w:after="166"/>
        <w:rPr>
          <w:color w:val="auto"/>
          <w:highlight w:val="none"/>
        </w:rPr>
        <w:sectPr>
          <w:footerReference r:id="rId9" w:type="first"/>
          <w:footerReference r:id="rId8" w:type="default"/>
          <w:pgSz w:w="11906" w:h="16838"/>
          <w:pgMar w:top="1417" w:right="1417" w:bottom="1417" w:left="1701" w:header="851" w:footer="992" w:gutter="0"/>
          <w:pgNumType w:fmt="decimal"/>
          <w:cols w:space="720" w:num="1"/>
          <w:docGrid w:type="lines" w:linePitch="332" w:charSpace="0"/>
        </w:sectPr>
      </w:pPr>
    </w:p>
    <w:p w14:paraId="5508888D">
      <w:pPr>
        <w:pStyle w:val="24"/>
        <w:rPr>
          <w:color w:val="auto"/>
          <w:highlight w:val="none"/>
        </w:rPr>
      </w:pPr>
    </w:p>
    <w:p w14:paraId="0ACE2222">
      <w:pPr>
        <w:rPr>
          <w:color w:val="auto"/>
          <w:highlight w:val="none"/>
        </w:rPr>
      </w:pPr>
    </w:p>
    <w:p w14:paraId="61A04AFD">
      <w:pPr>
        <w:rPr>
          <w:color w:val="auto"/>
          <w:highlight w:val="none"/>
        </w:rPr>
      </w:pPr>
    </w:p>
    <w:p w14:paraId="054CAA51">
      <w:pPr>
        <w:rPr>
          <w:color w:val="auto"/>
          <w:highlight w:val="none"/>
        </w:rPr>
      </w:pPr>
    </w:p>
    <w:p w14:paraId="6EBE2CA4">
      <w:pPr>
        <w:rPr>
          <w:color w:val="auto"/>
          <w:highlight w:val="none"/>
        </w:rPr>
      </w:pPr>
    </w:p>
    <w:p w14:paraId="7EAAD7F2">
      <w:pPr>
        <w:rPr>
          <w:color w:val="auto"/>
          <w:highlight w:val="none"/>
        </w:rPr>
      </w:pPr>
    </w:p>
    <w:p w14:paraId="68831A74">
      <w:pPr>
        <w:rPr>
          <w:color w:val="auto"/>
          <w:highlight w:val="none"/>
        </w:rPr>
      </w:pPr>
    </w:p>
    <w:p w14:paraId="1EB95CAC">
      <w:pPr>
        <w:rPr>
          <w:color w:val="auto"/>
          <w:highlight w:val="none"/>
        </w:rPr>
      </w:pPr>
    </w:p>
    <w:p w14:paraId="551B08C0">
      <w:pPr>
        <w:spacing w:line="360" w:lineRule="auto"/>
        <w:ind w:firstLine="600"/>
        <w:rPr>
          <w:bCs/>
          <w:color w:val="auto"/>
          <w:sz w:val="30"/>
          <w:highlight w:val="none"/>
        </w:rPr>
      </w:pPr>
    </w:p>
    <w:p w14:paraId="06C96DBD">
      <w:pPr>
        <w:spacing w:line="360" w:lineRule="auto"/>
        <w:ind w:firstLine="600"/>
        <w:rPr>
          <w:bCs/>
          <w:color w:val="auto"/>
          <w:sz w:val="30"/>
          <w:highlight w:val="none"/>
        </w:rPr>
      </w:pPr>
    </w:p>
    <w:p w14:paraId="459227F2">
      <w:pPr>
        <w:spacing w:line="360" w:lineRule="auto"/>
        <w:ind w:firstLine="600"/>
        <w:rPr>
          <w:bCs/>
          <w:color w:val="auto"/>
          <w:sz w:val="30"/>
          <w:highlight w:val="none"/>
        </w:rPr>
      </w:pPr>
    </w:p>
    <w:p w14:paraId="197E8C05">
      <w:pPr>
        <w:spacing w:line="360" w:lineRule="auto"/>
        <w:ind w:firstLine="600"/>
        <w:rPr>
          <w:bCs/>
          <w:color w:val="auto"/>
          <w:sz w:val="30"/>
          <w:highlight w:val="none"/>
        </w:rPr>
      </w:pPr>
    </w:p>
    <w:p w14:paraId="113B0E62">
      <w:pPr>
        <w:spacing w:line="360" w:lineRule="auto"/>
        <w:ind w:firstLine="600" w:firstLineChars="200"/>
        <w:rPr>
          <w:bCs/>
          <w:color w:val="auto"/>
          <w:sz w:val="30"/>
          <w:highlight w:val="none"/>
        </w:rPr>
      </w:pPr>
    </w:p>
    <w:p w14:paraId="09F0CCFB">
      <w:pPr>
        <w:pStyle w:val="24"/>
        <w:rPr>
          <w:color w:val="auto"/>
          <w:highlight w:val="none"/>
        </w:rPr>
        <w:sectPr>
          <w:headerReference r:id="rId11" w:type="first"/>
          <w:footerReference r:id="rId14" w:type="first"/>
          <w:headerReference r:id="rId10" w:type="default"/>
          <w:footerReference r:id="rId12" w:type="default"/>
          <w:footerReference r:id="rId13" w:type="even"/>
          <w:type w:val="continuous"/>
          <w:pgSz w:w="11906" w:h="16838"/>
          <w:pgMar w:top="1417" w:right="1417" w:bottom="1417" w:left="1701" w:header="851" w:footer="992" w:gutter="0"/>
          <w:pgNumType w:fmt="decimal"/>
          <w:cols w:space="720" w:num="1"/>
          <w:docGrid w:type="linesAndChars" w:linePitch="312" w:charSpace="0"/>
        </w:sectPr>
      </w:pPr>
      <w:bookmarkStart w:id="67" w:name="_GoBack"/>
      <w:bookmarkEnd w:id="67"/>
    </w:p>
    <w:p w14:paraId="25B5B1F2">
      <w:pPr>
        <w:pStyle w:val="24"/>
        <w:jc w:val="center"/>
        <w:rPr>
          <w:b/>
          <w:bCs/>
          <w:color w:val="auto"/>
          <w:highlight w:val="none"/>
        </w:rPr>
      </w:pPr>
      <w:r>
        <w:rPr>
          <w:rFonts w:hint="eastAsia"/>
          <w:b/>
          <w:bCs/>
          <w:color w:val="auto"/>
          <w:highlight w:val="none"/>
        </w:rPr>
        <w:t>第一章  公开招标采购公告</w:t>
      </w:r>
    </w:p>
    <w:p w14:paraId="60835546">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2341A5C1">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东阳市南市街道办事处食堂劳务及物资配送服务项目</w:t>
      </w:r>
      <w:r>
        <w:rPr>
          <w:rFonts w:hint="eastAsia" w:ascii="宋体" w:hAnsi="宋体" w:cs="宋体"/>
          <w:color w:val="auto"/>
          <w:sz w:val="24"/>
          <w:highlight w:val="none"/>
        </w:rPr>
        <w:t>的潜在投标人应在浙江政府采购网（http://zfcg.czt.zj.gov.cn/）；金华市公共资源交易网(</w:t>
      </w:r>
      <w:r>
        <w:rPr>
          <w:rFonts w:ascii="宋体" w:hAnsi="宋体" w:cs="宋体"/>
          <w:color w:val="auto"/>
          <w:sz w:val="24"/>
          <w:highlight w:val="none"/>
        </w:rPr>
        <w:t>http://ggzyjy.jinhua.gov.cn/</w:t>
      </w:r>
      <w:r>
        <w:rPr>
          <w:rFonts w:hint="eastAsia" w:ascii="宋体" w:hAnsi="宋体" w:cs="宋体"/>
          <w:color w:val="auto"/>
          <w:sz w:val="24"/>
          <w:highlight w:val="none"/>
        </w:rPr>
        <w:t>)获取（下载）招标文件，并于202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 xml:space="preserve"> 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 分（北京时间）前递交（上传）电子投标文件。</w:t>
      </w:r>
    </w:p>
    <w:p w14:paraId="73840006">
      <w:pPr>
        <w:pStyle w:val="229"/>
        <w:snapToGrid/>
        <w:spacing w:afterLines="0" w:line="360" w:lineRule="auto"/>
        <w:ind w:firstLine="482"/>
        <w:rPr>
          <w:rFonts w:ascii="宋体" w:hAnsi="宋体" w:cs="宋体"/>
          <w:b/>
          <w:bCs/>
          <w:color w:val="auto"/>
          <w:szCs w:val="24"/>
          <w:highlight w:val="none"/>
        </w:rPr>
      </w:pPr>
      <w:r>
        <w:rPr>
          <w:rFonts w:hint="eastAsia" w:ascii="宋体" w:hAnsi="宋体" w:cs="宋体"/>
          <w:b/>
          <w:bCs/>
          <w:color w:val="auto"/>
          <w:szCs w:val="24"/>
          <w:highlight w:val="none"/>
        </w:rPr>
        <w:t>一、项目基本情况：</w:t>
      </w:r>
    </w:p>
    <w:p w14:paraId="75F9D32A">
      <w:pPr>
        <w:spacing w:line="44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东阳市政府采购计划书：</w:t>
      </w:r>
      <w:r>
        <w:rPr>
          <w:rFonts w:ascii="宋体" w:hAnsi="宋体" w:cs="宋体"/>
          <w:b/>
          <w:bCs/>
          <w:color w:val="auto"/>
          <w:sz w:val="24"/>
          <w:highlight w:val="none"/>
        </w:rPr>
        <w:t xml:space="preserve"> </w:t>
      </w:r>
      <w:r>
        <w:rPr>
          <w:rFonts w:hint="eastAsia" w:ascii="宋体" w:hAnsi="宋体" w:cs="宋体"/>
          <w:b/>
          <w:bCs/>
          <w:color w:val="auto"/>
          <w:sz w:val="24"/>
          <w:highlight w:val="none"/>
          <w:lang w:val="en-US" w:eastAsia="zh-CN"/>
        </w:rPr>
        <w:t>政采云【2024】1478号、政采云【2024】1479号</w:t>
      </w:r>
    </w:p>
    <w:p w14:paraId="5A27D878">
      <w:pPr>
        <w:spacing w:line="44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JHZD2024-016</w:t>
      </w:r>
    </w:p>
    <w:p w14:paraId="362BC26A">
      <w:pPr>
        <w:pStyle w:val="24"/>
        <w:rPr>
          <w:rFonts w:hint="eastAsia" w:eastAsia="宋体"/>
          <w:color w:val="auto"/>
          <w:sz w:val="28"/>
          <w:szCs w:val="28"/>
          <w:highlight w:val="none"/>
          <w:lang w:eastAsia="zh-CN"/>
        </w:rPr>
      </w:pPr>
      <w:r>
        <w:rPr>
          <w:rFonts w:hint="eastAsia"/>
          <w:color w:val="auto"/>
          <w:highlight w:val="none"/>
        </w:rPr>
        <w:t>项目名称：</w:t>
      </w:r>
      <w:r>
        <w:rPr>
          <w:rFonts w:hint="eastAsia"/>
          <w:color w:val="auto"/>
          <w:highlight w:val="none"/>
          <w:lang w:eastAsia="zh-CN"/>
        </w:rPr>
        <w:t>东阳市南市街道办事处食堂劳务及物资配送服务项目</w:t>
      </w:r>
    </w:p>
    <w:p w14:paraId="12D8295C">
      <w:pPr>
        <w:pStyle w:val="24"/>
        <w:rPr>
          <w:rFonts w:hint="default" w:eastAsia="宋体"/>
          <w:color w:val="auto"/>
          <w:highlight w:val="none"/>
          <w:lang w:val="en-US" w:eastAsia="zh-CN"/>
        </w:rPr>
      </w:pPr>
      <w:r>
        <w:rPr>
          <w:rFonts w:hint="eastAsia"/>
          <w:b/>
          <w:bCs/>
          <w:color w:val="auto"/>
          <w:highlight w:val="none"/>
        </w:rPr>
        <w:t>预算金额</w:t>
      </w:r>
      <w:r>
        <w:rPr>
          <w:rFonts w:hint="eastAsia"/>
          <w:color w:val="auto"/>
          <w:highlight w:val="none"/>
        </w:rPr>
        <w:t>：</w:t>
      </w:r>
      <w:r>
        <w:rPr>
          <w:rFonts w:hint="eastAsia"/>
          <w:color w:val="auto"/>
          <w:highlight w:val="none"/>
          <w:lang w:val="en-US" w:eastAsia="zh-CN"/>
        </w:rPr>
        <w:t>标项1：59万元</w:t>
      </w:r>
      <w:r>
        <w:rPr>
          <w:rFonts w:hint="eastAsia"/>
          <w:color w:val="auto"/>
          <w:highlight w:val="none"/>
        </w:rPr>
        <w:t>；</w:t>
      </w:r>
      <w:r>
        <w:rPr>
          <w:rFonts w:hint="eastAsia"/>
          <w:color w:val="auto"/>
          <w:highlight w:val="none"/>
          <w:lang w:val="en-US" w:eastAsia="zh-CN"/>
        </w:rPr>
        <w:t>标项2：125万元</w:t>
      </w:r>
    </w:p>
    <w:p w14:paraId="1B918562">
      <w:pPr>
        <w:pStyle w:val="24"/>
        <w:rPr>
          <w:rFonts w:hint="default" w:eastAsia="宋体"/>
          <w:color w:val="auto"/>
          <w:highlight w:val="none"/>
          <w:lang w:val="en-US" w:eastAsia="zh-CN"/>
        </w:rPr>
      </w:pPr>
      <w:r>
        <w:rPr>
          <w:rFonts w:hint="eastAsia"/>
          <w:b/>
          <w:color w:val="auto"/>
          <w:highlight w:val="none"/>
        </w:rPr>
        <w:t>最高限价</w:t>
      </w:r>
      <w:r>
        <w:rPr>
          <w:rFonts w:hint="eastAsia"/>
          <w:color w:val="auto"/>
          <w:highlight w:val="none"/>
        </w:rPr>
        <w:t>：</w:t>
      </w:r>
      <w:r>
        <w:rPr>
          <w:rFonts w:hint="eastAsia"/>
          <w:color w:val="auto"/>
          <w:highlight w:val="none"/>
          <w:lang w:val="en-US" w:eastAsia="zh-CN"/>
        </w:rPr>
        <w:t>标项1：59万元</w:t>
      </w:r>
      <w:r>
        <w:rPr>
          <w:rFonts w:hint="eastAsia"/>
          <w:color w:val="auto"/>
          <w:highlight w:val="none"/>
        </w:rPr>
        <w:t>；</w:t>
      </w:r>
      <w:r>
        <w:rPr>
          <w:rFonts w:hint="eastAsia"/>
          <w:color w:val="auto"/>
          <w:highlight w:val="none"/>
          <w:lang w:val="en-US" w:eastAsia="zh-CN"/>
        </w:rPr>
        <w:t>标项2：125万元</w:t>
      </w:r>
    </w:p>
    <w:p w14:paraId="312991EA">
      <w:pPr>
        <w:pStyle w:val="229"/>
        <w:snapToGrid/>
        <w:spacing w:afterLines="0" w:line="360" w:lineRule="auto"/>
        <w:ind w:firstLine="0" w:firstLineChars="0"/>
        <w:rPr>
          <w:rFonts w:ascii="宋体" w:hAnsi="宋体" w:cs="宋体"/>
          <w:b/>
          <w:bCs/>
          <w:color w:val="auto"/>
          <w:szCs w:val="24"/>
          <w:highlight w:val="none"/>
        </w:rPr>
      </w:pPr>
      <w:r>
        <w:rPr>
          <w:rFonts w:hint="eastAsia" w:ascii="宋体" w:hAnsi="宋体" w:cs="宋体"/>
          <w:b/>
          <w:bCs/>
          <w:color w:val="auto"/>
          <w:szCs w:val="24"/>
          <w:highlight w:val="none"/>
        </w:rPr>
        <w:t>采购需求：</w:t>
      </w:r>
    </w:p>
    <w:p w14:paraId="256072B2">
      <w:pPr>
        <w:pStyle w:val="24"/>
        <w:rPr>
          <w:rFonts w:hint="eastAsia" w:eastAsia="宋体"/>
          <w:color w:val="auto"/>
          <w:highlight w:val="none"/>
          <w:lang w:eastAsia="zh-CN"/>
        </w:rPr>
      </w:pPr>
      <w:r>
        <w:rPr>
          <w:rFonts w:hint="eastAsia"/>
          <w:color w:val="auto"/>
          <w:highlight w:val="none"/>
        </w:rPr>
        <w:t>标项</w:t>
      </w:r>
      <w:r>
        <w:rPr>
          <w:rFonts w:hint="eastAsia"/>
          <w:color w:val="auto"/>
          <w:highlight w:val="none"/>
          <w:lang w:val="en-US" w:eastAsia="zh-CN"/>
        </w:rPr>
        <w:t>1</w:t>
      </w:r>
      <w:r>
        <w:rPr>
          <w:rFonts w:hint="eastAsia"/>
          <w:color w:val="auto"/>
          <w:highlight w:val="none"/>
        </w:rPr>
        <w:t>名称：</w:t>
      </w:r>
      <w:r>
        <w:rPr>
          <w:rFonts w:hint="eastAsia"/>
          <w:color w:val="auto"/>
          <w:highlight w:val="none"/>
          <w:lang w:eastAsia="zh-CN"/>
        </w:rPr>
        <w:t>东阳市南市街道办事处食堂劳务服务项目</w:t>
      </w:r>
    </w:p>
    <w:p w14:paraId="038F221E">
      <w:pPr>
        <w:pStyle w:val="24"/>
        <w:rPr>
          <w:color w:val="auto"/>
          <w:highlight w:val="none"/>
        </w:rPr>
      </w:pPr>
      <w:r>
        <w:rPr>
          <w:rFonts w:hint="eastAsia"/>
          <w:color w:val="auto"/>
          <w:highlight w:val="none"/>
        </w:rPr>
        <w:t>数量：1项</w:t>
      </w:r>
    </w:p>
    <w:p w14:paraId="777B3597">
      <w:pPr>
        <w:pStyle w:val="24"/>
        <w:rPr>
          <w:color w:val="auto"/>
          <w:highlight w:val="none"/>
        </w:rPr>
      </w:pPr>
      <w:r>
        <w:rPr>
          <w:rFonts w:hint="eastAsia"/>
          <w:color w:val="auto"/>
          <w:highlight w:val="none"/>
        </w:rPr>
        <w:t>预算金额：</w:t>
      </w:r>
      <w:r>
        <w:rPr>
          <w:rFonts w:hint="eastAsia"/>
          <w:color w:val="auto"/>
          <w:highlight w:val="none"/>
          <w:lang w:val="en-US" w:eastAsia="zh-CN"/>
        </w:rPr>
        <w:t>59</w:t>
      </w:r>
      <w:r>
        <w:rPr>
          <w:rFonts w:hint="eastAsia"/>
          <w:color w:val="auto"/>
          <w:highlight w:val="none"/>
        </w:rPr>
        <w:t>万元。</w:t>
      </w:r>
    </w:p>
    <w:p w14:paraId="08A65EC0">
      <w:pPr>
        <w:pStyle w:val="24"/>
        <w:rPr>
          <w:color w:val="auto"/>
          <w:highlight w:val="none"/>
        </w:rPr>
      </w:pPr>
      <w:r>
        <w:rPr>
          <w:rFonts w:hint="eastAsia"/>
          <w:color w:val="auto"/>
          <w:highlight w:val="none"/>
        </w:rPr>
        <w:t>简要规格描述或项目基本概况介绍、用途：具体要求详见第二章招标需求。</w:t>
      </w:r>
    </w:p>
    <w:p w14:paraId="70DC4740">
      <w:pPr>
        <w:pStyle w:val="24"/>
        <w:rPr>
          <w:color w:val="auto"/>
          <w:highlight w:val="none"/>
        </w:rPr>
      </w:pPr>
      <w:r>
        <w:rPr>
          <w:rFonts w:hint="eastAsia"/>
          <w:color w:val="auto"/>
          <w:highlight w:val="none"/>
        </w:rPr>
        <w:t>备注：</w:t>
      </w:r>
    </w:p>
    <w:p w14:paraId="540A8FE5">
      <w:pPr>
        <w:pStyle w:val="24"/>
        <w:rPr>
          <w:color w:val="auto"/>
          <w:highlight w:val="none"/>
        </w:rPr>
      </w:pPr>
      <w:r>
        <w:rPr>
          <w:rFonts w:hint="eastAsia"/>
          <w:color w:val="auto"/>
          <w:highlight w:val="none"/>
        </w:rPr>
        <w:t>合同履约期限：自签订合同起1年。</w:t>
      </w:r>
    </w:p>
    <w:p w14:paraId="27046D20">
      <w:pPr>
        <w:pStyle w:val="24"/>
        <w:rPr>
          <w:rFonts w:hint="eastAsia"/>
          <w:color w:val="auto"/>
          <w:highlight w:val="none"/>
        </w:rPr>
      </w:pPr>
      <w:r>
        <w:rPr>
          <w:rFonts w:hint="eastAsia"/>
          <w:color w:val="auto"/>
          <w:highlight w:val="none"/>
        </w:rPr>
        <w:t>本项目接受联合体投标。</w:t>
      </w:r>
    </w:p>
    <w:p w14:paraId="54DF3D95">
      <w:pPr>
        <w:pStyle w:val="24"/>
        <w:rPr>
          <w:rFonts w:hint="eastAsia" w:eastAsia="宋体"/>
          <w:color w:val="auto"/>
          <w:highlight w:val="none"/>
          <w:lang w:eastAsia="zh-CN"/>
        </w:rPr>
      </w:pPr>
      <w:r>
        <w:rPr>
          <w:rFonts w:hint="eastAsia"/>
          <w:color w:val="auto"/>
          <w:highlight w:val="none"/>
        </w:rPr>
        <w:t>标项</w:t>
      </w:r>
      <w:r>
        <w:rPr>
          <w:rFonts w:hint="eastAsia"/>
          <w:color w:val="auto"/>
          <w:highlight w:val="none"/>
          <w:lang w:val="en-US" w:eastAsia="zh-CN"/>
        </w:rPr>
        <w:t>2</w:t>
      </w:r>
      <w:r>
        <w:rPr>
          <w:rFonts w:hint="eastAsia"/>
          <w:color w:val="auto"/>
          <w:highlight w:val="none"/>
        </w:rPr>
        <w:t>名称：</w:t>
      </w:r>
      <w:r>
        <w:rPr>
          <w:rFonts w:hint="eastAsia"/>
          <w:color w:val="auto"/>
          <w:highlight w:val="none"/>
          <w:lang w:eastAsia="zh-CN"/>
        </w:rPr>
        <w:t>东阳市南市街道办事处食堂物资配送服务项目</w:t>
      </w:r>
    </w:p>
    <w:p w14:paraId="26EBC05E">
      <w:pPr>
        <w:pStyle w:val="24"/>
        <w:rPr>
          <w:color w:val="auto"/>
          <w:highlight w:val="none"/>
        </w:rPr>
      </w:pPr>
      <w:r>
        <w:rPr>
          <w:rFonts w:hint="eastAsia"/>
          <w:color w:val="auto"/>
          <w:highlight w:val="none"/>
        </w:rPr>
        <w:t>数量：1项</w:t>
      </w:r>
    </w:p>
    <w:p w14:paraId="71183FB7">
      <w:pPr>
        <w:pStyle w:val="24"/>
        <w:rPr>
          <w:color w:val="auto"/>
          <w:highlight w:val="none"/>
        </w:rPr>
      </w:pPr>
      <w:r>
        <w:rPr>
          <w:rFonts w:hint="eastAsia"/>
          <w:color w:val="auto"/>
          <w:highlight w:val="none"/>
        </w:rPr>
        <w:t>预算金额：</w:t>
      </w:r>
      <w:r>
        <w:rPr>
          <w:rFonts w:hint="eastAsia"/>
          <w:color w:val="auto"/>
          <w:highlight w:val="none"/>
          <w:lang w:val="en-US" w:eastAsia="zh-CN"/>
        </w:rPr>
        <w:t>125</w:t>
      </w:r>
      <w:r>
        <w:rPr>
          <w:rFonts w:hint="eastAsia"/>
          <w:color w:val="auto"/>
          <w:highlight w:val="none"/>
        </w:rPr>
        <w:t>万元。</w:t>
      </w:r>
    </w:p>
    <w:p w14:paraId="75C3E94D">
      <w:pPr>
        <w:pStyle w:val="24"/>
        <w:rPr>
          <w:color w:val="auto"/>
          <w:highlight w:val="none"/>
        </w:rPr>
      </w:pPr>
      <w:r>
        <w:rPr>
          <w:rFonts w:hint="eastAsia"/>
          <w:color w:val="auto"/>
          <w:highlight w:val="none"/>
        </w:rPr>
        <w:t>简要规格描述或项目基本概况介绍、用途：具体要求详见第二章招标需求。</w:t>
      </w:r>
    </w:p>
    <w:p w14:paraId="18CD4872">
      <w:pPr>
        <w:pStyle w:val="24"/>
        <w:rPr>
          <w:color w:val="auto"/>
          <w:highlight w:val="none"/>
        </w:rPr>
      </w:pPr>
      <w:r>
        <w:rPr>
          <w:rFonts w:hint="eastAsia"/>
          <w:color w:val="auto"/>
          <w:highlight w:val="none"/>
        </w:rPr>
        <w:t>备注：</w:t>
      </w:r>
    </w:p>
    <w:p w14:paraId="76907A3E">
      <w:pPr>
        <w:pStyle w:val="24"/>
        <w:rPr>
          <w:color w:val="auto"/>
          <w:highlight w:val="none"/>
        </w:rPr>
      </w:pPr>
      <w:r>
        <w:rPr>
          <w:rFonts w:hint="eastAsia"/>
          <w:color w:val="auto"/>
          <w:highlight w:val="none"/>
        </w:rPr>
        <w:t>合同履约期限：自签订合同起1年。</w:t>
      </w:r>
    </w:p>
    <w:p w14:paraId="237521DF">
      <w:pPr>
        <w:pStyle w:val="24"/>
        <w:rPr>
          <w:color w:val="auto"/>
          <w:highlight w:val="none"/>
        </w:rPr>
      </w:pPr>
      <w:r>
        <w:rPr>
          <w:rFonts w:hint="eastAsia"/>
          <w:color w:val="auto"/>
          <w:highlight w:val="none"/>
        </w:rPr>
        <w:t>本项目接受联合体投标。</w:t>
      </w:r>
    </w:p>
    <w:p w14:paraId="4307936D">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▲二、合格投标人的资格要求：</w:t>
      </w:r>
    </w:p>
    <w:p w14:paraId="3CAA206F">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E59EE9A">
      <w:pPr>
        <w:snapToGrid w:val="0"/>
        <w:spacing w:line="440" w:lineRule="exact"/>
        <w:ind w:right="198" w:firstLine="482"/>
        <w:rPr>
          <w:rFonts w:hint="eastAsia" w:ascii="宋体" w:hAnsi="宋体" w:cs="宋体"/>
          <w:b/>
          <w:bCs/>
          <w:color w:val="auto"/>
          <w:sz w:val="24"/>
          <w:highlight w:val="none"/>
        </w:rPr>
        <w:sectPr>
          <w:headerReference r:id="rId15" w:type="default"/>
          <w:footerReference r:id="rId16" w:type="default"/>
          <w:footerReference r:id="rId17" w:type="even"/>
          <w:pgSz w:w="11906" w:h="16838"/>
          <w:pgMar w:top="1021" w:right="1134" w:bottom="1021" w:left="1134" w:header="284" w:footer="992" w:gutter="0"/>
          <w:pgNumType w:fmt="decimal"/>
          <w:cols w:space="720" w:num="1"/>
          <w:docGrid w:type="linesAndChars" w:linePitch="312" w:charSpace="0"/>
        </w:sectPr>
      </w:pPr>
    </w:p>
    <w:p w14:paraId="35F31E28">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2.落实政府采购政策需满足的资格要求：根据《政府采购促进中小企业发展管理办法》有关规定，本项目仅面向小型及以下企业响应投标；</w:t>
      </w:r>
    </w:p>
    <w:p w14:paraId="7930B791">
      <w:pPr>
        <w:snapToGrid w:val="0"/>
        <w:spacing w:line="440" w:lineRule="exact"/>
        <w:ind w:right="198" w:firstLine="482"/>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r>
        <w:rPr>
          <w:rFonts w:hint="eastAsia" w:ascii="宋体" w:hAnsi="宋体" w:cs="宋体"/>
          <w:b/>
          <w:bCs/>
          <w:color w:val="auto"/>
          <w:sz w:val="24"/>
          <w:highlight w:val="none"/>
          <w:lang w:val="en-US" w:eastAsia="zh-CN"/>
        </w:rPr>
        <w:t xml:space="preserve"> </w:t>
      </w:r>
    </w:p>
    <w:p w14:paraId="181D9B8F">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3.本项目的特定资格要求：</w:t>
      </w:r>
    </w:p>
    <w:p w14:paraId="4D594A83">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（1）投标人须为浙江政府采购网注册的正式供应商或承诺中标后30天内注册为浙江政府采购网正式供应商。</w:t>
      </w:r>
    </w:p>
    <w:p w14:paraId="5DBC4C89">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三、招标文件的获取：</w:t>
      </w:r>
    </w:p>
    <w:p w14:paraId="05B9E7BB">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1、时间：/至</w:t>
      </w:r>
      <w:r>
        <w:rPr>
          <w:rFonts w:hint="eastAsia" w:ascii="宋体" w:hAnsi="宋体" w:cs="宋体"/>
          <w:b/>
          <w:bCs/>
          <w:color w:val="auto"/>
          <w:sz w:val="24"/>
          <w:highlight w:val="none"/>
          <w:lang w:eastAsia="zh-CN"/>
        </w:rPr>
        <w:t>2025年1月14日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lang w:eastAsia="zh-CN"/>
        </w:rPr>
        <w:t>时</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0分</w:t>
      </w:r>
      <w:r>
        <w:rPr>
          <w:rFonts w:hint="eastAsia" w:ascii="宋体" w:hAnsi="宋体" w:cs="宋体"/>
          <w:b/>
          <w:bCs/>
          <w:color w:val="auto"/>
          <w:sz w:val="24"/>
          <w:highlight w:val="none"/>
        </w:rPr>
        <w:t xml:space="preserve"> ，每天上午00：00至12:00，下午12:00至23:59（北京时间，线上获取法定节假日均可，线下获取文件法定节假日除外）。</w:t>
      </w:r>
    </w:p>
    <w:p w14:paraId="65523D75">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2、地点（网址）：</w:t>
      </w:r>
    </w:p>
    <w:p w14:paraId="26D84EF9">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 xml:space="preserve">浙江政府采购网（https://zfcg.czt.zj.gov.cn/）； </w:t>
      </w:r>
    </w:p>
    <w:p w14:paraId="6989DA72">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金华市公共资源交易网(</w:t>
      </w:r>
      <w:r>
        <w:rPr>
          <w:rFonts w:ascii="宋体" w:hAnsi="宋体" w:cs="宋体"/>
          <w:b/>
          <w:bCs/>
          <w:color w:val="auto"/>
          <w:sz w:val="24"/>
          <w:highlight w:val="none"/>
        </w:rPr>
        <w:t>http://ggzyjy.jinhua.gov.cn/</w:t>
      </w:r>
      <w:r>
        <w:rPr>
          <w:rFonts w:hint="eastAsia" w:ascii="宋体" w:hAnsi="宋体" w:cs="宋体"/>
          <w:b/>
          <w:bCs/>
          <w:color w:val="auto"/>
          <w:sz w:val="24"/>
          <w:highlight w:val="none"/>
        </w:rPr>
        <w:t>)。</w:t>
      </w:r>
    </w:p>
    <w:p w14:paraId="3ED1647A">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3、获取方式：由投标单位通过浙江省政府采购网(https://zfcg.czt.zj.gov.cn/)上的政采云获取系统进行获取（首次参加投标的单位应先登录浙江省政府采购网(https://zfcg.czt.zj.gov.cn/)进行账户注册，注册完毕待审核成功后方可登录获取，注册咨询电话：400-881-7190；注册流程见网址</w:t>
      </w:r>
    </w:p>
    <w:p w14:paraId="34D96F51">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https://middle.zcygov.cn/v-settle-front/registry）。</w:t>
      </w:r>
    </w:p>
    <w:p w14:paraId="374B86EB">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4、获取流程：浙江政府采购网-政采云用户登录-用户中心-项目采购-获取采购文件管理，电子版采购文件免费获取。</w:t>
      </w:r>
    </w:p>
    <w:p w14:paraId="3BEB0C19">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5、浙江政府采购网上以“游客”身份获取的采购文件仅供阅览；潜在供应商应按上述方式获取采购文件；未按上述方式获取采购文件的，不得对采购文件提起质疑投诉。</w:t>
      </w:r>
    </w:p>
    <w:p w14:paraId="0B466857">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4433731D">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提交投标文件截止时间：</w:t>
      </w:r>
      <w:r>
        <w:rPr>
          <w:rFonts w:hint="eastAsia" w:ascii="宋体" w:hAnsi="宋体" w:cs="宋体"/>
          <w:b/>
          <w:bCs/>
          <w:color w:val="auto"/>
          <w:sz w:val="24"/>
          <w:highlight w:val="none"/>
          <w:lang w:eastAsia="zh-CN"/>
        </w:rPr>
        <w:t>2025年1月14日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lang w:eastAsia="zh-CN"/>
        </w:rPr>
        <w:t>时</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0分</w:t>
      </w:r>
      <w:r>
        <w:rPr>
          <w:rFonts w:hint="eastAsia" w:ascii="宋体" w:hAnsi="宋体" w:cs="宋体"/>
          <w:b/>
          <w:bCs/>
          <w:color w:val="auto"/>
          <w:sz w:val="24"/>
          <w:highlight w:val="none"/>
        </w:rPr>
        <w:t xml:space="preserve"> （北京时间）</w:t>
      </w:r>
    </w:p>
    <w:p w14:paraId="42A89A6D">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投标地点（网址）：政采云平台</w:t>
      </w:r>
    </w:p>
    <w:p w14:paraId="6D8C8D02">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开标时间：</w:t>
      </w:r>
      <w:r>
        <w:rPr>
          <w:rFonts w:hint="eastAsia" w:ascii="宋体" w:hAnsi="宋体" w:cs="宋体"/>
          <w:b/>
          <w:bCs/>
          <w:color w:val="auto"/>
          <w:sz w:val="24"/>
          <w:highlight w:val="none"/>
          <w:lang w:eastAsia="zh-CN"/>
        </w:rPr>
        <w:t>2025年1月14日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lang w:eastAsia="zh-CN"/>
        </w:rPr>
        <w:t>时</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0分</w:t>
      </w:r>
      <w:r>
        <w:rPr>
          <w:rFonts w:hint="eastAsia" w:ascii="宋体" w:hAnsi="宋体" w:cs="宋体"/>
          <w:b/>
          <w:bCs/>
          <w:color w:val="auto"/>
          <w:sz w:val="24"/>
          <w:highlight w:val="none"/>
        </w:rPr>
        <w:t xml:space="preserve">  </w:t>
      </w:r>
    </w:p>
    <w:p w14:paraId="5C1FF496">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开标地点（网址）：政采云平台</w:t>
      </w:r>
    </w:p>
    <w:p w14:paraId="66984BF0">
      <w:pPr>
        <w:snapToGrid w:val="0"/>
        <w:spacing w:line="440" w:lineRule="exact"/>
        <w:ind w:right="198" w:firstLine="482"/>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采购意向公开链接</w:t>
      </w:r>
    </w:p>
    <w:p w14:paraId="17460D6B">
      <w:pPr>
        <w:snapToGrid w:val="0"/>
        <w:spacing w:line="440" w:lineRule="exact"/>
        <w:ind w:right="198"/>
        <w:jc w:val="left"/>
        <w:rPr>
          <w:rFonts w:hint="eastAsia" w:ascii="宋体" w:hAnsi="宋体" w:cs="宋体"/>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"http://www.ccgp-zhejiang.gov.cn/site/detail?parentId=600007&amp;articleId=zfi%2B3DdK9HOQ30GI%2BHB7uQ%3D%3D" </w:instrText>
      </w:r>
      <w:r>
        <w:rPr>
          <w:rFonts w:hint="eastAsia" w:ascii="宋体" w:hAnsi="宋体" w:cs="宋体"/>
          <w:b/>
          <w:bCs/>
          <w:color w:val="auto"/>
          <w:sz w:val="24"/>
          <w:highlight w:val="none"/>
        </w:rPr>
        <w:fldChar w:fldCharType="separate"/>
      </w:r>
      <w:r>
        <w:rPr>
          <w:rStyle w:val="50"/>
          <w:rFonts w:hint="eastAsia" w:ascii="宋体" w:hAnsi="宋体" w:cs="宋体"/>
          <w:b/>
          <w:bCs/>
          <w:color w:val="auto"/>
          <w:sz w:val="24"/>
          <w:highlight w:val="none"/>
        </w:rPr>
        <w:t>http://www.ccgp-zhejiang.gov.cn/site/detail?parentId=600007&amp;articleId=zfi%2B3DdK9HOQ30GI%2BHB7uQ%3D%3D</w:t>
      </w:r>
      <w:r>
        <w:rPr>
          <w:rFonts w:hint="eastAsia" w:ascii="宋体" w:hAnsi="宋体" w:cs="宋体"/>
          <w:b/>
          <w:bCs/>
          <w:color w:val="auto"/>
          <w:sz w:val="24"/>
          <w:highlight w:val="none"/>
        </w:rPr>
        <w:fldChar w:fldCharType="end"/>
      </w:r>
    </w:p>
    <w:p w14:paraId="3DB43D9D">
      <w:pPr>
        <w:snapToGrid w:val="0"/>
        <w:spacing w:line="440" w:lineRule="exact"/>
        <w:ind w:right="198"/>
        <w:jc w:val="left"/>
        <w:rPr>
          <w:rFonts w:hint="eastAsia" w:ascii="宋体" w:hAnsi="宋体" w:cs="宋体"/>
          <w:b/>
          <w:bCs/>
          <w:color w:val="auto"/>
          <w:sz w:val="24"/>
          <w:highlight w:val="none"/>
        </w:rPr>
      </w:pPr>
      <w:r>
        <w:rPr>
          <w:rFonts w:hint="eastAsia" w:ascii="宋体" w:hAnsi="宋体" w:cs="宋体"/>
          <w:b/>
          <w:bCs/>
          <w:color w:val="auto"/>
          <w:sz w:val="24"/>
          <w:highlight w:val="none"/>
        </w:rPr>
        <w:t>http://www.ccgp-zhejiang.gov.cn/site/detail?parentId=600007&amp;articleId=Myi1ciLGtYVpGjfZkuwSEg%3D%3D</w:t>
      </w:r>
    </w:p>
    <w:p w14:paraId="7E9C36FB">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六、公告期限</w:t>
      </w:r>
    </w:p>
    <w:p w14:paraId="684C22BF">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自本公告发布之日起5个工作日。</w:t>
      </w:r>
    </w:p>
    <w:p w14:paraId="57B0EBEA">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6479F2C3">
      <w:pPr>
        <w:snapToGrid w:val="0"/>
        <w:spacing w:line="440" w:lineRule="exact"/>
        <w:ind w:right="198" w:firstLine="482"/>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政采云扶贫系统要求采购的份额，按相关文件执行</w:t>
      </w:r>
      <w:r>
        <w:rPr>
          <w:rFonts w:hint="eastAsia" w:ascii="宋体" w:hAnsi="宋体" w:cs="宋体"/>
          <w:b/>
          <w:bCs/>
          <w:color w:val="auto"/>
          <w:sz w:val="24"/>
          <w:highlight w:val="none"/>
          <w:lang w:eastAsia="zh-CN"/>
        </w:rPr>
        <w:t>。</w:t>
      </w:r>
    </w:p>
    <w:p w14:paraId="19103763">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14:paraId="7BCAD64D">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B6254D">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45949AA5">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5. 投 标 人 应 在 开 标 前 完 成 CA 数 字 证 书 办 理 。 （ 办 理 流 程 详 见http://zfcg.czt.zj.gov.cn/bidClientTemplate/2019-05-27/12945.html）。完成 CA 数字证书办理预计一周左右，建议各投标人抓紧时间办理。</w:t>
      </w:r>
    </w:p>
    <w:p w14:paraId="5071C644">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6.投标人通过政采云平台电子投标工具制作投标文件，电子投标工具请供应商自行前往浙江省政府采购网下载并安装，（下载网址：http://zfcg.czt.zj.gov.cn/bidClientTemplate/2019-08-30/12975.html），</w:t>
      </w:r>
    </w:p>
    <w:p w14:paraId="0379B494">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 电 子 投 标 相 关 学 习 网 址 ： https://edu.zcygov.cn/luban/e-biding?utm=a0004.2ef5001f.0001.0109.2d44db10df9111e9b92b0f36d4889416。）</w:t>
      </w:r>
    </w:p>
    <w:p w14:paraId="026BF4B9">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7.中标人如因资金问题需贷款，可登录政采云平台“金融服务模块”查看各相关银行服务方案，具体执行可与相关银行东阳分行联系或“政采云”线上申请。</w:t>
      </w:r>
    </w:p>
    <w:p w14:paraId="2B89B12C">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 xml:space="preserve">8.政府采购金融服务提示：为扩大政府采购金融服务面，除政采云网上金融服务合作银行外，东阳市范围内增加浙商银行金华分行东阳支行作为线下合作银行。   </w:t>
      </w:r>
    </w:p>
    <w:p w14:paraId="4DDB9E4F">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0579-86222992八、对本次采购提出询问、质疑、投诉，请按以下方式联系：</w:t>
      </w:r>
    </w:p>
    <w:p w14:paraId="31A26514">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1、采购人信息</w:t>
      </w:r>
    </w:p>
    <w:p w14:paraId="09825F4B">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名称：东阳市南市街道办事处</w:t>
      </w:r>
    </w:p>
    <w:p w14:paraId="4E4558C9">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地址：东阳市朝龙路8号</w:t>
      </w:r>
    </w:p>
    <w:p w14:paraId="5E86843C">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cs="宋体"/>
          <w:b/>
          <w:bCs/>
          <w:color w:val="auto"/>
          <w:sz w:val="24"/>
          <w:highlight w:val="none"/>
          <w:lang w:val="en-US" w:eastAsia="zh-CN"/>
        </w:rPr>
        <w:t>单燕燕</w:t>
      </w:r>
      <w:r>
        <w:rPr>
          <w:rFonts w:hint="eastAsia" w:ascii="宋体" w:hAnsi="宋体" w:cs="宋体"/>
          <w:b/>
          <w:bCs/>
          <w:color w:val="auto"/>
          <w:sz w:val="24"/>
          <w:highlight w:val="none"/>
        </w:rPr>
        <w:t xml:space="preserve">          项目联系方式：</w:t>
      </w:r>
      <w:r>
        <w:rPr>
          <w:rFonts w:hint="eastAsia" w:ascii="宋体" w:hAnsi="宋体" w:cs="宋体"/>
          <w:b/>
          <w:bCs/>
          <w:color w:val="auto"/>
          <w:sz w:val="24"/>
          <w:highlight w:val="none"/>
          <w:lang w:val="en-US" w:eastAsia="zh-CN"/>
        </w:rPr>
        <w:t>15267912692</w:t>
      </w:r>
    </w:p>
    <w:p w14:paraId="211798D6">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质疑联系人：</w:t>
      </w:r>
      <w:r>
        <w:rPr>
          <w:rFonts w:hint="eastAsia" w:ascii="宋体" w:hAnsi="宋体" w:cs="宋体"/>
          <w:b/>
          <w:bCs/>
          <w:color w:val="auto"/>
          <w:sz w:val="24"/>
          <w:highlight w:val="none"/>
          <w:lang w:val="en-US" w:eastAsia="zh-CN"/>
        </w:rPr>
        <w:t>张莉莉</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en-US" w:eastAsia="zh-CN"/>
        </w:rPr>
        <w:t>质疑</w:t>
      </w:r>
      <w:r>
        <w:rPr>
          <w:rFonts w:hint="eastAsia" w:ascii="宋体" w:hAnsi="宋体" w:cs="宋体"/>
          <w:b/>
          <w:bCs/>
          <w:color w:val="auto"/>
          <w:sz w:val="24"/>
          <w:highlight w:val="none"/>
        </w:rPr>
        <w:t>联系方式：</w:t>
      </w:r>
      <w:r>
        <w:rPr>
          <w:rFonts w:hint="eastAsia" w:ascii="宋体" w:hAnsi="宋体" w:cs="宋体"/>
          <w:b/>
          <w:bCs/>
          <w:color w:val="auto"/>
          <w:sz w:val="24"/>
          <w:highlight w:val="none"/>
          <w:lang w:val="en-US" w:eastAsia="zh-CN"/>
        </w:rPr>
        <w:t>15267917074</w:t>
      </w:r>
    </w:p>
    <w:p w14:paraId="682C9652">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2、采购代理机构信息</w:t>
      </w:r>
    </w:p>
    <w:p w14:paraId="4BF0009A">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名称：金华正达工程造价咨询有限公司</w:t>
      </w:r>
    </w:p>
    <w:p w14:paraId="550E3D67">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地址：东阳市江北街道艺海北路292-1号二楼</w:t>
      </w:r>
    </w:p>
    <w:p w14:paraId="1FDC4524">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项目联系：王女士       项目联系方式：13511255666</w:t>
      </w:r>
    </w:p>
    <w:p w14:paraId="063E5090">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lang w:val="en-US" w:eastAsia="zh-CN"/>
        </w:rPr>
        <w:t>质疑</w:t>
      </w:r>
      <w:r>
        <w:rPr>
          <w:rFonts w:hint="eastAsia" w:ascii="宋体" w:hAnsi="宋体" w:cs="宋体"/>
          <w:b/>
          <w:bCs/>
          <w:color w:val="auto"/>
          <w:sz w:val="24"/>
          <w:highlight w:val="none"/>
        </w:rPr>
        <w:t xml:space="preserve">联系：胡先生       </w:t>
      </w:r>
      <w:r>
        <w:rPr>
          <w:rFonts w:hint="eastAsia" w:ascii="宋体" w:hAnsi="宋体" w:cs="宋体"/>
          <w:b/>
          <w:bCs/>
          <w:color w:val="auto"/>
          <w:sz w:val="24"/>
          <w:highlight w:val="none"/>
          <w:lang w:val="en-US" w:eastAsia="zh-CN"/>
        </w:rPr>
        <w:t>质疑</w:t>
      </w:r>
      <w:r>
        <w:rPr>
          <w:rFonts w:hint="eastAsia" w:ascii="宋体" w:hAnsi="宋体" w:cs="宋体"/>
          <w:b/>
          <w:bCs/>
          <w:color w:val="auto"/>
          <w:sz w:val="24"/>
          <w:highlight w:val="none"/>
        </w:rPr>
        <w:t xml:space="preserve">联系方式：13516912657 </w:t>
      </w:r>
    </w:p>
    <w:p w14:paraId="49AA77AA">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 xml:space="preserve">3、同级政府采购监督管理部门：        </w:t>
      </w:r>
    </w:p>
    <w:p w14:paraId="7854F0F2">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 xml:space="preserve">名称：东阳市财政局采购办    </w:t>
      </w:r>
    </w:p>
    <w:p w14:paraId="32C9233D">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 xml:space="preserve">地址：东阳市人民北路8号     </w:t>
      </w:r>
    </w:p>
    <w:p w14:paraId="2F4477C9">
      <w:pPr>
        <w:snapToGrid w:val="0"/>
        <w:spacing w:line="440" w:lineRule="exact"/>
        <w:ind w:right="198" w:firstLine="482"/>
        <w:rPr>
          <w:rFonts w:ascii="宋体" w:hAnsi="宋体" w:cs="宋体"/>
          <w:b/>
          <w:bCs/>
          <w:color w:val="auto"/>
          <w:sz w:val="24"/>
          <w:highlight w:val="none"/>
        </w:rPr>
      </w:pPr>
      <w:r>
        <w:rPr>
          <w:rFonts w:hint="eastAsia" w:ascii="宋体" w:hAnsi="宋体" w:cs="宋体"/>
          <w:b/>
          <w:bCs/>
          <w:color w:val="auto"/>
          <w:sz w:val="24"/>
          <w:highlight w:val="none"/>
        </w:rPr>
        <w:t>监督投诉电话：0579-86662677</w:t>
      </w:r>
    </w:p>
    <w:p w14:paraId="3B0D33C1">
      <w:pPr>
        <w:snapToGrid w:val="0"/>
        <w:spacing w:line="440" w:lineRule="exact"/>
        <w:ind w:right="198" w:firstLine="482"/>
        <w:jc w:val="right"/>
        <w:rPr>
          <w:rFonts w:ascii="宋体" w:hAnsi="宋体" w:cs="宋体"/>
          <w:b/>
          <w:bCs/>
          <w:color w:val="auto"/>
          <w:sz w:val="24"/>
          <w:highlight w:val="none"/>
        </w:rPr>
      </w:pPr>
      <w:r>
        <w:rPr>
          <w:rFonts w:hint="eastAsia" w:ascii="宋体" w:hAnsi="宋体" w:cs="宋体"/>
          <w:b/>
          <w:bCs/>
          <w:color w:val="auto"/>
          <w:sz w:val="24"/>
          <w:highlight w:val="none"/>
        </w:rPr>
        <w:t>东阳市南市街道办事处</w:t>
      </w:r>
    </w:p>
    <w:p w14:paraId="65787FF3">
      <w:pPr>
        <w:snapToGrid w:val="0"/>
        <w:spacing w:line="440" w:lineRule="exact"/>
        <w:ind w:right="198" w:firstLine="482"/>
        <w:jc w:val="right"/>
        <w:rPr>
          <w:rFonts w:ascii="宋体" w:hAnsi="宋体" w:cs="宋体"/>
          <w:b/>
          <w:bCs/>
          <w:color w:val="auto"/>
          <w:sz w:val="24"/>
          <w:highlight w:val="none"/>
        </w:rPr>
      </w:pPr>
      <w:r>
        <w:rPr>
          <w:rFonts w:hint="eastAsia" w:ascii="宋体" w:hAnsi="宋体" w:cs="宋体"/>
          <w:b/>
          <w:bCs/>
          <w:color w:val="auto"/>
          <w:sz w:val="24"/>
          <w:highlight w:val="none"/>
        </w:rPr>
        <w:t>金华正达工程造价咨询有限公司</w:t>
      </w:r>
    </w:p>
    <w:p w14:paraId="7D028DD9">
      <w:pPr>
        <w:snapToGrid w:val="0"/>
        <w:spacing w:line="440" w:lineRule="exact"/>
        <w:ind w:right="198" w:firstLine="6480" w:firstLineChars="2700"/>
        <w:rPr>
          <w:rFonts w:ascii="宋体" w:hAnsi="宋体" w:cs="宋体"/>
          <w:b/>
          <w:bCs/>
          <w:color w:val="auto"/>
          <w:sz w:val="24"/>
          <w:highlight w:val="none"/>
        </w:rPr>
      </w:pPr>
      <w:r>
        <w:rPr>
          <w:rFonts w:hint="eastAsia" w:ascii="宋体" w:hAnsi="宋体" w:cs="宋体"/>
          <w:b/>
          <w:bCs/>
          <w:color w:val="auto"/>
          <w:sz w:val="24"/>
          <w:highlight w:val="none"/>
        </w:rPr>
        <w:t>2024年</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 xml:space="preserve"> 日</w:t>
      </w:r>
    </w:p>
    <w:p w14:paraId="1E701139">
      <w:pPr>
        <w:snapToGrid w:val="0"/>
        <w:spacing w:line="440" w:lineRule="exact"/>
        <w:ind w:right="198" w:firstLine="440"/>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若对项目采购电子交易系统操作有疑问，可登录政采云（https://www.zcygov.cn/），点击右侧咨询小采，获取采小蜜智能服务管家帮助，或拨打政采云服务热线400-881-7190获取热线服务帮助。</w:t>
      </w:r>
    </w:p>
    <w:p w14:paraId="12D4DCA4">
      <w:pPr>
        <w:spacing w:line="480" w:lineRule="auto"/>
        <w:ind w:firstLine="44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CA问题联系电话（人工）：汇信CA 400-888-4636；天谷CA 400-087-8198。</w:t>
      </w:r>
    </w:p>
    <w:p w14:paraId="62804648">
      <w:pPr>
        <w:spacing w:line="480" w:lineRule="auto"/>
        <w:ind w:firstLine="440"/>
        <w:jc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 </w:t>
      </w:r>
    </w:p>
    <w:p w14:paraId="27621A17">
      <w:pPr>
        <w:widowControl/>
        <w:jc w:val="left"/>
        <w:rPr>
          <w:rFonts w:ascii="黑体" w:hAnsi="黑体" w:eastAsia="黑体" w:cs="黑体"/>
          <w:b/>
          <w:bCs/>
          <w:color w:val="auto"/>
          <w:sz w:val="32"/>
          <w:szCs w:val="32"/>
          <w:highlight w:val="none"/>
        </w:rPr>
      </w:pPr>
    </w:p>
    <w:p w14:paraId="414D0133">
      <w:pPr>
        <w:spacing w:line="480" w:lineRule="auto"/>
        <w:ind w:firstLine="643"/>
        <w:jc w:val="center"/>
        <w:rPr>
          <w:color w:val="auto"/>
          <w:sz w:val="32"/>
          <w:szCs w:val="32"/>
          <w:highlight w:val="none"/>
        </w:rPr>
      </w:pPr>
      <w:r>
        <w:rPr>
          <w:rFonts w:hint="eastAsia" w:ascii="黑体" w:hAnsi="黑体" w:eastAsia="黑体" w:cs="黑体"/>
          <w:b/>
          <w:bCs/>
          <w:color w:val="auto"/>
          <w:sz w:val="32"/>
          <w:szCs w:val="32"/>
          <w:highlight w:val="none"/>
        </w:rPr>
        <w:t>政府采购金融服务简介</w:t>
      </w:r>
    </w:p>
    <w:p w14:paraId="0A0D05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为优化政府采购营商环境，缓解供应商资金难题，有需要的中标供应商可根据需要申请办理政府采购合同贷款（以下简称“政采贷”）、履约保函、预付款保函等政府采购金融服务。</w:t>
      </w:r>
    </w:p>
    <w:p w14:paraId="6437B1E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、政采贷</w:t>
      </w:r>
    </w:p>
    <w:p w14:paraId="7FD85E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14:paraId="15A7D4F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具体要求、条件和操作教程可通过政采云首页右上角</w:t>
      </w:r>
      <w:r>
        <w:rPr>
          <w:rFonts w:ascii="宋体" w:hAnsi="宋体" w:cs="宋体"/>
          <w:color w:val="auto"/>
          <w:sz w:val="24"/>
          <w:highlight w:val="none"/>
        </w:rPr>
        <w:t>——</w:t>
      </w:r>
      <w:r>
        <w:rPr>
          <w:rFonts w:hint="eastAsia" w:ascii="宋体" w:hAnsi="宋体" w:cs="宋体"/>
          <w:color w:val="auto"/>
          <w:sz w:val="24"/>
          <w:highlight w:val="none"/>
        </w:rPr>
        <w:t>网站导航</w:t>
      </w:r>
      <w:r>
        <w:rPr>
          <w:rFonts w:ascii="宋体" w:hAnsi="宋体" w:cs="宋体"/>
          <w:color w:val="auto"/>
          <w:sz w:val="24"/>
          <w:highlight w:val="none"/>
        </w:rPr>
        <w:t>——</w:t>
      </w:r>
      <w:r>
        <w:rPr>
          <w:rFonts w:hint="eastAsia" w:ascii="宋体" w:hAnsi="宋体" w:cs="宋体"/>
          <w:color w:val="auto"/>
          <w:sz w:val="24"/>
          <w:highlight w:val="none"/>
        </w:rPr>
        <w:t>金融服务查看，也可拨打政采云客服热线</w:t>
      </w:r>
      <w:r>
        <w:rPr>
          <w:rFonts w:ascii="宋体" w:hAnsi="宋体" w:cs="宋体"/>
          <w:color w:val="auto"/>
          <w:sz w:val="24"/>
          <w:highlight w:val="none"/>
        </w:rPr>
        <w:t>400-881-7190</w:t>
      </w:r>
      <w:r>
        <w:rPr>
          <w:rFonts w:hint="eastAsia" w:ascii="宋体" w:hAnsi="宋体" w:cs="宋体"/>
          <w:color w:val="auto"/>
          <w:sz w:val="24"/>
          <w:highlight w:val="none"/>
        </w:rPr>
        <w:t>咨询，也可查看公告附件中的相关宣传资料，或向各地已开通政采贷的银行咨询办理。</w:t>
      </w:r>
    </w:p>
    <w:p w14:paraId="674B29F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、履约保函</w:t>
      </w:r>
    </w:p>
    <w:p w14:paraId="1D41E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中标供应商可通过以保函的形式提交履约保证金，减少对中小微企业的资金占用，降低财务成本。具体的条件、要求和操作程序由申请贷款的中标供应商向各地保险公司、银行咨询办理。</w:t>
      </w:r>
    </w:p>
    <w:p w14:paraId="045243C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风险提示</w:t>
      </w:r>
    </w:p>
    <w:p w14:paraId="41255E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）本宣传简介内容仅为提供给各中标供应商对办理政府采购金融服务的宣传和了解之方便，对金融服务的具体内容和操作流程均以各金融机构的要求为准，也不作强制要求。</w:t>
      </w:r>
    </w:p>
    <w:p w14:paraId="757600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）政府采购金融服务有风险，请详细了解并综合评估后再决定。</w:t>
      </w:r>
    </w:p>
    <w:p w14:paraId="47341A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）政府采购金融服务遵循平等自愿、风险自担的原则。采购人、代理机构、财政部门不为任何政府采购金融服务项目承担任何形式的担保、解释或其他连带责任。</w:t>
      </w:r>
    </w:p>
    <w:p w14:paraId="1CCA57E3">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w:t>
      </w:r>
      <w:r>
        <w:rPr>
          <w:rFonts w:hint="eastAsia" w:ascii="宋体" w:hAnsi="宋体" w:cs="宋体"/>
          <w:color w:val="auto"/>
          <w:sz w:val="24"/>
          <w:highlight w:val="none"/>
        </w:rPr>
        <w:t>为扩大政府采购金融服务面，除政采云网上金融服务合作银行外，东阳市范围内增加浙商银行金华分行东阳支行作为线下合作银行。浙商银行金华东阳支行联系人：</w:t>
      </w:r>
      <w:r>
        <w:rPr>
          <w:rFonts w:hint="eastAsia" w:ascii="宋体" w:hAnsi="宋体" w:cs="宋体"/>
          <w:b/>
          <w:bCs/>
          <w:color w:val="auto"/>
          <w:sz w:val="24"/>
          <w:highlight w:val="none"/>
        </w:rPr>
        <w:t>许燕</w:t>
      </w:r>
    </w:p>
    <w:p w14:paraId="510F7A0E">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联系电话：13967983441    0579-86222992</w:t>
      </w:r>
    </w:p>
    <w:p w14:paraId="5AC6D9B9">
      <w:pPr>
        <w:pStyle w:val="42"/>
        <w:rPr>
          <w:color w:val="auto"/>
          <w:highlight w:val="none"/>
        </w:rPr>
      </w:pPr>
    </w:p>
    <w:p w14:paraId="7A6FC7AF">
      <w:pPr>
        <w:widowControl/>
        <w:spacing w:line="440" w:lineRule="exact"/>
        <w:ind w:firstLine="440"/>
        <w:jc w:val="left"/>
        <w:rPr>
          <w:rFonts w:ascii="宋体" w:hAnsi="宋体" w:cs="宋体"/>
          <w:color w:val="auto"/>
          <w:kern w:val="0"/>
          <w:sz w:val="22"/>
          <w:szCs w:val="22"/>
          <w:highlight w:val="none"/>
          <w:lang w:bidi="ar"/>
        </w:rPr>
      </w:pPr>
    </w:p>
    <w:p w14:paraId="0C9CDCF3">
      <w:pPr>
        <w:ind w:firstLine="723"/>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bookmarkStart w:id="0" w:name="_Toc323297325"/>
    </w:p>
    <w:bookmarkEnd w:id="0"/>
    <w:p w14:paraId="4DCEE3B1">
      <w:pPr>
        <w:snapToGrid w:val="0"/>
        <w:spacing w:line="360" w:lineRule="auto"/>
        <w:ind w:firstLine="723"/>
        <w:jc w:val="center"/>
        <w:rPr>
          <w:rFonts w:ascii="黑体" w:hAnsi="宋体" w:eastAsia="黑体"/>
          <w:color w:val="auto"/>
          <w:sz w:val="36"/>
          <w:szCs w:val="36"/>
          <w:highlight w:val="none"/>
        </w:rPr>
      </w:pPr>
      <w:r>
        <w:rPr>
          <w:rStyle w:val="241"/>
          <w:rFonts w:hint="eastAsia"/>
          <w:color w:val="auto"/>
          <w:sz w:val="36"/>
          <w:szCs w:val="36"/>
          <w:highlight w:val="none"/>
        </w:rPr>
        <w:t>第二章  招标需求</w:t>
      </w:r>
    </w:p>
    <w:p w14:paraId="1251A49C">
      <w:pPr>
        <w:snapToGrid w:val="0"/>
        <w:spacing w:line="360" w:lineRule="auto"/>
        <w:ind w:firstLine="482"/>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标项1：东阳市南市街道办事处食堂劳务服务项目招标需求</w:t>
      </w:r>
    </w:p>
    <w:p w14:paraId="1DA71A7D">
      <w:pPr>
        <w:snapToGrid w:val="0"/>
        <w:spacing w:line="360" w:lineRule="auto"/>
        <w:ind w:firstLine="482"/>
        <w:rPr>
          <w:rFonts w:hint="eastAsia" w:ascii="宋体" w:hAnsi="宋体" w:eastAsia="宋体" w:cs="宋体"/>
          <w:bCs/>
          <w:color w:val="auto"/>
          <w:sz w:val="24"/>
          <w:highlight w:val="none"/>
          <w:lang w:eastAsia="zh-CN"/>
        </w:rPr>
      </w:pPr>
      <w:r>
        <w:rPr>
          <w:rFonts w:hint="eastAsia" w:ascii="宋体" w:hAnsi="宋体" w:cs="宋体"/>
          <w:b/>
          <w:bCs/>
          <w:color w:val="auto"/>
          <w:sz w:val="24"/>
          <w:highlight w:val="none"/>
        </w:rPr>
        <w:t>一、项目编号：</w:t>
      </w:r>
      <w:r>
        <w:rPr>
          <w:rFonts w:hint="eastAsia" w:ascii="宋体" w:hAnsi="宋体" w:cs="Arial"/>
          <w:b/>
          <w:bCs/>
          <w:color w:val="auto"/>
          <w:sz w:val="24"/>
          <w:highlight w:val="none"/>
          <w:lang w:eastAsia="zh-CN"/>
        </w:rPr>
        <w:t>JHZD2024-016</w:t>
      </w:r>
    </w:p>
    <w:p w14:paraId="4BBAB555">
      <w:pPr>
        <w:snapToGrid w:val="0"/>
        <w:spacing w:line="360" w:lineRule="auto"/>
        <w:ind w:firstLine="482"/>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二、项目名称：</w:t>
      </w:r>
      <w:r>
        <w:rPr>
          <w:rFonts w:hint="eastAsia" w:ascii="宋体" w:hAnsi="宋体" w:cs="宋体"/>
          <w:b/>
          <w:color w:val="auto"/>
          <w:sz w:val="24"/>
          <w:highlight w:val="none"/>
          <w:lang w:val="en-US" w:eastAsia="zh-CN"/>
        </w:rPr>
        <w:t>东阳市南市街道办事处食堂劳务服务项目</w:t>
      </w:r>
    </w:p>
    <w:p w14:paraId="220874E2">
      <w:pPr>
        <w:snapToGrid w:val="0"/>
        <w:spacing w:line="360" w:lineRule="auto"/>
        <w:ind w:firstLine="482"/>
        <w:outlineLvl w:val="1"/>
        <w:rPr>
          <w:rFonts w:ascii="宋体" w:hAnsi="宋体" w:cs="宋体"/>
          <w:color w:val="auto"/>
          <w:sz w:val="24"/>
          <w:highlight w:val="none"/>
        </w:rPr>
      </w:pPr>
      <w:r>
        <w:rPr>
          <w:rFonts w:hint="eastAsia" w:ascii="宋体" w:hAnsi="宋体" w:cs="宋体"/>
          <w:b/>
          <w:color w:val="auto"/>
          <w:sz w:val="24"/>
          <w:highlight w:val="none"/>
        </w:rPr>
        <w:t>三、项目</w:t>
      </w:r>
      <w:r>
        <w:rPr>
          <w:rStyle w:val="242"/>
          <w:rFonts w:hint="eastAsia" w:ascii="宋体" w:hAnsi="宋体" w:cs="宋体"/>
          <w:color w:val="auto"/>
          <w:sz w:val="24"/>
          <w:szCs w:val="24"/>
          <w:highlight w:val="none"/>
        </w:rPr>
        <w:t>采购</w:t>
      </w:r>
      <w:r>
        <w:rPr>
          <w:rFonts w:hint="eastAsia" w:ascii="宋体" w:hAnsi="宋体" w:cs="宋体"/>
          <w:b/>
          <w:bCs/>
          <w:color w:val="auto"/>
          <w:kern w:val="0"/>
          <w:sz w:val="24"/>
          <w:highlight w:val="none"/>
        </w:rPr>
        <w:t>内容清单</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5813"/>
        <w:gridCol w:w="3040"/>
      </w:tblGrid>
      <w:tr w14:paraId="7DB4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14:paraId="004C3E66">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标项</w:t>
            </w:r>
          </w:p>
        </w:tc>
        <w:tc>
          <w:tcPr>
            <w:tcW w:w="2951" w:type="pct"/>
            <w:vAlign w:val="center"/>
          </w:tcPr>
          <w:p w14:paraId="2AEE6376">
            <w:pPr>
              <w:spacing w:line="360" w:lineRule="auto"/>
              <w:ind w:firstLine="482"/>
              <w:jc w:val="center"/>
              <w:rPr>
                <w:rFonts w:ascii="宋体" w:hAnsi="宋体" w:cs="宋体"/>
                <w:b/>
                <w:bCs/>
                <w:color w:val="auto"/>
                <w:sz w:val="24"/>
                <w:highlight w:val="none"/>
              </w:rPr>
            </w:pPr>
            <w:r>
              <w:rPr>
                <w:rFonts w:hint="eastAsia" w:ascii="宋体" w:hAnsi="宋体" w:cs="宋体"/>
                <w:b/>
                <w:bCs/>
                <w:color w:val="auto"/>
                <w:sz w:val="24"/>
                <w:highlight w:val="none"/>
              </w:rPr>
              <w:t>采购内容</w:t>
            </w:r>
          </w:p>
        </w:tc>
        <w:tc>
          <w:tcPr>
            <w:tcW w:w="1543" w:type="pct"/>
            <w:vAlign w:val="center"/>
          </w:tcPr>
          <w:p w14:paraId="32FC2EB5">
            <w:pPr>
              <w:spacing w:line="360" w:lineRule="auto"/>
              <w:ind w:firstLine="120" w:firstLineChars="50"/>
              <w:jc w:val="center"/>
              <w:rPr>
                <w:rFonts w:ascii="宋体" w:hAnsi="宋体" w:cs="宋体"/>
                <w:b/>
                <w:bCs/>
                <w:color w:val="auto"/>
                <w:sz w:val="24"/>
                <w:highlight w:val="none"/>
              </w:rPr>
            </w:pPr>
            <w:r>
              <w:rPr>
                <w:rFonts w:hint="eastAsia" w:ascii="宋体" w:hAnsi="宋体" w:cs="宋体"/>
                <w:b/>
                <w:bCs/>
                <w:color w:val="auto"/>
                <w:sz w:val="24"/>
                <w:highlight w:val="none"/>
              </w:rPr>
              <w:t>投标最高限价</w:t>
            </w:r>
          </w:p>
        </w:tc>
      </w:tr>
      <w:tr w14:paraId="227E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5" w:type="pct"/>
            <w:vAlign w:val="center"/>
          </w:tcPr>
          <w:p w14:paraId="0D807D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951" w:type="pct"/>
            <w:vAlign w:val="center"/>
          </w:tcPr>
          <w:p w14:paraId="3D49E627">
            <w:pPr>
              <w:pStyle w:val="24"/>
              <w:rPr>
                <w:color w:val="auto"/>
                <w:highlight w:val="none"/>
              </w:rPr>
            </w:pPr>
            <w:r>
              <w:rPr>
                <w:rFonts w:hint="eastAsia"/>
                <w:color w:val="auto"/>
                <w:highlight w:val="none"/>
                <w:lang w:eastAsia="zh-CN"/>
              </w:rPr>
              <w:t>东阳市南市街道办事处食堂劳务服务</w:t>
            </w:r>
          </w:p>
        </w:tc>
        <w:tc>
          <w:tcPr>
            <w:tcW w:w="1543" w:type="pct"/>
            <w:vAlign w:val="center"/>
          </w:tcPr>
          <w:p w14:paraId="07C753D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59</w:t>
            </w:r>
            <w:r>
              <w:rPr>
                <w:rFonts w:hint="eastAsia" w:ascii="宋体" w:hAnsi="宋体" w:cs="宋体"/>
                <w:color w:val="auto"/>
                <w:sz w:val="24"/>
                <w:highlight w:val="none"/>
              </w:rPr>
              <w:t>万元</w:t>
            </w:r>
          </w:p>
        </w:tc>
      </w:tr>
    </w:tbl>
    <w:p w14:paraId="7EF15E03">
      <w:pPr>
        <w:widowControl/>
        <w:snapToGrid w:val="0"/>
        <w:spacing w:after="50" w:line="360" w:lineRule="auto"/>
        <w:ind w:firstLine="480" w:firstLineChars="200"/>
        <w:rPr>
          <w:rFonts w:hint="eastAsia" w:ascii="宋体" w:hAnsi="宋体"/>
          <w:b/>
          <w:color w:val="auto"/>
          <w:kern w:val="0"/>
          <w:sz w:val="24"/>
          <w:highlight w:val="none"/>
        </w:rPr>
      </w:pPr>
      <w:r>
        <w:rPr>
          <w:rFonts w:hint="eastAsia" w:ascii="宋体" w:hAnsi="宋体"/>
          <w:b/>
          <w:color w:val="auto"/>
          <w:kern w:val="0"/>
          <w:sz w:val="24"/>
          <w:highlight w:val="none"/>
          <w:lang w:val="en-US" w:eastAsia="zh-CN"/>
        </w:rPr>
        <w:t>四</w:t>
      </w:r>
      <w:r>
        <w:rPr>
          <w:rFonts w:hint="eastAsia" w:ascii="宋体" w:hAnsi="宋体"/>
          <w:b/>
          <w:color w:val="auto"/>
          <w:kern w:val="0"/>
          <w:sz w:val="24"/>
          <w:highlight w:val="none"/>
        </w:rPr>
        <w:t>、项目概述</w:t>
      </w:r>
    </w:p>
    <w:p w14:paraId="64D55ECB">
      <w:pPr>
        <w:snapToGrid w:val="0"/>
        <w:spacing w:line="500" w:lineRule="exact"/>
        <w:ind w:firstLine="480" w:firstLineChars="200"/>
        <w:rPr>
          <w:rFonts w:hint="eastAsia" w:ascii="Times New Roman" w:hAnsi="宋体" w:eastAsia="宋体" w:cs="Arial"/>
          <w:color w:val="auto"/>
          <w:sz w:val="24"/>
          <w:highlight w:val="none"/>
        </w:rPr>
      </w:pPr>
      <w:r>
        <w:rPr>
          <w:rFonts w:hint="eastAsia" w:ascii="Times New Roman" w:hAnsi="宋体" w:eastAsia="宋体" w:cs="Arial"/>
          <w:color w:val="auto"/>
          <w:sz w:val="24"/>
          <w:highlight w:val="none"/>
        </w:rPr>
        <w:t>1、本次将以公开招标的形式，确定东阳市南市街道食堂服务外包单位</w:t>
      </w:r>
      <w:r>
        <w:rPr>
          <w:rFonts w:hint="eastAsia" w:ascii="Times New Roman" w:hAnsi="宋体" w:eastAsia="宋体" w:cs="Arial"/>
          <w:color w:val="auto"/>
          <w:sz w:val="24"/>
          <w:highlight w:val="none"/>
          <w:lang w:eastAsia="zh-CN"/>
        </w:rPr>
        <w:t>，主要包括</w:t>
      </w:r>
      <w:r>
        <w:rPr>
          <w:rFonts w:hint="eastAsia" w:ascii="Times New Roman" w:hAnsi="宋体" w:eastAsia="宋体" w:cs="Arial"/>
          <w:color w:val="auto"/>
          <w:sz w:val="24"/>
          <w:highlight w:val="none"/>
        </w:rPr>
        <w:t>东阳市南市街道</w:t>
      </w:r>
      <w:r>
        <w:rPr>
          <w:rFonts w:hint="eastAsia" w:ascii="Times New Roman" w:hAnsi="宋体" w:eastAsia="宋体" w:cs="Arial"/>
          <w:color w:val="auto"/>
          <w:sz w:val="24"/>
          <w:highlight w:val="none"/>
          <w:lang w:eastAsia="zh-CN"/>
        </w:rPr>
        <w:t>范围内的机关食堂、大联片食堂、槐堂片食堂和交警中队、南溪片食堂及行政执法食堂</w:t>
      </w:r>
      <w:r>
        <w:rPr>
          <w:rFonts w:hint="eastAsia" w:ascii="Times New Roman" w:hAnsi="宋体" w:eastAsia="宋体" w:cs="Arial"/>
          <w:color w:val="auto"/>
          <w:sz w:val="24"/>
          <w:highlight w:val="none"/>
        </w:rPr>
        <w:t>。</w:t>
      </w:r>
    </w:p>
    <w:p w14:paraId="248D65CD">
      <w:pPr>
        <w:snapToGrid w:val="0"/>
        <w:spacing w:line="500" w:lineRule="exact"/>
        <w:ind w:firstLine="480" w:firstLineChars="200"/>
        <w:rPr>
          <w:rFonts w:hint="eastAsia" w:ascii="Times New Roman" w:hAnsi="宋体" w:eastAsia="宋体" w:cs="Arial"/>
          <w:color w:val="auto"/>
          <w:sz w:val="24"/>
          <w:highlight w:val="none"/>
        </w:rPr>
      </w:pPr>
      <w:r>
        <w:rPr>
          <w:rFonts w:hint="eastAsia" w:ascii="Times New Roman" w:hAnsi="宋体" w:eastAsia="宋体" w:cs="Arial"/>
          <w:color w:val="auto"/>
          <w:sz w:val="24"/>
          <w:highlight w:val="none"/>
        </w:rPr>
        <w:t>2、投标人参加报名后，必须就招标文件中全部服务进行投标（要约）。</w:t>
      </w:r>
    </w:p>
    <w:p w14:paraId="402FF68D">
      <w:pPr>
        <w:snapToGrid w:val="0"/>
        <w:spacing w:line="500" w:lineRule="exact"/>
        <w:ind w:firstLine="480" w:firstLineChars="200"/>
        <w:rPr>
          <w:rFonts w:hint="eastAsia"/>
          <w:color w:val="auto"/>
          <w:sz w:val="24"/>
          <w:highlight w:val="none"/>
        </w:rPr>
      </w:pPr>
      <w:r>
        <w:rPr>
          <w:rFonts w:hint="eastAsia" w:ascii="Times New Roman" w:hAnsi="宋体" w:eastAsia="宋体" w:cs="Arial"/>
          <w:color w:val="auto"/>
          <w:sz w:val="24"/>
          <w:highlight w:val="none"/>
        </w:rPr>
        <w:t>3、投标报价系指招标文件所确定的投标范围内全部食品加工服务内</w:t>
      </w:r>
      <w:r>
        <w:rPr>
          <w:color w:val="auto"/>
          <w:sz w:val="24"/>
          <w:highlight w:val="none"/>
        </w:rPr>
        <w:t>容的价格体现，包括合同签订生效后人力投入、卫生管理、安全生产、健康（证）体检、教育培训、员工工资、员工着装、</w:t>
      </w:r>
      <w:r>
        <w:rPr>
          <w:rFonts w:hint="eastAsia" w:hAnsi="宋体" w:cs="Arial"/>
          <w:color w:val="auto"/>
          <w:sz w:val="24"/>
          <w:highlight w:val="none"/>
        </w:rPr>
        <w:t>洗刷工具、洗涤消毒用品、</w:t>
      </w:r>
      <w:r>
        <w:rPr>
          <w:color w:val="auto"/>
          <w:sz w:val="24"/>
          <w:highlight w:val="none"/>
        </w:rPr>
        <w:t>福利保障、员工住宿、奖金、劳保用品、管理费、保险、</w:t>
      </w:r>
      <w:r>
        <w:rPr>
          <w:rFonts w:hint="eastAsia"/>
          <w:color w:val="auto"/>
          <w:sz w:val="24"/>
          <w:highlight w:val="none"/>
        </w:rPr>
        <w:t>采购代理服务费、</w:t>
      </w:r>
      <w:r>
        <w:rPr>
          <w:color w:val="auto"/>
          <w:sz w:val="24"/>
          <w:highlight w:val="none"/>
        </w:rPr>
        <w:t>利润和税金、政策性文件规定及合同包含的所有与劳务承包服务有关的风险及责任等各项应有费用</w:t>
      </w:r>
      <w:r>
        <w:rPr>
          <w:rFonts w:hint="eastAsia"/>
          <w:color w:val="auto"/>
          <w:sz w:val="24"/>
          <w:highlight w:val="none"/>
        </w:rPr>
        <w:t>。</w:t>
      </w:r>
      <w:r>
        <w:rPr>
          <w:color w:val="auto"/>
          <w:sz w:val="24"/>
          <w:highlight w:val="none"/>
        </w:rPr>
        <w:t>投标人在取得中标资格后，</w:t>
      </w:r>
      <w:r>
        <w:rPr>
          <w:rFonts w:hint="eastAsia"/>
          <w:color w:val="auto"/>
          <w:sz w:val="24"/>
          <w:highlight w:val="none"/>
        </w:rPr>
        <w:t>投标报价即为中标价和合同价。</w:t>
      </w:r>
    </w:p>
    <w:p w14:paraId="06CC48BF">
      <w:pPr>
        <w:widowControl/>
        <w:snapToGrid w:val="0"/>
        <w:spacing w:after="50" w:line="360" w:lineRule="exact"/>
        <w:ind w:left="239" w:leftChars="114" w:firstLine="240" w:firstLineChars="100"/>
        <w:rPr>
          <w:rFonts w:hint="eastAsia"/>
          <w:b/>
          <w:color w:val="auto"/>
          <w:sz w:val="24"/>
          <w:highlight w:val="none"/>
          <w:lang w:val="zh-CN"/>
        </w:rPr>
      </w:pPr>
      <w:r>
        <w:rPr>
          <w:rFonts w:hint="eastAsia"/>
          <w:b/>
          <w:color w:val="auto"/>
          <w:sz w:val="24"/>
          <w:highlight w:val="none"/>
          <w:lang w:val="en-US" w:eastAsia="zh-CN"/>
        </w:rPr>
        <w:t>五</w:t>
      </w:r>
      <w:r>
        <w:rPr>
          <w:rFonts w:hint="eastAsia"/>
          <w:b/>
          <w:color w:val="auto"/>
          <w:sz w:val="24"/>
          <w:highlight w:val="none"/>
          <w:lang w:val="zh-CN"/>
        </w:rPr>
        <w:t>、承包年限：</w:t>
      </w:r>
    </w:p>
    <w:p w14:paraId="2B39086A">
      <w:pPr>
        <w:widowControl/>
        <w:snapToGrid w:val="0"/>
        <w:spacing w:after="50" w:line="360" w:lineRule="auto"/>
        <w:ind w:left="239" w:leftChars="114" w:firstLine="240" w:firstLineChars="100"/>
        <w:rPr>
          <w:rFonts w:hint="eastAsia" w:ascii="宋体" w:hAnsi="宋体"/>
          <w:color w:val="auto"/>
          <w:kern w:val="0"/>
          <w:sz w:val="24"/>
          <w:highlight w:val="none"/>
          <w:lang w:val="zh-CN"/>
        </w:rPr>
      </w:pPr>
      <w:r>
        <w:rPr>
          <w:rFonts w:hint="eastAsia"/>
          <w:color w:val="auto"/>
          <w:sz w:val="24"/>
          <w:highlight w:val="none"/>
          <w:lang w:val="zh-CN"/>
        </w:rPr>
        <w:t>1、</w:t>
      </w:r>
      <w:r>
        <w:rPr>
          <w:rFonts w:hint="eastAsia" w:ascii="宋体" w:hAnsi="宋体"/>
          <w:color w:val="auto"/>
          <w:kern w:val="0"/>
          <w:sz w:val="24"/>
          <w:highlight w:val="none"/>
          <w:lang w:val="zh-CN"/>
        </w:rPr>
        <w:t>本次招标的</w:t>
      </w:r>
      <w:r>
        <w:rPr>
          <w:rFonts w:hint="eastAsia" w:ascii="宋体" w:hAnsi="宋体"/>
          <w:color w:val="auto"/>
          <w:kern w:val="0"/>
          <w:sz w:val="24"/>
          <w:highlight w:val="none"/>
        </w:rPr>
        <w:t>食堂服务外包</w:t>
      </w:r>
      <w:r>
        <w:rPr>
          <w:rFonts w:hint="eastAsia" w:ascii="宋体" w:hAnsi="宋体"/>
          <w:color w:val="auto"/>
          <w:kern w:val="0"/>
          <w:sz w:val="24"/>
          <w:highlight w:val="none"/>
          <w:lang w:val="zh-CN"/>
        </w:rPr>
        <w:t>有效服务时间为一年（自合同签订之日起开始计算），如遇运营有变动，由双方进行协商解决。</w:t>
      </w:r>
    </w:p>
    <w:p w14:paraId="5C2C0989">
      <w:pPr>
        <w:snapToGrid w:val="0"/>
        <w:spacing w:line="360" w:lineRule="auto"/>
        <w:ind w:firstLine="480" w:firstLineChars="200"/>
        <w:rPr>
          <w:rFonts w:hint="eastAsia"/>
          <w:color w:val="auto"/>
          <w:sz w:val="24"/>
          <w:highlight w:val="none"/>
        </w:rPr>
      </w:pPr>
      <w:r>
        <w:rPr>
          <w:rFonts w:hint="eastAsia" w:ascii="宋体" w:hAnsi="宋体"/>
          <w:color w:val="auto"/>
          <w:kern w:val="0"/>
          <w:sz w:val="24"/>
          <w:highlight w:val="none"/>
          <w:lang w:val="zh-CN"/>
        </w:rPr>
        <w:t>2、</w:t>
      </w:r>
      <w:r>
        <w:rPr>
          <w:color w:val="auto"/>
          <w:sz w:val="24"/>
          <w:highlight w:val="none"/>
        </w:rPr>
        <w:t>本招标文件中带“</w:t>
      </w:r>
      <w:r>
        <w:rPr>
          <w:rFonts w:hint="eastAsia"/>
          <w:color w:val="auto"/>
          <w:sz w:val="24"/>
          <w:highlight w:val="none"/>
        </w:rPr>
        <w:t>▲</w:t>
      </w:r>
      <w:r>
        <w:rPr>
          <w:color w:val="auto"/>
          <w:sz w:val="24"/>
          <w:highlight w:val="none"/>
        </w:rPr>
        <w:t>”的有关技术和商务条款为实质性条款，投标人必须在投标文件中作出实质性响应</w:t>
      </w:r>
      <w:r>
        <w:rPr>
          <w:rFonts w:hint="eastAsia"/>
          <w:color w:val="auto"/>
          <w:sz w:val="24"/>
          <w:highlight w:val="none"/>
        </w:rPr>
        <w:t>。</w:t>
      </w:r>
    </w:p>
    <w:p w14:paraId="6483A0B7">
      <w:pPr>
        <w:snapToGrid w:val="0"/>
        <w:spacing w:line="500" w:lineRule="exact"/>
        <w:ind w:firstLine="480" w:firstLineChars="200"/>
        <w:rPr>
          <w:rFonts w:hint="eastAsia"/>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b/>
          <w:color w:val="auto"/>
          <w:sz w:val="24"/>
          <w:highlight w:val="none"/>
        </w:rPr>
        <w:t>服务内容</w:t>
      </w:r>
    </w:p>
    <w:p w14:paraId="44CDD0FC">
      <w:pPr>
        <w:snapToGrid w:val="0"/>
        <w:spacing w:line="500" w:lineRule="exact"/>
        <w:ind w:firstLine="480"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rPr>
        <w:t>▲1、街道5个食堂每天正常供应，街道机关食堂工作日早、中餐各约90人/次、晚餐约10人/次</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节假日非工作日中餐、晚餐各约10人/次</w:t>
      </w:r>
      <w:r>
        <w:rPr>
          <w:rFonts w:hint="eastAsia" w:ascii="宋体" w:hAnsi="宋体" w:cs="宋体"/>
          <w:b/>
          <w:bCs w:val="0"/>
          <w:color w:val="auto"/>
          <w:sz w:val="24"/>
          <w:highlight w:val="none"/>
        </w:rPr>
        <w:t>；槐堂工作片</w:t>
      </w:r>
      <w:r>
        <w:rPr>
          <w:rFonts w:hint="eastAsia" w:ascii="宋体" w:hAnsi="宋体" w:cs="宋体"/>
          <w:b/>
          <w:bCs w:val="0"/>
          <w:color w:val="auto"/>
          <w:sz w:val="24"/>
          <w:highlight w:val="none"/>
          <w:lang w:eastAsia="zh-CN"/>
        </w:rPr>
        <w:t>和交警中队</w:t>
      </w:r>
      <w:r>
        <w:rPr>
          <w:rFonts w:hint="eastAsia" w:ascii="宋体" w:hAnsi="宋体" w:cs="宋体"/>
          <w:b/>
          <w:bCs w:val="0"/>
          <w:color w:val="auto"/>
          <w:sz w:val="24"/>
          <w:highlight w:val="none"/>
        </w:rPr>
        <w:t>食堂</w:t>
      </w:r>
      <w:r>
        <w:rPr>
          <w:rFonts w:hint="eastAsia" w:ascii="宋体" w:hAnsi="宋体" w:cs="宋体"/>
          <w:b/>
          <w:bCs w:val="0"/>
          <w:color w:val="auto"/>
          <w:sz w:val="24"/>
          <w:highlight w:val="none"/>
          <w:lang w:eastAsia="zh-CN"/>
        </w:rPr>
        <w:t>工作日</w:t>
      </w:r>
      <w:r>
        <w:rPr>
          <w:rFonts w:hint="eastAsia" w:ascii="宋体" w:hAnsi="宋体" w:cs="宋体"/>
          <w:b/>
          <w:bCs w:val="0"/>
          <w:color w:val="auto"/>
          <w:sz w:val="24"/>
          <w:highlight w:val="none"/>
        </w:rPr>
        <w:t>早、中餐各约</w:t>
      </w:r>
      <w:r>
        <w:rPr>
          <w:rFonts w:hint="eastAsia" w:ascii="宋体" w:hAnsi="宋体" w:cs="宋体"/>
          <w:b/>
          <w:bCs w:val="0"/>
          <w:color w:val="auto"/>
          <w:sz w:val="24"/>
          <w:highlight w:val="none"/>
          <w:lang w:val="en-US" w:eastAsia="zh-CN"/>
        </w:rPr>
        <w:t>50</w:t>
      </w:r>
      <w:r>
        <w:rPr>
          <w:rFonts w:hint="eastAsia" w:ascii="宋体" w:hAnsi="宋体" w:cs="宋体"/>
          <w:b/>
          <w:bCs w:val="0"/>
          <w:color w:val="auto"/>
          <w:sz w:val="24"/>
          <w:highlight w:val="none"/>
        </w:rPr>
        <w:t>人/次，</w:t>
      </w:r>
      <w:r>
        <w:rPr>
          <w:rFonts w:hint="eastAsia" w:ascii="宋体" w:hAnsi="宋体" w:cs="宋体"/>
          <w:b/>
          <w:bCs w:val="0"/>
          <w:color w:val="auto"/>
          <w:sz w:val="24"/>
          <w:highlight w:val="none"/>
          <w:lang w:eastAsia="zh-CN"/>
        </w:rPr>
        <w:t>晚餐</w:t>
      </w:r>
      <w:r>
        <w:rPr>
          <w:rFonts w:hint="eastAsia" w:ascii="宋体" w:hAnsi="宋体" w:cs="宋体"/>
          <w:b/>
          <w:bCs w:val="0"/>
          <w:color w:val="auto"/>
          <w:sz w:val="24"/>
          <w:highlight w:val="none"/>
          <w:lang w:val="en-US" w:eastAsia="zh-CN"/>
        </w:rPr>
        <w:t>20人/次，节假日、非工作日早中晚三餐各约20人/次</w:t>
      </w:r>
      <w:r>
        <w:rPr>
          <w:rFonts w:hint="eastAsia" w:ascii="宋体" w:hAnsi="宋体" w:cs="宋体"/>
          <w:b/>
          <w:bCs w:val="0"/>
          <w:color w:val="auto"/>
          <w:sz w:val="24"/>
          <w:highlight w:val="none"/>
        </w:rPr>
        <w:t>；南溪工作片食堂早、中餐各约20人/次；大联工作片食堂早、中餐各约40人/次；行政执法食堂早、中餐各约</w:t>
      </w:r>
      <w:r>
        <w:rPr>
          <w:rFonts w:hint="eastAsia" w:ascii="宋体" w:hAnsi="宋体" w:cs="宋体"/>
          <w:b/>
          <w:bCs w:val="0"/>
          <w:color w:val="auto"/>
          <w:sz w:val="24"/>
          <w:highlight w:val="none"/>
          <w:lang w:val="en-US" w:eastAsia="zh-CN"/>
        </w:rPr>
        <w:t>6</w:t>
      </w:r>
      <w:r>
        <w:rPr>
          <w:rFonts w:hint="eastAsia" w:ascii="宋体" w:hAnsi="宋体" w:cs="宋体"/>
          <w:b/>
          <w:bCs w:val="0"/>
          <w:color w:val="auto"/>
          <w:sz w:val="24"/>
          <w:highlight w:val="none"/>
        </w:rPr>
        <w:t>人/次。</w:t>
      </w:r>
      <w:r>
        <w:rPr>
          <w:rFonts w:hint="eastAsia" w:ascii="宋体" w:hAnsi="宋体" w:cs="宋体"/>
          <w:b/>
          <w:bCs w:val="0"/>
          <w:color w:val="auto"/>
          <w:sz w:val="24"/>
          <w:highlight w:val="none"/>
          <w:lang w:val="en-US" w:eastAsia="zh-CN"/>
        </w:rPr>
        <w:t>各食堂临时性加班加餐</w:t>
      </w:r>
      <w:r>
        <w:rPr>
          <w:rFonts w:hint="eastAsia" w:ascii="宋体" w:hAnsi="宋体" w:cs="宋体"/>
          <w:b/>
          <w:bCs w:val="0"/>
          <w:color w:val="auto"/>
          <w:sz w:val="24"/>
          <w:highlight w:val="none"/>
        </w:rPr>
        <w:t>、招待餐根据街道工作安排提供,发生的费用不再另行支付。</w:t>
      </w:r>
    </w:p>
    <w:p w14:paraId="2ED5E37D">
      <w:pPr>
        <w:snapToGrid w:val="0"/>
        <w:spacing w:line="500" w:lineRule="exact"/>
        <w:ind w:firstLine="480" w:firstLineChars="200"/>
        <w:rPr>
          <w:color w:val="auto"/>
          <w:sz w:val="24"/>
          <w:highlight w:val="none"/>
        </w:rPr>
      </w:pPr>
      <w:r>
        <w:rPr>
          <w:rFonts w:hint="eastAsia"/>
          <w:color w:val="auto"/>
          <w:sz w:val="24"/>
          <w:highlight w:val="none"/>
        </w:rPr>
        <w:t>2</w:t>
      </w:r>
      <w:r>
        <w:rPr>
          <w:color w:val="auto"/>
          <w:sz w:val="24"/>
          <w:highlight w:val="none"/>
        </w:rPr>
        <w:t>、用餐标准：</w:t>
      </w:r>
    </w:p>
    <w:p w14:paraId="3C6B92F1">
      <w:pPr>
        <w:snapToGrid w:val="0"/>
        <w:spacing w:line="500" w:lineRule="exact"/>
        <w:ind w:firstLine="480" w:firstLineChars="200"/>
        <w:rPr>
          <w:color w:val="auto"/>
          <w:sz w:val="24"/>
          <w:highlight w:val="none"/>
        </w:rPr>
      </w:pPr>
      <w:r>
        <w:rPr>
          <w:color w:val="auto"/>
          <w:sz w:val="24"/>
          <w:highlight w:val="none"/>
        </w:rPr>
        <w:t>（1）早餐标准：每餐主食供应不少于3种；</w:t>
      </w:r>
    </w:p>
    <w:p w14:paraId="7966AA29">
      <w:pPr>
        <w:snapToGrid w:val="0"/>
        <w:spacing w:line="500" w:lineRule="exact"/>
        <w:ind w:firstLine="480" w:firstLineChars="200"/>
        <w:rPr>
          <w:color w:val="auto"/>
          <w:sz w:val="24"/>
          <w:highlight w:val="none"/>
        </w:rPr>
      </w:pPr>
      <w:r>
        <w:rPr>
          <w:color w:val="auto"/>
          <w:sz w:val="24"/>
          <w:highlight w:val="none"/>
        </w:rPr>
        <w:t>（2）中晚餐标准：菜肴品种不少于</w:t>
      </w:r>
      <w:r>
        <w:rPr>
          <w:rFonts w:hint="eastAsia"/>
          <w:color w:val="auto"/>
          <w:sz w:val="24"/>
          <w:highlight w:val="none"/>
        </w:rPr>
        <w:t>6</w:t>
      </w:r>
      <w:r>
        <w:rPr>
          <w:color w:val="auto"/>
          <w:sz w:val="24"/>
          <w:highlight w:val="none"/>
        </w:rPr>
        <w:t>种，荤</w:t>
      </w:r>
      <w:r>
        <w:rPr>
          <w:rFonts w:hint="eastAsia"/>
          <w:color w:val="auto"/>
          <w:sz w:val="24"/>
          <w:highlight w:val="none"/>
        </w:rPr>
        <w:t>菜2个以上</w:t>
      </w:r>
      <w:r>
        <w:rPr>
          <w:color w:val="auto"/>
          <w:sz w:val="24"/>
          <w:highlight w:val="none"/>
        </w:rPr>
        <w:t>，晚餐可根据实际情况适当减少菜肴品种。</w:t>
      </w:r>
    </w:p>
    <w:p w14:paraId="4F3C4C4D">
      <w:pPr>
        <w:snapToGrid w:val="0"/>
        <w:spacing w:line="500" w:lineRule="exact"/>
        <w:ind w:firstLine="480" w:firstLineChars="200"/>
        <w:rPr>
          <w:color w:val="auto"/>
          <w:sz w:val="24"/>
          <w:highlight w:val="none"/>
        </w:rPr>
      </w:pPr>
      <w:r>
        <w:rPr>
          <w:rFonts w:hint="eastAsia"/>
          <w:color w:val="auto"/>
          <w:sz w:val="24"/>
          <w:highlight w:val="none"/>
        </w:rPr>
        <w:t>3</w:t>
      </w:r>
      <w:r>
        <w:rPr>
          <w:color w:val="auto"/>
          <w:sz w:val="24"/>
          <w:highlight w:val="none"/>
        </w:rPr>
        <w:t>、负责夏季凉茶、绿豆汤等</w:t>
      </w:r>
      <w:r>
        <w:rPr>
          <w:rFonts w:hint="eastAsia"/>
          <w:color w:val="auto"/>
          <w:sz w:val="24"/>
          <w:highlight w:val="none"/>
        </w:rPr>
        <w:t>消暑饮品</w:t>
      </w:r>
      <w:r>
        <w:rPr>
          <w:color w:val="auto"/>
          <w:sz w:val="24"/>
          <w:highlight w:val="none"/>
        </w:rPr>
        <w:t>。</w:t>
      </w:r>
    </w:p>
    <w:p w14:paraId="6B03503A">
      <w:pPr>
        <w:snapToGrid w:val="0"/>
        <w:spacing w:line="500" w:lineRule="exact"/>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提供工作人员便利服务</w:t>
      </w:r>
      <w:r>
        <w:rPr>
          <w:color w:val="auto"/>
          <w:sz w:val="24"/>
          <w:highlight w:val="none"/>
        </w:rPr>
        <w:t>。</w:t>
      </w:r>
    </w:p>
    <w:p w14:paraId="592E6DB7">
      <w:pPr>
        <w:snapToGrid w:val="0"/>
        <w:spacing w:line="500" w:lineRule="exact"/>
        <w:ind w:firstLine="480" w:firstLineChars="200"/>
        <w:rPr>
          <w:color w:val="auto"/>
          <w:sz w:val="24"/>
          <w:highlight w:val="none"/>
        </w:rPr>
      </w:pPr>
      <w:r>
        <w:rPr>
          <w:rFonts w:hint="eastAsia"/>
          <w:color w:val="auto"/>
          <w:sz w:val="24"/>
          <w:highlight w:val="none"/>
        </w:rPr>
        <w:t>5</w:t>
      </w:r>
      <w:r>
        <w:rPr>
          <w:color w:val="auto"/>
          <w:sz w:val="24"/>
          <w:highlight w:val="none"/>
        </w:rPr>
        <w:t>、传统节日提供特色食品（以自制为主）。</w:t>
      </w:r>
    </w:p>
    <w:p w14:paraId="60CB95EB">
      <w:pPr>
        <w:snapToGrid w:val="0"/>
        <w:spacing w:line="500" w:lineRule="exact"/>
        <w:ind w:firstLine="480" w:firstLineChars="200"/>
        <w:rPr>
          <w:color w:val="auto"/>
          <w:sz w:val="24"/>
          <w:highlight w:val="none"/>
        </w:rPr>
      </w:pPr>
      <w:r>
        <w:rPr>
          <w:rFonts w:hint="eastAsia"/>
          <w:color w:val="auto"/>
          <w:sz w:val="24"/>
          <w:highlight w:val="none"/>
        </w:rPr>
        <w:t>6</w:t>
      </w:r>
      <w:r>
        <w:rPr>
          <w:color w:val="auto"/>
          <w:sz w:val="24"/>
          <w:highlight w:val="none"/>
        </w:rPr>
        <w:t>、冬季食品的保温工作（冷菜除外）。</w:t>
      </w:r>
    </w:p>
    <w:p w14:paraId="6DC27C07">
      <w:pPr>
        <w:snapToGrid w:val="0"/>
        <w:spacing w:line="500" w:lineRule="exact"/>
        <w:ind w:firstLine="480" w:firstLineChars="200"/>
        <w:rPr>
          <w:color w:val="auto"/>
          <w:sz w:val="24"/>
          <w:highlight w:val="none"/>
        </w:rPr>
      </w:pPr>
      <w:r>
        <w:rPr>
          <w:rFonts w:hint="eastAsia"/>
          <w:color w:val="auto"/>
          <w:sz w:val="24"/>
          <w:highlight w:val="none"/>
        </w:rPr>
        <w:t>7</w:t>
      </w:r>
      <w:r>
        <w:rPr>
          <w:color w:val="auto"/>
          <w:sz w:val="24"/>
          <w:highlight w:val="none"/>
        </w:rPr>
        <w:t>、节假日、春节会餐、单位庆典、会务活动、客户接待、防汛抗台、单位加班加点、因工作需要职工迟点等的餐饮服务。</w:t>
      </w:r>
    </w:p>
    <w:p w14:paraId="30E61D0B">
      <w:pPr>
        <w:snapToGrid w:val="0"/>
        <w:spacing w:line="500" w:lineRule="exact"/>
        <w:ind w:firstLine="480" w:firstLineChars="200"/>
        <w:rPr>
          <w:color w:val="auto"/>
          <w:sz w:val="24"/>
          <w:highlight w:val="none"/>
        </w:rPr>
      </w:pPr>
      <w:r>
        <w:rPr>
          <w:rFonts w:hint="eastAsia"/>
          <w:color w:val="auto"/>
          <w:sz w:val="24"/>
          <w:highlight w:val="none"/>
          <w:lang w:val="en-US" w:eastAsia="zh-CN"/>
        </w:rPr>
        <w:t>8</w:t>
      </w:r>
      <w:r>
        <w:rPr>
          <w:color w:val="auto"/>
          <w:sz w:val="24"/>
          <w:highlight w:val="none"/>
        </w:rPr>
        <w:t>、区域内的消防、用电、用气、用油、机械设备的安全责任等。</w:t>
      </w:r>
    </w:p>
    <w:p w14:paraId="7B2EF277">
      <w:pPr>
        <w:snapToGrid w:val="0"/>
        <w:spacing w:line="500" w:lineRule="exact"/>
        <w:ind w:firstLine="480" w:firstLineChars="200"/>
        <w:rPr>
          <w:color w:val="auto"/>
          <w:sz w:val="24"/>
          <w:highlight w:val="none"/>
        </w:rPr>
      </w:pPr>
      <w:r>
        <w:rPr>
          <w:rFonts w:hint="eastAsia"/>
          <w:color w:val="auto"/>
          <w:sz w:val="24"/>
          <w:highlight w:val="none"/>
          <w:lang w:val="en-US" w:eastAsia="zh-CN"/>
        </w:rPr>
        <w:t>9</w:t>
      </w:r>
      <w:r>
        <w:rPr>
          <w:color w:val="auto"/>
          <w:sz w:val="24"/>
          <w:highlight w:val="none"/>
        </w:rPr>
        <w:t>、食堂规范化达标要求相关的工作及台帐要求。</w:t>
      </w:r>
    </w:p>
    <w:p w14:paraId="1B7FAD0E">
      <w:pPr>
        <w:snapToGrid w:val="0"/>
        <w:spacing w:line="500" w:lineRule="exact"/>
        <w:ind w:firstLine="480" w:firstLineChars="200"/>
        <w:rPr>
          <w:color w:val="auto"/>
          <w:sz w:val="24"/>
          <w:highlight w:val="none"/>
        </w:rPr>
      </w:pPr>
      <w:r>
        <w:rPr>
          <w:rFonts w:hint="eastAsia"/>
          <w:color w:val="auto"/>
          <w:sz w:val="24"/>
          <w:highlight w:val="none"/>
        </w:rPr>
        <w:t>1</w:t>
      </w:r>
      <w:r>
        <w:rPr>
          <w:rFonts w:hint="eastAsia"/>
          <w:color w:val="auto"/>
          <w:sz w:val="24"/>
          <w:highlight w:val="none"/>
          <w:lang w:val="en-US" w:eastAsia="zh-CN"/>
        </w:rPr>
        <w:t>0</w:t>
      </w:r>
      <w:r>
        <w:rPr>
          <w:color w:val="auto"/>
          <w:sz w:val="24"/>
          <w:highlight w:val="none"/>
        </w:rPr>
        <w:t>、完成</w:t>
      </w:r>
      <w:r>
        <w:rPr>
          <w:rFonts w:hint="eastAsia"/>
          <w:color w:val="auto"/>
          <w:sz w:val="24"/>
          <w:highlight w:val="none"/>
        </w:rPr>
        <w:t>厨房</w:t>
      </w:r>
      <w:r>
        <w:rPr>
          <w:color w:val="auto"/>
          <w:sz w:val="24"/>
          <w:highlight w:val="none"/>
        </w:rPr>
        <w:t>管理要求相关的工作及台帐要求。</w:t>
      </w:r>
    </w:p>
    <w:p w14:paraId="7FBDD089">
      <w:pPr>
        <w:snapToGrid w:val="0"/>
        <w:spacing w:line="500" w:lineRule="exact"/>
        <w:ind w:firstLine="480" w:firstLineChars="200"/>
        <w:rPr>
          <w:color w:val="auto"/>
          <w:sz w:val="24"/>
          <w:highlight w:val="none"/>
        </w:rPr>
      </w:pPr>
      <w:r>
        <w:rPr>
          <w:rFonts w:hint="eastAsia"/>
          <w:color w:val="auto"/>
          <w:sz w:val="24"/>
          <w:highlight w:val="none"/>
        </w:rPr>
        <w:t>工作人员</w:t>
      </w:r>
      <w:r>
        <w:rPr>
          <w:color w:val="auto"/>
          <w:sz w:val="24"/>
          <w:highlight w:val="none"/>
        </w:rPr>
        <w:t>：早</w:t>
      </w:r>
      <w:r>
        <w:rPr>
          <w:rFonts w:hint="eastAsia"/>
          <w:color w:val="auto"/>
          <w:sz w:val="24"/>
          <w:highlight w:val="none"/>
        </w:rPr>
        <w:t>餐</w:t>
      </w:r>
      <w:r>
        <w:rPr>
          <w:color w:val="auto"/>
          <w:sz w:val="24"/>
          <w:highlight w:val="none"/>
        </w:rPr>
        <w:t>7:1</w:t>
      </w:r>
      <w:r>
        <w:rPr>
          <w:rFonts w:hint="eastAsia"/>
          <w:color w:val="auto"/>
          <w:sz w:val="24"/>
          <w:highlight w:val="none"/>
        </w:rPr>
        <w:t>0</w:t>
      </w:r>
      <w:r>
        <w:rPr>
          <w:color w:val="auto"/>
          <w:sz w:val="24"/>
          <w:highlight w:val="none"/>
        </w:rPr>
        <w:t>-8:</w:t>
      </w:r>
      <w:r>
        <w:rPr>
          <w:rFonts w:hint="eastAsia"/>
          <w:color w:val="auto"/>
          <w:sz w:val="24"/>
          <w:highlight w:val="none"/>
        </w:rPr>
        <w:t>1</w:t>
      </w:r>
      <w:r>
        <w:rPr>
          <w:color w:val="auto"/>
          <w:sz w:val="24"/>
          <w:highlight w:val="none"/>
        </w:rPr>
        <w:t>0 中</w:t>
      </w:r>
      <w:r>
        <w:rPr>
          <w:rFonts w:hint="eastAsia"/>
          <w:color w:val="auto"/>
          <w:sz w:val="24"/>
          <w:highlight w:val="none"/>
        </w:rPr>
        <w:t>餐</w:t>
      </w:r>
      <w:r>
        <w:rPr>
          <w:color w:val="auto"/>
          <w:sz w:val="24"/>
          <w:highlight w:val="none"/>
        </w:rPr>
        <w:t>11:</w:t>
      </w:r>
      <w:r>
        <w:rPr>
          <w:rFonts w:hint="eastAsia"/>
          <w:color w:val="auto"/>
          <w:sz w:val="24"/>
          <w:highlight w:val="none"/>
        </w:rPr>
        <w:t>0</w:t>
      </w:r>
      <w:r>
        <w:rPr>
          <w:color w:val="auto"/>
          <w:sz w:val="24"/>
          <w:highlight w:val="none"/>
        </w:rPr>
        <w:t>0-12:</w:t>
      </w:r>
      <w:r>
        <w:rPr>
          <w:rFonts w:hint="eastAsia"/>
          <w:color w:val="auto"/>
          <w:sz w:val="24"/>
          <w:highlight w:val="none"/>
        </w:rPr>
        <w:t>0</w:t>
      </w:r>
      <w:r>
        <w:rPr>
          <w:color w:val="auto"/>
          <w:sz w:val="24"/>
          <w:highlight w:val="none"/>
        </w:rPr>
        <w:t>0 晚</w:t>
      </w:r>
      <w:r>
        <w:rPr>
          <w:rFonts w:hint="eastAsia"/>
          <w:color w:val="auto"/>
          <w:sz w:val="24"/>
          <w:highlight w:val="none"/>
        </w:rPr>
        <w:t>餐17</w:t>
      </w:r>
      <w:r>
        <w:rPr>
          <w:color w:val="auto"/>
          <w:sz w:val="24"/>
          <w:highlight w:val="none"/>
        </w:rPr>
        <w:t>:00-</w:t>
      </w:r>
      <w:r>
        <w:rPr>
          <w:rFonts w:hint="eastAsia"/>
          <w:color w:val="auto"/>
          <w:sz w:val="24"/>
          <w:highlight w:val="none"/>
        </w:rPr>
        <w:t>18</w:t>
      </w:r>
      <w:r>
        <w:rPr>
          <w:color w:val="auto"/>
          <w:sz w:val="24"/>
          <w:highlight w:val="none"/>
        </w:rPr>
        <w:t>:</w:t>
      </w:r>
      <w:r>
        <w:rPr>
          <w:rFonts w:hint="eastAsia"/>
          <w:color w:val="auto"/>
          <w:sz w:val="24"/>
          <w:highlight w:val="none"/>
        </w:rPr>
        <w:t>0</w:t>
      </w:r>
      <w:r>
        <w:rPr>
          <w:color w:val="auto"/>
          <w:sz w:val="24"/>
          <w:highlight w:val="none"/>
        </w:rPr>
        <w:t>0</w:t>
      </w:r>
      <w:r>
        <w:rPr>
          <w:rFonts w:hint="eastAsia"/>
          <w:color w:val="auto"/>
          <w:sz w:val="24"/>
          <w:highlight w:val="none"/>
        </w:rPr>
        <w:t>（具体时间以南市街道办事处通知为准。）</w:t>
      </w:r>
    </w:p>
    <w:p w14:paraId="4B411E4C">
      <w:pPr>
        <w:snapToGrid w:val="0"/>
        <w:spacing w:line="500" w:lineRule="exact"/>
        <w:ind w:firstLine="480" w:firstLineChars="200"/>
        <w:rPr>
          <w:color w:val="auto"/>
          <w:sz w:val="24"/>
          <w:highlight w:val="none"/>
        </w:rPr>
      </w:pPr>
      <w:r>
        <w:rPr>
          <w:rFonts w:hint="eastAsia"/>
          <w:color w:val="auto"/>
          <w:sz w:val="24"/>
          <w:highlight w:val="none"/>
        </w:rPr>
        <w:t>1</w:t>
      </w:r>
      <w:r>
        <w:rPr>
          <w:rFonts w:hint="eastAsia"/>
          <w:color w:val="auto"/>
          <w:sz w:val="24"/>
          <w:highlight w:val="none"/>
          <w:lang w:val="en-US" w:eastAsia="zh-CN"/>
        </w:rPr>
        <w:t>1</w:t>
      </w:r>
      <w:r>
        <w:rPr>
          <w:color w:val="auto"/>
          <w:sz w:val="24"/>
          <w:highlight w:val="none"/>
        </w:rPr>
        <w:t>、根据采购人需求，须无条件服从其他临时性的、或非临时性的工作任务。</w:t>
      </w:r>
    </w:p>
    <w:p w14:paraId="4A4C6A9F">
      <w:pPr>
        <w:snapToGrid w:val="0"/>
        <w:spacing w:line="500" w:lineRule="exact"/>
        <w:ind w:firstLine="480" w:firstLineChars="200"/>
        <w:rPr>
          <w:rFonts w:hint="eastAsia"/>
          <w:b/>
          <w:color w:val="auto"/>
          <w:sz w:val="24"/>
          <w:highlight w:val="none"/>
        </w:rPr>
      </w:pPr>
      <w:r>
        <w:rPr>
          <w:rFonts w:hint="eastAsia"/>
          <w:b/>
          <w:color w:val="auto"/>
          <w:sz w:val="24"/>
          <w:highlight w:val="none"/>
          <w:lang w:val="en-US" w:eastAsia="zh-CN"/>
        </w:rPr>
        <w:t>七</w:t>
      </w:r>
      <w:r>
        <w:rPr>
          <w:rFonts w:hint="eastAsia"/>
          <w:b/>
          <w:color w:val="auto"/>
          <w:sz w:val="24"/>
          <w:highlight w:val="none"/>
        </w:rPr>
        <w:t>、</w:t>
      </w:r>
      <w:r>
        <w:rPr>
          <w:b/>
          <w:color w:val="auto"/>
          <w:sz w:val="24"/>
          <w:highlight w:val="none"/>
        </w:rPr>
        <w:t>服务要求：</w:t>
      </w:r>
    </w:p>
    <w:p w14:paraId="24E8D059">
      <w:pPr>
        <w:snapToGrid w:val="0"/>
        <w:spacing w:line="500" w:lineRule="exact"/>
        <w:ind w:firstLine="480" w:firstLineChars="200"/>
        <w:rPr>
          <w:color w:val="auto"/>
          <w:sz w:val="24"/>
          <w:highlight w:val="none"/>
        </w:rPr>
      </w:pPr>
      <w:r>
        <w:rPr>
          <w:color w:val="auto"/>
          <w:sz w:val="24"/>
          <w:highlight w:val="none"/>
        </w:rPr>
        <w:t>（一）餐饮要求</w:t>
      </w:r>
    </w:p>
    <w:p w14:paraId="4B823E3A">
      <w:pPr>
        <w:snapToGrid w:val="0"/>
        <w:spacing w:line="500" w:lineRule="exact"/>
        <w:ind w:firstLine="480" w:firstLineChars="200"/>
        <w:rPr>
          <w:color w:val="auto"/>
          <w:sz w:val="24"/>
          <w:highlight w:val="none"/>
        </w:rPr>
      </w:pPr>
      <w:r>
        <w:rPr>
          <w:color w:val="auto"/>
          <w:sz w:val="24"/>
          <w:highlight w:val="none"/>
        </w:rPr>
        <w:t>1、确保食品符合食品安全的标准，按照采购人要求按时开餐或送餐到指定地点，并提供服务。</w:t>
      </w:r>
    </w:p>
    <w:p w14:paraId="14EA99CC">
      <w:pPr>
        <w:snapToGrid w:val="0"/>
        <w:spacing w:line="500" w:lineRule="exact"/>
        <w:ind w:firstLine="480" w:firstLineChars="200"/>
        <w:rPr>
          <w:color w:val="auto"/>
          <w:sz w:val="24"/>
          <w:highlight w:val="none"/>
        </w:rPr>
      </w:pPr>
      <w:r>
        <w:rPr>
          <w:color w:val="auto"/>
          <w:sz w:val="24"/>
          <w:highlight w:val="none"/>
        </w:rPr>
        <w:t>2、饭菜应当多样化，合理搭配，营养均衡，要以大众口味为主，兼顾就餐人员的口味。</w:t>
      </w:r>
    </w:p>
    <w:p w14:paraId="3B4BA4A7">
      <w:pPr>
        <w:snapToGrid w:val="0"/>
        <w:spacing w:line="500" w:lineRule="exact"/>
        <w:ind w:firstLine="480" w:firstLineChars="200"/>
        <w:rPr>
          <w:rFonts w:hint="eastAsia"/>
          <w:color w:val="auto"/>
          <w:sz w:val="24"/>
          <w:highlight w:val="none"/>
        </w:rPr>
      </w:pPr>
      <w:r>
        <w:rPr>
          <w:color w:val="auto"/>
          <w:sz w:val="24"/>
          <w:highlight w:val="none"/>
        </w:rPr>
        <w:t>3、菜谱每周排列1次，每周四前完成下周菜谱安排。经常更换菜肴的花式品种，提供适合口味的菜肴。</w:t>
      </w:r>
    </w:p>
    <w:p w14:paraId="0009D622">
      <w:pPr>
        <w:snapToGrid w:val="0"/>
        <w:spacing w:line="500" w:lineRule="exact"/>
        <w:ind w:firstLine="480" w:firstLineChars="200"/>
        <w:rPr>
          <w:color w:val="auto"/>
          <w:sz w:val="24"/>
          <w:highlight w:val="none"/>
        </w:rPr>
      </w:pPr>
      <w:r>
        <w:rPr>
          <w:rFonts w:hint="eastAsia"/>
          <w:color w:val="auto"/>
          <w:sz w:val="24"/>
          <w:highlight w:val="none"/>
        </w:rPr>
        <w:t>4</w:t>
      </w:r>
      <w:r>
        <w:rPr>
          <w:color w:val="auto"/>
          <w:sz w:val="24"/>
          <w:highlight w:val="none"/>
        </w:rPr>
        <w:t>、尽量做到少重复，每周供应菜肴品种重复率原则上不超过30%。</w:t>
      </w:r>
    </w:p>
    <w:p w14:paraId="09D715CC">
      <w:pPr>
        <w:snapToGrid w:val="0"/>
        <w:spacing w:line="500" w:lineRule="exact"/>
        <w:ind w:firstLine="480" w:firstLineChars="200"/>
        <w:rPr>
          <w:color w:val="auto"/>
          <w:sz w:val="24"/>
          <w:highlight w:val="none"/>
        </w:rPr>
      </w:pPr>
      <w:r>
        <w:rPr>
          <w:rFonts w:hint="eastAsia"/>
          <w:color w:val="auto"/>
          <w:sz w:val="24"/>
          <w:highlight w:val="none"/>
        </w:rPr>
        <w:t>5</w:t>
      </w:r>
      <w:r>
        <w:rPr>
          <w:color w:val="auto"/>
          <w:sz w:val="24"/>
          <w:highlight w:val="none"/>
        </w:rPr>
        <w:t>、中标人在烹饪过程中，避免过于油腻、过辣、过咸，做到咸淡适中、美味可口。</w:t>
      </w:r>
    </w:p>
    <w:p w14:paraId="206D6224">
      <w:pPr>
        <w:snapToGrid w:val="0"/>
        <w:spacing w:line="500" w:lineRule="exact"/>
        <w:ind w:firstLine="480" w:firstLineChars="200"/>
        <w:rPr>
          <w:color w:val="auto"/>
          <w:sz w:val="24"/>
          <w:highlight w:val="none"/>
        </w:rPr>
      </w:pPr>
      <w:r>
        <w:rPr>
          <w:rFonts w:hint="eastAsia"/>
          <w:color w:val="auto"/>
          <w:sz w:val="24"/>
          <w:highlight w:val="none"/>
        </w:rPr>
        <w:t>6</w:t>
      </w:r>
      <w:r>
        <w:rPr>
          <w:color w:val="auto"/>
          <w:sz w:val="24"/>
          <w:highlight w:val="none"/>
        </w:rPr>
        <w:t>、根据就餐人次流量规律、控制烧菜节奏，杜绝浪费，厨房剩菜控制在2%以下。</w:t>
      </w:r>
    </w:p>
    <w:p w14:paraId="2420DD8C">
      <w:pPr>
        <w:snapToGrid w:val="0"/>
        <w:spacing w:line="500" w:lineRule="exact"/>
        <w:ind w:firstLine="480" w:firstLineChars="200"/>
        <w:rPr>
          <w:color w:val="auto"/>
          <w:sz w:val="24"/>
          <w:highlight w:val="none"/>
        </w:rPr>
      </w:pPr>
      <w:r>
        <w:rPr>
          <w:rFonts w:hint="eastAsia"/>
          <w:color w:val="auto"/>
          <w:sz w:val="24"/>
          <w:highlight w:val="none"/>
        </w:rPr>
        <w:t>7</w:t>
      </w:r>
      <w:r>
        <w:rPr>
          <w:color w:val="auto"/>
          <w:sz w:val="24"/>
          <w:highlight w:val="none"/>
        </w:rPr>
        <w:t>、执行食品留样制度，</w:t>
      </w:r>
      <w:r>
        <w:rPr>
          <w:rFonts w:hint="eastAsia"/>
          <w:color w:val="auto"/>
          <w:sz w:val="24"/>
          <w:highlight w:val="none"/>
        </w:rPr>
        <w:t>以便</w:t>
      </w:r>
      <w:r>
        <w:rPr>
          <w:color w:val="auto"/>
          <w:sz w:val="24"/>
          <w:highlight w:val="none"/>
        </w:rPr>
        <w:t>发生食品中毒</w:t>
      </w:r>
      <w:r>
        <w:rPr>
          <w:rFonts w:hint="eastAsia"/>
          <w:color w:val="auto"/>
          <w:sz w:val="24"/>
          <w:highlight w:val="none"/>
        </w:rPr>
        <w:t>等意外事件</w:t>
      </w:r>
      <w:r>
        <w:rPr>
          <w:color w:val="auto"/>
          <w:sz w:val="24"/>
          <w:highlight w:val="none"/>
        </w:rPr>
        <w:t>后</w:t>
      </w:r>
      <w:r>
        <w:rPr>
          <w:rFonts w:hint="eastAsia"/>
          <w:color w:val="auto"/>
          <w:sz w:val="24"/>
          <w:highlight w:val="none"/>
        </w:rPr>
        <w:t>可</w:t>
      </w:r>
      <w:r>
        <w:rPr>
          <w:color w:val="auto"/>
          <w:sz w:val="24"/>
          <w:highlight w:val="none"/>
        </w:rPr>
        <w:t>用于检测。</w:t>
      </w:r>
    </w:p>
    <w:p w14:paraId="67BDCC4A">
      <w:pPr>
        <w:snapToGrid w:val="0"/>
        <w:spacing w:line="500" w:lineRule="exact"/>
        <w:ind w:firstLine="480" w:firstLineChars="200"/>
        <w:rPr>
          <w:color w:val="auto"/>
          <w:sz w:val="24"/>
          <w:highlight w:val="none"/>
        </w:rPr>
      </w:pPr>
      <w:r>
        <w:rPr>
          <w:rFonts w:hint="eastAsia"/>
          <w:color w:val="auto"/>
          <w:sz w:val="24"/>
          <w:highlight w:val="none"/>
        </w:rPr>
        <w:t>8</w:t>
      </w:r>
      <w:r>
        <w:rPr>
          <w:color w:val="auto"/>
          <w:sz w:val="24"/>
          <w:highlight w:val="none"/>
        </w:rPr>
        <w:t>、中标人工作人员投入最低标准不低于</w:t>
      </w:r>
      <w:r>
        <w:rPr>
          <w:rFonts w:hint="eastAsia"/>
          <w:color w:val="auto"/>
          <w:sz w:val="24"/>
          <w:highlight w:val="none"/>
        </w:rPr>
        <w:t>（三）人员安排</w:t>
      </w:r>
      <w:r>
        <w:rPr>
          <w:color w:val="auto"/>
          <w:sz w:val="24"/>
          <w:highlight w:val="none"/>
        </w:rPr>
        <w:t>要求。</w:t>
      </w:r>
    </w:p>
    <w:p w14:paraId="0DBED487">
      <w:pPr>
        <w:snapToGrid w:val="0"/>
        <w:spacing w:line="500" w:lineRule="exact"/>
        <w:ind w:firstLine="480" w:firstLineChars="200"/>
        <w:rPr>
          <w:color w:val="auto"/>
          <w:sz w:val="24"/>
          <w:highlight w:val="none"/>
        </w:rPr>
      </w:pPr>
      <w:r>
        <w:rPr>
          <w:rFonts w:hint="eastAsia"/>
          <w:color w:val="auto"/>
          <w:sz w:val="24"/>
          <w:highlight w:val="none"/>
        </w:rPr>
        <w:t>9</w:t>
      </w:r>
      <w:r>
        <w:rPr>
          <w:color w:val="auto"/>
          <w:sz w:val="24"/>
          <w:highlight w:val="none"/>
        </w:rPr>
        <w:t>、要按照食堂规范化管理达标要求、</w:t>
      </w:r>
      <w:r>
        <w:rPr>
          <w:rFonts w:hint="eastAsia"/>
          <w:color w:val="auto"/>
          <w:sz w:val="24"/>
          <w:highlight w:val="none"/>
        </w:rPr>
        <w:t>厨房</w:t>
      </w:r>
      <w:r>
        <w:rPr>
          <w:color w:val="auto"/>
          <w:sz w:val="24"/>
          <w:highlight w:val="none"/>
        </w:rPr>
        <w:t>管理要求进行规范化管理。</w:t>
      </w:r>
    </w:p>
    <w:p w14:paraId="231D5A1B">
      <w:pPr>
        <w:snapToGrid w:val="0"/>
        <w:spacing w:line="360" w:lineRule="auto"/>
        <w:ind w:firstLine="480" w:firstLineChars="200"/>
        <w:rPr>
          <w:color w:val="auto"/>
          <w:sz w:val="24"/>
          <w:highlight w:val="none"/>
        </w:rPr>
      </w:pPr>
      <w:r>
        <w:rPr>
          <w:color w:val="auto"/>
          <w:sz w:val="24"/>
          <w:highlight w:val="none"/>
        </w:rPr>
        <w:t>（二）管理与人力资源配置要求</w:t>
      </w:r>
    </w:p>
    <w:p w14:paraId="372A4DDD">
      <w:pPr>
        <w:snapToGrid w:val="0"/>
        <w:spacing w:line="360" w:lineRule="auto"/>
        <w:ind w:firstLine="480" w:firstLineChars="200"/>
        <w:rPr>
          <w:color w:val="auto"/>
          <w:sz w:val="24"/>
          <w:highlight w:val="none"/>
        </w:rPr>
      </w:pPr>
      <w:r>
        <w:rPr>
          <w:color w:val="auto"/>
          <w:sz w:val="24"/>
          <w:highlight w:val="none"/>
        </w:rPr>
        <w:t>1、中标人应根据</w:t>
      </w:r>
      <w:r>
        <w:rPr>
          <w:rFonts w:hint="eastAsia"/>
          <w:color w:val="auto"/>
          <w:sz w:val="24"/>
          <w:highlight w:val="none"/>
        </w:rPr>
        <w:t>民警</w:t>
      </w:r>
      <w:r>
        <w:rPr>
          <w:color w:val="auto"/>
          <w:sz w:val="24"/>
          <w:highlight w:val="none"/>
        </w:rPr>
        <w:t>食堂的具体情况，科学合理配置管理和服务人员，人员安排必须充分满足各岗位和工作量的需要，所有人员需取</w:t>
      </w:r>
      <w:r>
        <w:rPr>
          <w:rFonts w:hint="eastAsia"/>
          <w:color w:val="auto"/>
          <w:sz w:val="24"/>
          <w:highlight w:val="none"/>
        </w:rPr>
        <w:t>得</w:t>
      </w:r>
      <w:r>
        <w:rPr>
          <w:color w:val="auto"/>
          <w:sz w:val="24"/>
          <w:highlight w:val="none"/>
        </w:rPr>
        <w:t>的健康</w:t>
      </w:r>
      <w:r>
        <w:rPr>
          <w:rFonts w:hint="eastAsia"/>
          <w:color w:val="auto"/>
          <w:sz w:val="24"/>
          <w:highlight w:val="none"/>
        </w:rPr>
        <w:t>上岗</w:t>
      </w:r>
      <w:r>
        <w:rPr>
          <w:color w:val="auto"/>
          <w:sz w:val="24"/>
          <w:highlight w:val="none"/>
        </w:rPr>
        <w:t>证。</w:t>
      </w:r>
    </w:p>
    <w:p w14:paraId="625D3E89">
      <w:pPr>
        <w:snapToGrid w:val="0"/>
        <w:spacing w:line="360" w:lineRule="auto"/>
        <w:ind w:firstLine="480" w:firstLineChars="200"/>
        <w:rPr>
          <w:color w:val="auto"/>
          <w:sz w:val="24"/>
          <w:highlight w:val="none"/>
        </w:rPr>
      </w:pPr>
      <w:r>
        <w:rPr>
          <w:color w:val="auto"/>
          <w:sz w:val="24"/>
          <w:highlight w:val="none"/>
        </w:rPr>
        <w:t>2、服务人员应具有良好的职业道德和协作精神，身体健康，政治上可靠，遵纪守法，服从分配，吃苦耐劳，爱岗敬业，无不良记录。</w:t>
      </w:r>
    </w:p>
    <w:p w14:paraId="132CEEB9">
      <w:pPr>
        <w:snapToGrid w:val="0"/>
        <w:spacing w:line="360" w:lineRule="auto"/>
        <w:ind w:firstLine="480" w:firstLineChars="200"/>
        <w:rPr>
          <w:color w:val="auto"/>
          <w:sz w:val="24"/>
          <w:highlight w:val="none"/>
        </w:rPr>
      </w:pPr>
      <w:r>
        <w:rPr>
          <w:color w:val="auto"/>
          <w:sz w:val="24"/>
          <w:highlight w:val="none"/>
        </w:rPr>
        <w:t>3、管理与服务人员在服务过程中应保持良好的精神状态；表情自然、亲切；举止大方、有礼；用语文明、规范；提供主动、热情、周到、及时的服务。</w:t>
      </w:r>
    </w:p>
    <w:p w14:paraId="19B69C4B">
      <w:pPr>
        <w:snapToGrid w:val="0"/>
        <w:spacing w:line="360" w:lineRule="auto"/>
        <w:ind w:firstLine="480" w:firstLineChars="200"/>
        <w:rPr>
          <w:color w:val="auto"/>
          <w:sz w:val="24"/>
          <w:highlight w:val="none"/>
        </w:rPr>
      </w:pPr>
      <w:r>
        <w:rPr>
          <w:color w:val="auto"/>
          <w:sz w:val="24"/>
          <w:highlight w:val="none"/>
        </w:rPr>
        <w:t>4、管理人员：应具有相应的管理资质，相关从业经验不少于3年，经验丰富，管理能力组织能力强。</w:t>
      </w:r>
    </w:p>
    <w:p w14:paraId="5E21A101">
      <w:pPr>
        <w:snapToGrid w:val="0"/>
        <w:spacing w:line="360" w:lineRule="auto"/>
        <w:ind w:firstLine="480" w:firstLineChars="200"/>
        <w:rPr>
          <w:color w:val="auto"/>
          <w:sz w:val="24"/>
          <w:highlight w:val="none"/>
        </w:rPr>
      </w:pPr>
      <w:r>
        <w:rPr>
          <w:color w:val="auto"/>
          <w:sz w:val="24"/>
          <w:highlight w:val="none"/>
        </w:rPr>
        <w:t>5、厨师长：具有从事厨师相关工作8年以上工作经历；年龄不超过</w:t>
      </w:r>
      <w:r>
        <w:rPr>
          <w:rFonts w:hint="eastAsia"/>
          <w:color w:val="auto"/>
          <w:sz w:val="24"/>
          <w:highlight w:val="none"/>
        </w:rPr>
        <w:t>55</w:t>
      </w:r>
      <w:r>
        <w:rPr>
          <w:color w:val="auto"/>
          <w:sz w:val="24"/>
          <w:highlight w:val="none"/>
        </w:rPr>
        <w:t>周岁；工作认真负责，肯钻研业务；有较强的新菜开发能力。</w:t>
      </w:r>
    </w:p>
    <w:p w14:paraId="0FB0FD6C">
      <w:pPr>
        <w:snapToGrid w:val="0"/>
        <w:spacing w:line="360" w:lineRule="auto"/>
        <w:ind w:firstLine="480" w:firstLineChars="200"/>
        <w:rPr>
          <w:color w:val="auto"/>
          <w:sz w:val="24"/>
          <w:highlight w:val="none"/>
        </w:rPr>
      </w:pPr>
      <w:r>
        <w:rPr>
          <w:color w:val="auto"/>
          <w:sz w:val="24"/>
          <w:highlight w:val="none"/>
        </w:rPr>
        <w:t>6、厨师：具有从事相关工作5年以上工作经历（非上灶厨师可适当放宽至2年）；年龄不超过</w:t>
      </w:r>
      <w:r>
        <w:rPr>
          <w:rFonts w:hint="eastAsia"/>
          <w:color w:val="auto"/>
          <w:sz w:val="24"/>
          <w:highlight w:val="none"/>
        </w:rPr>
        <w:t>55</w:t>
      </w:r>
      <w:r>
        <w:rPr>
          <w:color w:val="auto"/>
          <w:sz w:val="24"/>
          <w:highlight w:val="none"/>
        </w:rPr>
        <w:t>周岁；服从工作安排，认真负责，肯钻研业务。</w:t>
      </w:r>
    </w:p>
    <w:p w14:paraId="1308263F">
      <w:pPr>
        <w:snapToGrid w:val="0"/>
        <w:spacing w:line="360" w:lineRule="auto"/>
        <w:ind w:firstLine="480" w:firstLineChars="200"/>
        <w:rPr>
          <w:color w:val="auto"/>
          <w:sz w:val="24"/>
          <w:highlight w:val="none"/>
        </w:rPr>
      </w:pPr>
      <w:r>
        <w:rPr>
          <w:color w:val="auto"/>
          <w:sz w:val="24"/>
          <w:highlight w:val="none"/>
        </w:rPr>
        <w:t>7、面点师：具有从事相关工作3年以上工作经历；年龄不超过</w:t>
      </w:r>
      <w:r>
        <w:rPr>
          <w:rFonts w:hint="eastAsia"/>
          <w:color w:val="auto"/>
          <w:sz w:val="24"/>
          <w:highlight w:val="none"/>
        </w:rPr>
        <w:t>55</w:t>
      </w:r>
      <w:r>
        <w:rPr>
          <w:color w:val="auto"/>
          <w:sz w:val="24"/>
          <w:highlight w:val="none"/>
        </w:rPr>
        <w:t>周岁，能制作各类中式点心；服从工作安排，认真负责，肯钻研业务。</w:t>
      </w:r>
    </w:p>
    <w:p w14:paraId="31123C44">
      <w:pPr>
        <w:snapToGrid w:val="0"/>
        <w:spacing w:line="360" w:lineRule="auto"/>
        <w:ind w:firstLine="480" w:firstLineChars="200"/>
        <w:rPr>
          <w:color w:val="auto"/>
          <w:sz w:val="24"/>
          <w:highlight w:val="none"/>
        </w:rPr>
      </w:pPr>
      <w:r>
        <w:rPr>
          <w:color w:val="auto"/>
          <w:sz w:val="24"/>
          <w:highlight w:val="none"/>
        </w:rPr>
        <w:t>8、厨房帮工要求身体健康，无任何传染疾病，礼貌服务。</w:t>
      </w:r>
    </w:p>
    <w:p w14:paraId="2AD94F75">
      <w:pPr>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重要岗位人员：管理人员、厨师、面点师</w:t>
      </w:r>
      <w:r>
        <w:rPr>
          <w:rFonts w:hint="eastAsia"/>
          <w:color w:val="auto"/>
          <w:sz w:val="24"/>
          <w:highlight w:val="none"/>
        </w:rPr>
        <w:t>等</w:t>
      </w:r>
      <w:r>
        <w:rPr>
          <w:color w:val="auto"/>
          <w:sz w:val="24"/>
          <w:highlight w:val="none"/>
        </w:rPr>
        <w:t>需将详细的个人资料报送</w:t>
      </w:r>
      <w:r>
        <w:rPr>
          <w:rFonts w:hint="eastAsia"/>
          <w:color w:val="auto"/>
          <w:sz w:val="24"/>
          <w:highlight w:val="none"/>
          <w:u w:val="dotted"/>
        </w:rPr>
        <w:t>采购</w:t>
      </w:r>
      <w:r>
        <w:rPr>
          <w:color w:val="auto"/>
          <w:sz w:val="24"/>
          <w:highlight w:val="none"/>
        </w:rPr>
        <w:t>方留案存档，临时需要调配的人员需跟采购方协商解决。</w:t>
      </w:r>
    </w:p>
    <w:p w14:paraId="7832C71F">
      <w:pPr>
        <w:snapToGrid w:val="0"/>
        <w:spacing w:line="360" w:lineRule="auto"/>
        <w:ind w:firstLine="480" w:firstLineChars="200"/>
        <w:rPr>
          <w:color w:val="auto"/>
          <w:sz w:val="24"/>
          <w:highlight w:val="none"/>
        </w:rPr>
      </w:pPr>
      <w:r>
        <w:rPr>
          <w:rFonts w:hint="eastAsia"/>
          <w:color w:val="auto"/>
          <w:sz w:val="24"/>
          <w:highlight w:val="none"/>
        </w:rPr>
        <w:t>10、</w:t>
      </w:r>
      <w:r>
        <w:rPr>
          <w:rFonts w:hint="eastAsia" w:hAnsi="宋体"/>
          <w:color w:val="auto"/>
          <w:sz w:val="24"/>
          <w:highlight w:val="none"/>
        </w:rPr>
        <w:t>机关食堂3人，其中1人要求有厨师证</w:t>
      </w:r>
      <w:r>
        <w:rPr>
          <w:rFonts w:hint="eastAsia" w:hAnsi="宋体"/>
          <w:color w:val="auto"/>
          <w:sz w:val="24"/>
          <w:highlight w:val="none"/>
          <w:lang w:eastAsia="zh-CN"/>
        </w:rPr>
        <w:t>。</w:t>
      </w:r>
    </w:p>
    <w:p w14:paraId="3B52B9B6">
      <w:pPr>
        <w:snapToGrid w:val="0"/>
        <w:spacing w:line="500" w:lineRule="exact"/>
        <w:ind w:firstLine="480" w:firstLineChars="200"/>
        <w:rPr>
          <w:color w:val="auto"/>
          <w:sz w:val="24"/>
          <w:highlight w:val="none"/>
        </w:rPr>
      </w:pPr>
      <w:r>
        <w:rPr>
          <w:color w:val="auto"/>
          <w:sz w:val="24"/>
          <w:highlight w:val="none"/>
        </w:rPr>
        <w:t>（三）人员安排要求：</w:t>
      </w:r>
    </w:p>
    <w:tbl>
      <w:tblPr>
        <w:tblStyle w:val="45"/>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545"/>
        <w:gridCol w:w="4575"/>
      </w:tblGrid>
      <w:tr w14:paraId="4C6C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935" w:type="dxa"/>
            <w:noWrap w:val="0"/>
            <w:vAlign w:val="top"/>
          </w:tcPr>
          <w:p w14:paraId="33191028">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场所</w:t>
            </w:r>
          </w:p>
        </w:tc>
        <w:tc>
          <w:tcPr>
            <w:tcW w:w="1545" w:type="dxa"/>
            <w:noWrap w:val="0"/>
            <w:vAlign w:val="top"/>
          </w:tcPr>
          <w:p w14:paraId="754C9EC2">
            <w:pPr>
              <w:tabs>
                <w:tab w:val="left" w:pos="1260"/>
              </w:tabs>
              <w:spacing w:line="460" w:lineRule="exact"/>
              <w:jc w:val="center"/>
              <w:rPr>
                <w:rFonts w:hAnsi="宋体"/>
                <w:color w:val="auto"/>
                <w:sz w:val="24"/>
                <w:highlight w:val="none"/>
              </w:rPr>
            </w:pPr>
            <w:r>
              <w:rPr>
                <w:rFonts w:hAnsi="宋体"/>
                <w:color w:val="auto"/>
                <w:sz w:val="24"/>
                <w:highlight w:val="none"/>
              </w:rPr>
              <w:t>人数</w:t>
            </w:r>
          </w:p>
        </w:tc>
        <w:tc>
          <w:tcPr>
            <w:tcW w:w="4575" w:type="dxa"/>
            <w:noWrap w:val="0"/>
            <w:vAlign w:val="center"/>
          </w:tcPr>
          <w:p w14:paraId="36CC7414">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备注</w:t>
            </w:r>
          </w:p>
        </w:tc>
      </w:tr>
      <w:tr w14:paraId="4EEE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935" w:type="dxa"/>
            <w:noWrap w:val="0"/>
            <w:vAlign w:val="center"/>
          </w:tcPr>
          <w:p w14:paraId="155C095D">
            <w:pPr>
              <w:tabs>
                <w:tab w:val="left" w:pos="1260"/>
              </w:tabs>
              <w:spacing w:line="460" w:lineRule="exact"/>
              <w:jc w:val="center"/>
              <w:rPr>
                <w:rFonts w:hAnsi="宋体"/>
                <w:color w:val="auto"/>
                <w:sz w:val="24"/>
                <w:highlight w:val="none"/>
              </w:rPr>
            </w:pPr>
            <w:r>
              <w:rPr>
                <w:rFonts w:hint="eastAsia" w:hAnsi="宋体"/>
                <w:color w:val="auto"/>
                <w:sz w:val="24"/>
                <w:highlight w:val="none"/>
                <w:lang w:eastAsia="zh-CN"/>
              </w:rPr>
              <w:t>机关</w:t>
            </w:r>
            <w:r>
              <w:rPr>
                <w:rFonts w:hint="eastAsia" w:hAnsi="宋体"/>
                <w:color w:val="auto"/>
                <w:sz w:val="24"/>
                <w:highlight w:val="none"/>
              </w:rPr>
              <w:t>食堂</w:t>
            </w:r>
          </w:p>
        </w:tc>
        <w:tc>
          <w:tcPr>
            <w:tcW w:w="1545" w:type="dxa"/>
            <w:noWrap w:val="0"/>
            <w:vAlign w:val="center"/>
          </w:tcPr>
          <w:p w14:paraId="237C9FC1">
            <w:pPr>
              <w:tabs>
                <w:tab w:val="left" w:pos="1260"/>
              </w:tabs>
              <w:spacing w:line="460" w:lineRule="exact"/>
              <w:jc w:val="center"/>
              <w:rPr>
                <w:rFonts w:hint="eastAsia" w:hAnsi="宋体"/>
                <w:color w:val="auto"/>
                <w:sz w:val="24"/>
                <w:highlight w:val="none"/>
              </w:rPr>
            </w:pPr>
            <w:r>
              <w:rPr>
                <w:rFonts w:hint="eastAsia" w:hAnsi="宋体"/>
                <w:color w:val="auto"/>
                <w:sz w:val="24"/>
                <w:highlight w:val="none"/>
                <w:lang w:val="en-US" w:eastAsia="zh-CN"/>
              </w:rPr>
              <w:t>3</w:t>
            </w:r>
            <w:r>
              <w:rPr>
                <w:rFonts w:hint="eastAsia" w:hAnsi="宋体"/>
                <w:color w:val="auto"/>
                <w:sz w:val="24"/>
                <w:highlight w:val="none"/>
              </w:rPr>
              <w:t>人</w:t>
            </w:r>
          </w:p>
        </w:tc>
        <w:tc>
          <w:tcPr>
            <w:tcW w:w="4575" w:type="dxa"/>
            <w:vMerge w:val="restart"/>
            <w:noWrap w:val="0"/>
            <w:vAlign w:val="center"/>
          </w:tcPr>
          <w:p w14:paraId="1DF74B6F">
            <w:pPr>
              <w:numPr>
                <w:ilvl w:val="0"/>
                <w:numId w:val="2"/>
              </w:numPr>
              <w:tabs>
                <w:tab w:val="left" w:pos="1260"/>
              </w:tabs>
              <w:spacing w:line="360" w:lineRule="auto"/>
              <w:rPr>
                <w:rFonts w:hint="eastAsia" w:hAnsi="宋体"/>
                <w:color w:val="auto"/>
                <w:sz w:val="24"/>
                <w:highlight w:val="none"/>
              </w:rPr>
            </w:pPr>
            <w:r>
              <w:rPr>
                <w:rFonts w:hint="eastAsia" w:hAnsi="宋体"/>
                <w:color w:val="auto"/>
                <w:sz w:val="24"/>
                <w:highlight w:val="none"/>
              </w:rPr>
              <w:t xml:space="preserve">要求55周岁以下，烧饭可口。 </w:t>
            </w:r>
          </w:p>
          <w:p w14:paraId="052A1F9F">
            <w:pPr>
              <w:pStyle w:val="2"/>
              <w:numPr>
                <w:ilvl w:val="0"/>
                <w:numId w:val="0"/>
              </w:numPr>
              <w:spacing w:line="360" w:lineRule="auto"/>
              <w:rPr>
                <w:rFonts w:hint="default" w:eastAsia="宋体"/>
                <w:color w:val="auto"/>
                <w:lang w:val="en-US" w:eastAsia="zh-CN"/>
              </w:rPr>
            </w:pPr>
            <w:r>
              <w:rPr>
                <w:rFonts w:hint="eastAsia"/>
                <w:color w:val="auto"/>
                <w:sz w:val="24"/>
                <w:szCs w:val="24"/>
                <w:lang w:val="en-US" w:eastAsia="zh-CN"/>
              </w:rPr>
              <w:t>2、人员最低月工资标准按金华社会最低工资标准执行。</w:t>
            </w:r>
          </w:p>
        </w:tc>
      </w:tr>
      <w:tr w14:paraId="1636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35" w:type="dxa"/>
            <w:noWrap w:val="0"/>
            <w:vAlign w:val="center"/>
          </w:tcPr>
          <w:p w14:paraId="76A9210D">
            <w:pPr>
              <w:tabs>
                <w:tab w:val="left" w:pos="1260"/>
              </w:tabs>
              <w:spacing w:line="460" w:lineRule="exact"/>
              <w:jc w:val="center"/>
              <w:rPr>
                <w:rFonts w:hint="eastAsia" w:hAnsi="宋体" w:eastAsia="宋体"/>
                <w:color w:val="auto"/>
                <w:sz w:val="24"/>
                <w:highlight w:val="none"/>
                <w:lang w:eastAsia="zh-CN"/>
              </w:rPr>
            </w:pPr>
            <w:r>
              <w:rPr>
                <w:rFonts w:hint="eastAsia" w:hAnsi="宋体"/>
                <w:color w:val="auto"/>
                <w:sz w:val="24"/>
                <w:highlight w:val="none"/>
                <w:lang w:eastAsia="zh-CN"/>
              </w:rPr>
              <w:t>大联片食堂</w:t>
            </w:r>
          </w:p>
        </w:tc>
        <w:tc>
          <w:tcPr>
            <w:tcW w:w="1545" w:type="dxa"/>
            <w:noWrap w:val="0"/>
            <w:vAlign w:val="center"/>
          </w:tcPr>
          <w:p w14:paraId="2E69D846">
            <w:pPr>
              <w:tabs>
                <w:tab w:val="left" w:pos="1260"/>
              </w:tabs>
              <w:spacing w:line="460" w:lineRule="exact"/>
              <w:jc w:val="center"/>
              <w:rPr>
                <w:rFonts w:hint="eastAsia" w:hAnsi="宋体"/>
                <w:color w:val="auto"/>
                <w:sz w:val="24"/>
                <w:highlight w:val="none"/>
              </w:rPr>
            </w:pPr>
            <w:r>
              <w:rPr>
                <w:rFonts w:hint="eastAsia" w:hAnsi="宋体"/>
                <w:color w:val="auto"/>
                <w:sz w:val="24"/>
                <w:highlight w:val="none"/>
                <w:lang w:val="en-US" w:eastAsia="zh-CN"/>
              </w:rPr>
              <w:t>1</w:t>
            </w:r>
            <w:r>
              <w:rPr>
                <w:rFonts w:hint="eastAsia" w:hAnsi="宋体"/>
                <w:color w:val="auto"/>
                <w:sz w:val="24"/>
                <w:highlight w:val="none"/>
              </w:rPr>
              <w:t>人</w:t>
            </w:r>
          </w:p>
        </w:tc>
        <w:tc>
          <w:tcPr>
            <w:tcW w:w="4575" w:type="dxa"/>
            <w:vMerge w:val="continue"/>
            <w:noWrap w:val="0"/>
            <w:vAlign w:val="top"/>
          </w:tcPr>
          <w:p w14:paraId="14441CAE">
            <w:pPr>
              <w:tabs>
                <w:tab w:val="left" w:pos="1260"/>
              </w:tabs>
              <w:spacing w:line="460" w:lineRule="exact"/>
              <w:rPr>
                <w:rFonts w:hint="eastAsia" w:hAnsi="宋体"/>
                <w:color w:val="auto"/>
                <w:sz w:val="24"/>
                <w:highlight w:val="none"/>
              </w:rPr>
            </w:pPr>
          </w:p>
        </w:tc>
      </w:tr>
      <w:tr w14:paraId="19B1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35" w:type="dxa"/>
            <w:noWrap w:val="0"/>
            <w:vAlign w:val="center"/>
          </w:tcPr>
          <w:p w14:paraId="4CB76661">
            <w:pPr>
              <w:tabs>
                <w:tab w:val="left" w:pos="1260"/>
              </w:tabs>
              <w:spacing w:line="460" w:lineRule="exact"/>
              <w:jc w:val="center"/>
              <w:rPr>
                <w:rFonts w:hint="eastAsia" w:hAnsi="宋体" w:eastAsia="宋体"/>
                <w:color w:val="auto"/>
                <w:sz w:val="24"/>
                <w:highlight w:val="none"/>
                <w:lang w:eastAsia="zh-CN"/>
              </w:rPr>
            </w:pPr>
            <w:r>
              <w:rPr>
                <w:rFonts w:hint="eastAsia" w:hAnsi="宋体"/>
                <w:color w:val="auto"/>
                <w:sz w:val="24"/>
                <w:highlight w:val="none"/>
                <w:lang w:eastAsia="zh-CN"/>
              </w:rPr>
              <w:t>交警中队、槐堂片食堂</w:t>
            </w:r>
          </w:p>
        </w:tc>
        <w:tc>
          <w:tcPr>
            <w:tcW w:w="1545" w:type="dxa"/>
            <w:noWrap w:val="0"/>
            <w:vAlign w:val="center"/>
          </w:tcPr>
          <w:p w14:paraId="1AF3F7CC">
            <w:pPr>
              <w:tabs>
                <w:tab w:val="left" w:pos="1260"/>
              </w:tabs>
              <w:spacing w:line="460" w:lineRule="exact"/>
              <w:jc w:val="center"/>
              <w:rPr>
                <w:rFonts w:hint="eastAsia" w:hAnsi="宋体"/>
                <w:color w:val="auto"/>
                <w:sz w:val="24"/>
                <w:highlight w:val="none"/>
              </w:rPr>
            </w:pPr>
            <w:r>
              <w:rPr>
                <w:rFonts w:hint="eastAsia" w:hAnsi="宋体"/>
                <w:color w:val="auto"/>
                <w:sz w:val="24"/>
                <w:highlight w:val="none"/>
                <w:lang w:val="en-US" w:eastAsia="zh-CN"/>
              </w:rPr>
              <w:t>2</w:t>
            </w:r>
            <w:r>
              <w:rPr>
                <w:rFonts w:hint="eastAsia" w:hAnsi="宋体"/>
                <w:color w:val="auto"/>
                <w:sz w:val="24"/>
                <w:highlight w:val="none"/>
              </w:rPr>
              <w:t>人</w:t>
            </w:r>
          </w:p>
        </w:tc>
        <w:tc>
          <w:tcPr>
            <w:tcW w:w="4575" w:type="dxa"/>
            <w:vMerge w:val="continue"/>
            <w:noWrap w:val="0"/>
            <w:vAlign w:val="top"/>
          </w:tcPr>
          <w:p w14:paraId="568DACC9">
            <w:pPr>
              <w:tabs>
                <w:tab w:val="left" w:pos="1260"/>
              </w:tabs>
              <w:spacing w:line="460" w:lineRule="exact"/>
              <w:rPr>
                <w:rFonts w:hint="eastAsia" w:hAnsi="宋体"/>
                <w:color w:val="auto"/>
                <w:sz w:val="24"/>
                <w:highlight w:val="none"/>
              </w:rPr>
            </w:pPr>
          </w:p>
        </w:tc>
      </w:tr>
      <w:tr w14:paraId="387B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35" w:type="dxa"/>
            <w:noWrap w:val="0"/>
            <w:vAlign w:val="center"/>
          </w:tcPr>
          <w:p w14:paraId="2913E287">
            <w:pPr>
              <w:tabs>
                <w:tab w:val="left" w:pos="1260"/>
              </w:tabs>
              <w:spacing w:line="460" w:lineRule="exact"/>
              <w:jc w:val="center"/>
              <w:rPr>
                <w:rFonts w:hint="eastAsia" w:hAnsi="宋体"/>
                <w:color w:val="auto"/>
                <w:sz w:val="24"/>
                <w:highlight w:val="none"/>
                <w:lang w:eastAsia="zh-CN"/>
              </w:rPr>
            </w:pPr>
            <w:r>
              <w:rPr>
                <w:rFonts w:hint="eastAsia" w:hAnsi="宋体"/>
                <w:color w:val="auto"/>
                <w:sz w:val="24"/>
                <w:highlight w:val="none"/>
                <w:lang w:eastAsia="zh-CN"/>
              </w:rPr>
              <w:t>南溪片食堂</w:t>
            </w:r>
          </w:p>
        </w:tc>
        <w:tc>
          <w:tcPr>
            <w:tcW w:w="1545" w:type="dxa"/>
            <w:noWrap w:val="0"/>
            <w:vAlign w:val="center"/>
          </w:tcPr>
          <w:p w14:paraId="5EBB80F2">
            <w:pPr>
              <w:tabs>
                <w:tab w:val="left" w:pos="1260"/>
              </w:tabs>
              <w:spacing w:line="460" w:lineRule="exact"/>
              <w:jc w:val="center"/>
              <w:rPr>
                <w:rFonts w:hint="eastAsia" w:hAnsi="宋体"/>
                <w:color w:val="auto"/>
                <w:sz w:val="24"/>
                <w:highlight w:val="none"/>
              </w:rPr>
            </w:pPr>
            <w:r>
              <w:rPr>
                <w:rFonts w:hint="eastAsia" w:hAnsi="宋体"/>
                <w:color w:val="auto"/>
                <w:sz w:val="24"/>
                <w:highlight w:val="none"/>
                <w:lang w:val="en-US" w:eastAsia="zh-CN"/>
              </w:rPr>
              <w:t>2</w:t>
            </w:r>
            <w:r>
              <w:rPr>
                <w:rFonts w:hint="eastAsia" w:hAnsi="宋体"/>
                <w:color w:val="auto"/>
                <w:sz w:val="24"/>
                <w:highlight w:val="none"/>
              </w:rPr>
              <w:t>人</w:t>
            </w:r>
          </w:p>
        </w:tc>
        <w:tc>
          <w:tcPr>
            <w:tcW w:w="4575" w:type="dxa"/>
            <w:vMerge w:val="continue"/>
            <w:noWrap w:val="0"/>
            <w:vAlign w:val="top"/>
          </w:tcPr>
          <w:p w14:paraId="13F48551">
            <w:pPr>
              <w:tabs>
                <w:tab w:val="left" w:pos="1260"/>
              </w:tabs>
              <w:spacing w:line="460" w:lineRule="exact"/>
              <w:rPr>
                <w:rFonts w:hint="eastAsia" w:hAnsi="宋体"/>
                <w:color w:val="auto"/>
                <w:sz w:val="24"/>
                <w:highlight w:val="none"/>
              </w:rPr>
            </w:pPr>
          </w:p>
        </w:tc>
      </w:tr>
      <w:tr w14:paraId="1E79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35" w:type="dxa"/>
            <w:noWrap w:val="0"/>
            <w:vAlign w:val="center"/>
          </w:tcPr>
          <w:p w14:paraId="34229CC2">
            <w:pPr>
              <w:tabs>
                <w:tab w:val="left" w:pos="1260"/>
              </w:tabs>
              <w:spacing w:line="460" w:lineRule="exact"/>
              <w:jc w:val="center"/>
              <w:rPr>
                <w:rFonts w:hint="eastAsia" w:hAnsi="宋体"/>
                <w:color w:val="auto"/>
                <w:sz w:val="24"/>
                <w:highlight w:val="none"/>
                <w:lang w:eastAsia="zh-CN"/>
              </w:rPr>
            </w:pPr>
            <w:r>
              <w:rPr>
                <w:rFonts w:hint="eastAsia" w:hAnsi="宋体"/>
                <w:color w:val="auto"/>
                <w:sz w:val="24"/>
                <w:highlight w:val="none"/>
                <w:lang w:eastAsia="zh-CN"/>
              </w:rPr>
              <w:t>行政执法食堂</w:t>
            </w:r>
          </w:p>
        </w:tc>
        <w:tc>
          <w:tcPr>
            <w:tcW w:w="1545" w:type="dxa"/>
            <w:noWrap w:val="0"/>
            <w:vAlign w:val="center"/>
          </w:tcPr>
          <w:p w14:paraId="3E727097">
            <w:pPr>
              <w:tabs>
                <w:tab w:val="left" w:pos="1260"/>
              </w:tabs>
              <w:spacing w:line="460" w:lineRule="exact"/>
              <w:jc w:val="center"/>
              <w:rPr>
                <w:rFonts w:hint="eastAsia" w:hAnsi="宋体"/>
                <w:color w:val="auto"/>
                <w:sz w:val="24"/>
                <w:highlight w:val="none"/>
              </w:rPr>
            </w:pPr>
            <w:r>
              <w:rPr>
                <w:rFonts w:hint="eastAsia" w:hAnsi="宋体"/>
                <w:color w:val="auto"/>
                <w:sz w:val="24"/>
                <w:highlight w:val="none"/>
                <w:lang w:val="en-US" w:eastAsia="zh-CN"/>
              </w:rPr>
              <w:t>1</w:t>
            </w:r>
            <w:r>
              <w:rPr>
                <w:rFonts w:hint="eastAsia" w:hAnsi="宋体"/>
                <w:color w:val="auto"/>
                <w:sz w:val="24"/>
                <w:highlight w:val="none"/>
              </w:rPr>
              <w:t>人</w:t>
            </w:r>
          </w:p>
        </w:tc>
        <w:tc>
          <w:tcPr>
            <w:tcW w:w="4575" w:type="dxa"/>
            <w:vMerge w:val="continue"/>
            <w:noWrap w:val="0"/>
            <w:vAlign w:val="top"/>
          </w:tcPr>
          <w:p w14:paraId="54609C5C">
            <w:pPr>
              <w:tabs>
                <w:tab w:val="left" w:pos="1260"/>
              </w:tabs>
              <w:spacing w:line="460" w:lineRule="exact"/>
              <w:rPr>
                <w:rFonts w:hint="eastAsia" w:hAnsi="宋体"/>
                <w:color w:val="auto"/>
                <w:sz w:val="24"/>
                <w:highlight w:val="none"/>
              </w:rPr>
            </w:pPr>
          </w:p>
        </w:tc>
      </w:tr>
    </w:tbl>
    <w:p w14:paraId="7D64953C">
      <w:pPr>
        <w:snapToGrid w:val="0"/>
        <w:spacing w:line="500" w:lineRule="exact"/>
        <w:ind w:firstLine="480" w:firstLineChars="200"/>
        <w:rPr>
          <w:color w:val="auto"/>
          <w:sz w:val="24"/>
          <w:highlight w:val="none"/>
        </w:rPr>
      </w:pPr>
      <w:r>
        <w:rPr>
          <w:color w:val="auto"/>
          <w:sz w:val="24"/>
          <w:highlight w:val="none"/>
        </w:rPr>
        <w:t>其中：（1）</w:t>
      </w:r>
      <w:r>
        <w:rPr>
          <w:rFonts w:hint="eastAsia"/>
          <w:color w:val="auto"/>
          <w:sz w:val="24"/>
          <w:highlight w:val="none"/>
        </w:rPr>
        <w:t>所有</w:t>
      </w:r>
      <w:r>
        <w:rPr>
          <w:color w:val="auto"/>
          <w:sz w:val="24"/>
          <w:highlight w:val="none"/>
        </w:rPr>
        <w:t>员工均需有健康证，能吃苦，无不良嗜好及不良记录；如特殊岗位年龄和其他条件另有需求，必须无条件接受采购人的要求。</w:t>
      </w:r>
    </w:p>
    <w:p w14:paraId="08CAD5C0">
      <w:pPr>
        <w:snapToGrid w:val="0"/>
        <w:spacing w:line="500" w:lineRule="exact"/>
        <w:ind w:firstLine="480" w:firstLineChars="200"/>
        <w:rPr>
          <w:color w:val="auto"/>
          <w:sz w:val="24"/>
          <w:highlight w:val="none"/>
        </w:rPr>
      </w:pPr>
      <w:r>
        <w:rPr>
          <w:color w:val="auto"/>
          <w:sz w:val="24"/>
          <w:highlight w:val="none"/>
        </w:rPr>
        <w:t>（</w:t>
      </w:r>
      <w:r>
        <w:rPr>
          <w:rFonts w:hint="eastAsia"/>
          <w:color w:val="auto"/>
          <w:sz w:val="24"/>
          <w:highlight w:val="none"/>
        </w:rPr>
        <w:t>2</w:t>
      </w:r>
      <w:r>
        <w:rPr>
          <w:color w:val="auto"/>
          <w:sz w:val="24"/>
          <w:highlight w:val="none"/>
        </w:rPr>
        <w:t>）拟指派服务人员应当穿着公司统一制服，佩带公司统一的服务标志</w:t>
      </w:r>
      <w:r>
        <w:rPr>
          <w:rFonts w:hint="eastAsia"/>
          <w:color w:val="auto"/>
          <w:sz w:val="24"/>
          <w:highlight w:val="none"/>
        </w:rPr>
        <w:t>，</w:t>
      </w:r>
      <w:r>
        <w:rPr>
          <w:rFonts w:hint="eastAsia" w:hAnsi="宋体"/>
          <w:color w:val="auto"/>
          <w:sz w:val="24"/>
          <w:highlight w:val="none"/>
        </w:rPr>
        <w:t>容貌端正，具备良好的形象和气质</w:t>
      </w:r>
      <w:r>
        <w:rPr>
          <w:color w:val="auto"/>
          <w:sz w:val="24"/>
          <w:highlight w:val="none"/>
        </w:rPr>
        <w:t>。</w:t>
      </w:r>
    </w:p>
    <w:p w14:paraId="246FEB7E">
      <w:pPr>
        <w:snapToGrid w:val="0"/>
        <w:spacing w:line="500" w:lineRule="exact"/>
        <w:ind w:firstLine="480" w:firstLineChars="200"/>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）以上为最低人数配置要求，承包单位的各工种和用工总数，不得少于以上人员配置数。</w:t>
      </w:r>
    </w:p>
    <w:p w14:paraId="4E79C502">
      <w:pPr>
        <w:snapToGrid w:val="0"/>
        <w:spacing w:line="500" w:lineRule="exact"/>
        <w:ind w:firstLine="480" w:firstLineChars="20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）各岗位之间工作除专项工作外，其他可全部采取混合安排，视工作需要合理安排，确保服务工作的机动灵活需求。</w:t>
      </w:r>
    </w:p>
    <w:p w14:paraId="5E79639A">
      <w:pPr>
        <w:snapToGrid w:val="0"/>
        <w:spacing w:line="500" w:lineRule="exact"/>
        <w:ind w:firstLine="480" w:firstLineChars="200"/>
        <w:rPr>
          <w:rFonts w:hint="eastAsia"/>
          <w:b/>
          <w:color w:val="auto"/>
          <w:sz w:val="24"/>
          <w:highlight w:val="none"/>
        </w:rPr>
      </w:pPr>
      <w:r>
        <w:rPr>
          <w:rFonts w:hint="eastAsia"/>
          <w:b/>
          <w:color w:val="auto"/>
          <w:sz w:val="24"/>
          <w:highlight w:val="none"/>
          <w:lang w:val="en-US" w:eastAsia="zh-CN"/>
        </w:rPr>
        <w:t>八</w:t>
      </w:r>
      <w:r>
        <w:rPr>
          <w:rFonts w:hint="eastAsia"/>
          <w:b/>
          <w:color w:val="auto"/>
          <w:sz w:val="24"/>
          <w:highlight w:val="none"/>
        </w:rPr>
        <w:t>、服务标准</w:t>
      </w:r>
    </w:p>
    <w:p w14:paraId="2BE5CEE9">
      <w:pPr>
        <w:snapToGrid w:val="0"/>
        <w:spacing w:line="500" w:lineRule="exact"/>
        <w:ind w:firstLine="480" w:firstLineChars="200"/>
        <w:rPr>
          <w:color w:val="auto"/>
          <w:sz w:val="24"/>
          <w:highlight w:val="none"/>
        </w:rPr>
      </w:pPr>
      <w:r>
        <w:rPr>
          <w:color w:val="auto"/>
          <w:sz w:val="24"/>
          <w:highlight w:val="none"/>
        </w:rPr>
        <w:t>1、中标人的员工（以下简称员工）须持健康证方可上岗，并每年定期体检一次。新员工必须先</w:t>
      </w:r>
      <w:r>
        <w:rPr>
          <w:rFonts w:hint="eastAsia"/>
          <w:color w:val="auto"/>
          <w:sz w:val="24"/>
          <w:highlight w:val="none"/>
        </w:rPr>
        <w:t>办理</w:t>
      </w:r>
      <w:r>
        <w:rPr>
          <w:color w:val="auto"/>
          <w:sz w:val="24"/>
          <w:highlight w:val="none"/>
        </w:rPr>
        <w:t>健康证再经发包方审核后方可上岗。</w:t>
      </w:r>
    </w:p>
    <w:p w14:paraId="30F4314C">
      <w:pPr>
        <w:snapToGrid w:val="0"/>
        <w:spacing w:line="500" w:lineRule="exact"/>
        <w:ind w:firstLine="480" w:firstLineChars="200"/>
        <w:rPr>
          <w:color w:val="auto"/>
          <w:sz w:val="24"/>
          <w:highlight w:val="none"/>
        </w:rPr>
      </w:pPr>
      <w:r>
        <w:rPr>
          <w:color w:val="auto"/>
          <w:sz w:val="24"/>
          <w:highlight w:val="none"/>
        </w:rPr>
        <w:t>2、员工须接受卫生培训，保持个人卫生，养成良好的卫生习惯，做到勤洗手、勤剪指甲、勤洗澡、勤洗衣服、勤洗被褥、勤换工作服，使自己保持良好的工作风貌与精神状态。</w:t>
      </w:r>
    </w:p>
    <w:p w14:paraId="5BD7DD70">
      <w:pPr>
        <w:snapToGrid w:val="0"/>
        <w:spacing w:line="500" w:lineRule="exact"/>
        <w:ind w:firstLine="480" w:firstLineChars="200"/>
        <w:rPr>
          <w:color w:val="auto"/>
          <w:sz w:val="24"/>
          <w:highlight w:val="none"/>
        </w:rPr>
      </w:pPr>
      <w:r>
        <w:rPr>
          <w:color w:val="auto"/>
          <w:sz w:val="24"/>
          <w:highlight w:val="none"/>
        </w:rPr>
        <w:t>3、在工作场所内不得随地吐痰、吸烟、嬉笑打闹，严禁在厨房区域内洗涤衣物等与工作无关的事项。</w:t>
      </w:r>
    </w:p>
    <w:p w14:paraId="3C37FECE">
      <w:pPr>
        <w:snapToGrid w:val="0"/>
        <w:spacing w:line="500" w:lineRule="exact"/>
        <w:ind w:firstLine="480" w:firstLineChars="200"/>
        <w:rPr>
          <w:color w:val="auto"/>
          <w:sz w:val="24"/>
          <w:highlight w:val="none"/>
        </w:rPr>
      </w:pPr>
      <w:r>
        <w:rPr>
          <w:color w:val="auto"/>
          <w:sz w:val="24"/>
          <w:highlight w:val="none"/>
        </w:rPr>
        <w:t>4、保持良好的卫生操作习惯，上班时必须穿好工作服，戴好标识牌、工帽、口罩，售卖服务人员同时需戴好手套，不得对食品咳嗽、打喷嚏及其它不卫生动作，严禁用勺直接尝味。</w:t>
      </w:r>
    </w:p>
    <w:p w14:paraId="5B7D45B9">
      <w:pPr>
        <w:snapToGrid w:val="0"/>
        <w:spacing w:line="500" w:lineRule="exact"/>
        <w:ind w:firstLine="480" w:firstLineChars="200"/>
        <w:rPr>
          <w:color w:val="auto"/>
          <w:sz w:val="24"/>
          <w:highlight w:val="none"/>
        </w:rPr>
      </w:pPr>
      <w:r>
        <w:rPr>
          <w:color w:val="auto"/>
          <w:sz w:val="24"/>
          <w:highlight w:val="none"/>
        </w:rPr>
        <w:t>5、员工有传染性疾病时必须休假，以免造成食物感染。</w:t>
      </w:r>
    </w:p>
    <w:p w14:paraId="48D55957">
      <w:pPr>
        <w:snapToGrid w:val="0"/>
        <w:spacing w:line="500" w:lineRule="exact"/>
        <w:ind w:firstLine="480" w:firstLineChars="200"/>
        <w:rPr>
          <w:color w:val="auto"/>
          <w:sz w:val="24"/>
          <w:highlight w:val="none"/>
        </w:rPr>
      </w:pPr>
      <w:r>
        <w:rPr>
          <w:color w:val="auto"/>
          <w:sz w:val="24"/>
          <w:highlight w:val="none"/>
        </w:rPr>
        <w:t>6、厨房清洁设立岗位责任制，所有日常用的厨具和餐具每餐后都必须进行严格的清洗和消毒，清洗时要做到一洗、二刷、三冲、四消毒、五保洁，在消毒后要加盖保管，防止再污染，未经消毒的厨具和餐具不得使用。</w:t>
      </w:r>
    </w:p>
    <w:p w14:paraId="198F824B">
      <w:pPr>
        <w:snapToGrid w:val="0"/>
        <w:spacing w:line="500" w:lineRule="exact"/>
        <w:ind w:firstLine="480" w:firstLineChars="200"/>
        <w:rPr>
          <w:color w:val="auto"/>
          <w:sz w:val="24"/>
          <w:highlight w:val="none"/>
        </w:rPr>
      </w:pPr>
      <w:r>
        <w:rPr>
          <w:color w:val="auto"/>
          <w:sz w:val="24"/>
          <w:highlight w:val="none"/>
        </w:rPr>
        <w:t>7、厨房所有厨具、用具实行定置管理，在用完后要摆放有序，砧板要竖放，以确保底、面、边三面光，且切生熟食品的砧板要分开使用。</w:t>
      </w:r>
    </w:p>
    <w:p w14:paraId="52E00AD1">
      <w:pPr>
        <w:snapToGrid w:val="0"/>
        <w:spacing w:line="500" w:lineRule="exact"/>
        <w:ind w:firstLine="480" w:firstLineChars="200"/>
        <w:rPr>
          <w:color w:val="auto"/>
          <w:sz w:val="24"/>
          <w:highlight w:val="none"/>
        </w:rPr>
      </w:pPr>
      <w:r>
        <w:rPr>
          <w:color w:val="auto"/>
          <w:sz w:val="24"/>
          <w:highlight w:val="none"/>
        </w:rPr>
        <w:t>8、洗蔬菜、肉类、水产、厨具等水池要分开，不得混合使用。</w:t>
      </w:r>
    </w:p>
    <w:p w14:paraId="5854A25B">
      <w:pPr>
        <w:snapToGrid w:val="0"/>
        <w:spacing w:line="500" w:lineRule="exact"/>
        <w:ind w:firstLine="480" w:firstLineChars="200"/>
        <w:rPr>
          <w:color w:val="auto"/>
          <w:sz w:val="24"/>
          <w:highlight w:val="none"/>
        </w:rPr>
      </w:pPr>
      <w:r>
        <w:rPr>
          <w:color w:val="auto"/>
          <w:sz w:val="24"/>
          <w:highlight w:val="none"/>
        </w:rPr>
        <w:t>9、炉灶、配料台、工作台在完工后要予以擦拭，确保干净整洁。</w:t>
      </w:r>
    </w:p>
    <w:p w14:paraId="75D34F8A">
      <w:pPr>
        <w:snapToGrid w:val="0"/>
        <w:spacing w:line="500" w:lineRule="exact"/>
        <w:ind w:firstLine="480" w:firstLineChars="200"/>
        <w:rPr>
          <w:color w:val="auto"/>
          <w:sz w:val="24"/>
          <w:highlight w:val="none"/>
        </w:rPr>
      </w:pPr>
      <w:r>
        <w:rPr>
          <w:color w:val="auto"/>
          <w:sz w:val="24"/>
          <w:highlight w:val="none"/>
        </w:rPr>
        <w:t>10、油烟罩每天一小擦，每月一大擦，每半年彻底清洁一次，确保油烟罩无油垢堆积，确保安全。</w:t>
      </w:r>
    </w:p>
    <w:p w14:paraId="7456B536">
      <w:pPr>
        <w:snapToGrid w:val="0"/>
        <w:spacing w:line="500" w:lineRule="exact"/>
        <w:ind w:firstLine="480" w:firstLineChars="200"/>
        <w:rPr>
          <w:color w:val="auto"/>
          <w:sz w:val="24"/>
          <w:highlight w:val="none"/>
        </w:rPr>
      </w:pPr>
      <w:r>
        <w:rPr>
          <w:color w:val="auto"/>
          <w:sz w:val="24"/>
          <w:highlight w:val="none"/>
        </w:rPr>
        <w:t>11、下水道要每日进行清洁，彻底清除菜渣等杂物，以保证排水畅通及清除异味。</w:t>
      </w:r>
    </w:p>
    <w:p w14:paraId="5FDCF275">
      <w:pPr>
        <w:snapToGrid w:val="0"/>
        <w:spacing w:line="500" w:lineRule="exact"/>
        <w:ind w:firstLine="480" w:firstLineChars="200"/>
        <w:rPr>
          <w:color w:val="auto"/>
          <w:sz w:val="24"/>
          <w:highlight w:val="none"/>
        </w:rPr>
      </w:pPr>
      <w:r>
        <w:rPr>
          <w:color w:val="auto"/>
          <w:sz w:val="24"/>
          <w:highlight w:val="none"/>
        </w:rPr>
        <w:t>12、清除卫生死角，定期灭老鼠、蟑螂、苍蝇等。</w:t>
      </w:r>
    </w:p>
    <w:p w14:paraId="016C5A72">
      <w:pPr>
        <w:snapToGrid w:val="0"/>
        <w:spacing w:line="500" w:lineRule="exact"/>
        <w:ind w:firstLine="480" w:firstLineChars="200"/>
        <w:rPr>
          <w:color w:val="auto"/>
          <w:sz w:val="24"/>
          <w:highlight w:val="none"/>
        </w:rPr>
      </w:pPr>
      <w:r>
        <w:rPr>
          <w:color w:val="auto"/>
          <w:sz w:val="24"/>
          <w:highlight w:val="none"/>
        </w:rPr>
        <w:t>13、工作场所内物品要摆放整齐，保持室内空气流通，以防止物品发霉变质。</w:t>
      </w:r>
    </w:p>
    <w:p w14:paraId="4F9BABA9">
      <w:pPr>
        <w:snapToGrid w:val="0"/>
        <w:spacing w:line="500" w:lineRule="exact"/>
        <w:ind w:firstLine="480" w:firstLineChars="200"/>
        <w:rPr>
          <w:color w:val="auto"/>
          <w:sz w:val="24"/>
          <w:highlight w:val="none"/>
        </w:rPr>
      </w:pPr>
      <w:r>
        <w:rPr>
          <w:color w:val="auto"/>
          <w:sz w:val="24"/>
          <w:highlight w:val="none"/>
        </w:rPr>
        <w:t>14、食品要做到生熟分开，以确保食品味美纯正。</w:t>
      </w:r>
    </w:p>
    <w:p w14:paraId="35D60F1D">
      <w:pPr>
        <w:snapToGrid w:val="0"/>
        <w:spacing w:line="500" w:lineRule="exact"/>
        <w:ind w:firstLine="480" w:firstLineChars="200"/>
        <w:rPr>
          <w:color w:val="auto"/>
          <w:sz w:val="24"/>
          <w:highlight w:val="none"/>
        </w:rPr>
      </w:pPr>
      <w:r>
        <w:rPr>
          <w:color w:val="auto"/>
          <w:sz w:val="24"/>
          <w:highlight w:val="none"/>
        </w:rPr>
        <w:t>15、操作时要分台、分池操作，以免交叉污染；蔬菜类要按一拣、二洗、三切、四浸泡的顺序操作。</w:t>
      </w:r>
    </w:p>
    <w:p w14:paraId="70EA3EC4">
      <w:pPr>
        <w:snapToGrid w:val="0"/>
        <w:spacing w:line="500" w:lineRule="exact"/>
        <w:ind w:firstLine="480" w:firstLineChars="200"/>
        <w:rPr>
          <w:color w:val="auto"/>
          <w:sz w:val="24"/>
          <w:highlight w:val="none"/>
        </w:rPr>
      </w:pPr>
      <w:r>
        <w:rPr>
          <w:color w:val="auto"/>
          <w:sz w:val="24"/>
          <w:highlight w:val="none"/>
        </w:rPr>
        <w:t>16、处理过的原料应及时加工烹调，烹调时要煮熟，以保证食用安全，以防止中毒。</w:t>
      </w:r>
    </w:p>
    <w:p w14:paraId="4F439C38">
      <w:pPr>
        <w:snapToGrid w:val="0"/>
        <w:spacing w:line="500" w:lineRule="exact"/>
        <w:ind w:firstLine="480" w:firstLineChars="200"/>
        <w:rPr>
          <w:color w:val="auto"/>
          <w:sz w:val="24"/>
          <w:highlight w:val="none"/>
        </w:rPr>
      </w:pPr>
      <w:r>
        <w:rPr>
          <w:color w:val="auto"/>
          <w:sz w:val="24"/>
          <w:highlight w:val="none"/>
        </w:rPr>
        <w:t>17、加工好的熟食品要妥善保管，存放时间超过1小时，要重新回炉加热处理后才能食用。</w:t>
      </w:r>
    </w:p>
    <w:p w14:paraId="16F4BC8A">
      <w:pPr>
        <w:snapToGrid w:val="0"/>
        <w:spacing w:line="500" w:lineRule="exact"/>
        <w:ind w:firstLine="480" w:firstLineChars="200"/>
        <w:rPr>
          <w:color w:val="auto"/>
          <w:sz w:val="24"/>
          <w:highlight w:val="none"/>
        </w:rPr>
      </w:pPr>
      <w:r>
        <w:rPr>
          <w:color w:val="auto"/>
          <w:sz w:val="24"/>
          <w:highlight w:val="none"/>
        </w:rPr>
        <w:t>18、生、熟食品要分冰箱存放，以防熟制食品受到污染。</w:t>
      </w:r>
    </w:p>
    <w:p w14:paraId="7E7791E9">
      <w:pPr>
        <w:snapToGrid w:val="0"/>
        <w:spacing w:line="500" w:lineRule="exact"/>
        <w:ind w:firstLine="480" w:firstLineChars="200"/>
        <w:rPr>
          <w:color w:val="auto"/>
          <w:sz w:val="24"/>
          <w:highlight w:val="none"/>
        </w:rPr>
      </w:pPr>
      <w:r>
        <w:rPr>
          <w:rFonts w:hint="eastAsia"/>
          <w:color w:val="auto"/>
          <w:sz w:val="24"/>
          <w:highlight w:val="none"/>
        </w:rPr>
        <w:t>19</w:t>
      </w:r>
      <w:r>
        <w:rPr>
          <w:color w:val="auto"/>
          <w:sz w:val="24"/>
          <w:highlight w:val="none"/>
        </w:rPr>
        <w:t>、用餐后须擦拭桌椅，保持干净无灰尘、无油渍，地面无垃圾及杂物，保证不积水、干净、清爽。</w:t>
      </w:r>
    </w:p>
    <w:p w14:paraId="4AD20BCB">
      <w:pPr>
        <w:snapToGrid w:val="0"/>
        <w:spacing w:line="500" w:lineRule="exact"/>
        <w:ind w:firstLine="480" w:firstLineChars="20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、保持门窗、墙壁、灯管清洁，风扇、空调要每季清洗，要每季清洁与维护通风、排污设备，以确保运转正常。</w:t>
      </w:r>
    </w:p>
    <w:p w14:paraId="2F3A7806">
      <w:pPr>
        <w:snapToGrid w:val="0"/>
        <w:spacing w:line="500" w:lineRule="exact"/>
        <w:ind w:firstLine="480" w:firstLineChars="20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、每周大清洁一次，用清洁剂清洗桌椅、地面、做到厨房无苍蝇、蟑螂、蚂蚁等。</w:t>
      </w:r>
    </w:p>
    <w:p w14:paraId="29D370FE">
      <w:pPr>
        <w:snapToGrid w:val="0"/>
        <w:spacing w:line="500" w:lineRule="exact"/>
        <w:ind w:firstLine="480" w:firstLineChars="20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符合厨房</w:t>
      </w:r>
      <w:r>
        <w:rPr>
          <w:color w:val="auto"/>
          <w:sz w:val="24"/>
          <w:highlight w:val="none"/>
        </w:rPr>
        <w:t>管理要求及采购人行业系统食堂规范化达标要求。</w:t>
      </w:r>
    </w:p>
    <w:p w14:paraId="08284EE2">
      <w:pPr>
        <w:snapToGrid w:val="0"/>
        <w:spacing w:line="500" w:lineRule="exact"/>
        <w:ind w:firstLine="480" w:firstLineChars="200"/>
        <w:rPr>
          <w:rFonts w:hint="eastAsia"/>
          <w:b/>
          <w:color w:val="auto"/>
          <w:sz w:val="24"/>
          <w:highlight w:val="none"/>
        </w:rPr>
      </w:pPr>
      <w:r>
        <w:rPr>
          <w:rFonts w:hint="eastAsia"/>
          <w:b/>
          <w:color w:val="auto"/>
          <w:sz w:val="24"/>
          <w:highlight w:val="none"/>
          <w:lang w:val="en-US" w:eastAsia="zh-CN"/>
        </w:rPr>
        <w:t>九</w:t>
      </w:r>
      <w:r>
        <w:rPr>
          <w:rFonts w:hint="eastAsia"/>
          <w:b/>
          <w:color w:val="auto"/>
          <w:sz w:val="24"/>
          <w:highlight w:val="none"/>
        </w:rPr>
        <w:t>、</w:t>
      </w:r>
      <w:r>
        <w:rPr>
          <w:b/>
          <w:color w:val="auto"/>
          <w:sz w:val="24"/>
          <w:highlight w:val="none"/>
        </w:rPr>
        <w:t>相关约定</w:t>
      </w:r>
    </w:p>
    <w:p w14:paraId="0183FA7F">
      <w:pPr>
        <w:snapToGrid w:val="0"/>
        <w:spacing w:line="500" w:lineRule="exact"/>
        <w:ind w:firstLine="480" w:firstLineChars="200"/>
        <w:rPr>
          <w:color w:val="auto"/>
          <w:sz w:val="24"/>
          <w:highlight w:val="none"/>
        </w:rPr>
      </w:pPr>
      <w:r>
        <w:rPr>
          <w:color w:val="auto"/>
          <w:sz w:val="24"/>
          <w:highlight w:val="none"/>
        </w:rPr>
        <w:t>1、中标人对采购人的厨房设施进行妥善保管、保养、保护，如果因操作不当损坏设备的，中标人应进行赔偿。</w:t>
      </w:r>
    </w:p>
    <w:p w14:paraId="0B3D36AB">
      <w:pPr>
        <w:snapToGrid w:val="0"/>
        <w:spacing w:line="500" w:lineRule="exact"/>
        <w:ind w:firstLine="480" w:firstLineChars="200"/>
        <w:rPr>
          <w:color w:val="auto"/>
          <w:sz w:val="24"/>
          <w:highlight w:val="none"/>
        </w:rPr>
      </w:pPr>
      <w:r>
        <w:rPr>
          <w:color w:val="auto"/>
          <w:sz w:val="24"/>
          <w:highlight w:val="none"/>
        </w:rPr>
        <w:t>2、中标人服务期间内必须重视安全生产，教育培训每月不少于</w:t>
      </w:r>
      <w:r>
        <w:rPr>
          <w:rFonts w:hint="eastAsia"/>
          <w:color w:val="auto"/>
          <w:sz w:val="24"/>
          <w:highlight w:val="none"/>
        </w:rPr>
        <w:t>1</w:t>
      </w:r>
      <w:r>
        <w:rPr>
          <w:color w:val="auto"/>
          <w:sz w:val="24"/>
          <w:highlight w:val="none"/>
        </w:rPr>
        <w:t>次，并有书面材料备检。严格按操作规程操作，服务期间由于自身原因造成人身安全事故，由中标人自行承担，造成财产损失的，由中标人全额赔偿。中标人必须按规定程序和安全文明服务有关要求进行实施，承担员工管理等一切责任，承担服务过程中的各种意外，采购人不承担任何责任。</w:t>
      </w:r>
    </w:p>
    <w:p w14:paraId="0A020C2C">
      <w:pPr>
        <w:snapToGrid w:val="0"/>
        <w:spacing w:line="500" w:lineRule="exact"/>
        <w:ind w:firstLine="480" w:firstLineChars="200"/>
        <w:rPr>
          <w:color w:val="auto"/>
          <w:sz w:val="24"/>
          <w:highlight w:val="none"/>
        </w:rPr>
      </w:pPr>
      <w:r>
        <w:rPr>
          <w:color w:val="auto"/>
          <w:sz w:val="24"/>
          <w:highlight w:val="none"/>
        </w:rPr>
        <w:t>3、因中标人原因，发生食品安全问题，中标人应当依法赔偿，赔偿金优先在服务费中扣除。</w:t>
      </w:r>
    </w:p>
    <w:p w14:paraId="76E32BE0">
      <w:pPr>
        <w:snapToGrid w:val="0"/>
        <w:spacing w:line="500" w:lineRule="exact"/>
        <w:ind w:firstLine="480" w:firstLineChars="200"/>
        <w:rPr>
          <w:color w:val="auto"/>
          <w:sz w:val="24"/>
          <w:highlight w:val="none"/>
        </w:rPr>
      </w:pPr>
      <w:r>
        <w:rPr>
          <w:color w:val="auto"/>
          <w:sz w:val="24"/>
          <w:highlight w:val="none"/>
        </w:rPr>
        <w:t>4、中标人在服务期间发生重大安全问题的，采购人有权解除合同并视情扣除中标人的履约保证金。</w:t>
      </w:r>
    </w:p>
    <w:p w14:paraId="31D4BCCC">
      <w:pPr>
        <w:snapToGrid w:val="0"/>
        <w:spacing w:line="500" w:lineRule="exact"/>
        <w:ind w:firstLine="480" w:firstLineChars="200"/>
        <w:rPr>
          <w:color w:val="auto"/>
          <w:sz w:val="24"/>
          <w:highlight w:val="none"/>
        </w:rPr>
      </w:pPr>
      <w:r>
        <w:rPr>
          <w:color w:val="auto"/>
          <w:sz w:val="24"/>
          <w:highlight w:val="none"/>
        </w:rPr>
        <w:t>5、中标人服务期间，应遵守采购人的各项规章制度。</w:t>
      </w:r>
    </w:p>
    <w:p w14:paraId="78736E7C">
      <w:pPr>
        <w:snapToGrid w:val="0"/>
        <w:spacing w:line="500" w:lineRule="exact"/>
        <w:ind w:firstLine="480" w:firstLineChars="200"/>
        <w:rPr>
          <w:color w:val="auto"/>
          <w:sz w:val="24"/>
          <w:highlight w:val="none"/>
        </w:rPr>
      </w:pPr>
      <w:r>
        <w:rPr>
          <w:color w:val="auto"/>
          <w:sz w:val="24"/>
          <w:highlight w:val="none"/>
        </w:rPr>
        <w:t>6、服务期间，涉及采购人义务的，采购人应全力配合。</w:t>
      </w:r>
    </w:p>
    <w:p w14:paraId="29A5FE88">
      <w:pPr>
        <w:snapToGrid w:val="0"/>
        <w:spacing w:line="500" w:lineRule="exact"/>
        <w:ind w:firstLine="480" w:firstLineChars="200"/>
        <w:rPr>
          <w:color w:val="auto"/>
          <w:sz w:val="24"/>
          <w:highlight w:val="none"/>
        </w:rPr>
      </w:pPr>
      <w:r>
        <w:rPr>
          <w:color w:val="auto"/>
          <w:sz w:val="24"/>
          <w:highlight w:val="none"/>
        </w:rPr>
        <w:t>7、采购人与中标人将食堂设施一一清点，制作详单，双方签字盖章，各执一份，造成除日常磨损外的损失外，应当依法赔偿。</w:t>
      </w:r>
    </w:p>
    <w:p w14:paraId="77EABBA7">
      <w:pPr>
        <w:snapToGrid w:val="0"/>
        <w:spacing w:line="500" w:lineRule="exact"/>
        <w:ind w:firstLine="480" w:firstLineChars="200"/>
        <w:rPr>
          <w:color w:val="auto"/>
          <w:sz w:val="24"/>
          <w:highlight w:val="none"/>
        </w:rPr>
      </w:pPr>
      <w:r>
        <w:rPr>
          <w:color w:val="auto"/>
          <w:sz w:val="24"/>
          <w:highlight w:val="none"/>
        </w:rPr>
        <w:t>8、中标人在经营期间内始终拥有合法资质，按期年审，并将年审材料，复印提交采购人备案。</w:t>
      </w:r>
    </w:p>
    <w:p w14:paraId="4623B954">
      <w:pPr>
        <w:snapToGrid w:val="0"/>
        <w:spacing w:line="500" w:lineRule="exact"/>
        <w:ind w:firstLine="480" w:firstLineChars="200"/>
        <w:rPr>
          <w:color w:val="auto"/>
          <w:sz w:val="24"/>
          <w:highlight w:val="none"/>
        </w:rPr>
      </w:pPr>
      <w:r>
        <w:rPr>
          <w:color w:val="auto"/>
          <w:sz w:val="24"/>
          <w:highlight w:val="none"/>
        </w:rPr>
        <w:t>9、中标人应当提交派驻人员花名册，身份证复印件、照片一张、健康证、暂住证及其他技术证件，并在花名册上签字确认。派驻人员符合行业相关规定和要求。</w:t>
      </w:r>
    </w:p>
    <w:p w14:paraId="0D10CE50">
      <w:pPr>
        <w:snapToGrid w:val="0"/>
        <w:spacing w:line="500" w:lineRule="exact"/>
        <w:ind w:firstLine="480" w:firstLineChars="200"/>
        <w:rPr>
          <w:color w:val="auto"/>
          <w:sz w:val="24"/>
          <w:highlight w:val="none"/>
        </w:rPr>
      </w:pPr>
      <w:r>
        <w:rPr>
          <w:color w:val="auto"/>
          <w:sz w:val="24"/>
          <w:highlight w:val="none"/>
        </w:rPr>
        <w:t>10、中标人提供厨房管理条例、工作岗位安排表、考核表，如人员变动应及时提供。</w:t>
      </w:r>
    </w:p>
    <w:p w14:paraId="68225154">
      <w:pPr>
        <w:snapToGrid w:val="0"/>
        <w:spacing w:line="500" w:lineRule="exact"/>
        <w:ind w:firstLine="480" w:firstLineChars="200"/>
        <w:rPr>
          <w:color w:val="auto"/>
          <w:sz w:val="24"/>
          <w:highlight w:val="none"/>
        </w:rPr>
      </w:pPr>
      <w:r>
        <w:rPr>
          <w:color w:val="auto"/>
          <w:sz w:val="24"/>
          <w:highlight w:val="none"/>
        </w:rPr>
        <w:t>11、采购人对中标人的日常工作进行监督考核，仓库管理员、验收、收银、收费系统管理由采购人负责。</w:t>
      </w:r>
    </w:p>
    <w:p w14:paraId="683A49F3">
      <w:pPr>
        <w:snapToGrid w:val="0"/>
        <w:spacing w:line="500" w:lineRule="exact"/>
        <w:ind w:firstLine="480" w:firstLineChars="200"/>
        <w:rPr>
          <w:b/>
          <w:color w:val="auto"/>
          <w:sz w:val="24"/>
          <w:highlight w:val="none"/>
        </w:rPr>
      </w:pPr>
      <w:r>
        <w:rPr>
          <w:rFonts w:hint="eastAsia"/>
          <w:b/>
          <w:color w:val="auto"/>
          <w:sz w:val="24"/>
          <w:highlight w:val="none"/>
          <w:lang w:val="en-US" w:eastAsia="zh-CN"/>
        </w:rPr>
        <w:t>十</w:t>
      </w:r>
      <w:r>
        <w:rPr>
          <w:b/>
          <w:color w:val="auto"/>
          <w:sz w:val="24"/>
          <w:highlight w:val="none"/>
        </w:rPr>
        <w:t>、服务质量考核</w:t>
      </w:r>
    </w:p>
    <w:p w14:paraId="3216983D">
      <w:pPr>
        <w:snapToGrid w:val="0"/>
        <w:spacing w:line="500" w:lineRule="exact"/>
        <w:ind w:firstLine="480" w:firstLineChars="200"/>
        <w:rPr>
          <w:color w:val="auto"/>
          <w:sz w:val="24"/>
          <w:highlight w:val="none"/>
        </w:rPr>
      </w:pPr>
      <w:r>
        <w:rPr>
          <w:color w:val="auto"/>
          <w:sz w:val="24"/>
          <w:highlight w:val="none"/>
        </w:rPr>
        <w:t>1、否决性指标：</w:t>
      </w:r>
    </w:p>
    <w:p w14:paraId="3CE7249D">
      <w:pPr>
        <w:snapToGrid w:val="0"/>
        <w:spacing w:line="500" w:lineRule="exact"/>
        <w:ind w:firstLine="480" w:firstLineChars="200"/>
        <w:rPr>
          <w:color w:val="auto"/>
          <w:sz w:val="24"/>
          <w:highlight w:val="none"/>
        </w:rPr>
      </w:pPr>
      <w:r>
        <w:rPr>
          <w:color w:val="auto"/>
          <w:sz w:val="24"/>
          <w:highlight w:val="none"/>
        </w:rPr>
        <w:t>（1）发生严重食物中毒事件，致使多人呕吐、腹泻。</w:t>
      </w:r>
    </w:p>
    <w:p w14:paraId="634FF6E3">
      <w:pPr>
        <w:snapToGrid w:val="0"/>
        <w:spacing w:line="500" w:lineRule="exact"/>
        <w:ind w:firstLine="480" w:firstLineChars="200"/>
        <w:rPr>
          <w:color w:val="auto"/>
          <w:sz w:val="24"/>
          <w:highlight w:val="none"/>
        </w:rPr>
      </w:pPr>
      <w:r>
        <w:rPr>
          <w:color w:val="auto"/>
          <w:sz w:val="24"/>
          <w:highlight w:val="none"/>
        </w:rPr>
        <w:t>（2）当年餐厅就餐人员发生食源性甲乙类传染病的暴发流行。</w:t>
      </w:r>
    </w:p>
    <w:p w14:paraId="5F7A87B8">
      <w:pPr>
        <w:snapToGrid w:val="0"/>
        <w:spacing w:line="500" w:lineRule="exact"/>
        <w:ind w:firstLine="480" w:firstLineChars="200"/>
        <w:rPr>
          <w:color w:val="auto"/>
          <w:sz w:val="24"/>
          <w:highlight w:val="none"/>
        </w:rPr>
      </w:pPr>
      <w:r>
        <w:rPr>
          <w:color w:val="auto"/>
          <w:sz w:val="24"/>
          <w:highlight w:val="none"/>
        </w:rPr>
        <w:t>（3）发生因职工失职造成的生产、消防等重大恶性安全事故。</w:t>
      </w:r>
    </w:p>
    <w:p w14:paraId="6543DB89">
      <w:pPr>
        <w:snapToGrid w:val="0"/>
        <w:spacing w:line="500" w:lineRule="exact"/>
        <w:ind w:firstLine="480" w:firstLineChars="200"/>
        <w:rPr>
          <w:rFonts w:hint="eastAsia"/>
          <w:color w:val="auto"/>
          <w:sz w:val="24"/>
          <w:highlight w:val="none"/>
        </w:rPr>
      </w:pPr>
      <w:r>
        <w:rPr>
          <w:rFonts w:hint="eastAsia"/>
          <w:color w:val="auto"/>
          <w:sz w:val="24"/>
          <w:highlight w:val="none"/>
        </w:rPr>
        <w:t>（4）由于中标人原因，严重影响采购单位社会声誉。</w:t>
      </w:r>
    </w:p>
    <w:p w14:paraId="091D3934">
      <w:pPr>
        <w:snapToGrid w:val="0"/>
        <w:spacing w:line="500" w:lineRule="exact"/>
        <w:ind w:firstLine="480" w:firstLineChars="200"/>
        <w:rPr>
          <w:rFonts w:hint="eastAsia" w:hAnsi="宋体"/>
          <w:color w:val="auto"/>
          <w:sz w:val="24"/>
          <w:highlight w:val="none"/>
        </w:rPr>
      </w:pPr>
      <w:r>
        <w:rPr>
          <w:color w:val="auto"/>
          <w:sz w:val="24"/>
          <w:highlight w:val="none"/>
        </w:rPr>
        <w:t>存在上述任何一项指标所列行为的，由中标人赔偿损失，承担一切责任，采购人有权提前解除合同</w:t>
      </w:r>
      <w:r>
        <w:rPr>
          <w:rFonts w:hint="eastAsia" w:hAnsi="宋体"/>
          <w:color w:val="auto"/>
          <w:sz w:val="24"/>
          <w:highlight w:val="none"/>
        </w:rPr>
        <w:t>。</w:t>
      </w:r>
    </w:p>
    <w:p w14:paraId="48FEB672">
      <w:pPr>
        <w:snapToGrid w:val="0"/>
        <w:spacing w:line="500" w:lineRule="exact"/>
        <w:ind w:firstLine="480" w:firstLineChars="200"/>
        <w:rPr>
          <w:rFonts w:hint="eastAsia"/>
          <w:color w:val="auto"/>
          <w:sz w:val="24"/>
          <w:highlight w:val="none"/>
        </w:rPr>
      </w:pPr>
      <w:r>
        <w:rPr>
          <w:rFonts w:hint="eastAsia" w:hAnsi="宋体"/>
          <w:color w:val="auto"/>
          <w:sz w:val="24"/>
          <w:highlight w:val="none"/>
        </w:rPr>
        <w:t>由上述原因而被终止合同的，不退还履约保证金。</w:t>
      </w:r>
    </w:p>
    <w:p w14:paraId="165E478F">
      <w:pPr>
        <w:snapToGrid w:val="0"/>
        <w:spacing w:line="500" w:lineRule="exact"/>
        <w:ind w:firstLine="480" w:firstLineChars="200"/>
        <w:rPr>
          <w:color w:val="auto"/>
          <w:sz w:val="24"/>
          <w:highlight w:val="none"/>
        </w:rPr>
      </w:pPr>
      <w:r>
        <w:rPr>
          <w:color w:val="auto"/>
          <w:sz w:val="24"/>
          <w:highlight w:val="none"/>
        </w:rPr>
        <w:t>2、月度考核日常实施细则：</w:t>
      </w:r>
    </w:p>
    <w:p w14:paraId="31A5AE8F">
      <w:pPr>
        <w:snapToGrid w:val="0"/>
        <w:spacing w:line="500" w:lineRule="exact"/>
        <w:ind w:firstLine="480" w:firstLineChars="200"/>
        <w:rPr>
          <w:color w:val="auto"/>
          <w:sz w:val="24"/>
          <w:highlight w:val="none"/>
        </w:rPr>
      </w:pPr>
      <w:r>
        <w:rPr>
          <w:color w:val="auto"/>
          <w:sz w:val="24"/>
          <w:highlight w:val="none"/>
        </w:rPr>
        <w:t>采购人根据下表月度考核日常实施细则对中标人的服务质量进行日常考核。月度考核扣款在当月服务费中直接扣除。</w:t>
      </w:r>
    </w:p>
    <w:p w14:paraId="7E840036">
      <w:pPr>
        <w:snapToGrid w:val="0"/>
        <w:spacing w:line="500" w:lineRule="exact"/>
        <w:ind w:firstLine="480" w:firstLineChars="200"/>
        <w:jc w:val="center"/>
        <w:rPr>
          <w:b/>
          <w:color w:val="auto"/>
          <w:sz w:val="24"/>
          <w:highlight w:val="none"/>
        </w:rPr>
      </w:pPr>
      <w:r>
        <w:rPr>
          <w:b/>
          <w:color w:val="auto"/>
          <w:sz w:val="24"/>
          <w:highlight w:val="none"/>
        </w:rPr>
        <w:t>月度考核日常实施细则</w:t>
      </w:r>
    </w:p>
    <w:tbl>
      <w:tblPr>
        <w:tblStyle w:val="4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272"/>
        <w:gridCol w:w="2835"/>
        <w:gridCol w:w="1134"/>
      </w:tblGrid>
      <w:tr w14:paraId="61C6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2C2C7D5">
            <w:pPr>
              <w:tabs>
                <w:tab w:val="left" w:pos="1260"/>
              </w:tabs>
              <w:spacing w:line="460" w:lineRule="exact"/>
              <w:jc w:val="center"/>
              <w:rPr>
                <w:rFonts w:hAnsi="宋体"/>
                <w:color w:val="auto"/>
                <w:sz w:val="24"/>
                <w:highlight w:val="none"/>
              </w:rPr>
            </w:pPr>
            <w:r>
              <w:rPr>
                <w:rFonts w:hAnsi="宋体"/>
                <w:color w:val="auto"/>
                <w:sz w:val="24"/>
                <w:highlight w:val="none"/>
              </w:rPr>
              <w:t>序号</w:t>
            </w:r>
          </w:p>
        </w:tc>
        <w:tc>
          <w:tcPr>
            <w:tcW w:w="5272" w:type="dxa"/>
            <w:noWrap w:val="0"/>
            <w:vAlign w:val="center"/>
          </w:tcPr>
          <w:p w14:paraId="43F3E916">
            <w:pPr>
              <w:tabs>
                <w:tab w:val="left" w:pos="1260"/>
              </w:tabs>
              <w:spacing w:line="460" w:lineRule="exact"/>
              <w:jc w:val="center"/>
              <w:rPr>
                <w:rFonts w:hAnsi="宋体"/>
                <w:color w:val="auto"/>
                <w:sz w:val="24"/>
                <w:highlight w:val="none"/>
              </w:rPr>
            </w:pPr>
            <w:r>
              <w:rPr>
                <w:rFonts w:hAnsi="宋体"/>
                <w:color w:val="auto"/>
                <w:sz w:val="24"/>
                <w:highlight w:val="none"/>
              </w:rPr>
              <w:t>考核扣款内容</w:t>
            </w:r>
            <w:r>
              <w:rPr>
                <w:rFonts w:hint="eastAsia" w:hAnsi="宋体"/>
                <w:color w:val="auto"/>
                <w:sz w:val="24"/>
                <w:highlight w:val="none"/>
              </w:rPr>
              <w:t>(每扣1分，按扣除服务费200元计。）</w:t>
            </w:r>
          </w:p>
        </w:tc>
        <w:tc>
          <w:tcPr>
            <w:tcW w:w="2835" w:type="dxa"/>
            <w:noWrap w:val="0"/>
            <w:vAlign w:val="center"/>
          </w:tcPr>
          <w:p w14:paraId="4AA4A5D5">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扣分值</w:t>
            </w:r>
          </w:p>
        </w:tc>
        <w:tc>
          <w:tcPr>
            <w:tcW w:w="1134" w:type="dxa"/>
            <w:noWrap w:val="0"/>
            <w:vAlign w:val="center"/>
          </w:tcPr>
          <w:p w14:paraId="6DC25B18">
            <w:pPr>
              <w:tabs>
                <w:tab w:val="left" w:pos="1260"/>
              </w:tabs>
              <w:spacing w:line="460" w:lineRule="exact"/>
              <w:jc w:val="center"/>
              <w:rPr>
                <w:rFonts w:hAnsi="宋体"/>
                <w:color w:val="auto"/>
                <w:sz w:val="24"/>
                <w:highlight w:val="none"/>
              </w:rPr>
            </w:pPr>
            <w:r>
              <w:rPr>
                <w:rFonts w:hAnsi="宋体"/>
                <w:color w:val="auto"/>
                <w:sz w:val="24"/>
                <w:highlight w:val="none"/>
              </w:rPr>
              <w:t>备注</w:t>
            </w:r>
          </w:p>
        </w:tc>
      </w:tr>
      <w:tr w14:paraId="19BD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20DE559">
            <w:pPr>
              <w:tabs>
                <w:tab w:val="left" w:pos="1260"/>
              </w:tabs>
              <w:spacing w:line="460" w:lineRule="exact"/>
              <w:jc w:val="center"/>
              <w:rPr>
                <w:rFonts w:hAnsi="宋体"/>
                <w:color w:val="auto"/>
                <w:sz w:val="24"/>
                <w:highlight w:val="none"/>
              </w:rPr>
            </w:pPr>
            <w:r>
              <w:rPr>
                <w:rFonts w:hAnsi="宋体"/>
                <w:color w:val="auto"/>
                <w:sz w:val="24"/>
                <w:highlight w:val="none"/>
              </w:rPr>
              <w:t>1</w:t>
            </w:r>
          </w:p>
        </w:tc>
        <w:tc>
          <w:tcPr>
            <w:tcW w:w="5272" w:type="dxa"/>
            <w:noWrap w:val="0"/>
            <w:vAlign w:val="center"/>
          </w:tcPr>
          <w:p w14:paraId="54AE6550">
            <w:pPr>
              <w:tabs>
                <w:tab w:val="left" w:pos="1260"/>
                <w:tab w:val="left" w:pos="2240"/>
              </w:tabs>
              <w:spacing w:line="460" w:lineRule="exact"/>
              <w:rPr>
                <w:rFonts w:hAnsi="宋体"/>
                <w:color w:val="auto"/>
                <w:sz w:val="24"/>
                <w:highlight w:val="none"/>
              </w:rPr>
            </w:pPr>
            <w:r>
              <w:rPr>
                <w:rFonts w:hAnsi="宋体"/>
                <w:color w:val="auto"/>
                <w:sz w:val="24"/>
                <w:highlight w:val="none"/>
              </w:rPr>
              <w:t>人员配备未按合同规定要求的（健康证、厨师</w:t>
            </w:r>
            <w:r>
              <w:rPr>
                <w:rFonts w:hint="eastAsia" w:hAnsi="宋体"/>
                <w:color w:val="auto"/>
                <w:sz w:val="24"/>
                <w:highlight w:val="none"/>
              </w:rPr>
              <w:t>面点师</w:t>
            </w:r>
            <w:r>
              <w:rPr>
                <w:rFonts w:hAnsi="宋体"/>
                <w:color w:val="auto"/>
                <w:sz w:val="24"/>
                <w:highlight w:val="none"/>
              </w:rPr>
              <w:t>等级证、上岗证</w:t>
            </w:r>
            <w:r>
              <w:rPr>
                <w:rFonts w:hint="eastAsia" w:hAnsi="宋体"/>
                <w:color w:val="auto"/>
                <w:sz w:val="24"/>
                <w:highlight w:val="none"/>
              </w:rPr>
              <w:t>、人员年龄要求</w:t>
            </w:r>
            <w:r>
              <w:rPr>
                <w:rFonts w:hAnsi="宋体"/>
                <w:color w:val="auto"/>
                <w:sz w:val="24"/>
                <w:highlight w:val="none"/>
              </w:rPr>
              <w:t>等）</w:t>
            </w:r>
          </w:p>
        </w:tc>
        <w:tc>
          <w:tcPr>
            <w:tcW w:w="2835" w:type="dxa"/>
            <w:noWrap w:val="0"/>
            <w:vAlign w:val="center"/>
          </w:tcPr>
          <w:p w14:paraId="1301A4F3">
            <w:pPr>
              <w:tabs>
                <w:tab w:val="left" w:pos="1260"/>
              </w:tabs>
              <w:spacing w:line="460" w:lineRule="exact"/>
              <w:jc w:val="center"/>
              <w:rPr>
                <w:rFonts w:hAnsi="宋体"/>
                <w:color w:val="auto"/>
                <w:sz w:val="24"/>
                <w:highlight w:val="none"/>
              </w:rPr>
            </w:pPr>
            <w:r>
              <w:rPr>
                <w:rFonts w:hint="eastAsia" w:hAnsi="宋体"/>
                <w:color w:val="auto"/>
                <w:sz w:val="24"/>
                <w:highlight w:val="none"/>
              </w:rPr>
              <w:t>5分</w:t>
            </w:r>
            <w:r>
              <w:rPr>
                <w:rFonts w:hAnsi="宋体"/>
                <w:color w:val="auto"/>
                <w:sz w:val="24"/>
                <w:highlight w:val="none"/>
              </w:rPr>
              <w:t>/人次</w:t>
            </w:r>
          </w:p>
        </w:tc>
        <w:tc>
          <w:tcPr>
            <w:tcW w:w="1134" w:type="dxa"/>
            <w:noWrap w:val="0"/>
            <w:vAlign w:val="center"/>
          </w:tcPr>
          <w:p w14:paraId="4C101D57">
            <w:pPr>
              <w:tabs>
                <w:tab w:val="left" w:pos="1260"/>
              </w:tabs>
              <w:spacing w:line="460" w:lineRule="exact"/>
              <w:jc w:val="center"/>
              <w:rPr>
                <w:rFonts w:hAnsi="宋体"/>
                <w:color w:val="auto"/>
                <w:sz w:val="24"/>
                <w:highlight w:val="none"/>
              </w:rPr>
            </w:pPr>
          </w:p>
        </w:tc>
      </w:tr>
      <w:tr w14:paraId="2324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6E6E623">
            <w:pPr>
              <w:tabs>
                <w:tab w:val="left" w:pos="1260"/>
              </w:tabs>
              <w:spacing w:line="460" w:lineRule="exact"/>
              <w:jc w:val="center"/>
              <w:rPr>
                <w:rFonts w:hAnsi="宋体"/>
                <w:color w:val="auto"/>
                <w:sz w:val="24"/>
                <w:highlight w:val="none"/>
              </w:rPr>
            </w:pPr>
            <w:r>
              <w:rPr>
                <w:rFonts w:hAnsi="宋体"/>
                <w:color w:val="auto"/>
                <w:sz w:val="24"/>
                <w:highlight w:val="none"/>
              </w:rPr>
              <w:t>2</w:t>
            </w:r>
          </w:p>
        </w:tc>
        <w:tc>
          <w:tcPr>
            <w:tcW w:w="5272" w:type="dxa"/>
            <w:noWrap w:val="0"/>
            <w:vAlign w:val="center"/>
          </w:tcPr>
          <w:p w14:paraId="23601C5D">
            <w:pPr>
              <w:tabs>
                <w:tab w:val="left" w:pos="1260"/>
              </w:tabs>
              <w:spacing w:line="460" w:lineRule="exact"/>
              <w:rPr>
                <w:rFonts w:hAnsi="宋体"/>
                <w:color w:val="auto"/>
                <w:sz w:val="24"/>
                <w:highlight w:val="none"/>
              </w:rPr>
            </w:pPr>
            <w:r>
              <w:rPr>
                <w:rFonts w:hAnsi="宋体"/>
                <w:color w:val="auto"/>
                <w:sz w:val="24"/>
                <w:highlight w:val="none"/>
              </w:rPr>
              <w:t>用工手续不齐全或支付员工工资不及时的</w:t>
            </w:r>
          </w:p>
        </w:tc>
        <w:tc>
          <w:tcPr>
            <w:tcW w:w="2835" w:type="dxa"/>
            <w:noWrap w:val="0"/>
            <w:vAlign w:val="center"/>
          </w:tcPr>
          <w:p w14:paraId="7421AE06">
            <w:pPr>
              <w:tabs>
                <w:tab w:val="left" w:pos="1260"/>
              </w:tabs>
              <w:spacing w:line="460" w:lineRule="exact"/>
              <w:jc w:val="center"/>
              <w:rPr>
                <w:rFonts w:hAnsi="宋体"/>
                <w:color w:val="auto"/>
                <w:sz w:val="24"/>
                <w:highlight w:val="none"/>
              </w:rPr>
            </w:pPr>
            <w:r>
              <w:rPr>
                <w:rFonts w:hint="eastAsia" w:hAnsi="宋体"/>
                <w:color w:val="auto"/>
                <w:sz w:val="24"/>
                <w:highlight w:val="none"/>
              </w:rPr>
              <w:t>5分</w:t>
            </w:r>
            <w:r>
              <w:rPr>
                <w:rFonts w:hAnsi="宋体"/>
                <w:color w:val="auto"/>
                <w:sz w:val="24"/>
                <w:highlight w:val="none"/>
              </w:rPr>
              <w:t>/人次</w:t>
            </w:r>
          </w:p>
        </w:tc>
        <w:tc>
          <w:tcPr>
            <w:tcW w:w="1134" w:type="dxa"/>
            <w:noWrap w:val="0"/>
            <w:vAlign w:val="center"/>
          </w:tcPr>
          <w:p w14:paraId="3F61AC3D">
            <w:pPr>
              <w:tabs>
                <w:tab w:val="left" w:pos="1260"/>
              </w:tabs>
              <w:spacing w:line="460" w:lineRule="exact"/>
              <w:jc w:val="center"/>
              <w:rPr>
                <w:rFonts w:hAnsi="宋体"/>
                <w:color w:val="auto"/>
                <w:sz w:val="24"/>
                <w:highlight w:val="none"/>
              </w:rPr>
            </w:pPr>
          </w:p>
        </w:tc>
      </w:tr>
      <w:tr w14:paraId="7E5B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0F52ED6">
            <w:pPr>
              <w:tabs>
                <w:tab w:val="left" w:pos="1260"/>
              </w:tabs>
              <w:spacing w:line="460" w:lineRule="exact"/>
              <w:jc w:val="center"/>
              <w:rPr>
                <w:rFonts w:hAnsi="宋体"/>
                <w:color w:val="auto"/>
                <w:sz w:val="24"/>
                <w:highlight w:val="none"/>
              </w:rPr>
            </w:pPr>
            <w:r>
              <w:rPr>
                <w:rFonts w:hAnsi="宋体"/>
                <w:color w:val="auto"/>
                <w:sz w:val="24"/>
                <w:highlight w:val="none"/>
              </w:rPr>
              <w:t>3</w:t>
            </w:r>
          </w:p>
        </w:tc>
        <w:tc>
          <w:tcPr>
            <w:tcW w:w="5272" w:type="dxa"/>
            <w:noWrap w:val="0"/>
            <w:vAlign w:val="center"/>
          </w:tcPr>
          <w:p w14:paraId="4E65A9D5">
            <w:pPr>
              <w:tabs>
                <w:tab w:val="left" w:pos="1260"/>
              </w:tabs>
              <w:spacing w:line="460" w:lineRule="exact"/>
              <w:rPr>
                <w:rFonts w:hAnsi="宋体"/>
                <w:color w:val="auto"/>
                <w:sz w:val="24"/>
                <w:highlight w:val="none"/>
              </w:rPr>
            </w:pPr>
            <w:r>
              <w:rPr>
                <w:rFonts w:hAnsi="宋体"/>
                <w:color w:val="auto"/>
                <w:sz w:val="24"/>
                <w:highlight w:val="none"/>
              </w:rPr>
              <w:t>未按国家规定给员工交“五</w:t>
            </w:r>
            <w:r>
              <w:rPr>
                <w:rFonts w:hint="eastAsia" w:hAnsi="宋体"/>
                <w:color w:val="auto"/>
                <w:sz w:val="24"/>
                <w:highlight w:val="none"/>
              </w:rPr>
              <w:t>险一金”</w:t>
            </w:r>
          </w:p>
        </w:tc>
        <w:tc>
          <w:tcPr>
            <w:tcW w:w="2835" w:type="dxa"/>
            <w:noWrap w:val="0"/>
            <w:vAlign w:val="center"/>
          </w:tcPr>
          <w:p w14:paraId="1EDDB77D">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10分/人次</w:t>
            </w:r>
          </w:p>
        </w:tc>
        <w:tc>
          <w:tcPr>
            <w:tcW w:w="1134" w:type="dxa"/>
            <w:noWrap w:val="0"/>
            <w:vAlign w:val="center"/>
          </w:tcPr>
          <w:p w14:paraId="11577530">
            <w:pPr>
              <w:tabs>
                <w:tab w:val="left" w:pos="1260"/>
              </w:tabs>
              <w:spacing w:line="460" w:lineRule="exact"/>
              <w:jc w:val="center"/>
              <w:rPr>
                <w:rFonts w:hAnsi="宋体"/>
                <w:color w:val="auto"/>
                <w:sz w:val="24"/>
                <w:highlight w:val="none"/>
              </w:rPr>
            </w:pPr>
          </w:p>
        </w:tc>
      </w:tr>
      <w:tr w14:paraId="3A49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6D5C917">
            <w:pPr>
              <w:tabs>
                <w:tab w:val="left" w:pos="1260"/>
              </w:tabs>
              <w:spacing w:line="460" w:lineRule="exact"/>
              <w:jc w:val="center"/>
              <w:rPr>
                <w:rFonts w:hAnsi="宋体"/>
                <w:color w:val="auto"/>
                <w:sz w:val="24"/>
                <w:highlight w:val="none"/>
              </w:rPr>
            </w:pPr>
            <w:r>
              <w:rPr>
                <w:rFonts w:hAnsi="宋体"/>
                <w:color w:val="auto"/>
                <w:sz w:val="24"/>
                <w:highlight w:val="none"/>
              </w:rPr>
              <w:t>4</w:t>
            </w:r>
          </w:p>
        </w:tc>
        <w:tc>
          <w:tcPr>
            <w:tcW w:w="5272" w:type="dxa"/>
            <w:noWrap w:val="0"/>
            <w:vAlign w:val="center"/>
          </w:tcPr>
          <w:p w14:paraId="7D8AB7E3">
            <w:pPr>
              <w:tabs>
                <w:tab w:val="left" w:pos="1260"/>
              </w:tabs>
              <w:spacing w:line="460" w:lineRule="exact"/>
              <w:rPr>
                <w:rFonts w:hAnsi="宋体"/>
                <w:color w:val="auto"/>
                <w:sz w:val="24"/>
                <w:highlight w:val="none"/>
              </w:rPr>
            </w:pPr>
            <w:r>
              <w:rPr>
                <w:rFonts w:hAnsi="宋体"/>
                <w:color w:val="auto"/>
                <w:sz w:val="24"/>
                <w:highlight w:val="none"/>
              </w:rPr>
              <w:t>未按规定时间上下班的，或未按规定时间营业的</w:t>
            </w:r>
          </w:p>
        </w:tc>
        <w:tc>
          <w:tcPr>
            <w:tcW w:w="2835" w:type="dxa"/>
            <w:noWrap w:val="0"/>
            <w:vAlign w:val="center"/>
          </w:tcPr>
          <w:p w14:paraId="7A29B27A">
            <w:pPr>
              <w:tabs>
                <w:tab w:val="left" w:pos="1260"/>
              </w:tabs>
              <w:spacing w:line="460" w:lineRule="exact"/>
              <w:jc w:val="center"/>
              <w:rPr>
                <w:rFonts w:hAnsi="宋体"/>
                <w:color w:val="auto"/>
                <w:sz w:val="24"/>
                <w:highlight w:val="none"/>
              </w:rPr>
            </w:pPr>
            <w:r>
              <w:rPr>
                <w:rFonts w:hint="eastAsia" w:hAnsi="宋体"/>
                <w:color w:val="auto"/>
                <w:sz w:val="24"/>
                <w:highlight w:val="none"/>
              </w:rPr>
              <w:t>1分</w:t>
            </w:r>
            <w:r>
              <w:rPr>
                <w:rFonts w:hAnsi="宋体"/>
                <w:color w:val="auto"/>
                <w:sz w:val="24"/>
                <w:highlight w:val="none"/>
              </w:rPr>
              <w:t>/</w:t>
            </w:r>
            <w:r>
              <w:rPr>
                <w:rFonts w:hint="eastAsia" w:hAnsi="宋体"/>
                <w:color w:val="auto"/>
                <w:sz w:val="24"/>
                <w:highlight w:val="none"/>
              </w:rPr>
              <w:t>人</w:t>
            </w:r>
            <w:r>
              <w:rPr>
                <w:rFonts w:hAnsi="宋体"/>
                <w:color w:val="auto"/>
                <w:sz w:val="24"/>
                <w:highlight w:val="none"/>
              </w:rPr>
              <w:t>次</w:t>
            </w:r>
          </w:p>
        </w:tc>
        <w:tc>
          <w:tcPr>
            <w:tcW w:w="1134" w:type="dxa"/>
            <w:noWrap w:val="0"/>
            <w:vAlign w:val="center"/>
          </w:tcPr>
          <w:p w14:paraId="2C6B37CE">
            <w:pPr>
              <w:tabs>
                <w:tab w:val="left" w:pos="1260"/>
              </w:tabs>
              <w:spacing w:line="460" w:lineRule="exact"/>
              <w:jc w:val="center"/>
              <w:rPr>
                <w:rFonts w:hAnsi="宋体"/>
                <w:color w:val="auto"/>
                <w:sz w:val="24"/>
                <w:highlight w:val="none"/>
              </w:rPr>
            </w:pPr>
          </w:p>
        </w:tc>
      </w:tr>
      <w:tr w14:paraId="67E0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DD76129">
            <w:pPr>
              <w:tabs>
                <w:tab w:val="left" w:pos="1260"/>
              </w:tabs>
              <w:spacing w:line="460" w:lineRule="exact"/>
              <w:jc w:val="center"/>
              <w:rPr>
                <w:rFonts w:hAnsi="宋体"/>
                <w:color w:val="auto"/>
                <w:sz w:val="24"/>
                <w:highlight w:val="none"/>
              </w:rPr>
            </w:pPr>
            <w:r>
              <w:rPr>
                <w:rFonts w:hAnsi="宋体"/>
                <w:color w:val="auto"/>
                <w:sz w:val="24"/>
                <w:highlight w:val="none"/>
              </w:rPr>
              <w:t>5</w:t>
            </w:r>
          </w:p>
        </w:tc>
        <w:tc>
          <w:tcPr>
            <w:tcW w:w="5272" w:type="dxa"/>
            <w:noWrap w:val="0"/>
            <w:vAlign w:val="center"/>
          </w:tcPr>
          <w:p w14:paraId="6ACC3E9B">
            <w:pPr>
              <w:tabs>
                <w:tab w:val="left" w:pos="1260"/>
              </w:tabs>
              <w:spacing w:line="460" w:lineRule="exact"/>
              <w:rPr>
                <w:rFonts w:hAnsi="宋体"/>
                <w:color w:val="auto"/>
                <w:sz w:val="24"/>
                <w:highlight w:val="none"/>
              </w:rPr>
            </w:pPr>
            <w:r>
              <w:rPr>
                <w:rFonts w:hAnsi="宋体"/>
                <w:color w:val="auto"/>
                <w:sz w:val="24"/>
                <w:highlight w:val="none"/>
              </w:rPr>
              <w:t>服务人员未按规定统一着装和佩戴口罩、工牌、帽子等，或着装不整洁</w:t>
            </w:r>
            <w:r>
              <w:rPr>
                <w:rFonts w:hint="eastAsia" w:hAnsi="宋体"/>
                <w:color w:val="auto"/>
                <w:sz w:val="24"/>
                <w:highlight w:val="none"/>
              </w:rPr>
              <w:t>、仪表不规范的</w:t>
            </w:r>
          </w:p>
        </w:tc>
        <w:tc>
          <w:tcPr>
            <w:tcW w:w="2835" w:type="dxa"/>
            <w:noWrap w:val="0"/>
            <w:vAlign w:val="center"/>
          </w:tcPr>
          <w:p w14:paraId="2F6BB626">
            <w:pPr>
              <w:tabs>
                <w:tab w:val="left" w:pos="1260"/>
              </w:tabs>
              <w:spacing w:line="460" w:lineRule="exact"/>
              <w:jc w:val="center"/>
              <w:rPr>
                <w:rFonts w:hAnsi="宋体"/>
                <w:color w:val="auto"/>
                <w:sz w:val="24"/>
                <w:highlight w:val="none"/>
              </w:rPr>
            </w:pPr>
            <w:r>
              <w:rPr>
                <w:rFonts w:hint="eastAsia" w:hAnsi="宋体"/>
                <w:color w:val="auto"/>
                <w:sz w:val="24"/>
                <w:highlight w:val="none"/>
              </w:rPr>
              <w:t>1分</w:t>
            </w:r>
            <w:r>
              <w:rPr>
                <w:rFonts w:hAnsi="宋体"/>
                <w:color w:val="auto"/>
                <w:sz w:val="24"/>
                <w:highlight w:val="none"/>
              </w:rPr>
              <w:t>/</w:t>
            </w:r>
            <w:r>
              <w:rPr>
                <w:rFonts w:hint="eastAsia" w:hAnsi="宋体"/>
                <w:color w:val="auto"/>
                <w:sz w:val="24"/>
                <w:highlight w:val="none"/>
              </w:rPr>
              <w:t>人</w:t>
            </w:r>
            <w:r>
              <w:rPr>
                <w:rFonts w:hAnsi="宋体"/>
                <w:color w:val="auto"/>
                <w:sz w:val="24"/>
                <w:highlight w:val="none"/>
              </w:rPr>
              <w:t>次</w:t>
            </w:r>
          </w:p>
        </w:tc>
        <w:tc>
          <w:tcPr>
            <w:tcW w:w="1134" w:type="dxa"/>
            <w:noWrap w:val="0"/>
            <w:vAlign w:val="center"/>
          </w:tcPr>
          <w:p w14:paraId="4093E675">
            <w:pPr>
              <w:tabs>
                <w:tab w:val="left" w:pos="1260"/>
              </w:tabs>
              <w:spacing w:line="460" w:lineRule="exact"/>
              <w:jc w:val="center"/>
              <w:rPr>
                <w:rFonts w:hAnsi="宋体"/>
                <w:color w:val="auto"/>
                <w:sz w:val="24"/>
                <w:highlight w:val="none"/>
              </w:rPr>
            </w:pPr>
          </w:p>
        </w:tc>
      </w:tr>
      <w:tr w14:paraId="6EE6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4BB84B3B">
            <w:pPr>
              <w:tabs>
                <w:tab w:val="left" w:pos="1260"/>
              </w:tabs>
              <w:spacing w:line="460" w:lineRule="exact"/>
              <w:jc w:val="center"/>
              <w:rPr>
                <w:rFonts w:hAnsi="宋体"/>
                <w:color w:val="auto"/>
                <w:sz w:val="24"/>
                <w:highlight w:val="none"/>
              </w:rPr>
            </w:pPr>
            <w:r>
              <w:rPr>
                <w:rFonts w:hAnsi="宋体"/>
                <w:color w:val="auto"/>
                <w:sz w:val="24"/>
                <w:highlight w:val="none"/>
              </w:rPr>
              <w:t>6</w:t>
            </w:r>
          </w:p>
        </w:tc>
        <w:tc>
          <w:tcPr>
            <w:tcW w:w="5272" w:type="dxa"/>
            <w:noWrap w:val="0"/>
            <w:vAlign w:val="center"/>
          </w:tcPr>
          <w:p w14:paraId="763EA8E5">
            <w:pPr>
              <w:tabs>
                <w:tab w:val="left" w:pos="1260"/>
              </w:tabs>
              <w:spacing w:line="460" w:lineRule="exact"/>
              <w:rPr>
                <w:rFonts w:hAnsi="宋体"/>
                <w:color w:val="auto"/>
                <w:sz w:val="24"/>
                <w:highlight w:val="none"/>
              </w:rPr>
            </w:pPr>
            <w:r>
              <w:rPr>
                <w:rFonts w:hAnsi="宋体"/>
                <w:color w:val="auto"/>
                <w:sz w:val="24"/>
                <w:highlight w:val="none"/>
              </w:rPr>
              <w:t>每月少于</w:t>
            </w:r>
            <w:r>
              <w:rPr>
                <w:rFonts w:hint="eastAsia" w:hAnsi="宋体"/>
                <w:color w:val="auto"/>
                <w:sz w:val="24"/>
                <w:highlight w:val="none"/>
              </w:rPr>
              <w:t>一</w:t>
            </w:r>
            <w:r>
              <w:rPr>
                <w:rFonts w:hAnsi="宋体"/>
                <w:color w:val="auto"/>
                <w:sz w:val="24"/>
                <w:highlight w:val="none"/>
              </w:rPr>
              <w:t>次对员工进行安全生产、服务礼仪、专业技能、应急预案等进行全员培训</w:t>
            </w:r>
          </w:p>
        </w:tc>
        <w:tc>
          <w:tcPr>
            <w:tcW w:w="2835" w:type="dxa"/>
            <w:noWrap w:val="0"/>
            <w:vAlign w:val="center"/>
          </w:tcPr>
          <w:p w14:paraId="590F8A89">
            <w:pPr>
              <w:tabs>
                <w:tab w:val="left" w:pos="1260"/>
              </w:tabs>
              <w:spacing w:line="460" w:lineRule="exact"/>
              <w:jc w:val="center"/>
              <w:rPr>
                <w:rFonts w:hAnsi="宋体"/>
                <w:color w:val="auto"/>
                <w:sz w:val="24"/>
                <w:highlight w:val="none"/>
              </w:rPr>
            </w:pPr>
            <w:r>
              <w:rPr>
                <w:rFonts w:hint="eastAsia" w:hAnsi="宋体"/>
                <w:color w:val="auto"/>
                <w:sz w:val="24"/>
                <w:highlight w:val="none"/>
              </w:rPr>
              <w:t>2分</w:t>
            </w:r>
            <w:r>
              <w:rPr>
                <w:rFonts w:hAnsi="宋体"/>
                <w:color w:val="auto"/>
                <w:sz w:val="24"/>
                <w:highlight w:val="none"/>
              </w:rPr>
              <w:t>/次</w:t>
            </w:r>
          </w:p>
        </w:tc>
        <w:tc>
          <w:tcPr>
            <w:tcW w:w="1134" w:type="dxa"/>
            <w:noWrap w:val="0"/>
            <w:vAlign w:val="center"/>
          </w:tcPr>
          <w:p w14:paraId="6FB43896">
            <w:pPr>
              <w:tabs>
                <w:tab w:val="left" w:pos="1260"/>
              </w:tabs>
              <w:spacing w:line="460" w:lineRule="exact"/>
              <w:jc w:val="center"/>
              <w:rPr>
                <w:rFonts w:hAnsi="宋体"/>
                <w:color w:val="auto"/>
                <w:sz w:val="24"/>
                <w:highlight w:val="none"/>
              </w:rPr>
            </w:pPr>
          </w:p>
        </w:tc>
      </w:tr>
      <w:tr w14:paraId="14E2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FF71D89">
            <w:pPr>
              <w:tabs>
                <w:tab w:val="left" w:pos="1260"/>
              </w:tabs>
              <w:spacing w:line="460" w:lineRule="exact"/>
              <w:jc w:val="center"/>
              <w:rPr>
                <w:rFonts w:hAnsi="宋体"/>
                <w:color w:val="auto"/>
                <w:sz w:val="24"/>
                <w:highlight w:val="none"/>
              </w:rPr>
            </w:pPr>
            <w:r>
              <w:rPr>
                <w:rFonts w:hAnsi="宋体"/>
                <w:color w:val="auto"/>
                <w:sz w:val="24"/>
                <w:highlight w:val="none"/>
              </w:rPr>
              <w:t>7</w:t>
            </w:r>
          </w:p>
        </w:tc>
        <w:tc>
          <w:tcPr>
            <w:tcW w:w="5272" w:type="dxa"/>
            <w:noWrap w:val="0"/>
            <w:vAlign w:val="center"/>
          </w:tcPr>
          <w:p w14:paraId="3788C8AF">
            <w:pPr>
              <w:tabs>
                <w:tab w:val="left" w:pos="1260"/>
              </w:tabs>
              <w:spacing w:line="460" w:lineRule="exact"/>
              <w:rPr>
                <w:rFonts w:hAnsi="宋体"/>
                <w:color w:val="auto"/>
                <w:sz w:val="24"/>
                <w:highlight w:val="none"/>
              </w:rPr>
            </w:pPr>
            <w:r>
              <w:rPr>
                <w:rFonts w:hAnsi="宋体"/>
                <w:color w:val="auto"/>
                <w:sz w:val="24"/>
                <w:highlight w:val="none"/>
              </w:rPr>
              <w:t>机器设备操作不当或故意损坏财物的、设备保养或保管不力造成丢失或损坏的</w:t>
            </w:r>
          </w:p>
        </w:tc>
        <w:tc>
          <w:tcPr>
            <w:tcW w:w="2835" w:type="dxa"/>
            <w:noWrap w:val="0"/>
            <w:vAlign w:val="center"/>
          </w:tcPr>
          <w:p w14:paraId="597AAC51">
            <w:pPr>
              <w:tabs>
                <w:tab w:val="left" w:pos="1260"/>
              </w:tabs>
              <w:spacing w:line="460" w:lineRule="exact"/>
              <w:jc w:val="center"/>
              <w:rPr>
                <w:rFonts w:hAnsi="宋体"/>
                <w:color w:val="auto"/>
                <w:sz w:val="24"/>
                <w:highlight w:val="none"/>
              </w:rPr>
            </w:pPr>
            <w:r>
              <w:rPr>
                <w:rFonts w:hAnsi="宋体"/>
                <w:color w:val="auto"/>
                <w:sz w:val="24"/>
                <w:highlight w:val="none"/>
              </w:rPr>
              <w:t>双倍赔偿</w:t>
            </w:r>
            <w:r>
              <w:rPr>
                <w:rFonts w:hint="eastAsia" w:hAnsi="宋体"/>
                <w:color w:val="auto"/>
                <w:sz w:val="24"/>
                <w:highlight w:val="none"/>
              </w:rPr>
              <w:t>，且扣分2-10分</w:t>
            </w:r>
          </w:p>
        </w:tc>
        <w:tc>
          <w:tcPr>
            <w:tcW w:w="1134" w:type="dxa"/>
            <w:noWrap w:val="0"/>
            <w:vAlign w:val="center"/>
          </w:tcPr>
          <w:p w14:paraId="7EA4FBEF">
            <w:pPr>
              <w:tabs>
                <w:tab w:val="left" w:pos="1260"/>
              </w:tabs>
              <w:spacing w:line="460" w:lineRule="exact"/>
              <w:jc w:val="center"/>
              <w:rPr>
                <w:rFonts w:hAnsi="宋体"/>
                <w:color w:val="auto"/>
                <w:sz w:val="24"/>
                <w:highlight w:val="none"/>
              </w:rPr>
            </w:pPr>
          </w:p>
        </w:tc>
      </w:tr>
      <w:tr w14:paraId="350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3BF0A336">
            <w:pPr>
              <w:tabs>
                <w:tab w:val="left" w:pos="1260"/>
              </w:tabs>
              <w:spacing w:line="460" w:lineRule="exact"/>
              <w:jc w:val="center"/>
              <w:rPr>
                <w:rFonts w:hAnsi="宋体"/>
                <w:color w:val="auto"/>
                <w:sz w:val="24"/>
                <w:highlight w:val="none"/>
              </w:rPr>
            </w:pPr>
            <w:r>
              <w:rPr>
                <w:rFonts w:hAnsi="宋体"/>
                <w:color w:val="auto"/>
                <w:sz w:val="24"/>
                <w:highlight w:val="none"/>
              </w:rPr>
              <w:t>8</w:t>
            </w:r>
          </w:p>
        </w:tc>
        <w:tc>
          <w:tcPr>
            <w:tcW w:w="5272" w:type="dxa"/>
            <w:noWrap w:val="0"/>
            <w:vAlign w:val="center"/>
          </w:tcPr>
          <w:p w14:paraId="7B12EAD1">
            <w:pPr>
              <w:tabs>
                <w:tab w:val="left" w:pos="1260"/>
              </w:tabs>
              <w:spacing w:line="460" w:lineRule="exact"/>
              <w:rPr>
                <w:rFonts w:hAnsi="宋体"/>
                <w:color w:val="auto"/>
                <w:sz w:val="24"/>
                <w:highlight w:val="none"/>
              </w:rPr>
            </w:pPr>
            <w:r>
              <w:rPr>
                <w:rFonts w:hAnsi="宋体"/>
                <w:color w:val="auto"/>
                <w:sz w:val="24"/>
                <w:highlight w:val="none"/>
              </w:rPr>
              <w:t>服务人员应接受过相关专业技能的培训，掌握食品生产安全知识，熟悉餐厅生产流程，能正确使用相关专用设备违反安全规定的</w:t>
            </w:r>
            <w:r>
              <w:rPr>
                <w:rFonts w:hint="eastAsia" w:hAnsi="宋体"/>
                <w:color w:val="auto"/>
                <w:sz w:val="24"/>
                <w:highlight w:val="none"/>
              </w:rPr>
              <w:t>，未按要求做到的</w:t>
            </w:r>
          </w:p>
        </w:tc>
        <w:tc>
          <w:tcPr>
            <w:tcW w:w="2835" w:type="dxa"/>
            <w:noWrap w:val="0"/>
            <w:vAlign w:val="center"/>
          </w:tcPr>
          <w:p w14:paraId="59C9553B">
            <w:pPr>
              <w:tabs>
                <w:tab w:val="left" w:pos="1260"/>
              </w:tabs>
              <w:spacing w:line="460" w:lineRule="exact"/>
              <w:jc w:val="center"/>
              <w:rPr>
                <w:rFonts w:hAnsi="宋体"/>
                <w:color w:val="auto"/>
                <w:sz w:val="24"/>
                <w:highlight w:val="none"/>
              </w:rPr>
            </w:pPr>
            <w:r>
              <w:rPr>
                <w:rFonts w:hint="eastAsia" w:hAnsi="宋体"/>
                <w:color w:val="auto"/>
                <w:sz w:val="24"/>
                <w:highlight w:val="none"/>
              </w:rPr>
              <w:t>1分</w:t>
            </w:r>
            <w:r>
              <w:rPr>
                <w:rFonts w:hAnsi="宋体"/>
                <w:color w:val="auto"/>
                <w:sz w:val="24"/>
                <w:highlight w:val="none"/>
              </w:rPr>
              <w:t>/</w:t>
            </w:r>
            <w:r>
              <w:rPr>
                <w:rFonts w:hint="eastAsia" w:hAnsi="宋体"/>
                <w:color w:val="auto"/>
                <w:sz w:val="24"/>
                <w:highlight w:val="none"/>
              </w:rPr>
              <w:t>人</w:t>
            </w:r>
            <w:r>
              <w:rPr>
                <w:rFonts w:hAnsi="宋体"/>
                <w:color w:val="auto"/>
                <w:sz w:val="24"/>
                <w:highlight w:val="none"/>
              </w:rPr>
              <w:t>次</w:t>
            </w:r>
          </w:p>
        </w:tc>
        <w:tc>
          <w:tcPr>
            <w:tcW w:w="1134" w:type="dxa"/>
            <w:noWrap w:val="0"/>
            <w:vAlign w:val="center"/>
          </w:tcPr>
          <w:p w14:paraId="43B4544C">
            <w:pPr>
              <w:tabs>
                <w:tab w:val="left" w:pos="1260"/>
              </w:tabs>
              <w:spacing w:line="460" w:lineRule="exact"/>
              <w:jc w:val="center"/>
              <w:rPr>
                <w:rFonts w:hAnsi="宋体"/>
                <w:color w:val="auto"/>
                <w:sz w:val="24"/>
                <w:highlight w:val="none"/>
              </w:rPr>
            </w:pPr>
          </w:p>
        </w:tc>
      </w:tr>
      <w:tr w14:paraId="71DC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44DCE9A">
            <w:pPr>
              <w:tabs>
                <w:tab w:val="left" w:pos="1260"/>
              </w:tabs>
              <w:spacing w:line="460" w:lineRule="exact"/>
              <w:jc w:val="center"/>
              <w:rPr>
                <w:rFonts w:hAnsi="宋体"/>
                <w:color w:val="auto"/>
                <w:sz w:val="24"/>
                <w:highlight w:val="none"/>
              </w:rPr>
            </w:pPr>
            <w:r>
              <w:rPr>
                <w:rFonts w:hAnsi="宋体"/>
                <w:color w:val="auto"/>
                <w:sz w:val="24"/>
                <w:highlight w:val="none"/>
              </w:rPr>
              <w:t>9</w:t>
            </w:r>
          </w:p>
        </w:tc>
        <w:tc>
          <w:tcPr>
            <w:tcW w:w="5272" w:type="dxa"/>
            <w:noWrap w:val="0"/>
            <w:vAlign w:val="center"/>
          </w:tcPr>
          <w:p w14:paraId="57CAEFD4">
            <w:pPr>
              <w:tabs>
                <w:tab w:val="left" w:pos="1260"/>
              </w:tabs>
              <w:spacing w:line="460" w:lineRule="exact"/>
              <w:rPr>
                <w:rFonts w:hAnsi="宋体"/>
                <w:color w:val="auto"/>
                <w:sz w:val="24"/>
                <w:highlight w:val="none"/>
              </w:rPr>
            </w:pPr>
            <w:r>
              <w:rPr>
                <w:rFonts w:hAnsi="宋体"/>
                <w:color w:val="auto"/>
                <w:sz w:val="24"/>
                <w:highlight w:val="none"/>
              </w:rPr>
              <w:t>设有专兼职</w:t>
            </w:r>
            <w:r>
              <w:rPr>
                <w:rFonts w:hint="eastAsia" w:hAnsi="宋体"/>
                <w:color w:val="auto"/>
                <w:sz w:val="24"/>
                <w:highlight w:val="none"/>
              </w:rPr>
              <w:t>生产及</w:t>
            </w:r>
            <w:r>
              <w:rPr>
                <w:rFonts w:hAnsi="宋体"/>
                <w:color w:val="auto"/>
                <w:sz w:val="24"/>
                <w:highlight w:val="none"/>
              </w:rPr>
              <w:t>卫生安全员，能经常开展自检和设备检修，并做好记录，未按要求做到的</w:t>
            </w:r>
          </w:p>
        </w:tc>
        <w:tc>
          <w:tcPr>
            <w:tcW w:w="2835" w:type="dxa"/>
            <w:noWrap w:val="0"/>
            <w:vAlign w:val="center"/>
          </w:tcPr>
          <w:p w14:paraId="0585A5A3">
            <w:pPr>
              <w:tabs>
                <w:tab w:val="left" w:pos="1260"/>
              </w:tabs>
              <w:spacing w:line="460" w:lineRule="exact"/>
              <w:jc w:val="center"/>
              <w:rPr>
                <w:rFonts w:hAnsi="宋体"/>
                <w:color w:val="auto"/>
                <w:sz w:val="24"/>
                <w:highlight w:val="none"/>
              </w:rPr>
            </w:pPr>
            <w:r>
              <w:rPr>
                <w:rFonts w:hint="eastAsia" w:hAnsi="宋体"/>
                <w:color w:val="auto"/>
                <w:sz w:val="24"/>
                <w:highlight w:val="none"/>
              </w:rPr>
              <w:t>1分</w:t>
            </w:r>
            <w:r>
              <w:rPr>
                <w:rFonts w:hAnsi="宋体"/>
                <w:color w:val="auto"/>
                <w:sz w:val="24"/>
                <w:highlight w:val="none"/>
              </w:rPr>
              <w:t>/次</w:t>
            </w:r>
          </w:p>
        </w:tc>
        <w:tc>
          <w:tcPr>
            <w:tcW w:w="1134" w:type="dxa"/>
            <w:noWrap w:val="0"/>
            <w:vAlign w:val="center"/>
          </w:tcPr>
          <w:p w14:paraId="1D67A278">
            <w:pPr>
              <w:tabs>
                <w:tab w:val="left" w:pos="1260"/>
              </w:tabs>
              <w:spacing w:line="460" w:lineRule="exact"/>
              <w:jc w:val="center"/>
              <w:rPr>
                <w:rFonts w:hAnsi="宋体"/>
                <w:color w:val="auto"/>
                <w:sz w:val="24"/>
                <w:highlight w:val="none"/>
              </w:rPr>
            </w:pPr>
          </w:p>
        </w:tc>
      </w:tr>
      <w:tr w14:paraId="1B69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3385167D">
            <w:pPr>
              <w:tabs>
                <w:tab w:val="left" w:pos="1260"/>
              </w:tabs>
              <w:spacing w:line="460" w:lineRule="exact"/>
              <w:jc w:val="center"/>
              <w:rPr>
                <w:rFonts w:hAnsi="宋体"/>
                <w:color w:val="auto"/>
                <w:sz w:val="24"/>
                <w:highlight w:val="none"/>
              </w:rPr>
            </w:pPr>
            <w:r>
              <w:rPr>
                <w:rFonts w:hAnsi="宋体"/>
                <w:color w:val="auto"/>
                <w:sz w:val="24"/>
                <w:highlight w:val="none"/>
              </w:rPr>
              <w:t>10</w:t>
            </w:r>
          </w:p>
        </w:tc>
        <w:tc>
          <w:tcPr>
            <w:tcW w:w="5272" w:type="dxa"/>
            <w:noWrap w:val="0"/>
            <w:vAlign w:val="center"/>
          </w:tcPr>
          <w:p w14:paraId="437AFC6B">
            <w:pPr>
              <w:tabs>
                <w:tab w:val="left" w:pos="1260"/>
              </w:tabs>
              <w:spacing w:line="460" w:lineRule="exact"/>
              <w:rPr>
                <w:rFonts w:hAnsi="宋体"/>
                <w:color w:val="auto"/>
                <w:sz w:val="24"/>
                <w:highlight w:val="none"/>
              </w:rPr>
            </w:pPr>
            <w:r>
              <w:rPr>
                <w:rFonts w:hAnsi="宋体"/>
                <w:color w:val="auto"/>
                <w:sz w:val="24"/>
                <w:highlight w:val="none"/>
              </w:rPr>
              <w:t>未做好食品及原料验收、留样、药残检测及相关记录的</w:t>
            </w:r>
          </w:p>
        </w:tc>
        <w:tc>
          <w:tcPr>
            <w:tcW w:w="2835" w:type="dxa"/>
            <w:noWrap w:val="0"/>
            <w:vAlign w:val="center"/>
          </w:tcPr>
          <w:p w14:paraId="45396CA7">
            <w:pPr>
              <w:tabs>
                <w:tab w:val="left" w:pos="1260"/>
              </w:tabs>
              <w:spacing w:line="460" w:lineRule="exact"/>
              <w:jc w:val="center"/>
              <w:rPr>
                <w:rFonts w:hAnsi="宋体"/>
                <w:color w:val="auto"/>
                <w:sz w:val="24"/>
                <w:highlight w:val="none"/>
              </w:rPr>
            </w:pPr>
            <w:r>
              <w:rPr>
                <w:rFonts w:hint="eastAsia" w:hAnsi="宋体"/>
                <w:color w:val="auto"/>
                <w:sz w:val="24"/>
                <w:highlight w:val="none"/>
              </w:rPr>
              <w:t>1分</w:t>
            </w:r>
            <w:r>
              <w:rPr>
                <w:rFonts w:hAnsi="宋体"/>
                <w:color w:val="auto"/>
                <w:sz w:val="24"/>
                <w:highlight w:val="none"/>
              </w:rPr>
              <w:t>/次</w:t>
            </w:r>
          </w:p>
        </w:tc>
        <w:tc>
          <w:tcPr>
            <w:tcW w:w="1134" w:type="dxa"/>
            <w:noWrap w:val="0"/>
            <w:vAlign w:val="center"/>
          </w:tcPr>
          <w:p w14:paraId="2FF35AFE">
            <w:pPr>
              <w:tabs>
                <w:tab w:val="left" w:pos="1260"/>
              </w:tabs>
              <w:spacing w:line="460" w:lineRule="exact"/>
              <w:jc w:val="center"/>
              <w:rPr>
                <w:rFonts w:hAnsi="宋体"/>
                <w:color w:val="auto"/>
                <w:sz w:val="24"/>
                <w:highlight w:val="none"/>
              </w:rPr>
            </w:pPr>
          </w:p>
        </w:tc>
      </w:tr>
      <w:tr w14:paraId="01C8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00311CA">
            <w:pPr>
              <w:tabs>
                <w:tab w:val="left" w:pos="1260"/>
              </w:tabs>
              <w:spacing w:line="460" w:lineRule="exact"/>
              <w:jc w:val="center"/>
              <w:rPr>
                <w:rFonts w:hAnsi="宋体"/>
                <w:color w:val="auto"/>
                <w:sz w:val="24"/>
                <w:highlight w:val="none"/>
              </w:rPr>
            </w:pPr>
            <w:r>
              <w:rPr>
                <w:rFonts w:hAnsi="宋体"/>
                <w:color w:val="auto"/>
                <w:sz w:val="24"/>
                <w:highlight w:val="none"/>
              </w:rPr>
              <w:t>11</w:t>
            </w:r>
          </w:p>
        </w:tc>
        <w:tc>
          <w:tcPr>
            <w:tcW w:w="5272" w:type="dxa"/>
            <w:noWrap w:val="0"/>
            <w:vAlign w:val="center"/>
          </w:tcPr>
          <w:p w14:paraId="771AEDD7">
            <w:pPr>
              <w:tabs>
                <w:tab w:val="left" w:pos="1260"/>
              </w:tabs>
              <w:spacing w:line="460" w:lineRule="exact"/>
              <w:rPr>
                <w:rFonts w:hAnsi="宋体"/>
                <w:color w:val="auto"/>
                <w:sz w:val="24"/>
                <w:highlight w:val="none"/>
              </w:rPr>
            </w:pPr>
            <w:r>
              <w:rPr>
                <w:rFonts w:hAnsi="宋体"/>
                <w:color w:val="auto"/>
                <w:sz w:val="24"/>
                <w:highlight w:val="none"/>
              </w:rPr>
              <w:t>餐饮具洗涤消毒不符合一洗、二清、三消毒、四保洁的操作流程</w:t>
            </w:r>
          </w:p>
        </w:tc>
        <w:tc>
          <w:tcPr>
            <w:tcW w:w="2835" w:type="dxa"/>
            <w:noWrap w:val="0"/>
            <w:vAlign w:val="center"/>
          </w:tcPr>
          <w:p w14:paraId="3E86185B">
            <w:pPr>
              <w:tabs>
                <w:tab w:val="left" w:pos="1260"/>
              </w:tabs>
              <w:spacing w:line="460" w:lineRule="exact"/>
              <w:jc w:val="center"/>
              <w:rPr>
                <w:rFonts w:hAnsi="宋体"/>
                <w:color w:val="auto"/>
                <w:sz w:val="24"/>
                <w:highlight w:val="none"/>
              </w:rPr>
            </w:pPr>
            <w:r>
              <w:rPr>
                <w:rFonts w:hint="eastAsia" w:hAnsi="宋体"/>
                <w:color w:val="auto"/>
                <w:sz w:val="24"/>
                <w:highlight w:val="none"/>
              </w:rPr>
              <w:t>1分</w:t>
            </w:r>
            <w:r>
              <w:rPr>
                <w:rFonts w:hAnsi="宋体"/>
                <w:color w:val="auto"/>
                <w:sz w:val="24"/>
                <w:highlight w:val="none"/>
              </w:rPr>
              <w:t>/次</w:t>
            </w:r>
          </w:p>
        </w:tc>
        <w:tc>
          <w:tcPr>
            <w:tcW w:w="1134" w:type="dxa"/>
            <w:noWrap w:val="0"/>
            <w:vAlign w:val="center"/>
          </w:tcPr>
          <w:p w14:paraId="74809351">
            <w:pPr>
              <w:tabs>
                <w:tab w:val="left" w:pos="1260"/>
              </w:tabs>
              <w:spacing w:line="460" w:lineRule="exact"/>
              <w:jc w:val="center"/>
              <w:rPr>
                <w:rFonts w:hAnsi="宋体"/>
                <w:color w:val="auto"/>
                <w:sz w:val="24"/>
                <w:highlight w:val="none"/>
              </w:rPr>
            </w:pPr>
          </w:p>
        </w:tc>
      </w:tr>
      <w:tr w14:paraId="0B0D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751463F">
            <w:pPr>
              <w:tabs>
                <w:tab w:val="left" w:pos="1260"/>
              </w:tabs>
              <w:spacing w:line="460" w:lineRule="exact"/>
              <w:jc w:val="center"/>
              <w:rPr>
                <w:rFonts w:hAnsi="宋体"/>
                <w:color w:val="auto"/>
                <w:sz w:val="24"/>
                <w:highlight w:val="none"/>
              </w:rPr>
            </w:pPr>
            <w:r>
              <w:rPr>
                <w:rFonts w:hAnsi="宋体"/>
                <w:color w:val="auto"/>
                <w:sz w:val="24"/>
                <w:highlight w:val="none"/>
              </w:rPr>
              <w:t>12</w:t>
            </w:r>
          </w:p>
        </w:tc>
        <w:tc>
          <w:tcPr>
            <w:tcW w:w="5272" w:type="dxa"/>
            <w:noWrap w:val="0"/>
            <w:vAlign w:val="center"/>
          </w:tcPr>
          <w:p w14:paraId="52732FFF">
            <w:pPr>
              <w:tabs>
                <w:tab w:val="left" w:pos="1260"/>
              </w:tabs>
              <w:spacing w:line="460" w:lineRule="exact"/>
              <w:rPr>
                <w:rFonts w:hAnsi="宋体"/>
                <w:color w:val="auto"/>
                <w:sz w:val="24"/>
                <w:highlight w:val="none"/>
              </w:rPr>
            </w:pPr>
            <w:r>
              <w:rPr>
                <w:rFonts w:hAnsi="宋体"/>
                <w:color w:val="auto"/>
                <w:sz w:val="24"/>
                <w:highlight w:val="none"/>
              </w:rPr>
              <w:t>食品加工场地、仓库存放有毒有害物质或私人用品的</w:t>
            </w:r>
          </w:p>
        </w:tc>
        <w:tc>
          <w:tcPr>
            <w:tcW w:w="2835" w:type="dxa"/>
            <w:noWrap w:val="0"/>
            <w:vAlign w:val="center"/>
          </w:tcPr>
          <w:p w14:paraId="1791252C">
            <w:pPr>
              <w:tabs>
                <w:tab w:val="left" w:pos="1260"/>
              </w:tabs>
              <w:spacing w:line="460" w:lineRule="exact"/>
              <w:jc w:val="center"/>
              <w:rPr>
                <w:rFonts w:hAnsi="宋体"/>
                <w:color w:val="auto"/>
                <w:sz w:val="24"/>
                <w:highlight w:val="none"/>
              </w:rPr>
            </w:pPr>
            <w:r>
              <w:rPr>
                <w:rFonts w:hint="eastAsia" w:hAnsi="宋体"/>
                <w:color w:val="auto"/>
                <w:sz w:val="24"/>
                <w:highlight w:val="none"/>
              </w:rPr>
              <w:t>1分</w:t>
            </w:r>
            <w:r>
              <w:rPr>
                <w:rFonts w:hAnsi="宋体"/>
                <w:color w:val="auto"/>
                <w:sz w:val="24"/>
                <w:highlight w:val="none"/>
              </w:rPr>
              <w:t>/次</w:t>
            </w:r>
          </w:p>
        </w:tc>
        <w:tc>
          <w:tcPr>
            <w:tcW w:w="1134" w:type="dxa"/>
            <w:noWrap w:val="0"/>
            <w:vAlign w:val="center"/>
          </w:tcPr>
          <w:p w14:paraId="65E8AC03">
            <w:pPr>
              <w:tabs>
                <w:tab w:val="left" w:pos="1260"/>
              </w:tabs>
              <w:spacing w:line="460" w:lineRule="exact"/>
              <w:jc w:val="center"/>
              <w:rPr>
                <w:rFonts w:hAnsi="宋体"/>
                <w:color w:val="auto"/>
                <w:sz w:val="24"/>
                <w:highlight w:val="none"/>
              </w:rPr>
            </w:pPr>
          </w:p>
        </w:tc>
      </w:tr>
      <w:tr w14:paraId="6D44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8537389">
            <w:pPr>
              <w:tabs>
                <w:tab w:val="left" w:pos="1260"/>
              </w:tabs>
              <w:spacing w:line="460" w:lineRule="exact"/>
              <w:jc w:val="center"/>
              <w:rPr>
                <w:rFonts w:hAnsi="宋体"/>
                <w:color w:val="auto"/>
                <w:sz w:val="24"/>
                <w:highlight w:val="none"/>
              </w:rPr>
            </w:pPr>
            <w:r>
              <w:rPr>
                <w:rFonts w:hAnsi="宋体"/>
                <w:color w:val="auto"/>
                <w:sz w:val="24"/>
                <w:highlight w:val="none"/>
              </w:rPr>
              <w:t>13</w:t>
            </w:r>
          </w:p>
        </w:tc>
        <w:tc>
          <w:tcPr>
            <w:tcW w:w="5272" w:type="dxa"/>
            <w:noWrap w:val="0"/>
            <w:vAlign w:val="center"/>
          </w:tcPr>
          <w:p w14:paraId="0CD79C40">
            <w:pPr>
              <w:tabs>
                <w:tab w:val="left" w:pos="1260"/>
              </w:tabs>
              <w:spacing w:line="460" w:lineRule="exact"/>
              <w:rPr>
                <w:rFonts w:hAnsi="宋体"/>
                <w:color w:val="auto"/>
                <w:sz w:val="24"/>
                <w:highlight w:val="none"/>
              </w:rPr>
            </w:pPr>
            <w:r>
              <w:rPr>
                <w:rFonts w:hint="eastAsia" w:hAnsi="宋体"/>
                <w:color w:val="auto"/>
                <w:sz w:val="24"/>
                <w:highlight w:val="none"/>
              </w:rPr>
              <w:t>按食堂规范化达标要求、管理单位要求做好区域内（含场所、用具、设备等）的清洁工作，做到随手清，保持整洁、清洁、干净；</w:t>
            </w:r>
            <w:r>
              <w:rPr>
                <w:rFonts w:hAnsi="宋体"/>
                <w:color w:val="auto"/>
                <w:sz w:val="24"/>
                <w:highlight w:val="none"/>
              </w:rPr>
              <w:t>定置管理到位，标识清晰</w:t>
            </w:r>
            <w:r>
              <w:rPr>
                <w:rFonts w:hint="eastAsia" w:hAnsi="宋体"/>
                <w:color w:val="auto"/>
                <w:sz w:val="24"/>
                <w:highlight w:val="none"/>
              </w:rPr>
              <w:t>，有名有家</w:t>
            </w:r>
            <w:r>
              <w:rPr>
                <w:rFonts w:hAnsi="宋体"/>
                <w:color w:val="auto"/>
                <w:sz w:val="24"/>
                <w:highlight w:val="none"/>
              </w:rPr>
              <w:t>。</w:t>
            </w:r>
            <w:r>
              <w:rPr>
                <w:rFonts w:hint="eastAsia" w:hAnsi="宋体"/>
                <w:color w:val="auto"/>
                <w:sz w:val="24"/>
                <w:highlight w:val="none"/>
              </w:rPr>
              <w:t>未按要求做到的</w:t>
            </w:r>
          </w:p>
        </w:tc>
        <w:tc>
          <w:tcPr>
            <w:tcW w:w="2835" w:type="dxa"/>
            <w:noWrap w:val="0"/>
            <w:vAlign w:val="center"/>
          </w:tcPr>
          <w:p w14:paraId="112AD07E">
            <w:pPr>
              <w:tabs>
                <w:tab w:val="left" w:pos="1260"/>
              </w:tabs>
              <w:spacing w:line="460" w:lineRule="exact"/>
              <w:jc w:val="center"/>
              <w:rPr>
                <w:rFonts w:hAnsi="宋体"/>
                <w:color w:val="auto"/>
                <w:sz w:val="24"/>
                <w:highlight w:val="none"/>
              </w:rPr>
            </w:pPr>
            <w:r>
              <w:rPr>
                <w:rFonts w:hint="eastAsia" w:hAnsi="宋体"/>
                <w:color w:val="auto"/>
                <w:sz w:val="24"/>
                <w:highlight w:val="none"/>
              </w:rPr>
              <w:t>1分</w:t>
            </w:r>
            <w:r>
              <w:rPr>
                <w:rFonts w:hAnsi="宋体"/>
                <w:color w:val="auto"/>
                <w:sz w:val="24"/>
                <w:highlight w:val="none"/>
              </w:rPr>
              <w:t>/</w:t>
            </w:r>
            <w:r>
              <w:rPr>
                <w:rFonts w:hint="eastAsia" w:hAnsi="宋体"/>
                <w:color w:val="auto"/>
                <w:sz w:val="24"/>
                <w:highlight w:val="none"/>
              </w:rPr>
              <w:t>3处或/人次</w:t>
            </w:r>
          </w:p>
        </w:tc>
        <w:tc>
          <w:tcPr>
            <w:tcW w:w="1134" w:type="dxa"/>
            <w:noWrap w:val="0"/>
            <w:vAlign w:val="center"/>
          </w:tcPr>
          <w:p w14:paraId="6DF564D5">
            <w:pPr>
              <w:tabs>
                <w:tab w:val="left" w:pos="1260"/>
              </w:tabs>
              <w:spacing w:line="460" w:lineRule="exact"/>
              <w:jc w:val="center"/>
              <w:rPr>
                <w:rFonts w:hint="eastAsia" w:hAnsi="宋体"/>
                <w:color w:val="auto"/>
                <w:sz w:val="24"/>
                <w:highlight w:val="none"/>
              </w:rPr>
            </w:pPr>
          </w:p>
        </w:tc>
      </w:tr>
      <w:tr w14:paraId="3393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17E0EFA">
            <w:pPr>
              <w:tabs>
                <w:tab w:val="left" w:pos="1260"/>
              </w:tabs>
              <w:spacing w:line="460" w:lineRule="exact"/>
              <w:jc w:val="center"/>
              <w:rPr>
                <w:rFonts w:hAnsi="宋体"/>
                <w:color w:val="auto"/>
                <w:sz w:val="24"/>
                <w:highlight w:val="none"/>
              </w:rPr>
            </w:pPr>
            <w:r>
              <w:rPr>
                <w:rFonts w:hAnsi="宋体"/>
                <w:color w:val="auto"/>
                <w:sz w:val="24"/>
                <w:highlight w:val="none"/>
              </w:rPr>
              <w:t>1</w:t>
            </w:r>
            <w:r>
              <w:rPr>
                <w:rFonts w:hint="eastAsia" w:hAnsi="宋体"/>
                <w:color w:val="auto"/>
                <w:sz w:val="24"/>
                <w:highlight w:val="none"/>
              </w:rPr>
              <w:t>4</w:t>
            </w:r>
          </w:p>
        </w:tc>
        <w:tc>
          <w:tcPr>
            <w:tcW w:w="5272" w:type="dxa"/>
            <w:noWrap w:val="0"/>
            <w:vAlign w:val="center"/>
          </w:tcPr>
          <w:p w14:paraId="1A9A30A7">
            <w:pPr>
              <w:tabs>
                <w:tab w:val="left" w:pos="1260"/>
              </w:tabs>
              <w:spacing w:line="460" w:lineRule="exact"/>
              <w:rPr>
                <w:rFonts w:hAnsi="宋体"/>
                <w:color w:val="auto"/>
                <w:sz w:val="24"/>
                <w:highlight w:val="none"/>
              </w:rPr>
            </w:pPr>
            <w:r>
              <w:rPr>
                <w:rFonts w:hAnsi="宋体"/>
                <w:color w:val="auto"/>
                <w:sz w:val="24"/>
                <w:highlight w:val="none"/>
              </w:rPr>
              <w:t>加工过程中减少浪费，合理控制成本，损耗率高于2%的</w:t>
            </w:r>
          </w:p>
        </w:tc>
        <w:tc>
          <w:tcPr>
            <w:tcW w:w="2835" w:type="dxa"/>
            <w:noWrap w:val="0"/>
            <w:vAlign w:val="center"/>
          </w:tcPr>
          <w:p w14:paraId="50130CFB">
            <w:pPr>
              <w:tabs>
                <w:tab w:val="left" w:pos="1260"/>
              </w:tabs>
              <w:spacing w:line="460" w:lineRule="exact"/>
              <w:jc w:val="center"/>
              <w:rPr>
                <w:rFonts w:hAnsi="宋体"/>
                <w:color w:val="auto"/>
                <w:sz w:val="24"/>
                <w:highlight w:val="none"/>
              </w:rPr>
            </w:pPr>
            <w:r>
              <w:rPr>
                <w:rFonts w:hint="eastAsia" w:hAnsi="宋体"/>
                <w:color w:val="auto"/>
                <w:sz w:val="24"/>
                <w:highlight w:val="none"/>
              </w:rPr>
              <w:t>1分</w:t>
            </w:r>
            <w:r>
              <w:rPr>
                <w:rFonts w:hAnsi="宋体"/>
                <w:color w:val="auto"/>
                <w:sz w:val="24"/>
                <w:highlight w:val="none"/>
              </w:rPr>
              <w:t>/次</w:t>
            </w:r>
          </w:p>
        </w:tc>
        <w:tc>
          <w:tcPr>
            <w:tcW w:w="1134" w:type="dxa"/>
            <w:noWrap w:val="0"/>
            <w:vAlign w:val="center"/>
          </w:tcPr>
          <w:p w14:paraId="2A9B51B6">
            <w:pPr>
              <w:tabs>
                <w:tab w:val="left" w:pos="1260"/>
              </w:tabs>
              <w:spacing w:line="460" w:lineRule="exact"/>
              <w:jc w:val="center"/>
              <w:rPr>
                <w:rFonts w:hAnsi="宋体"/>
                <w:color w:val="auto"/>
                <w:sz w:val="24"/>
                <w:highlight w:val="none"/>
              </w:rPr>
            </w:pPr>
          </w:p>
        </w:tc>
      </w:tr>
      <w:tr w14:paraId="1393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CF3EBF3">
            <w:pPr>
              <w:tabs>
                <w:tab w:val="left" w:pos="1260"/>
              </w:tabs>
              <w:spacing w:line="460" w:lineRule="exact"/>
              <w:jc w:val="center"/>
              <w:rPr>
                <w:rFonts w:hAnsi="宋体"/>
                <w:color w:val="auto"/>
                <w:sz w:val="24"/>
                <w:highlight w:val="none"/>
              </w:rPr>
            </w:pPr>
            <w:r>
              <w:rPr>
                <w:rFonts w:hAnsi="宋体"/>
                <w:color w:val="auto"/>
                <w:sz w:val="24"/>
                <w:highlight w:val="none"/>
              </w:rPr>
              <w:t>1</w:t>
            </w:r>
            <w:r>
              <w:rPr>
                <w:rFonts w:hint="eastAsia" w:hAnsi="宋体"/>
                <w:color w:val="auto"/>
                <w:sz w:val="24"/>
                <w:highlight w:val="none"/>
              </w:rPr>
              <w:t>5</w:t>
            </w:r>
          </w:p>
        </w:tc>
        <w:tc>
          <w:tcPr>
            <w:tcW w:w="5272" w:type="dxa"/>
            <w:noWrap w:val="0"/>
            <w:vAlign w:val="center"/>
          </w:tcPr>
          <w:p w14:paraId="7F332008">
            <w:pPr>
              <w:tabs>
                <w:tab w:val="left" w:pos="1260"/>
              </w:tabs>
              <w:spacing w:line="460" w:lineRule="exact"/>
              <w:rPr>
                <w:rFonts w:hAnsi="宋体"/>
                <w:color w:val="auto"/>
                <w:sz w:val="24"/>
                <w:highlight w:val="none"/>
              </w:rPr>
            </w:pPr>
            <w:r>
              <w:rPr>
                <w:rFonts w:hAnsi="宋体"/>
                <w:color w:val="auto"/>
                <w:sz w:val="24"/>
                <w:highlight w:val="none"/>
              </w:rPr>
              <w:t>伙食数量供应不足，或造成职工不能及时就餐的</w:t>
            </w:r>
          </w:p>
        </w:tc>
        <w:tc>
          <w:tcPr>
            <w:tcW w:w="2835" w:type="dxa"/>
            <w:noWrap w:val="0"/>
            <w:vAlign w:val="center"/>
          </w:tcPr>
          <w:p w14:paraId="2ECA2B00">
            <w:pPr>
              <w:tabs>
                <w:tab w:val="left" w:pos="1260"/>
              </w:tabs>
              <w:spacing w:line="460" w:lineRule="exact"/>
              <w:jc w:val="center"/>
              <w:rPr>
                <w:rFonts w:hAnsi="宋体"/>
                <w:color w:val="auto"/>
                <w:sz w:val="24"/>
                <w:highlight w:val="none"/>
              </w:rPr>
            </w:pPr>
            <w:r>
              <w:rPr>
                <w:rFonts w:hint="eastAsia" w:hAnsi="宋体"/>
                <w:color w:val="auto"/>
                <w:sz w:val="24"/>
                <w:highlight w:val="none"/>
              </w:rPr>
              <w:t>2分</w:t>
            </w:r>
            <w:r>
              <w:rPr>
                <w:rFonts w:hAnsi="宋体"/>
                <w:color w:val="auto"/>
                <w:sz w:val="24"/>
                <w:highlight w:val="none"/>
              </w:rPr>
              <w:t>/次</w:t>
            </w:r>
          </w:p>
        </w:tc>
        <w:tc>
          <w:tcPr>
            <w:tcW w:w="1134" w:type="dxa"/>
            <w:noWrap w:val="0"/>
            <w:vAlign w:val="center"/>
          </w:tcPr>
          <w:p w14:paraId="174E1289">
            <w:pPr>
              <w:tabs>
                <w:tab w:val="left" w:pos="1260"/>
              </w:tabs>
              <w:spacing w:line="460" w:lineRule="exact"/>
              <w:jc w:val="center"/>
              <w:rPr>
                <w:rFonts w:hAnsi="宋体"/>
                <w:color w:val="auto"/>
                <w:sz w:val="24"/>
                <w:highlight w:val="none"/>
              </w:rPr>
            </w:pPr>
          </w:p>
        </w:tc>
      </w:tr>
      <w:tr w14:paraId="5F47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B2C00B7">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16</w:t>
            </w:r>
          </w:p>
        </w:tc>
        <w:tc>
          <w:tcPr>
            <w:tcW w:w="5272" w:type="dxa"/>
            <w:noWrap w:val="0"/>
            <w:vAlign w:val="center"/>
          </w:tcPr>
          <w:p w14:paraId="75ACC81D">
            <w:pPr>
              <w:tabs>
                <w:tab w:val="left" w:pos="1260"/>
              </w:tabs>
              <w:spacing w:line="460" w:lineRule="exact"/>
              <w:rPr>
                <w:rFonts w:hint="eastAsia" w:hAnsi="宋体"/>
                <w:color w:val="auto"/>
                <w:sz w:val="24"/>
                <w:highlight w:val="none"/>
              </w:rPr>
            </w:pPr>
            <w:r>
              <w:rPr>
                <w:rFonts w:hint="eastAsia" w:hAnsi="宋体"/>
                <w:color w:val="auto"/>
                <w:sz w:val="24"/>
                <w:highlight w:val="none"/>
              </w:rPr>
              <w:t>不及时提供厨房管理条例、工作岗位安排表、考核表，以及人员变动情况等的</w:t>
            </w:r>
          </w:p>
        </w:tc>
        <w:tc>
          <w:tcPr>
            <w:tcW w:w="2835" w:type="dxa"/>
            <w:noWrap w:val="0"/>
            <w:vAlign w:val="center"/>
          </w:tcPr>
          <w:p w14:paraId="6341C5AB">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3分/次</w:t>
            </w:r>
          </w:p>
        </w:tc>
        <w:tc>
          <w:tcPr>
            <w:tcW w:w="1134" w:type="dxa"/>
            <w:noWrap w:val="0"/>
            <w:vAlign w:val="top"/>
          </w:tcPr>
          <w:p w14:paraId="30D948FC">
            <w:pPr>
              <w:tabs>
                <w:tab w:val="left" w:pos="1260"/>
              </w:tabs>
              <w:spacing w:line="460" w:lineRule="exact"/>
              <w:jc w:val="center"/>
              <w:rPr>
                <w:rFonts w:hAnsi="宋体"/>
                <w:color w:val="auto"/>
                <w:sz w:val="24"/>
                <w:highlight w:val="none"/>
              </w:rPr>
            </w:pPr>
          </w:p>
        </w:tc>
      </w:tr>
      <w:tr w14:paraId="669C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161E0F3C">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17</w:t>
            </w:r>
          </w:p>
        </w:tc>
        <w:tc>
          <w:tcPr>
            <w:tcW w:w="5272" w:type="dxa"/>
            <w:noWrap w:val="0"/>
            <w:vAlign w:val="center"/>
          </w:tcPr>
          <w:p w14:paraId="0AD03CDF">
            <w:pPr>
              <w:tabs>
                <w:tab w:val="left" w:pos="1260"/>
              </w:tabs>
              <w:spacing w:line="460" w:lineRule="exact"/>
              <w:rPr>
                <w:rFonts w:hint="eastAsia" w:hAnsi="宋体"/>
                <w:color w:val="auto"/>
                <w:sz w:val="24"/>
                <w:highlight w:val="none"/>
              </w:rPr>
            </w:pPr>
            <w:r>
              <w:rPr>
                <w:rFonts w:hint="eastAsia" w:hAnsi="宋体"/>
                <w:color w:val="auto"/>
                <w:sz w:val="24"/>
                <w:highlight w:val="none"/>
              </w:rPr>
              <w:t>未做好节电、节水、节能，造成浪费的</w:t>
            </w:r>
          </w:p>
        </w:tc>
        <w:tc>
          <w:tcPr>
            <w:tcW w:w="2835" w:type="dxa"/>
            <w:noWrap w:val="0"/>
            <w:vAlign w:val="center"/>
          </w:tcPr>
          <w:p w14:paraId="6BFACB97">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1分/次</w:t>
            </w:r>
          </w:p>
        </w:tc>
        <w:tc>
          <w:tcPr>
            <w:tcW w:w="1134" w:type="dxa"/>
            <w:noWrap w:val="0"/>
            <w:vAlign w:val="top"/>
          </w:tcPr>
          <w:p w14:paraId="79D65643">
            <w:pPr>
              <w:tabs>
                <w:tab w:val="left" w:pos="1260"/>
              </w:tabs>
              <w:spacing w:line="460" w:lineRule="exact"/>
              <w:jc w:val="center"/>
              <w:rPr>
                <w:rFonts w:hAnsi="宋体"/>
                <w:color w:val="auto"/>
                <w:sz w:val="24"/>
                <w:highlight w:val="none"/>
              </w:rPr>
            </w:pPr>
          </w:p>
        </w:tc>
      </w:tr>
      <w:tr w14:paraId="7339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A172F14">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18</w:t>
            </w:r>
          </w:p>
        </w:tc>
        <w:tc>
          <w:tcPr>
            <w:tcW w:w="5272" w:type="dxa"/>
            <w:noWrap w:val="0"/>
            <w:vAlign w:val="center"/>
          </w:tcPr>
          <w:p w14:paraId="6496316C">
            <w:pPr>
              <w:tabs>
                <w:tab w:val="left" w:pos="1260"/>
              </w:tabs>
              <w:spacing w:line="460" w:lineRule="exact"/>
              <w:rPr>
                <w:rFonts w:hAnsi="宋体"/>
                <w:color w:val="auto"/>
                <w:sz w:val="24"/>
                <w:highlight w:val="none"/>
              </w:rPr>
            </w:pPr>
            <w:r>
              <w:rPr>
                <w:rFonts w:hint="eastAsia" w:hAnsi="宋体"/>
                <w:color w:val="auto"/>
                <w:sz w:val="24"/>
                <w:highlight w:val="none"/>
              </w:rPr>
              <w:t>一天接到投诉3次以上或连续3天投诉达到3次以上的；或在检查考核中发现存在服务、质量等问题的</w:t>
            </w:r>
          </w:p>
        </w:tc>
        <w:tc>
          <w:tcPr>
            <w:tcW w:w="2835" w:type="dxa"/>
            <w:noWrap w:val="0"/>
            <w:vAlign w:val="center"/>
          </w:tcPr>
          <w:p w14:paraId="57AFD98C">
            <w:pPr>
              <w:tabs>
                <w:tab w:val="left" w:pos="1260"/>
              </w:tabs>
              <w:spacing w:line="460" w:lineRule="exact"/>
              <w:jc w:val="center"/>
              <w:rPr>
                <w:rFonts w:hAnsi="宋体"/>
                <w:color w:val="auto"/>
                <w:sz w:val="24"/>
                <w:highlight w:val="none"/>
              </w:rPr>
            </w:pPr>
            <w:r>
              <w:rPr>
                <w:rFonts w:hint="eastAsia" w:hAnsi="宋体"/>
                <w:color w:val="auto"/>
                <w:sz w:val="24"/>
                <w:highlight w:val="none"/>
              </w:rPr>
              <w:t>2分</w:t>
            </w:r>
            <w:r>
              <w:rPr>
                <w:rFonts w:hAnsi="宋体"/>
                <w:color w:val="auto"/>
                <w:sz w:val="24"/>
                <w:highlight w:val="none"/>
              </w:rPr>
              <w:t>/次</w:t>
            </w:r>
          </w:p>
        </w:tc>
        <w:tc>
          <w:tcPr>
            <w:tcW w:w="1134" w:type="dxa"/>
            <w:noWrap w:val="0"/>
            <w:vAlign w:val="top"/>
          </w:tcPr>
          <w:p w14:paraId="0B1BCEDB">
            <w:pPr>
              <w:tabs>
                <w:tab w:val="left" w:pos="1260"/>
              </w:tabs>
              <w:spacing w:line="460" w:lineRule="exact"/>
              <w:jc w:val="center"/>
              <w:rPr>
                <w:rFonts w:hAnsi="宋体"/>
                <w:color w:val="auto"/>
                <w:sz w:val="24"/>
                <w:highlight w:val="none"/>
              </w:rPr>
            </w:pPr>
          </w:p>
        </w:tc>
      </w:tr>
      <w:tr w14:paraId="6E77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695BAE27">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19</w:t>
            </w:r>
          </w:p>
        </w:tc>
        <w:tc>
          <w:tcPr>
            <w:tcW w:w="5272" w:type="dxa"/>
            <w:noWrap w:val="0"/>
            <w:vAlign w:val="center"/>
          </w:tcPr>
          <w:p w14:paraId="1C921C44">
            <w:pPr>
              <w:tabs>
                <w:tab w:val="left" w:pos="1260"/>
              </w:tabs>
              <w:spacing w:line="460" w:lineRule="exact"/>
              <w:rPr>
                <w:rFonts w:hAnsi="宋体"/>
                <w:color w:val="auto"/>
                <w:sz w:val="24"/>
                <w:highlight w:val="none"/>
              </w:rPr>
            </w:pPr>
            <w:r>
              <w:rPr>
                <w:rFonts w:hAnsi="宋体"/>
                <w:color w:val="auto"/>
                <w:sz w:val="24"/>
                <w:highlight w:val="none"/>
              </w:rPr>
              <w:t>查到同一个问题两次（含）以上的，或指出问题后没有及时整改的</w:t>
            </w:r>
          </w:p>
        </w:tc>
        <w:tc>
          <w:tcPr>
            <w:tcW w:w="2835" w:type="dxa"/>
            <w:noWrap w:val="0"/>
            <w:vAlign w:val="center"/>
          </w:tcPr>
          <w:p w14:paraId="19B8363F">
            <w:pPr>
              <w:tabs>
                <w:tab w:val="left" w:pos="1260"/>
              </w:tabs>
              <w:spacing w:line="460" w:lineRule="exact"/>
              <w:jc w:val="center"/>
              <w:rPr>
                <w:rFonts w:hAnsi="宋体"/>
                <w:color w:val="auto"/>
                <w:sz w:val="24"/>
                <w:highlight w:val="none"/>
              </w:rPr>
            </w:pPr>
            <w:r>
              <w:rPr>
                <w:rFonts w:hint="eastAsia" w:hAnsi="宋体"/>
                <w:color w:val="auto"/>
                <w:sz w:val="24"/>
                <w:highlight w:val="none"/>
              </w:rPr>
              <w:t>1-2分</w:t>
            </w:r>
            <w:r>
              <w:rPr>
                <w:rFonts w:hAnsi="宋体"/>
                <w:color w:val="auto"/>
                <w:sz w:val="24"/>
                <w:highlight w:val="none"/>
              </w:rPr>
              <w:t>/次</w:t>
            </w:r>
          </w:p>
        </w:tc>
        <w:tc>
          <w:tcPr>
            <w:tcW w:w="1134" w:type="dxa"/>
            <w:noWrap w:val="0"/>
            <w:vAlign w:val="top"/>
          </w:tcPr>
          <w:p w14:paraId="5C87A5AE">
            <w:pPr>
              <w:tabs>
                <w:tab w:val="left" w:pos="1260"/>
              </w:tabs>
              <w:spacing w:line="460" w:lineRule="exact"/>
              <w:jc w:val="center"/>
              <w:rPr>
                <w:rFonts w:hAnsi="宋体"/>
                <w:color w:val="auto"/>
                <w:sz w:val="24"/>
                <w:highlight w:val="none"/>
              </w:rPr>
            </w:pPr>
          </w:p>
        </w:tc>
      </w:tr>
      <w:tr w14:paraId="3835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1BF5945E">
            <w:pPr>
              <w:tabs>
                <w:tab w:val="left" w:pos="1260"/>
              </w:tabs>
              <w:spacing w:line="460" w:lineRule="exact"/>
              <w:jc w:val="center"/>
              <w:rPr>
                <w:rFonts w:hAnsi="宋体"/>
                <w:color w:val="auto"/>
                <w:sz w:val="24"/>
                <w:highlight w:val="none"/>
              </w:rPr>
            </w:pPr>
            <w:r>
              <w:rPr>
                <w:rFonts w:hAnsi="宋体"/>
                <w:color w:val="auto"/>
                <w:sz w:val="24"/>
                <w:highlight w:val="none"/>
              </w:rPr>
              <w:t>2</w:t>
            </w:r>
            <w:r>
              <w:rPr>
                <w:rFonts w:hint="eastAsia" w:hAnsi="宋体"/>
                <w:color w:val="auto"/>
                <w:sz w:val="24"/>
                <w:highlight w:val="none"/>
              </w:rPr>
              <w:t>0</w:t>
            </w:r>
          </w:p>
        </w:tc>
        <w:tc>
          <w:tcPr>
            <w:tcW w:w="5272" w:type="dxa"/>
            <w:noWrap w:val="0"/>
            <w:vAlign w:val="center"/>
          </w:tcPr>
          <w:p w14:paraId="74D2F92F">
            <w:pPr>
              <w:tabs>
                <w:tab w:val="left" w:pos="1260"/>
              </w:tabs>
              <w:spacing w:line="460" w:lineRule="exact"/>
              <w:rPr>
                <w:rFonts w:hAnsi="宋体"/>
                <w:color w:val="auto"/>
                <w:sz w:val="24"/>
                <w:highlight w:val="none"/>
              </w:rPr>
            </w:pPr>
            <w:r>
              <w:rPr>
                <w:rFonts w:hAnsi="宋体"/>
                <w:color w:val="auto"/>
                <w:sz w:val="24"/>
                <w:highlight w:val="none"/>
              </w:rPr>
              <w:t>爱护保管好食堂食物原料，工具材料。有私自将食堂食材，原料，工具等带回家</w:t>
            </w:r>
            <w:r>
              <w:rPr>
                <w:rFonts w:hint="eastAsia" w:hAnsi="宋体"/>
                <w:color w:val="auto"/>
                <w:sz w:val="24"/>
                <w:highlight w:val="none"/>
              </w:rPr>
              <w:t>的，或送与他人的，</w:t>
            </w:r>
          </w:p>
        </w:tc>
        <w:tc>
          <w:tcPr>
            <w:tcW w:w="2835" w:type="dxa"/>
            <w:noWrap w:val="0"/>
            <w:vAlign w:val="center"/>
          </w:tcPr>
          <w:p w14:paraId="0D0C44AB">
            <w:pPr>
              <w:tabs>
                <w:tab w:val="left" w:pos="1260"/>
              </w:tabs>
              <w:spacing w:line="460" w:lineRule="exact"/>
              <w:jc w:val="center"/>
              <w:rPr>
                <w:rFonts w:hAnsi="宋体"/>
                <w:color w:val="auto"/>
                <w:sz w:val="24"/>
                <w:highlight w:val="none"/>
              </w:rPr>
            </w:pPr>
            <w:r>
              <w:rPr>
                <w:rFonts w:hint="eastAsia" w:hAnsi="宋体"/>
                <w:color w:val="auto"/>
                <w:sz w:val="24"/>
                <w:highlight w:val="none"/>
              </w:rPr>
              <w:t>原料及工具等归还，且2分</w:t>
            </w:r>
            <w:r>
              <w:rPr>
                <w:rFonts w:hAnsi="宋体"/>
                <w:color w:val="auto"/>
                <w:sz w:val="24"/>
                <w:highlight w:val="none"/>
              </w:rPr>
              <w:t>/</w:t>
            </w:r>
            <w:r>
              <w:rPr>
                <w:rFonts w:hint="eastAsia" w:hAnsi="宋体"/>
                <w:color w:val="auto"/>
                <w:sz w:val="24"/>
                <w:highlight w:val="none"/>
              </w:rPr>
              <w:t>人</w:t>
            </w:r>
            <w:r>
              <w:rPr>
                <w:rFonts w:hAnsi="宋体"/>
                <w:color w:val="auto"/>
                <w:sz w:val="24"/>
                <w:highlight w:val="none"/>
              </w:rPr>
              <w:t>次</w:t>
            </w:r>
          </w:p>
        </w:tc>
        <w:tc>
          <w:tcPr>
            <w:tcW w:w="1134" w:type="dxa"/>
            <w:noWrap w:val="0"/>
            <w:vAlign w:val="top"/>
          </w:tcPr>
          <w:p w14:paraId="19D0A3E0">
            <w:pPr>
              <w:tabs>
                <w:tab w:val="left" w:pos="1260"/>
              </w:tabs>
              <w:spacing w:line="460" w:lineRule="exact"/>
              <w:jc w:val="center"/>
              <w:rPr>
                <w:rFonts w:hAnsi="宋体"/>
                <w:color w:val="auto"/>
                <w:sz w:val="24"/>
                <w:highlight w:val="none"/>
              </w:rPr>
            </w:pPr>
          </w:p>
        </w:tc>
      </w:tr>
      <w:tr w14:paraId="4575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47DE58FD">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21</w:t>
            </w:r>
          </w:p>
        </w:tc>
        <w:tc>
          <w:tcPr>
            <w:tcW w:w="5272" w:type="dxa"/>
            <w:noWrap w:val="0"/>
            <w:vAlign w:val="center"/>
          </w:tcPr>
          <w:p w14:paraId="03DE4059">
            <w:pPr>
              <w:tabs>
                <w:tab w:val="left" w:pos="1260"/>
              </w:tabs>
              <w:spacing w:line="460" w:lineRule="exact"/>
              <w:rPr>
                <w:rFonts w:hint="eastAsia" w:hAnsi="宋体"/>
                <w:color w:val="auto"/>
                <w:sz w:val="24"/>
                <w:highlight w:val="none"/>
              </w:rPr>
            </w:pPr>
            <w:r>
              <w:rPr>
                <w:rFonts w:hint="eastAsia" w:hAnsi="宋体"/>
                <w:color w:val="auto"/>
                <w:sz w:val="24"/>
                <w:highlight w:val="none"/>
              </w:rPr>
              <w:t>按食堂规范化达标要求，以及厨房管理单位管理要求进行管理，未按要求管理的</w:t>
            </w:r>
          </w:p>
          <w:p w14:paraId="6D63C371">
            <w:pPr>
              <w:tabs>
                <w:tab w:val="left" w:pos="1260"/>
              </w:tabs>
              <w:spacing w:line="460" w:lineRule="exact"/>
              <w:rPr>
                <w:rFonts w:hint="eastAsia" w:hAnsi="宋体"/>
                <w:color w:val="auto"/>
                <w:sz w:val="24"/>
                <w:highlight w:val="none"/>
              </w:rPr>
            </w:pPr>
            <w:r>
              <w:rPr>
                <w:rFonts w:hint="eastAsia" w:hAnsi="宋体"/>
                <w:color w:val="auto"/>
                <w:sz w:val="24"/>
                <w:highlight w:val="none"/>
              </w:rPr>
              <w:t>（具体要求按相关文件或标准规定）</w:t>
            </w:r>
          </w:p>
        </w:tc>
        <w:tc>
          <w:tcPr>
            <w:tcW w:w="2835" w:type="dxa"/>
            <w:noWrap w:val="0"/>
            <w:vAlign w:val="center"/>
          </w:tcPr>
          <w:p w14:paraId="6B44DFF3">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1分/项次</w:t>
            </w:r>
          </w:p>
        </w:tc>
        <w:tc>
          <w:tcPr>
            <w:tcW w:w="1134" w:type="dxa"/>
            <w:noWrap w:val="0"/>
            <w:vAlign w:val="top"/>
          </w:tcPr>
          <w:p w14:paraId="07B71867">
            <w:pPr>
              <w:tabs>
                <w:tab w:val="left" w:pos="1260"/>
              </w:tabs>
              <w:spacing w:line="460" w:lineRule="exact"/>
              <w:jc w:val="center"/>
              <w:rPr>
                <w:rFonts w:hint="eastAsia" w:hAnsi="宋体"/>
                <w:color w:val="auto"/>
                <w:sz w:val="24"/>
                <w:highlight w:val="none"/>
              </w:rPr>
            </w:pPr>
          </w:p>
        </w:tc>
      </w:tr>
      <w:tr w14:paraId="39C6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2758119">
            <w:pPr>
              <w:tabs>
                <w:tab w:val="left" w:pos="1260"/>
              </w:tabs>
              <w:spacing w:line="460" w:lineRule="exact"/>
              <w:jc w:val="center"/>
              <w:rPr>
                <w:rFonts w:hAnsi="宋体"/>
                <w:color w:val="auto"/>
                <w:sz w:val="24"/>
                <w:highlight w:val="none"/>
              </w:rPr>
            </w:pPr>
            <w:r>
              <w:rPr>
                <w:rFonts w:hAnsi="宋体"/>
                <w:color w:val="auto"/>
                <w:sz w:val="24"/>
                <w:highlight w:val="none"/>
              </w:rPr>
              <w:t>2</w:t>
            </w:r>
            <w:r>
              <w:rPr>
                <w:rFonts w:hint="eastAsia" w:hAnsi="宋体"/>
                <w:color w:val="auto"/>
                <w:sz w:val="24"/>
                <w:highlight w:val="none"/>
              </w:rPr>
              <w:t>2</w:t>
            </w:r>
          </w:p>
        </w:tc>
        <w:tc>
          <w:tcPr>
            <w:tcW w:w="5272" w:type="dxa"/>
            <w:noWrap w:val="0"/>
            <w:vAlign w:val="center"/>
          </w:tcPr>
          <w:p w14:paraId="159B84B8">
            <w:pPr>
              <w:tabs>
                <w:tab w:val="left" w:pos="1260"/>
              </w:tabs>
              <w:spacing w:line="460" w:lineRule="exact"/>
              <w:rPr>
                <w:rFonts w:hAnsi="宋体"/>
                <w:color w:val="auto"/>
                <w:sz w:val="24"/>
                <w:highlight w:val="none"/>
              </w:rPr>
            </w:pPr>
            <w:r>
              <w:rPr>
                <w:rFonts w:hAnsi="宋体"/>
                <w:color w:val="auto"/>
                <w:sz w:val="24"/>
                <w:highlight w:val="none"/>
              </w:rPr>
              <w:t>完成</w:t>
            </w:r>
            <w:r>
              <w:rPr>
                <w:rFonts w:hint="eastAsia" w:hAnsi="宋体"/>
                <w:color w:val="auto"/>
                <w:sz w:val="24"/>
                <w:highlight w:val="none"/>
              </w:rPr>
              <w:t>招标方</w:t>
            </w:r>
            <w:r>
              <w:rPr>
                <w:rFonts w:hAnsi="宋体"/>
                <w:color w:val="auto"/>
                <w:sz w:val="24"/>
                <w:highlight w:val="none"/>
              </w:rPr>
              <w:t>交给的其他的临时任务。做好规范</w:t>
            </w:r>
            <w:r>
              <w:rPr>
                <w:rFonts w:hint="eastAsia" w:hAnsi="宋体"/>
                <w:color w:val="auto"/>
                <w:sz w:val="24"/>
                <w:highlight w:val="none"/>
              </w:rPr>
              <w:t>化</w:t>
            </w:r>
            <w:r>
              <w:rPr>
                <w:rFonts w:hAnsi="宋体"/>
                <w:color w:val="auto"/>
                <w:sz w:val="24"/>
                <w:highlight w:val="none"/>
              </w:rPr>
              <w:t>达标</w:t>
            </w:r>
            <w:r>
              <w:rPr>
                <w:rFonts w:hint="eastAsia" w:hAnsi="宋体"/>
                <w:color w:val="auto"/>
                <w:sz w:val="24"/>
                <w:highlight w:val="none"/>
              </w:rPr>
              <w:t>、厨房管理</w:t>
            </w:r>
            <w:r>
              <w:rPr>
                <w:rFonts w:hAnsi="宋体"/>
                <w:color w:val="auto"/>
                <w:sz w:val="24"/>
                <w:highlight w:val="none"/>
              </w:rPr>
              <w:t>等基础台账工作，以及临时性的必要工作。无故拒绝或拖延完成的</w:t>
            </w:r>
          </w:p>
        </w:tc>
        <w:tc>
          <w:tcPr>
            <w:tcW w:w="2835" w:type="dxa"/>
            <w:noWrap w:val="0"/>
            <w:vAlign w:val="center"/>
          </w:tcPr>
          <w:p w14:paraId="6E2B61C6">
            <w:pPr>
              <w:tabs>
                <w:tab w:val="left" w:pos="1260"/>
              </w:tabs>
              <w:spacing w:line="460" w:lineRule="exact"/>
              <w:jc w:val="center"/>
              <w:rPr>
                <w:rFonts w:hAnsi="宋体"/>
                <w:color w:val="auto"/>
                <w:sz w:val="24"/>
                <w:highlight w:val="none"/>
              </w:rPr>
            </w:pPr>
            <w:r>
              <w:rPr>
                <w:rFonts w:hint="eastAsia" w:hAnsi="宋体"/>
                <w:color w:val="auto"/>
                <w:sz w:val="24"/>
                <w:highlight w:val="none"/>
              </w:rPr>
              <w:t>2-10分</w:t>
            </w:r>
            <w:r>
              <w:rPr>
                <w:rFonts w:hAnsi="宋体"/>
                <w:color w:val="auto"/>
                <w:sz w:val="24"/>
                <w:highlight w:val="none"/>
              </w:rPr>
              <w:t>/次</w:t>
            </w:r>
          </w:p>
        </w:tc>
        <w:tc>
          <w:tcPr>
            <w:tcW w:w="1134" w:type="dxa"/>
            <w:noWrap w:val="0"/>
            <w:vAlign w:val="top"/>
          </w:tcPr>
          <w:p w14:paraId="2308E6FF">
            <w:pPr>
              <w:tabs>
                <w:tab w:val="left" w:pos="1260"/>
              </w:tabs>
              <w:spacing w:line="460" w:lineRule="exact"/>
              <w:jc w:val="center"/>
              <w:rPr>
                <w:rFonts w:hAnsi="宋体"/>
                <w:color w:val="auto"/>
                <w:sz w:val="24"/>
                <w:highlight w:val="none"/>
              </w:rPr>
            </w:pPr>
          </w:p>
        </w:tc>
      </w:tr>
      <w:tr w14:paraId="10E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149E1289">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23</w:t>
            </w:r>
          </w:p>
        </w:tc>
        <w:tc>
          <w:tcPr>
            <w:tcW w:w="5272" w:type="dxa"/>
            <w:noWrap w:val="0"/>
            <w:vAlign w:val="center"/>
          </w:tcPr>
          <w:p w14:paraId="486E118E">
            <w:pPr>
              <w:tabs>
                <w:tab w:val="left" w:pos="1260"/>
              </w:tabs>
              <w:spacing w:line="460" w:lineRule="exact"/>
              <w:rPr>
                <w:rFonts w:hint="eastAsia" w:hAnsi="宋体"/>
                <w:color w:val="auto"/>
                <w:sz w:val="24"/>
                <w:highlight w:val="none"/>
              </w:rPr>
            </w:pPr>
            <w:r>
              <w:rPr>
                <w:rFonts w:hint="eastAsia" w:hAnsi="宋体"/>
                <w:color w:val="auto"/>
                <w:sz w:val="24"/>
                <w:highlight w:val="none"/>
              </w:rPr>
              <w:t>合同期内人员变动未及时报备采购人的</w:t>
            </w:r>
          </w:p>
        </w:tc>
        <w:tc>
          <w:tcPr>
            <w:tcW w:w="2835" w:type="dxa"/>
            <w:noWrap w:val="0"/>
            <w:vAlign w:val="center"/>
          </w:tcPr>
          <w:p w14:paraId="173C0944">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1分/人次</w:t>
            </w:r>
          </w:p>
        </w:tc>
        <w:tc>
          <w:tcPr>
            <w:tcW w:w="1134" w:type="dxa"/>
            <w:noWrap w:val="0"/>
            <w:vAlign w:val="top"/>
          </w:tcPr>
          <w:p w14:paraId="536268B3">
            <w:pPr>
              <w:tabs>
                <w:tab w:val="left" w:pos="1260"/>
              </w:tabs>
              <w:spacing w:line="460" w:lineRule="exact"/>
              <w:jc w:val="center"/>
              <w:rPr>
                <w:rFonts w:hAnsi="宋体"/>
                <w:color w:val="auto"/>
                <w:sz w:val="24"/>
                <w:highlight w:val="none"/>
              </w:rPr>
            </w:pPr>
          </w:p>
        </w:tc>
      </w:tr>
      <w:tr w14:paraId="3821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46DD5627">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24</w:t>
            </w:r>
          </w:p>
        </w:tc>
        <w:tc>
          <w:tcPr>
            <w:tcW w:w="5272" w:type="dxa"/>
            <w:noWrap w:val="0"/>
            <w:vAlign w:val="center"/>
          </w:tcPr>
          <w:p w14:paraId="24F612DC">
            <w:pPr>
              <w:tabs>
                <w:tab w:val="left" w:pos="1260"/>
              </w:tabs>
              <w:spacing w:line="460" w:lineRule="exact"/>
              <w:rPr>
                <w:rFonts w:hint="eastAsia" w:hAnsi="宋体"/>
                <w:color w:val="auto"/>
                <w:sz w:val="24"/>
                <w:highlight w:val="none"/>
              </w:rPr>
            </w:pPr>
            <w:r>
              <w:rPr>
                <w:rFonts w:hint="eastAsia" w:hAnsi="宋体"/>
                <w:color w:val="auto"/>
                <w:sz w:val="24"/>
                <w:highlight w:val="none"/>
              </w:rPr>
              <w:t>服务员用工人数未按要求配置的</w:t>
            </w:r>
          </w:p>
        </w:tc>
        <w:tc>
          <w:tcPr>
            <w:tcW w:w="2835" w:type="dxa"/>
            <w:noWrap w:val="0"/>
            <w:vAlign w:val="center"/>
          </w:tcPr>
          <w:p w14:paraId="0DA7F95C">
            <w:pPr>
              <w:tabs>
                <w:tab w:val="left" w:pos="1260"/>
              </w:tabs>
              <w:spacing w:line="460" w:lineRule="exact"/>
              <w:jc w:val="center"/>
              <w:rPr>
                <w:rFonts w:hAnsi="宋体"/>
                <w:color w:val="auto"/>
                <w:sz w:val="24"/>
                <w:highlight w:val="none"/>
              </w:rPr>
            </w:pPr>
            <w:r>
              <w:rPr>
                <w:rFonts w:hint="eastAsia" w:hAnsi="宋体"/>
                <w:color w:val="auto"/>
                <w:sz w:val="24"/>
                <w:highlight w:val="none"/>
              </w:rPr>
              <w:t>5分</w:t>
            </w:r>
            <w:r>
              <w:rPr>
                <w:rFonts w:hAnsi="宋体"/>
                <w:color w:val="auto"/>
                <w:sz w:val="24"/>
                <w:highlight w:val="none"/>
              </w:rPr>
              <w:t>/人次</w:t>
            </w:r>
          </w:p>
        </w:tc>
        <w:tc>
          <w:tcPr>
            <w:tcW w:w="1134" w:type="dxa"/>
            <w:noWrap w:val="0"/>
            <w:vAlign w:val="top"/>
          </w:tcPr>
          <w:p w14:paraId="10868547">
            <w:pPr>
              <w:tabs>
                <w:tab w:val="left" w:pos="1260"/>
              </w:tabs>
              <w:spacing w:line="460" w:lineRule="exact"/>
              <w:jc w:val="center"/>
              <w:rPr>
                <w:rFonts w:hAnsi="宋体"/>
                <w:color w:val="auto"/>
                <w:sz w:val="24"/>
                <w:highlight w:val="none"/>
              </w:rPr>
            </w:pPr>
          </w:p>
        </w:tc>
      </w:tr>
      <w:tr w14:paraId="120A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1F47A8EA">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25</w:t>
            </w:r>
          </w:p>
        </w:tc>
        <w:tc>
          <w:tcPr>
            <w:tcW w:w="5272" w:type="dxa"/>
            <w:noWrap w:val="0"/>
            <w:vAlign w:val="center"/>
          </w:tcPr>
          <w:p w14:paraId="43B1C3A5">
            <w:pPr>
              <w:tabs>
                <w:tab w:val="left" w:pos="1260"/>
              </w:tabs>
              <w:spacing w:line="460" w:lineRule="exact"/>
              <w:rPr>
                <w:rFonts w:hint="eastAsia" w:hAnsi="宋体"/>
                <w:color w:val="auto"/>
                <w:sz w:val="24"/>
                <w:highlight w:val="none"/>
              </w:rPr>
            </w:pPr>
            <w:r>
              <w:rPr>
                <w:rFonts w:hint="eastAsia" w:hAnsi="宋体"/>
                <w:color w:val="auto"/>
                <w:sz w:val="24"/>
                <w:highlight w:val="none"/>
              </w:rPr>
              <w:t>管理人员、厨师、面点师用工人数未按要求配置的，</w:t>
            </w:r>
          </w:p>
        </w:tc>
        <w:tc>
          <w:tcPr>
            <w:tcW w:w="2835" w:type="dxa"/>
            <w:noWrap w:val="0"/>
            <w:vAlign w:val="center"/>
          </w:tcPr>
          <w:p w14:paraId="0AA890DA">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5</w:t>
            </w:r>
            <w:r>
              <w:rPr>
                <w:rFonts w:hAnsi="宋体"/>
                <w:color w:val="auto"/>
                <w:sz w:val="24"/>
                <w:highlight w:val="none"/>
              </w:rPr>
              <w:t>/人次</w:t>
            </w:r>
          </w:p>
        </w:tc>
        <w:tc>
          <w:tcPr>
            <w:tcW w:w="1134" w:type="dxa"/>
            <w:noWrap w:val="0"/>
            <w:vAlign w:val="top"/>
          </w:tcPr>
          <w:p w14:paraId="28BBBC8C">
            <w:pPr>
              <w:tabs>
                <w:tab w:val="left" w:pos="1260"/>
              </w:tabs>
              <w:spacing w:line="460" w:lineRule="exact"/>
              <w:jc w:val="center"/>
              <w:rPr>
                <w:rFonts w:hAnsi="宋体"/>
                <w:color w:val="auto"/>
                <w:sz w:val="24"/>
                <w:highlight w:val="none"/>
              </w:rPr>
            </w:pPr>
          </w:p>
        </w:tc>
      </w:tr>
      <w:tr w14:paraId="38F6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EBEC695">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26</w:t>
            </w:r>
          </w:p>
        </w:tc>
        <w:tc>
          <w:tcPr>
            <w:tcW w:w="5272" w:type="dxa"/>
            <w:noWrap w:val="0"/>
            <w:vAlign w:val="center"/>
          </w:tcPr>
          <w:p w14:paraId="17BE6371">
            <w:pPr>
              <w:tabs>
                <w:tab w:val="left" w:pos="1260"/>
              </w:tabs>
              <w:spacing w:line="460" w:lineRule="exact"/>
              <w:rPr>
                <w:rFonts w:hint="eastAsia" w:hAnsi="宋体"/>
                <w:color w:val="auto"/>
                <w:sz w:val="24"/>
                <w:highlight w:val="none"/>
              </w:rPr>
            </w:pPr>
            <w:r>
              <w:rPr>
                <w:rFonts w:hint="eastAsia" w:hAnsi="宋体"/>
                <w:color w:val="auto"/>
                <w:sz w:val="24"/>
                <w:highlight w:val="none"/>
              </w:rPr>
              <w:t>其他没有按要求或规定完成的情况</w:t>
            </w:r>
          </w:p>
        </w:tc>
        <w:tc>
          <w:tcPr>
            <w:tcW w:w="2835" w:type="dxa"/>
            <w:noWrap w:val="0"/>
            <w:vAlign w:val="center"/>
          </w:tcPr>
          <w:p w14:paraId="32A832CD">
            <w:pPr>
              <w:tabs>
                <w:tab w:val="left" w:pos="1260"/>
              </w:tabs>
              <w:spacing w:line="460" w:lineRule="exact"/>
              <w:jc w:val="center"/>
              <w:rPr>
                <w:rFonts w:hint="eastAsia" w:hAnsi="宋体"/>
                <w:color w:val="auto"/>
                <w:sz w:val="24"/>
                <w:highlight w:val="none"/>
              </w:rPr>
            </w:pPr>
            <w:r>
              <w:rPr>
                <w:rFonts w:hint="eastAsia" w:hAnsi="宋体"/>
                <w:color w:val="auto"/>
                <w:sz w:val="24"/>
                <w:highlight w:val="none"/>
              </w:rPr>
              <w:t>1—10分/（人）次</w:t>
            </w:r>
          </w:p>
        </w:tc>
        <w:tc>
          <w:tcPr>
            <w:tcW w:w="1134" w:type="dxa"/>
            <w:noWrap w:val="0"/>
            <w:vAlign w:val="top"/>
          </w:tcPr>
          <w:p w14:paraId="6867AF8E">
            <w:pPr>
              <w:tabs>
                <w:tab w:val="left" w:pos="1260"/>
              </w:tabs>
              <w:spacing w:line="460" w:lineRule="exact"/>
              <w:jc w:val="center"/>
              <w:rPr>
                <w:rFonts w:hAnsi="宋体"/>
                <w:color w:val="auto"/>
                <w:sz w:val="24"/>
                <w:highlight w:val="none"/>
              </w:rPr>
            </w:pPr>
          </w:p>
        </w:tc>
      </w:tr>
    </w:tbl>
    <w:p w14:paraId="18AAA0D0">
      <w:pPr>
        <w:rPr>
          <w:color w:val="auto"/>
          <w:highlight w:val="none"/>
        </w:rPr>
      </w:pPr>
    </w:p>
    <w:p w14:paraId="61A7E350">
      <w:pPr>
        <w:snapToGrid w:val="0"/>
        <w:spacing w:line="360" w:lineRule="auto"/>
        <w:ind w:firstLine="480" w:firstLineChars="200"/>
        <w:rPr>
          <w:b/>
          <w:color w:val="auto"/>
          <w:sz w:val="24"/>
          <w:highlight w:val="none"/>
        </w:rPr>
      </w:pPr>
      <w:r>
        <w:rPr>
          <w:rFonts w:hint="eastAsia"/>
          <w:b/>
          <w:color w:val="auto"/>
          <w:sz w:val="24"/>
          <w:highlight w:val="none"/>
        </w:rPr>
        <w:t>十</w:t>
      </w:r>
      <w:r>
        <w:rPr>
          <w:rFonts w:hint="eastAsia"/>
          <w:b/>
          <w:color w:val="auto"/>
          <w:sz w:val="24"/>
          <w:highlight w:val="none"/>
          <w:lang w:val="en-US" w:eastAsia="zh-CN"/>
        </w:rPr>
        <w:t>一</w:t>
      </w:r>
      <w:r>
        <w:rPr>
          <w:b/>
          <w:color w:val="auto"/>
          <w:sz w:val="24"/>
          <w:highlight w:val="none"/>
        </w:rPr>
        <w:t>、付款方式</w:t>
      </w:r>
    </w:p>
    <w:p w14:paraId="7E80519E">
      <w:pPr>
        <w:snapToGrid w:val="0"/>
        <w:spacing w:line="360" w:lineRule="auto"/>
        <w:ind w:firstLine="480" w:firstLineChars="200"/>
        <w:rPr>
          <w:rFonts w:hint="eastAsia"/>
          <w:color w:val="auto"/>
          <w:sz w:val="24"/>
          <w:highlight w:val="none"/>
        </w:rPr>
      </w:pPr>
      <w:r>
        <w:rPr>
          <w:rFonts w:hint="eastAsia"/>
          <w:color w:val="auto"/>
          <w:sz w:val="24"/>
          <w:highlight w:val="none"/>
        </w:rPr>
        <w:t>合同生效并在中标供应商提交相应金额的金融机构出具的预付款保函后</w:t>
      </w:r>
      <w:r>
        <w:rPr>
          <w:rFonts w:hint="eastAsia"/>
          <w:color w:val="auto"/>
          <w:sz w:val="24"/>
          <w:highlight w:val="none"/>
          <w:lang w:val="en-US" w:eastAsia="zh-CN"/>
        </w:rPr>
        <w:t>7</w:t>
      </w:r>
      <w:r>
        <w:rPr>
          <w:rFonts w:hint="eastAsia"/>
          <w:color w:val="auto"/>
          <w:sz w:val="24"/>
          <w:highlight w:val="none"/>
        </w:rPr>
        <w:t>个工作日内支付合同金额的</w:t>
      </w:r>
      <w:r>
        <w:rPr>
          <w:rFonts w:hint="eastAsia"/>
          <w:color w:val="auto"/>
          <w:sz w:val="24"/>
          <w:highlight w:val="none"/>
          <w:lang w:val="en-US" w:eastAsia="zh-CN"/>
        </w:rPr>
        <w:t>40</w:t>
      </w:r>
      <w:r>
        <w:rPr>
          <w:rFonts w:hint="eastAsia"/>
          <w:color w:val="auto"/>
          <w:sz w:val="24"/>
          <w:highlight w:val="none"/>
        </w:rPr>
        <w:t>％作为项目的预付款，</w:t>
      </w:r>
      <w:r>
        <w:rPr>
          <w:rFonts w:hint="eastAsia" w:ascii="宋体" w:hAnsi="宋体" w:cs="宋体"/>
          <w:color w:val="auto"/>
          <w:sz w:val="24"/>
          <w:highlight w:val="none"/>
        </w:rPr>
        <w:t>在支付预付款之前要求中标单位提供预付款保函（预付款保函可以在政采云平台线上办理）</w:t>
      </w:r>
      <w:r>
        <w:rPr>
          <w:rFonts w:hint="eastAsia"/>
          <w:color w:val="auto"/>
          <w:sz w:val="24"/>
          <w:highlight w:val="none"/>
        </w:rPr>
        <w:t>。</w:t>
      </w:r>
    </w:p>
    <w:p w14:paraId="2BE90E4D">
      <w:pPr>
        <w:spacing w:line="360" w:lineRule="auto"/>
        <w:ind w:firstLine="480" w:firstLineChars="200"/>
        <w:rPr>
          <w:rFonts w:hint="eastAsia"/>
          <w:color w:val="auto"/>
          <w:sz w:val="24"/>
          <w:highlight w:val="none"/>
        </w:rPr>
      </w:pPr>
      <w:r>
        <w:rPr>
          <w:rFonts w:hint="eastAsia"/>
          <w:color w:val="auto"/>
          <w:sz w:val="24"/>
          <w:highlight w:val="none"/>
        </w:rPr>
        <w:t>剩余年度服务费按月支付费用，中标单位服务满一个月后向采购人提供月度发票，采购人凭发票于十五日内按中标价的成交总额，向中标单位按比例按月支付应付款项，直至所付款项达到年度合同的100%。</w:t>
      </w:r>
    </w:p>
    <w:p w14:paraId="23505A8C">
      <w:pPr>
        <w:pStyle w:val="24"/>
        <w:spacing w:before="120" w:after="120" w:line="420" w:lineRule="exact"/>
        <w:ind w:firstLine="480" w:firstLineChars="200"/>
        <w:rPr>
          <w:rFonts w:hint="eastAsia" w:hAnsi="Courier New"/>
          <w:b/>
          <w:color w:val="auto"/>
          <w:highlight w:val="none"/>
          <w:lang w:val="en-US" w:eastAsia="zh-CN"/>
        </w:rPr>
      </w:pPr>
      <w:r>
        <w:rPr>
          <w:rFonts w:hint="eastAsia" w:hAnsi="Courier New"/>
          <w:b/>
          <w:color w:val="auto"/>
          <w:highlight w:val="none"/>
          <w:lang w:val="en-US" w:eastAsia="zh-CN"/>
        </w:rPr>
        <w:t>十二、合同的签订</w:t>
      </w:r>
    </w:p>
    <w:p w14:paraId="3FACDDA4">
      <w:pPr>
        <w:pStyle w:val="24"/>
        <w:spacing w:before="120" w:after="120" w:line="440" w:lineRule="exact"/>
        <w:ind w:firstLine="480" w:firstLineChars="200"/>
        <w:rPr>
          <w:rFonts w:hint="eastAsia" w:hAnsi="宋体" w:cs="宋体"/>
          <w:color w:val="auto"/>
          <w:highlight w:val="none"/>
        </w:rPr>
      </w:pPr>
      <w:r>
        <w:rPr>
          <w:rFonts w:hint="eastAsia" w:hAnsi="宋体" w:cs="宋体"/>
          <w:bCs/>
          <w:color w:val="auto"/>
          <w:highlight w:val="none"/>
        </w:rPr>
        <w:t>中标单位在收到《中标通知书》后</w:t>
      </w:r>
      <w:r>
        <w:rPr>
          <w:rFonts w:hint="eastAsia" w:hAnsi="宋体" w:cs="宋体"/>
          <w:bCs/>
          <w:color w:val="auto"/>
          <w:highlight w:val="none"/>
          <w:lang w:val="en-US" w:eastAsia="zh-CN"/>
        </w:rPr>
        <w:t>2</w:t>
      </w:r>
      <w:r>
        <w:rPr>
          <w:rFonts w:hint="eastAsia" w:hAnsi="宋体" w:cs="宋体"/>
          <w:bCs/>
          <w:color w:val="auto"/>
          <w:highlight w:val="none"/>
        </w:rPr>
        <w:t>0日内与</w:t>
      </w:r>
      <w:r>
        <w:rPr>
          <w:rFonts w:hint="eastAsia" w:hAnsi="宋体" w:cs="宋体"/>
          <w:bCs/>
          <w:color w:val="auto"/>
          <w:highlight w:val="none"/>
          <w:lang w:eastAsia="zh-CN"/>
        </w:rPr>
        <w:t>东阳市南市街道办事处</w:t>
      </w:r>
      <w:r>
        <w:rPr>
          <w:rFonts w:hint="eastAsia" w:hAnsi="宋体" w:cs="宋体"/>
          <w:bCs/>
          <w:color w:val="auto"/>
          <w:highlight w:val="none"/>
        </w:rPr>
        <w:t>签订合同。</w:t>
      </w:r>
    </w:p>
    <w:p w14:paraId="1A5826FC">
      <w:pPr>
        <w:pStyle w:val="42"/>
        <w:jc w:val="left"/>
        <w:rPr>
          <w:rFonts w:hint="eastAsia"/>
          <w:color w:val="auto"/>
          <w:highlight w:val="none"/>
        </w:rPr>
      </w:pPr>
    </w:p>
    <w:p w14:paraId="50A2E696">
      <w:pPr>
        <w:rPr>
          <w:rFonts w:ascii="黑体" w:hAnsi="宋体" w:eastAsia="黑体"/>
          <w:color w:val="auto"/>
          <w:sz w:val="36"/>
          <w:szCs w:val="36"/>
          <w:highlight w:val="none"/>
        </w:rPr>
      </w:pPr>
      <w:r>
        <w:rPr>
          <w:rFonts w:hint="eastAsia"/>
          <w:color w:val="auto"/>
          <w:sz w:val="24"/>
          <w:highlight w:val="none"/>
        </w:rPr>
        <w:br w:type="page"/>
      </w:r>
    </w:p>
    <w:p w14:paraId="3F48BF54">
      <w:pPr>
        <w:snapToGrid w:val="0"/>
        <w:spacing w:line="360" w:lineRule="auto"/>
        <w:ind w:firstLine="482"/>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标项2：东阳市南市街道办事处食堂物资配送服务项目招标需求</w:t>
      </w:r>
    </w:p>
    <w:p w14:paraId="5EB68DC1">
      <w:pPr>
        <w:snapToGrid w:val="0"/>
        <w:spacing w:line="360" w:lineRule="auto"/>
        <w:ind w:firstLine="482"/>
        <w:rPr>
          <w:rFonts w:hint="eastAsia" w:ascii="宋体" w:hAnsi="宋体" w:eastAsia="宋体" w:cs="宋体"/>
          <w:bCs/>
          <w:color w:val="auto"/>
          <w:sz w:val="24"/>
          <w:highlight w:val="none"/>
          <w:lang w:eastAsia="zh-CN"/>
        </w:rPr>
      </w:pPr>
      <w:r>
        <w:rPr>
          <w:rFonts w:hint="eastAsia" w:ascii="宋体" w:hAnsi="宋体" w:cs="宋体"/>
          <w:b/>
          <w:bCs/>
          <w:color w:val="auto"/>
          <w:sz w:val="24"/>
          <w:highlight w:val="none"/>
        </w:rPr>
        <w:t>一、项目编号：</w:t>
      </w:r>
      <w:r>
        <w:rPr>
          <w:rFonts w:hint="eastAsia" w:ascii="宋体" w:hAnsi="宋体" w:cs="Arial"/>
          <w:b/>
          <w:bCs/>
          <w:color w:val="auto"/>
          <w:sz w:val="24"/>
          <w:highlight w:val="none"/>
          <w:lang w:eastAsia="zh-CN"/>
        </w:rPr>
        <w:t>JHZD2024-016</w:t>
      </w:r>
    </w:p>
    <w:p w14:paraId="7C11602B">
      <w:pPr>
        <w:snapToGrid w:val="0"/>
        <w:spacing w:line="360" w:lineRule="auto"/>
        <w:ind w:firstLine="482"/>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二、项目名称：</w:t>
      </w:r>
      <w:r>
        <w:rPr>
          <w:rFonts w:hint="eastAsia" w:ascii="宋体" w:hAnsi="宋体" w:cs="宋体"/>
          <w:b/>
          <w:color w:val="auto"/>
          <w:sz w:val="24"/>
          <w:highlight w:val="none"/>
          <w:lang w:val="en-US" w:eastAsia="zh-CN"/>
        </w:rPr>
        <w:t>东阳市南市街道办事处食堂物资配送服务项目</w:t>
      </w:r>
    </w:p>
    <w:p w14:paraId="529B473E">
      <w:pPr>
        <w:pStyle w:val="14"/>
        <w:ind w:firstLine="480" w:firstLineChars="200"/>
        <w:rPr>
          <w:rFonts w:hint="eastAsia" w:ascii="宋体" w:hAnsi="宋体"/>
          <w:b/>
          <w:color w:val="auto"/>
          <w:sz w:val="24"/>
          <w:highlight w:val="none"/>
          <w:lang w:eastAsia="zh-CN"/>
        </w:rPr>
      </w:pPr>
      <w:r>
        <w:rPr>
          <w:rFonts w:hint="eastAsia" w:ascii="宋体" w:hAnsi="宋体"/>
          <w:b/>
          <w:color w:val="auto"/>
          <w:sz w:val="24"/>
          <w:highlight w:val="none"/>
          <w:lang w:val="en-US" w:eastAsia="zh-CN"/>
        </w:rPr>
        <w:t>三、</w:t>
      </w:r>
      <w:r>
        <w:rPr>
          <w:rFonts w:hint="eastAsia" w:ascii="宋体" w:hAnsi="宋体"/>
          <w:b/>
          <w:color w:val="auto"/>
          <w:sz w:val="24"/>
          <w:highlight w:val="none"/>
          <w:lang w:eastAsia="zh-CN"/>
        </w:rPr>
        <w:t>采购内容及要求</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5811"/>
        <w:gridCol w:w="3041"/>
      </w:tblGrid>
      <w:tr w14:paraId="2C66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14:paraId="7EA7E61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标项</w:t>
            </w:r>
          </w:p>
        </w:tc>
        <w:tc>
          <w:tcPr>
            <w:tcW w:w="2951" w:type="pct"/>
            <w:vAlign w:val="center"/>
          </w:tcPr>
          <w:p w14:paraId="4ACE6B82">
            <w:pPr>
              <w:spacing w:line="360" w:lineRule="auto"/>
              <w:ind w:firstLine="482"/>
              <w:jc w:val="center"/>
              <w:rPr>
                <w:rFonts w:ascii="宋体" w:hAnsi="宋体" w:cs="宋体"/>
                <w:b/>
                <w:bCs/>
                <w:color w:val="auto"/>
                <w:sz w:val="24"/>
                <w:highlight w:val="none"/>
              </w:rPr>
            </w:pPr>
            <w:r>
              <w:rPr>
                <w:rFonts w:hint="eastAsia" w:ascii="宋体" w:hAnsi="宋体" w:cs="宋体"/>
                <w:b/>
                <w:bCs/>
                <w:color w:val="auto"/>
                <w:sz w:val="24"/>
                <w:highlight w:val="none"/>
              </w:rPr>
              <w:t>采购内容</w:t>
            </w:r>
          </w:p>
        </w:tc>
        <w:tc>
          <w:tcPr>
            <w:tcW w:w="1543" w:type="pct"/>
            <w:vAlign w:val="center"/>
          </w:tcPr>
          <w:p w14:paraId="5C6077BC">
            <w:pPr>
              <w:spacing w:line="360" w:lineRule="auto"/>
              <w:ind w:firstLine="120" w:firstLineChars="50"/>
              <w:jc w:val="center"/>
              <w:rPr>
                <w:rFonts w:ascii="宋体" w:hAnsi="宋体" w:cs="宋体"/>
                <w:b/>
                <w:bCs/>
                <w:color w:val="auto"/>
                <w:sz w:val="24"/>
                <w:highlight w:val="none"/>
              </w:rPr>
            </w:pPr>
            <w:r>
              <w:rPr>
                <w:rFonts w:hint="eastAsia" w:ascii="宋体" w:hAnsi="宋体" w:cs="宋体"/>
                <w:b/>
                <w:bCs/>
                <w:color w:val="auto"/>
                <w:sz w:val="24"/>
                <w:highlight w:val="none"/>
              </w:rPr>
              <w:t>投标最高限价</w:t>
            </w:r>
          </w:p>
        </w:tc>
      </w:tr>
      <w:tr w14:paraId="5141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5" w:type="pct"/>
            <w:vAlign w:val="center"/>
          </w:tcPr>
          <w:p w14:paraId="3A0428B1">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2951" w:type="pct"/>
            <w:vAlign w:val="center"/>
          </w:tcPr>
          <w:p w14:paraId="63068BC2">
            <w:pPr>
              <w:pStyle w:val="24"/>
              <w:rPr>
                <w:color w:val="auto"/>
                <w:highlight w:val="none"/>
              </w:rPr>
            </w:pPr>
            <w:r>
              <w:rPr>
                <w:rFonts w:hint="eastAsia"/>
                <w:color w:val="auto"/>
                <w:highlight w:val="none"/>
              </w:rPr>
              <w:t>东阳市南市街道办事处食堂物资配送服务项目</w:t>
            </w:r>
          </w:p>
        </w:tc>
        <w:tc>
          <w:tcPr>
            <w:tcW w:w="1543" w:type="pct"/>
            <w:vAlign w:val="center"/>
          </w:tcPr>
          <w:p w14:paraId="32B53A3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125</w:t>
            </w:r>
            <w:r>
              <w:rPr>
                <w:rFonts w:hint="eastAsia" w:ascii="宋体" w:hAnsi="宋体" w:cs="宋体"/>
                <w:color w:val="auto"/>
                <w:sz w:val="24"/>
                <w:highlight w:val="none"/>
              </w:rPr>
              <w:t>万元</w:t>
            </w:r>
          </w:p>
        </w:tc>
      </w:tr>
      <w:tr w14:paraId="1AA3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00" w:type="pct"/>
            <w:gridSpan w:val="3"/>
            <w:vAlign w:val="center"/>
          </w:tcPr>
          <w:p w14:paraId="4F0C39D4">
            <w:pPr>
              <w:spacing w:line="360" w:lineRule="auto"/>
              <w:jc w:val="left"/>
              <w:rPr>
                <w:rFonts w:hint="default"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注：需通过“832平台”采购脱贫地区农副产品预留份额，预留比例原则上不低于年度食堂食材采购总额的15%。</w:t>
            </w:r>
          </w:p>
        </w:tc>
      </w:tr>
    </w:tbl>
    <w:p w14:paraId="039FE87D">
      <w:pPr>
        <w:rPr>
          <w:rFonts w:hint="default"/>
          <w:color w:val="auto"/>
          <w:lang w:val="en-US" w:eastAsia="zh-CN"/>
        </w:rPr>
      </w:pPr>
    </w:p>
    <w:p w14:paraId="46F1BA37">
      <w:pPr>
        <w:spacing w:line="360" w:lineRule="auto"/>
        <w:ind w:firstLine="480" w:firstLineChars="200"/>
        <w:rPr>
          <w:rFonts w:hint="eastAsia" w:ascii="宋体" w:hAnsi="宋体" w:cs="Arial"/>
          <w:color w:val="auto"/>
          <w:sz w:val="24"/>
          <w:highlight w:val="none"/>
          <w:lang w:val="en-US" w:eastAsia="zh-CN"/>
        </w:rPr>
      </w:pPr>
      <w:r>
        <w:rPr>
          <w:rFonts w:hint="eastAsia" w:ascii="宋体" w:hAnsi="宋体" w:cs="宋体"/>
          <w:bCs/>
          <w:color w:val="auto"/>
          <w:sz w:val="24"/>
          <w:highlight w:val="none"/>
        </w:rPr>
        <w:t>本次招标为东阳市</w:t>
      </w:r>
      <w:r>
        <w:rPr>
          <w:rFonts w:hint="eastAsia" w:ascii="宋体" w:hAnsi="宋体" w:cs="宋体"/>
          <w:bCs/>
          <w:color w:val="auto"/>
          <w:sz w:val="24"/>
          <w:highlight w:val="none"/>
          <w:lang w:eastAsia="zh-CN"/>
        </w:rPr>
        <w:t>南市街道</w:t>
      </w:r>
      <w:r>
        <w:rPr>
          <w:rFonts w:hint="eastAsia" w:ascii="宋体" w:hAnsi="宋体" w:cs="宋体"/>
          <w:color w:val="auto"/>
          <w:sz w:val="24"/>
          <w:highlight w:val="none"/>
        </w:rPr>
        <w:t>食堂</w:t>
      </w:r>
      <w:r>
        <w:rPr>
          <w:rFonts w:hint="eastAsia" w:ascii="宋体" w:hAnsi="宋体" w:cs="宋体"/>
          <w:bCs/>
          <w:color w:val="auto"/>
          <w:sz w:val="24"/>
          <w:highlight w:val="none"/>
        </w:rPr>
        <w:t>所需的</w:t>
      </w:r>
      <w:r>
        <w:rPr>
          <w:rFonts w:hint="eastAsia" w:ascii="宋体" w:hAnsi="宋体" w:cs="宋体"/>
          <w:color w:val="auto"/>
          <w:sz w:val="24"/>
          <w:highlight w:val="none"/>
        </w:rPr>
        <w:t>食材</w:t>
      </w:r>
      <w:r>
        <w:rPr>
          <w:rFonts w:hint="eastAsia" w:ascii="宋体" w:hAnsi="宋体" w:cs="宋体"/>
          <w:bCs/>
          <w:color w:val="auto"/>
          <w:sz w:val="24"/>
          <w:highlight w:val="none"/>
        </w:rPr>
        <w:t>配送项目采购。</w:t>
      </w:r>
      <w:r>
        <w:rPr>
          <w:rFonts w:hint="eastAsia" w:ascii="宋体" w:hAnsi="宋体" w:eastAsia="宋体" w:cs="宋体"/>
          <w:bCs/>
          <w:color w:val="auto"/>
          <w:sz w:val="24"/>
          <w:highlight w:val="none"/>
          <w:lang w:eastAsia="zh-CN"/>
        </w:rPr>
        <w:t>南市街道下设</w:t>
      </w:r>
      <w:r>
        <w:rPr>
          <w:rFonts w:hint="eastAsia" w:ascii="宋体" w:hAnsi="宋体" w:eastAsia="宋体" w:cs="宋体"/>
          <w:bCs/>
          <w:color w:val="auto"/>
          <w:sz w:val="24"/>
          <w:highlight w:val="none"/>
          <w:lang w:val="en-US" w:eastAsia="zh-CN"/>
        </w:rPr>
        <w:t>5个食堂，其中</w:t>
      </w:r>
      <w:r>
        <w:rPr>
          <w:rFonts w:hint="eastAsia" w:ascii="宋体" w:hAnsi="宋体" w:eastAsia="宋体" w:cs="宋体"/>
          <w:bCs/>
          <w:color w:val="auto"/>
          <w:sz w:val="24"/>
          <w:highlight w:val="none"/>
          <w:lang w:eastAsia="zh-CN"/>
        </w:rPr>
        <w:t>南市街道机关食堂（朝龙路</w:t>
      </w:r>
      <w:r>
        <w:rPr>
          <w:rFonts w:hint="eastAsia" w:ascii="宋体" w:hAnsi="宋体" w:eastAsia="宋体" w:cs="宋体"/>
          <w:bCs/>
          <w:color w:val="auto"/>
          <w:sz w:val="24"/>
          <w:highlight w:val="none"/>
          <w:lang w:val="en-US" w:eastAsia="zh-CN"/>
        </w:rPr>
        <w:t>8号</w:t>
      </w:r>
      <w:r>
        <w:rPr>
          <w:rFonts w:hint="eastAsia" w:ascii="宋体" w:hAnsi="宋体" w:eastAsia="宋体" w:cs="宋体"/>
          <w:bCs/>
          <w:color w:val="auto"/>
          <w:sz w:val="24"/>
          <w:highlight w:val="none"/>
          <w:lang w:eastAsia="zh-CN"/>
        </w:rPr>
        <w:t>）就餐人数约</w:t>
      </w:r>
      <w:r>
        <w:rPr>
          <w:rFonts w:hint="eastAsia" w:ascii="宋体" w:hAnsi="宋体" w:eastAsia="宋体" w:cs="宋体"/>
          <w:bCs/>
          <w:color w:val="auto"/>
          <w:sz w:val="24"/>
          <w:highlight w:val="none"/>
          <w:lang w:val="en-US" w:eastAsia="zh-CN"/>
        </w:rPr>
        <w:t>90人，大联工作片食堂（大联大田头）就餐人数约40人，南溪工作片食堂（南溪村）就餐人数约20人，</w:t>
      </w:r>
      <w:r>
        <w:rPr>
          <w:rFonts w:hint="eastAsia" w:ascii="宋体" w:hAnsi="宋体" w:cs="Arial"/>
          <w:color w:val="auto"/>
          <w:sz w:val="24"/>
          <w:highlight w:val="none"/>
          <w:lang w:val="en-US" w:eastAsia="zh-CN"/>
        </w:rPr>
        <w:t>槐堂工作片食堂（南峰村）就餐人数约20人，</w:t>
      </w:r>
    </w:p>
    <w:p w14:paraId="31AA070A">
      <w:pPr>
        <w:spacing w:line="360" w:lineRule="auto"/>
        <w:ind w:firstLine="480" w:firstLineChars="200"/>
        <w:rPr>
          <w:rFonts w:ascii="宋体" w:hAnsi="宋体" w:cs="宋体"/>
          <w:bCs/>
          <w:color w:val="auto"/>
          <w:sz w:val="24"/>
          <w:highlight w:val="none"/>
        </w:rPr>
      </w:pPr>
      <w:r>
        <w:rPr>
          <w:rFonts w:hint="eastAsia" w:ascii="宋体" w:hAnsi="宋体" w:eastAsia="宋体" w:cs="宋体"/>
          <w:bCs/>
          <w:color w:val="auto"/>
          <w:sz w:val="24"/>
          <w:highlight w:val="none"/>
          <w:lang w:val="en-US" w:eastAsia="zh-CN"/>
        </w:rPr>
        <w:t>南市行政执法食堂（南市街道官清岭脚）就餐人数约6人。</w:t>
      </w:r>
      <w:r>
        <w:rPr>
          <w:rFonts w:hint="eastAsia" w:ascii="宋体" w:hAnsi="宋体" w:cs="宋体"/>
          <w:bCs/>
          <w:color w:val="auto"/>
          <w:sz w:val="24"/>
          <w:highlight w:val="none"/>
        </w:rPr>
        <w:t>投标人应根据招标文件所提出的配送能力、食品安全、产品质量和服务质量要求，以优质的</w:t>
      </w:r>
      <w:r>
        <w:rPr>
          <w:rFonts w:hint="eastAsia" w:ascii="宋体" w:hAnsi="宋体" w:cs="宋体"/>
          <w:bCs/>
          <w:color w:val="auto"/>
          <w:sz w:val="24"/>
          <w:highlight w:val="none"/>
          <w:lang w:eastAsia="zh-CN"/>
        </w:rPr>
        <w:t>食材</w:t>
      </w:r>
      <w:r>
        <w:rPr>
          <w:rFonts w:hint="eastAsia" w:ascii="宋体" w:hAnsi="宋体" w:cs="宋体"/>
          <w:bCs/>
          <w:color w:val="auto"/>
          <w:sz w:val="24"/>
          <w:highlight w:val="none"/>
        </w:rPr>
        <w:t>、优良的服务、优惠的价格，充分显示投标供应商的竞争实力。配送采购内容包含下列</w:t>
      </w:r>
      <w:r>
        <w:rPr>
          <w:rFonts w:hint="eastAsia" w:ascii="宋体" w:hAnsi="宋体" w:cs="宋体"/>
          <w:bCs/>
          <w:color w:val="auto"/>
          <w:sz w:val="24"/>
          <w:highlight w:val="none"/>
          <w:lang w:eastAsia="zh-CN"/>
        </w:rPr>
        <w:t>五</w:t>
      </w:r>
      <w:r>
        <w:rPr>
          <w:rFonts w:hint="eastAsia" w:ascii="宋体" w:hAnsi="宋体" w:cs="宋体"/>
          <w:bCs/>
          <w:color w:val="auto"/>
          <w:sz w:val="24"/>
          <w:highlight w:val="none"/>
        </w:rPr>
        <w:t>类：</w:t>
      </w:r>
    </w:p>
    <w:p w14:paraId="4DC79247">
      <w:pPr>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 xml:space="preserve">  （1）</w:t>
      </w:r>
      <w:r>
        <w:rPr>
          <w:rFonts w:hint="eastAsia" w:ascii="宋体" w:hAnsi="宋体" w:cs="宋体"/>
          <w:bCs/>
          <w:color w:val="auto"/>
          <w:sz w:val="24"/>
          <w:highlight w:val="none"/>
          <w:lang w:eastAsia="zh-CN"/>
        </w:rPr>
        <w:t>蔬菜及其他类</w:t>
      </w:r>
      <w:r>
        <w:rPr>
          <w:rFonts w:hint="eastAsia" w:ascii="宋体" w:hAnsi="宋体" w:cs="宋体"/>
          <w:bCs/>
          <w:color w:val="auto"/>
          <w:sz w:val="24"/>
          <w:highlight w:val="none"/>
        </w:rPr>
        <w:t>：主要包括肉类（猪肉除外）、鲜蔬菜、蛋类、鲜活农副产品类、豆制品类、干货类等；</w:t>
      </w:r>
    </w:p>
    <w:p w14:paraId="5CA210C6">
      <w:pPr>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 xml:space="preserve">  （2）冷冻类：指冷冻肉类、冷冻面点、冷冻水产、冷冻蔬菜类；</w:t>
      </w:r>
    </w:p>
    <w:p w14:paraId="7CDE402E">
      <w:pPr>
        <w:spacing w:line="360" w:lineRule="auto"/>
        <w:ind w:firstLine="240" w:firstLineChars="100"/>
        <w:rPr>
          <w:rFonts w:hint="eastAsia" w:ascii="宋体" w:hAnsi="宋体" w:eastAsia="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eastAsia="宋体" w:cs="宋体"/>
          <w:bCs/>
          <w:color w:val="auto"/>
          <w:sz w:val="24"/>
          <w:highlight w:val="none"/>
        </w:rPr>
        <w:t xml:space="preserve"> （3）粮油类：主要包括大米、面粉、食用油、调味品等；</w:t>
      </w:r>
    </w:p>
    <w:p w14:paraId="4589D105">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 xml:space="preserve">  （4）猪肉类：就指猪肉，要求鲜肉</w:t>
      </w:r>
      <w:r>
        <w:rPr>
          <w:rFonts w:hint="eastAsia" w:ascii="宋体" w:hAnsi="宋体" w:eastAsia="宋体" w:cs="宋体"/>
          <w:bCs/>
          <w:color w:val="auto"/>
          <w:sz w:val="24"/>
          <w:highlight w:val="none"/>
          <w:lang w:eastAsia="zh-CN"/>
        </w:rPr>
        <w:t>；</w:t>
      </w:r>
    </w:p>
    <w:p w14:paraId="0194898B">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餐后甜品类：主要包括水果、奶制品等</w:t>
      </w:r>
    </w:p>
    <w:p w14:paraId="2EE21C5A">
      <w:pPr>
        <w:numPr>
          <w:ilvl w:val="0"/>
          <w:numId w:val="0"/>
        </w:numPr>
        <w:snapToGrid w:val="0"/>
        <w:spacing w:line="360" w:lineRule="auto"/>
        <w:ind w:firstLine="480"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四、条件约定</w:t>
      </w:r>
    </w:p>
    <w:p w14:paraId="762467C8">
      <w:pPr>
        <w:spacing w:line="44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1、</w:t>
      </w:r>
      <w:r>
        <w:rPr>
          <w:rFonts w:hint="eastAsia" w:ascii="宋体" w:hAnsi="宋体" w:eastAsia="宋体" w:cs="宋体"/>
          <w:bCs/>
          <w:color w:val="auto"/>
          <w:sz w:val="24"/>
          <w:highlight w:val="none"/>
        </w:rPr>
        <w:t>投标人必须保证各类证照齐全、有效。</w:t>
      </w:r>
    </w:p>
    <w:p w14:paraId="7DE1AE86">
      <w:pPr>
        <w:spacing w:line="440" w:lineRule="exact"/>
        <w:ind w:firstLine="480" w:firstLineChars="200"/>
        <w:rPr>
          <w:rFonts w:ascii="宋体" w:hAnsi="宋体" w:cs="宋体"/>
          <w:bCs/>
          <w:color w:val="auto"/>
          <w:sz w:val="24"/>
          <w:highlight w:val="none"/>
        </w:rPr>
      </w:pPr>
      <w:r>
        <w:rPr>
          <w:rFonts w:hint="eastAsia" w:ascii="宋体" w:hAnsi="宋体" w:eastAsia="宋体" w:cs="宋体"/>
          <w:bCs/>
          <w:color w:val="auto"/>
          <w:sz w:val="24"/>
          <w:highlight w:val="none"/>
        </w:rPr>
        <w:t>2、所有投标人必须有独立的仓储、配菜间、冷藏室、食品检测室，安装管理软件及监控设备；自备食品检测设备、车</w:t>
      </w:r>
      <w:r>
        <w:rPr>
          <w:rFonts w:hint="eastAsia" w:ascii="宋体" w:hAnsi="宋体" w:cs="宋体"/>
          <w:bCs/>
          <w:color w:val="auto"/>
          <w:sz w:val="24"/>
          <w:highlight w:val="none"/>
        </w:rPr>
        <w:t>辆等所必需的设备设施；食品质量管理符合相关部门要求。</w:t>
      </w:r>
    </w:p>
    <w:p w14:paraId="050D2276">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3、投标人必须建立相应的管理制度，并严格执行，内容要求如下： </w:t>
      </w:r>
    </w:p>
    <w:p w14:paraId="5CA79234">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从业人员持健康证上岗、定时培训制度》，《不合格产品召回、销毁制度》，《食品原料进出货台账登记制度》，《食品原料留样管理制度》，《食品检验制度》，《卫生管理制度》，《卫生检查制度》，《送货不达应急预案》，《食品安全应急处置预案》，《财务制度》，《消费投诉处理管理制度》等其它相关制度。</w:t>
      </w:r>
    </w:p>
    <w:p w14:paraId="33BD8C07">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4、投标人必须投保食品安全保险。</w:t>
      </w:r>
    </w:p>
    <w:p w14:paraId="2A89BBF2">
      <w:pPr>
        <w:spacing w:line="440" w:lineRule="exact"/>
        <w:ind w:firstLine="480" w:firstLineChars="200"/>
        <w:rPr>
          <w:rFonts w:hint="eastAsia"/>
          <w:color w:val="auto"/>
          <w:highlight w:val="none"/>
          <w:lang w:val="en-US" w:eastAsia="zh-CN"/>
        </w:rPr>
      </w:pPr>
      <w:r>
        <w:rPr>
          <w:rFonts w:hint="eastAsia" w:ascii="宋体" w:hAnsi="宋体" w:cs="宋体"/>
          <w:bCs/>
          <w:color w:val="auto"/>
          <w:sz w:val="24"/>
          <w:highlight w:val="none"/>
        </w:rPr>
        <w:t>▲5、投标人在投标时必须对以上相关内容作出书面承诺。</w:t>
      </w:r>
    </w:p>
    <w:p w14:paraId="73B18B02">
      <w:pPr>
        <w:pageBreakBefore w:val="0"/>
        <w:widowControl/>
        <w:kinsoku/>
        <w:overflowPunct/>
        <w:topLinePunct w:val="0"/>
        <w:bidi w:val="0"/>
        <w:snapToGrid w:val="0"/>
        <w:spacing w:after="50" w:line="440" w:lineRule="exact"/>
        <w:ind w:firstLine="480"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五</w:t>
      </w:r>
      <w:r>
        <w:rPr>
          <w:rFonts w:hint="eastAsia" w:ascii="宋体" w:hAnsi="宋体" w:cs="宋体"/>
          <w:b/>
          <w:color w:val="auto"/>
          <w:kern w:val="0"/>
          <w:sz w:val="24"/>
          <w:highlight w:val="none"/>
        </w:rPr>
        <w:t>、质量约定</w:t>
      </w:r>
    </w:p>
    <w:p w14:paraId="4D8E52FE">
      <w:pPr>
        <w:pStyle w:val="24"/>
        <w:pageBreakBefore w:val="0"/>
        <w:kinsoku/>
        <w:overflowPunct/>
        <w:topLinePunct w:val="0"/>
        <w:bidi w:val="0"/>
        <w:snapToGrid w:val="0"/>
        <w:spacing w:before="120" w:after="120" w:line="440" w:lineRule="exact"/>
        <w:ind w:firstLine="480" w:firstLineChars="200"/>
        <w:rPr>
          <w:rFonts w:hint="eastAsia" w:hAnsi="宋体"/>
          <w:color w:val="auto"/>
          <w:highlight w:val="none"/>
        </w:rPr>
      </w:pPr>
      <w:r>
        <w:rPr>
          <w:rFonts w:hint="eastAsia" w:hAnsi="宋体" w:cs="宋体"/>
          <w:color w:val="auto"/>
          <w:highlight w:val="none"/>
        </w:rPr>
        <w:t>1、投标人对所有食品原料应严格把关，确保食品质量安全。所供各类食品</w:t>
      </w:r>
      <w:r>
        <w:rPr>
          <w:rFonts w:hint="eastAsia" w:hAnsi="宋体"/>
          <w:color w:val="auto"/>
          <w:highlight w:val="none"/>
        </w:rPr>
        <w:t>原料符合国家相关标准的验收要求，配送的食品有效期在该食品保质期限的一半之前，并提供所供商品生产企业的资质、产品合格证等相关证件。投标人非自产的非初级农产品应来源于具有相关许可证的企业，尽可能入围全国名牌产品，并提供质量合格的相关证明材料；投标人非自产的初级农产品须提能证明货品来源的有效凭证，建立进出货台账。</w:t>
      </w:r>
    </w:p>
    <w:p w14:paraId="6E971227">
      <w:pPr>
        <w:pStyle w:val="24"/>
        <w:pageBreakBefore w:val="0"/>
        <w:kinsoku/>
        <w:overflowPunct/>
        <w:topLinePunct w:val="0"/>
        <w:bidi w:val="0"/>
        <w:snapToGrid w:val="0"/>
        <w:spacing w:before="120" w:after="120" w:line="440" w:lineRule="exact"/>
        <w:ind w:firstLine="480" w:firstLineChars="200"/>
        <w:rPr>
          <w:rFonts w:hint="eastAsia" w:hAnsi="宋体"/>
          <w:color w:val="auto"/>
          <w:highlight w:val="none"/>
        </w:rPr>
      </w:pPr>
      <w:r>
        <w:rPr>
          <w:rFonts w:hint="eastAsia" w:hAnsi="宋体"/>
          <w:color w:val="auto"/>
          <w:highlight w:val="none"/>
        </w:rPr>
        <w:t>2、投标人不得将业务转包，也不得由上游供应商直接配送。</w:t>
      </w:r>
    </w:p>
    <w:p w14:paraId="76428A90">
      <w:pPr>
        <w:pStyle w:val="24"/>
        <w:pageBreakBefore w:val="0"/>
        <w:kinsoku/>
        <w:overflowPunct/>
        <w:topLinePunct w:val="0"/>
        <w:bidi w:val="0"/>
        <w:snapToGrid w:val="0"/>
        <w:spacing w:before="120" w:after="120" w:line="440" w:lineRule="exact"/>
        <w:ind w:firstLine="480" w:firstLineChars="200"/>
        <w:rPr>
          <w:rFonts w:hAnsi="宋体"/>
          <w:color w:val="auto"/>
          <w:highlight w:val="none"/>
        </w:rPr>
      </w:pPr>
      <w:r>
        <w:rPr>
          <w:rFonts w:hint="eastAsia" w:hAnsi="宋体"/>
          <w:color w:val="auto"/>
          <w:highlight w:val="none"/>
        </w:rPr>
        <w:t>3、猪肉等肉类产品的质量要求符合金华市肉类产品的生产、检验检疫、销售的相关规定。</w:t>
      </w:r>
    </w:p>
    <w:p w14:paraId="5561083D">
      <w:pPr>
        <w:pStyle w:val="24"/>
        <w:pageBreakBefore w:val="0"/>
        <w:kinsoku/>
        <w:overflowPunct/>
        <w:topLinePunct w:val="0"/>
        <w:bidi w:val="0"/>
        <w:snapToGrid w:val="0"/>
        <w:spacing w:before="120" w:after="120" w:line="44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投标人配送的鲜活食品原料要求优质、新鲜、清洁卫生并符合相关规定，同时对</w:t>
      </w:r>
      <w:r>
        <w:rPr>
          <w:rFonts w:hAnsi="宋体"/>
          <w:color w:val="auto"/>
          <w:highlight w:val="none"/>
        </w:rPr>
        <w:t>每批次食品原料进行检测，并出具产品证明合格材料。</w:t>
      </w:r>
      <w:r>
        <w:rPr>
          <w:rFonts w:hint="eastAsia" w:hAnsi="宋体"/>
          <w:color w:val="auto"/>
          <w:highlight w:val="none"/>
        </w:rPr>
        <w:t>配送</w:t>
      </w:r>
      <w:r>
        <w:rPr>
          <w:rFonts w:hAnsi="宋体"/>
          <w:color w:val="auto"/>
          <w:highlight w:val="none"/>
        </w:rPr>
        <w:t>的食品原料必须符合食品安全管理相关规定，分类仓储保鲜、分类包装运输。</w:t>
      </w:r>
      <w:r>
        <w:rPr>
          <w:rFonts w:hint="eastAsia" w:hAnsi="宋体"/>
          <w:color w:val="auto"/>
          <w:highlight w:val="none"/>
        </w:rPr>
        <w:t>食品原料（不少于200克）</w:t>
      </w:r>
      <w:r>
        <w:rPr>
          <w:rFonts w:hAnsi="宋体"/>
          <w:color w:val="auto"/>
          <w:highlight w:val="none"/>
        </w:rPr>
        <w:t>48小时留样备查。</w:t>
      </w:r>
    </w:p>
    <w:p w14:paraId="48FEFED7">
      <w:pPr>
        <w:pStyle w:val="24"/>
        <w:pageBreakBefore w:val="0"/>
        <w:kinsoku/>
        <w:overflowPunct/>
        <w:topLinePunct w:val="0"/>
        <w:bidi w:val="0"/>
        <w:snapToGrid w:val="0"/>
        <w:spacing w:before="120" w:after="120" w:line="440" w:lineRule="exact"/>
        <w:ind w:firstLine="480" w:firstLineChars="200"/>
        <w:rPr>
          <w:rFonts w:hint="eastAsia" w:hAnsi="宋体"/>
          <w:color w:val="auto"/>
          <w:highlight w:val="none"/>
        </w:rPr>
      </w:pPr>
      <w:r>
        <w:rPr>
          <w:rFonts w:hint="eastAsia" w:hAnsi="宋体"/>
          <w:color w:val="auto"/>
          <w:highlight w:val="none"/>
        </w:rPr>
        <w:t>5、</w:t>
      </w:r>
      <w:r>
        <w:rPr>
          <w:rFonts w:hAnsi="宋体"/>
          <w:color w:val="auto"/>
          <w:highlight w:val="none"/>
        </w:rPr>
        <w:t>配送企业要加强食品源头管理，做好索证索票工作，</w:t>
      </w:r>
      <w:r>
        <w:rPr>
          <w:rFonts w:hint="eastAsia" w:hAnsi="宋体"/>
          <w:color w:val="auto"/>
          <w:highlight w:val="none"/>
        </w:rPr>
        <w:t>非自产的初级农产品应向供应商索取食品来源的有效凭证；预包装食品和散装食品，应来源于具有生产、经营许可证的企业，并向其索取证明质量合格的相关材料。所有进货台账，实行电子监管</w:t>
      </w:r>
      <w:r>
        <w:rPr>
          <w:rFonts w:hint="eastAsia" w:hAnsi="宋体"/>
          <w:color w:val="auto"/>
          <w:highlight w:val="none"/>
          <w:lang w:eastAsia="zh-CN"/>
        </w:rPr>
        <w:t>。</w:t>
      </w:r>
      <w:r>
        <w:rPr>
          <w:rFonts w:hint="eastAsia" w:hAnsi="宋体"/>
          <w:color w:val="auto"/>
          <w:highlight w:val="none"/>
        </w:rPr>
        <w:t>所有索证索票材料，要有供货单位的印章或签名。</w:t>
      </w:r>
    </w:p>
    <w:p w14:paraId="3ADF2A05">
      <w:pPr>
        <w:numPr>
          <w:ilvl w:val="0"/>
          <w:numId w:val="0"/>
        </w:numPr>
        <w:snapToGrid w:val="0"/>
        <w:spacing w:line="360" w:lineRule="auto"/>
        <w:ind w:firstLine="480"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六、食品质量</w:t>
      </w:r>
      <w:r>
        <w:rPr>
          <w:rFonts w:hint="eastAsia" w:ascii="宋体" w:hAnsi="宋体" w:cs="宋体"/>
          <w:b/>
          <w:bCs/>
          <w:color w:val="auto"/>
          <w:sz w:val="24"/>
          <w:highlight w:val="none"/>
          <w:lang w:eastAsia="zh-CN"/>
        </w:rPr>
        <w:t>具体</w:t>
      </w:r>
      <w:r>
        <w:rPr>
          <w:rFonts w:hint="eastAsia" w:ascii="宋体" w:hAnsi="宋体" w:cs="宋体"/>
          <w:b/>
          <w:bCs/>
          <w:color w:val="auto"/>
          <w:sz w:val="24"/>
          <w:highlight w:val="none"/>
        </w:rPr>
        <w:t>要求</w:t>
      </w:r>
    </w:p>
    <w:tbl>
      <w:tblPr>
        <w:tblStyle w:val="45"/>
        <w:tblpPr w:leftFromText="180" w:rightFromText="180" w:vertAnchor="text" w:horzAnchor="page" w:tblpX="1650" w:tblpY="3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580"/>
        <w:gridCol w:w="3430"/>
        <w:gridCol w:w="3570"/>
      </w:tblGrid>
      <w:tr w14:paraId="3A12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7B43895D">
            <w:pPr>
              <w:spacing w:before="240" w:before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货物名称</w:t>
            </w:r>
          </w:p>
        </w:tc>
        <w:tc>
          <w:tcPr>
            <w:tcW w:w="2543" w:type="pct"/>
            <w:gridSpan w:val="2"/>
            <w:noWrap w:val="0"/>
            <w:vAlign w:val="center"/>
          </w:tcPr>
          <w:p w14:paraId="18E79C5D">
            <w:pPr>
              <w:spacing w:before="240" w:beforeLines="0" w:line="360" w:lineRule="auto"/>
              <w:ind w:firstLine="960" w:firstLineChars="4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质量要求</w:t>
            </w:r>
          </w:p>
        </w:tc>
        <w:tc>
          <w:tcPr>
            <w:tcW w:w="1812" w:type="pct"/>
            <w:noWrap w:val="0"/>
            <w:vAlign w:val="center"/>
          </w:tcPr>
          <w:p w14:paraId="3FB9547E">
            <w:pPr>
              <w:spacing w:before="240" w:beforeLines="0" w:line="360" w:lineRule="auto"/>
              <w:ind w:firstLine="240" w:firstLineChar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退货依据</w:t>
            </w:r>
          </w:p>
        </w:tc>
      </w:tr>
      <w:tr w14:paraId="2FBE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43" w:type="pct"/>
            <w:noWrap w:val="0"/>
            <w:vAlign w:val="center"/>
          </w:tcPr>
          <w:p w14:paraId="25E5400D">
            <w:pPr>
              <w:spacing w:before="240" w:beforeLines="0" w:line="360" w:lineRule="auto"/>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畜肉类</w:t>
            </w:r>
          </w:p>
        </w:tc>
        <w:tc>
          <w:tcPr>
            <w:tcW w:w="2543" w:type="pct"/>
            <w:gridSpan w:val="2"/>
            <w:noWrap w:val="0"/>
            <w:vAlign w:val="center"/>
          </w:tcPr>
          <w:p w14:paraId="05007FED">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符合GB2707-2005标准，色泽正常，无异味，无注水，具有动物检验检疫合格证明。</w:t>
            </w:r>
          </w:p>
        </w:tc>
        <w:tc>
          <w:tcPr>
            <w:tcW w:w="1812" w:type="pct"/>
            <w:noWrap w:val="0"/>
            <w:vAlign w:val="center"/>
          </w:tcPr>
          <w:p w14:paraId="043E7DAB">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与验收标准不符，病死或者死因不明的畜禽及其制品等。</w:t>
            </w:r>
          </w:p>
        </w:tc>
      </w:tr>
      <w:tr w14:paraId="4A1C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643" w:type="pct"/>
            <w:vMerge w:val="restart"/>
            <w:noWrap w:val="0"/>
            <w:vAlign w:val="center"/>
          </w:tcPr>
          <w:p w14:paraId="3D57E1B3">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蔬菜类</w:t>
            </w:r>
          </w:p>
        </w:tc>
        <w:tc>
          <w:tcPr>
            <w:tcW w:w="802" w:type="pct"/>
            <w:noWrap w:val="0"/>
            <w:vAlign w:val="center"/>
          </w:tcPr>
          <w:p w14:paraId="22FF9633">
            <w:pPr>
              <w:pStyle w:val="195"/>
              <w:autoSpaceDE w:val="0"/>
              <w:autoSpaceDN w:val="0"/>
              <w:adjustRightInd w:val="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叶菜</w:t>
            </w:r>
          </w:p>
        </w:tc>
        <w:tc>
          <w:tcPr>
            <w:tcW w:w="1741" w:type="pct"/>
            <w:noWrap w:val="0"/>
            <w:vAlign w:val="center"/>
          </w:tcPr>
          <w:p w14:paraId="55A38C9A">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外形正常，叶梗光滑幼嫩，不干瘪凋萎，无黄叶，色泽正常。去除根须（香菜，菠菜等除外），不含土，无虫害，大白菜、卷心菜等切开心不变黑，无腐烂情形，无浸水现象；农药残留不超标。</w:t>
            </w:r>
          </w:p>
        </w:tc>
        <w:tc>
          <w:tcPr>
            <w:tcW w:w="1812" w:type="pct"/>
            <w:noWrap w:val="0"/>
            <w:vAlign w:val="center"/>
          </w:tcPr>
          <w:p w14:paraId="1CE55DA7">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味苦，鲜度嫩度明显不佳，含黄叶须根，泥土、虫害严重，萎捏严重，浸水后仍不可恢复；农药残留超标。</w:t>
            </w:r>
          </w:p>
        </w:tc>
      </w:tr>
      <w:tr w14:paraId="18FF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43" w:type="pct"/>
            <w:vMerge w:val="continue"/>
            <w:noWrap w:val="0"/>
            <w:vAlign w:val="top"/>
          </w:tcPr>
          <w:p w14:paraId="78EE39F4">
            <w:pPr>
              <w:pStyle w:val="195"/>
              <w:autoSpaceDE w:val="0"/>
              <w:autoSpaceDN w:val="0"/>
              <w:adjustRightInd w:val="0"/>
              <w:spacing w:line="560" w:lineRule="exact"/>
              <w:ind w:firstLine="480"/>
              <w:rPr>
                <w:rFonts w:hint="eastAsia" w:ascii="宋体" w:hAnsi="宋体" w:eastAsia="宋体" w:cs="宋体"/>
                <w:color w:val="auto"/>
                <w:sz w:val="22"/>
                <w:szCs w:val="22"/>
                <w:highlight w:val="none"/>
              </w:rPr>
            </w:pPr>
          </w:p>
        </w:tc>
        <w:tc>
          <w:tcPr>
            <w:tcW w:w="802" w:type="pct"/>
            <w:noWrap w:val="0"/>
            <w:vAlign w:val="center"/>
          </w:tcPr>
          <w:p w14:paraId="3B919F8E">
            <w:pPr>
              <w:pStyle w:val="195"/>
              <w:autoSpaceDE w:val="0"/>
              <w:autoSpaceDN w:val="0"/>
              <w:adjustRightInd w:val="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根茎类（如香芋、土豆、莴笋等）</w:t>
            </w:r>
          </w:p>
        </w:tc>
        <w:tc>
          <w:tcPr>
            <w:tcW w:w="1741" w:type="pct"/>
            <w:noWrap w:val="0"/>
            <w:vAlign w:val="center"/>
          </w:tcPr>
          <w:p w14:paraId="10A72262">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无虫咬、发芽、发霉现象，新鲜，形态大小与招标人自购标准相当。农药残留不超标。</w:t>
            </w:r>
          </w:p>
        </w:tc>
        <w:tc>
          <w:tcPr>
            <w:tcW w:w="1812" w:type="pct"/>
            <w:noWrap w:val="0"/>
            <w:vAlign w:val="center"/>
          </w:tcPr>
          <w:p w14:paraId="5075895E">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发芽严重、发霉，新鲜度不佳，形态大小与招标人自购标准存在较大负偏差。农药残留超标。</w:t>
            </w:r>
          </w:p>
        </w:tc>
      </w:tr>
      <w:tr w14:paraId="71AF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43" w:type="pct"/>
            <w:vMerge w:val="continue"/>
            <w:noWrap w:val="0"/>
            <w:vAlign w:val="top"/>
          </w:tcPr>
          <w:p w14:paraId="2D6C04F4">
            <w:pPr>
              <w:pStyle w:val="195"/>
              <w:autoSpaceDE w:val="0"/>
              <w:autoSpaceDN w:val="0"/>
              <w:adjustRightInd w:val="0"/>
              <w:spacing w:line="560" w:lineRule="exact"/>
              <w:ind w:firstLine="480"/>
              <w:rPr>
                <w:rFonts w:hint="eastAsia" w:ascii="宋体" w:hAnsi="宋体" w:eastAsia="宋体" w:cs="宋体"/>
                <w:color w:val="auto"/>
                <w:sz w:val="22"/>
                <w:szCs w:val="22"/>
                <w:highlight w:val="none"/>
              </w:rPr>
            </w:pPr>
          </w:p>
        </w:tc>
        <w:tc>
          <w:tcPr>
            <w:tcW w:w="802" w:type="pct"/>
            <w:noWrap w:val="0"/>
            <w:vAlign w:val="center"/>
          </w:tcPr>
          <w:p w14:paraId="73EDF9D2">
            <w:pPr>
              <w:pStyle w:val="195"/>
              <w:autoSpaceDE w:val="0"/>
              <w:autoSpaceDN w:val="0"/>
              <w:adjustRightInd w:val="0"/>
              <w:spacing w:line="32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花果类，如西兰花、白菜花</w:t>
            </w:r>
          </w:p>
        </w:tc>
        <w:tc>
          <w:tcPr>
            <w:tcW w:w="1741" w:type="pct"/>
            <w:noWrap w:val="0"/>
            <w:vAlign w:val="center"/>
          </w:tcPr>
          <w:p w14:paraId="589E1235">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无虫害，成熟度良好，新鲜固有的色泽鲜明，无发霉发黄。农药残留不超标。</w:t>
            </w:r>
          </w:p>
        </w:tc>
        <w:tc>
          <w:tcPr>
            <w:tcW w:w="1812" w:type="pct"/>
            <w:noWrap w:val="0"/>
            <w:vAlign w:val="center"/>
          </w:tcPr>
          <w:p w14:paraId="6ABEC0D5">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不新鲜，发霉，虫害过多。农药残留超标。</w:t>
            </w:r>
          </w:p>
        </w:tc>
      </w:tr>
      <w:tr w14:paraId="1206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43" w:type="pct"/>
            <w:noWrap w:val="0"/>
            <w:vAlign w:val="center"/>
          </w:tcPr>
          <w:p w14:paraId="75213720">
            <w:pPr>
              <w:pStyle w:val="195"/>
              <w:autoSpaceDE w:val="0"/>
              <w:autoSpaceDN w:val="0"/>
              <w:adjustRightInd w:val="0"/>
              <w:spacing w:line="56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禽蛋类</w:t>
            </w:r>
          </w:p>
        </w:tc>
        <w:tc>
          <w:tcPr>
            <w:tcW w:w="2543" w:type="pct"/>
            <w:gridSpan w:val="2"/>
            <w:noWrap w:val="0"/>
            <w:vAlign w:val="center"/>
          </w:tcPr>
          <w:p w14:paraId="49C5EB2B">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一级，蛋壳表面应清洁，无禽粪、未粘有杂草及其他污物；蛋壳坚固完整、清洁；气室小于0.8厘米，不移动；蛋白浓厚、透明；蛋黄位于中央，不明显，胚胎不发育</w:t>
            </w:r>
          </w:p>
        </w:tc>
        <w:tc>
          <w:tcPr>
            <w:tcW w:w="1812" w:type="pct"/>
            <w:noWrap w:val="0"/>
            <w:vAlign w:val="center"/>
          </w:tcPr>
          <w:p w14:paraId="36DA675D">
            <w:pPr>
              <w:pStyle w:val="195"/>
              <w:autoSpaceDE w:val="0"/>
              <w:autoSpaceDN w:val="0"/>
              <w:adjustRightInd w:val="0"/>
              <w:spacing w:line="32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与验收标准不符，变质。</w:t>
            </w:r>
          </w:p>
        </w:tc>
      </w:tr>
      <w:tr w14:paraId="0B20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626E9911">
            <w:pPr>
              <w:pStyle w:val="195"/>
              <w:autoSpaceDE w:val="0"/>
              <w:autoSpaceDN w:val="0"/>
              <w:adjustRightInd w:val="0"/>
              <w:spacing w:line="56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水产类</w:t>
            </w:r>
          </w:p>
        </w:tc>
        <w:tc>
          <w:tcPr>
            <w:tcW w:w="2543" w:type="pct"/>
            <w:gridSpan w:val="2"/>
            <w:noWrap w:val="0"/>
            <w:vAlign w:val="center"/>
          </w:tcPr>
          <w:p w14:paraId="507C0731">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无破肚；肌肉结实或富有弹性，无风干、异味现象。</w:t>
            </w:r>
          </w:p>
        </w:tc>
        <w:tc>
          <w:tcPr>
            <w:tcW w:w="1812" w:type="pct"/>
            <w:noWrap w:val="0"/>
            <w:vAlign w:val="center"/>
          </w:tcPr>
          <w:p w14:paraId="6C9B1AF8">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11F2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top"/>
          </w:tcPr>
          <w:p w14:paraId="0F2A3D98">
            <w:pPr>
              <w:pStyle w:val="195"/>
              <w:autoSpaceDE w:val="0"/>
              <w:autoSpaceDN w:val="0"/>
              <w:adjustRightInd w:val="0"/>
              <w:spacing w:line="56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冻</w:t>
            </w:r>
            <w:r>
              <w:rPr>
                <w:rFonts w:hint="eastAsia" w:ascii="宋体" w:hAnsi="宋体" w:eastAsia="宋体" w:cs="宋体"/>
                <w:color w:val="auto"/>
                <w:sz w:val="22"/>
                <w:szCs w:val="22"/>
                <w:highlight w:val="none"/>
                <w:lang w:eastAsia="zh-CN"/>
              </w:rPr>
              <w:t>品</w:t>
            </w:r>
            <w:r>
              <w:rPr>
                <w:rFonts w:hint="eastAsia" w:ascii="宋体" w:hAnsi="宋体" w:eastAsia="宋体" w:cs="宋体"/>
                <w:color w:val="auto"/>
                <w:sz w:val="22"/>
                <w:szCs w:val="22"/>
                <w:highlight w:val="none"/>
              </w:rPr>
              <w:t>类</w:t>
            </w:r>
          </w:p>
        </w:tc>
        <w:tc>
          <w:tcPr>
            <w:tcW w:w="2543" w:type="pct"/>
            <w:gridSpan w:val="2"/>
            <w:noWrap w:val="0"/>
            <w:vAlign w:val="center"/>
          </w:tcPr>
          <w:p w14:paraId="27F27559">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符合GB16869-2005标准，皮肤有光泽，呈淡黄、淡红、灰白色等，肌肉切面有光泽，指压后凹陷恢复得慢，且不能完全恢复。</w:t>
            </w:r>
          </w:p>
        </w:tc>
        <w:tc>
          <w:tcPr>
            <w:tcW w:w="1812" w:type="pct"/>
            <w:noWrap w:val="0"/>
            <w:vAlign w:val="center"/>
          </w:tcPr>
          <w:p w14:paraId="3DE62C25">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干缩凹陷、表面干燥粘手，新切面湿润粘手，肌肉松弛，指压后凹陷不能恢复，并由明显的痕迹；有腐败味或霉味。</w:t>
            </w:r>
          </w:p>
        </w:tc>
      </w:tr>
      <w:tr w14:paraId="2D73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4CCE8170">
            <w:pPr>
              <w:pStyle w:val="195"/>
              <w:autoSpaceDE w:val="0"/>
              <w:autoSpaceDN w:val="0"/>
              <w:adjustRightInd w:val="0"/>
              <w:spacing w:line="56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调料类</w:t>
            </w:r>
          </w:p>
        </w:tc>
        <w:tc>
          <w:tcPr>
            <w:tcW w:w="2543" w:type="pct"/>
            <w:gridSpan w:val="2"/>
            <w:noWrap w:val="0"/>
            <w:vAlign w:val="center"/>
          </w:tcPr>
          <w:p w14:paraId="59BAEF02">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根据招标人要求提供各类货品，保证新鲜度，外包装清洁卫生，完整坚固，且包装上的商品名称、厂址、规格等与内容物相符，标示清晰，批次清楚等，保证保质期在有效范围一半时间以上。</w:t>
            </w:r>
          </w:p>
        </w:tc>
        <w:tc>
          <w:tcPr>
            <w:tcW w:w="1812" w:type="pct"/>
            <w:noWrap w:val="0"/>
            <w:vAlign w:val="center"/>
          </w:tcPr>
          <w:p w14:paraId="612E9F56">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(1)不符合验收标准的、无食品质量安全认证的产品。</w:t>
            </w:r>
          </w:p>
          <w:p w14:paraId="6B0D18B1">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(2)无品名、产地、厂名、生产日期、保质期及中文标识及原料说明的定型包装食品.</w:t>
            </w:r>
          </w:p>
          <w:p w14:paraId="78B79819">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(3)接近保质期限或不符合食品标签规定的定型包装食品.</w:t>
            </w:r>
          </w:p>
          <w:p w14:paraId="607702AD">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(4)腐败变质,油脂酸败,霉变,生虫,污秽不洁,混有异物或者其他感官性状异常，含有毒、有害物质污染，可能对人体健康有害的食品。</w:t>
            </w:r>
          </w:p>
        </w:tc>
      </w:tr>
      <w:tr w14:paraId="0852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3" w:type="pct"/>
            <w:noWrap w:val="0"/>
            <w:vAlign w:val="center"/>
          </w:tcPr>
          <w:p w14:paraId="2C4A3454">
            <w:pPr>
              <w:pStyle w:val="195"/>
              <w:autoSpaceDE w:val="0"/>
              <w:autoSpaceDN w:val="0"/>
              <w:adjustRightInd w:val="0"/>
              <w:spacing w:line="560" w:lineRule="exact"/>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粮油类</w:t>
            </w:r>
          </w:p>
        </w:tc>
        <w:tc>
          <w:tcPr>
            <w:tcW w:w="2543" w:type="pct"/>
            <w:gridSpan w:val="2"/>
            <w:noWrap w:val="0"/>
            <w:vAlign w:val="center"/>
          </w:tcPr>
          <w:p w14:paraId="6D167D46">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外包装清洁卫生，完整坚固，且包装上的商品名称、厂址、规格等与内容物相符，标示清晰，批次清楚，非转基因产品且保质期在有效期范围一半时间以上。</w:t>
            </w:r>
          </w:p>
        </w:tc>
        <w:tc>
          <w:tcPr>
            <w:tcW w:w="1812" w:type="pct"/>
            <w:noWrap w:val="0"/>
            <w:vAlign w:val="center"/>
          </w:tcPr>
          <w:p w14:paraId="46E773C7">
            <w:pPr>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（1）不符合验收标准的、无食品质量安全认证的产品。</w:t>
            </w:r>
          </w:p>
          <w:p w14:paraId="5D6D4C63">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（2）接近保质期限有效范围一半时间。</w:t>
            </w:r>
          </w:p>
          <w:p w14:paraId="57EFB760">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（3）转基因产品。</w:t>
            </w:r>
          </w:p>
        </w:tc>
      </w:tr>
      <w:tr w14:paraId="02DD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3" w:type="pct"/>
            <w:noWrap w:val="0"/>
            <w:vAlign w:val="center"/>
          </w:tcPr>
          <w:p w14:paraId="1A19E1EC">
            <w:pPr>
              <w:pStyle w:val="195"/>
              <w:autoSpaceDE w:val="0"/>
              <w:autoSpaceDN w:val="0"/>
              <w:adjustRightInd w:val="0"/>
              <w:spacing w:line="560" w:lineRule="exact"/>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水果类</w:t>
            </w:r>
          </w:p>
        </w:tc>
        <w:tc>
          <w:tcPr>
            <w:tcW w:w="2543" w:type="pct"/>
            <w:gridSpan w:val="2"/>
            <w:noWrap w:val="0"/>
            <w:vAlign w:val="center"/>
          </w:tcPr>
          <w:p w14:paraId="7A9A1356">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无虫害，成熟度良好，新鲜固有的色泽鲜明，无发霉发黄。农药残留不超标。</w:t>
            </w:r>
          </w:p>
        </w:tc>
        <w:tc>
          <w:tcPr>
            <w:tcW w:w="1812" w:type="pct"/>
            <w:noWrap w:val="0"/>
            <w:vAlign w:val="center"/>
          </w:tcPr>
          <w:p w14:paraId="1D964F00">
            <w:pPr>
              <w:pStyle w:val="195"/>
              <w:autoSpaceDE w:val="0"/>
              <w:autoSpaceDN w:val="0"/>
              <w:adjustRightInd w:val="0"/>
              <w:spacing w:line="32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不新鲜，发霉，虫害过多。农药残留超标。</w:t>
            </w:r>
          </w:p>
        </w:tc>
      </w:tr>
      <w:tr w14:paraId="0BF4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3" w:type="pct"/>
            <w:noWrap w:val="0"/>
            <w:vAlign w:val="center"/>
          </w:tcPr>
          <w:p w14:paraId="643E81D4">
            <w:pPr>
              <w:pStyle w:val="195"/>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奶制品</w:t>
            </w:r>
          </w:p>
        </w:tc>
        <w:tc>
          <w:tcPr>
            <w:tcW w:w="2543" w:type="pct"/>
            <w:gridSpan w:val="2"/>
            <w:noWrap w:val="0"/>
            <w:vAlign w:val="center"/>
          </w:tcPr>
          <w:p w14:paraId="2F80DED1">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包括各类小容量酸奶、鲜奶等，均需冷链供应。生产日期、质保期及包装、卫生标准符合要求</w:t>
            </w:r>
          </w:p>
        </w:tc>
        <w:tc>
          <w:tcPr>
            <w:tcW w:w="1812" w:type="pct"/>
            <w:noWrap w:val="0"/>
            <w:vAlign w:val="center"/>
          </w:tcPr>
          <w:p w14:paraId="5CC76078">
            <w:pPr>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（1）不符合验收标准的、无食品质量安全认证的产品。</w:t>
            </w:r>
          </w:p>
          <w:p w14:paraId="0705406B">
            <w:pPr>
              <w:pStyle w:val="195"/>
              <w:autoSpaceDE w:val="0"/>
              <w:autoSpaceDN w:val="0"/>
              <w:adjustRightInd w:val="0"/>
              <w:spacing w:line="320" w:lineRule="exact"/>
              <w:ind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2）超过保质期的</w:t>
            </w:r>
          </w:p>
        </w:tc>
      </w:tr>
    </w:tbl>
    <w:p w14:paraId="04D18B8A">
      <w:pPr>
        <w:pageBreakBefore w:val="0"/>
        <w:widowControl/>
        <w:kinsoku/>
        <w:overflowPunct/>
        <w:topLinePunct w:val="0"/>
        <w:bidi w:val="0"/>
        <w:snapToGrid w:val="0"/>
        <w:spacing w:after="50" w:line="440" w:lineRule="exact"/>
        <w:ind w:firstLine="480" w:firstLineChars="200"/>
        <w:rPr>
          <w:rFonts w:hAnsi="宋体"/>
          <w:b/>
          <w:color w:val="auto"/>
          <w:kern w:val="0"/>
          <w:sz w:val="24"/>
          <w:highlight w:val="none"/>
        </w:rPr>
      </w:pPr>
      <w:r>
        <w:rPr>
          <w:rFonts w:hint="eastAsia" w:hAnsi="宋体" w:eastAsia="宋体" w:cs="宋体"/>
          <w:b/>
          <w:color w:val="auto"/>
          <w:kern w:val="2"/>
          <w:sz w:val="24"/>
          <w:szCs w:val="24"/>
          <w:highlight w:val="none"/>
          <w:lang w:val="en-US" w:eastAsia="zh-CN" w:bidi="ar-SA"/>
        </w:rPr>
        <w:t>七、</w:t>
      </w:r>
      <w:r>
        <w:rPr>
          <w:rFonts w:hAnsi="宋体"/>
          <w:b/>
          <w:color w:val="auto"/>
          <w:kern w:val="0"/>
          <w:sz w:val="24"/>
          <w:highlight w:val="none"/>
        </w:rPr>
        <w:t>服务约定</w:t>
      </w:r>
    </w:p>
    <w:p w14:paraId="5EE3529F">
      <w:pPr>
        <w:pStyle w:val="24"/>
        <w:pageBreakBefore w:val="0"/>
        <w:kinsoku/>
        <w:overflowPunct/>
        <w:topLinePunct w:val="0"/>
        <w:bidi w:val="0"/>
        <w:snapToGrid w:val="0"/>
        <w:spacing w:before="120" w:after="120" w:line="440" w:lineRule="exact"/>
        <w:ind w:firstLine="480" w:firstLineChars="200"/>
        <w:rPr>
          <w:color w:val="auto"/>
          <w:highlight w:val="none"/>
        </w:rPr>
      </w:pPr>
      <w:r>
        <w:rPr>
          <w:rFonts w:hint="eastAsia"/>
          <w:color w:val="auto"/>
          <w:highlight w:val="none"/>
          <w:lang w:val="en-US" w:eastAsia="zh-CN"/>
        </w:rPr>
        <w:t>1、</w:t>
      </w:r>
      <w:r>
        <w:rPr>
          <w:color w:val="auto"/>
          <w:highlight w:val="none"/>
        </w:rPr>
        <w:t>所供应的原料应按</w:t>
      </w:r>
      <w:r>
        <w:rPr>
          <w:rFonts w:hint="eastAsia"/>
          <w:color w:val="auto"/>
          <w:highlight w:val="none"/>
          <w:lang w:eastAsia="zh-CN"/>
        </w:rPr>
        <w:t>采购单位</w:t>
      </w:r>
      <w:r>
        <w:rPr>
          <w:color w:val="auto"/>
          <w:highlight w:val="none"/>
        </w:rPr>
        <w:t>订货时的要求，保质、保量、按时送达指定的地点。</w:t>
      </w:r>
      <w:r>
        <w:rPr>
          <w:rFonts w:hint="eastAsia" w:hAnsi="宋体"/>
          <w:color w:val="auto"/>
          <w:highlight w:val="none"/>
        </w:rPr>
        <w:t>如供应的伙房原料不符合相关要求，投标人必须按业主要求及时补货（不合格原料业主作废品处理）</w:t>
      </w:r>
      <w:r>
        <w:rPr>
          <w:color w:val="auto"/>
          <w:highlight w:val="none"/>
        </w:rPr>
        <w:t>。</w:t>
      </w:r>
    </w:p>
    <w:p w14:paraId="3F8DE8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2.中标人有义务在售前了解采购单位的需求计划，及时备货和配送所需的货物，并在售后跟踪货物的实际使用情况，并及时解决使用中出现的问题。</w:t>
      </w:r>
    </w:p>
    <w:p w14:paraId="45FC34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3.要求有无公害、无污染生产基地</w:t>
      </w:r>
      <w:r>
        <w:rPr>
          <w:rFonts w:hint="eastAsia" w:ascii="宋体" w:hAnsi="宋体" w:cs="宋体"/>
          <w:color w:val="auto"/>
          <w:sz w:val="24"/>
          <w:highlight w:val="none"/>
          <w:lang w:eastAsia="zh-CN"/>
        </w:rPr>
        <w:t>，</w:t>
      </w:r>
      <w:r>
        <w:rPr>
          <w:rFonts w:hint="eastAsia" w:ascii="宋体" w:hAnsi="宋体" w:cs="宋体"/>
          <w:color w:val="auto"/>
          <w:sz w:val="24"/>
          <w:highlight w:val="none"/>
        </w:rPr>
        <w:t>所提供的蔬菜来源于无公害无污染产地，配送的蔬菜经农产品检测中心检测合格后才配送。</w:t>
      </w:r>
    </w:p>
    <w:p w14:paraId="755469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4.大米、面粉、食用油、调料品等要符合国家食品卫生法的质量要求，包装要注明厂家、厂址、生产日期、保质日期、有国家食品卫生安全标志。</w:t>
      </w:r>
    </w:p>
    <w:p w14:paraId="1883D568">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.配送单位承诺所配送的蔬菜或物品因农药残留或质量问题引起食物中毒事件，配送方愿承担一切法律责任和经济责任。</w:t>
      </w:r>
      <w:r>
        <w:rPr>
          <w:rFonts w:hint="eastAsia" w:ascii="宋体" w:hAnsi="宋体" w:cs="宋体"/>
          <w:color w:val="auto"/>
          <w:sz w:val="24"/>
          <w:highlight w:val="none"/>
          <w:lang w:eastAsia="zh-CN"/>
        </w:rPr>
        <w:t>配送需提供</w:t>
      </w:r>
      <w:r>
        <w:rPr>
          <w:rFonts w:hint="eastAsia" w:ascii="宋体" w:hAnsi="宋体" w:cs="宋体"/>
          <w:color w:val="auto"/>
          <w:sz w:val="24"/>
          <w:highlight w:val="none"/>
        </w:rPr>
        <w:t>蔬菜农药残留检验报告单或猪肉动物产品检疫合格证明</w:t>
      </w:r>
      <w:r>
        <w:rPr>
          <w:rFonts w:hint="eastAsia" w:ascii="宋体" w:hAnsi="宋体" w:cs="宋体"/>
          <w:color w:val="auto"/>
          <w:sz w:val="24"/>
          <w:highlight w:val="none"/>
          <w:lang w:eastAsia="zh-CN"/>
        </w:rPr>
        <w:t>，如果</w:t>
      </w:r>
      <w:r>
        <w:rPr>
          <w:rFonts w:hint="eastAsia" w:ascii="宋体" w:hAnsi="宋体" w:cs="宋体"/>
          <w:color w:val="auto"/>
          <w:sz w:val="24"/>
          <w:highlight w:val="none"/>
        </w:rPr>
        <w:t>未能及时提供</w:t>
      </w:r>
      <w:r>
        <w:rPr>
          <w:rFonts w:hint="eastAsia" w:ascii="宋体" w:hAnsi="宋体" w:cs="宋体"/>
          <w:color w:val="auto"/>
          <w:sz w:val="24"/>
          <w:highlight w:val="none"/>
          <w:lang w:eastAsia="zh-CN"/>
        </w:rPr>
        <w:t>相关证明</w:t>
      </w:r>
      <w:r>
        <w:rPr>
          <w:rFonts w:hint="eastAsia" w:ascii="宋体" w:hAnsi="宋体" w:cs="宋体"/>
          <w:color w:val="auto"/>
          <w:sz w:val="24"/>
          <w:highlight w:val="none"/>
        </w:rPr>
        <w:t>，造成原材料、食用油、柴油、调料品、人工浪费的由配送单位负责赔偿</w:t>
      </w:r>
      <w:r>
        <w:rPr>
          <w:rFonts w:hint="eastAsia" w:ascii="宋体" w:hAnsi="宋体" w:cs="宋体"/>
          <w:color w:val="auto"/>
          <w:sz w:val="24"/>
          <w:highlight w:val="none"/>
          <w:lang w:eastAsia="zh-CN"/>
        </w:rPr>
        <w:t>；</w:t>
      </w:r>
      <w:r>
        <w:rPr>
          <w:rFonts w:hint="eastAsia" w:ascii="宋体" w:hAnsi="宋体" w:cs="宋体"/>
          <w:color w:val="auto"/>
          <w:sz w:val="24"/>
          <w:highlight w:val="none"/>
        </w:rPr>
        <w:t>如配送单位发生多次此事件，采购单位提出整改意见，也未能及时改正的，</w:t>
      </w:r>
      <w:r>
        <w:rPr>
          <w:rFonts w:hint="eastAsia" w:ascii="宋体" w:hAnsi="宋体" w:cs="宋体"/>
          <w:b/>
          <w:bCs/>
          <w:color w:val="auto"/>
          <w:sz w:val="24"/>
          <w:highlight w:val="none"/>
        </w:rPr>
        <w:t>采购单位将终止配送单位的配送资格。</w:t>
      </w:r>
    </w:p>
    <w:p w14:paraId="144B8EA2">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企业责任约定</w:t>
      </w:r>
    </w:p>
    <w:p w14:paraId="1DAC61FF">
      <w:pPr>
        <w:pageBreakBefore w:val="0"/>
        <w:kinsoku/>
        <w:overflowPunct/>
        <w:topLinePunct w:val="0"/>
        <w:bidi w:val="0"/>
        <w:spacing w:line="440" w:lineRule="exact"/>
        <w:ind w:firstLine="360" w:firstLineChars="150"/>
        <w:contextualSpacing/>
        <w:rPr>
          <w:rFonts w:ascii="宋体" w:hAnsi="宋体"/>
          <w:color w:val="auto"/>
          <w:sz w:val="24"/>
          <w:highlight w:val="none"/>
        </w:rPr>
      </w:pPr>
      <w:r>
        <w:rPr>
          <w:rFonts w:hint="eastAsia" w:ascii="宋体" w:hAnsi="宋体"/>
          <w:color w:val="auto"/>
          <w:sz w:val="24"/>
          <w:highlight w:val="none"/>
        </w:rPr>
        <w:t>1、配送食品（材）的质量明显不符合招标文件规定的，经查实后第一次处以该批次货物总价款的三倍罚款，并扣除履约保证金2000元；第二次查实后处以该批次货物总价款的三倍罚款，扣除履约保证金10000元；第三次查实后处以该批次货物总价款的三倍罚款，扣除全部履约保证金，并取消配送资格。</w:t>
      </w:r>
    </w:p>
    <w:p w14:paraId="1FCC99A2">
      <w:pPr>
        <w:pageBreakBefore w:val="0"/>
        <w:kinsoku/>
        <w:overflowPunct/>
        <w:topLinePunct w:val="0"/>
        <w:bidi w:val="0"/>
        <w:spacing w:line="440" w:lineRule="exact"/>
        <w:ind w:firstLine="360" w:firstLineChars="150"/>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、延误配送时间，造成伙房不能正常供应食品（不可抗力除外）的，第一次扣除履约保证金1000元，第二次扣除履约保证金2000元，第三次扣除全部履约保证金，并取消配送资格。</w:t>
      </w:r>
    </w:p>
    <w:p w14:paraId="15E5CC47">
      <w:pPr>
        <w:pageBreakBefore w:val="0"/>
        <w:kinsoku/>
        <w:overflowPunct/>
        <w:topLinePunct w:val="0"/>
        <w:bidi w:val="0"/>
        <w:spacing w:line="440" w:lineRule="exact"/>
        <w:ind w:firstLine="480" w:firstLineChars="200"/>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、涉嫌垄断经营，故意串通，哄抬食品价格，造成社会不良影响的，扣除全部履约保证金。</w:t>
      </w:r>
    </w:p>
    <w:p w14:paraId="68EF40D9">
      <w:pPr>
        <w:pageBreakBefore w:val="0"/>
        <w:kinsoku/>
        <w:overflowPunct/>
        <w:topLinePunct w:val="0"/>
        <w:bidi w:val="0"/>
        <w:spacing w:line="440" w:lineRule="exact"/>
        <w:ind w:firstLine="480" w:firstLineChars="200"/>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、公司运作不正常，被司法部门干预不能继续履行合同规定的，扣除履约保证金5000元，并取消配送资格。</w:t>
      </w:r>
    </w:p>
    <w:p w14:paraId="7CCAB840">
      <w:pPr>
        <w:pageBreakBefore w:val="0"/>
        <w:kinsoku/>
        <w:overflowPunct/>
        <w:topLinePunct w:val="0"/>
        <w:bidi w:val="0"/>
        <w:spacing w:line="440" w:lineRule="exact"/>
        <w:ind w:firstLine="480" w:firstLineChars="200"/>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、严重违反党风廉政规定，情节严重的，扣除履约保证金1000元，并取消配送资格。</w:t>
      </w:r>
    </w:p>
    <w:p w14:paraId="3BA8260F">
      <w:pPr>
        <w:pageBreakBefore w:val="0"/>
        <w:kinsoku/>
        <w:overflowPunct/>
        <w:topLinePunct w:val="0"/>
        <w:bidi w:val="0"/>
        <w:spacing w:line="440" w:lineRule="exact"/>
        <w:ind w:firstLine="480" w:firstLineChars="200"/>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、因配送食品被职能部门检测，出现三次不合格的，扣除全部履约保证金，并取消配送资格。</w:t>
      </w:r>
    </w:p>
    <w:p w14:paraId="080ECC58">
      <w:pPr>
        <w:pageBreakBefore w:val="0"/>
        <w:kinsoku/>
        <w:overflowPunct/>
        <w:topLinePunct w:val="0"/>
        <w:bidi w:val="0"/>
        <w:spacing w:line="440" w:lineRule="exact"/>
        <w:ind w:firstLine="480" w:firstLineChars="200"/>
        <w:contextualSpacing/>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、配送到的食品中含有毒有害物质引发食品安全责任事故的，扣除全部履约保证金，并取消配送资格。</w:t>
      </w:r>
    </w:p>
    <w:p w14:paraId="60B986FF">
      <w:pPr>
        <w:pageBreakBefore w:val="0"/>
        <w:kinsoku/>
        <w:overflowPunct/>
        <w:topLinePunct w:val="0"/>
        <w:bidi w:val="0"/>
        <w:spacing w:line="440" w:lineRule="exact"/>
        <w:ind w:firstLine="480" w:firstLineChars="200"/>
        <w:contextualSpacing/>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、违法违纪经营，受到市场监管、农业部门行政处罚并被认定为情节严重的，扣除全部履约保证金，并取消配送资格。</w:t>
      </w:r>
    </w:p>
    <w:p w14:paraId="5ECA1453">
      <w:pPr>
        <w:pageBreakBefore w:val="0"/>
        <w:kinsoku/>
        <w:overflowPunct/>
        <w:topLinePunct w:val="0"/>
        <w:bidi w:val="0"/>
        <w:spacing w:line="440" w:lineRule="exact"/>
        <w:ind w:firstLine="480" w:firstLineChars="200"/>
        <w:contextualSpacing/>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、出现转包或分包经营的，扣除全部履约保证金，并取消配送资格。</w:t>
      </w:r>
    </w:p>
    <w:p w14:paraId="4BB30317">
      <w:pPr>
        <w:pageBreakBefore w:val="0"/>
        <w:kinsoku/>
        <w:overflowPunct/>
        <w:topLinePunct w:val="0"/>
        <w:bidi w:val="0"/>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0</w:t>
      </w:r>
      <w:r>
        <w:rPr>
          <w:rFonts w:hint="eastAsia" w:ascii="宋体" w:hAnsi="宋体"/>
          <w:color w:val="auto"/>
          <w:sz w:val="24"/>
          <w:highlight w:val="none"/>
        </w:rPr>
        <w:t>、经业主认定的其他严重违法违约的行为，扣除全部履约保证金，并取消配送资格。</w:t>
      </w:r>
    </w:p>
    <w:p w14:paraId="647A7813">
      <w:pPr>
        <w:pageBreakBefore w:val="0"/>
        <w:kinsoku/>
        <w:overflowPunct/>
        <w:topLinePunct w:val="0"/>
        <w:bidi w:val="0"/>
        <w:spacing w:line="440" w:lineRule="exact"/>
        <w:ind w:firstLine="480" w:firstLineChars="200"/>
        <w:contextualSpacing/>
        <w:rPr>
          <w:rFonts w:hint="eastAsia"/>
          <w:color w:val="auto"/>
          <w:highlight w:val="none"/>
          <w:lang w:val="en-US" w:eastAsia="zh-CN"/>
        </w:rPr>
      </w:pPr>
      <w:r>
        <w:rPr>
          <w:rFonts w:hint="eastAsia" w:ascii="宋体" w:hAnsi="宋体"/>
          <w:color w:val="auto"/>
          <w:sz w:val="24"/>
          <w:highlight w:val="none"/>
          <w:lang w:val="en-US" w:eastAsia="zh-CN"/>
        </w:rPr>
        <w:t>11、</w:t>
      </w:r>
      <w:r>
        <w:rPr>
          <w:rFonts w:hint="eastAsia" w:ascii="宋体" w:hAnsi="宋体"/>
          <w:color w:val="auto"/>
          <w:sz w:val="24"/>
          <w:highlight w:val="none"/>
        </w:rPr>
        <w:t>配送企业因上述情形触犯法律的，依法追究其法律责任。</w:t>
      </w:r>
    </w:p>
    <w:p w14:paraId="6D24E1F9">
      <w:pPr>
        <w:pStyle w:val="24"/>
        <w:spacing w:before="120" w:after="120" w:line="420" w:lineRule="exact"/>
        <w:rPr>
          <w:rFonts w:hint="eastAsia" w:ascii="宋体" w:hAnsi="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w:t>
      </w:r>
      <w:r>
        <w:rPr>
          <w:rFonts w:hint="eastAsia" w:hAnsi="宋体" w:cs="宋体"/>
          <w:b/>
          <w:color w:val="auto"/>
          <w:kern w:val="2"/>
          <w:sz w:val="24"/>
          <w:szCs w:val="24"/>
          <w:highlight w:val="none"/>
          <w:lang w:val="en-US" w:eastAsia="zh-CN" w:bidi="ar-SA"/>
        </w:rPr>
        <w:t>九</w:t>
      </w:r>
      <w:r>
        <w:rPr>
          <w:rFonts w:hint="eastAsia" w:ascii="宋体" w:hAnsi="宋体" w:cs="宋体"/>
          <w:b/>
          <w:color w:val="auto"/>
          <w:kern w:val="2"/>
          <w:sz w:val="24"/>
          <w:szCs w:val="24"/>
          <w:highlight w:val="none"/>
          <w:lang w:val="en-US" w:eastAsia="zh-CN" w:bidi="ar-SA"/>
        </w:rPr>
        <w:t>、商务要求</w:t>
      </w:r>
    </w:p>
    <w:p w14:paraId="0706D6FE">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Style w:val="243"/>
          <w:rFonts w:hint="default" w:ascii="宋体" w:hAnsi="宋体" w:eastAsia="宋体"/>
          <w:b/>
          <w:color w:val="auto"/>
          <w:sz w:val="24"/>
          <w:szCs w:val="24"/>
          <w:highlight w:val="none"/>
        </w:rPr>
      </w:pPr>
      <w:r>
        <w:rPr>
          <w:rStyle w:val="243"/>
          <w:rFonts w:hint="eastAsia" w:ascii="宋体" w:hAnsi="宋体" w:eastAsia="宋体"/>
          <w:b/>
          <w:color w:val="auto"/>
          <w:sz w:val="24"/>
          <w:szCs w:val="24"/>
          <w:highlight w:val="none"/>
        </w:rPr>
        <w:t>1</w:t>
      </w:r>
      <w:r>
        <w:rPr>
          <w:rStyle w:val="243"/>
          <w:rFonts w:hint="eastAsia" w:ascii="宋体" w:hAnsi="宋体" w:eastAsia="宋体"/>
          <w:b/>
          <w:color w:val="auto"/>
          <w:sz w:val="24"/>
          <w:szCs w:val="24"/>
          <w:highlight w:val="none"/>
          <w:lang w:eastAsia="zh-CN"/>
        </w:rPr>
        <w:t>、</w:t>
      </w:r>
      <w:r>
        <w:rPr>
          <w:rStyle w:val="243"/>
          <w:rFonts w:hint="eastAsia" w:ascii="宋体" w:hAnsi="宋体" w:eastAsia="宋体"/>
          <w:b/>
          <w:color w:val="auto"/>
          <w:sz w:val="24"/>
          <w:szCs w:val="24"/>
          <w:highlight w:val="none"/>
          <w:lang w:val="zh-TW" w:eastAsia="zh-TW"/>
        </w:rPr>
        <w:t>项目投标报价要求</w:t>
      </w:r>
    </w:p>
    <w:p w14:paraId="2BE6E203">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ascii="宋体" w:hAnsi="宋体"/>
          <w:color w:val="auto"/>
          <w:sz w:val="24"/>
          <w:highlight w:val="none"/>
        </w:rPr>
      </w:pPr>
      <w:r>
        <w:rPr>
          <w:rStyle w:val="243"/>
          <w:rFonts w:hint="eastAsia" w:ascii="宋体" w:hAnsi="宋体" w:eastAsia="宋体"/>
          <w:b w:val="0"/>
          <w:bCs/>
          <w:color w:val="auto"/>
          <w:sz w:val="24"/>
          <w:szCs w:val="24"/>
          <w:highlight w:val="none"/>
        </w:rPr>
        <w:t>1.1投标报</w:t>
      </w:r>
      <w:r>
        <w:rPr>
          <w:rFonts w:hint="eastAsia" w:ascii="宋体" w:hAnsi="宋体"/>
          <w:b w:val="0"/>
          <w:bCs/>
          <w:color w:val="auto"/>
          <w:sz w:val="24"/>
          <w:highlight w:val="none"/>
        </w:rPr>
        <w:t>价</w:t>
      </w:r>
      <w:r>
        <w:rPr>
          <w:rFonts w:hint="eastAsia" w:ascii="宋体" w:hAnsi="宋体"/>
          <w:color w:val="auto"/>
          <w:sz w:val="24"/>
          <w:highlight w:val="none"/>
        </w:rPr>
        <w:t>包括</w:t>
      </w:r>
      <w:r>
        <w:rPr>
          <w:rFonts w:hint="eastAsia" w:ascii="宋体" w:hAnsi="宋体"/>
          <w:b/>
          <w:bCs/>
          <w:color w:val="auto"/>
          <w:sz w:val="24"/>
          <w:highlight w:val="none"/>
          <w:u w:val="single"/>
        </w:rPr>
        <w:t>货物价款、包装、仓储、运输装缷、保险、所有含税等一切费用</w:t>
      </w:r>
      <w:r>
        <w:rPr>
          <w:rFonts w:hint="eastAsia" w:ascii="宋体" w:hAnsi="宋体"/>
          <w:color w:val="auto"/>
          <w:sz w:val="24"/>
          <w:highlight w:val="none"/>
        </w:rPr>
        <w:t>。投标人所投报的投标报价为投标人所能承受的整个项目的一次性最终最低报价，如有漏项，视同已包含在其它项目中，合同总价和单价不做调整。</w:t>
      </w:r>
    </w:p>
    <w:p w14:paraId="7965EAFF">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1.2</w:t>
      </w:r>
      <w:r>
        <w:rPr>
          <w:rFonts w:hint="eastAsia" w:ascii="宋体" w:hAnsi="宋体"/>
          <w:color w:val="auto"/>
          <w:sz w:val="24"/>
          <w:highlight w:val="none"/>
        </w:rPr>
        <w:t>按国家规定由中标人缴纳的各种税收已包含在投标总价内，由中标人向税务机关缴纳。</w:t>
      </w:r>
    </w:p>
    <w:p w14:paraId="69A95C6A">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Style w:val="243"/>
          <w:rFonts w:hint="default" w:ascii="宋体" w:hAnsi="宋体" w:eastAsia="宋体"/>
          <w:b/>
          <w:color w:val="auto"/>
          <w:sz w:val="24"/>
          <w:szCs w:val="24"/>
          <w:highlight w:val="none"/>
        </w:rPr>
      </w:pPr>
      <w:r>
        <w:rPr>
          <w:rStyle w:val="243"/>
          <w:rFonts w:hint="default" w:ascii="宋体" w:hAnsi="宋体" w:eastAsia="宋体"/>
          <w:b/>
          <w:color w:val="auto"/>
          <w:sz w:val="24"/>
          <w:szCs w:val="24"/>
          <w:highlight w:val="none"/>
        </w:rPr>
        <w:t>1</w:t>
      </w:r>
      <w:r>
        <w:rPr>
          <w:rStyle w:val="243"/>
          <w:rFonts w:hint="eastAsia" w:ascii="宋体" w:hAnsi="宋体" w:eastAsia="宋体"/>
          <w:b/>
          <w:color w:val="auto"/>
          <w:sz w:val="24"/>
          <w:szCs w:val="24"/>
          <w:highlight w:val="none"/>
          <w:lang w:val="en-US" w:eastAsia="zh-CN"/>
        </w:rPr>
        <w:t>.3</w:t>
      </w:r>
      <w:r>
        <w:rPr>
          <w:rStyle w:val="243"/>
          <w:rFonts w:hint="default" w:ascii="宋体" w:hAnsi="宋体" w:eastAsia="宋体"/>
          <w:b/>
          <w:color w:val="auto"/>
          <w:sz w:val="24"/>
          <w:szCs w:val="24"/>
          <w:highlight w:val="none"/>
        </w:rPr>
        <w:t>价格的约定</w:t>
      </w:r>
    </w:p>
    <w:p w14:paraId="7413A8B9">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1配送定价由</w:t>
      </w:r>
      <w:r>
        <w:rPr>
          <w:rFonts w:hint="eastAsia" w:ascii="宋体" w:hAnsi="宋体" w:cs="Arial"/>
          <w:color w:val="auto"/>
          <w:sz w:val="24"/>
          <w:highlight w:val="none"/>
        </w:rPr>
        <w:t>东阳市</w:t>
      </w:r>
      <w:r>
        <w:rPr>
          <w:rFonts w:hint="eastAsia" w:ascii="宋体" w:hAnsi="宋体" w:cs="Arial"/>
          <w:color w:val="auto"/>
          <w:sz w:val="24"/>
          <w:highlight w:val="none"/>
          <w:lang w:eastAsia="zh-CN"/>
        </w:rPr>
        <w:t>南市街道</w:t>
      </w:r>
      <w:r>
        <w:rPr>
          <w:rFonts w:hint="eastAsia" w:ascii="宋体" w:hAnsi="宋体"/>
          <w:color w:val="auto"/>
          <w:sz w:val="24"/>
          <w:highlight w:val="none"/>
        </w:rPr>
        <w:t>组成食品配送定价小组，定价程序</w:t>
      </w:r>
      <w:r>
        <w:rPr>
          <w:rFonts w:hint="eastAsia" w:ascii="宋体" w:hAnsi="宋体"/>
          <w:color w:val="auto"/>
          <w:sz w:val="24"/>
          <w:highlight w:val="none"/>
          <w:lang w:eastAsia="zh-CN"/>
        </w:rPr>
        <w:t>为定价小组</w:t>
      </w:r>
      <w:r>
        <w:rPr>
          <w:rFonts w:hint="eastAsia" w:ascii="宋体" w:hAnsi="宋体"/>
          <w:color w:val="auto"/>
          <w:sz w:val="24"/>
          <w:szCs w:val="28"/>
          <w:highlight w:val="none"/>
        </w:rPr>
        <w:t>依据东门菜场信息价,一周抽取食品单价一次,每月不少于3次，按每月抽检的</w:t>
      </w:r>
      <w:r>
        <w:rPr>
          <w:rFonts w:hint="eastAsia" w:ascii="宋体" w:hAnsi="宋体"/>
          <w:color w:val="auto"/>
          <w:sz w:val="24"/>
          <w:szCs w:val="28"/>
          <w:highlight w:val="none"/>
          <w:lang w:eastAsia="zh-CN"/>
        </w:rPr>
        <w:t>信息价定一个基准价</w:t>
      </w:r>
      <w:r>
        <w:rPr>
          <w:rFonts w:hint="eastAsia" w:ascii="宋体" w:hAnsi="宋体"/>
          <w:color w:val="auto"/>
          <w:sz w:val="24"/>
          <w:highlight w:val="none"/>
        </w:rPr>
        <w:t>。时令蔬菜价格变化快，可临时申请调价，投标人以书面形式向定价小组提出申请，在定价小组审核后，调动后的结算价按申请日期起执行。配送价不得高于市场零售价。</w:t>
      </w:r>
    </w:p>
    <w:p w14:paraId="0FBA47F5">
      <w:pPr>
        <w:pStyle w:val="24"/>
        <w:keepNext w:val="0"/>
        <w:keepLines w:val="0"/>
        <w:pageBreakBefore w:val="0"/>
        <w:widowControl w:val="0"/>
        <w:kinsoku/>
        <w:wordWrap/>
        <w:overflowPunct/>
        <w:topLinePunct w:val="0"/>
        <w:autoSpaceDE/>
        <w:autoSpaceDN/>
        <w:bidi w:val="0"/>
        <w:snapToGrid/>
        <w:spacing w:before="120" w:after="120" w:line="360" w:lineRule="auto"/>
        <w:ind w:firstLine="480" w:firstLineChars="200"/>
        <w:jc w:val="left"/>
        <w:textAlignment w:val="auto"/>
        <w:rPr>
          <w:rFonts w:hint="eastAsia" w:ascii="宋体" w:hAnsi="宋体" w:eastAsia="宋体" w:cs="Times New Roman"/>
          <w:color w:val="auto"/>
          <w:kern w:val="2"/>
          <w:sz w:val="24"/>
          <w:szCs w:val="24"/>
          <w:highlight w:val="none"/>
          <w:lang w:val="en-US" w:eastAsia="zh-CN" w:bidi="ar-SA"/>
        </w:rPr>
      </w:pPr>
      <w:r>
        <w:rPr>
          <w:rFonts w:hint="eastAsia" w:hAnsi="Courier New"/>
          <w:b/>
          <w:color w:val="auto"/>
          <w:highlight w:val="none"/>
          <w:lang w:val="en-US" w:eastAsia="zh-CN"/>
        </w:rPr>
        <w:t>1.4投标报价按基准价折扣进行报价，货款按实结算</w:t>
      </w:r>
    </w:p>
    <w:p w14:paraId="7920328D">
      <w:pPr>
        <w:pStyle w:val="24"/>
        <w:keepNext w:val="0"/>
        <w:keepLines w:val="0"/>
        <w:pageBreakBefore w:val="0"/>
        <w:widowControl w:val="0"/>
        <w:kinsoku/>
        <w:wordWrap/>
        <w:overflowPunct/>
        <w:topLinePunct w:val="0"/>
        <w:autoSpaceDE/>
        <w:autoSpaceDN/>
        <w:bidi w:val="0"/>
        <w:snapToGrid/>
        <w:spacing w:before="120" w:after="120" w:line="360" w:lineRule="auto"/>
        <w:ind w:firstLine="480" w:firstLineChars="200"/>
        <w:jc w:val="left"/>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1.5本项目限价为基准价折扣不得高于100%，投标折扣高于或等于限价按无效标处理。</w:t>
      </w:r>
    </w:p>
    <w:p w14:paraId="53222B4F">
      <w:pPr>
        <w:pStyle w:val="24"/>
        <w:keepNext w:val="0"/>
        <w:keepLines w:val="0"/>
        <w:pageBreakBefore w:val="0"/>
        <w:widowControl w:val="0"/>
        <w:kinsoku/>
        <w:wordWrap/>
        <w:overflowPunct/>
        <w:topLinePunct w:val="0"/>
        <w:autoSpaceDE/>
        <w:autoSpaceDN/>
        <w:bidi w:val="0"/>
        <w:snapToGrid/>
        <w:spacing w:before="120" w:after="120" w:line="360" w:lineRule="auto"/>
        <w:ind w:firstLine="480" w:firstLineChars="200"/>
        <w:jc w:val="left"/>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1.3结算单价=基准价×中标折扣。</w:t>
      </w:r>
    </w:p>
    <w:p w14:paraId="48E4EA51">
      <w:pPr>
        <w:pStyle w:val="24"/>
        <w:spacing w:before="120" w:after="120" w:line="420" w:lineRule="exact"/>
        <w:ind w:firstLine="240" w:firstLineChars="100"/>
        <w:rPr>
          <w:rFonts w:hint="eastAsia" w:hAnsi="Courier New"/>
          <w:b/>
          <w:color w:val="auto"/>
          <w:highlight w:val="none"/>
          <w:lang w:val="en-US" w:eastAsia="zh-CN"/>
        </w:rPr>
      </w:pPr>
      <w:r>
        <w:rPr>
          <w:rFonts w:hint="eastAsia" w:hAnsi="Courier New"/>
          <w:b/>
          <w:color w:val="auto"/>
          <w:highlight w:val="none"/>
          <w:lang w:val="en-US" w:eastAsia="zh-CN"/>
        </w:rPr>
        <w:t>2、付款方式</w:t>
      </w:r>
    </w:p>
    <w:p w14:paraId="69F82A21">
      <w:pPr>
        <w:snapToGrid w:val="0"/>
        <w:spacing w:line="360" w:lineRule="auto"/>
        <w:ind w:firstLine="480" w:firstLineChars="200"/>
        <w:rPr>
          <w:rFonts w:hint="eastAsia"/>
          <w:color w:val="auto"/>
          <w:sz w:val="24"/>
          <w:highlight w:val="none"/>
        </w:rPr>
      </w:pPr>
      <w:r>
        <w:rPr>
          <w:rFonts w:hint="eastAsia"/>
          <w:color w:val="auto"/>
          <w:sz w:val="24"/>
          <w:highlight w:val="none"/>
        </w:rPr>
        <w:t>合同生效并在中标供应商提交相应金额的金融机构出具的预付款保函后</w:t>
      </w:r>
      <w:r>
        <w:rPr>
          <w:rFonts w:hint="eastAsia"/>
          <w:color w:val="auto"/>
          <w:sz w:val="24"/>
          <w:highlight w:val="none"/>
          <w:lang w:val="en-US" w:eastAsia="zh-CN"/>
        </w:rPr>
        <w:t>7</w:t>
      </w:r>
      <w:r>
        <w:rPr>
          <w:rFonts w:hint="eastAsia"/>
          <w:color w:val="auto"/>
          <w:sz w:val="24"/>
          <w:highlight w:val="none"/>
        </w:rPr>
        <w:t>个工作日内支付合同金额的</w:t>
      </w:r>
      <w:r>
        <w:rPr>
          <w:rFonts w:hint="eastAsia"/>
          <w:color w:val="auto"/>
          <w:sz w:val="24"/>
          <w:highlight w:val="none"/>
          <w:lang w:val="en-US" w:eastAsia="zh-CN"/>
        </w:rPr>
        <w:t>40</w:t>
      </w:r>
      <w:r>
        <w:rPr>
          <w:rFonts w:hint="eastAsia"/>
          <w:color w:val="auto"/>
          <w:sz w:val="24"/>
          <w:highlight w:val="none"/>
        </w:rPr>
        <w:t>％作为项目的预付款，</w:t>
      </w:r>
      <w:r>
        <w:rPr>
          <w:rFonts w:hint="eastAsia" w:ascii="宋体" w:hAnsi="宋体" w:cs="宋体"/>
          <w:color w:val="auto"/>
          <w:sz w:val="24"/>
          <w:highlight w:val="none"/>
        </w:rPr>
        <w:t>在支付预付款之前要求中标单位提供预付款保函（预付款保函可以在政采云平台线上办理）</w:t>
      </w:r>
      <w:r>
        <w:rPr>
          <w:rFonts w:hint="eastAsia"/>
          <w:color w:val="auto"/>
          <w:sz w:val="24"/>
          <w:highlight w:val="none"/>
        </w:rPr>
        <w:t>。</w:t>
      </w:r>
    </w:p>
    <w:p w14:paraId="63CDB2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剩余</w:t>
      </w:r>
      <w:r>
        <w:rPr>
          <w:rFonts w:hint="eastAsia"/>
          <w:color w:val="auto"/>
          <w:sz w:val="24"/>
          <w:highlight w:val="none"/>
        </w:rPr>
        <w:t>合同金额的</w:t>
      </w:r>
      <w:r>
        <w:rPr>
          <w:rFonts w:hint="eastAsia"/>
          <w:color w:val="auto"/>
          <w:sz w:val="24"/>
          <w:highlight w:val="none"/>
          <w:lang w:val="en-US" w:eastAsia="zh-CN"/>
        </w:rPr>
        <w:t>60</w:t>
      </w:r>
      <w:r>
        <w:rPr>
          <w:rFonts w:hint="eastAsia"/>
          <w:color w:val="auto"/>
          <w:sz w:val="24"/>
          <w:highlight w:val="none"/>
        </w:rPr>
        <w:t>％</w:t>
      </w:r>
      <w:r>
        <w:rPr>
          <w:rFonts w:hint="eastAsia" w:ascii="宋体" w:hAnsi="宋体" w:cs="宋体"/>
          <w:color w:val="auto"/>
          <w:sz w:val="24"/>
          <w:highlight w:val="none"/>
          <w:lang w:eastAsia="zh-CN"/>
        </w:rPr>
        <w:t>按月支付，</w:t>
      </w:r>
      <w:r>
        <w:rPr>
          <w:rFonts w:hint="eastAsia" w:ascii="宋体" w:hAnsi="宋体" w:cs="宋体"/>
          <w:color w:val="auto"/>
          <w:sz w:val="24"/>
          <w:highlight w:val="none"/>
        </w:rPr>
        <w:t>配送单位送货时必须提供三</w:t>
      </w:r>
      <w:r>
        <w:rPr>
          <w:rFonts w:hint="eastAsia" w:ascii="宋体" w:hAnsi="宋体" w:cs="宋体"/>
          <w:color w:val="auto"/>
          <w:kern w:val="0"/>
          <w:sz w:val="24"/>
          <w:highlight w:val="none"/>
        </w:rPr>
        <w:t>联</w:t>
      </w:r>
      <w:r>
        <w:rPr>
          <w:rFonts w:hint="eastAsia" w:ascii="宋体" w:hAnsi="宋体" w:cs="宋体"/>
          <w:color w:val="auto"/>
          <w:sz w:val="24"/>
          <w:highlight w:val="none"/>
        </w:rPr>
        <w:t>的送货清单，验收签字后一张留食堂记台账，一张返还中标配送企业，一张作为月底结账凭据，每月结账一次。</w:t>
      </w:r>
      <w:r>
        <w:rPr>
          <w:rFonts w:hint="eastAsia" w:ascii="宋体" w:hAnsi="宋体" w:cs="宋体"/>
          <w:b/>
          <w:bCs/>
          <w:color w:val="auto"/>
          <w:sz w:val="24"/>
          <w:highlight w:val="none"/>
          <w:lang w:eastAsia="zh-CN"/>
        </w:rPr>
        <w:t>每月初根据上个月送货清单，</w:t>
      </w:r>
      <w:r>
        <w:rPr>
          <w:rFonts w:hint="eastAsia" w:ascii="宋体" w:hAnsi="宋体" w:cs="宋体"/>
          <w:b/>
          <w:bCs/>
          <w:color w:val="auto"/>
          <w:sz w:val="24"/>
          <w:highlight w:val="none"/>
        </w:rPr>
        <w:t>经</w:t>
      </w:r>
      <w:r>
        <w:rPr>
          <w:rFonts w:hint="eastAsia" w:ascii="宋体" w:hAnsi="宋体" w:cs="宋体"/>
          <w:b/>
          <w:bCs/>
          <w:color w:val="auto"/>
          <w:sz w:val="24"/>
          <w:highlight w:val="none"/>
          <w:lang w:eastAsia="zh-CN"/>
        </w:rPr>
        <w:t>双方核对</w:t>
      </w:r>
      <w:r>
        <w:rPr>
          <w:rFonts w:hint="eastAsia" w:ascii="宋体" w:hAnsi="宋体" w:cs="宋体"/>
          <w:b/>
          <w:bCs/>
          <w:color w:val="auto"/>
          <w:sz w:val="24"/>
          <w:highlight w:val="none"/>
        </w:rPr>
        <w:t>后5天内</w:t>
      </w:r>
      <w:r>
        <w:rPr>
          <w:rFonts w:hint="eastAsia" w:ascii="宋体" w:hAnsi="宋体" w:cs="宋体"/>
          <w:b/>
          <w:bCs/>
          <w:color w:val="auto"/>
          <w:sz w:val="24"/>
          <w:highlight w:val="none"/>
          <w:lang w:eastAsia="zh-CN"/>
        </w:rPr>
        <w:t>由中标方提供</w:t>
      </w:r>
      <w:r>
        <w:rPr>
          <w:rFonts w:hint="eastAsia" w:ascii="宋体" w:hAnsi="宋体" w:cs="宋体"/>
          <w:b/>
          <w:bCs/>
          <w:color w:val="auto"/>
          <w:sz w:val="24"/>
          <w:highlight w:val="none"/>
        </w:rPr>
        <w:t>正式税务发票</w:t>
      </w:r>
      <w:r>
        <w:rPr>
          <w:rFonts w:hint="eastAsia" w:ascii="宋体" w:hAnsi="宋体" w:cs="宋体"/>
          <w:b/>
          <w:bCs/>
          <w:color w:val="auto"/>
          <w:sz w:val="24"/>
          <w:highlight w:val="none"/>
          <w:lang w:eastAsia="zh-CN"/>
        </w:rPr>
        <w:t>，采购单位报销手续完成后</w:t>
      </w:r>
      <w:r>
        <w:rPr>
          <w:rFonts w:hint="eastAsia" w:ascii="宋体" w:hAnsi="宋体" w:cs="宋体"/>
          <w:b/>
          <w:bCs/>
          <w:color w:val="auto"/>
          <w:sz w:val="24"/>
          <w:highlight w:val="none"/>
        </w:rPr>
        <w:t>支付（不计息）。</w:t>
      </w:r>
    </w:p>
    <w:p w14:paraId="1C53B6E7">
      <w:pPr>
        <w:pStyle w:val="24"/>
        <w:spacing w:before="120" w:after="120" w:line="420" w:lineRule="exact"/>
        <w:ind w:firstLine="240" w:firstLineChars="100"/>
        <w:rPr>
          <w:rFonts w:hint="eastAsia" w:hAnsi="Courier New"/>
          <w:b/>
          <w:color w:val="auto"/>
          <w:highlight w:val="none"/>
          <w:lang w:val="en-US" w:eastAsia="zh-CN"/>
        </w:rPr>
      </w:pPr>
      <w:r>
        <w:rPr>
          <w:rFonts w:hint="eastAsia" w:hAnsi="Courier New"/>
          <w:b/>
          <w:color w:val="auto"/>
          <w:highlight w:val="none"/>
          <w:lang w:val="en-US" w:eastAsia="zh-CN"/>
        </w:rPr>
        <w:t>十、合同的签订</w:t>
      </w:r>
    </w:p>
    <w:p w14:paraId="2C4F113F">
      <w:pPr>
        <w:pStyle w:val="24"/>
        <w:spacing w:before="120" w:after="120" w:line="440" w:lineRule="exact"/>
        <w:ind w:firstLine="360" w:firstLineChars="150"/>
        <w:rPr>
          <w:rFonts w:ascii="宋体" w:hAnsi="宋体" w:cs="宋体"/>
          <w:b/>
          <w:bCs/>
          <w:color w:val="auto"/>
          <w:sz w:val="36"/>
          <w:szCs w:val="36"/>
          <w:highlight w:val="none"/>
        </w:rPr>
      </w:pPr>
      <w:r>
        <w:rPr>
          <w:rFonts w:hint="eastAsia" w:hAnsi="宋体" w:cs="宋体"/>
          <w:bCs/>
          <w:color w:val="auto"/>
          <w:highlight w:val="none"/>
        </w:rPr>
        <w:t>中标单位在收到《中标通知书》后</w:t>
      </w:r>
      <w:r>
        <w:rPr>
          <w:rFonts w:hint="eastAsia" w:hAnsi="宋体" w:cs="宋体"/>
          <w:bCs/>
          <w:color w:val="auto"/>
          <w:highlight w:val="none"/>
          <w:lang w:val="en-US" w:eastAsia="zh-CN"/>
        </w:rPr>
        <w:t>2</w:t>
      </w:r>
      <w:r>
        <w:rPr>
          <w:rFonts w:hint="eastAsia" w:hAnsi="宋体" w:cs="宋体"/>
          <w:bCs/>
          <w:color w:val="auto"/>
          <w:highlight w:val="none"/>
        </w:rPr>
        <w:t>0日内与</w:t>
      </w:r>
      <w:r>
        <w:rPr>
          <w:rFonts w:hint="eastAsia" w:hAnsi="宋体" w:cs="宋体"/>
          <w:bCs/>
          <w:color w:val="auto"/>
          <w:highlight w:val="none"/>
          <w:lang w:eastAsia="zh-CN"/>
        </w:rPr>
        <w:t>东阳市南市街道办事处</w:t>
      </w:r>
      <w:r>
        <w:rPr>
          <w:rFonts w:hint="eastAsia" w:hAnsi="宋体" w:cs="宋体"/>
          <w:bCs/>
          <w:color w:val="auto"/>
          <w:highlight w:val="none"/>
        </w:rPr>
        <w:t>签订合同。</w:t>
      </w:r>
    </w:p>
    <w:p w14:paraId="728E1E97">
      <w:pPr>
        <w:snapToGrid w:val="0"/>
        <w:spacing w:line="360" w:lineRule="auto"/>
        <w:ind w:firstLine="723"/>
        <w:jc w:val="center"/>
        <w:rPr>
          <w:rFonts w:ascii="宋体" w:hAnsi="宋体" w:cs="宋体"/>
          <w:color w:val="auto"/>
          <w:kern w:val="0"/>
          <w:sz w:val="24"/>
          <w:highlight w:val="none"/>
        </w:rPr>
      </w:pPr>
      <w:r>
        <w:rPr>
          <w:rFonts w:hint="eastAsia" w:ascii="宋体" w:hAnsi="宋体" w:cs="宋体"/>
          <w:b/>
          <w:bCs/>
          <w:color w:val="auto"/>
          <w:sz w:val="36"/>
          <w:szCs w:val="36"/>
          <w:highlight w:val="none"/>
        </w:rPr>
        <w:br w:type="page"/>
      </w:r>
      <w:bookmarkStart w:id="1" w:name="_Toc31655"/>
      <w:r>
        <w:rPr>
          <w:rStyle w:val="241"/>
          <w:rFonts w:hint="eastAsia"/>
          <w:color w:val="auto"/>
          <w:sz w:val="36"/>
          <w:szCs w:val="36"/>
          <w:highlight w:val="none"/>
        </w:rPr>
        <w:t>第三章   投标人须知</w:t>
      </w:r>
      <w:bookmarkEnd w:id="1"/>
    </w:p>
    <w:p w14:paraId="684044B6">
      <w:pPr>
        <w:pStyle w:val="24"/>
        <w:rPr>
          <w:color w:val="auto"/>
          <w:highlight w:val="none"/>
        </w:rPr>
      </w:pPr>
      <w:bookmarkStart w:id="2" w:name="_Toc31542"/>
      <w:r>
        <w:rPr>
          <w:rFonts w:hint="eastAsia"/>
          <w:color w:val="auto"/>
          <w:highlight w:val="none"/>
        </w:rPr>
        <w:t>前附表</w:t>
      </w:r>
      <w:bookmarkEnd w:id="2"/>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8750"/>
      </w:tblGrid>
      <w:tr w14:paraId="544C2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6D512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50" w:type="dxa"/>
            <w:tcBorders>
              <w:top w:val="single" w:color="auto" w:sz="4" w:space="0"/>
              <w:left w:val="single" w:color="auto" w:sz="4" w:space="0"/>
              <w:bottom w:val="single" w:color="auto" w:sz="4" w:space="0"/>
              <w:right w:val="single" w:color="auto" w:sz="4" w:space="0"/>
            </w:tcBorders>
            <w:vAlign w:val="center"/>
          </w:tcPr>
          <w:p w14:paraId="2FFC59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1A11A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F300B04">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50" w:type="dxa"/>
            <w:tcBorders>
              <w:top w:val="single" w:color="auto" w:sz="4" w:space="0"/>
              <w:left w:val="single" w:color="auto" w:sz="4" w:space="0"/>
              <w:bottom w:val="single" w:color="auto" w:sz="4" w:space="0"/>
              <w:right w:val="single" w:color="auto" w:sz="4" w:space="0"/>
            </w:tcBorders>
            <w:vAlign w:val="center"/>
          </w:tcPr>
          <w:p w14:paraId="67DD71A4">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东阳市南市街道办事处食堂劳务及物资配送服务项目</w:t>
            </w:r>
          </w:p>
        </w:tc>
      </w:tr>
      <w:tr w14:paraId="08B3F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6E945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750" w:type="dxa"/>
            <w:tcBorders>
              <w:top w:val="single" w:color="auto" w:sz="4" w:space="0"/>
              <w:left w:val="single" w:color="auto" w:sz="4" w:space="0"/>
              <w:bottom w:val="single" w:color="auto" w:sz="4" w:space="0"/>
              <w:right w:val="single" w:color="auto" w:sz="4" w:space="0"/>
            </w:tcBorders>
            <w:vAlign w:val="center"/>
          </w:tcPr>
          <w:p w14:paraId="1D284D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金华正达工程造价咨询有限公司按照本招标文件总则第（五）条规定向中标人收取中标服务费。</w:t>
            </w:r>
          </w:p>
        </w:tc>
      </w:tr>
      <w:tr w14:paraId="0BE9E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8E1066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50" w:type="dxa"/>
            <w:tcBorders>
              <w:top w:val="single" w:color="auto" w:sz="4" w:space="0"/>
              <w:left w:val="single" w:color="auto" w:sz="4" w:space="0"/>
              <w:bottom w:val="single" w:color="auto" w:sz="4" w:space="0"/>
              <w:right w:val="single" w:color="auto" w:sz="4" w:space="0"/>
            </w:tcBorders>
            <w:vAlign w:val="center"/>
          </w:tcPr>
          <w:p w14:paraId="1D1B5783">
            <w:pPr>
              <w:snapToGrid w:val="0"/>
              <w:spacing w:line="276" w:lineRule="auto"/>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落实政府采购政策需满足的资格要求：</w:t>
            </w:r>
          </w:p>
          <w:p w14:paraId="1CBB61BD">
            <w:pPr>
              <w:spacing w:line="360" w:lineRule="auto"/>
              <w:rPr>
                <w:rFonts w:ascii="宋体" w:hAnsi="宋体" w:cs="宋体"/>
                <w:bCs/>
                <w:color w:val="auto"/>
                <w:sz w:val="24"/>
                <w:highlight w:val="none"/>
              </w:rPr>
            </w:pPr>
            <w:r>
              <w:rPr>
                <w:rFonts w:hint="eastAsia" w:ascii="宋体" w:hAnsi="宋体" w:cs="宋体"/>
                <w:bCs/>
                <w:color w:val="auto"/>
                <w:sz w:val="24"/>
                <w:highlight w:val="none"/>
              </w:rPr>
              <w:sym w:font="Wingdings" w:char="F0FE"/>
            </w:r>
            <w:r>
              <w:rPr>
                <w:rFonts w:hint="eastAsia" w:ascii="宋体" w:hAnsi="宋体" w:cs="宋体"/>
                <w:bCs/>
                <w:color w:val="auto"/>
                <w:sz w:val="24"/>
                <w:highlight w:val="none"/>
              </w:rPr>
              <w:t>专门面向</w:t>
            </w:r>
            <w:r>
              <w:rPr>
                <w:rFonts w:hint="eastAsia" w:ascii="宋体" w:hAnsi="宋体" w:cs="宋体"/>
                <w:bCs/>
                <w:color w:val="auto"/>
                <w:sz w:val="24"/>
                <w:highlight w:val="none"/>
                <w:lang w:val="en-US" w:eastAsia="zh-CN"/>
              </w:rPr>
              <w:t>小微</w:t>
            </w:r>
            <w:r>
              <w:rPr>
                <w:rFonts w:hint="eastAsia" w:ascii="宋体" w:hAnsi="宋体" w:cs="宋体"/>
                <w:bCs/>
                <w:color w:val="auto"/>
                <w:sz w:val="24"/>
                <w:highlight w:val="none"/>
              </w:rPr>
              <w:t>企业</w:t>
            </w:r>
          </w:p>
          <w:p w14:paraId="71CDF93B">
            <w:pPr>
              <w:snapToGrid w:val="0"/>
              <w:spacing w:line="420" w:lineRule="exact"/>
              <w:rPr>
                <w:rFonts w:ascii="宋体" w:hAnsi="宋体" w:cs="宋体"/>
                <w:color w:val="auto"/>
                <w:sz w:val="24"/>
                <w:highlight w:val="none"/>
              </w:rPr>
            </w:pPr>
            <w:r>
              <w:rPr>
                <w:rFonts w:hint="eastAsia" w:ascii="宋体" w:hAnsi="宋体" w:cs="宋体"/>
                <w:bCs/>
                <w:color w:val="auto"/>
                <w:sz w:val="24"/>
                <w:highlight w:val="none"/>
              </w:rPr>
              <w:sym w:font="Wingdings" w:char="F0FE"/>
            </w:r>
            <w:r>
              <w:rPr>
                <w:rFonts w:hint="eastAsia" w:ascii="宋体" w:hAnsi="宋体" w:cs="宋体"/>
                <w:bCs/>
                <w:color w:val="auto"/>
                <w:sz w:val="24"/>
                <w:highlight w:val="none"/>
              </w:rPr>
              <w:t>服务全部由符合政策要求的</w:t>
            </w:r>
            <w:r>
              <w:rPr>
                <w:rFonts w:hint="eastAsia" w:ascii="宋体" w:hAnsi="宋体" w:cs="宋体"/>
                <w:bCs/>
                <w:color w:val="auto"/>
                <w:sz w:val="24"/>
                <w:highlight w:val="none"/>
                <w:lang w:val="en-US" w:eastAsia="zh-CN"/>
              </w:rPr>
              <w:t>小微</w:t>
            </w:r>
            <w:r>
              <w:rPr>
                <w:rFonts w:hint="eastAsia" w:ascii="宋体" w:hAnsi="宋体" w:cs="宋体"/>
                <w:bCs/>
                <w:color w:val="auto"/>
                <w:sz w:val="24"/>
                <w:highlight w:val="none"/>
              </w:rPr>
              <w:t>企业承接，提供中小企业声明函；</w:t>
            </w:r>
            <w:r>
              <w:rPr>
                <w:rFonts w:hint="eastAsia" w:ascii="宋体" w:hAnsi="宋体"/>
                <w:color w:val="auto"/>
                <w:sz w:val="24"/>
                <w:highlight w:val="none"/>
                <w:shd w:val="clear" w:color="auto" w:fill="FFFFFF"/>
              </w:rPr>
              <w:t>根据《中小企业划型标准规定的通知》（工信部联企业〔2011〕300号）规定，本项目采购标的所属行业：</w:t>
            </w:r>
            <w:r>
              <w:rPr>
                <w:rFonts w:hint="eastAsia" w:ascii="宋体" w:hAnsi="宋体" w:cs="宋体"/>
                <w:color w:val="auto"/>
                <w:sz w:val="24"/>
                <w:highlight w:val="none"/>
                <w:u w:val="single"/>
              </w:rPr>
              <w:t>租赁和商务服务业。</w:t>
            </w:r>
          </w:p>
        </w:tc>
      </w:tr>
      <w:tr w14:paraId="0FCFD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290A3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750" w:type="dxa"/>
            <w:tcBorders>
              <w:top w:val="single" w:color="auto" w:sz="4" w:space="0"/>
              <w:left w:val="single" w:color="auto" w:sz="4" w:space="0"/>
              <w:bottom w:val="single" w:color="auto" w:sz="4" w:space="0"/>
              <w:right w:val="single" w:color="auto" w:sz="4" w:space="0"/>
            </w:tcBorders>
            <w:vAlign w:val="center"/>
          </w:tcPr>
          <w:p w14:paraId="67013D69">
            <w:pPr>
              <w:snapToGrid w:val="0"/>
              <w:spacing w:line="360" w:lineRule="auto"/>
              <w:rPr>
                <w:color w:val="auto"/>
                <w:highlight w:val="none"/>
              </w:rPr>
            </w:pPr>
            <w:r>
              <w:rPr>
                <w:rFonts w:hint="eastAsia" w:ascii="宋体" w:hAnsi="宋体" w:cs="宋体"/>
                <w:color w:val="auto"/>
                <w:sz w:val="24"/>
                <w:highlight w:val="none"/>
              </w:rPr>
              <w:t>答疑与澄清：</w:t>
            </w:r>
            <w:r>
              <w:rPr>
                <w:rFonts w:hint="eastAsia" w:ascii="宋体" w:hAnsi="宋体"/>
                <w:color w:val="auto"/>
                <w:sz w:val="24"/>
                <w:highlight w:val="none"/>
              </w:rPr>
              <w:t>投标人如认为招标文件表述不清晰、存在歧视性、排他性或者其他违法内容的，应当</w:t>
            </w:r>
            <w:r>
              <w:rPr>
                <w:rFonts w:hint="eastAsia" w:ascii="宋体" w:hAnsi="宋体"/>
                <w:color w:val="auto"/>
                <w:sz w:val="24"/>
                <w:highlight w:val="none"/>
                <w:shd w:val="clear" w:color="auto" w:fill="FFFFFF"/>
              </w:rPr>
              <w:t>于</w:t>
            </w:r>
            <w:r>
              <w:rPr>
                <w:rFonts w:hint="eastAsia" w:ascii="宋体" w:hAnsi="宋体"/>
                <w:b/>
                <w:bCs/>
                <w:color w:val="auto"/>
                <w:sz w:val="24"/>
                <w:highlight w:val="none"/>
                <w:u w:val="single"/>
                <w:shd w:val="clear" w:color="auto" w:fill="FFFFFF"/>
              </w:rPr>
              <w:t>质疑期限届满之日</w:t>
            </w:r>
            <w:r>
              <w:rPr>
                <w:rFonts w:hint="eastAsia" w:ascii="宋体" w:hAnsi="宋体"/>
                <w:color w:val="auto"/>
                <w:sz w:val="24"/>
                <w:highlight w:val="none"/>
                <w:shd w:val="clear" w:color="auto" w:fill="FFFFFF"/>
              </w:rPr>
              <w:t>前，</w:t>
            </w:r>
            <w:r>
              <w:rPr>
                <w:rFonts w:hint="eastAsia" w:ascii="宋体" w:hAnsi="宋体"/>
                <w:color w:val="auto"/>
                <w:sz w:val="24"/>
                <w:highlight w:val="none"/>
              </w:rPr>
              <w:t>以书面形式要求招标采购单位作出书面解释、澄清或者向招标采购单位提出书面质疑（</w:t>
            </w:r>
            <w:r>
              <w:rPr>
                <w:rFonts w:hint="eastAsia" w:ascii="宋体" w:hAnsi="宋体"/>
                <w:b/>
                <w:color w:val="auto"/>
                <w:sz w:val="24"/>
                <w:highlight w:val="none"/>
              </w:rPr>
              <w:t>超过此规定时间的质疑函将不予受理）</w:t>
            </w:r>
            <w:r>
              <w:rPr>
                <w:rFonts w:hint="eastAsia" w:ascii="宋体" w:hAnsi="宋体"/>
                <w:color w:val="auto"/>
                <w:sz w:val="24"/>
                <w:highlight w:val="none"/>
              </w:rPr>
              <w:t>；招标采购单位将于</w:t>
            </w:r>
            <w:r>
              <w:rPr>
                <w:rFonts w:hint="eastAsia" w:ascii="宋体" w:hAnsi="宋体"/>
                <w:b/>
                <w:bCs/>
                <w:color w:val="auto"/>
                <w:sz w:val="24"/>
                <w:highlight w:val="none"/>
                <w:u w:val="single"/>
                <w:shd w:val="clear" w:color="auto" w:fill="FFFFFF"/>
              </w:rPr>
              <w:t>答疑期限届满之日</w:t>
            </w:r>
            <w:r>
              <w:rPr>
                <w:rFonts w:hint="eastAsia" w:ascii="宋体" w:hAnsi="宋体"/>
                <w:b/>
                <w:bCs/>
                <w:color w:val="auto"/>
                <w:sz w:val="24"/>
                <w:highlight w:val="none"/>
                <w:shd w:val="clear" w:color="auto" w:fill="FFFFFF"/>
              </w:rPr>
              <w:t>前</w:t>
            </w:r>
            <w:r>
              <w:rPr>
                <w:rFonts w:hint="eastAsia" w:ascii="宋体" w:hAnsi="宋体"/>
                <w:color w:val="auto"/>
                <w:sz w:val="24"/>
                <w:highlight w:val="none"/>
                <w:shd w:val="clear" w:color="auto" w:fill="FFFFFF"/>
              </w:rPr>
              <w:t>将答疑内容以传真或网上发布公告的形式通知所有已报名的投标人；答疑内容是招标</w:t>
            </w:r>
            <w:r>
              <w:rPr>
                <w:rFonts w:hint="eastAsia" w:ascii="宋体" w:hAnsi="宋体"/>
                <w:color w:val="auto"/>
                <w:sz w:val="24"/>
                <w:highlight w:val="none"/>
              </w:rPr>
              <w:t>文件的组成部分；因其他紧急情况影响本项目正常招标活动的，招标采购单位将于投标截止日期</w:t>
            </w:r>
            <w:r>
              <w:rPr>
                <w:rFonts w:ascii="宋体" w:hAnsi="宋体"/>
                <w:color w:val="auto"/>
                <w:sz w:val="24"/>
                <w:highlight w:val="none"/>
              </w:rPr>
              <w:t>5</w:t>
            </w:r>
            <w:r>
              <w:rPr>
                <w:rFonts w:hint="eastAsia" w:ascii="宋体" w:hAnsi="宋体"/>
                <w:color w:val="auto"/>
                <w:sz w:val="24"/>
                <w:highlight w:val="none"/>
              </w:rPr>
              <w:t>天前书面通知所有已报名的投标人。</w:t>
            </w:r>
          </w:p>
        </w:tc>
      </w:tr>
      <w:tr w14:paraId="45CD5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054D6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750" w:type="dxa"/>
            <w:tcBorders>
              <w:top w:val="single" w:color="auto" w:sz="4" w:space="0"/>
              <w:left w:val="single" w:color="auto" w:sz="4" w:space="0"/>
              <w:bottom w:val="single" w:color="auto" w:sz="4" w:space="0"/>
              <w:right w:val="single" w:color="auto" w:sz="4" w:space="0"/>
            </w:tcBorders>
            <w:vAlign w:val="center"/>
          </w:tcPr>
          <w:p w14:paraId="5CB8E0BB">
            <w:pPr>
              <w:autoSpaceDE w:val="0"/>
              <w:autoSpaceDN w:val="0"/>
              <w:snapToGrid w:val="0"/>
              <w:spacing w:line="400" w:lineRule="exact"/>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17BBB775">
            <w:pPr>
              <w:autoSpaceDE w:val="0"/>
              <w:autoSpaceDN w:val="0"/>
              <w:snapToGrid w:val="0"/>
              <w:spacing w:line="400" w:lineRule="exact"/>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675D7512">
            <w:pPr>
              <w:autoSpaceDE w:val="0"/>
              <w:autoSpaceDN w:val="0"/>
              <w:snapToGrid w:val="0"/>
              <w:spacing w:line="400" w:lineRule="exact"/>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61E5B6FE">
            <w:pPr>
              <w:autoSpaceDE w:val="0"/>
              <w:autoSpaceDN w:val="0"/>
              <w:snapToGrid w:val="0"/>
              <w:spacing w:line="400" w:lineRule="exact"/>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正达工程造价咨询有限公司邮箱：342981454@qq.com，逾期发送或发错后缀名的备份投标文件将被视为无效；</w:t>
            </w:r>
          </w:p>
          <w:p w14:paraId="6580975C">
            <w:pPr>
              <w:autoSpaceDE w:val="0"/>
              <w:autoSpaceDN w:val="0"/>
              <w:snapToGrid w:val="0"/>
              <w:spacing w:line="400" w:lineRule="exact"/>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34522F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6B286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CEE7E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750" w:type="dxa"/>
            <w:tcBorders>
              <w:top w:val="single" w:color="auto" w:sz="4" w:space="0"/>
              <w:left w:val="single" w:color="auto" w:sz="4" w:space="0"/>
              <w:bottom w:val="single" w:color="auto" w:sz="4" w:space="0"/>
              <w:right w:val="single" w:color="auto" w:sz="4" w:space="0"/>
            </w:tcBorders>
            <w:vAlign w:val="center"/>
          </w:tcPr>
          <w:p w14:paraId="14833CDC">
            <w:pPr>
              <w:autoSpaceDE w:val="0"/>
              <w:autoSpaceDN w:val="0"/>
              <w:snapToGrid w:val="0"/>
              <w:textAlignment w:val="bottom"/>
              <w:rPr>
                <w:rFonts w:ascii="宋体" w:hAnsi="宋体" w:cs="宋体"/>
                <w:bCs/>
                <w:color w:val="auto"/>
                <w:highlight w:val="none"/>
              </w:rPr>
            </w:pPr>
            <w:r>
              <w:rPr>
                <w:rFonts w:hint="eastAsia" w:ascii="宋体" w:hAnsi="宋体" w:cs="宋体"/>
                <w:color w:val="auto"/>
                <w:sz w:val="24"/>
                <w:highlight w:val="none"/>
              </w:rPr>
              <w:t>现场踏勘：投标人自行组织现场踏勘。现场踏勘所发生费用由投标方自行承担，踏勘期间发生人身或交通安全等大小事故，一切责任和经济补偿均由投标单位负责。</w:t>
            </w:r>
          </w:p>
        </w:tc>
      </w:tr>
      <w:tr w14:paraId="54261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E1853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750" w:type="dxa"/>
            <w:tcBorders>
              <w:top w:val="single" w:color="auto" w:sz="4" w:space="0"/>
              <w:left w:val="single" w:color="auto" w:sz="4" w:space="0"/>
              <w:bottom w:val="single" w:color="auto" w:sz="4" w:space="0"/>
              <w:right w:val="single" w:color="auto" w:sz="4" w:space="0"/>
            </w:tcBorders>
            <w:vAlign w:val="center"/>
          </w:tcPr>
          <w:p w14:paraId="2AA11689">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b/>
                <w:bCs/>
                <w:color w:val="auto"/>
                <w:sz w:val="24"/>
                <w:highlight w:val="none"/>
                <w:lang w:eastAsia="zh-CN"/>
              </w:rPr>
              <w:t>2025年1月14日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lang w:eastAsia="zh-CN"/>
              </w:rPr>
              <w:t>时</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0分</w:t>
            </w:r>
            <w:r>
              <w:rPr>
                <w:rFonts w:hint="eastAsia" w:ascii="宋体" w:hAnsi="宋体" w:cs="宋体"/>
                <w:b/>
                <w:bCs/>
                <w:color w:val="auto"/>
                <w:sz w:val="24"/>
                <w:highlight w:val="none"/>
              </w:rPr>
              <w:t xml:space="preserve"> </w:t>
            </w:r>
          </w:p>
          <w:p w14:paraId="3D9AEB03">
            <w:pPr>
              <w:pStyle w:val="24"/>
              <w:rPr>
                <w:color w:val="auto"/>
                <w:highlight w:val="none"/>
              </w:rPr>
            </w:pPr>
            <w:r>
              <w:rPr>
                <w:rFonts w:hint="eastAsia"/>
                <w:color w:val="auto"/>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464E3AB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w:t>
            </w:r>
            <w:r>
              <w:rPr>
                <w:rFonts w:hint="eastAsia" w:ascii="宋体" w:hAnsi="宋体" w:cs="宋体"/>
                <w:color w:val="auto"/>
                <w:sz w:val="24"/>
                <w:highlight w:val="none"/>
              </w:rPr>
              <w:t>投标人应当在</w:t>
            </w:r>
            <w:r>
              <w:rPr>
                <w:rFonts w:hint="eastAsia" w:ascii="宋体" w:hAnsi="宋体" w:cs="宋体"/>
                <w:b/>
                <w:bCs/>
                <w:color w:val="auto"/>
                <w:sz w:val="24"/>
                <w:highlight w:val="none"/>
                <w:lang w:eastAsia="zh-CN"/>
              </w:rPr>
              <w:t>2025年1月14日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lang w:eastAsia="zh-CN"/>
              </w:rPr>
              <w:t>时</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0分</w:t>
            </w:r>
            <w:r>
              <w:rPr>
                <w:rFonts w:hint="eastAsia" w:ascii="宋体" w:hAnsi="宋体" w:cs="宋体"/>
                <w:b/>
                <w:bCs/>
                <w:color w:val="auto"/>
                <w:sz w:val="24"/>
                <w:highlight w:val="none"/>
              </w:rPr>
              <w:t xml:space="preserve"> </w:t>
            </w:r>
            <w:r>
              <w:rPr>
                <w:rFonts w:hint="eastAsia" w:ascii="宋体" w:hAnsi="宋体" w:cs="宋体"/>
                <w:color w:val="auto"/>
                <w:sz w:val="24"/>
                <w:highlight w:val="none"/>
              </w:rPr>
              <w:t>前，逾期未递交的视为自动放弃</w:t>
            </w:r>
            <w:r>
              <w:rPr>
                <w:rFonts w:hint="eastAsia" w:ascii="宋体" w:hAnsi="宋体" w:cs="宋体"/>
                <w:bCs/>
                <w:color w:val="auto"/>
                <w:sz w:val="24"/>
                <w:highlight w:val="none"/>
              </w:rPr>
              <w:t>递交电子备份投标文件</w:t>
            </w:r>
            <w:r>
              <w:rPr>
                <w:rFonts w:hint="eastAsia" w:ascii="宋体" w:hAnsi="宋体" w:cs="宋体"/>
                <w:color w:val="auto"/>
                <w:sz w:val="24"/>
                <w:highlight w:val="none"/>
              </w:rPr>
              <w:t>。</w:t>
            </w:r>
          </w:p>
          <w:p w14:paraId="216CC6FB">
            <w:pPr>
              <w:pStyle w:val="24"/>
              <w:rPr>
                <w:color w:val="auto"/>
                <w:highlight w:val="none"/>
              </w:rPr>
            </w:pPr>
            <w:r>
              <w:rPr>
                <w:rFonts w:hint="eastAsia"/>
                <w:color w:val="auto"/>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66B83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577EB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750" w:type="dxa"/>
            <w:tcBorders>
              <w:top w:val="single" w:color="auto" w:sz="4" w:space="0"/>
              <w:left w:val="single" w:color="auto" w:sz="4" w:space="0"/>
              <w:bottom w:val="single" w:color="auto" w:sz="4" w:space="0"/>
              <w:right w:val="single" w:color="auto" w:sz="4" w:space="0"/>
            </w:tcBorders>
            <w:vAlign w:val="center"/>
          </w:tcPr>
          <w:p w14:paraId="1C6073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b/>
                <w:bCs/>
                <w:color w:val="auto"/>
                <w:sz w:val="24"/>
                <w:highlight w:val="none"/>
                <w:lang w:eastAsia="zh-CN"/>
              </w:rPr>
              <w:t>2025年1月14日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lang w:eastAsia="zh-CN"/>
              </w:rPr>
              <w:t>时</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0分</w:t>
            </w:r>
            <w:r>
              <w:rPr>
                <w:rFonts w:hint="eastAsia" w:ascii="宋体" w:hAnsi="宋体" w:cs="宋体"/>
                <w:b/>
                <w:bCs/>
                <w:color w:val="auto"/>
                <w:sz w:val="24"/>
                <w:highlight w:val="none"/>
              </w:rPr>
              <w:t xml:space="preserve"> </w:t>
            </w:r>
          </w:p>
          <w:p w14:paraId="7454D2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14:paraId="64A09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3D3A0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750" w:type="dxa"/>
            <w:tcBorders>
              <w:top w:val="single" w:color="auto" w:sz="4" w:space="0"/>
              <w:left w:val="single" w:color="auto" w:sz="4" w:space="0"/>
              <w:bottom w:val="single" w:color="auto" w:sz="4" w:space="0"/>
              <w:right w:val="single" w:color="auto" w:sz="4" w:space="0"/>
            </w:tcBorders>
            <w:vAlign w:val="center"/>
          </w:tcPr>
          <w:p w14:paraId="5CA11997">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7799B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F8CB2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8750" w:type="dxa"/>
            <w:tcBorders>
              <w:top w:val="single" w:color="auto" w:sz="4" w:space="0"/>
              <w:left w:val="single" w:color="auto" w:sz="4" w:space="0"/>
              <w:bottom w:val="single" w:color="auto" w:sz="4" w:space="0"/>
              <w:right w:val="single" w:color="auto" w:sz="4" w:space="0"/>
            </w:tcBorders>
            <w:vAlign w:val="center"/>
          </w:tcPr>
          <w:p w14:paraId="7E49C7C4">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olor w:val="auto"/>
                <w:sz w:val="24"/>
                <w:highlight w:val="none"/>
              </w:rPr>
              <w:t>采购人应当自收到评审报告之日起</w:t>
            </w:r>
            <w:r>
              <w:rPr>
                <w:rFonts w:ascii="宋体" w:hAnsi="宋体"/>
                <w:color w:val="auto"/>
                <w:sz w:val="24"/>
                <w:highlight w:val="none"/>
              </w:rPr>
              <w:t>5</w:t>
            </w:r>
            <w:r>
              <w:rPr>
                <w:rFonts w:hint="eastAsia" w:ascii="宋体" w:hAnsi="宋体"/>
                <w:color w:val="auto"/>
                <w:sz w:val="24"/>
                <w:highlight w:val="none"/>
              </w:rPr>
              <w:t>个工作日内在评审报告推荐的中标或者成交候选人中按顺序确定中标或者成交供应商。如有投标人对评标结果提出质疑的，采购人可在质疑处理完毕后确定中标人。</w:t>
            </w:r>
          </w:p>
        </w:tc>
      </w:tr>
      <w:tr w14:paraId="2A002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E13F3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750" w:type="dxa"/>
            <w:tcBorders>
              <w:top w:val="single" w:color="auto" w:sz="4" w:space="0"/>
              <w:left w:val="single" w:color="auto" w:sz="4" w:space="0"/>
              <w:bottom w:val="single" w:color="auto" w:sz="4" w:space="0"/>
              <w:right w:val="single" w:color="auto" w:sz="4" w:space="0"/>
            </w:tcBorders>
            <w:vAlign w:val="center"/>
          </w:tcPr>
          <w:p w14:paraId="0FD47BC5">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olor w:val="auto"/>
                <w:sz w:val="24"/>
                <w:highlight w:val="none"/>
              </w:rPr>
              <w:t>采购人或者采购代理机构应当自中标、成交供应商确定之日起</w:t>
            </w:r>
            <w:r>
              <w:rPr>
                <w:rFonts w:ascii="宋体" w:hAnsi="宋体"/>
                <w:color w:val="auto"/>
                <w:sz w:val="24"/>
                <w:highlight w:val="none"/>
              </w:rPr>
              <w:t>2</w:t>
            </w:r>
            <w:r>
              <w:rPr>
                <w:rFonts w:hint="eastAsia" w:ascii="宋体" w:hAnsi="宋体"/>
                <w:color w:val="auto"/>
                <w:sz w:val="24"/>
                <w:highlight w:val="none"/>
              </w:rPr>
              <w:t>个工作日内，发出中标、成交通知书，并在省级以上人民政府财政部门指定的媒体上公告中标、成交结果。</w:t>
            </w:r>
          </w:p>
        </w:tc>
      </w:tr>
      <w:tr w14:paraId="2FBBF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C0429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750" w:type="dxa"/>
            <w:tcBorders>
              <w:top w:val="single" w:color="auto" w:sz="4" w:space="0"/>
              <w:left w:val="single" w:color="auto" w:sz="4" w:space="0"/>
              <w:bottom w:val="single" w:color="auto" w:sz="4" w:space="0"/>
              <w:right w:val="single" w:color="auto" w:sz="4" w:space="0"/>
            </w:tcBorders>
            <w:vAlign w:val="center"/>
          </w:tcPr>
          <w:p w14:paraId="4218187F">
            <w:pPr>
              <w:spacing w:line="440" w:lineRule="exact"/>
              <w:rPr>
                <w:rFonts w:ascii="宋体" w:hAnsi="宋体" w:cs="宋体"/>
                <w:b/>
                <w:bCs/>
                <w:color w:val="auto"/>
                <w:sz w:val="24"/>
                <w:highlight w:val="none"/>
              </w:rPr>
            </w:pPr>
            <w:r>
              <w:rPr>
                <w:rFonts w:hint="eastAsia" w:ascii="宋体" w:hAnsi="宋体" w:cs="宋体"/>
                <w:color w:val="auto"/>
                <w:sz w:val="24"/>
                <w:highlight w:val="none"/>
              </w:rPr>
              <w:t>履约保证金：本项目的履约保证金为中标金额的1.0%，中标人应在合同签订后交纳（可以用保函的形式提交,保函可在政采云平台线上申请办理），在本项目服务期结束后7个工作日内由采购单位无息退还。</w:t>
            </w:r>
          </w:p>
        </w:tc>
      </w:tr>
      <w:tr w14:paraId="64505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93081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8750" w:type="dxa"/>
            <w:tcBorders>
              <w:top w:val="single" w:color="auto" w:sz="4" w:space="0"/>
              <w:left w:val="single" w:color="auto" w:sz="4" w:space="0"/>
              <w:bottom w:val="single" w:color="auto" w:sz="4" w:space="0"/>
              <w:right w:val="single" w:color="auto" w:sz="4" w:space="0"/>
            </w:tcBorders>
            <w:vAlign w:val="center"/>
          </w:tcPr>
          <w:p w14:paraId="48DA5D88">
            <w:pPr>
              <w:spacing w:line="500" w:lineRule="exact"/>
              <w:rPr>
                <w:rFonts w:ascii="宋体" w:hAnsi="宋体" w:cs="宋体"/>
                <w:color w:val="auto"/>
                <w:sz w:val="24"/>
                <w:highlight w:val="none"/>
              </w:rPr>
            </w:pPr>
            <w:r>
              <w:rPr>
                <w:rFonts w:hint="eastAsia" w:ascii="宋体" w:hAnsi="宋体"/>
                <w:color w:val="auto"/>
                <w:sz w:val="24"/>
                <w:highlight w:val="none"/>
              </w:rPr>
              <w:t>付款方式：</w:t>
            </w:r>
            <w:r>
              <w:rPr>
                <w:rFonts w:hint="eastAsia" w:ascii="宋体" w:hAnsi="宋体" w:cs="宋体"/>
                <w:color w:val="auto"/>
                <w:sz w:val="24"/>
                <w:highlight w:val="none"/>
                <w:lang w:eastAsia="zh-CN"/>
              </w:rPr>
              <w:t>详见标</w:t>
            </w:r>
            <w:r>
              <w:rPr>
                <w:rFonts w:hint="eastAsia" w:ascii="宋体" w:hAnsi="宋体" w:cs="宋体"/>
                <w:color w:val="auto"/>
                <w:sz w:val="24"/>
                <w:highlight w:val="none"/>
                <w:lang w:val="en-US" w:eastAsia="zh-CN"/>
              </w:rPr>
              <w:t>项1、标项2 招标需求中的具体付款方式。</w:t>
            </w:r>
          </w:p>
        </w:tc>
      </w:tr>
      <w:tr w14:paraId="55E57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619866F">
            <w:pPr>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8750" w:type="dxa"/>
            <w:tcBorders>
              <w:top w:val="single" w:color="auto" w:sz="4" w:space="0"/>
              <w:left w:val="single" w:color="auto" w:sz="4" w:space="0"/>
              <w:bottom w:val="single" w:color="auto" w:sz="4" w:space="0"/>
              <w:right w:val="single" w:color="auto" w:sz="4" w:space="0"/>
            </w:tcBorders>
            <w:vAlign w:val="center"/>
          </w:tcPr>
          <w:p w14:paraId="3B73C1E4">
            <w:pPr>
              <w:widowControl/>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节能产品、环境标志产品的强制采购政策：</w:t>
            </w:r>
          </w:p>
          <w:p w14:paraId="3CB5C621">
            <w:pPr>
              <w:widowControl/>
              <w:snapToGrid w:val="0"/>
              <w:jc w:val="left"/>
              <w:rPr>
                <w:rFonts w:ascii="宋体" w:hAnsi="宋体" w:cs="宋体"/>
                <w:color w:val="auto"/>
                <w:sz w:val="24"/>
                <w:highlight w:val="none"/>
              </w:rPr>
            </w:pPr>
            <w:r>
              <w:rPr>
                <w:rFonts w:hint="eastAsia" w:ascii="宋体" w:hAnsi="宋体" w:cs="宋体"/>
                <w:color w:val="auto"/>
                <w:kern w:val="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14:paraId="4BA2E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8A70196">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8750" w:type="dxa"/>
            <w:tcBorders>
              <w:top w:val="single" w:color="auto" w:sz="4" w:space="0"/>
              <w:left w:val="single" w:color="auto" w:sz="4" w:space="0"/>
              <w:bottom w:val="single" w:color="auto" w:sz="4" w:space="0"/>
              <w:right w:val="single" w:color="auto" w:sz="4" w:space="0"/>
            </w:tcBorders>
            <w:vAlign w:val="center"/>
          </w:tcPr>
          <w:p w14:paraId="56F34D6A">
            <w:pPr>
              <w:widowControl/>
              <w:snapToGrid w:val="0"/>
              <w:jc w:val="left"/>
              <w:rPr>
                <w:rFonts w:ascii="宋体" w:hAnsi="宋体" w:cs="宋体"/>
                <w:color w:val="auto"/>
                <w:kern w:val="0"/>
                <w:sz w:val="24"/>
                <w:highlight w:val="none"/>
              </w:rPr>
            </w:pPr>
            <w:r>
              <w:rPr>
                <w:rFonts w:hint="eastAsia" w:ascii="宋体" w:hAnsi="宋体" w:cs="宋体"/>
                <w:color w:val="auto"/>
                <w:kern w:val="0"/>
                <w:sz w:val="24"/>
                <w:highlight w:val="none"/>
              </w:rPr>
              <w:t>节能产品、环境标志产品的优先采购政策</w:t>
            </w:r>
          </w:p>
          <w:p w14:paraId="3115B547">
            <w:pPr>
              <w:widowControl/>
              <w:snapToGrid w:val="0"/>
              <w:jc w:val="left"/>
              <w:rPr>
                <w:rFonts w:ascii="宋体" w:hAnsi="宋体" w:cs="宋体"/>
                <w:color w:val="auto"/>
                <w:sz w:val="24"/>
                <w:highlight w:val="none"/>
              </w:rPr>
            </w:pPr>
            <w:r>
              <w:rPr>
                <w:rFonts w:hint="eastAsia" w:ascii="宋体" w:hAnsi="宋体" w:cs="宋体"/>
                <w:color w:val="auto"/>
                <w:kern w:val="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4639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7B0B498">
            <w:pPr>
              <w:snapToGrid w:val="0"/>
              <w:jc w:val="center"/>
              <w:rPr>
                <w:rFonts w:ascii="宋体" w:hAnsi="宋体" w:cs="宋体"/>
                <w:color w:val="auto"/>
                <w:sz w:val="24"/>
                <w:highlight w:val="none"/>
              </w:rPr>
            </w:pPr>
            <w:r>
              <w:rPr>
                <w:rFonts w:hint="eastAsia" w:ascii="宋体" w:hAnsi="宋体" w:cs="宋体"/>
                <w:color w:val="auto"/>
                <w:sz w:val="24"/>
                <w:highlight w:val="none"/>
              </w:rPr>
              <w:t>16</w:t>
            </w:r>
          </w:p>
        </w:tc>
        <w:tc>
          <w:tcPr>
            <w:tcW w:w="8750" w:type="dxa"/>
            <w:tcBorders>
              <w:top w:val="single" w:color="auto" w:sz="4" w:space="0"/>
              <w:left w:val="single" w:color="auto" w:sz="4" w:space="0"/>
              <w:bottom w:val="single" w:color="auto" w:sz="4" w:space="0"/>
              <w:right w:val="single" w:color="auto" w:sz="4" w:space="0"/>
            </w:tcBorders>
            <w:vAlign w:val="center"/>
          </w:tcPr>
          <w:p w14:paraId="6179FE27">
            <w:pPr>
              <w:snapToGrid w:val="0"/>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5B18E6CF">
            <w:pPr>
              <w:snapToGrid w:val="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1）招标人或采购代理机构将对本项目供应商的信用记录进行查询。查询渠道为信用中国网站（www.creditchina.gov.cn）、中国政府采购网（www.ccgp.gov.cn）；</w:t>
            </w:r>
          </w:p>
          <w:p w14:paraId="45B23FE4">
            <w:pPr>
              <w:snapToGrid w:val="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2）截止时点：提交投标文件（响应文件）截止时间前3年内；</w:t>
            </w:r>
          </w:p>
          <w:p w14:paraId="3404ACAB">
            <w:pPr>
              <w:snapToGrid w:val="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3）查询记录和证据的留存：信用信息查询记录和证据以网页截图等方式留存。</w:t>
            </w:r>
          </w:p>
          <w:p w14:paraId="7506A40D">
            <w:pPr>
              <w:snapToGrid w:val="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419993D">
            <w:pPr>
              <w:widowControl/>
              <w:snapToGrid w:val="0"/>
              <w:jc w:val="left"/>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5）联合体成员任意一方存在不良信用记录的，视同联合体存在不良信用记录。</w:t>
            </w:r>
          </w:p>
        </w:tc>
      </w:tr>
      <w:tr w14:paraId="05F5D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EF68B5E">
            <w:pPr>
              <w:snapToGrid w:val="0"/>
              <w:jc w:val="center"/>
              <w:rPr>
                <w:rFonts w:ascii="宋体" w:hAnsi="宋体" w:cs="宋体"/>
                <w:color w:val="auto"/>
                <w:sz w:val="24"/>
                <w:highlight w:val="none"/>
              </w:rPr>
            </w:pPr>
            <w:r>
              <w:rPr>
                <w:rFonts w:hint="eastAsia" w:ascii="宋体" w:hAnsi="宋体" w:cs="宋体"/>
                <w:color w:val="auto"/>
                <w:sz w:val="24"/>
                <w:highlight w:val="none"/>
              </w:rPr>
              <w:t>17</w:t>
            </w:r>
          </w:p>
        </w:tc>
        <w:tc>
          <w:tcPr>
            <w:tcW w:w="8750" w:type="dxa"/>
            <w:tcBorders>
              <w:top w:val="single" w:color="auto" w:sz="4" w:space="0"/>
              <w:left w:val="single" w:color="auto" w:sz="4" w:space="0"/>
              <w:bottom w:val="single" w:color="auto" w:sz="4" w:space="0"/>
              <w:right w:val="single" w:color="auto" w:sz="4" w:space="0"/>
            </w:tcBorders>
            <w:vAlign w:val="center"/>
          </w:tcPr>
          <w:p w14:paraId="5E249E03">
            <w:pPr>
              <w:snapToGrid w:val="0"/>
              <w:rPr>
                <w:rFonts w:ascii="宋体" w:hAnsi="宋体" w:cs="宋体"/>
                <w:color w:val="auto"/>
                <w:sz w:val="24"/>
                <w:highlight w:val="none"/>
              </w:rPr>
            </w:pPr>
            <w:r>
              <w:rPr>
                <w:rFonts w:hint="eastAsia" w:ascii="宋体" w:hAnsi="宋体" w:cs="宋体"/>
                <w:snapToGrid w:val="0"/>
                <w:color w:val="auto"/>
                <w:kern w:val="0"/>
                <w:sz w:val="24"/>
                <w:highlight w:val="none"/>
              </w:rPr>
              <w:t>节能产品：</w:t>
            </w:r>
            <w:r>
              <w:rPr>
                <w:rFonts w:hint="eastAsia" w:ascii="宋体" w:hAnsi="宋体" w:cs="宋体"/>
                <w:color w:val="auto"/>
                <w:sz w:val="24"/>
                <w:highlight w:val="none"/>
              </w:rPr>
              <w:t>□ 强制采购节能产品□ 优先采购节能产品</w:t>
            </w: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 不适用</w:t>
            </w:r>
          </w:p>
        </w:tc>
      </w:tr>
      <w:tr w14:paraId="440CC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1284798">
            <w:pPr>
              <w:snapToGrid w:val="0"/>
              <w:jc w:val="center"/>
              <w:rPr>
                <w:rFonts w:ascii="宋体" w:hAnsi="宋体" w:cs="宋体"/>
                <w:color w:val="auto"/>
                <w:sz w:val="24"/>
                <w:highlight w:val="none"/>
              </w:rPr>
            </w:pPr>
            <w:r>
              <w:rPr>
                <w:rFonts w:hint="eastAsia" w:ascii="宋体" w:hAnsi="宋体" w:cs="宋体"/>
                <w:color w:val="auto"/>
                <w:sz w:val="24"/>
                <w:highlight w:val="none"/>
              </w:rPr>
              <w:t>18</w:t>
            </w:r>
          </w:p>
        </w:tc>
        <w:tc>
          <w:tcPr>
            <w:tcW w:w="8750" w:type="dxa"/>
            <w:tcBorders>
              <w:top w:val="single" w:color="auto" w:sz="4" w:space="0"/>
              <w:left w:val="single" w:color="auto" w:sz="4" w:space="0"/>
              <w:bottom w:val="single" w:color="auto" w:sz="4" w:space="0"/>
              <w:right w:val="single" w:color="auto" w:sz="4" w:space="0"/>
            </w:tcBorders>
            <w:vAlign w:val="center"/>
          </w:tcPr>
          <w:p w14:paraId="4E26565A">
            <w:pPr>
              <w:pStyle w:val="189"/>
              <w:spacing w:before="156" w:after="156" w:line="240" w:lineRule="auto"/>
              <w:ind w:firstLine="0" w:firstLineChars="0"/>
              <w:rPr>
                <w:rFonts w:hint="default" w:hAnsi="宋体" w:eastAsia="宋体" w:cs="宋体"/>
                <w:b/>
                <w:bCs/>
                <w:color w:val="auto"/>
                <w:sz w:val="24"/>
                <w:highlight w:val="none"/>
              </w:rPr>
            </w:pPr>
            <w:r>
              <w:rPr>
                <w:rFonts w:hAnsi="宋体" w:eastAsia="宋体" w:cs="宋体"/>
                <w:snapToGrid w:val="0"/>
                <w:color w:val="auto"/>
                <w:kern w:val="0"/>
                <w:sz w:val="24"/>
                <w:szCs w:val="24"/>
                <w:highlight w:val="none"/>
              </w:rPr>
              <w:t>环境标志产品：</w:t>
            </w:r>
            <w:r>
              <w:rPr>
                <w:rFonts w:hint="eastAsia" w:hAnsi="宋体" w:eastAsia="宋体" w:cs="宋体"/>
                <w:color w:val="auto"/>
                <w:sz w:val="24"/>
                <w:highlight w:val="none"/>
                <w:lang w:eastAsia="zh-CN"/>
              </w:rPr>
              <w:t>☑</w:t>
            </w:r>
            <w:r>
              <w:rPr>
                <w:rFonts w:hAnsi="宋体" w:eastAsia="宋体" w:cs="宋体"/>
                <w:color w:val="auto"/>
                <w:sz w:val="24"/>
                <w:highlight w:val="none"/>
              </w:rPr>
              <w:t xml:space="preserve"> 优先采购环境标志产品</w:t>
            </w:r>
            <w:r>
              <w:rPr>
                <w:rFonts w:hAnsi="宋体" w:eastAsia="宋体" w:cs="宋体"/>
                <w:color w:val="auto"/>
                <w:sz w:val="24"/>
                <w:highlight w:val="none"/>
              </w:rPr>
              <w:sym w:font="Wingdings" w:char="00FE"/>
            </w:r>
            <w:r>
              <w:rPr>
                <w:rFonts w:hAnsi="宋体" w:eastAsia="宋体" w:cs="宋体"/>
                <w:color w:val="auto"/>
                <w:sz w:val="24"/>
                <w:highlight w:val="none"/>
              </w:rPr>
              <w:t xml:space="preserve"> 不适用</w:t>
            </w:r>
          </w:p>
        </w:tc>
      </w:tr>
      <w:tr w14:paraId="1BC06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39B35BA">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750" w:type="dxa"/>
            <w:tcBorders>
              <w:top w:val="single" w:color="auto" w:sz="4" w:space="0"/>
              <w:left w:val="single" w:color="auto" w:sz="4" w:space="0"/>
              <w:bottom w:val="single" w:color="auto" w:sz="4" w:space="0"/>
              <w:right w:val="single" w:color="auto" w:sz="4" w:space="0"/>
            </w:tcBorders>
            <w:vAlign w:val="center"/>
          </w:tcPr>
          <w:p w14:paraId="60DEBFF2">
            <w:pPr>
              <w:snapToGrid w:val="0"/>
              <w:jc w:val="left"/>
              <w:rPr>
                <w:rFonts w:ascii="宋体" w:hAnsi="宋体"/>
                <w:color w:val="auto"/>
                <w:sz w:val="24"/>
                <w:highlight w:val="none"/>
              </w:rPr>
            </w:pPr>
            <w:r>
              <w:rPr>
                <w:rFonts w:hint="eastAsia" w:ascii="宋体" w:hAnsi="宋体"/>
                <w:color w:val="auto"/>
                <w:sz w:val="24"/>
                <w:highlight w:val="none"/>
              </w:rPr>
              <w:t>政采贷：（1）本采购项目，中标单位与采购单位签订的政府采购合同适用于政府采购贷款政策，简称“政采贷”，具体内容详见附件《政府采购支持中小企业信用融资相关事项通知》。本项目中的预付款保函、履约保函也可通过政采云系统办理。</w:t>
            </w:r>
          </w:p>
          <w:p w14:paraId="592FCF79">
            <w:pPr>
              <w:snapToGrid w:val="0"/>
              <w:jc w:val="left"/>
              <w:rPr>
                <w:rFonts w:ascii="宋体" w:hAnsi="宋体"/>
                <w:color w:val="auto"/>
                <w:sz w:val="24"/>
                <w:highlight w:val="none"/>
              </w:rPr>
            </w:pPr>
            <w:r>
              <w:rPr>
                <w:rFonts w:hint="eastAsia" w:ascii="宋体" w:hAnsi="宋体"/>
                <w:color w:val="auto"/>
                <w:sz w:val="24"/>
                <w:highlight w:val="none"/>
              </w:rPr>
              <w:t>（2）为扩大政府采购金融服务面，除政采云网上金融服务合作银行外，东阳市范围内增加浙商银行金华分行东阳支行作为线下合作银行。</w:t>
            </w:r>
          </w:p>
          <w:p w14:paraId="6B85DC77">
            <w:pPr>
              <w:snapToGrid w:val="0"/>
              <w:jc w:val="left"/>
              <w:rPr>
                <w:rFonts w:ascii="宋体" w:hAnsi="宋体" w:cs="宋体"/>
                <w:color w:val="auto"/>
                <w:sz w:val="24"/>
                <w:highlight w:val="none"/>
              </w:rPr>
            </w:pPr>
            <w:r>
              <w:rPr>
                <w:rFonts w:hint="eastAsia" w:ascii="宋体" w:hAnsi="宋体"/>
                <w:color w:val="auto"/>
                <w:sz w:val="24"/>
                <w:highlight w:val="none"/>
              </w:rPr>
              <w:t>浙商银行金华东阳支行联系人：</w:t>
            </w:r>
            <w:r>
              <w:rPr>
                <w:rFonts w:hint="eastAsia" w:ascii="宋体" w:hAnsi="宋体" w:cs="宋体"/>
                <w:color w:val="auto"/>
                <w:sz w:val="24"/>
                <w:highlight w:val="none"/>
              </w:rPr>
              <w:t>许燕</w:t>
            </w:r>
          </w:p>
          <w:p w14:paraId="3845AF12">
            <w:pPr>
              <w:spacing w:line="360" w:lineRule="auto"/>
              <w:rPr>
                <w:rFonts w:ascii="宋体" w:hAnsi="宋体" w:cs="宋体"/>
                <w:b/>
                <w:bCs/>
                <w:color w:val="auto"/>
                <w:sz w:val="24"/>
                <w:highlight w:val="none"/>
              </w:rPr>
            </w:pPr>
            <w:r>
              <w:rPr>
                <w:rFonts w:hint="eastAsia" w:ascii="宋体" w:hAnsi="宋体" w:cs="宋体"/>
                <w:color w:val="auto"/>
                <w:sz w:val="24"/>
                <w:highlight w:val="none"/>
              </w:rPr>
              <w:t>联系电话：13967983441    0579-86222992。</w:t>
            </w:r>
          </w:p>
        </w:tc>
      </w:tr>
      <w:tr w14:paraId="5A9C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BBDDB1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750" w:type="dxa"/>
            <w:tcBorders>
              <w:top w:val="single" w:color="auto" w:sz="4" w:space="0"/>
              <w:left w:val="single" w:color="auto" w:sz="4" w:space="0"/>
              <w:bottom w:val="single" w:color="auto" w:sz="4" w:space="0"/>
              <w:right w:val="single" w:color="auto" w:sz="4" w:space="0"/>
            </w:tcBorders>
            <w:vAlign w:val="center"/>
          </w:tcPr>
          <w:p w14:paraId="463473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124F0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D87DAD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p>
        </w:tc>
        <w:tc>
          <w:tcPr>
            <w:tcW w:w="8750" w:type="dxa"/>
            <w:tcBorders>
              <w:top w:val="single" w:color="auto" w:sz="4" w:space="0"/>
              <w:left w:val="single" w:color="auto" w:sz="4" w:space="0"/>
              <w:bottom w:val="single" w:color="auto" w:sz="4" w:space="0"/>
              <w:right w:val="single" w:color="auto" w:sz="4" w:space="0"/>
            </w:tcBorders>
            <w:vAlign w:val="center"/>
          </w:tcPr>
          <w:p w14:paraId="66721821">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签订合同时间：发出《中标通知书》之日起20天内。</w:t>
            </w:r>
          </w:p>
        </w:tc>
      </w:tr>
      <w:tr w14:paraId="57558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D238B6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8750" w:type="dxa"/>
            <w:tcBorders>
              <w:top w:val="single" w:color="auto" w:sz="4" w:space="0"/>
              <w:left w:val="single" w:color="auto" w:sz="4" w:space="0"/>
              <w:bottom w:val="single" w:color="auto" w:sz="4" w:space="0"/>
              <w:right w:val="single" w:color="auto" w:sz="4" w:space="0"/>
            </w:tcBorders>
            <w:vAlign w:val="center"/>
          </w:tcPr>
          <w:p w14:paraId="12E46521">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解释：采购人和招标代理机构的任何工作人员对投标人所作的任何口头解释、介绍、答复，仅供投标人参考，不作为招标依据，对采购人、招标代理机构和投标人无任何约束力，一切以网上公告及书面形式为准。本招标文件的解释权属于招标采购单位。</w:t>
            </w:r>
          </w:p>
        </w:tc>
      </w:tr>
    </w:tbl>
    <w:p w14:paraId="0DCD8773">
      <w:pPr>
        <w:pStyle w:val="24"/>
        <w:numPr>
          <w:ilvl w:val="0"/>
          <w:numId w:val="3"/>
        </w:numPr>
        <w:rPr>
          <w:b/>
          <w:color w:val="auto"/>
          <w:highlight w:val="none"/>
        </w:rPr>
      </w:pPr>
      <w:bookmarkStart w:id="3" w:name="_Toc13398"/>
      <w:r>
        <w:rPr>
          <w:rFonts w:hint="eastAsia"/>
          <w:b/>
          <w:color w:val="auto"/>
          <w:highlight w:val="none"/>
        </w:rPr>
        <w:t xml:space="preserve"> 总则</w:t>
      </w:r>
      <w:bookmarkEnd w:id="3"/>
    </w:p>
    <w:p w14:paraId="11EF37F9">
      <w:pPr>
        <w:spacing w:line="440" w:lineRule="exact"/>
        <w:ind w:firstLine="482"/>
        <w:rPr>
          <w:rFonts w:ascii="宋体" w:hAnsi="宋体" w:cs="宋体"/>
          <w:b/>
          <w:color w:val="auto"/>
          <w:sz w:val="24"/>
          <w:highlight w:val="none"/>
        </w:rPr>
      </w:pPr>
      <w:bookmarkStart w:id="4" w:name="_Toc407182093"/>
      <w:r>
        <w:rPr>
          <w:rFonts w:hint="eastAsia" w:ascii="宋体" w:hAnsi="宋体" w:cs="宋体"/>
          <w:b/>
          <w:color w:val="auto"/>
          <w:sz w:val="24"/>
          <w:highlight w:val="none"/>
        </w:rPr>
        <w:t>（一） 适用范围</w:t>
      </w:r>
      <w:bookmarkEnd w:id="4"/>
    </w:p>
    <w:p w14:paraId="25474352">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东阳市南市街道办事处食堂劳务及物资配送服务项目</w:t>
      </w:r>
      <w:r>
        <w:rPr>
          <w:rFonts w:hint="eastAsia" w:ascii="宋体" w:hAnsi="宋体" w:cs="宋体"/>
          <w:color w:val="auto"/>
          <w:sz w:val="24"/>
          <w:highlight w:val="none"/>
        </w:rPr>
        <w:t>的招标、投标、评标、定标、验收、合同履约、付款等行为（法律、法规另有规定的，从其规定）。</w:t>
      </w:r>
    </w:p>
    <w:p w14:paraId="3EB1B35A">
      <w:pPr>
        <w:spacing w:line="440" w:lineRule="exact"/>
        <w:ind w:firstLine="482"/>
        <w:rPr>
          <w:rFonts w:ascii="宋体" w:hAnsi="宋体" w:cs="宋体"/>
          <w:b/>
          <w:color w:val="auto"/>
          <w:sz w:val="24"/>
          <w:highlight w:val="none"/>
        </w:rPr>
      </w:pPr>
      <w:bookmarkStart w:id="5" w:name="_Toc407182094"/>
      <w:r>
        <w:rPr>
          <w:rFonts w:hint="eastAsia" w:ascii="宋体" w:hAnsi="宋体" w:cs="宋体"/>
          <w:b/>
          <w:color w:val="auto"/>
          <w:sz w:val="24"/>
          <w:highlight w:val="none"/>
        </w:rPr>
        <w:t>（二）定义</w:t>
      </w:r>
      <w:bookmarkEnd w:id="5"/>
      <w:r>
        <w:rPr>
          <w:rFonts w:hint="eastAsia" w:ascii="宋体" w:hAnsi="宋体" w:cs="宋体"/>
          <w:b/>
          <w:color w:val="auto"/>
          <w:sz w:val="24"/>
          <w:highlight w:val="none"/>
        </w:rPr>
        <w:t>及采购项目需要落实的政府采购政策</w:t>
      </w:r>
    </w:p>
    <w:p w14:paraId="153A6DEC">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1.招标采购单位系指组织本次招标的金华正达工程造价咨询有限公司（“招标方”）和东阳市南市街道办事处（“采购人”）。</w:t>
      </w:r>
    </w:p>
    <w:p w14:paraId="32E182B2">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38C723B0">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3.“服务”系指招标文件规定投标人须承担的本项目所衍生的一切服务义务。 </w:t>
      </w:r>
    </w:p>
    <w:p w14:paraId="392D3871">
      <w:pPr>
        <w:spacing w:line="440" w:lineRule="exact"/>
        <w:rPr>
          <w:rFonts w:ascii="宋体" w:hAnsi="宋体" w:cs="宋体"/>
          <w:color w:val="auto"/>
          <w:sz w:val="24"/>
          <w:highlight w:val="none"/>
        </w:rPr>
      </w:pPr>
      <w:r>
        <w:rPr>
          <w:rFonts w:hint="eastAsia" w:ascii="宋体" w:hAnsi="宋体" w:cs="宋体"/>
          <w:color w:val="auto"/>
          <w:sz w:val="24"/>
          <w:highlight w:val="none"/>
        </w:rPr>
        <w:t>4.“项目”系指投标人按招标文件规定向采购人提供的成果和项目服务。</w:t>
      </w:r>
    </w:p>
    <w:p w14:paraId="5AA3AF40">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3D0E37EA">
      <w:pPr>
        <w:spacing w:line="440" w:lineRule="exact"/>
        <w:rPr>
          <w:rFonts w:ascii="宋体" w:hAnsi="宋体" w:cs="宋体"/>
          <w:color w:val="auto"/>
          <w:sz w:val="24"/>
          <w:highlight w:val="none"/>
        </w:rPr>
      </w:pPr>
      <w:r>
        <w:rPr>
          <w:rFonts w:hint="eastAsia" w:ascii="宋体" w:hAnsi="宋体" w:cs="宋体"/>
          <w:color w:val="auto"/>
          <w:sz w:val="24"/>
          <w:highlight w:val="none"/>
        </w:rPr>
        <w:t>6. “▲”系指实质性要求条款。“（√）” 系指适用本项目的要求，“（  ）”系指不适用本项目的要求。</w:t>
      </w:r>
    </w:p>
    <w:p w14:paraId="14E7E429">
      <w:pPr>
        <w:spacing w:line="440" w:lineRule="exact"/>
        <w:ind w:firstLine="482"/>
        <w:rPr>
          <w:rFonts w:ascii="宋体" w:hAnsi="宋体" w:cs="宋体"/>
          <w:b/>
          <w:color w:val="auto"/>
          <w:sz w:val="24"/>
          <w:highlight w:val="none"/>
        </w:rPr>
      </w:pPr>
      <w:r>
        <w:rPr>
          <w:rFonts w:hint="eastAsia" w:ascii="宋体" w:hAnsi="宋体" w:cs="宋体"/>
          <w:b/>
          <w:color w:val="auto"/>
          <w:sz w:val="24"/>
          <w:highlight w:val="none"/>
        </w:rPr>
        <w:t>（三）招标方式</w:t>
      </w:r>
    </w:p>
    <w:p w14:paraId="613C262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58F24ACA">
      <w:pPr>
        <w:spacing w:line="440" w:lineRule="exact"/>
        <w:ind w:firstLine="482"/>
        <w:rPr>
          <w:rFonts w:ascii="宋体" w:hAnsi="宋体" w:cs="宋体"/>
          <w:b/>
          <w:color w:val="auto"/>
          <w:sz w:val="24"/>
          <w:highlight w:val="none"/>
        </w:rPr>
      </w:pPr>
      <w:r>
        <w:rPr>
          <w:rFonts w:hint="eastAsia" w:ascii="宋体" w:hAnsi="宋体" w:cs="宋体"/>
          <w:b/>
          <w:color w:val="auto"/>
          <w:sz w:val="24"/>
          <w:highlight w:val="none"/>
        </w:rPr>
        <w:t>（四）投标委托</w:t>
      </w:r>
    </w:p>
    <w:p w14:paraId="23E106BC">
      <w:pPr>
        <w:snapToGrid w:val="0"/>
        <w:spacing w:line="360" w:lineRule="auto"/>
        <w:ind w:firstLine="480" w:firstLineChars="200"/>
        <w:rPr>
          <w:bCs/>
          <w:color w:val="auto"/>
          <w:highlight w:val="none"/>
        </w:rPr>
      </w:pPr>
      <w:r>
        <w:rPr>
          <w:rFonts w:hint="eastAsia" w:ascii="宋体" w:hAnsi="宋体" w:cs="宋体"/>
          <w:bCs/>
          <w:color w:val="auto"/>
          <w:sz w:val="24"/>
          <w:highlight w:val="none"/>
        </w:rPr>
        <w:t>本项目不要求投标人到开标现场开标，但投标人应派法定代表人或委托代理人【委托代理人应当是投标人的在职正式职工（</w:t>
      </w:r>
      <w:r>
        <w:rPr>
          <w:rFonts w:hint="eastAsia" w:ascii="宋体" w:hAnsi="宋体" w:cs="Arial"/>
          <w:bCs/>
          <w:color w:val="auto"/>
          <w:sz w:val="24"/>
          <w:highlight w:val="none"/>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Cs/>
          <w:color w:val="auto"/>
          <w:sz w:val="24"/>
          <w:highlight w:val="none"/>
        </w:rPr>
        <w:t>）】准时在线出席电子开标会议，随时关注开标进度，如在开标过程中有电子询标，应在规定的时间内对电子询标函进行澄清</w:t>
      </w:r>
      <w:r>
        <w:rPr>
          <w:rFonts w:hint="eastAsia" w:ascii="宋体" w:hAnsi="宋体" w:cs="Arial"/>
          <w:bCs/>
          <w:color w:val="auto"/>
          <w:sz w:val="24"/>
          <w:highlight w:val="none"/>
        </w:rPr>
        <w:t>、答复</w:t>
      </w:r>
      <w:r>
        <w:rPr>
          <w:rFonts w:hint="eastAsia" w:ascii="宋体" w:hAnsi="宋体" w:cs="宋体"/>
          <w:bCs/>
          <w:color w:val="auto"/>
          <w:sz w:val="24"/>
          <w:highlight w:val="none"/>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2C07F1C1">
      <w:pPr>
        <w:spacing w:line="440" w:lineRule="exact"/>
        <w:ind w:firstLine="480" w:firstLineChars="200"/>
        <w:rPr>
          <w:rFonts w:ascii="宋体" w:hAnsi="宋体" w:cs="宋体"/>
          <w:color w:val="auto"/>
          <w:sz w:val="24"/>
          <w:highlight w:val="none"/>
        </w:rPr>
      </w:pPr>
      <w:r>
        <w:rPr>
          <w:rFonts w:hint="eastAsia" w:ascii="宋体" w:hAnsi="宋体" w:cs="Arial"/>
          <w:bCs/>
          <w:color w:val="auto"/>
          <w:sz w:val="24"/>
          <w:highlight w:val="none"/>
        </w:rPr>
        <w:t>投标人未按招标文件要求派代表参加电子开标会议的，视同认可开标结果，不得对开标过程及开标结果提出质疑。</w:t>
      </w:r>
    </w:p>
    <w:p w14:paraId="4455C522">
      <w:pPr>
        <w:spacing w:line="440" w:lineRule="exact"/>
        <w:ind w:firstLine="482"/>
        <w:rPr>
          <w:rFonts w:ascii="宋体" w:hAnsi="宋体" w:cs="宋体"/>
          <w:b/>
          <w:color w:val="auto"/>
          <w:sz w:val="24"/>
          <w:highlight w:val="none"/>
        </w:rPr>
      </w:pPr>
      <w:r>
        <w:rPr>
          <w:rFonts w:hint="eastAsia" w:ascii="宋体" w:hAnsi="宋体" w:cs="宋体"/>
          <w:b/>
          <w:color w:val="auto"/>
          <w:sz w:val="24"/>
          <w:highlight w:val="none"/>
        </w:rPr>
        <w:t>（五）投标费用</w:t>
      </w:r>
    </w:p>
    <w:p w14:paraId="1D84D414">
      <w:pPr>
        <w:snapToGrid w:val="0"/>
        <w:spacing w:line="360" w:lineRule="auto"/>
        <w:ind w:firstLine="696" w:firstLineChars="300"/>
        <w:jc w:val="left"/>
        <w:rPr>
          <w:rFonts w:ascii="宋体" w:hAnsi="宋体" w:cs="宋体"/>
          <w:color w:val="auto"/>
          <w:spacing w:val="-4"/>
          <w:sz w:val="24"/>
          <w:highlight w:val="none"/>
        </w:rPr>
      </w:pPr>
      <w:r>
        <w:rPr>
          <w:rFonts w:hint="eastAsia" w:ascii="宋体" w:hAnsi="宋体" w:cs="宋体"/>
          <w:color w:val="auto"/>
          <w:spacing w:val="-4"/>
          <w:sz w:val="24"/>
          <w:highlight w:val="none"/>
        </w:rPr>
        <w:t>无论谈判过程和结果如何，谈判响应方自行承担与本次谈判有关的全部费用（招标文件有相关规定除外）。金华正达工程造价咨询有限公司根据预算金额按照中标服务费收费标准计收，中标单位须在领取中标通知书前向招标代理机构交纳中标服务费。</w:t>
      </w:r>
    </w:p>
    <w:p w14:paraId="43A75129">
      <w:pPr>
        <w:widowControl/>
        <w:spacing w:line="360" w:lineRule="auto"/>
        <w:jc w:val="center"/>
        <w:rPr>
          <w:rFonts w:ascii="宋体"/>
          <w:color w:val="auto"/>
          <w:kern w:val="0"/>
          <w:sz w:val="24"/>
          <w:highlight w:val="none"/>
        </w:rPr>
      </w:pPr>
      <w:r>
        <w:rPr>
          <w:rFonts w:hint="eastAsia" w:ascii="宋体" w:hAnsi="宋体"/>
          <w:b/>
          <w:bCs/>
          <w:color w:val="auto"/>
          <w:kern w:val="0"/>
          <w:sz w:val="24"/>
          <w:highlight w:val="none"/>
        </w:rPr>
        <w:t>招标代理服务收费标准</w:t>
      </w:r>
    </w:p>
    <w:tbl>
      <w:tblPr>
        <w:tblStyle w:val="45"/>
        <w:tblW w:w="5000" w:type="pct"/>
        <w:tblCellSpacing w:w="15" w:type="dxa"/>
        <w:tblInd w:w="0" w:type="dxa"/>
        <w:tblLayout w:type="autofit"/>
        <w:tblCellMar>
          <w:top w:w="15" w:type="dxa"/>
          <w:left w:w="15" w:type="dxa"/>
          <w:bottom w:w="15" w:type="dxa"/>
          <w:right w:w="15" w:type="dxa"/>
        </w:tblCellMar>
      </w:tblPr>
      <w:tblGrid>
        <w:gridCol w:w="5406"/>
        <w:gridCol w:w="4322"/>
      </w:tblGrid>
      <w:tr w14:paraId="53EFC75E">
        <w:trPr>
          <w:trHeight w:val="300" w:hRule="atLeast"/>
          <w:tblCellSpacing w:w="15" w:type="dxa"/>
        </w:trPr>
        <w:tc>
          <w:tcPr>
            <w:tcW w:w="2754" w:type="pct"/>
            <w:tcBorders>
              <w:top w:val="inset" w:color="000000" w:sz="6" w:space="0"/>
              <w:left w:val="inset" w:color="000000" w:sz="6" w:space="0"/>
              <w:bottom w:val="inset" w:color="000000" w:sz="6" w:space="0"/>
              <w:right w:val="inset" w:color="000000" w:sz="6" w:space="0"/>
            </w:tcBorders>
            <w:noWrap/>
            <w:tcMar>
              <w:top w:w="0" w:type="dxa"/>
              <w:left w:w="0" w:type="dxa"/>
              <w:bottom w:w="0" w:type="dxa"/>
              <w:right w:w="0" w:type="dxa"/>
            </w:tcMar>
            <w:vAlign w:val="center"/>
          </w:tcPr>
          <w:p w14:paraId="72E4F807">
            <w:pPr>
              <w:widowControl/>
              <w:spacing w:line="360" w:lineRule="auto"/>
              <w:ind w:firstLine="480" w:firstLineChars="200"/>
              <w:jc w:val="center"/>
              <w:rPr>
                <w:rFonts w:ascii="宋体"/>
                <w:color w:val="auto"/>
                <w:kern w:val="0"/>
                <w:sz w:val="24"/>
                <w:highlight w:val="none"/>
              </w:rPr>
            </w:pPr>
            <w:r>
              <w:rPr>
                <w:rFonts w:hint="eastAsia" w:ascii="宋体" w:hAnsi="宋体"/>
                <w:b/>
                <w:bCs/>
                <w:color w:val="auto"/>
                <w:kern w:val="0"/>
                <w:sz w:val="24"/>
                <w:highlight w:val="none"/>
              </w:rPr>
              <w:t>中标金额（万元）</w:t>
            </w:r>
          </w:p>
        </w:tc>
        <w:tc>
          <w:tcPr>
            <w:tcW w:w="2197" w:type="pct"/>
            <w:tcBorders>
              <w:top w:val="inset" w:color="000000" w:sz="6" w:space="0"/>
              <w:left w:val="single" w:color="auto" w:sz="0" w:space="0"/>
              <w:bottom w:val="inset" w:color="000000" w:sz="6" w:space="0"/>
              <w:right w:val="inset" w:color="000000" w:sz="6" w:space="0"/>
            </w:tcBorders>
            <w:noWrap/>
            <w:tcMar>
              <w:top w:w="0" w:type="dxa"/>
              <w:left w:w="0" w:type="dxa"/>
              <w:bottom w:w="0" w:type="dxa"/>
              <w:right w:w="0" w:type="dxa"/>
            </w:tcMar>
            <w:vAlign w:val="center"/>
          </w:tcPr>
          <w:p w14:paraId="18077DA5">
            <w:pPr>
              <w:widowControl/>
              <w:spacing w:line="360" w:lineRule="auto"/>
              <w:ind w:firstLine="482"/>
              <w:jc w:val="center"/>
              <w:rPr>
                <w:rFonts w:ascii="宋体"/>
                <w:color w:val="auto"/>
                <w:kern w:val="0"/>
                <w:sz w:val="24"/>
                <w:highlight w:val="none"/>
              </w:rPr>
            </w:pPr>
            <w:r>
              <w:rPr>
                <w:rFonts w:hint="eastAsia" w:ascii="宋体" w:hAnsi="宋体"/>
                <w:b/>
                <w:bCs/>
                <w:color w:val="auto"/>
                <w:kern w:val="0"/>
                <w:sz w:val="24"/>
                <w:highlight w:val="none"/>
              </w:rPr>
              <w:t>服务招标</w:t>
            </w:r>
          </w:p>
        </w:tc>
      </w:tr>
      <w:tr w14:paraId="3B2A1728">
        <w:tblPrEx>
          <w:tblCellMar>
            <w:top w:w="15" w:type="dxa"/>
            <w:left w:w="15" w:type="dxa"/>
            <w:bottom w:w="15" w:type="dxa"/>
            <w:right w:w="15" w:type="dxa"/>
          </w:tblCellMar>
        </w:tblPrEx>
        <w:trPr>
          <w:trHeight w:val="210" w:hRule="atLeast"/>
          <w:tblCellSpacing w:w="15" w:type="dxa"/>
        </w:trPr>
        <w:tc>
          <w:tcPr>
            <w:tcW w:w="2754" w:type="pct"/>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14:paraId="418F5B9B">
            <w:pPr>
              <w:widowControl/>
              <w:spacing w:line="360" w:lineRule="auto"/>
              <w:jc w:val="center"/>
              <w:rPr>
                <w:rFonts w:ascii="宋体"/>
                <w:color w:val="auto"/>
                <w:kern w:val="0"/>
                <w:sz w:val="24"/>
                <w:highlight w:val="none"/>
              </w:rPr>
            </w:pPr>
            <w:r>
              <w:rPr>
                <w:rFonts w:ascii="宋体" w:hAnsi="宋体"/>
                <w:color w:val="auto"/>
                <w:kern w:val="0"/>
                <w:sz w:val="24"/>
                <w:highlight w:val="none"/>
              </w:rPr>
              <w:t>100</w:t>
            </w:r>
            <w:r>
              <w:rPr>
                <w:rFonts w:hint="eastAsia" w:ascii="宋体" w:hAnsi="宋体"/>
                <w:color w:val="auto"/>
                <w:kern w:val="0"/>
                <w:sz w:val="24"/>
                <w:highlight w:val="none"/>
              </w:rPr>
              <w:t>以下</w:t>
            </w:r>
          </w:p>
        </w:tc>
        <w:tc>
          <w:tcPr>
            <w:tcW w:w="2197"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7AF2223D">
            <w:pPr>
              <w:widowControl/>
              <w:spacing w:line="360" w:lineRule="auto"/>
              <w:jc w:val="center"/>
              <w:rPr>
                <w:rFonts w:ascii="宋体"/>
                <w:color w:val="auto"/>
                <w:kern w:val="0"/>
                <w:sz w:val="24"/>
                <w:highlight w:val="none"/>
              </w:rPr>
            </w:pPr>
            <w:r>
              <w:rPr>
                <w:rFonts w:ascii="宋体" w:hAnsi="宋体"/>
                <w:color w:val="auto"/>
                <w:kern w:val="0"/>
                <w:sz w:val="24"/>
                <w:highlight w:val="none"/>
              </w:rPr>
              <w:t>1.5</w:t>
            </w:r>
            <w:r>
              <w:rPr>
                <w:rFonts w:hint="eastAsia" w:ascii="宋体" w:hAnsi="宋体"/>
                <w:color w:val="auto"/>
                <w:kern w:val="0"/>
                <w:sz w:val="24"/>
                <w:highlight w:val="none"/>
              </w:rPr>
              <w:t>％</w:t>
            </w:r>
          </w:p>
        </w:tc>
      </w:tr>
      <w:tr w14:paraId="6F7BEC28">
        <w:tblPrEx>
          <w:tblCellMar>
            <w:top w:w="15" w:type="dxa"/>
            <w:left w:w="15" w:type="dxa"/>
            <w:bottom w:w="15" w:type="dxa"/>
            <w:right w:w="15" w:type="dxa"/>
          </w:tblCellMar>
        </w:tblPrEx>
        <w:trPr>
          <w:trHeight w:val="210" w:hRule="atLeast"/>
          <w:tblCellSpacing w:w="15" w:type="dxa"/>
        </w:trPr>
        <w:tc>
          <w:tcPr>
            <w:tcW w:w="2754" w:type="pct"/>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14:paraId="6FC0139D">
            <w:pPr>
              <w:widowControl/>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100-500</w:t>
            </w:r>
          </w:p>
        </w:tc>
        <w:tc>
          <w:tcPr>
            <w:tcW w:w="2197"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5D515AE4">
            <w:pPr>
              <w:widowControl/>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0.8%</w:t>
            </w:r>
          </w:p>
        </w:tc>
      </w:tr>
    </w:tbl>
    <w:p w14:paraId="0987616F">
      <w:pPr>
        <w:pStyle w:val="24"/>
        <w:rPr>
          <w:color w:val="auto"/>
          <w:highlight w:val="none"/>
        </w:rPr>
      </w:pPr>
      <w:r>
        <w:rPr>
          <w:rFonts w:hint="eastAsia"/>
          <w:color w:val="auto"/>
          <w:highlight w:val="none"/>
        </w:rPr>
        <w:t>金华正达工程造价咨询有限公司东阳分公司</w:t>
      </w:r>
    </w:p>
    <w:p w14:paraId="29747EEA">
      <w:pPr>
        <w:pStyle w:val="24"/>
        <w:rPr>
          <w:color w:val="auto"/>
          <w:highlight w:val="none"/>
        </w:rPr>
      </w:pPr>
      <w:r>
        <w:rPr>
          <w:rFonts w:hint="eastAsia"/>
          <w:color w:val="auto"/>
          <w:highlight w:val="none"/>
        </w:rPr>
        <w:t>银行账号：201000270851026</w:t>
      </w:r>
    </w:p>
    <w:p w14:paraId="13785FE8">
      <w:pPr>
        <w:pStyle w:val="24"/>
        <w:rPr>
          <w:color w:val="auto"/>
          <w:highlight w:val="none"/>
        </w:rPr>
      </w:pPr>
      <w:r>
        <w:rPr>
          <w:rFonts w:hint="eastAsia"/>
          <w:color w:val="auto"/>
          <w:highlight w:val="none"/>
        </w:rPr>
        <w:t>开户银行：浙江农村商业银行股份有限公司东阳吴宁支行</w:t>
      </w:r>
    </w:p>
    <w:p w14:paraId="4929B9F6">
      <w:pPr>
        <w:spacing w:line="440" w:lineRule="exact"/>
        <w:ind w:firstLine="482"/>
        <w:rPr>
          <w:rFonts w:ascii="宋体" w:hAnsi="宋体" w:cs="宋体"/>
          <w:color w:val="auto"/>
          <w:sz w:val="24"/>
          <w:highlight w:val="none"/>
        </w:rPr>
      </w:pPr>
      <w:r>
        <w:rPr>
          <w:rFonts w:hint="eastAsia" w:ascii="宋体" w:hAnsi="宋体" w:cs="宋体"/>
          <w:b/>
          <w:color w:val="auto"/>
          <w:sz w:val="24"/>
          <w:highlight w:val="none"/>
        </w:rPr>
        <w:t>（六）联合体投标</w:t>
      </w:r>
      <w:r>
        <w:rPr>
          <w:rFonts w:hint="eastAsia" w:ascii="宋体" w:hAnsi="宋体" w:cs="宋体"/>
          <w:b/>
          <w:color w:val="auto"/>
          <w:sz w:val="24"/>
          <w:highlight w:val="none"/>
        </w:rPr>
        <w:tab/>
      </w:r>
    </w:p>
    <w:p w14:paraId="2CE490E3">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本项目接受联合体投标。</w:t>
      </w:r>
    </w:p>
    <w:p w14:paraId="70DC5229">
      <w:pPr>
        <w:spacing w:line="440" w:lineRule="exact"/>
        <w:ind w:firstLine="482"/>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0E4160D5">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2213BCD6">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576854D2">
      <w:pPr>
        <w:spacing w:line="440" w:lineRule="exact"/>
        <w:ind w:firstLine="482"/>
        <w:rPr>
          <w:rFonts w:ascii="宋体" w:hAnsi="宋体" w:cs="宋体"/>
          <w:b/>
          <w:bCs/>
          <w:color w:val="auto"/>
          <w:sz w:val="24"/>
          <w:highlight w:val="none"/>
        </w:rPr>
      </w:pPr>
      <w:r>
        <w:rPr>
          <w:rFonts w:hint="eastAsia" w:ascii="宋体" w:hAnsi="宋体" w:cs="宋体"/>
          <w:b/>
          <w:bCs/>
          <w:color w:val="auto"/>
          <w:sz w:val="24"/>
          <w:highlight w:val="none"/>
        </w:rPr>
        <w:t>（八）特别说明：</w:t>
      </w:r>
    </w:p>
    <w:p w14:paraId="15E499CE">
      <w:pPr>
        <w:snapToGrid w:val="0"/>
        <w:spacing w:line="360" w:lineRule="auto"/>
        <w:ind w:firstLine="540" w:firstLineChars="225"/>
        <w:jc w:val="left"/>
        <w:rPr>
          <w:rFonts w:ascii="宋体" w:hAnsi="宋体" w:cs="宋体"/>
          <w:color w:val="auto"/>
          <w:sz w:val="24"/>
          <w:highlight w:val="none"/>
        </w:rPr>
      </w:pPr>
      <w:r>
        <w:rPr>
          <w:rFonts w:hint="eastAsia" w:ascii="宋体" w:hAnsi="宋体" w:cs="宋体"/>
          <w:color w:val="auto"/>
          <w:sz w:val="24"/>
          <w:highlight w:val="none"/>
        </w:rPr>
        <w:t>▲1.多家投标人参加投标，如其中两家或两家以上投标人的法定代表人为同一人或相互之间存在投资关系且达到控股的，同时提供的是同一品牌产品的，应当按一个投标人认定。</w:t>
      </w:r>
    </w:p>
    <w:p w14:paraId="27D953D8">
      <w:pPr>
        <w:snapToGrid w:val="0"/>
        <w:spacing w:line="360" w:lineRule="auto"/>
        <w:ind w:firstLine="780" w:firstLineChars="325"/>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2.投标人投标所使用的资格、信誉、荣誉、业绩与企业认证必须为本法人所拥有。</w:t>
      </w:r>
    </w:p>
    <w:p w14:paraId="4F109B75">
      <w:pPr>
        <w:snapToGrid w:val="0"/>
        <w:spacing w:line="360" w:lineRule="auto"/>
        <w:ind w:firstLine="540" w:firstLineChars="225"/>
        <w:jc w:val="left"/>
        <w:rPr>
          <w:rFonts w:ascii="宋体" w:hAnsi="宋体" w:cs="宋体"/>
          <w:color w:val="auto"/>
          <w:sz w:val="24"/>
          <w:highlight w:val="none"/>
        </w:rPr>
      </w:pPr>
      <w:r>
        <w:rPr>
          <w:rFonts w:hint="eastAsia" w:ascii="宋体" w:hAnsi="宋体" w:cs="宋体"/>
          <w:color w:val="auto"/>
          <w:sz w:val="24"/>
          <w:highlight w:val="none"/>
        </w:rPr>
        <w:t>▲3.投标人投标所使用的采购项目实施人员必须为本法人（或必须为本法人或控股公司正式员工）。</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▲4.投标人应仔细阅读招标文件的所有内容，按照招标文件的要求提交投标文件，并对所提供的全部资料的真实性承担法律责任。</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▲7.招标方不保证最低报价者为中标方。</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▲8.为维护国家利益及招标方自身利益，允许招标方在合同签订之前仍有选择或拒绝任何或全部投标的权力。</w:t>
      </w:r>
    </w:p>
    <w:p w14:paraId="1A79B7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▲9.“政采云”平台运营机构，以及与该机构有直接控股或者管理关系可能影响采购公正性的任何单位和个人，不得在该平台进行的政府采购项目电子交易中投标、响应政府采购项目。</w:t>
      </w:r>
    </w:p>
    <w:p w14:paraId="3E4ECBBE">
      <w:pPr>
        <w:spacing w:line="440" w:lineRule="exact"/>
        <w:ind w:firstLine="482"/>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10B8C953">
      <w:pPr>
        <w:spacing w:line="440" w:lineRule="exact"/>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2E3881A7">
      <w:pPr>
        <w:spacing w:line="440" w:lineRule="exact"/>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9603AC8">
      <w:pPr>
        <w:spacing w:line="440" w:lineRule="exact"/>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采购人、招标方应当按照《浙江省政府采购供应商质疑处理办法》、中华人民共和国财政部第94号令《政府采购质疑和投诉办法》进行受理与答复质疑。</w:t>
      </w:r>
    </w:p>
    <w:p w14:paraId="52BE2C98">
      <w:pPr>
        <w:spacing w:line="440" w:lineRule="exact"/>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（十）政府采购政策落实</w:t>
      </w:r>
    </w:p>
    <w:p w14:paraId="1154DAE9">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.采购项目需要落实的政府采购政策</w:t>
      </w:r>
    </w:p>
    <w:p w14:paraId="1AAA617C">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DE5A1B6">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 支持绿色发展</w:t>
      </w:r>
    </w:p>
    <w:p w14:paraId="3A574D7F">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370B9BD">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CFB8A02">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.3支持中小企业发展</w:t>
      </w:r>
    </w:p>
    <w:p w14:paraId="7A0A705D">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B0D2F15">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bidi="ar"/>
        </w:rPr>
        <w:t>符合中小企业划分标准的个体工商户，在政府采购活动中视同中小企业。</w:t>
      </w:r>
    </w:p>
    <w:p w14:paraId="67BECC53">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.3.2在政府采购活动中，供应商提供的货物、工程或者服务符合下列情形的，享受中小企业扶持政策：</w:t>
      </w:r>
    </w:p>
    <w:p w14:paraId="2967CF54">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.3.2.1在货物采购项目中，货物由中小企业制造，即货物由中小企业生产且使用该中小企业商号或者注册商标；</w:t>
      </w:r>
    </w:p>
    <w:p w14:paraId="3C5E9847">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.3.2.2在工程采购项目中，工程由中小企业承建，即工程施工单位为中小企业；</w:t>
      </w:r>
    </w:p>
    <w:p w14:paraId="00E0ECD2">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.3.2.3在服务采购项目中，服务由中小企业承接，即提供服务的人员为中小企业依照《中华人民共和国劳动合同法》订立劳动合同的从业人员。</w:t>
      </w:r>
    </w:p>
    <w:p w14:paraId="0FB35D35">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bidi="ar"/>
        </w:rPr>
        <w:t>在货物采购项目中，供应商提供的货物既有中小企业制造货物，也有大型企业制造货物的，不享受中小企业扶持政策。</w:t>
      </w:r>
    </w:p>
    <w:p w14:paraId="7716258A">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bidi="ar"/>
        </w:rPr>
        <w:t>以联合体形式参加政府采购活动，联合体各方均为中小企业的，联合体视同中小企业。其中，联合体各方均为小微企业的，联合体视同小微企业。</w:t>
      </w:r>
    </w:p>
    <w:p w14:paraId="45C5732C">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81F2CD7">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.3.4符合《关于促进残疾人就业政府采购政策的通知》（财库〔2017〕141号）规定的条件并提供《残疾人福利性单位声明函》的残疾人福利性单位视同小型、微型企业；</w:t>
      </w:r>
    </w:p>
    <w:p w14:paraId="286F486A">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AFFF90">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5EB77ED">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.3.7中小企业享受扶持政策获得政府采购合同的，小微企业不得将合同分包给大中型企业，中型企业不得将合同分包给大型企业。</w:t>
      </w:r>
    </w:p>
    <w:p w14:paraId="2B045E8E">
      <w:pPr>
        <w:rPr>
          <w:rFonts w:hint="default" w:eastAsia="宋体"/>
          <w:color w:val="auto"/>
          <w:highlight w:val="none"/>
          <w:lang w:val="en-US" w:eastAsia="zh-CN"/>
        </w:rPr>
      </w:pPr>
      <w:r>
        <w:rPr>
          <w:rFonts w:hint="eastAsia" w:cs="宋体"/>
          <w:color w:val="auto"/>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1.3.8政采云扶贫系统要求采购的份额，按相关文件执行</w:t>
      </w:r>
      <w:r>
        <w:rPr>
          <w:rFonts w:hint="eastAsia" w:ascii="宋体" w:hAnsi="宋体" w:cs="宋体"/>
          <w:color w:val="auto"/>
          <w:kern w:val="0"/>
          <w:sz w:val="24"/>
          <w:szCs w:val="24"/>
          <w:highlight w:val="none"/>
          <w:lang w:val="en-US" w:eastAsia="zh-CN" w:bidi="ar"/>
        </w:rPr>
        <w:t>。</w:t>
      </w:r>
    </w:p>
    <w:p w14:paraId="3C3A840D">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.4支持创新发展</w:t>
      </w:r>
    </w:p>
    <w:p w14:paraId="000A6004">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.4.1 采购人优先采购被认定为首台套产品和“制造精品”的自主创新产品。</w:t>
      </w:r>
    </w:p>
    <w:p w14:paraId="7CA45B3B">
      <w:pPr>
        <w:pStyle w:val="39"/>
        <w:adjustRightInd w:val="0"/>
        <w:snapToGrid w:val="0"/>
        <w:spacing w:beforeAutospacing="0" w:afterAutospacing="0" w:line="360" w:lineRule="auto"/>
        <w:ind w:firstLine="480" w:firstLineChars="200"/>
        <w:rPr>
          <w:rFonts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E6F9644">
      <w:pPr>
        <w:pStyle w:val="39"/>
        <w:adjustRightInd w:val="0"/>
        <w:snapToGrid w:val="0"/>
        <w:spacing w:beforeAutospacing="0" w:afterAutospacing="0" w:line="360" w:lineRule="auto"/>
        <w:ind w:firstLine="480" w:firstLineChars="200"/>
        <w:rPr>
          <w:color w:val="auto"/>
          <w:highlight w:val="none"/>
        </w:rPr>
      </w:pPr>
      <w:r>
        <w:rPr>
          <w:rFonts w:hint="eastAsia" w:cs="宋体"/>
          <w:color w:val="auto"/>
          <w:highlight w:val="none"/>
          <w:lang w:val="en" w:bidi="ar"/>
        </w:rPr>
        <w:t>1</w:t>
      </w:r>
      <w:r>
        <w:rPr>
          <w:rFonts w:hint="eastAsia" w:cs="宋体"/>
          <w:color w:val="auto"/>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68DC965">
      <w:pPr>
        <w:pStyle w:val="2"/>
        <w:ind w:firstLine="480"/>
        <w:rPr>
          <w:color w:val="auto"/>
          <w:highlight w:val="none"/>
        </w:rPr>
      </w:pPr>
    </w:p>
    <w:p w14:paraId="0E816DEC">
      <w:pPr>
        <w:pStyle w:val="5"/>
        <w:keepNext w:val="0"/>
        <w:keepLines w:val="0"/>
        <w:pageBreakBefore/>
        <w:spacing w:line="360" w:lineRule="auto"/>
        <w:ind w:firstLine="482"/>
        <w:jc w:val="center"/>
        <w:rPr>
          <w:rFonts w:ascii="宋体" w:hAnsi="宋体" w:eastAsia="宋体" w:cs="宋体"/>
          <w:color w:val="auto"/>
          <w:sz w:val="24"/>
          <w:szCs w:val="24"/>
          <w:highlight w:val="none"/>
        </w:rPr>
      </w:pPr>
      <w:bookmarkStart w:id="6" w:name="_Toc458697268"/>
      <w:bookmarkStart w:id="7" w:name="_Toc17916"/>
      <w:bookmarkStart w:id="8" w:name="_Toc454196066"/>
      <w:r>
        <w:rPr>
          <w:rFonts w:hint="eastAsia" w:ascii="宋体" w:hAnsi="宋体" w:eastAsia="宋体" w:cs="宋体"/>
          <w:color w:val="auto"/>
          <w:sz w:val="24"/>
          <w:szCs w:val="24"/>
          <w:highlight w:val="none"/>
        </w:rPr>
        <w:t>二、招标文件</w:t>
      </w:r>
      <w:bookmarkEnd w:id="6"/>
      <w:bookmarkEnd w:id="7"/>
      <w:bookmarkEnd w:id="8"/>
    </w:p>
    <w:p w14:paraId="2EC5598F">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31647E44">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3348224E">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5E6C4DD4">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6771604D">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1247E37A">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45DF429D">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0842B7A3">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25572231">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（二）投标人的风险</w:t>
      </w:r>
    </w:p>
    <w:p w14:paraId="25AA1C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169EAC65">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55AA3065">
      <w:pPr>
        <w:pStyle w:val="24"/>
        <w:spacing w:line="360" w:lineRule="auto"/>
        <w:rPr>
          <w:color w:val="auto"/>
          <w:highlight w:val="none"/>
        </w:rPr>
      </w:pPr>
      <w:r>
        <w:rPr>
          <w:color w:val="auto"/>
          <w:highlight w:val="none"/>
        </w:rPr>
        <w:t>1.</w:t>
      </w:r>
      <w:r>
        <w:rPr>
          <w:rFonts w:hint="eastAsia"/>
          <w:bCs/>
          <w:color w:val="auto"/>
          <w:highlight w:val="none"/>
        </w:rPr>
        <w:t>投标人应认真阅读本招标文件，发现其中有误或有不合理要求的，投标人必须在</w:t>
      </w:r>
      <w:r>
        <w:rPr>
          <w:rFonts w:hint="eastAsia"/>
          <w:b/>
          <w:bCs/>
          <w:color w:val="auto"/>
          <w:highlight w:val="none"/>
          <w:u w:val="single"/>
          <w:shd w:val="clear" w:color="auto" w:fill="FFFFFF"/>
        </w:rPr>
        <w:t>质疑期限届满之日</w:t>
      </w:r>
      <w:r>
        <w:rPr>
          <w:rFonts w:hint="eastAsia"/>
          <w:bCs/>
          <w:color w:val="auto"/>
          <w:highlight w:val="none"/>
        </w:rPr>
        <w:t>前以书面形式要求招标采购单位澄清</w:t>
      </w:r>
      <w:r>
        <w:rPr>
          <w:rFonts w:hint="eastAsia"/>
          <w:color w:val="auto"/>
          <w:highlight w:val="none"/>
        </w:rPr>
        <w:t>。招标方对已发出的招标文件进行必要澄清、答复、修改或补充的，将在招标文件要求提交投标文件截止时间五日前，在财政部门指定的政府采购信息发布媒体上以书面形式发布更正公告，不另作通知。</w:t>
      </w:r>
    </w:p>
    <w:p w14:paraId="075AA1C3">
      <w:pPr>
        <w:pStyle w:val="24"/>
        <w:spacing w:line="360" w:lineRule="auto"/>
        <w:rPr>
          <w:color w:val="auto"/>
          <w:highlight w:val="none"/>
        </w:rPr>
      </w:pPr>
      <w:r>
        <w:rPr>
          <w:color w:val="auto"/>
          <w:highlight w:val="none"/>
        </w:rPr>
        <w:t>2.</w:t>
      </w:r>
      <w:r>
        <w:rPr>
          <w:rFonts w:hint="eastAsia"/>
          <w:color w:val="auto"/>
          <w:highlight w:val="none"/>
        </w:rPr>
        <w:t>招标方必须以书面形式答复投标人要求澄清的问题，并将不包含问题来源的答复书面通知所有购买招标文件的投标人，除书面答复以外的其他澄清方式及澄清内容均无效。</w:t>
      </w:r>
    </w:p>
    <w:p w14:paraId="34B76A15">
      <w:pPr>
        <w:pStyle w:val="24"/>
        <w:spacing w:line="360" w:lineRule="auto"/>
        <w:rPr>
          <w:color w:val="auto"/>
          <w:highlight w:val="none"/>
        </w:rPr>
      </w:pPr>
      <w:r>
        <w:rPr>
          <w:color w:val="auto"/>
          <w:highlight w:val="none"/>
        </w:rPr>
        <w:t>3.</w:t>
      </w:r>
      <w:r>
        <w:rPr>
          <w:rFonts w:hint="eastAsia"/>
          <w:color w:val="auto"/>
          <w:highlight w:val="none"/>
        </w:rPr>
        <w:t>招标文件澄清、答复、修改、补充的内容为招标文件的组成部分。当招标文件与招标文件的答复、澄清、修改、补充通知就同一内容的表述不一致时，以最后发出的书面文件为准。</w:t>
      </w:r>
    </w:p>
    <w:p w14:paraId="71624DD7">
      <w:pPr>
        <w:pStyle w:val="24"/>
        <w:spacing w:line="360" w:lineRule="auto"/>
        <w:rPr>
          <w:color w:val="auto"/>
          <w:highlight w:val="none"/>
        </w:rPr>
      </w:pPr>
      <w:r>
        <w:rPr>
          <w:color w:val="auto"/>
          <w:highlight w:val="none"/>
        </w:rPr>
        <w:t>4.</w:t>
      </w:r>
      <w:r>
        <w:rPr>
          <w:rFonts w:hint="eastAsia"/>
          <w:color w:val="auto"/>
          <w:highlight w:val="none"/>
        </w:rPr>
        <w:t>招标文件的澄清、答复、修改或补充都应该通过本招标机构以法定形式发布，采购人非通过本机构，不得擅自澄清、答复、修改或补充招标文件。</w:t>
      </w:r>
    </w:p>
    <w:p w14:paraId="6D355DF9">
      <w:pPr>
        <w:pStyle w:val="24"/>
        <w:spacing w:line="360" w:lineRule="auto"/>
        <w:rPr>
          <w:color w:val="auto"/>
          <w:highlight w:val="none"/>
        </w:rPr>
      </w:pPr>
      <w:r>
        <w:rPr>
          <w:rFonts w:hint="eastAsia"/>
          <w:color w:val="auto"/>
          <w:highlight w:val="none"/>
        </w:rPr>
        <w:t>5. 采购人和招标代理机构的任何工作人员对投标人所作的任何口头解释、介绍、答复，仅供投标人参考，不作为招标依据，对采购人、招标代理机构和投标人无任何约束力，一切以网上公告及书面形式为准。</w:t>
      </w:r>
    </w:p>
    <w:p w14:paraId="781C774B">
      <w:pPr>
        <w:spacing w:line="360" w:lineRule="auto"/>
        <w:rPr>
          <w:rFonts w:ascii="宋体" w:hAnsi="宋体" w:cs="宋体"/>
          <w:color w:val="auto"/>
          <w:sz w:val="24"/>
          <w:highlight w:val="none"/>
        </w:rPr>
      </w:pPr>
    </w:p>
    <w:p w14:paraId="7BABF6A1">
      <w:pPr>
        <w:pStyle w:val="5"/>
        <w:keepNext w:val="0"/>
        <w:keepLines w:val="0"/>
        <w:pageBreakBefore/>
        <w:spacing w:line="360" w:lineRule="auto"/>
        <w:ind w:firstLine="482"/>
        <w:jc w:val="center"/>
        <w:rPr>
          <w:rFonts w:ascii="宋体" w:hAnsi="宋体" w:eastAsia="宋体" w:cs="宋体"/>
          <w:color w:val="auto"/>
          <w:sz w:val="24"/>
          <w:szCs w:val="24"/>
          <w:highlight w:val="none"/>
        </w:rPr>
      </w:pPr>
      <w:bookmarkStart w:id="9" w:name="_Toc27820"/>
      <w:bookmarkStart w:id="10" w:name="_Toc454196067"/>
      <w:bookmarkStart w:id="11" w:name="_Toc458697269"/>
      <w:r>
        <w:rPr>
          <w:rFonts w:hint="eastAsia" w:ascii="宋体" w:hAnsi="宋体" w:eastAsia="宋体" w:cs="宋体"/>
          <w:color w:val="auto"/>
          <w:sz w:val="24"/>
          <w:szCs w:val="24"/>
          <w:highlight w:val="none"/>
        </w:rPr>
        <w:t>三、投标文件的编制</w:t>
      </w:r>
      <w:bookmarkEnd w:id="9"/>
      <w:bookmarkEnd w:id="10"/>
      <w:bookmarkEnd w:id="11"/>
    </w:p>
    <w:p w14:paraId="4894E9BF">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（一）投标文件的组成</w:t>
      </w:r>
    </w:p>
    <w:p w14:paraId="7BCA9887">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551F7A67">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1.资格审查文件：</w:t>
      </w:r>
    </w:p>
    <w:p w14:paraId="7C11568D">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olor w:val="auto"/>
          <w:sz w:val="24"/>
          <w:highlight w:val="none"/>
        </w:rPr>
        <w:t>营业执照复印件；</w:t>
      </w:r>
    </w:p>
    <w:p w14:paraId="4D1F0EC3">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3B472BB7">
      <w:pPr>
        <w:spacing w:line="360" w:lineRule="auto"/>
        <w:rPr>
          <w:rFonts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w:t>
      </w:r>
    </w:p>
    <w:p w14:paraId="0214A380">
      <w:pPr>
        <w:spacing w:line="360" w:lineRule="auto"/>
        <w:rPr>
          <w:rFonts w:ascii="宋体" w:hAnsi="宋体" w:cs="宋体"/>
          <w:color w:val="auto"/>
          <w:sz w:val="24"/>
          <w:highlight w:val="none"/>
        </w:rPr>
      </w:pPr>
      <w:r>
        <w:rPr>
          <w:rFonts w:hint="eastAsia" w:ascii="宋体" w:hAnsi="宋体" w:cs="宋体"/>
          <w:color w:val="auto"/>
          <w:sz w:val="24"/>
          <w:highlight w:val="none"/>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B3229C">
      <w:pPr>
        <w:spacing w:line="360" w:lineRule="auto"/>
        <w:rPr>
          <w:rFonts w:ascii="宋体" w:hAnsi="宋体" w:cs="宋体"/>
          <w:color w:val="auto"/>
          <w:sz w:val="24"/>
          <w:highlight w:val="none"/>
        </w:rPr>
      </w:pPr>
      <w:r>
        <w:rPr>
          <w:rFonts w:hint="eastAsia" w:ascii="宋体" w:hAnsi="宋体" w:cs="宋体"/>
          <w:color w:val="auto"/>
          <w:sz w:val="24"/>
          <w:highlight w:val="none"/>
        </w:rPr>
        <w:t>（5）本项目招标公告的特定资格要求；</w:t>
      </w:r>
    </w:p>
    <w:p w14:paraId="4138D40E">
      <w:pPr>
        <w:spacing w:line="360" w:lineRule="auto"/>
        <w:rPr>
          <w:rFonts w:ascii="宋体" w:hAnsi="宋体" w:cs="宋体"/>
          <w:color w:val="auto"/>
          <w:sz w:val="24"/>
          <w:highlight w:val="none"/>
        </w:rPr>
      </w:pPr>
      <w:r>
        <w:rPr>
          <w:rFonts w:hint="eastAsia" w:ascii="宋体" w:hAnsi="宋体" w:cs="宋体"/>
          <w:color w:val="auto"/>
          <w:sz w:val="24"/>
          <w:highlight w:val="none"/>
        </w:rPr>
        <w:t>（6）东阳市政府采购代理机构社会评价表（格式见附件）；</w:t>
      </w:r>
    </w:p>
    <w:p w14:paraId="1C358C7F">
      <w:pPr>
        <w:spacing w:line="360" w:lineRule="auto"/>
        <w:rPr>
          <w:rFonts w:ascii="宋体" w:hAnsi="宋体" w:cs="宋体"/>
          <w:color w:val="auto"/>
          <w:sz w:val="24"/>
          <w:highlight w:val="none"/>
        </w:rPr>
      </w:pPr>
      <w:r>
        <w:rPr>
          <w:rFonts w:hint="eastAsia" w:ascii="宋体" w:hAnsi="宋体" w:cs="宋体"/>
          <w:color w:val="auto"/>
          <w:sz w:val="24"/>
          <w:highlight w:val="none"/>
        </w:rPr>
        <w:t>（7）投标声明书 (格式见附件) ；</w:t>
      </w:r>
    </w:p>
    <w:p w14:paraId="5AE02E3D">
      <w:pPr>
        <w:spacing w:line="360" w:lineRule="auto"/>
        <w:rPr>
          <w:rFonts w:ascii="宋体" w:hAnsi="宋体" w:cs="宋体"/>
          <w:color w:val="auto"/>
          <w:sz w:val="24"/>
          <w:highlight w:val="none"/>
        </w:rPr>
      </w:pPr>
      <w:r>
        <w:rPr>
          <w:rFonts w:hint="eastAsia" w:ascii="宋体" w:hAnsi="宋体" w:cs="宋体"/>
          <w:color w:val="auto"/>
          <w:sz w:val="24"/>
          <w:highlight w:val="none"/>
        </w:rPr>
        <w:t>（8）政府采购活动现场确认声明书 (格式见附件) ；</w:t>
      </w:r>
    </w:p>
    <w:p w14:paraId="17AE531F">
      <w:pPr>
        <w:spacing w:line="360" w:lineRule="auto"/>
        <w:rPr>
          <w:rFonts w:ascii="宋体" w:hAnsi="宋体" w:cs="宋体"/>
          <w:color w:val="auto"/>
          <w:sz w:val="24"/>
          <w:highlight w:val="none"/>
        </w:rPr>
      </w:pPr>
      <w:r>
        <w:rPr>
          <w:rFonts w:hint="eastAsia" w:ascii="宋体" w:hAnsi="宋体" w:cs="宋体"/>
          <w:color w:val="auto"/>
          <w:sz w:val="24"/>
          <w:highlight w:val="none"/>
        </w:rPr>
        <w:t>（9）联合体协议书/分包意向协议；（联合体投标/分包时提供，格式见附件）；</w:t>
      </w:r>
    </w:p>
    <w:p w14:paraId="024957FF">
      <w:pPr>
        <w:spacing w:line="360" w:lineRule="auto"/>
        <w:rPr>
          <w:rFonts w:ascii="宋体" w:hAnsi="宋体" w:cs="宋体"/>
          <w:color w:val="auto"/>
          <w:sz w:val="24"/>
          <w:highlight w:val="none"/>
        </w:rPr>
      </w:pPr>
      <w:r>
        <w:rPr>
          <w:rFonts w:hint="eastAsia" w:ascii="宋体" w:hAnsi="宋体" w:cs="宋体"/>
          <w:color w:val="auto"/>
          <w:sz w:val="24"/>
          <w:highlight w:val="none"/>
        </w:rPr>
        <w:t>（10）中小企业声明函（格式见附件）；</w:t>
      </w:r>
    </w:p>
    <w:p w14:paraId="0104B011">
      <w:pPr>
        <w:spacing w:line="360" w:lineRule="auto"/>
        <w:rPr>
          <w:rFonts w:ascii="宋体" w:hAnsi="宋体" w:cs="宋体"/>
          <w:color w:val="auto"/>
          <w:sz w:val="24"/>
          <w:highlight w:val="none"/>
        </w:rPr>
      </w:pPr>
      <w:r>
        <w:rPr>
          <w:rFonts w:hint="eastAsia" w:ascii="宋体" w:hAnsi="宋体" w:cs="宋体"/>
          <w:color w:val="auto"/>
          <w:sz w:val="24"/>
          <w:highlight w:val="none"/>
        </w:rPr>
        <w:t>（11）投标</w:t>
      </w:r>
      <w:r>
        <w:rPr>
          <w:rFonts w:hint="eastAsia" w:ascii="宋体" w:hAnsi="宋体" w:cs="宋体"/>
          <w:color w:val="auto"/>
          <w:sz w:val="24"/>
          <w:highlight w:val="none"/>
          <w:lang w:val="en-US" w:eastAsia="zh-CN"/>
        </w:rPr>
        <w:t>单位情况表</w:t>
      </w:r>
      <w:r>
        <w:rPr>
          <w:rFonts w:hint="eastAsia" w:ascii="宋体" w:hAnsi="宋体" w:cs="宋体"/>
          <w:color w:val="auto"/>
          <w:sz w:val="24"/>
          <w:highlight w:val="none"/>
        </w:rPr>
        <w:t>；</w:t>
      </w:r>
    </w:p>
    <w:p w14:paraId="6F45949E">
      <w:pPr>
        <w:spacing w:line="360" w:lineRule="auto"/>
        <w:rPr>
          <w:rFonts w:ascii="宋体" w:hAnsi="宋体" w:cs="宋体"/>
          <w:color w:val="auto"/>
          <w:sz w:val="24"/>
          <w:highlight w:val="none"/>
        </w:rPr>
      </w:pPr>
      <w:r>
        <w:rPr>
          <w:rFonts w:hint="eastAsia" w:ascii="宋体" w:hAnsi="宋体" w:cs="宋体"/>
          <w:color w:val="auto"/>
          <w:sz w:val="24"/>
          <w:highlight w:val="none"/>
        </w:rPr>
        <w:t>（12）投标人认为有必要提供的其它文件。</w:t>
      </w:r>
    </w:p>
    <w:p w14:paraId="37EA101B">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155E9942">
      <w:pPr>
        <w:snapToGrid w:val="0"/>
        <w:spacing w:line="360" w:lineRule="auto"/>
        <w:ind w:firstLine="470" w:firstLineChars="196"/>
        <w:jc w:val="lef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eastAsia="zh-CN"/>
        </w:rPr>
        <w:t>标</w:t>
      </w:r>
      <w:r>
        <w:rPr>
          <w:rFonts w:hint="eastAsia" w:ascii="宋体" w:hAnsi="宋体"/>
          <w:b/>
          <w:bCs/>
          <w:color w:val="auto"/>
          <w:sz w:val="24"/>
          <w:highlight w:val="none"/>
          <w:lang w:val="en-US" w:eastAsia="zh-CN"/>
        </w:rPr>
        <w:t>项1：</w:t>
      </w:r>
    </w:p>
    <w:p w14:paraId="1FB2F170">
      <w:pPr>
        <w:snapToGrid w:val="0"/>
        <w:spacing w:line="360" w:lineRule="auto"/>
        <w:ind w:firstLine="470" w:firstLineChars="196"/>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szCs w:val="24"/>
          <w:highlight w:val="none"/>
          <w:lang w:eastAsia="zh-CN"/>
        </w:rPr>
        <w:t>▲</w:t>
      </w:r>
      <w:r>
        <w:rPr>
          <w:rFonts w:hint="eastAsia" w:ascii="宋体" w:hAnsi="宋体"/>
          <w:color w:val="auto"/>
          <w:sz w:val="24"/>
          <w:highlight w:val="none"/>
        </w:rPr>
        <w:t>评分响应表（注：投标人在标注页码时，应如实准确地标注“详见哪一份文件哪一页”，因投标人页码标注错误，导致专家误评、漏评的风险由投标人承担。）（格式见附件）</w:t>
      </w:r>
    </w:p>
    <w:p w14:paraId="61480388">
      <w:pPr>
        <w:snapToGrid w:val="0"/>
        <w:spacing w:line="360" w:lineRule="auto"/>
        <w:ind w:firstLine="470" w:firstLineChars="196"/>
        <w:jc w:val="left"/>
        <w:rPr>
          <w:rFonts w:hint="eastAsia" w:ascii="宋体" w:hAnsi="宋体"/>
          <w:color w:val="auto"/>
          <w:sz w:val="24"/>
          <w:highlight w:val="none"/>
        </w:rPr>
      </w:pPr>
      <w:r>
        <w:rPr>
          <w:rFonts w:hint="eastAsia" w:ascii="宋体" w:hAnsi="宋体"/>
          <w:color w:val="auto"/>
          <w:sz w:val="24"/>
          <w:highlight w:val="none"/>
        </w:rPr>
        <w:t>（2）投标人拟派项目负责人</w:t>
      </w:r>
      <w:r>
        <w:rPr>
          <w:rFonts w:hint="eastAsia" w:ascii="宋体" w:hAnsi="宋体"/>
          <w:color w:val="auto"/>
          <w:sz w:val="24"/>
          <w:highlight w:val="none"/>
          <w:lang w:val="en-US" w:eastAsia="zh-CN"/>
        </w:rPr>
        <w:t>及</w:t>
      </w:r>
      <w:r>
        <w:rPr>
          <w:rFonts w:hint="eastAsia" w:ascii="宋体" w:hAnsi="宋体"/>
          <w:color w:val="auto"/>
          <w:sz w:val="24"/>
          <w:highlight w:val="none"/>
        </w:rPr>
        <w:t>其他主要人员配置情况。(格式见附件)</w:t>
      </w:r>
    </w:p>
    <w:p w14:paraId="188A2C6B">
      <w:pPr>
        <w:snapToGrid w:val="0"/>
        <w:spacing w:line="360" w:lineRule="auto"/>
        <w:ind w:firstLine="470" w:firstLineChars="196"/>
        <w:jc w:val="left"/>
        <w:rPr>
          <w:rFonts w:hint="eastAsia" w:ascii="宋体" w:hAnsi="宋体"/>
          <w:color w:val="auto"/>
          <w:sz w:val="24"/>
          <w:highlight w:val="none"/>
        </w:rPr>
      </w:pPr>
      <w:r>
        <w:rPr>
          <w:rFonts w:hint="eastAsia" w:ascii="宋体" w:hAnsi="宋体"/>
          <w:color w:val="auto"/>
          <w:sz w:val="24"/>
          <w:highlight w:val="none"/>
        </w:rPr>
        <w:t>（3）针对本项目提出的餐饮服务管理方案</w:t>
      </w:r>
      <w:r>
        <w:rPr>
          <w:rFonts w:hint="eastAsia" w:ascii="宋体" w:hAnsi="宋体"/>
          <w:color w:val="auto"/>
          <w:sz w:val="24"/>
          <w:highlight w:val="none"/>
          <w:lang w:eastAsia="zh-CN"/>
        </w:rPr>
        <w:t>、食品安全、餐厅环境卫生、整体的保洁服务及管理方案</w:t>
      </w:r>
      <w:r>
        <w:rPr>
          <w:rFonts w:hint="eastAsia" w:ascii="宋体" w:hAnsi="宋体"/>
          <w:color w:val="auto"/>
          <w:sz w:val="24"/>
          <w:highlight w:val="none"/>
          <w:lang w:val="en-US" w:eastAsia="zh-CN"/>
        </w:rPr>
        <w:t>、原材料验收存储及保鲜方案</w:t>
      </w:r>
      <w:r>
        <w:rPr>
          <w:rFonts w:hint="eastAsia" w:ascii="宋体" w:hAnsi="宋体"/>
          <w:color w:val="auto"/>
          <w:sz w:val="24"/>
          <w:highlight w:val="none"/>
        </w:rPr>
        <w:t>；</w:t>
      </w:r>
    </w:p>
    <w:p w14:paraId="08566CC7">
      <w:pPr>
        <w:snapToGrid w:val="0"/>
        <w:spacing w:line="360" w:lineRule="auto"/>
        <w:ind w:firstLine="470" w:firstLineChars="196"/>
        <w:jc w:val="left"/>
        <w:rPr>
          <w:rFonts w:hint="eastAsia" w:ascii="宋体" w:hAnsi="宋体"/>
          <w:color w:val="auto"/>
          <w:sz w:val="24"/>
          <w:highlight w:val="none"/>
        </w:rPr>
      </w:pPr>
      <w:r>
        <w:rPr>
          <w:rFonts w:hint="eastAsia" w:ascii="宋体" w:hAnsi="宋体"/>
          <w:color w:val="auto"/>
          <w:sz w:val="24"/>
          <w:highlight w:val="none"/>
        </w:rPr>
        <w:t>（4）消防安全、生产安全等的保障措施</w:t>
      </w:r>
      <w:r>
        <w:rPr>
          <w:rFonts w:hint="eastAsia" w:ascii="宋体" w:hAnsi="宋体"/>
          <w:color w:val="auto"/>
          <w:sz w:val="24"/>
          <w:highlight w:val="none"/>
          <w:lang w:eastAsia="zh-CN"/>
        </w:rPr>
        <w:t>、各项服务应急预案</w:t>
      </w:r>
      <w:r>
        <w:rPr>
          <w:rFonts w:hint="eastAsia" w:ascii="宋体" w:hAnsi="宋体"/>
          <w:color w:val="auto"/>
          <w:sz w:val="24"/>
          <w:highlight w:val="none"/>
        </w:rPr>
        <w:t>；</w:t>
      </w:r>
    </w:p>
    <w:p w14:paraId="485105FC">
      <w:pPr>
        <w:snapToGrid w:val="0"/>
        <w:spacing w:line="360" w:lineRule="auto"/>
        <w:ind w:firstLine="470" w:firstLineChars="196"/>
        <w:jc w:val="left"/>
        <w:rPr>
          <w:rFonts w:hint="eastAsia" w:ascii="宋体" w:hAnsi="宋体"/>
          <w:color w:val="auto"/>
          <w:sz w:val="24"/>
          <w:highlight w:val="none"/>
        </w:rPr>
      </w:pPr>
      <w:r>
        <w:rPr>
          <w:rFonts w:hint="eastAsia" w:ascii="宋体" w:hAnsi="宋体"/>
          <w:color w:val="auto"/>
          <w:sz w:val="24"/>
          <w:highlight w:val="none"/>
        </w:rPr>
        <w:t>（5）投标人能力情况；</w:t>
      </w:r>
    </w:p>
    <w:p w14:paraId="315EEAEE">
      <w:pPr>
        <w:snapToGrid w:val="0"/>
        <w:spacing w:line="360" w:lineRule="auto"/>
        <w:ind w:firstLine="470" w:firstLineChars="196"/>
        <w:jc w:val="left"/>
        <w:rPr>
          <w:rFonts w:hint="eastAsia" w:ascii="宋体" w:hAnsi="宋体"/>
          <w:color w:val="auto"/>
          <w:sz w:val="24"/>
          <w:highlight w:val="none"/>
        </w:rPr>
      </w:pPr>
      <w:r>
        <w:rPr>
          <w:rFonts w:hint="eastAsia" w:ascii="宋体" w:hAnsi="宋体"/>
          <w:color w:val="auto"/>
          <w:sz w:val="24"/>
          <w:highlight w:val="none"/>
        </w:rPr>
        <w:t>（6）优惠条件：投标人承诺给予招标人的各种优惠条件，包括增殖服务等方面的优惠(若有)；</w:t>
      </w:r>
    </w:p>
    <w:p w14:paraId="782F4498">
      <w:pPr>
        <w:snapToGrid w:val="0"/>
        <w:spacing w:line="360" w:lineRule="auto"/>
        <w:ind w:firstLine="470" w:firstLineChars="196"/>
        <w:jc w:val="left"/>
        <w:rPr>
          <w:rFonts w:hint="eastAsia" w:ascii="宋体" w:hAnsi="宋体"/>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）同类项目业绩一览表；</w:t>
      </w:r>
    </w:p>
    <w:p w14:paraId="0ADF3B26">
      <w:pPr>
        <w:snapToGrid w:val="0"/>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s="宋体"/>
          <w:color w:val="auto"/>
          <w:sz w:val="24"/>
          <w:highlight w:val="none"/>
        </w:rPr>
        <w:t>服务费承诺书（格式见附件）；</w:t>
      </w:r>
    </w:p>
    <w:p w14:paraId="2E28F008">
      <w:pPr>
        <w:snapToGrid w:val="0"/>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s="宋体"/>
          <w:color w:val="auto"/>
          <w:sz w:val="24"/>
          <w:highlight w:val="none"/>
        </w:rPr>
        <w:t>评分标准中需要提供的其他资料</w:t>
      </w:r>
    </w:p>
    <w:p w14:paraId="64094970">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）投标人需要说明的其他文件和说明。</w:t>
      </w:r>
    </w:p>
    <w:p w14:paraId="642EDEE4">
      <w:pPr>
        <w:snapToGrid w:val="0"/>
        <w:spacing w:line="360" w:lineRule="auto"/>
        <w:ind w:firstLine="470" w:firstLineChars="196"/>
        <w:jc w:val="left"/>
        <w:rPr>
          <w:rFonts w:hint="eastAsia" w:ascii="宋体" w:hAnsi="宋体"/>
          <w:color w:val="auto"/>
          <w:sz w:val="24"/>
          <w:highlight w:val="none"/>
          <w:lang w:val="en-US" w:eastAsia="zh-CN"/>
        </w:rPr>
      </w:pPr>
      <w:r>
        <w:rPr>
          <w:rFonts w:hint="eastAsia" w:ascii="宋体" w:hAnsi="宋体"/>
          <w:b/>
          <w:bCs/>
          <w:color w:val="auto"/>
          <w:sz w:val="24"/>
          <w:highlight w:val="none"/>
          <w:lang w:eastAsia="zh-CN"/>
        </w:rPr>
        <w:t>标</w:t>
      </w:r>
      <w:r>
        <w:rPr>
          <w:rFonts w:hint="eastAsia" w:ascii="宋体" w:hAnsi="宋体"/>
          <w:b/>
          <w:bCs/>
          <w:color w:val="auto"/>
          <w:sz w:val="24"/>
          <w:highlight w:val="none"/>
          <w:lang w:val="en-US" w:eastAsia="zh-CN"/>
        </w:rPr>
        <w:t>项2：</w:t>
      </w:r>
    </w:p>
    <w:p w14:paraId="442BDA99">
      <w:pPr>
        <w:snapToGrid w:val="0"/>
        <w:spacing w:line="360" w:lineRule="auto"/>
        <w:ind w:firstLine="470" w:firstLineChars="196"/>
        <w:jc w:val="left"/>
        <w:rPr>
          <w:rFonts w:hint="eastAsia" w:ascii="宋体" w:hAnsi="宋体"/>
          <w:color w:val="auto"/>
          <w:sz w:val="24"/>
          <w:highlight w:val="none"/>
        </w:rPr>
      </w:pPr>
      <w:r>
        <w:rPr>
          <w:rFonts w:hint="eastAsia" w:ascii="宋体" w:hAnsi="宋体" w:eastAsia="宋体" w:cs="Times New Roman"/>
          <w:color w:val="auto"/>
          <w:sz w:val="24"/>
          <w:highlight w:val="none"/>
        </w:rPr>
        <w:t>（1）</w:t>
      </w:r>
      <w:r>
        <w:rPr>
          <w:rFonts w:hint="eastAsia" w:ascii="宋体" w:hAnsi="宋体"/>
          <w:color w:val="auto"/>
          <w:sz w:val="24"/>
          <w:szCs w:val="24"/>
          <w:highlight w:val="none"/>
          <w:lang w:eastAsia="zh-CN"/>
        </w:rPr>
        <w:t>▲</w:t>
      </w:r>
      <w:r>
        <w:rPr>
          <w:rFonts w:hint="eastAsia" w:ascii="宋体" w:hAnsi="宋体"/>
          <w:color w:val="auto"/>
          <w:sz w:val="24"/>
          <w:highlight w:val="none"/>
        </w:rPr>
        <w:t>评分响应表（注：投标人在标注页码时，应如实准确地标注“详见哪一份文件哪一页”，因投标人页码标注错误，导致专家误评、漏评的风险由投标人承担。）（格式见附件）</w:t>
      </w:r>
    </w:p>
    <w:p w14:paraId="42BE0A63">
      <w:pPr>
        <w:snapToGrid w:val="0"/>
        <w:spacing w:line="360" w:lineRule="auto"/>
        <w:ind w:firstLine="470" w:firstLineChars="196"/>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投标人对本项目的</w:t>
      </w:r>
      <w:r>
        <w:rPr>
          <w:rFonts w:hint="eastAsia" w:ascii="宋体" w:hAnsi="宋体" w:eastAsia="宋体" w:cs="Times New Roman"/>
          <w:color w:val="auto"/>
          <w:sz w:val="24"/>
          <w:highlight w:val="none"/>
          <w:lang w:eastAsia="zh-CN"/>
        </w:rPr>
        <w:t>整体实施方案、</w:t>
      </w:r>
      <w:r>
        <w:rPr>
          <w:rFonts w:hint="eastAsia" w:ascii="宋体" w:hAnsi="宋体" w:cs="Times New Roman"/>
          <w:color w:val="auto"/>
          <w:sz w:val="24"/>
          <w:highlight w:val="none"/>
          <w:lang w:val="en-US" w:eastAsia="zh-CN"/>
        </w:rPr>
        <w:t>制度及各项</w:t>
      </w:r>
      <w:r>
        <w:rPr>
          <w:rFonts w:hint="eastAsia" w:ascii="宋体" w:hAnsi="宋体" w:eastAsia="宋体" w:cs="Times New Roman"/>
          <w:color w:val="auto"/>
          <w:sz w:val="24"/>
          <w:highlight w:val="none"/>
        </w:rPr>
        <w:t>措施；</w:t>
      </w:r>
    </w:p>
    <w:p w14:paraId="5494C002">
      <w:pPr>
        <w:snapToGrid w:val="0"/>
        <w:spacing w:line="360" w:lineRule="auto"/>
        <w:ind w:firstLine="470" w:firstLineChars="196"/>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）所投货物的产品质量检测报告等；</w:t>
      </w:r>
    </w:p>
    <w:p w14:paraId="64FF7C07">
      <w:pPr>
        <w:snapToGrid w:val="0"/>
        <w:spacing w:line="360" w:lineRule="auto"/>
        <w:ind w:firstLine="470" w:firstLineChars="196"/>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）货物</w:t>
      </w:r>
      <w:r>
        <w:rPr>
          <w:rFonts w:hint="eastAsia" w:ascii="宋体" w:hAnsi="宋体" w:cs="Times New Roman"/>
          <w:color w:val="auto"/>
          <w:sz w:val="24"/>
          <w:highlight w:val="none"/>
          <w:lang w:val="en-US" w:eastAsia="zh-CN"/>
        </w:rPr>
        <w:t>配送服务、配送保障、</w:t>
      </w:r>
      <w:r>
        <w:rPr>
          <w:rFonts w:hint="eastAsia" w:ascii="宋体" w:hAnsi="宋体" w:eastAsia="宋体" w:cs="Times New Roman"/>
          <w:color w:val="auto"/>
          <w:sz w:val="24"/>
          <w:highlight w:val="none"/>
        </w:rPr>
        <w:t>质量</w:t>
      </w:r>
      <w:r>
        <w:rPr>
          <w:rFonts w:hint="eastAsia" w:ascii="宋体" w:hAnsi="宋体" w:cs="Times New Roman"/>
          <w:color w:val="auto"/>
          <w:sz w:val="24"/>
          <w:highlight w:val="none"/>
          <w:lang w:val="en-US" w:eastAsia="zh-CN"/>
        </w:rPr>
        <w:t>安全</w:t>
      </w:r>
      <w:r>
        <w:rPr>
          <w:rFonts w:hint="eastAsia" w:ascii="宋体" w:hAnsi="宋体" w:eastAsia="宋体" w:cs="Times New Roman"/>
          <w:color w:val="auto"/>
          <w:sz w:val="24"/>
          <w:highlight w:val="none"/>
        </w:rPr>
        <w:t>保证、售后服务及有关承诺；</w:t>
      </w:r>
    </w:p>
    <w:p w14:paraId="5445EDEB">
      <w:pPr>
        <w:snapToGrid w:val="0"/>
        <w:spacing w:line="360" w:lineRule="auto"/>
        <w:ind w:firstLine="470" w:firstLineChars="196"/>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）食品安全责任保险承诺书（格式见附件）</w:t>
      </w:r>
      <w:r>
        <w:rPr>
          <w:rFonts w:hint="eastAsia" w:ascii="宋体" w:hAnsi="宋体" w:eastAsia="宋体" w:cs="Times New Roman"/>
          <w:color w:val="auto"/>
          <w:sz w:val="24"/>
          <w:highlight w:val="none"/>
          <w:lang w:eastAsia="zh-CN"/>
        </w:rPr>
        <w:t>；</w:t>
      </w:r>
    </w:p>
    <w:p w14:paraId="45F32C1F">
      <w:pPr>
        <w:snapToGrid w:val="0"/>
        <w:spacing w:line="360" w:lineRule="auto"/>
        <w:ind w:firstLine="470" w:firstLineChars="196"/>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rPr>
        <w:t>）安全生产承诺函（格</w:t>
      </w:r>
      <w:r>
        <w:rPr>
          <w:rFonts w:hint="eastAsia" w:ascii="宋体" w:hAnsi="宋体" w:eastAsia="宋体" w:cs="Times New Roman"/>
          <w:color w:val="auto"/>
          <w:sz w:val="24"/>
          <w:highlight w:val="none"/>
          <w:lang w:eastAsia="zh-CN"/>
        </w:rPr>
        <w:t>式自拟</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w:t>
      </w:r>
    </w:p>
    <w:p w14:paraId="71F4943C">
      <w:pPr>
        <w:snapToGrid w:val="0"/>
        <w:spacing w:line="360" w:lineRule="auto"/>
        <w:ind w:firstLine="470" w:firstLineChars="196"/>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）同类项目业绩一览表；</w:t>
      </w:r>
    </w:p>
    <w:p w14:paraId="7B53DBF8">
      <w:pPr>
        <w:snapToGrid w:val="0"/>
        <w:spacing w:line="360" w:lineRule="auto"/>
        <w:ind w:firstLine="470" w:firstLineChars="196"/>
        <w:jc w:val="left"/>
        <w:rPr>
          <w:rFonts w:hint="default" w:ascii="宋体" w:hAnsi="宋体" w:eastAsia="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olor w:val="auto"/>
          <w:sz w:val="24"/>
          <w:highlight w:val="none"/>
          <w:lang w:val="en-US" w:eastAsia="zh-CN"/>
        </w:rPr>
        <w:t>投标人能力情况；</w:t>
      </w:r>
    </w:p>
    <w:p w14:paraId="794251C7">
      <w:p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rPr>
        <w:t>）</w:t>
      </w:r>
      <w:r>
        <w:rPr>
          <w:rFonts w:hint="eastAsia" w:ascii="宋体" w:hAnsi="宋体" w:cs="宋体"/>
          <w:color w:val="auto"/>
          <w:sz w:val="24"/>
          <w:highlight w:val="none"/>
        </w:rPr>
        <w:t>服务费承诺书（格式见附件）</w:t>
      </w:r>
      <w:r>
        <w:rPr>
          <w:rFonts w:hint="eastAsia" w:ascii="宋体" w:hAnsi="宋体" w:cs="宋体"/>
          <w:color w:val="auto"/>
          <w:sz w:val="24"/>
          <w:highlight w:val="none"/>
          <w:lang w:eastAsia="zh-CN"/>
        </w:rPr>
        <w:t>；</w:t>
      </w:r>
    </w:p>
    <w:p w14:paraId="61AB828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评分标准中需要提供的其他资料</w:t>
      </w:r>
    </w:p>
    <w:p w14:paraId="68E6FAFF">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11</w:t>
      </w:r>
      <w:r>
        <w:rPr>
          <w:rFonts w:hint="eastAsia" w:ascii="宋体" w:hAnsi="宋体"/>
          <w:color w:val="auto"/>
          <w:sz w:val="24"/>
          <w:highlight w:val="none"/>
          <w:lang w:eastAsia="zh-CN"/>
        </w:rPr>
        <w:t>）</w:t>
      </w:r>
      <w:r>
        <w:rPr>
          <w:rFonts w:hint="eastAsia" w:ascii="宋体" w:hAnsi="宋体"/>
          <w:color w:val="auto"/>
          <w:sz w:val="24"/>
          <w:highlight w:val="none"/>
        </w:rPr>
        <w:t>投标人需要说明的其他文件和说明。</w:t>
      </w:r>
    </w:p>
    <w:p w14:paraId="5A72147A">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3.报价文件</w:t>
      </w:r>
    </w:p>
    <w:p w14:paraId="7E30D1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（1）投标函（格式见附件）；</w:t>
      </w:r>
    </w:p>
    <w:p w14:paraId="73DE56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（2）开标一览表（格式见附件）； </w:t>
      </w:r>
    </w:p>
    <w:p w14:paraId="48DBA382">
      <w:pPr>
        <w:pStyle w:val="14"/>
        <w:ind w:firstLine="480" w:firstLineChars="200"/>
        <w:rPr>
          <w:rFonts w:ascii="宋体" w:hAnsi="宋体" w:cs="宋体"/>
          <w:b/>
          <w:bCs/>
          <w:color w:val="auto"/>
          <w:sz w:val="24"/>
          <w:highlight w:val="none"/>
        </w:rPr>
      </w:pPr>
      <w:r>
        <w:rPr>
          <w:rFonts w:hint="eastAsia" w:ascii="宋体" w:hAnsi="宋体" w:cs="宋体"/>
          <w:color w:val="auto"/>
          <w:sz w:val="24"/>
          <w:highlight w:val="none"/>
        </w:rPr>
        <w:t>（3）投标人针对报价需要说明的其他文件和说明（格式自拟）。</w:t>
      </w:r>
    </w:p>
    <w:p w14:paraId="1BC43D44">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▲（二）投标文件的语言及计量</w:t>
      </w:r>
    </w:p>
    <w:p w14:paraId="212500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22C99D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3C494368">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▲（三）投标报价</w:t>
      </w:r>
    </w:p>
    <w:p w14:paraId="3CC1F30E">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2561EE0C">
      <w:pPr>
        <w:spacing w:line="360" w:lineRule="auto"/>
        <w:rPr>
          <w:rFonts w:ascii="宋体" w:hAnsi="宋体" w:cs="宋体"/>
          <w:color w:val="auto"/>
          <w:sz w:val="24"/>
          <w:highlight w:val="none"/>
        </w:rPr>
      </w:pPr>
      <w:r>
        <w:rPr>
          <w:rFonts w:hint="eastAsia" w:ascii="宋体" w:hAnsi="宋体" w:cs="宋体"/>
          <w:color w:val="auto"/>
          <w:sz w:val="24"/>
          <w:highlight w:val="none"/>
        </w:rPr>
        <w:t>2.投标报价是履行合同的最终价格，应包括完成该项服务所需的人工、材料、差旅费及其他等一切费用开支及税金。投标人所投报的投标报价为投标人所能承受的整个项目的一次性最终最低报价，如有漏项，视同已包含在其它项目中，合同单价和总价不作调整。</w:t>
      </w:r>
    </w:p>
    <w:p w14:paraId="094848BC">
      <w:pPr>
        <w:spacing w:line="360" w:lineRule="auto"/>
        <w:rPr>
          <w:rFonts w:ascii="宋体" w:hAnsi="宋体" w:cs="宋体"/>
          <w:color w:val="auto"/>
          <w:sz w:val="24"/>
          <w:highlight w:val="none"/>
        </w:rPr>
      </w:pPr>
      <w:r>
        <w:rPr>
          <w:rFonts w:hint="eastAsia" w:ascii="宋体" w:hAnsi="宋体" w:cs="宋体"/>
          <w:color w:val="auto"/>
          <w:sz w:val="24"/>
          <w:highlight w:val="none"/>
        </w:rPr>
        <w:t>3.按国家规定由中标人缴纳的各种税收已包含在投标总价内，由中标人向税务机关缴纳。</w:t>
      </w:r>
    </w:p>
    <w:p w14:paraId="2C494EC2">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06A2A90C">
      <w:pPr>
        <w:spacing w:line="360" w:lineRule="auto"/>
        <w:rPr>
          <w:rFonts w:ascii="宋体" w:hAnsi="宋体" w:cs="宋体"/>
          <w:color w:val="auto"/>
          <w:sz w:val="24"/>
          <w:highlight w:val="none"/>
        </w:rPr>
      </w:pPr>
      <w:bookmarkStart w:id="12" w:name="_Toc450548873"/>
      <w:bookmarkStart w:id="13" w:name="_Toc405368930"/>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59062994">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14451B31">
      <w:pPr>
        <w:spacing w:line="360" w:lineRule="auto"/>
        <w:rPr>
          <w:rFonts w:ascii="宋体" w:hAnsi="宋体" w:cs="宋体"/>
          <w:color w:val="auto"/>
          <w:sz w:val="24"/>
          <w:highlight w:val="none"/>
        </w:rPr>
      </w:pPr>
      <w:bookmarkStart w:id="14" w:name="_Toc407182105"/>
      <w:r>
        <w:rPr>
          <w:rFonts w:hint="eastAsia" w:ascii="宋体" w:hAnsi="宋体" w:cs="宋体"/>
          <w:color w:val="auto"/>
          <w:sz w:val="24"/>
          <w:highlight w:val="none"/>
        </w:rPr>
        <w:t>3.投标人可拒绝接受延期要求，若同意延长有效期的投标人，则不能修改投标文件。</w:t>
      </w:r>
      <w:bookmarkEnd w:id="14"/>
      <w:r>
        <w:rPr>
          <w:rFonts w:hint="eastAsia" w:ascii="宋体" w:hAnsi="宋体" w:cs="宋体"/>
          <w:color w:val="auto"/>
          <w:sz w:val="24"/>
          <w:highlight w:val="none"/>
        </w:rPr>
        <w:t xml:space="preserve"> </w:t>
      </w:r>
    </w:p>
    <w:p w14:paraId="33EEBDD5">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bookmarkEnd w:id="12"/>
    <w:bookmarkEnd w:id="13"/>
    <w:p w14:paraId="7EAE6981">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▲（五）投标文件的签署</w:t>
      </w:r>
    </w:p>
    <w:p w14:paraId="549188D3">
      <w:pPr>
        <w:snapToGrid w:val="0"/>
        <w:spacing w:line="312" w:lineRule="auto"/>
        <w:ind w:firstLine="480" w:firstLineChars="200"/>
        <w:jc w:val="left"/>
        <w:rPr>
          <w:rFonts w:ascii="宋体" w:hAnsi="宋体"/>
          <w:b/>
          <w:bCs/>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.投标人应认真阅读招标文件所有内容，按</w:t>
      </w:r>
      <w:r>
        <w:rPr>
          <w:rFonts w:ascii="宋体" w:hAnsi="宋体"/>
          <w:color w:val="auto"/>
          <w:sz w:val="24"/>
          <w:highlight w:val="none"/>
        </w:rPr>
        <w:t>本招标文件规定的</w:t>
      </w:r>
      <w:r>
        <w:rPr>
          <w:rFonts w:hint="eastAsia" w:ascii="宋体" w:hAnsi="宋体"/>
          <w:color w:val="auto"/>
          <w:sz w:val="24"/>
          <w:highlight w:val="none"/>
        </w:rPr>
        <w:t>要求、编制</w:t>
      </w:r>
      <w:r>
        <w:rPr>
          <w:rFonts w:ascii="宋体" w:hAnsi="宋体"/>
          <w:color w:val="auto"/>
          <w:sz w:val="24"/>
          <w:highlight w:val="none"/>
        </w:rPr>
        <w:t>顺序</w:t>
      </w:r>
      <w:r>
        <w:rPr>
          <w:rFonts w:hint="eastAsia" w:ascii="宋体" w:hAnsi="宋体"/>
          <w:color w:val="auto"/>
          <w:sz w:val="24"/>
          <w:highlight w:val="none"/>
        </w:rPr>
        <w:t>和统一</w:t>
      </w:r>
      <w:r>
        <w:rPr>
          <w:rFonts w:ascii="宋体" w:hAnsi="宋体"/>
          <w:color w:val="auto"/>
          <w:sz w:val="24"/>
          <w:highlight w:val="none"/>
        </w:rPr>
        <w:t>格式编制投标文件</w:t>
      </w:r>
      <w:r>
        <w:rPr>
          <w:rFonts w:hint="eastAsia" w:ascii="宋体" w:hAnsi="宋体"/>
          <w:color w:val="auto"/>
          <w:sz w:val="24"/>
          <w:highlight w:val="none"/>
        </w:rPr>
        <w:t>并标注页码</w:t>
      </w:r>
      <w:r>
        <w:rPr>
          <w:rFonts w:ascii="宋体" w:hAnsi="宋体"/>
          <w:color w:val="auto"/>
          <w:sz w:val="24"/>
          <w:highlight w:val="none"/>
        </w:rPr>
        <w:t>，</w:t>
      </w:r>
      <w:r>
        <w:rPr>
          <w:rFonts w:hint="eastAsia" w:ascii="宋体" w:hAnsi="宋体"/>
          <w:b/>
          <w:bCs/>
          <w:color w:val="auto"/>
          <w:sz w:val="24"/>
          <w:highlight w:val="none"/>
        </w:rPr>
        <w:t>电子投标文件须进行关联定位。</w:t>
      </w:r>
      <w:r>
        <w:rPr>
          <w:rFonts w:ascii="宋体" w:hAnsi="宋体"/>
          <w:color w:val="auto"/>
          <w:sz w:val="24"/>
          <w:highlight w:val="none"/>
        </w:rPr>
        <w:t>投标文件</w:t>
      </w:r>
      <w:r>
        <w:rPr>
          <w:rFonts w:hint="eastAsia" w:ascii="宋体" w:hAnsi="宋体"/>
          <w:color w:val="auto"/>
          <w:sz w:val="24"/>
          <w:highlight w:val="none"/>
        </w:rPr>
        <w:t>因</w:t>
      </w:r>
      <w:r>
        <w:rPr>
          <w:rFonts w:ascii="宋体" w:hAnsi="宋体"/>
          <w:color w:val="auto"/>
          <w:sz w:val="24"/>
          <w:highlight w:val="none"/>
        </w:rPr>
        <w:t>内容不完整、编排混乱</w:t>
      </w:r>
      <w:r>
        <w:rPr>
          <w:rFonts w:hint="eastAsia" w:ascii="宋体" w:hAnsi="宋体"/>
          <w:color w:val="auto"/>
          <w:sz w:val="24"/>
          <w:highlight w:val="none"/>
        </w:rPr>
        <w:t>，</w:t>
      </w:r>
      <w:r>
        <w:rPr>
          <w:rFonts w:hint="eastAsia" w:ascii="宋体" w:hAnsi="宋体"/>
          <w:b/>
          <w:bCs/>
          <w:color w:val="auto"/>
          <w:sz w:val="24"/>
          <w:highlight w:val="none"/>
        </w:rPr>
        <w:t>或者电子投标文件未进行关联定位或者关联定位不准确，</w:t>
      </w:r>
      <w:r>
        <w:rPr>
          <w:rFonts w:ascii="宋体" w:hAnsi="宋体"/>
          <w:color w:val="auto"/>
          <w:sz w:val="24"/>
          <w:highlight w:val="none"/>
        </w:rPr>
        <w:t>导致投标文件被误读、漏读或者查找不到相关内容的，是投标人的责任。</w:t>
      </w:r>
      <w:r>
        <w:rPr>
          <w:rFonts w:hint="eastAsia" w:ascii="宋体" w:hAnsi="宋体"/>
          <w:b/>
          <w:color w:val="auto"/>
          <w:sz w:val="24"/>
          <w:highlight w:val="none"/>
        </w:rPr>
        <w:t>电子投标文件须</w:t>
      </w:r>
      <w:r>
        <w:rPr>
          <w:rFonts w:hint="eastAsia" w:ascii="宋体" w:hAnsi="宋体"/>
          <w:b/>
          <w:bCs/>
          <w:color w:val="auto"/>
          <w:sz w:val="24"/>
          <w:highlight w:val="none"/>
        </w:rPr>
        <w:t>按政采云平台供应商项目采购-电子招投标操作指南</w:t>
      </w:r>
      <w:r>
        <w:rPr>
          <w:rFonts w:hint="eastAsia" w:ascii="宋体" w:hAnsi="宋体"/>
          <w:b/>
          <w:color w:val="auto"/>
          <w:sz w:val="24"/>
          <w:highlight w:val="none"/>
        </w:rPr>
        <w:t>及本招标文件要求制作和加密。</w:t>
      </w:r>
      <w:r>
        <w:rPr>
          <w:rFonts w:hint="eastAsia" w:ascii="宋体" w:hAnsi="宋体"/>
          <w:b/>
          <w:bCs/>
          <w:color w:val="auto"/>
          <w:sz w:val="24"/>
          <w:highlight w:val="none"/>
        </w:rPr>
        <w:t>（操作指南下载网址：https://help.zcygov.cn/web/site_2/2018/12-28/2573.html）</w:t>
      </w:r>
    </w:p>
    <w:p w14:paraId="2E30D821">
      <w:pPr>
        <w:snapToGrid w:val="0"/>
        <w:spacing w:line="312" w:lineRule="auto"/>
        <w:ind w:firstLine="480" w:firstLineChars="200"/>
        <w:jc w:val="left"/>
        <w:rPr>
          <w:rFonts w:ascii="宋体" w:hAnsi="宋体"/>
          <w:b/>
          <w:bCs/>
          <w:color w:val="auto"/>
          <w:sz w:val="24"/>
          <w:highlight w:val="none"/>
        </w:rPr>
      </w:pPr>
      <w:r>
        <w:rPr>
          <w:rFonts w:hint="eastAsia" w:ascii="宋体" w:hAnsi="宋体"/>
          <w:b/>
          <w:bCs/>
          <w:color w:val="auto"/>
          <w:sz w:val="24"/>
          <w:highlight w:val="none"/>
        </w:rPr>
        <w:t>2.电子投标文件（包括资格审查文件、商务技术文件和报价文件）中招标文件要求加盖公章的部分均采用CA签章。电子投标文件的封面格式详见附件1。</w:t>
      </w:r>
    </w:p>
    <w:p w14:paraId="621B8640">
      <w:pPr>
        <w:snapToGrid w:val="0"/>
        <w:spacing w:before="156" w:beforeLines="50" w:line="360" w:lineRule="auto"/>
        <w:ind w:firstLine="480" w:firstLineChars="200"/>
        <w:jc w:val="left"/>
        <w:rPr>
          <w:rFonts w:ascii="宋体" w:hAnsi="宋体"/>
          <w:b/>
          <w:color w:val="auto"/>
          <w:sz w:val="24"/>
          <w:highlight w:val="none"/>
        </w:rPr>
      </w:pPr>
      <w:r>
        <w:rPr>
          <w:rFonts w:hint="eastAsia" w:ascii="宋体" w:hAnsi="宋体"/>
          <w:b/>
          <w:bCs/>
          <w:color w:val="auto"/>
          <w:sz w:val="24"/>
          <w:highlight w:val="none"/>
        </w:rPr>
        <w:t>3.</w:t>
      </w:r>
      <w:r>
        <w:rPr>
          <w:rFonts w:hint="eastAsia" w:cs="宋体" w:asciiTheme="majorEastAsia" w:hAnsiTheme="majorEastAsia" w:eastAsiaTheme="majorEastAsia"/>
          <w:b/>
          <w:color w:val="auto"/>
          <w:sz w:val="24"/>
          <w:highlight w:val="none"/>
        </w:rPr>
        <w:t>招标文件对签字、盖章有特别要求的地方，必须由投标人法定代表人或法定代表人的授权委托人签署并加盖单位公章。</w:t>
      </w:r>
      <w:r>
        <w:rPr>
          <w:rFonts w:hint="eastAsia" w:cs="宋体" w:asciiTheme="majorEastAsia" w:hAnsiTheme="majorEastAsia" w:eastAsiaTheme="majorEastAsia"/>
          <w:b/>
          <w:bCs/>
          <w:color w:val="auto"/>
          <w:sz w:val="24"/>
          <w:highlight w:val="none"/>
        </w:rPr>
        <w:t>电子投标文件中有签字要求的部分，投标人可以将签字后的扫描件上传至政采云系统，有</w:t>
      </w:r>
      <w:r>
        <w:rPr>
          <w:rFonts w:hint="eastAsia" w:cs="宋体" w:asciiTheme="majorEastAsia" w:hAnsiTheme="majorEastAsia" w:eastAsiaTheme="majorEastAsia"/>
          <w:b/>
          <w:color w:val="auto"/>
          <w:sz w:val="24"/>
          <w:highlight w:val="none"/>
        </w:rPr>
        <w:t>盖章要求的部分，</w:t>
      </w:r>
      <w:r>
        <w:rPr>
          <w:rFonts w:hint="eastAsia" w:cs="宋体" w:asciiTheme="majorEastAsia" w:hAnsiTheme="majorEastAsia" w:eastAsiaTheme="majorEastAsia"/>
          <w:b/>
          <w:bCs/>
          <w:color w:val="auto"/>
          <w:sz w:val="24"/>
          <w:highlight w:val="none"/>
        </w:rPr>
        <w:t>要求采用CA签章。</w:t>
      </w:r>
      <w:r>
        <w:rPr>
          <w:rFonts w:hint="eastAsia" w:cs="宋体" w:asciiTheme="majorEastAsia" w:hAnsiTheme="majorEastAsia" w:eastAsiaTheme="majorEastAsia"/>
          <w:b/>
          <w:color w:val="auto"/>
          <w:sz w:val="24"/>
          <w:highlight w:val="none"/>
        </w:rPr>
        <w:t>投标人应写全称。</w:t>
      </w:r>
    </w:p>
    <w:p w14:paraId="6171EC51">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▲（六）投标文件的上传、递交、修改和撤回</w:t>
      </w:r>
    </w:p>
    <w:p w14:paraId="5CD6ABAC">
      <w:pPr>
        <w:snapToGrid w:val="0"/>
        <w:spacing w:before="156" w:beforeLines="50" w:after="156" w:afterLines="50" w:line="312" w:lineRule="auto"/>
        <w:ind w:firstLine="480" w:firstLineChars="200"/>
        <w:outlineLvl w:val="1"/>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、电子投标文件按政采云平台供应商项目采购</w:t>
      </w:r>
      <w:r>
        <w:rPr>
          <w:rFonts w:ascii="宋体"/>
          <w:b/>
          <w:bCs/>
          <w:color w:val="auto"/>
          <w:sz w:val="24"/>
          <w:highlight w:val="none"/>
        </w:rPr>
        <w:t>-</w:t>
      </w:r>
      <w:r>
        <w:rPr>
          <w:rFonts w:hint="eastAsia" w:ascii="宋体" w:hAnsi="宋体"/>
          <w:b/>
          <w:bCs/>
          <w:color w:val="auto"/>
          <w:sz w:val="24"/>
          <w:highlight w:val="none"/>
        </w:rPr>
        <w:t>电子招投标操作指南（网址：</w:t>
      </w:r>
      <w:r>
        <w:rPr>
          <w:color w:val="auto"/>
          <w:highlight w:val="none"/>
        </w:rPr>
        <w:fldChar w:fldCharType="begin"/>
      </w:r>
      <w:r>
        <w:rPr>
          <w:color w:val="auto"/>
          <w:highlight w:val="none"/>
        </w:rPr>
        <w:instrText xml:space="preserve"> HYPERLINK "https://help.zcygov.cn/web/site_2/2018/12-28/2573.html）及本招标文件规定的的要求、编制顺序和统一格式编制电子投标文件并进行关联定位。" </w:instrText>
      </w:r>
      <w:r>
        <w:rPr>
          <w:color w:val="auto"/>
          <w:highlight w:val="none"/>
        </w:rPr>
        <w:fldChar w:fldCharType="separate"/>
      </w:r>
      <w:r>
        <w:rPr>
          <w:rStyle w:val="51"/>
          <w:rFonts w:ascii="宋体" w:hAnsi="宋体"/>
          <w:b/>
          <w:bCs/>
          <w:color w:val="auto"/>
          <w:sz w:val="24"/>
          <w:highlight w:val="none"/>
        </w:rPr>
        <w:t>https://help.zcygov.cn/web/site_2/2018/12-28/2573.html</w:t>
      </w:r>
      <w:r>
        <w:rPr>
          <w:rStyle w:val="51"/>
          <w:rFonts w:hint="eastAsia" w:ascii="宋体" w:hAnsi="宋体"/>
          <w:b/>
          <w:bCs/>
          <w:color w:val="auto"/>
          <w:sz w:val="24"/>
          <w:highlight w:val="none"/>
        </w:rPr>
        <w:t>）及本招标文件规定的的要求、编制顺序和统一格式编制电子投标文件并进行关联定位。</w:t>
      </w:r>
      <w:r>
        <w:rPr>
          <w:rStyle w:val="51"/>
          <w:rFonts w:hint="eastAsia" w:ascii="宋体" w:hAnsi="宋体"/>
          <w:b/>
          <w:bCs/>
          <w:color w:val="auto"/>
          <w:sz w:val="24"/>
          <w:highlight w:val="none"/>
        </w:rPr>
        <w:fldChar w:fldCharType="end"/>
      </w:r>
    </w:p>
    <w:p w14:paraId="3EB92F06">
      <w:pPr>
        <w:snapToGrid w:val="0"/>
        <w:spacing w:line="312" w:lineRule="auto"/>
        <w:ind w:firstLine="480" w:firstLineChars="200"/>
        <w:jc w:val="left"/>
        <w:rPr>
          <w:rFonts w:ascii="宋体"/>
          <w:b/>
          <w:color w:val="auto"/>
          <w:sz w:val="24"/>
          <w:highlight w:val="none"/>
        </w:rPr>
      </w:pPr>
      <w:r>
        <w:rPr>
          <w:rFonts w:hint="eastAsia" w:ascii="宋体" w:hAnsi="宋体"/>
          <w:color w:val="auto"/>
          <w:sz w:val="24"/>
          <w:highlight w:val="none"/>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6511C030">
      <w:pPr>
        <w:autoSpaceDE w:val="0"/>
        <w:autoSpaceDN w:val="0"/>
        <w:adjustRightInd w:val="0"/>
        <w:snapToGrid w:val="0"/>
        <w:spacing w:line="312" w:lineRule="auto"/>
        <w:ind w:firstLine="480" w:firstLineChars="200"/>
        <w:rPr>
          <w:rFonts w:asci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3057E070">
      <w:pPr>
        <w:snapToGrid w:val="0"/>
        <w:spacing w:before="156" w:beforeLines="50" w:after="156" w:afterLines="50" w:line="312" w:lineRule="auto"/>
        <w:ind w:firstLine="480" w:firstLineChars="200"/>
        <w:outlineLvl w:val="1"/>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、投标人可以在投标截止时间前将电子备份投标文件（经政采云电子交易客户端和</w:t>
      </w:r>
      <w:r>
        <w:rPr>
          <w:rFonts w:ascii="宋体" w:hAnsi="宋体"/>
          <w:b/>
          <w:bCs/>
          <w:color w:val="auto"/>
          <w:sz w:val="24"/>
          <w:highlight w:val="none"/>
        </w:rPr>
        <w:t>CA</w:t>
      </w:r>
      <w:r>
        <w:rPr>
          <w:rFonts w:hint="eastAsia" w:ascii="宋体" w:hAnsi="宋体"/>
          <w:b/>
          <w:bCs/>
          <w:color w:val="auto"/>
          <w:sz w:val="24"/>
          <w:highlight w:val="none"/>
        </w:rPr>
        <w:t>驱动制作出的后缀名为“</w:t>
      </w:r>
      <w:r>
        <w:rPr>
          <w:rFonts w:ascii="宋体" w:hAnsi="宋体"/>
          <w:b/>
          <w:bCs/>
          <w:color w:val="auto"/>
          <w:sz w:val="24"/>
          <w:highlight w:val="none"/>
        </w:rPr>
        <w:t>bfbs</w:t>
      </w:r>
      <w:r>
        <w:rPr>
          <w:rFonts w:hint="eastAsia" w:ascii="宋体" w:hAnsi="宋体"/>
          <w:b/>
          <w:bCs/>
          <w:color w:val="auto"/>
          <w:sz w:val="24"/>
          <w:highlight w:val="none"/>
        </w:rPr>
        <w:t>”的加密电子备份投标文件）发送至邮箱：342981454@qq.com，逾期发送或发错后缀名的电子备份投标文件将被视为无效；电子备份投标文件的提交不作强制性要求。电子备份投标文件的递交截止时间：投标人应当在</w:t>
      </w:r>
      <w:r>
        <w:rPr>
          <w:rFonts w:hint="eastAsia" w:ascii="宋体" w:hAnsi="宋体"/>
          <w:b/>
          <w:bCs/>
          <w:color w:val="auto"/>
          <w:sz w:val="24"/>
          <w:highlight w:val="none"/>
          <w:u w:val="single"/>
        </w:rPr>
        <w:t>202</w:t>
      </w:r>
      <w:r>
        <w:rPr>
          <w:rFonts w:hint="eastAsia" w:ascii="宋体" w:hAnsi="宋体"/>
          <w:b/>
          <w:bCs/>
          <w:color w:val="auto"/>
          <w:sz w:val="24"/>
          <w:highlight w:val="none"/>
          <w:u w:val="single"/>
          <w:lang w:val="en-US" w:eastAsia="zh-CN"/>
        </w:rPr>
        <w:t>5</w:t>
      </w:r>
      <w:r>
        <w:rPr>
          <w:rFonts w:hint="eastAsia" w:ascii="宋体" w:hAnsi="宋体"/>
          <w:b/>
          <w:bCs/>
          <w:color w:val="auto"/>
          <w:sz w:val="24"/>
          <w:highlight w:val="none"/>
          <w:u w:val="single"/>
        </w:rPr>
        <w:t>年</w:t>
      </w:r>
      <w:r>
        <w:rPr>
          <w:rFonts w:hint="eastAsia" w:ascii="宋体" w:hAnsi="宋体"/>
          <w:b/>
          <w:bCs/>
          <w:color w:val="auto"/>
          <w:sz w:val="24"/>
          <w:highlight w:val="none"/>
          <w:u w:val="single"/>
          <w:lang w:val="en-US" w:eastAsia="zh-CN"/>
        </w:rPr>
        <w:t>1</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14</w:t>
      </w:r>
      <w:r>
        <w:rPr>
          <w:rFonts w:hint="eastAsia" w:ascii="宋体" w:hAnsi="宋体"/>
          <w:b/>
          <w:bCs/>
          <w:color w:val="auto"/>
          <w:sz w:val="24"/>
          <w:highlight w:val="none"/>
          <w:u w:val="single"/>
        </w:rPr>
        <w:t>日</w:t>
      </w:r>
      <w:r>
        <w:rPr>
          <w:rFonts w:hint="eastAsia" w:ascii="宋体" w:hAnsi="宋体"/>
          <w:b/>
          <w:bCs/>
          <w:color w:val="auto"/>
          <w:sz w:val="24"/>
          <w:highlight w:val="none"/>
          <w:u w:val="single"/>
          <w:lang w:val="en-US" w:eastAsia="zh-CN"/>
        </w:rPr>
        <w:t>13</w:t>
      </w:r>
      <w:r>
        <w:rPr>
          <w:rFonts w:hint="eastAsia" w:ascii="宋体" w:hAnsi="宋体"/>
          <w:b/>
          <w:bCs/>
          <w:color w:val="auto"/>
          <w:sz w:val="24"/>
          <w:highlight w:val="none"/>
          <w:u w:val="single"/>
        </w:rPr>
        <w:t>时</w:t>
      </w:r>
      <w:r>
        <w:rPr>
          <w:rFonts w:hint="eastAsia" w:ascii="宋体" w:hAnsi="宋体"/>
          <w:b/>
          <w:bCs/>
          <w:color w:val="auto"/>
          <w:sz w:val="24"/>
          <w:highlight w:val="none"/>
          <w:u w:val="single"/>
          <w:lang w:val="en-US" w:eastAsia="zh-CN"/>
        </w:rPr>
        <w:t>3</w:t>
      </w:r>
      <w:r>
        <w:rPr>
          <w:rFonts w:hint="eastAsia" w:ascii="宋体" w:hAnsi="宋体"/>
          <w:b/>
          <w:bCs/>
          <w:color w:val="auto"/>
          <w:sz w:val="24"/>
          <w:highlight w:val="none"/>
          <w:u w:val="single"/>
        </w:rPr>
        <w:t>0分</w:t>
      </w:r>
      <w:r>
        <w:rPr>
          <w:rFonts w:hint="eastAsia" w:ascii="宋体" w:hAnsi="宋体"/>
          <w:b/>
          <w:bCs/>
          <w:color w:val="auto"/>
          <w:sz w:val="24"/>
          <w:highlight w:val="none"/>
        </w:rPr>
        <w:t>前，逾期未递交的视为自动放弃递交电子备份投标文件。</w:t>
      </w:r>
    </w:p>
    <w:p w14:paraId="02067F53">
      <w:pPr>
        <w:snapToGrid w:val="0"/>
        <w:spacing w:before="156" w:beforeLines="50" w:after="156" w:afterLines="50" w:line="312" w:lineRule="auto"/>
        <w:ind w:firstLine="480" w:firstLineChars="200"/>
        <w:outlineLvl w:val="1"/>
        <w:rPr>
          <w:rFonts w:ascii="宋体"/>
          <w:b/>
          <w:bCs/>
          <w:color w:val="auto"/>
          <w:sz w:val="24"/>
          <w:highlight w:val="none"/>
        </w:rPr>
      </w:pPr>
      <w:r>
        <w:rPr>
          <w:rFonts w:ascii="宋体" w:hAnsi="宋体"/>
          <w:b/>
          <w:bCs/>
          <w:color w:val="auto"/>
          <w:sz w:val="24"/>
          <w:highlight w:val="none"/>
        </w:rPr>
        <w:t>4</w:t>
      </w:r>
      <w:r>
        <w:rPr>
          <w:rFonts w:hint="eastAsia" w:ascii="宋体" w:hAnsi="宋体"/>
          <w:b/>
          <w:bCs/>
          <w:color w:val="auto"/>
          <w:sz w:val="24"/>
          <w:highlight w:val="none"/>
        </w:rPr>
        <w:t>、未按规定上传的电子投标文件将被拒绝，由此造成投标文件解密失败或被误投的风险由投标人承担。</w:t>
      </w:r>
    </w:p>
    <w:p w14:paraId="170A5054">
      <w:pPr>
        <w:spacing w:line="480" w:lineRule="exact"/>
        <w:ind w:firstLine="480" w:firstLineChars="200"/>
        <w:rPr>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w:t>
      </w:r>
      <w:r>
        <w:rPr>
          <w:rFonts w:hint="eastAsia" w:ascii="宋体" w:hAnsi="宋体" w:cs="Arial"/>
          <w:b/>
          <w:bCs/>
          <w:color w:val="auto"/>
          <w:sz w:val="24"/>
          <w:highlight w:val="none"/>
        </w:rPr>
        <w:t>投标截止时间后，政采云（电子交易平台）自动提取所有在投标截止时间前上传好的投标文件，投标人须在投标截止时间后</w:t>
      </w:r>
      <w:r>
        <w:rPr>
          <w:rFonts w:ascii="宋体" w:hAnsi="宋体" w:cs="Arial"/>
          <w:b/>
          <w:bCs/>
          <w:color w:val="auto"/>
          <w:sz w:val="24"/>
          <w:highlight w:val="none"/>
        </w:rPr>
        <w:t>30</w:t>
      </w:r>
      <w:r>
        <w:rPr>
          <w:rFonts w:hint="eastAsia" w:ascii="宋体" w:hAnsi="宋体" w:cs="Arial"/>
          <w:b/>
          <w:bCs/>
          <w:color w:val="auto"/>
          <w:sz w:val="24"/>
          <w:highlight w:val="none"/>
        </w:rPr>
        <w:t>分钟内对上传政采云的投标文件进行解密（为防止解密失败，政采云建议采用制作投标文件的电脑进行解密），所有投标人在规定的解密时限内</w:t>
      </w:r>
      <w:r>
        <w:rPr>
          <w:rFonts w:hint="eastAsia" w:ascii="宋体" w:hAnsi="宋体" w:cs="宋体"/>
          <w:b/>
          <w:bCs/>
          <w:color w:val="auto"/>
          <w:sz w:val="24"/>
          <w:highlight w:val="none"/>
        </w:rPr>
        <w:t>完成</w:t>
      </w:r>
      <w:r>
        <w:rPr>
          <w:rFonts w:hint="eastAsia" w:ascii="宋体" w:hAnsi="宋体" w:cs="Arial"/>
          <w:b/>
          <w:bCs/>
          <w:color w:val="auto"/>
          <w:sz w:val="24"/>
          <w:highlight w:val="none"/>
        </w:rPr>
        <w:t>解</w:t>
      </w:r>
      <w:r>
        <w:rPr>
          <w:rFonts w:hint="eastAsia" w:ascii="宋体" w:hAnsi="宋体" w:cs="宋体"/>
          <w:b/>
          <w:bCs/>
          <w:color w:val="auto"/>
          <w:sz w:val="24"/>
          <w:highlight w:val="none"/>
        </w:rPr>
        <w:t>密</w:t>
      </w:r>
      <w:r>
        <w:rPr>
          <w:rFonts w:hint="eastAsia" w:ascii="宋体" w:hAnsi="宋体" w:cs="Arial"/>
          <w:b/>
          <w:bCs/>
          <w:color w:val="auto"/>
          <w:sz w:val="24"/>
          <w:highlight w:val="none"/>
        </w:rPr>
        <w:t>或解密时限到后，采购代理机构开启投标文件；投标人超过解密时限解密的且采购代理机构无法开启投标文件的，系统默认自动放弃。</w:t>
      </w:r>
    </w:p>
    <w:p w14:paraId="405B67E5">
      <w:pPr>
        <w:spacing w:line="480" w:lineRule="exact"/>
        <w:ind w:firstLine="480" w:firstLineChars="200"/>
        <w:rPr>
          <w:b/>
          <w:bCs/>
          <w:color w:val="auto"/>
          <w:sz w:val="24"/>
          <w:highlight w:val="none"/>
        </w:rPr>
      </w:pPr>
      <w:r>
        <w:rPr>
          <w:rFonts w:ascii="宋体" w:hAnsi="宋体"/>
          <w:b/>
          <w:bCs/>
          <w:color w:val="auto"/>
          <w:sz w:val="24"/>
          <w:highlight w:val="none"/>
        </w:rPr>
        <w:t>6</w:t>
      </w:r>
      <w:r>
        <w:rPr>
          <w:rFonts w:hint="eastAsia" w:ascii="宋体" w:hAnsi="宋体"/>
          <w:b/>
          <w:bCs/>
          <w:color w:val="auto"/>
          <w:sz w:val="24"/>
          <w:highlight w:val="none"/>
        </w:rPr>
        <w:t>、电子投标文件无法解密或解密失败时，投标人提供了电子备份投标文件的，以电子备份投标文件作为评审依据；否则视为投标文件无效。投标文件已按时解密的，电子备份投标文件自动失效。</w:t>
      </w:r>
    </w:p>
    <w:p w14:paraId="3E673007">
      <w:pPr>
        <w:snapToGrid w:val="0"/>
        <w:spacing w:before="156" w:beforeLines="50" w:line="360" w:lineRule="auto"/>
        <w:ind w:firstLine="470" w:firstLineChars="196"/>
        <w:outlineLvl w:val="2"/>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、投标截止时间后，投标人不得撤回、修改投标文件。修改后重新递交的投标文件应当按本招标文件的要求签署、盖章。</w:t>
      </w:r>
    </w:p>
    <w:p w14:paraId="2811E704">
      <w:pPr>
        <w:spacing w:line="360" w:lineRule="auto"/>
        <w:ind w:firstLine="480" w:firstLineChars="200"/>
        <w:rPr>
          <w:rFonts w:ascii="宋体" w:hAnsi="宋体" w:cs="宋体"/>
          <w:color w:val="auto"/>
          <w:sz w:val="24"/>
          <w:highlight w:val="none"/>
        </w:rPr>
      </w:pPr>
      <w:r>
        <w:rPr>
          <w:rFonts w:hint="eastAsia" w:asciiTheme="majorEastAsia" w:hAnsiTheme="majorEastAsia" w:eastAsiaTheme="majorEastAsia"/>
          <w:color w:val="auto"/>
          <w:sz w:val="24"/>
          <w:highlight w:val="none"/>
        </w:rPr>
        <w:t>8、 投标人应按本招标文件规定的格式和顺序编制投标文件并标注页码，因投标文件内容不完整、编排混乱、放弃关联点或关联点错误等原因导致投标文件被误读、漏读或者查找不到相关内容等风险由投标人自行承担</w:t>
      </w:r>
      <w:r>
        <w:rPr>
          <w:rFonts w:hint="eastAsia" w:ascii="宋体" w:hAnsi="宋体" w:cs="宋体"/>
          <w:color w:val="auto"/>
          <w:sz w:val="24"/>
          <w:highlight w:val="none"/>
        </w:rPr>
        <w:t>。</w:t>
      </w:r>
    </w:p>
    <w:p w14:paraId="6FE2D850">
      <w:pPr>
        <w:snapToGrid w:val="0"/>
        <w:spacing w:before="156" w:beforeLines="50" w:line="360" w:lineRule="auto"/>
        <w:ind w:firstLine="470" w:firstLineChars="196"/>
        <w:outlineLvl w:val="2"/>
        <w:rPr>
          <w:rFonts w:ascii="宋体"/>
          <w:b/>
          <w:color w:val="auto"/>
          <w:sz w:val="24"/>
          <w:highlight w:val="none"/>
        </w:rPr>
      </w:pPr>
      <w:r>
        <w:rPr>
          <w:rFonts w:hint="eastAsia" w:ascii="宋体" w:hAnsi="宋体"/>
          <w:b/>
          <w:color w:val="auto"/>
          <w:sz w:val="24"/>
          <w:highlight w:val="none"/>
        </w:rPr>
        <w:t>（七）供应商有下列情形之一的，列入失信名单，同时依照《政府采购法》第七十七条及《中华人民共和国政府采购法实施条例》第七十二条规定处罚并追求法律责任。</w:t>
      </w:r>
    </w:p>
    <w:p w14:paraId="2E4A31F9">
      <w:pPr>
        <w:snapToGrid w:val="0"/>
        <w:spacing w:line="360" w:lineRule="auto"/>
        <w:ind w:left="478" w:leftChars="228"/>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、提供虚假材料谋取中标、成交的；</w:t>
      </w:r>
      <w:r>
        <w:rPr>
          <w:rFonts w:ascii="宋体" w:hAnsi="宋体"/>
          <w:color w:val="auto"/>
          <w:sz w:val="24"/>
          <w:highlight w:val="none"/>
        </w:rPr>
        <w:t xml:space="preserve"> </w:t>
      </w:r>
    </w:p>
    <w:p w14:paraId="1DBDA90F">
      <w:pPr>
        <w:snapToGrid w:val="0"/>
        <w:spacing w:line="360" w:lineRule="auto"/>
        <w:ind w:left="478" w:leftChars="228"/>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、采取不正当手段诋毁、排挤其他供应商的；</w:t>
      </w:r>
      <w:r>
        <w:rPr>
          <w:rFonts w:ascii="宋体" w:hAnsi="宋体"/>
          <w:color w:val="auto"/>
          <w:sz w:val="24"/>
          <w:highlight w:val="none"/>
        </w:rPr>
        <w:t xml:space="preserve"> </w:t>
      </w:r>
    </w:p>
    <w:p w14:paraId="65E51C36">
      <w:pPr>
        <w:snapToGrid w:val="0"/>
        <w:spacing w:line="360" w:lineRule="auto"/>
        <w:ind w:left="478" w:leftChars="228"/>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、与采购人、其他供应商或者采购代理机构恶意串通的；</w:t>
      </w:r>
      <w:r>
        <w:rPr>
          <w:rFonts w:ascii="宋体" w:hAnsi="宋体"/>
          <w:color w:val="auto"/>
          <w:sz w:val="24"/>
          <w:highlight w:val="none"/>
        </w:rPr>
        <w:t xml:space="preserve"> </w:t>
      </w:r>
    </w:p>
    <w:p w14:paraId="3436F984">
      <w:pPr>
        <w:snapToGrid w:val="0"/>
        <w:spacing w:line="360" w:lineRule="auto"/>
        <w:ind w:left="478" w:leftChars="228"/>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、向采购人、采购代理机构行贿或者提供其他不正当利益的；</w:t>
      </w:r>
      <w:r>
        <w:rPr>
          <w:rFonts w:ascii="宋体" w:hAnsi="宋体"/>
          <w:color w:val="auto"/>
          <w:sz w:val="24"/>
          <w:highlight w:val="none"/>
        </w:rPr>
        <w:t xml:space="preserve"> </w:t>
      </w:r>
    </w:p>
    <w:p w14:paraId="7B1768F0">
      <w:pPr>
        <w:snapToGrid w:val="0"/>
        <w:spacing w:line="360" w:lineRule="auto"/>
        <w:ind w:left="478" w:leftChars="228"/>
        <w:jc w:val="left"/>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、在招标采购过程中与采购人进行协商谈判的；</w:t>
      </w:r>
      <w:r>
        <w:rPr>
          <w:rFonts w:ascii="宋体" w:hAnsi="宋体"/>
          <w:color w:val="auto"/>
          <w:sz w:val="24"/>
          <w:highlight w:val="none"/>
        </w:rPr>
        <w:t xml:space="preserve"> </w:t>
      </w:r>
    </w:p>
    <w:p w14:paraId="2E74D409">
      <w:pPr>
        <w:snapToGrid w:val="0"/>
        <w:spacing w:line="360" w:lineRule="auto"/>
        <w:ind w:left="478" w:leftChars="228"/>
        <w:jc w:val="left"/>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、向评标委员会、竞争性谈判小组或者询价小组成员行贿或者提供其他不正当利益；</w:t>
      </w:r>
    </w:p>
    <w:p w14:paraId="1E5C9928">
      <w:pPr>
        <w:snapToGrid w:val="0"/>
        <w:spacing w:line="360" w:lineRule="auto"/>
        <w:ind w:left="478" w:leftChars="228"/>
        <w:jc w:val="left"/>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、中标或者成交后无正当理由拒不与采购人签订政府采购合同；</w:t>
      </w:r>
    </w:p>
    <w:p w14:paraId="63D07D9A">
      <w:pPr>
        <w:snapToGrid w:val="0"/>
        <w:spacing w:line="360" w:lineRule="auto"/>
        <w:ind w:left="478" w:leftChars="228"/>
        <w:jc w:val="left"/>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、未按照采购文件确定的事项签订政府采购合同；</w:t>
      </w:r>
    </w:p>
    <w:p w14:paraId="49847478">
      <w:pPr>
        <w:snapToGrid w:val="0"/>
        <w:spacing w:line="360" w:lineRule="auto"/>
        <w:ind w:left="478" w:leftChars="228"/>
        <w:jc w:val="left"/>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、将政府采购合同转包；</w:t>
      </w:r>
    </w:p>
    <w:p w14:paraId="2714465F">
      <w:pPr>
        <w:snapToGrid w:val="0"/>
        <w:spacing w:line="360" w:lineRule="auto"/>
        <w:ind w:left="478" w:leftChars="228"/>
        <w:jc w:val="left"/>
        <w:rPr>
          <w:rFonts w:asci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、提供假冒伪劣产品；</w:t>
      </w:r>
    </w:p>
    <w:p w14:paraId="302B0063">
      <w:pPr>
        <w:snapToGrid w:val="0"/>
        <w:spacing w:line="360" w:lineRule="auto"/>
        <w:ind w:left="478" w:leftChars="228"/>
        <w:jc w:val="left"/>
        <w:rPr>
          <w:rFonts w:asci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、擅自变更、中止或者终止政府采购合同。</w:t>
      </w:r>
    </w:p>
    <w:p w14:paraId="64EF6FEC">
      <w:pPr>
        <w:snapToGrid w:val="0"/>
        <w:spacing w:line="360" w:lineRule="auto"/>
        <w:ind w:left="478" w:leftChars="228"/>
        <w:jc w:val="left"/>
        <w:rPr>
          <w:rFonts w:ascii="宋体" w:hAnsi="宋体" w:cs="宋体"/>
          <w:b/>
          <w:color w:val="auto"/>
          <w:sz w:val="24"/>
          <w:highlight w:val="none"/>
        </w:rPr>
      </w:pPr>
      <w:r>
        <w:rPr>
          <w:rFonts w:ascii="宋体" w:hAnsi="宋体"/>
          <w:color w:val="auto"/>
          <w:sz w:val="24"/>
          <w:highlight w:val="none"/>
        </w:rPr>
        <w:t>12</w:t>
      </w:r>
      <w:r>
        <w:rPr>
          <w:rFonts w:hint="eastAsia" w:ascii="宋体" w:hAnsi="宋体"/>
          <w:color w:val="auto"/>
          <w:sz w:val="24"/>
          <w:highlight w:val="none"/>
        </w:rPr>
        <w:t>、其他严重扰乱招投标程序的。</w:t>
      </w:r>
    </w:p>
    <w:p w14:paraId="688E054E">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（八）投标无效的情形</w:t>
      </w:r>
    </w:p>
    <w:p w14:paraId="223A39B6">
      <w:pPr>
        <w:spacing w:line="360" w:lineRule="auto"/>
        <w:ind w:firstLine="480" w:firstLineChars="200"/>
        <w:rPr>
          <w:color w:val="auto"/>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2B7034A5">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65FBECC1">
      <w:pPr>
        <w:spacing w:line="360" w:lineRule="auto"/>
        <w:rPr>
          <w:rFonts w:ascii="宋体" w:hAnsi="宋体" w:cs="宋体"/>
          <w:color w:val="auto"/>
          <w:sz w:val="24"/>
          <w:highlight w:val="none"/>
        </w:rPr>
      </w:pPr>
      <w:r>
        <w:rPr>
          <w:rFonts w:hint="eastAsia" w:ascii="宋体" w:hAnsi="宋体" w:cs="宋体"/>
          <w:color w:val="auto"/>
          <w:sz w:val="24"/>
          <w:highlight w:val="none"/>
        </w:rPr>
        <w:t>（1）在开评标时出现电子投标文件无法解密或解密失败等情况，投标人未提供电子备份投标文件，无法对投标人继续进行评审的；或仅提供电子备份投标文件的；</w:t>
      </w:r>
    </w:p>
    <w:p w14:paraId="0BB3B9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（2）投标文件格式不规范、项目不齐全或者内容虚假的；； </w:t>
      </w:r>
    </w:p>
    <w:p w14:paraId="5C47F334">
      <w:pPr>
        <w:spacing w:line="360" w:lineRule="auto"/>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14:paraId="3ACC6CFD">
      <w:pPr>
        <w:spacing w:line="450" w:lineRule="exact"/>
        <w:rPr>
          <w:rFonts w:ascii="宋体" w:hAnsi="宋体" w:cs="宋体"/>
          <w:color w:val="auto"/>
          <w:sz w:val="24"/>
          <w:highlight w:val="none"/>
        </w:rPr>
      </w:pPr>
      <w:r>
        <w:rPr>
          <w:rFonts w:hint="eastAsia" w:ascii="宋体" w:hAnsi="宋体" w:cs="宋体"/>
          <w:color w:val="auto"/>
          <w:sz w:val="24"/>
          <w:highlight w:val="none"/>
        </w:rPr>
        <w:t>（4）本项目投标截止之日前三年内，相关主体在“信用中国”网站、中国政府采购网有失信行为或被列入黑名单。</w:t>
      </w:r>
    </w:p>
    <w:p w14:paraId="13EA0F93">
      <w:pPr>
        <w:pStyle w:val="2"/>
        <w:ind w:firstLine="480"/>
        <w:rPr>
          <w:color w:val="auto"/>
          <w:highlight w:val="none"/>
        </w:rPr>
      </w:pPr>
    </w:p>
    <w:p w14:paraId="2134C3D5">
      <w:pPr>
        <w:spacing w:line="360" w:lineRule="auto"/>
        <w:rPr>
          <w:rFonts w:ascii="宋体" w:hAnsi="宋体" w:cs="宋体"/>
          <w:color w:val="auto"/>
          <w:sz w:val="24"/>
          <w:highlight w:val="none"/>
        </w:rPr>
      </w:pPr>
      <w:r>
        <w:rPr>
          <w:rFonts w:hint="eastAsia" w:ascii="宋体" w:hAnsi="宋体" w:cs="宋体"/>
          <w:color w:val="auto"/>
          <w:sz w:val="24"/>
          <w:highlight w:val="none"/>
        </w:rPr>
        <w:t>（5）投标文件无法定代表人签字,或未提供法定代表人授权委托书、投标声明书或者填写项目不齐全的；</w:t>
      </w:r>
    </w:p>
    <w:p w14:paraId="16831A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（6）投标代表人未能出具身份证明或与法定代表人授权委托人身份不符的； </w:t>
      </w:r>
    </w:p>
    <w:p w14:paraId="7E9F4073">
      <w:pPr>
        <w:spacing w:line="360" w:lineRule="auto"/>
        <w:rPr>
          <w:rFonts w:ascii="宋体" w:hAnsi="宋体" w:cs="宋体"/>
          <w:color w:val="auto"/>
          <w:sz w:val="24"/>
          <w:highlight w:val="none"/>
        </w:rPr>
      </w:pPr>
      <w:r>
        <w:rPr>
          <w:rFonts w:hint="eastAsia" w:ascii="宋体" w:hAnsi="宋体" w:cs="宋体"/>
          <w:color w:val="auto"/>
          <w:sz w:val="24"/>
          <w:highlight w:val="none"/>
        </w:rPr>
        <w:t>（7）</w:t>
      </w:r>
      <w:r>
        <w:rPr>
          <w:rFonts w:hint="eastAsia" w:hAnsi="宋体"/>
          <w:color w:val="auto"/>
          <w:sz w:val="24"/>
          <w:highlight w:val="none"/>
        </w:rPr>
        <w:t>电子投标文件未按规定要求进行签字、电子签章的</w:t>
      </w:r>
      <w:r>
        <w:rPr>
          <w:rFonts w:hint="eastAsia" w:ascii="宋体" w:hAnsi="宋体" w:cs="宋体"/>
          <w:color w:val="auto"/>
          <w:sz w:val="24"/>
          <w:highlight w:val="none"/>
        </w:rPr>
        <w:t>；</w:t>
      </w:r>
    </w:p>
    <w:p w14:paraId="5A06DA3C">
      <w:pPr>
        <w:spacing w:line="360" w:lineRule="auto"/>
        <w:rPr>
          <w:rFonts w:ascii="宋体" w:hAnsi="宋体" w:cs="宋体"/>
          <w:color w:val="auto"/>
          <w:sz w:val="24"/>
          <w:highlight w:val="none"/>
        </w:rPr>
      </w:pPr>
      <w:r>
        <w:rPr>
          <w:rFonts w:hint="eastAsia" w:ascii="宋体" w:hAnsi="宋体" w:cs="宋体"/>
          <w:color w:val="auto"/>
          <w:sz w:val="24"/>
          <w:highlight w:val="none"/>
        </w:rPr>
        <w:t>（8）投标文件的实质性内容未使用中文表述的或意思表述不明确、前后矛盾的或者使用计量单位不符合招标文件要求的（经评标委员会认定并允许其当场更正的笔误除外）；</w:t>
      </w:r>
    </w:p>
    <w:p w14:paraId="3F3105B1">
      <w:pPr>
        <w:spacing w:line="400" w:lineRule="atLeast"/>
        <w:rPr>
          <w:rFonts w:ascii="宋体" w:hAnsi="宋体" w:cs="宋体"/>
          <w:color w:val="auto"/>
          <w:sz w:val="24"/>
          <w:highlight w:val="none"/>
        </w:rPr>
      </w:pPr>
      <w:r>
        <w:rPr>
          <w:rFonts w:hint="eastAsia" w:ascii="宋体" w:hAnsi="宋体" w:cs="宋体"/>
          <w:color w:val="auto"/>
          <w:sz w:val="24"/>
          <w:highlight w:val="none"/>
        </w:rPr>
        <w:t>（9）投标有效期、服务期（交货期）、质保期、付款方式等商务条款不能满足招标文件要求的；</w:t>
      </w:r>
    </w:p>
    <w:p w14:paraId="73235378">
      <w:pPr>
        <w:pStyle w:val="43"/>
        <w:spacing w:line="400" w:lineRule="atLeast"/>
        <w:ind w:firstLine="0" w:firstLineChars="0"/>
        <w:rPr>
          <w:color w:val="auto"/>
          <w:sz w:val="24"/>
          <w:szCs w:val="24"/>
          <w:highlight w:val="none"/>
        </w:rPr>
      </w:pPr>
      <w:r>
        <w:rPr>
          <w:rFonts w:hint="eastAsia" w:hAnsi="宋体" w:cs="宋体"/>
          <w:color w:val="auto"/>
          <w:sz w:val="24"/>
          <w:highlight w:val="none"/>
        </w:rPr>
        <w:t>（10）</w:t>
      </w:r>
      <w:r>
        <w:rPr>
          <w:rFonts w:hint="eastAsia"/>
          <w:color w:val="auto"/>
          <w:sz w:val="24"/>
          <w:szCs w:val="24"/>
          <w:highlight w:val="none"/>
        </w:rPr>
        <w:t>未实质性响应招标文件中标有“▲”条款要求的；</w:t>
      </w:r>
    </w:p>
    <w:p w14:paraId="72411952">
      <w:pPr>
        <w:spacing w:line="360" w:lineRule="auto"/>
        <w:rPr>
          <w:rFonts w:ascii="宋体" w:hAnsi="宋体" w:cs="宋体"/>
          <w:color w:val="auto"/>
          <w:sz w:val="24"/>
          <w:highlight w:val="none"/>
        </w:rPr>
      </w:pPr>
      <w:r>
        <w:rPr>
          <w:rFonts w:hint="eastAsia" w:ascii="宋体" w:hAnsi="宋体" w:cs="宋体"/>
          <w:color w:val="auto"/>
          <w:sz w:val="24"/>
          <w:highlight w:val="none"/>
        </w:rPr>
        <w:t>（11）有下列情形之一的，视为投标人串通投标，其投标无效:</w:t>
      </w:r>
    </w:p>
    <w:p w14:paraId="3243A8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A.不同投标人的投标文件由同一单位或者个人编制；</w:t>
      </w:r>
    </w:p>
    <w:p w14:paraId="30535B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B.不同投标人委托同一单位或者个人办理投标事宜；</w:t>
      </w:r>
    </w:p>
    <w:p w14:paraId="1EC63F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C.不同投标人的投标文件载明的项目管理成员或者联系人员为同一人；</w:t>
      </w:r>
    </w:p>
    <w:p w14:paraId="16AB62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D.不同投标人的投标文件异常一致或者投标报价呈规律性差异；</w:t>
      </w:r>
    </w:p>
    <w:p w14:paraId="742C4C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E.不同投标人的投标文件相互混装；</w:t>
      </w:r>
    </w:p>
    <w:p w14:paraId="7EAB4885">
      <w:pPr>
        <w:spacing w:line="400" w:lineRule="atLeast"/>
        <w:rPr>
          <w:rFonts w:ascii="宋体" w:hAnsi="宋体" w:cs="宋体"/>
          <w:color w:val="auto"/>
          <w:sz w:val="24"/>
          <w:highlight w:val="none"/>
        </w:rPr>
      </w:pPr>
      <w:r>
        <w:rPr>
          <w:rFonts w:hint="eastAsia" w:ascii="宋体" w:hAnsi="宋体" w:cs="宋体"/>
          <w:color w:val="auto"/>
          <w:sz w:val="24"/>
          <w:highlight w:val="none"/>
        </w:rPr>
        <w:t>（12）不同供应商制作电子投标（响应）文件的计算机网卡MAC地址相同的；</w:t>
      </w:r>
    </w:p>
    <w:p w14:paraId="73CFC0F0">
      <w:pPr>
        <w:spacing w:line="400" w:lineRule="atLeast"/>
        <w:rPr>
          <w:rFonts w:ascii="宋体" w:hAnsi="宋体" w:cs="宋体"/>
          <w:color w:val="auto"/>
          <w:sz w:val="24"/>
          <w:highlight w:val="none"/>
        </w:rPr>
      </w:pPr>
      <w:r>
        <w:rPr>
          <w:rFonts w:hint="eastAsia" w:ascii="宋体" w:hAnsi="宋体" w:cs="宋体"/>
          <w:color w:val="auto"/>
          <w:sz w:val="24"/>
          <w:highlight w:val="none"/>
        </w:rPr>
        <w:t>（13）不同供应商制作电子投标（响应）文件的计算机硬盘序列号相同的；</w:t>
      </w:r>
    </w:p>
    <w:p w14:paraId="6253DBCA">
      <w:pPr>
        <w:spacing w:line="400" w:lineRule="atLeast"/>
        <w:rPr>
          <w:rFonts w:ascii="宋体" w:hAnsi="宋体" w:cs="宋体"/>
          <w:color w:val="auto"/>
          <w:sz w:val="24"/>
          <w:highlight w:val="none"/>
        </w:rPr>
      </w:pPr>
      <w:r>
        <w:rPr>
          <w:rFonts w:hint="eastAsia" w:ascii="宋体" w:hAnsi="宋体" w:cs="宋体"/>
          <w:color w:val="auto"/>
          <w:sz w:val="24"/>
          <w:highlight w:val="none"/>
        </w:rPr>
        <w:t>（14）不同供应商的投标（响应）文件的内容存在两处以上细节错误一致，且无法合理解释的；</w:t>
      </w:r>
    </w:p>
    <w:p w14:paraId="3B0F8F11">
      <w:pPr>
        <w:spacing w:line="400" w:lineRule="atLeast"/>
        <w:rPr>
          <w:rFonts w:ascii="宋体" w:hAnsi="宋体" w:cs="宋体"/>
          <w:color w:val="auto"/>
          <w:sz w:val="24"/>
          <w:highlight w:val="none"/>
        </w:rPr>
      </w:pPr>
      <w:r>
        <w:rPr>
          <w:rFonts w:hint="eastAsia" w:ascii="宋体" w:hAnsi="宋体" w:cs="宋体"/>
          <w:color w:val="auto"/>
          <w:sz w:val="24"/>
          <w:highlight w:val="none"/>
        </w:rPr>
        <w:t>（15）未实质性响应招标文件要求或者投标文件有招标方不能接受的附加条件的；</w:t>
      </w:r>
    </w:p>
    <w:p w14:paraId="370B62FD">
      <w:pPr>
        <w:spacing w:line="400" w:lineRule="atLeast"/>
        <w:rPr>
          <w:rFonts w:ascii="宋体" w:hAnsi="宋体" w:cs="宋体"/>
          <w:color w:val="auto"/>
          <w:sz w:val="24"/>
          <w:highlight w:val="none"/>
        </w:rPr>
      </w:pPr>
      <w:r>
        <w:rPr>
          <w:rFonts w:hint="eastAsia" w:ascii="宋体" w:hAnsi="宋体" w:cs="宋体"/>
          <w:color w:val="auto"/>
          <w:sz w:val="24"/>
          <w:highlight w:val="none"/>
        </w:rPr>
        <w:t>（16）招标文件规定的其它投标无效的情况；</w:t>
      </w:r>
    </w:p>
    <w:p w14:paraId="0520DD42">
      <w:pPr>
        <w:tabs>
          <w:tab w:val="left" w:pos="401"/>
        </w:tabs>
        <w:spacing w:line="400" w:lineRule="atLeast"/>
        <w:rPr>
          <w:rFonts w:ascii="宋体" w:hAnsi="宋体" w:cs="宋体"/>
          <w:color w:val="auto"/>
          <w:sz w:val="24"/>
          <w:highlight w:val="none"/>
        </w:rPr>
      </w:pPr>
      <w:r>
        <w:rPr>
          <w:rFonts w:hint="eastAsia" w:ascii="宋体" w:hAnsi="宋体" w:cs="宋体"/>
          <w:color w:val="auto"/>
          <w:sz w:val="24"/>
          <w:highlight w:val="none"/>
        </w:rPr>
        <w:t>（17）法律、法规规定的其它投标无效情况。</w:t>
      </w:r>
    </w:p>
    <w:p w14:paraId="43200DC9">
      <w:pPr>
        <w:spacing w:line="400" w:lineRule="atLeast"/>
        <w:ind w:firstLine="482"/>
        <w:rPr>
          <w:rFonts w:ascii="宋体" w:hAnsi="宋体" w:cs="宋体"/>
          <w:b/>
          <w:color w:val="auto"/>
          <w:sz w:val="24"/>
          <w:highlight w:val="none"/>
        </w:rPr>
      </w:pPr>
      <w:r>
        <w:rPr>
          <w:rFonts w:hint="eastAsia" w:ascii="宋体" w:hAnsi="宋体" w:cs="宋体"/>
          <w:b/>
          <w:color w:val="auto"/>
          <w:sz w:val="24"/>
          <w:highlight w:val="none"/>
        </w:rPr>
        <w:t>2.在技术评审时，如发现下列情形之一的，投标文件将被视为无效：</w:t>
      </w:r>
    </w:p>
    <w:p w14:paraId="0B7B44BC">
      <w:pPr>
        <w:spacing w:line="400" w:lineRule="atLeast"/>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54BA533E">
      <w:pPr>
        <w:spacing w:line="400" w:lineRule="atLeast"/>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785BADB7">
      <w:pPr>
        <w:spacing w:line="400" w:lineRule="atLeast"/>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 ▲”特殊符号的技术指标、主要功能项目发生实质性偏离的；</w:t>
      </w:r>
    </w:p>
    <w:p w14:paraId="357E5A92">
      <w:pPr>
        <w:spacing w:line="400" w:lineRule="atLeast"/>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262C41A1">
      <w:pPr>
        <w:spacing w:line="400" w:lineRule="atLeast"/>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2AF52E52">
      <w:pPr>
        <w:spacing w:line="400" w:lineRule="atLeast"/>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700D7393">
      <w:pPr>
        <w:spacing w:line="400" w:lineRule="atLeast"/>
        <w:rPr>
          <w:rFonts w:ascii="宋体" w:hAnsi="宋体" w:cs="宋体"/>
          <w:color w:val="auto"/>
          <w:sz w:val="24"/>
          <w:highlight w:val="none"/>
        </w:rPr>
      </w:pPr>
      <w:r>
        <w:rPr>
          <w:rFonts w:hint="eastAsia" w:ascii="宋体" w:hAnsi="宋体" w:cs="宋体"/>
          <w:color w:val="auto"/>
          <w:sz w:val="24"/>
          <w:highlight w:val="none"/>
        </w:rPr>
        <w:t>（7）招标文件规定的其它投标无效的情况；</w:t>
      </w:r>
    </w:p>
    <w:p w14:paraId="3BF06198">
      <w:pPr>
        <w:spacing w:line="400" w:lineRule="atLeast"/>
        <w:rPr>
          <w:rFonts w:ascii="宋体" w:hAnsi="宋体" w:cs="宋体"/>
          <w:color w:val="auto"/>
          <w:sz w:val="24"/>
          <w:highlight w:val="none"/>
        </w:rPr>
      </w:pPr>
      <w:r>
        <w:rPr>
          <w:rFonts w:hint="eastAsia" w:ascii="宋体" w:hAnsi="宋体" w:cs="宋体"/>
          <w:color w:val="auto"/>
          <w:sz w:val="24"/>
          <w:highlight w:val="none"/>
        </w:rPr>
        <w:t>（8）法律、法规规定的其它投标无效情况。</w:t>
      </w:r>
    </w:p>
    <w:p w14:paraId="09C54D59">
      <w:pPr>
        <w:spacing w:line="400" w:lineRule="atLeast"/>
        <w:ind w:firstLine="482"/>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571EF8F9">
      <w:pPr>
        <w:spacing w:line="400" w:lineRule="atLeast"/>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1D1C874F">
      <w:pPr>
        <w:spacing w:line="400" w:lineRule="atLeast"/>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05C8555A">
      <w:pPr>
        <w:spacing w:line="400" w:lineRule="atLeast"/>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41BA0128">
      <w:pPr>
        <w:spacing w:line="400" w:lineRule="atLeast"/>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17C7B4F5">
      <w:pPr>
        <w:spacing w:line="400" w:lineRule="atLeast"/>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4B965B20">
      <w:pPr>
        <w:spacing w:line="400" w:lineRule="atLeast"/>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14:paraId="4A705093">
      <w:pPr>
        <w:pStyle w:val="2"/>
        <w:spacing w:line="400" w:lineRule="atLeast"/>
        <w:ind w:left="0" w:leftChars="0" w:firstLine="0" w:firstLineChars="0"/>
        <w:rPr>
          <w:color w:val="auto"/>
          <w:highlight w:val="none"/>
        </w:rPr>
      </w:pPr>
      <w:r>
        <w:rPr>
          <w:rFonts w:hint="eastAsia" w:ascii="宋体" w:hAnsi="宋体" w:cs="宋体"/>
          <w:color w:val="auto"/>
          <w:sz w:val="24"/>
          <w:highlight w:val="none"/>
        </w:rPr>
        <w:t>（7）</w:t>
      </w:r>
      <w:r>
        <w:rPr>
          <w:rFonts w:hint="eastAsia" w:hAnsi="宋体"/>
          <w:b/>
          <w:bCs/>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E7BFA1">
      <w:pPr>
        <w:pStyle w:val="3"/>
        <w:snapToGrid w:val="0"/>
        <w:spacing w:line="360" w:lineRule="auto"/>
        <w:ind w:firstLine="482"/>
        <w:rPr>
          <w:rFonts w:hAnsi="宋体" w:cs="宋体"/>
          <w:b/>
          <w:color w:val="auto"/>
          <w:spacing w:val="0"/>
          <w:sz w:val="24"/>
          <w:szCs w:val="24"/>
          <w:highlight w:val="none"/>
        </w:rPr>
      </w:pPr>
      <w:r>
        <w:rPr>
          <w:rFonts w:hint="eastAsia" w:hAnsi="宋体" w:cs="宋体"/>
          <w:b/>
          <w:color w:val="auto"/>
          <w:spacing w:val="0"/>
          <w:sz w:val="24"/>
          <w:szCs w:val="24"/>
          <w:highlight w:val="none"/>
        </w:rPr>
        <w:t>4.被拒绝的投标文件为无效。</w:t>
      </w:r>
    </w:p>
    <w:p w14:paraId="3300B976">
      <w:pPr>
        <w:pStyle w:val="3"/>
        <w:snapToGrid w:val="0"/>
        <w:spacing w:line="360" w:lineRule="auto"/>
        <w:ind w:firstLine="482"/>
        <w:rPr>
          <w:color w:val="auto"/>
          <w:highlight w:val="none"/>
        </w:rPr>
      </w:pPr>
      <w:r>
        <w:rPr>
          <w:rFonts w:hint="eastAsia" w:hAnsi="宋体" w:cs="宋体"/>
          <w:b/>
          <w:color w:val="auto"/>
          <w:spacing w:val="0"/>
          <w:sz w:val="24"/>
          <w:szCs w:val="24"/>
          <w:highlight w:val="none"/>
        </w:rPr>
        <w:t>5．对仅出现以上1、2、3情形之一中小项情况的，经审定凡没有实质性影响和损害的，可不作无效标处理。</w:t>
      </w:r>
    </w:p>
    <w:p w14:paraId="0A426A72">
      <w:pPr>
        <w:pStyle w:val="5"/>
        <w:keepNext w:val="0"/>
        <w:keepLines w:val="0"/>
        <w:pageBreakBefore/>
        <w:spacing w:line="360" w:lineRule="auto"/>
        <w:ind w:firstLine="482"/>
        <w:jc w:val="center"/>
        <w:rPr>
          <w:rFonts w:ascii="宋体" w:hAnsi="宋体" w:eastAsia="宋体" w:cs="宋体"/>
          <w:color w:val="auto"/>
          <w:sz w:val="24"/>
          <w:szCs w:val="24"/>
          <w:highlight w:val="none"/>
        </w:rPr>
      </w:pPr>
      <w:bookmarkStart w:id="15" w:name="_Toc28071"/>
      <w:bookmarkStart w:id="16" w:name="_Toc458697270"/>
      <w:r>
        <w:rPr>
          <w:rFonts w:hint="eastAsia" w:ascii="宋体" w:hAnsi="宋体" w:eastAsia="宋体" w:cs="宋体"/>
          <w:color w:val="auto"/>
          <w:sz w:val="24"/>
          <w:szCs w:val="24"/>
          <w:highlight w:val="none"/>
        </w:rPr>
        <w:t>四、开标</w:t>
      </w:r>
      <w:bookmarkEnd w:id="15"/>
      <w:bookmarkEnd w:id="16"/>
    </w:p>
    <w:p w14:paraId="478CE662">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6C5E0138">
      <w:pPr>
        <w:snapToGrid w:val="0"/>
        <w:spacing w:line="380" w:lineRule="exact"/>
        <w:ind w:firstLine="480" w:firstLineChars="200"/>
        <w:rPr>
          <w:color w:val="auto"/>
          <w:highlight w:val="none"/>
        </w:rPr>
      </w:pPr>
      <w:r>
        <w:rPr>
          <w:rFonts w:hint="eastAsia" w:ascii="宋体" w:hAnsi="宋体" w:cs="宋体"/>
          <w:b/>
          <w:bCs/>
          <w:color w:val="auto"/>
          <w:sz w:val="24"/>
          <w:highlight w:val="none"/>
        </w:rPr>
        <w:t>本项目不要求投标人到开标现场开标，但投标人应派法定代表人或委托代理人【委托代理人应当是投标人的在职正式职工（</w:t>
      </w:r>
      <w:r>
        <w:rPr>
          <w:rFonts w:hint="eastAsia" w:ascii="宋体" w:hAnsi="宋体" w:cs="Arial"/>
          <w:b/>
          <w:bCs/>
          <w:color w:val="auto"/>
          <w:sz w:val="24"/>
          <w:highlight w:val="none"/>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color w:val="auto"/>
          <w:sz w:val="24"/>
          <w:highlight w:val="none"/>
        </w:rPr>
        <w:t>）】准时在线出席电子开标会议，随时关注开标进度，如在开标过程中有电子询标，应在规定的时间内对电子询标函进行澄清</w:t>
      </w:r>
      <w:r>
        <w:rPr>
          <w:rFonts w:hint="eastAsia" w:ascii="宋体" w:hAnsi="宋体" w:cs="Arial"/>
          <w:b/>
          <w:bCs/>
          <w:color w:val="auto"/>
          <w:sz w:val="24"/>
          <w:highlight w:val="none"/>
        </w:rPr>
        <w:t>、答复</w:t>
      </w:r>
      <w:r>
        <w:rPr>
          <w:rFonts w:hint="eastAsia" w:ascii="宋体" w:hAnsi="宋体" w:cs="宋体"/>
          <w:b/>
          <w:bCs/>
          <w:color w:val="auto"/>
          <w:sz w:val="24"/>
          <w:highlight w:val="none"/>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0AAFC491">
      <w:pPr>
        <w:snapToGrid w:val="0"/>
        <w:spacing w:before="156" w:beforeLines="50" w:line="360" w:lineRule="auto"/>
        <w:ind w:firstLine="470" w:firstLineChars="196"/>
        <w:jc w:val="left"/>
        <w:outlineLvl w:val="1"/>
        <w:rPr>
          <w:rFonts w:ascii="宋体" w:hAnsi="宋体" w:cs="Arial"/>
          <w:b/>
          <w:bCs/>
          <w:color w:val="auto"/>
          <w:sz w:val="24"/>
          <w:highlight w:val="none"/>
        </w:rPr>
      </w:pPr>
      <w:r>
        <w:rPr>
          <w:rFonts w:hint="eastAsia" w:ascii="宋体" w:hAnsi="宋体" w:cs="Arial"/>
          <w:b/>
          <w:bCs/>
          <w:color w:val="auto"/>
          <w:sz w:val="24"/>
          <w:highlight w:val="none"/>
        </w:rPr>
        <w:t>投标人未按招标文件要求派代表参加电子开标会议的，视同认可开标结果，不得对开标过程及开标结果提出质疑。</w:t>
      </w:r>
    </w:p>
    <w:p w14:paraId="2F3331DA">
      <w:pPr>
        <w:snapToGrid w:val="0"/>
        <w:spacing w:line="312" w:lineRule="auto"/>
        <w:ind w:firstLine="480" w:firstLineChars="200"/>
        <w:rPr>
          <w:rFonts w:ascii="宋体" w:hAnsi="宋体" w:cs="Arial"/>
          <w:b/>
          <w:color w:val="auto"/>
          <w:sz w:val="24"/>
          <w:highlight w:val="none"/>
        </w:rPr>
      </w:pPr>
      <w:r>
        <w:rPr>
          <w:rFonts w:hint="eastAsia" w:ascii="宋体" w:hAnsi="宋体" w:cs="Arial"/>
          <w:b/>
          <w:color w:val="auto"/>
          <w:sz w:val="24"/>
          <w:highlight w:val="none"/>
        </w:rPr>
        <w:t>投标截止时间后及评审过程中，有效投标人不足3家的标项，则予以废标。</w:t>
      </w:r>
    </w:p>
    <w:p w14:paraId="314A5F5F">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1C32DE0F">
      <w:pPr>
        <w:spacing w:line="440" w:lineRule="exact"/>
        <w:ind w:firstLine="480"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、本项目原则上采用政采云电子招投标系统进行开标及评审，但有下情形之一的，按以下情况处理：</w:t>
      </w:r>
    </w:p>
    <w:p w14:paraId="607F464E">
      <w:pPr>
        <w:pStyle w:val="24"/>
        <w:ind w:firstLine="240" w:firstLineChars="100"/>
        <w:rPr>
          <w:color w:val="auto"/>
          <w:highlight w:val="none"/>
        </w:rPr>
      </w:pPr>
      <w:r>
        <w:rPr>
          <w:rFonts w:hint="eastAsia"/>
          <w:color w:val="auto"/>
          <w:highlight w:val="none"/>
        </w:rPr>
        <w:t>（</w:t>
      </w:r>
      <w:r>
        <w:rPr>
          <w:color w:val="auto"/>
          <w:highlight w:val="none"/>
        </w:rPr>
        <w:t>1</w:t>
      </w:r>
      <w:r>
        <w:rPr>
          <w:rFonts w:hint="eastAsia"/>
          <w:color w:val="auto"/>
          <w:highlight w:val="none"/>
        </w:rPr>
        <w:t>）若投标人的电子投标文件在规定时间内无法解密或解密失败，工作人员将开启投标人递交的电子备份投标文件，以完成开标。</w:t>
      </w:r>
    </w:p>
    <w:p w14:paraId="22EBBE58">
      <w:pPr>
        <w:pStyle w:val="24"/>
        <w:ind w:firstLine="240" w:firstLineChars="100"/>
        <w:rPr>
          <w:bCs/>
          <w:color w:val="auto"/>
          <w:highlight w:val="none"/>
        </w:rPr>
      </w:pPr>
      <w:r>
        <w:rPr>
          <w:rFonts w:hint="eastAsia"/>
          <w:color w:val="auto"/>
          <w:highlight w:val="none"/>
        </w:rPr>
        <w:t>（</w:t>
      </w:r>
      <w:r>
        <w:rPr>
          <w:color w:val="auto"/>
          <w:highlight w:val="none"/>
        </w:rPr>
        <w:t>2</w:t>
      </w:r>
      <w:r>
        <w:rPr>
          <w:rFonts w:hint="eastAsia"/>
          <w:color w:val="auto"/>
          <w:highlight w:val="none"/>
        </w:rPr>
        <w:t>）若投标人的电子投标文件在规定时间内无法解密或解密失败，或者因政采云平台原因无法读取或电子开评标无法正常进行时，工作人员将上传投标人的电子备份投标文件，以完成开标。</w:t>
      </w:r>
    </w:p>
    <w:p w14:paraId="0E82A00E">
      <w:pPr>
        <w:pStyle w:val="24"/>
        <w:ind w:firstLine="480" w:firstLineChars="200"/>
        <w:rPr>
          <w:color w:val="auto"/>
          <w:highlight w:val="none"/>
        </w:rPr>
      </w:pPr>
      <w:r>
        <w:rPr>
          <w:color w:val="auto"/>
          <w:highlight w:val="none"/>
        </w:rPr>
        <w:t>2</w:t>
      </w:r>
      <w:r>
        <w:rPr>
          <w:rFonts w:hint="eastAsia"/>
          <w:color w:val="auto"/>
          <w:highlight w:val="none"/>
        </w:rPr>
        <w:t>、开标及评审程序</w:t>
      </w:r>
    </w:p>
    <w:p w14:paraId="54E14F24">
      <w:pPr>
        <w:spacing w:line="440" w:lineRule="exact"/>
        <w:ind w:firstLine="480" w:firstLineChars="200"/>
        <w:rPr>
          <w:rFonts w:ascii="宋体" w:cs="Arial"/>
          <w:b/>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1</w:t>
      </w:r>
      <w:r>
        <w:rPr>
          <w:rFonts w:hint="eastAsia" w:ascii="宋体" w:hAnsi="宋体"/>
          <w:b/>
          <w:bCs/>
          <w:color w:val="auto"/>
          <w:sz w:val="24"/>
          <w:highlight w:val="none"/>
        </w:rPr>
        <w:t>）投标截止时间后，</w:t>
      </w:r>
      <w:r>
        <w:rPr>
          <w:rFonts w:hint="eastAsia" w:ascii="宋体" w:hAnsi="宋体" w:cs="Arial"/>
          <w:b/>
          <w:color w:val="auto"/>
          <w:sz w:val="24"/>
          <w:highlight w:val="none"/>
        </w:rPr>
        <w:t>投标人</w:t>
      </w:r>
      <w:r>
        <w:rPr>
          <w:rFonts w:hint="eastAsia" w:ascii="宋体" w:hAnsi="宋体" w:cs="Arial"/>
          <w:b/>
          <w:bCs/>
          <w:color w:val="auto"/>
          <w:sz w:val="24"/>
          <w:highlight w:val="none"/>
        </w:rPr>
        <w:t>须</w:t>
      </w:r>
      <w:r>
        <w:rPr>
          <w:rFonts w:hint="eastAsia" w:ascii="宋体" w:hAnsi="宋体" w:cs="Arial"/>
          <w:b/>
          <w:color w:val="auto"/>
          <w:sz w:val="24"/>
          <w:highlight w:val="none"/>
        </w:rPr>
        <w:t>登录政采云平台，用“项目采购</w:t>
      </w:r>
      <w:r>
        <w:rPr>
          <w:rFonts w:ascii="宋体" w:cs="Arial"/>
          <w:b/>
          <w:color w:val="auto"/>
          <w:sz w:val="24"/>
          <w:highlight w:val="none"/>
        </w:rPr>
        <w:t>-</w:t>
      </w:r>
      <w:r>
        <w:rPr>
          <w:rFonts w:hint="eastAsia" w:ascii="宋体" w:hAnsi="宋体" w:cs="Arial"/>
          <w:b/>
          <w:color w:val="auto"/>
          <w:sz w:val="24"/>
          <w:highlight w:val="none"/>
        </w:rPr>
        <w:t>开标评标”功能对电子投标文件进行在线解密。在线解密电子投标文件时间为</w:t>
      </w:r>
      <w:r>
        <w:rPr>
          <w:rFonts w:hint="eastAsia" w:ascii="宋体" w:hAnsi="宋体"/>
          <w:b/>
          <w:bCs/>
          <w:color w:val="auto"/>
          <w:sz w:val="24"/>
          <w:highlight w:val="none"/>
        </w:rPr>
        <w:t>投标截止时间</w:t>
      </w:r>
      <w:r>
        <w:rPr>
          <w:rFonts w:hint="eastAsia" w:ascii="宋体" w:hAnsi="宋体" w:cs="Arial"/>
          <w:b/>
          <w:color w:val="auto"/>
          <w:sz w:val="24"/>
          <w:highlight w:val="none"/>
        </w:rPr>
        <w:t>起半个小时内。</w:t>
      </w:r>
    </w:p>
    <w:p w14:paraId="1C4A6DB2">
      <w:pPr>
        <w:spacing w:line="440" w:lineRule="exact"/>
        <w:ind w:firstLine="480" w:firstLineChars="200"/>
        <w:rPr>
          <w:rFonts w:asci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2</w:t>
      </w:r>
      <w:r>
        <w:rPr>
          <w:rFonts w:hint="eastAsia" w:ascii="宋体" w:hAnsi="宋体"/>
          <w:b/>
          <w:bCs/>
          <w:color w:val="auto"/>
          <w:sz w:val="24"/>
          <w:highlight w:val="none"/>
        </w:rPr>
        <w:t>）由采购人代表对资格审查文件进行评审，评标委员会对商务技术响应文件进行评审；</w:t>
      </w:r>
    </w:p>
    <w:p w14:paraId="308B8EFD">
      <w:pPr>
        <w:spacing w:line="440" w:lineRule="exact"/>
        <w:ind w:firstLine="480" w:firstLineChars="200"/>
        <w:rPr>
          <w:rFonts w:asci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3</w:t>
      </w:r>
      <w:r>
        <w:rPr>
          <w:rFonts w:hint="eastAsia" w:ascii="宋体" w:hAnsi="宋体"/>
          <w:b/>
          <w:bCs/>
          <w:color w:val="auto"/>
          <w:sz w:val="24"/>
          <w:highlight w:val="none"/>
        </w:rPr>
        <w:t>）在系统上公开资格审查和技术商务评审结果；</w:t>
      </w:r>
    </w:p>
    <w:p w14:paraId="59DBB609">
      <w:pPr>
        <w:spacing w:line="440" w:lineRule="exact"/>
        <w:ind w:firstLine="480" w:firstLineChars="200"/>
        <w:rPr>
          <w:rFonts w:asci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4</w:t>
      </w:r>
      <w:r>
        <w:rPr>
          <w:rFonts w:hint="eastAsia" w:ascii="宋体" w:hAnsi="宋体"/>
          <w:b/>
          <w:bCs/>
          <w:color w:val="auto"/>
          <w:sz w:val="24"/>
          <w:highlight w:val="none"/>
        </w:rPr>
        <w:t>）在系统上公开报价开标情况；</w:t>
      </w:r>
    </w:p>
    <w:p w14:paraId="334A640A">
      <w:pPr>
        <w:spacing w:line="440" w:lineRule="exact"/>
        <w:ind w:firstLine="480" w:firstLineChars="200"/>
        <w:rPr>
          <w:rFonts w:asci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5</w:t>
      </w:r>
      <w:r>
        <w:rPr>
          <w:rFonts w:hint="eastAsia" w:ascii="宋体" w:hAnsi="宋体"/>
          <w:b/>
          <w:bCs/>
          <w:color w:val="auto"/>
          <w:sz w:val="24"/>
          <w:highlight w:val="none"/>
        </w:rPr>
        <w:t>）评标委员会对报价情况进行评审；</w:t>
      </w:r>
    </w:p>
    <w:p w14:paraId="5ADC064E">
      <w:pPr>
        <w:spacing w:line="440" w:lineRule="exact"/>
        <w:ind w:firstLine="480" w:firstLineChars="200"/>
        <w:rPr>
          <w:rFonts w:asci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6</w:t>
      </w:r>
      <w:r>
        <w:rPr>
          <w:rFonts w:hint="eastAsia" w:ascii="宋体" w:hAnsi="宋体"/>
          <w:b/>
          <w:bCs/>
          <w:color w:val="auto"/>
          <w:sz w:val="24"/>
          <w:highlight w:val="none"/>
        </w:rPr>
        <w:t>）在系统上公布评审结果。</w:t>
      </w:r>
    </w:p>
    <w:p w14:paraId="42784DD4">
      <w:pPr>
        <w:spacing w:line="440" w:lineRule="exact"/>
        <w:ind w:firstLine="480" w:firstLineChars="200"/>
        <w:jc w:val="center"/>
        <w:rPr>
          <w:rFonts w:hint="eastAsia" w:ascii="宋体" w:hAnsi="宋体"/>
          <w:b/>
          <w:bCs/>
          <w:color w:val="auto"/>
          <w:sz w:val="24"/>
          <w:highlight w:val="none"/>
        </w:rPr>
      </w:pPr>
      <w:r>
        <w:rPr>
          <w:rFonts w:hint="eastAsia" w:ascii="宋体" w:hAnsi="宋体"/>
          <w:b/>
          <w:bCs/>
          <w:color w:val="auto"/>
          <w:sz w:val="24"/>
          <w:highlight w:val="none"/>
        </w:rPr>
        <w:t>特别说明：政采云公司如对电子化开标及评审程序有调整的，按调整后的程序操作。</w:t>
      </w:r>
      <w:bookmarkStart w:id="17" w:name="_Toc13249"/>
      <w:bookmarkStart w:id="18" w:name="_Toc458697271"/>
      <w:bookmarkStart w:id="19" w:name="_Toc7166"/>
    </w:p>
    <w:p w14:paraId="14E445F2">
      <w:pPr>
        <w:rPr>
          <w:rFonts w:hint="eastAsia" w:ascii="宋体" w:hAnsi="宋体"/>
          <w:b/>
          <w:bCs/>
          <w:color w:val="auto"/>
          <w:sz w:val="24"/>
          <w:highlight w:val="none"/>
        </w:rPr>
      </w:pPr>
      <w:r>
        <w:rPr>
          <w:rFonts w:hint="eastAsia" w:ascii="宋体" w:hAnsi="宋体"/>
          <w:b/>
          <w:bCs/>
          <w:color w:val="auto"/>
          <w:sz w:val="24"/>
          <w:highlight w:val="none"/>
        </w:rPr>
        <w:br w:type="page"/>
      </w:r>
    </w:p>
    <w:p w14:paraId="6B1D366C">
      <w:pPr>
        <w:spacing w:line="440" w:lineRule="exact"/>
        <w:ind w:firstLine="480" w:firstLineChars="200"/>
        <w:jc w:val="center"/>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五、评标</w:t>
      </w:r>
      <w:bookmarkEnd w:id="17"/>
      <w:bookmarkEnd w:id="18"/>
      <w:bookmarkEnd w:id="19"/>
    </w:p>
    <w:p w14:paraId="63AA6B23">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（一）组建评标委员会</w:t>
      </w:r>
    </w:p>
    <w:p w14:paraId="49D1733B">
      <w:pPr>
        <w:spacing w:line="360" w:lineRule="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5</w:t>
      </w:r>
      <w:r>
        <w:rPr>
          <w:rFonts w:hint="eastAsia" w:ascii="宋体" w:hAnsi="宋体" w:cs="宋体"/>
          <w:color w:val="auto"/>
          <w:sz w:val="24"/>
          <w:highlight w:val="none"/>
        </w:rPr>
        <w:t>人组成。（允许采购人不推荐采购人代表参加，如采购人不推荐采购人代表参加评审时，评标委员会（5人）都从评标专家库中抽取）。</w:t>
      </w:r>
    </w:p>
    <w:p w14:paraId="3E3B00A8">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（二）评标的方式</w:t>
      </w:r>
    </w:p>
    <w:p w14:paraId="44D61BD3">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2B9B4DC7">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（三）评标程序</w:t>
      </w:r>
    </w:p>
    <w:p w14:paraId="17422358">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1.形式审查</w:t>
      </w:r>
    </w:p>
    <w:p w14:paraId="06168F4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0527634F">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41978A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3EBE8E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53D21A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color w:val="auto"/>
          <w:sz w:val="24"/>
          <w:highlight w:val="none"/>
        </w:rPr>
        <w:t>评标委员会认为投标人不符合招投文件实质性要求明确时，可不经过询标而直接予以无效标认定，但代理机构应将无效标原因当场告知投标人。</w:t>
      </w:r>
    </w:p>
    <w:p w14:paraId="55BA74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28108A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（4）招标方工作人员协助评标委员会审核商务报价有无计算错误，并根据本项目的评分标准计算各投标人的报价得分。</w:t>
      </w:r>
    </w:p>
    <w:p w14:paraId="1208E4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532558A9">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（四）澄清问题的形式</w:t>
      </w:r>
    </w:p>
    <w:p w14:paraId="787344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5FDC2C1E">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（五）错误修正</w:t>
      </w:r>
    </w:p>
    <w:p w14:paraId="5B3886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6A6C9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1E05DE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5CF9B4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64B85B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12ABC3B0">
      <w:pPr>
        <w:pStyle w:val="43"/>
        <w:spacing w:line="360" w:lineRule="auto"/>
        <w:ind w:firstLine="464"/>
        <w:rPr>
          <w:rFonts w:hAnsi="宋体" w:cs="宋体"/>
          <w:color w:val="auto"/>
          <w:sz w:val="24"/>
          <w:highlight w:val="none"/>
        </w:rPr>
      </w:pPr>
      <w:r>
        <w:rPr>
          <w:rFonts w:hint="eastAsia" w:hAnsi="宋体" w:cs="宋体"/>
          <w:color w:val="auto"/>
          <w:sz w:val="24"/>
          <w:highlight w:val="none"/>
        </w:rPr>
        <w:t>5.政采云系统投标报价与投标文件中开标一览表（报价表）相应内容不一致的，以开标一览表（报价表）为准。</w:t>
      </w:r>
    </w:p>
    <w:p w14:paraId="3D165C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24F221B5">
      <w:pPr>
        <w:tabs>
          <w:tab w:val="left" w:pos="630"/>
        </w:tabs>
        <w:snapToGrid w:val="0"/>
        <w:spacing w:line="440" w:lineRule="exact"/>
        <w:ind w:firstLine="470" w:firstLineChars="196"/>
        <w:rPr>
          <w:rFonts w:ascii="宋体" w:hAnsi="宋体" w:cs="宋体"/>
          <w:b/>
          <w:color w:val="auto"/>
          <w:sz w:val="24"/>
          <w:highlight w:val="none"/>
        </w:rPr>
      </w:pPr>
      <w:r>
        <w:rPr>
          <w:rFonts w:hint="eastAsia" w:ascii="宋体" w:hAnsi="宋体" w:cs="宋体"/>
          <w:bCs/>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color w:val="auto"/>
          <w:sz w:val="24"/>
          <w:highlight w:val="none"/>
        </w:rPr>
        <w:t>。</w:t>
      </w:r>
    </w:p>
    <w:p w14:paraId="5B127C51">
      <w:pPr>
        <w:spacing w:line="360" w:lineRule="auto"/>
        <w:ind w:firstLine="482"/>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6291F3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5242B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2.评标办法。本项目评标办法是综合评分法，具体评标内容及评分标准等详见《第四章：评标办法及评分标准》。</w:t>
      </w:r>
    </w:p>
    <w:p w14:paraId="3C0B0A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3、评标依据：评标委员会决定投标的响应性只根据投标文件的内容，而不寻求外部的证据。</w:t>
      </w:r>
    </w:p>
    <w:p w14:paraId="54D2B858">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（七）评标过程的监控</w:t>
      </w:r>
    </w:p>
    <w:p w14:paraId="5A24BAE6">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2EAC7E50">
      <w:pPr>
        <w:pStyle w:val="39"/>
        <w:adjustRightInd w:val="0"/>
        <w:snapToGrid w:val="0"/>
        <w:spacing w:beforeAutospacing="0" w:afterAutospacing="0" w:line="360" w:lineRule="auto"/>
        <w:ind w:firstLine="480" w:firstLineChars="200"/>
        <w:rPr>
          <w:b/>
          <w:color w:val="auto"/>
          <w:kern w:val="2"/>
          <w:highlight w:val="none"/>
        </w:rPr>
      </w:pPr>
      <w:r>
        <w:rPr>
          <w:rFonts w:hint="eastAsia"/>
          <w:b/>
          <w:color w:val="auto"/>
          <w:kern w:val="2"/>
          <w:highlight w:val="none"/>
        </w:rPr>
        <w:t>（八）评审纪律和要求</w:t>
      </w:r>
    </w:p>
    <w:p w14:paraId="33988C6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46BF86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1E4CB0B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2CCFB7B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5BA28E6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989654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5F9F18F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93ED6B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11F52CF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92CD9A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6BAC46B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736FF47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737F62F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600686A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143B086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3F35FB9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379D3A3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1A11100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0E038B9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6DDA63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1263831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2894FBC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20F191B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政府采购评审专家与投标人存在利害关系未回避的，处2万元以上5万元以下的罚款，禁止其参加政府采购评审活动。</w:t>
      </w:r>
    </w:p>
    <w:p w14:paraId="4DEC5E1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CB5D1A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4D48C4BD">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（九）其他</w:t>
      </w:r>
    </w:p>
    <w:p w14:paraId="1EE3E329">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5722E0B7">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1CB8F0AB">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7BAE4B30">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331416F0">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55FDEC35">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699CFB52">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bookmarkStart w:id="20" w:name="_Toc458697272"/>
      <w:bookmarkStart w:id="21" w:name="_Toc19907"/>
      <w:bookmarkStart w:id="22" w:name="_Toc3516"/>
    </w:p>
    <w:p w14:paraId="62FBAC89">
      <w:pPr>
        <w:spacing w:line="360" w:lineRule="auto"/>
        <w:ind w:firstLine="4068" w:firstLineChars="1695"/>
        <w:rPr>
          <w:rFonts w:ascii="宋体" w:hAnsi="宋体" w:cs="宋体"/>
          <w:b/>
          <w:bCs/>
          <w:color w:val="auto"/>
          <w:sz w:val="24"/>
          <w:highlight w:val="none"/>
        </w:rPr>
      </w:pPr>
      <w:r>
        <w:rPr>
          <w:rFonts w:hint="eastAsia" w:ascii="宋体" w:hAnsi="宋体" w:cs="宋体"/>
          <w:b/>
          <w:bCs/>
          <w:color w:val="auto"/>
          <w:sz w:val="24"/>
          <w:highlight w:val="none"/>
        </w:rPr>
        <w:t>六、定标</w:t>
      </w:r>
      <w:bookmarkEnd w:id="20"/>
      <w:bookmarkEnd w:id="21"/>
      <w:bookmarkEnd w:id="22"/>
    </w:p>
    <w:p w14:paraId="3E1DAC77">
      <w:pPr>
        <w:spacing w:line="360" w:lineRule="auto"/>
        <w:ind w:firstLine="480" w:firstLineChars="200"/>
        <w:rPr>
          <w:rFonts w:ascii="宋体" w:hAnsi="宋体" w:cs="宋体"/>
          <w:b/>
          <w:bCs/>
          <w:color w:val="auto"/>
          <w:sz w:val="24"/>
          <w:highlight w:val="none"/>
        </w:rPr>
      </w:pPr>
      <w:bookmarkStart w:id="23" w:name="_Toc458697273"/>
      <w:bookmarkStart w:id="24" w:name="_Toc27700"/>
      <w:bookmarkStart w:id="25" w:name="_Toc9345"/>
      <w:r>
        <w:rPr>
          <w:rFonts w:hint="eastAsia" w:ascii="宋体" w:hAnsi="宋体" w:cs="宋体"/>
          <w:b/>
          <w:bCs/>
          <w:color w:val="auto"/>
          <w:sz w:val="24"/>
          <w:highlight w:val="none"/>
        </w:rPr>
        <w:t>（一）确定中标人。本项目由采购人或者采购人授权评标委员会确定中标人。</w:t>
      </w:r>
    </w:p>
    <w:p w14:paraId="248220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排名第一的候选供应商，因自身原因放弃中标成交或因不可抗力不能履行合同的，采购人或者采购人授权的评标委员会可以按照评审报告推荐的中标或者成交候选人名单排序，确定下一候选人为中标或者成交供应商，也可以重新开展政府采购活动。</w:t>
      </w:r>
    </w:p>
    <w:p w14:paraId="21E8C8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2.经质疑，采购组织机构审查确认因排名第一的候选供应商在本次采购活动中存在违法违规行为或其他原因使质疑成立的，依照相关法律法规有关规定执行。</w:t>
      </w:r>
    </w:p>
    <w:p w14:paraId="5049BB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26D343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4.采购人或者采购代理机构应当自中标、成交供应商确定之日起2个工作日内，发出中标、成交通知书，并在省级以上人民政府财政部门指定的媒体上公告中标、成交结果。</w:t>
      </w:r>
    </w:p>
    <w:p w14:paraId="427F584E">
      <w:pPr>
        <w:spacing w:line="360" w:lineRule="auto"/>
        <w:ind w:firstLine="3840" w:firstLineChars="1600"/>
        <w:rPr>
          <w:rFonts w:ascii="宋体" w:hAnsi="宋体" w:cs="宋体"/>
          <w:b/>
          <w:bCs/>
          <w:color w:val="auto"/>
          <w:sz w:val="24"/>
          <w:highlight w:val="none"/>
        </w:rPr>
      </w:pPr>
      <w:r>
        <w:rPr>
          <w:rFonts w:hint="eastAsia" w:ascii="宋体" w:hAnsi="宋体" w:cs="宋体"/>
          <w:b/>
          <w:bCs/>
          <w:color w:val="auto"/>
          <w:sz w:val="24"/>
          <w:highlight w:val="none"/>
        </w:rPr>
        <w:t>七、合同授予</w:t>
      </w:r>
      <w:bookmarkEnd w:id="23"/>
      <w:bookmarkEnd w:id="24"/>
      <w:bookmarkEnd w:id="25"/>
      <w:r>
        <w:rPr>
          <w:rFonts w:hint="eastAsia" w:ascii="宋体" w:hAnsi="宋体" w:cs="宋体"/>
          <w:b/>
          <w:bCs/>
          <w:color w:val="auto"/>
          <w:sz w:val="24"/>
          <w:highlight w:val="none"/>
        </w:rPr>
        <w:t>及验收</w:t>
      </w:r>
    </w:p>
    <w:p w14:paraId="5F7B4A12">
      <w:pPr>
        <w:spacing w:line="40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1. 签订合同</w:t>
      </w:r>
    </w:p>
    <w:p w14:paraId="5E932034">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54763515">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1.2成交人按规定的日期、时间、地点，由法定代表人或其授权代表与采购人代表签订合同。如成交人为联合体的，由联合体成员各方法定代表人或其授权代表与采购人代表签订合同。</w:t>
      </w:r>
    </w:p>
    <w:p w14:paraId="469AF821">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1.3如签订合同并生效后，供应商无故拒绝或延期，除按照合同条款处理外，列入不良行为记录一次，并给予通报。</w:t>
      </w:r>
    </w:p>
    <w:p w14:paraId="60313894">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1.4成交人拒绝与采购人签订合同的，采购人可以按照评审报告推荐的中标或者成交候选人名单排序，确定下一候选人为成交人，也可以重新开展政府采购活动。</w:t>
      </w:r>
    </w:p>
    <w:p w14:paraId="27D93BDF">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1.5采购合同由采购人与成交人根据采购文件、磋商响应文件等内容通过政府采购电子交易平台在线签订，自动备案。</w:t>
      </w:r>
    </w:p>
    <w:p w14:paraId="24A4C833">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1.6政府采购货物和服务项目不得收取质量保证金。政府采购工程以及与工程建设有关的货物、服务，采用招标方式采购的，按国家和省有关规定执行。</w:t>
      </w:r>
    </w:p>
    <w:p w14:paraId="42A01AA6">
      <w:pPr>
        <w:spacing w:line="40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2.预付款</w:t>
      </w:r>
    </w:p>
    <w:p w14:paraId="71AC7E7B">
      <w:pPr>
        <w:tabs>
          <w:tab w:val="left" w:pos="0"/>
        </w:tabs>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合同生效后7个工作日内由采购单位支付合同金额的40%作为项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14:paraId="3B4EB881">
      <w:pPr>
        <w:spacing w:line="40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3.资金支付</w:t>
      </w:r>
    </w:p>
    <w:p w14:paraId="39801C6F">
      <w:pPr>
        <w:tabs>
          <w:tab w:val="left" w:pos="0"/>
        </w:tabs>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采购单位应当及时组织项目验收，</w:t>
      </w:r>
      <w:r>
        <w:rPr>
          <w:rFonts w:hint="eastAsia" w:ascii="宋体" w:hAnsi="宋体" w:cs="宋体"/>
          <w:b/>
          <w:bCs/>
          <w:color w:val="auto"/>
          <w:sz w:val="24"/>
          <w:highlight w:val="none"/>
        </w:rPr>
        <w:t>不得以政府部门审计作为支付供应商款项的条件。</w:t>
      </w:r>
      <w:r>
        <w:rPr>
          <w:rFonts w:hint="eastAsia" w:ascii="宋体" w:hAnsi="宋体" w:cs="宋体"/>
          <w:color w:val="auto"/>
          <w:sz w:val="24"/>
          <w:highlight w:val="none"/>
        </w:rPr>
        <w:t>采购单位对于满足合同约定支付条件的，</w:t>
      </w:r>
      <w:r>
        <w:rPr>
          <w:rFonts w:hint="eastAsia" w:ascii="宋体" w:hAnsi="宋体" w:cs="宋体"/>
          <w:b/>
          <w:bCs/>
          <w:color w:val="auto"/>
          <w:sz w:val="24"/>
          <w:highlight w:val="none"/>
        </w:rPr>
        <w:t>自收到发票后7个工作日内</w:t>
      </w:r>
      <w:r>
        <w:rPr>
          <w:rFonts w:hint="eastAsia" w:ascii="宋体" w:hAnsi="宋体" w:cs="宋体"/>
          <w:color w:val="auto"/>
          <w:sz w:val="24"/>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7449A510">
      <w:pPr>
        <w:rPr>
          <w:rFonts w:hint="eastAsia" w:cs="宋体"/>
          <w:b/>
          <w:bCs/>
          <w:color w:val="auto"/>
          <w:sz w:val="28"/>
          <w:szCs w:val="28"/>
          <w:highlight w:val="none"/>
          <w:lang w:bidi="ar"/>
        </w:rPr>
      </w:pPr>
      <w:bookmarkStart w:id="26" w:name="_Toc97649962"/>
      <w:r>
        <w:rPr>
          <w:rFonts w:hint="eastAsia" w:cs="宋体"/>
          <w:b/>
          <w:bCs/>
          <w:color w:val="auto"/>
          <w:sz w:val="28"/>
          <w:szCs w:val="28"/>
          <w:highlight w:val="none"/>
          <w:lang w:bidi="ar"/>
        </w:rPr>
        <w:br w:type="page"/>
      </w:r>
    </w:p>
    <w:p w14:paraId="3D33BDE7">
      <w:pPr>
        <w:pStyle w:val="39"/>
        <w:adjustRightInd w:val="0"/>
        <w:snapToGrid w:val="0"/>
        <w:spacing w:beforeAutospacing="0" w:afterAutospacing="0" w:line="360" w:lineRule="auto"/>
        <w:ind w:left="419" w:firstLine="3360" w:firstLineChars="1200"/>
        <w:rPr>
          <w:rFonts w:cs="宋体"/>
          <w:b/>
          <w:bCs/>
          <w:color w:val="auto"/>
          <w:sz w:val="28"/>
          <w:szCs w:val="28"/>
          <w:highlight w:val="none"/>
          <w:lang w:bidi="ar"/>
        </w:rPr>
      </w:pPr>
      <w:r>
        <w:rPr>
          <w:rFonts w:hint="eastAsia" w:cs="宋体"/>
          <w:b/>
          <w:bCs/>
          <w:color w:val="auto"/>
          <w:sz w:val="28"/>
          <w:szCs w:val="28"/>
          <w:highlight w:val="none"/>
          <w:lang w:bidi="ar"/>
        </w:rPr>
        <w:t>八、验收</w:t>
      </w:r>
      <w:bookmarkEnd w:id="26"/>
    </w:p>
    <w:p w14:paraId="559B04D9">
      <w:pPr>
        <w:tabs>
          <w:tab w:val="left" w:pos="0"/>
        </w:tabs>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25EBE0">
      <w:pPr>
        <w:tabs>
          <w:tab w:val="left" w:pos="0"/>
        </w:tabs>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2.采购人可以邀请参加本项目的其他供应商或者第三方机构参与验收。参与验收的供应商或者第三方机构的意见作为验收书的参考资料一并存档。</w:t>
      </w:r>
    </w:p>
    <w:p w14:paraId="5A18E458">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85A532">
      <w:pPr>
        <w:adjustRightInd w:val="0"/>
        <w:snapToGrid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sz w:val="24"/>
          <w:highlight w:val="none"/>
        </w:rPr>
        <w:t>采购人原则上应当在</w:t>
      </w:r>
      <w:r>
        <w:rPr>
          <w:rFonts w:hint="eastAsia" w:ascii="宋体" w:hAnsi="宋体" w:cs="宋体"/>
          <w:b/>
          <w:bCs/>
          <w:color w:val="auto"/>
          <w:sz w:val="24"/>
          <w:highlight w:val="none"/>
        </w:rPr>
        <w:t>履约验收之日起2个工作日内</w:t>
      </w:r>
      <w:r>
        <w:rPr>
          <w:rFonts w:hint="eastAsia" w:ascii="宋体" w:hAnsi="宋体" w:cs="宋体"/>
          <w:color w:val="auto"/>
          <w:sz w:val="24"/>
          <w:highlight w:val="none"/>
        </w:rPr>
        <w:t>，将</w:t>
      </w:r>
      <w:r>
        <w:rPr>
          <w:rFonts w:hint="eastAsia" w:ascii="宋体" w:hAnsi="宋体" w:cs="宋体"/>
          <w:b/>
          <w:bCs/>
          <w:color w:val="auto"/>
          <w:sz w:val="24"/>
          <w:highlight w:val="none"/>
        </w:rPr>
        <w:t>履约验收结果在浙江政府采购网上公告。</w:t>
      </w:r>
    </w:p>
    <w:p w14:paraId="4FC3B345">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5.验收合格的项目，采购人将根据采购合同的约定及时向供应商支付采购资金、退还履约保证金。</w:t>
      </w:r>
    </w:p>
    <w:p w14:paraId="046350BD">
      <w:pPr>
        <w:tabs>
          <w:tab w:val="left" w:pos="0"/>
        </w:tabs>
        <w:snapToGrid w:val="0"/>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8A1833">
      <w:pPr>
        <w:pStyle w:val="42"/>
        <w:rPr>
          <w:color w:val="auto"/>
          <w:highlight w:val="none"/>
        </w:rPr>
      </w:pPr>
    </w:p>
    <w:p w14:paraId="7832029C">
      <w:pPr>
        <w:pStyle w:val="24"/>
        <w:rPr>
          <w:rStyle w:val="241"/>
          <w:color w:val="auto"/>
          <w:sz w:val="36"/>
          <w:szCs w:val="36"/>
          <w:highlight w:val="none"/>
        </w:rPr>
      </w:pPr>
      <w:bookmarkStart w:id="27" w:name="_Toc502652282"/>
      <w:bookmarkStart w:id="28" w:name="_Hlt452359758"/>
      <w:bookmarkStart w:id="29" w:name="_Hlt452359757"/>
    </w:p>
    <w:p w14:paraId="53E010E3">
      <w:pPr>
        <w:pStyle w:val="24"/>
        <w:rPr>
          <w:rStyle w:val="241"/>
          <w:color w:val="auto"/>
          <w:sz w:val="36"/>
          <w:szCs w:val="36"/>
          <w:highlight w:val="none"/>
        </w:rPr>
      </w:pPr>
    </w:p>
    <w:p w14:paraId="06CFD857">
      <w:pPr>
        <w:pStyle w:val="24"/>
        <w:rPr>
          <w:rStyle w:val="241"/>
          <w:color w:val="auto"/>
          <w:sz w:val="36"/>
          <w:szCs w:val="36"/>
          <w:highlight w:val="none"/>
        </w:rPr>
      </w:pPr>
    </w:p>
    <w:p w14:paraId="0D9519FB">
      <w:pPr>
        <w:widowControl/>
        <w:jc w:val="left"/>
        <w:rPr>
          <w:rStyle w:val="241"/>
          <w:color w:val="auto"/>
          <w:sz w:val="36"/>
          <w:szCs w:val="36"/>
          <w:highlight w:val="none"/>
        </w:rPr>
      </w:pPr>
      <w:r>
        <w:rPr>
          <w:rStyle w:val="241"/>
          <w:color w:val="auto"/>
          <w:sz w:val="36"/>
          <w:szCs w:val="36"/>
          <w:highlight w:val="none"/>
        </w:rPr>
        <w:br w:type="page"/>
      </w:r>
    </w:p>
    <w:p w14:paraId="03295A63">
      <w:pPr>
        <w:pStyle w:val="24"/>
        <w:jc w:val="center"/>
        <w:rPr>
          <w:rFonts w:hAnsi="宋体"/>
          <w:color w:val="auto"/>
          <w:sz w:val="21"/>
          <w:szCs w:val="21"/>
          <w:highlight w:val="none"/>
        </w:rPr>
      </w:pPr>
      <w:r>
        <w:rPr>
          <w:rStyle w:val="241"/>
          <w:rFonts w:hint="eastAsia"/>
          <w:color w:val="auto"/>
          <w:sz w:val="36"/>
          <w:szCs w:val="36"/>
          <w:highlight w:val="none"/>
        </w:rPr>
        <w:t>第四章  评标办法及评分标准</w:t>
      </w:r>
    </w:p>
    <w:p w14:paraId="45FC16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660BB4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b/>
          <w:color w:val="auto"/>
          <w:sz w:val="24"/>
          <w:highlight w:val="none"/>
          <w:u w:val="single"/>
          <w:lang w:eastAsia="zh-CN"/>
        </w:rPr>
        <w:t>东阳市南市街道办事处食堂劳务及物资配送服务项目</w:t>
      </w:r>
      <w:r>
        <w:rPr>
          <w:rFonts w:hint="eastAsia" w:ascii="宋体" w:hAnsi="宋体" w:cs="宋体"/>
          <w:color w:val="auto"/>
          <w:sz w:val="24"/>
          <w:highlight w:val="none"/>
        </w:rPr>
        <w:t>的评标。</w:t>
      </w:r>
    </w:p>
    <w:p w14:paraId="288CB302">
      <w:pPr>
        <w:snapToGrid w:val="0"/>
        <w:spacing w:line="360" w:lineRule="auto"/>
        <w:ind w:firstLine="480" w:firstLineChars="200"/>
        <w:outlineLvl w:val="0"/>
        <w:rPr>
          <w:rStyle w:val="240"/>
          <w:rFonts w:ascii="宋体" w:hAnsi="宋体" w:eastAsia="宋体" w:cs="宋体"/>
          <w:color w:val="auto"/>
          <w:sz w:val="24"/>
          <w:szCs w:val="24"/>
          <w:highlight w:val="none"/>
        </w:rPr>
      </w:pPr>
      <w:r>
        <w:rPr>
          <w:rStyle w:val="240"/>
          <w:rFonts w:hint="eastAsia" w:ascii="宋体" w:hAnsi="宋体" w:eastAsia="宋体" w:cs="宋体"/>
          <w:color w:val="auto"/>
          <w:sz w:val="24"/>
          <w:szCs w:val="24"/>
          <w:highlight w:val="none"/>
        </w:rPr>
        <w:t>一、</w:t>
      </w:r>
      <w:bookmarkStart w:id="30" w:name="_Toc11900"/>
      <w:r>
        <w:rPr>
          <w:rStyle w:val="240"/>
          <w:rFonts w:hint="eastAsia" w:ascii="宋体" w:hAnsi="宋体" w:eastAsia="宋体" w:cs="宋体"/>
          <w:color w:val="auto"/>
          <w:sz w:val="24"/>
          <w:szCs w:val="24"/>
          <w:highlight w:val="none"/>
        </w:rPr>
        <w:t>总则</w:t>
      </w:r>
      <w:bookmarkEnd w:id="30"/>
    </w:p>
    <w:p w14:paraId="265191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0分、商务技术分</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4497325F">
      <w:pPr>
        <w:pStyle w:val="3"/>
        <w:spacing w:line="360" w:lineRule="auto"/>
        <w:ind w:firstLine="464" w:firstLineChars="200"/>
        <w:rPr>
          <w:rFonts w:hAnsi="宋体" w:cs="宋体"/>
          <w:bCs/>
          <w:color w:val="auto"/>
          <w:sz w:val="24"/>
          <w:szCs w:val="24"/>
          <w:highlight w:val="none"/>
        </w:rPr>
      </w:pPr>
      <w:r>
        <w:rPr>
          <w:rFonts w:hint="eastAsia" w:hAnsi="宋体" w:cs="宋体"/>
          <w:bCs/>
          <w:color w:val="auto"/>
          <w:sz w:val="24"/>
          <w:szCs w:val="24"/>
          <w:highlight w:val="none"/>
        </w:rPr>
        <w:t>投标人评标综合得分=价格分+(</w:t>
      </w:r>
      <w:r>
        <w:rPr>
          <w:rFonts w:hint="eastAsia" w:hAnsi="宋体" w:cs="宋体"/>
          <w:color w:val="auto"/>
          <w:sz w:val="24"/>
          <w:highlight w:val="none"/>
        </w:rPr>
        <w:t>商务技术分</w:t>
      </w:r>
      <w:r>
        <w:rPr>
          <w:rFonts w:hint="eastAsia" w:hAnsi="宋体" w:cs="宋体"/>
          <w:bCs/>
          <w:color w:val="auto"/>
          <w:sz w:val="24"/>
          <w:szCs w:val="24"/>
          <w:highlight w:val="none"/>
        </w:rPr>
        <w:t>)</w:t>
      </w:r>
    </w:p>
    <w:p w14:paraId="78B86E68">
      <w:pPr>
        <w:snapToGrid w:val="0"/>
        <w:spacing w:line="360" w:lineRule="auto"/>
        <w:ind w:firstLine="480" w:firstLineChars="200"/>
        <w:outlineLvl w:val="0"/>
        <w:rPr>
          <w:rStyle w:val="240"/>
          <w:rFonts w:ascii="宋体" w:hAnsi="宋体" w:eastAsia="宋体" w:cs="宋体"/>
          <w:color w:val="auto"/>
          <w:sz w:val="24"/>
          <w:szCs w:val="24"/>
          <w:highlight w:val="none"/>
        </w:rPr>
      </w:pPr>
      <w:bookmarkStart w:id="31" w:name="_Toc30422"/>
      <w:r>
        <w:rPr>
          <w:rStyle w:val="240"/>
          <w:rFonts w:hint="eastAsia" w:ascii="宋体" w:hAnsi="宋体" w:cs="宋体"/>
          <w:color w:val="auto"/>
          <w:sz w:val="24"/>
          <w:szCs w:val="24"/>
          <w:highlight w:val="none"/>
        </w:rPr>
        <w:t>二、</w:t>
      </w:r>
      <w:r>
        <w:rPr>
          <w:rStyle w:val="240"/>
          <w:rFonts w:hint="eastAsia" w:ascii="宋体" w:hAnsi="宋体" w:eastAsia="宋体" w:cs="宋体"/>
          <w:color w:val="auto"/>
          <w:sz w:val="24"/>
          <w:szCs w:val="24"/>
          <w:highlight w:val="none"/>
        </w:rPr>
        <w:t>评标内容及标准</w:t>
      </w:r>
      <w:bookmarkEnd w:id="31"/>
    </w:p>
    <w:p w14:paraId="1F42A12E">
      <w:pPr>
        <w:spacing w:line="560" w:lineRule="exact"/>
        <w:ind w:firstLine="464" w:firstLineChars="200"/>
        <w:rPr>
          <w:rFonts w:hint="eastAsia" w:ascii="宋体" w:hAnsi="宋体" w:cs="宋体"/>
          <w:b/>
          <w:bCs/>
          <w:color w:val="auto"/>
          <w:spacing w:val="-4"/>
          <w:sz w:val="24"/>
          <w:szCs w:val="20"/>
          <w:highlight w:val="none"/>
          <w:lang w:val="en-US" w:eastAsia="zh-CN"/>
        </w:rPr>
      </w:pPr>
      <w:r>
        <w:rPr>
          <w:rFonts w:hint="eastAsia" w:ascii="宋体" w:hAnsi="宋体" w:cs="宋体"/>
          <w:b/>
          <w:bCs/>
          <w:color w:val="auto"/>
          <w:spacing w:val="-4"/>
          <w:sz w:val="24"/>
          <w:szCs w:val="20"/>
          <w:highlight w:val="none"/>
          <w:lang w:val="en-US" w:eastAsia="zh-CN"/>
        </w:rPr>
        <w:t>标项1：</w:t>
      </w:r>
    </w:p>
    <w:p w14:paraId="760DE0CE">
      <w:pPr>
        <w:spacing w:line="560" w:lineRule="exact"/>
        <w:ind w:firstLine="464" w:firstLineChars="200"/>
        <w:rPr>
          <w:rFonts w:ascii="宋体" w:hAnsi="宋体" w:cs="宋体"/>
          <w:b/>
          <w:bCs/>
          <w:color w:val="auto"/>
          <w:spacing w:val="-4"/>
          <w:sz w:val="24"/>
          <w:szCs w:val="20"/>
          <w:highlight w:val="none"/>
        </w:rPr>
      </w:pPr>
      <w:r>
        <w:rPr>
          <w:rFonts w:hint="eastAsia" w:ascii="宋体" w:hAnsi="宋体" w:cs="宋体"/>
          <w:b/>
          <w:bCs/>
          <w:color w:val="auto"/>
          <w:spacing w:val="-4"/>
          <w:sz w:val="24"/>
          <w:szCs w:val="20"/>
          <w:highlight w:val="none"/>
        </w:rPr>
        <w:t>（一）商务技术分（</w:t>
      </w:r>
      <w:r>
        <w:rPr>
          <w:rFonts w:hint="eastAsia" w:ascii="宋体" w:hAnsi="宋体" w:cs="宋体"/>
          <w:b/>
          <w:bCs/>
          <w:color w:val="auto"/>
          <w:spacing w:val="-4"/>
          <w:sz w:val="24"/>
          <w:szCs w:val="20"/>
          <w:highlight w:val="none"/>
          <w:lang w:val="en-US" w:eastAsia="zh-CN"/>
        </w:rPr>
        <w:t>7</w:t>
      </w:r>
      <w:r>
        <w:rPr>
          <w:rFonts w:hint="eastAsia" w:ascii="宋体" w:hAnsi="宋体" w:cs="宋体"/>
          <w:b/>
          <w:bCs/>
          <w:color w:val="auto"/>
          <w:spacing w:val="-4"/>
          <w:sz w:val="24"/>
          <w:szCs w:val="20"/>
          <w:highlight w:val="none"/>
        </w:rPr>
        <w:t>0分）</w:t>
      </w:r>
    </w:p>
    <w:p w14:paraId="6216FD2B">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商务技术分按照评标委员会成员的独立评分结果的算术平均分计算。</w:t>
      </w:r>
      <w:r>
        <w:rPr>
          <w:rFonts w:hint="eastAsia" w:ascii="宋体" w:hAnsi="宋体"/>
          <w:color w:val="auto"/>
          <w:sz w:val="24"/>
          <w:highlight w:val="none"/>
        </w:rPr>
        <w:t>计算公式为：</w:t>
      </w:r>
    </w:p>
    <w:p w14:paraId="6128CE7F">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商务技术分=（评标委员会所有成员有效评分合计数）/（评标委员会组成人员数）</w:t>
      </w:r>
    </w:p>
    <w:p w14:paraId="741B23EA">
      <w:pPr>
        <w:pStyle w:val="3"/>
        <w:spacing w:line="560" w:lineRule="exact"/>
        <w:ind w:firstLine="466"/>
        <w:rPr>
          <w:rFonts w:hAnsi="宋体" w:cs="宋体"/>
          <w:b/>
          <w:bCs/>
          <w:color w:val="auto"/>
          <w:sz w:val="24"/>
          <w:highlight w:val="none"/>
        </w:rPr>
      </w:pPr>
      <w:r>
        <w:rPr>
          <w:rFonts w:hint="eastAsia" w:hAnsi="宋体" w:cs="宋体"/>
          <w:b/>
          <w:color w:val="auto"/>
          <w:sz w:val="24"/>
          <w:highlight w:val="none"/>
        </w:rPr>
        <w:t>（二）</w:t>
      </w:r>
      <w:r>
        <w:rPr>
          <w:rFonts w:hint="eastAsia" w:hAnsi="宋体" w:cs="宋体"/>
          <w:b/>
          <w:bCs/>
          <w:color w:val="auto"/>
          <w:sz w:val="24"/>
          <w:highlight w:val="none"/>
        </w:rPr>
        <w:t>价格分（</w:t>
      </w:r>
      <w:r>
        <w:rPr>
          <w:rFonts w:hint="eastAsia" w:hAnsi="宋体" w:cs="宋体"/>
          <w:b/>
          <w:bCs/>
          <w:color w:val="auto"/>
          <w:sz w:val="24"/>
          <w:highlight w:val="none"/>
          <w:lang w:val="en-US" w:eastAsia="zh-CN"/>
        </w:rPr>
        <w:t>3</w:t>
      </w:r>
      <w:r>
        <w:rPr>
          <w:rFonts w:hint="eastAsia" w:hAnsi="宋体" w:cs="宋体"/>
          <w:b/>
          <w:bCs/>
          <w:color w:val="auto"/>
          <w:sz w:val="24"/>
          <w:highlight w:val="none"/>
        </w:rPr>
        <w:t xml:space="preserve">0分） </w:t>
      </w:r>
    </w:p>
    <w:p w14:paraId="690073B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价格分采用低价优先法计算，取所有技术、资信商务得分入围投标人中，投标价格最低的投标报价为评标基准价，其他投标人的价格分按照下列公式计算：</w:t>
      </w:r>
    </w:p>
    <w:p w14:paraId="7D9F8269">
      <w:pPr>
        <w:spacing w:line="560" w:lineRule="exact"/>
        <w:ind w:firstLine="480" w:firstLineChars="200"/>
        <w:rPr>
          <w:color w:val="auto"/>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3</w:t>
      </w:r>
      <w:r>
        <w:rPr>
          <w:rFonts w:hint="eastAsia" w:ascii="宋体" w:hAnsi="宋体"/>
          <w:color w:val="auto"/>
          <w:sz w:val="24"/>
          <w:highlight w:val="none"/>
        </w:rPr>
        <w:t>0</w:t>
      </w:r>
    </w:p>
    <w:p w14:paraId="1F03D46E">
      <w:pPr>
        <w:pStyle w:val="24"/>
        <w:ind w:firstLine="480" w:firstLineChars="200"/>
        <w:rPr>
          <w:rFonts w:cs="Arial"/>
          <w:b/>
          <w:bCs/>
          <w:color w:val="auto"/>
          <w:highlight w:val="none"/>
        </w:rPr>
      </w:pPr>
      <w:r>
        <w:rPr>
          <w:rFonts w:hint="eastAsia"/>
          <w:b/>
          <w:bCs/>
          <w:color w:val="auto"/>
          <w:highlight w:val="none"/>
        </w:rPr>
        <w:t>（三）商务技术评分标准，共</w:t>
      </w:r>
      <w:r>
        <w:rPr>
          <w:rFonts w:hint="eastAsia"/>
          <w:b/>
          <w:bCs/>
          <w:color w:val="auto"/>
          <w:highlight w:val="none"/>
          <w:lang w:val="en-US" w:eastAsia="zh-CN"/>
        </w:rPr>
        <w:t>7</w:t>
      </w:r>
      <w:r>
        <w:rPr>
          <w:rFonts w:hint="eastAsia"/>
          <w:b/>
          <w:bCs/>
          <w:color w:val="auto"/>
          <w:highlight w:val="none"/>
        </w:rPr>
        <w:t>0分</w:t>
      </w:r>
    </w:p>
    <w:tbl>
      <w:tblPr>
        <w:tblStyle w:val="45"/>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3"/>
        <w:gridCol w:w="1583"/>
        <w:gridCol w:w="5792"/>
        <w:gridCol w:w="709"/>
      </w:tblGrid>
      <w:tr w14:paraId="106C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3E08D7A">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023" w:type="dxa"/>
            <w:vAlign w:val="center"/>
          </w:tcPr>
          <w:p w14:paraId="663354E1">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评分</w:t>
            </w:r>
          </w:p>
          <w:p w14:paraId="6C3F73BD">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项目</w:t>
            </w:r>
          </w:p>
        </w:tc>
        <w:tc>
          <w:tcPr>
            <w:tcW w:w="7375" w:type="dxa"/>
            <w:gridSpan w:val="2"/>
            <w:vAlign w:val="center"/>
          </w:tcPr>
          <w:p w14:paraId="7CBE0381">
            <w:pPr>
              <w:spacing w:line="460" w:lineRule="exact"/>
              <w:ind w:left="63" w:leftChars="-207" w:hanging="497" w:hangingChars="237"/>
              <w:jc w:val="center"/>
              <w:rPr>
                <w:rFonts w:ascii="宋体" w:hAnsi="宋体" w:cs="宋体"/>
                <w:color w:val="auto"/>
                <w:sz w:val="21"/>
                <w:szCs w:val="21"/>
                <w:highlight w:val="none"/>
              </w:rPr>
            </w:pPr>
            <w:r>
              <w:rPr>
                <w:rFonts w:hint="eastAsia" w:ascii="宋体" w:hAnsi="宋体" w:cs="宋体"/>
                <w:color w:val="auto"/>
                <w:sz w:val="21"/>
                <w:szCs w:val="21"/>
                <w:highlight w:val="none"/>
              </w:rPr>
              <w:t>评审细则</w:t>
            </w:r>
          </w:p>
        </w:tc>
        <w:tc>
          <w:tcPr>
            <w:tcW w:w="709" w:type="dxa"/>
            <w:vAlign w:val="center"/>
          </w:tcPr>
          <w:p w14:paraId="18F1FD10">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分值</w:t>
            </w:r>
          </w:p>
        </w:tc>
      </w:tr>
      <w:tr w14:paraId="37A0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restart"/>
            <w:vAlign w:val="center"/>
          </w:tcPr>
          <w:p w14:paraId="49CF430D">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23" w:type="dxa"/>
            <w:vMerge w:val="restart"/>
            <w:vAlign w:val="center"/>
          </w:tcPr>
          <w:p w14:paraId="0F7C6B49">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技术分</w:t>
            </w:r>
          </w:p>
        </w:tc>
        <w:tc>
          <w:tcPr>
            <w:tcW w:w="1583" w:type="dxa"/>
            <w:vAlign w:val="center"/>
          </w:tcPr>
          <w:p w14:paraId="0713B67B">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餐饮</w:t>
            </w:r>
            <w:r>
              <w:rPr>
                <w:rFonts w:ascii="宋体" w:hAnsi="宋体" w:cs="宋体"/>
                <w:color w:val="auto"/>
                <w:sz w:val="21"/>
                <w:szCs w:val="21"/>
                <w:highlight w:val="none"/>
              </w:rPr>
              <w:t>服务管理</w:t>
            </w:r>
            <w:r>
              <w:rPr>
                <w:rFonts w:hint="eastAsia" w:ascii="宋体" w:hAnsi="宋体" w:cs="宋体"/>
                <w:color w:val="auto"/>
                <w:sz w:val="21"/>
                <w:szCs w:val="21"/>
                <w:highlight w:val="none"/>
              </w:rPr>
              <w:t>方案合理、可行性</w:t>
            </w:r>
          </w:p>
        </w:tc>
        <w:tc>
          <w:tcPr>
            <w:tcW w:w="5792" w:type="dxa"/>
          </w:tcPr>
          <w:p w14:paraId="1E171277">
            <w:pPr>
              <w:spacing w:line="460" w:lineRule="exact"/>
              <w:ind w:left="-50"/>
              <w:jc w:val="left"/>
              <w:rPr>
                <w:rFonts w:ascii="宋体" w:hAnsi="宋体" w:cs="宋体"/>
                <w:color w:val="auto"/>
                <w:sz w:val="21"/>
                <w:szCs w:val="21"/>
                <w:highlight w:val="none"/>
              </w:rPr>
            </w:pPr>
            <w:r>
              <w:rPr>
                <w:rFonts w:hint="eastAsia" w:ascii="宋体" w:hAnsi="宋体" w:cs="宋体"/>
                <w:color w:val="auto"/>
                <w:sz w:val="21"/>
                <w:szCs w:val="21"/>
                <w:highlight w:val="none"/>
              </w:rPr>
              <w:t>投</w:t>
            </w:r>
            <w:r>
              <w:rPr>
                <w:rFonts w:ascii="宋体" w:hAnsi="宋体" w:cs="宋体"/>
                <w:color w:val="auto"/>
                <w:sz w:val="21"/>
                <w:szCs w:val="21"/>
                <w:highlight w:val="none"/>
              </w:rPr>
              <w:t>标人根据本项目制定的工作人员作息时间安排符合性（</w:t>
            </w:r>
            <w:r>
              <w:rPr>
                <w:rFonts w:hint="eastAsia" w:ascii="宋体" w:hAnsi="宋体" w:cs="宋体"/>
                <w:color w:val="auto"/>
                <w:sz w:val="21"/>
                <w:szCs w:val="21"/>
                <w:highlight w:val="none"/>
              </w:rPr>
              <w:t>0-2分）</w:t>
            </w:r>
            <w:r>
              <w:rPr>
                <w:rFonts w:ascii="宋体" w:hAnsi="宋体" w:cs="宋体"/>
                <w:color w:val="auto"/>
                <w:sz w:val="21"/>
                <w:szCs w:val="21"/>
                <w:highlight w:val="none"/>
              </w:rPr>
              <w:t>、项目管理、服务方案是否详尽、明晰（</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ascii="宋体" w:hAnsi="宋体" w:cs="宋体"/>
                <w:color w:val="auto"/>
                <w:sz w:val="21"/>
                <w:szCs w:val="21"/>
                <w:highlight w:val="none"/>
              </w:rPr>
              <w:t>、质量保证措施、菜品调配方案是否合理（</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ascii="宋体" w:hAnsi="宋体" w:cs="宋体"/>
                <w:color w:val="auto"/>
                <w:sz w:val="21"/>
                <w:szCs w:val="21"/>
                <w:highlight w:val="none"/>
              </w:rPr>
              <w:t>用</w:t>
            </w:r>
            <w:r>
              <w:rPr>
                <w:rFonts w:hint="eastAsia" w:ascii="宋体" w:hAnsi="宋体" w:cs="宋体"/>
                <w:color w:val="auto"/>
                <w:sz w:val="21"/>
                <w:szCs w:val="21"/>
                <w:highlight w:val="none"/>
              </w:rPr>
              <w:t>餐</w:t>
            </w:r>
            <w:r>
              <w:rPr>
                <w:rFonts w:ascii="宋体" w:hAnsi="宋体" w:cs="宋体"/>
                <w:color w:val="auto"/>
                <w:sz w:val="21"/>
                <w:szCs w:val="21"/>
                <w:highlight w:val="none"/>
              </w:rPr>
              <w:t>时间、供餐方案的全面性（</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ascii="宋体" w:hAnsi="宋体" w:cs="宋体"/>
                <w:color w:val="auto"/>
                <w:sz w:val="21"/>
                <w:szCs w:val="21"/>
                <w:highlight w:val="none"/>
              </w:rPr>
              <w:t>、工作日报表管理措施是否齐全（</w:t>
            </w:r>
            <w:r>
              <w:rPr>
                <w:rFonts w:hint="eastAsia" w:ascii="宋体" w:hAnsi="宋体" w:cs="宋体"/>
                <w:color w:val="auto"/>
                <w:sz w:val="21"/>
                <w:szCs w:val="21"/>
                <w:highlight w:val="none"/>
              </w:rPr>
              <w:t>0-1分）</w:t>
            </w:r>
            <w:r>
              <w:rPr>
                <w:rFonts w:ascii="宋体" w:hAnsi="宋体" w:cs="宋体"/>
                <w:color w:val="auto"/>
                <w:sz w:val="21"/>
                <w:szCs w:val="21"/>
                <w:highlight w:val="none"/>
              </w:rPr>
              <w:t>、服务人员培训是否合理齐全（</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709" w:type="dxa"/>
            <w:vAlign w:val="center"/>
          </w:tcPr>
          <w:p w14:paraId="3EA9E140">
            <w:pPr>
              <w:spacing w:line="460" w:lineRule="exact"/>
              <w:ind w:left="-5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r>
      <w:tr w14:paraId="6045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059AE42A">
            <w:pPr>
              <w:spacing w:line="460" w:lineRule="exact"/>
              <w:ind w:left="-50"/>
              <w:jc w:val="center"/>
              <w:rPr>
                <w:rFonts w:ascii="宋体" w:hAnsi="宋体" w:cs="宋体"/>
                <w:color w:val="auto"/>
                <w:sz w:val="21"/>
                <w:szCs w:val="21"/>
                <w:highlight w:val="none"/>
              </w:rPr>
            </w:pPr>
          </w:p>
        </w:tc>
        <w:tc>
          <w:tcPr>
            <w:tcW w:w="1023" w:type="dxa"/>
            <w:vMerge w:val="continue"/>
            <w:vAlign w:val="center"/>
          </w:tcPr>
          <w:p w14:paraId="2A9F49C3">
            <w:pPr>
              <w:spacing w:line="460" w:lineRule="exact"/>
              <w:ind w:left="-50"/>
              <w:jc w:val="center"/>
              <w:rPr>
                <w:rFonts w:ascii="宋体" w:hAnsi="宋体" w:cs="宋体"/>
                <w:color w:val="auto"/>
                <w:sz w:val="21"/>
                <w:szCs w:val="21"/>
                <w:highlight w:val="none"/>
              </w:rPr>
            </w:pPr>
          </w:p>
        </w:tc>
        <w:tc>
          <w:tcPr>
            <w:tcW w:w="1583" w:type="dxa"/>
            <w:vAlign w:val="center"/>
          </w:tcPr>
          <w:p w14:paraId="1AD698F6">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餐厅服务</w:t>
            </w:r>
            <w:r>
              <w:rPr>
                <w:rFonts w:ascii="宋体" w:hAnsi="宋体" w:cs="宋体"/>
                <w:color w:val="auto"/>
                <w:sz w:val="21"/>
                <w:szCs w:val="21"/>
                <w:highlight w:val="none"/>
              </w:rPr>
              <w:t>管理规章</w:t>
            </w:r>
            <w:r>
              <w:rPr>
                <w:rFonts w:hint="eastAsia" w:ascii="宋体" w:hAnsi="宋体" w:cs="宋体"/>
                <w:color w:val="auto"/>
                <w:sz w:val="21"/>
                <w:szCs w:val="21"/>
                <w:highlight w:val="none"/>
              </w:rPr>
              <w:t>制度评</w:t>
            </w:r>
            <w:r>
              <w:rPr>
                <w:rFonts w:ascii="宋体" w:hAnsi="宋体" w:cs="宋体"/>
                <w:color w:val="auto"/>
                <w:sz w:val="21"/>
                <w:szCs w:val="21"/>
                <w:highlight w:val="none"/>
              </w:rPr>
              <w:t>作</w:t>
            </w:r>
          </w:p>
        </w:tc>
        <w:tc>
          <w:tcPr>
            <w:tcW w:w="5792" w:type="dxa"/>
          </w:tcPr>
          <w:p w14:paraId="6BB0EFB7">
            <w:pPr>
              <w:spacing w:line="460" w:lineRule="exact"/>
              <w:ind w:left="-50"/>
              <w:jc w:val="left"/>
              <w:rPr>
                <w:rFonts w:ascii="宋体" w:hAnsi="宋体" w:cs="宋体"/>
                <w:color w:val="auto"/>
                <w:sz w:val="21"/>
                <w:szCs w:val="21"/>
                <w:highlight w:val="none"/>
              </w:rPr>
            </w:pPr>
            <w:r>
              <w:rPr>
                <w:rFonts w:hint="eastAsia" w:ascii="宋体" w:hAnsi="宋体" w:cs="宋体"/>
                <w:color w:val="auto"/>
                <w:sz w:val="21"/>
                <w:szCs w:val="21"/>
                <w:highlight w:val="none"/>
              </w:rPr>
              <w:t>工作范围</w:t>
            </w:r>
            <w:r>
              <w:rPr>
                <w:rFonts w:ascii="宋体" w:hAnsi="宋体" w:cs="宋体"/>
                <w:color w:val="auto"/>
                <w:sz w:val="21"/>
                <w:szCs w:val="21"/>
                <w:highlight w:val="none"/>
              </w:rPr>
              <w:t>及工作标准全面性</w:t>
            </w:r>
            <w:r>
              <w:rPr>
                <w:rFonts w:hint="eastAsia" w:ascii="宋体" w:hAnsi="宋体" w:cs="宋体"/>
                <w:color w:val="auto"/>
                <w:sz w:val="21"/>
                <w:szCs w:val="21"/>
                <w:highlight w:val="none"/>
              </w:rPr>
              <w:t>（0-1分）、卫生行政</w:t>
            </w:r>
            <w:r>
              <w:rPr>
                <w:rFonts w:ascii="宋体" w:hAnsi="宋体" w:cs="宋体"/>
                <w:color w:val="auto"/>
                <w:sz w:val="21"/>
                <w:szCs w:val="21"/>
                <w:highlight w:val="none"/>
              </w:rPr>
              <w:t>部门、餐饮行业的监督检查完成工作的完整性</w:t>
            </w:r>
            <w:r>
              <w:rPr>
                <w:rFonts w:hint="eastAsia" w:ascii="宋体" w:hAnsi="宋体" w:cs="宋体"/>
                <w:color w:val="auto"/>
                <w:sz w:val="21"/>
                <w:szCs w:val="21"/>
                <w:highlight w:val="none"/>
              </w:rPr>
              <w:t>（0-1分）、各</w:t>
            </w:r>
            <w:r>
              <w:rPr>
                <w:rFonts w:ascii="宋体" w:hAnsi="宋体" w:cs="宋体"/>
                <w:color w:val="auto"/>
                <w:sz w:val="21"/>
                <w:szCs w:val="21"/>
                <w:highlight w:val="none"/>
              </w:rPr>
              <w:t>项服务的登记台账的全面性</w:t>
            </w:r>
            <w:r>
              <w:rPr>
                <w:rFonts w:hint="eastAsia" w:ascii="宋体" w:hAnsi="宋体" w:cs="宋体"/>
                <w:color w:val="auto"/>
                <w:sz w:val="21"/>
                <w:szCs w:val="21"/>
                <w:highlight w:val="none"/>
              </w:rPr>
              <w:t>（0-1分）、</w:t>
            </w:r>
            <w:r>
              <w:rPr>
                <w:rFonts w:ascii="宋体" w:hAnsi="宋体" w:cs="宋体"/>
                <w:color w:val="auto"/>
                <w:sz w:val="21"/>
                <w:szCs w:val="21"/>
                <w:highlight w:val="none"/>
              </w:rPr>
              <w:t>设备设施保养及维护是否合理、及时（</w:t>
            </w:r>
            <w:r>
              <w:rPr>
                <w:rFonts w:hint="eastAsia" w:ascii="宋体" w:hAnsi="宋体" w:cs="宋体"/>
                <w:color w:val="auto"/>
                <w:sz w:val="21"/>
                <w:szCs w:val="21"/>
                <w:highlight w:val="none"/>
              </w:rPr>
              <w:t>0-1分）。</w:t>
            </w:r>
          </w:p>
        </w:tc>
        <w:tc>
          <w:tcPr>
            <w:tcW w:w="709" w:type="dxa"/>
            <w:vAlign w:val="center"/>
          </w:tcPr>
          <w:p w14:paraId="0BE99970">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r>
      <w:tr w14:paraId="7268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52994E8C">
            <w:pPr>
              <w:spacing w:line="460" w:lineRule="exact"/>
              <w:ind w:left="-50"/>
              <w:jc w:val="center"/>
              <w:rPr>
                <w:rFonts w:ascii="宋体" w:hAnsi="宋体" w:cs="宋体"/>
                <w:color w:val="auto"/>
                <w:sz w:val="21"/>
                <w:szCs w:val="21"/>
                <w:highlight w:val="none"/>
              </w:rPr>
            </w:pPr>
          </w:p>
        </w:tc>
        <w:tc>
          <w:tcPr>
            <w:tcW w:w="1023" w:type="dxa"/>
            <w:vMerge w:val="continue"/>
            <w:vAlign w:val="center"/>
          </w:tcPr>
          <w:p w14:paraId="2DDC1B45">
            <w:pPr>
              <w:spacing w:line="460" w:lineRule="exact"/>
              <w:ind w:left="-50"/>
              <w:jc w:val="center"/>
              <w:rPr>
                <w:rFonts w:ascii="宋体" w:hAnsi="宋体" w:cs="宋体"/>
                <w:color w:val="auto"/>
                <w:sz w:val="21"/>
                <w:szCs w:val="21"/>
                <w:highlight w:val="none"/>
              </w:rPr>
            </w:pPr>
          </w:p>
        </w:tc>
        <w:tc>
          <w:tcPr>
            <w:tcW w:w="1583" w:type="dxa"/>
            <w:vAlign w:val="center"/>
          </w:tcPr>
          <w:p w14:paraId="2E34F8B2">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消防</w:t>
            </w:r>
            <w:r>
              <w:rPr>
                <w:rFonts w:ascii="宋体" w:hAnsi="宋体" w:cs="宋体"/>
                <w:color w:val="auto"/>
                <w:sz w:val="21"/>
                <w:szCs w:val="21"/>
                <w:highlight w:val="none"/>
              </w:rPr>
              <w:t>安全、生产安全等的保障措施</w:t>
            </w:r>
          </w:p>
        </w:tc>
        <w:tc>
          <w:tcPr>
            <w:tcW w:w="5792" w:type="dxa"/>
          </w:tcPr>
          <w:p w14:paraId="0C3ACC64">
            <w:pPr>
              <w:spacing w:line="460" w:lineRule="exact"/>
              <w:ind w:left="-50"/>
              <w:jc w:val="lef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s="宋体"/>
                <w:color w:val="auto"/>
                <w:sz w:val="21"/>
                <w:szCs w:val="21"/>
                <w:highlight w:val="none"/>
              </w:rPr>
              <w:t>制定全面的消防安全制度及保障措施</w:t>
            </w:r>
            <w:r>
              <w:rPr>
                <w:rFonts w:hint="eastAsia" w:ascii="宋体" w:hAnsi="宋体" w:cs="宋体"/>
                <w:color w:val="auto"/>
                <w:sz w:val="21"/>
                <w:szCs w:val="21"/>
                <w:highlight w:val="none"/>
              </w:rPr>
              <w:t>（0-2分）、投</w:t>
            </w:r>
            <w:r>
              <w:rPr>
                <w:rFonts w:ascii="宋体" w:hAnsi="宋体" w:cs="宋体"/>
                <w:color w:val="auto"/>
                <w:sz w:val="21"/>
                <w:szCs w:val="21"/>
                <w:highlight w:val="none"/>
              </w:rPr>
              <w:t>标人制定全面的生产安全制度及措施</w:t>
            </w:r>
            <w:r>
              <w:rPr>
                <w:rFonts w:hint="eastAsia" w:ascii="宋体" w:hAnsi="宋体" w:cs="宋体"/>
                <w:color w:val="auto"/>
                <w:sz w:val="21"/>
                <w:szCs w:val="21"/>
                <w:highlight w:val="none"/>
              </w:rPr>
              <w:t>（0-2分）。</w:t>
            </w:r>
          </w:p>
        </w:tc>
        <w:tc>
          <w:tcPr>
            <w:tcW w:w="709" w:type="dxa"/>
            <w:vAlign w:val="center"/>
          </w:tcPr>
          <w:p w14:paraId="12E4E269">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r>
      <w:tr w14:paraId="37A4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6D8768F8">
            <w:pPr>
              <w:spacing w:line="460" w:lineRule="exact"/>
              <w:ind w:left="-50"/>
              <w:jc w:val="center"/>
              <w:rPr>
                <w:rFonts w:ascii="宋体" w:hAnsi="宋体" w:cs="宋体"/>
                <w:color w:val="auto"/>
                <w:sz w:val="21"/>
                <w:szCs w:val="21"/>
                <w:highlight w:val="none"/>
              </w:rPr>
            </w:pPr>
          </w:p>
        </w:tc>
        <w:tc>
          <w:tcPr>
            <w:tcW w:w="1023" w:type="dxa"/>
            <w:vMerge w:val="continue"/>
            <w:vAlign w:val="center"/>
          </w:tcPr>
          <w:p w14:paraId="53FA49CF">
            <w:pPr>
              <w:spacing w:line="460" w:lineRule="exact"/>
              <w:ind w:left="-50"/>
              <w:jc w:val="center"/>
              <w:rPr>
                <w:rFonts w:ascii="宋体" w:hAnsi="宋体" w:cs="宋体"/>
                <w:color w:val="auto"/>
                <w:sz w:val="21"/>
                <w:szCs w:val="21"/>
                <w:highlight w:val="none"/>
              </w:rPr>
            </w:pPr>
          </w:p>
        </w:tc>
        <w:tc>
          <w:tcPr>
            <w:tcW w:w="1583" w:type="dxa"/>
            <w:vAlign w:val="center"/>
          </w:tcPr>
          <w:p w14:paraId="5B0464A0">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食品</w:t>
            </w:r>
            <w:r>
              <w:rPr>
                <w:rFonts w:ascii="宋体" w:hAnsi="宋体" w:cs="宋体"/>
                <w:color w:val="auto"/>
                <w:sz w:val="21"/>
                <w:szCs w:val="21"/>
                <w:highlight w:val="none"/>
              </w:rPr>
              <w:t>安全、餐厅环境卫生、整体的保洁服务及管理方案</w:t>
            </w:r>
          </w:p>
        </w:tc>
        <w:tc>
          <w:tcPr>
            <w:tcW w:w="5792" w:type="dxa"/>
          </w:tcPr>
          <w:p w14:paraId="13CE9804">
            <w:pPr>
              <w:spacing w:line="460" w:lineRule="exact"/>
              <w:ind w:left="-50"/>
              <w:jc w:val="left"/>
              <w:rPr>
                <w:rFonts w:ascii="宋体" w:hAnsi="宋体" w:cs="宋体"/>
                <w:color w:val="auto"/>
                <w:sz w:val="21"/>
                <w:szCs w:val="21"/>
                <w:highlight w:val="none"/>
              </w:rPr>
            </w:pPr>
            <w:r>
              <w:rPr>
                <w:rFonts w:hint="eastAsia" w:ascii="宋体" w:hAnsi="宋体" w:cs="宋体"/>
                <w:color w:val="auto"/>
                <w:sz w:val="21"/>
                <w:szCs w:val="21"/>
                <w:highlight w:val="none"/>
              </w:rPr>
              <w:t>环境卫生</w:t>
            </w:r>
            <w:r>
              <w:rPr>
                <w:rFonts w:ascii="宋体" w:hAnsi="宋体" w:cs="宋体"/>
                <w:color w:val="auto"/>
                <w:sz w:val="21"/>
                <w:szCs w:val="21"/>
                <w:highlight w:val="none"/>
              </w:rPr>
              <w:t>、操作间卫生</w:t>
            </w:r>
            <w:r>
              <w:rPr>
                <w:rFonts w:hint="eastAsia" w:ascii="宋体" w:hAnsi="宋体" w:cs="宋体"/>
                <w:color w:val="auto"/>
                <w:sz w:val="21"/>
                <w:szCs w:val="21"/>
                <w:highlight w:val="none"/>
              </w:rPr>
              <w:t>、</w:t>
            </w:r>
            <w:r>
              <w:rPr>
                <w:rFonts w:ascii="宋体" w:hAnsi="宋体" w:cs="宋体"/>
                <w:color w:val="auto"/>
                <w:sz w:val="21"/>
                <w:szCs w:val="21"/>
                <w:highlight w:val="none"/>
              </w:rPr>
              <w:t>餐厅卫生、卫生间</w:t>
            </w:r>
            <w:r>
              <w:rPr>
                <w:rFonts w:hint="eastAsia" w:ascii="宋体" w:hAnsi="宋体" w:cs="宋体"/>
                <w:color w:val="auto"/>
                <w:sz w:val="21"/>
                <w:szCs w:val="21"/>
                <w:highlight w:val="none"/>
              </w:rPr>
              <w:t>卫生</w:t>
            </w:r>
            <w:r>
              <w:rPr>
                <w:rFonts w:ascii="宋体" w:hAnsi="宋体" w:cs="宋体"/>
                <w:color w:val="auto"/>
                <w:sz w:val="21"/>
                <w:szCs w:val="21"/>
                <w:highlight w:val="none"/>
              </w:rPr>
              <w:t>等清洁</w:t>
            </w:r>
            <w:r>
              <w:rPr>
                <w:rFonts w:hint="eastAsia" w:ascii="宋体" w:hAnsi="宋体" w:cs="宋体"/>
                <w:color w:val="auto"/>
                <w:sz w:val="21"/>
                <w:szCs w:val="21"/>
                <w:highlight w:val="none"/>
              </w:rPr>
              <w:t>消</w:t>
            </w:r>
            <w:r>
              <w:rPr>
                <w:rFonts w:ascii="宋体" w:hAnsi="宋体" w:cs="宋体"/>
                <w:color w:val="auto"/>
                <w:sz w:val="21"/>
                <w:szCs w:val="21"/>
                <w:highlight w:val="none"/>
              </w:rPr>
              <w:t>杀、控制方案的合理性</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分）、设备</w:t>
            </w:r>
            <w:r>
              <w:rPr>
                <w:rFonts w:ascii="宋体" w:hAnsi="宋体" w:cs="宋体"/>
                <w:color w:val="auto"/>
                <w:sz w:val="21"/>
                <w:szCs w:val="21"/>
                <w:highlight w:val="none"/>
              </w:rPr>
              <w:t>设施的清洗、消杀</w:t>
            </w:r>
            <w:r>
              <w:rPr>
                <w:rFonts w:hint="eastAsia" w:ascii="宋体" w:hAnsi="宋体" w:cs="宋体"/>
                <w:color w:val="auto"/>
                <w:sz w:val="21"/>
                <w:szCs w:val="21"/>
                <w:highlight w:val="none"/>
              </w:rPr>
              <w:t>的</w:t>
            </w:r>
            <w:r>
              <w:rPr>
                <w:rFonts w:ascii="宋体" w:hAnsi="宋体" w:cs="宋体"/>
                <w:color w:val="auto"/>
                <w:sz w:val="21"/>
                <w:szCs w:val="21"/>
                <w:highlight w:val="none"/>
              </w:rPr>
              <w:t>方案的</w:t>
            </w:r>
            <w:r>
              <w:rPr>
                <w:rFonts w:hint="eastAsia" w:ascii="宋体" w:hAnsi="宋体" w:cs="宋体"/>
                <w:color w:val="auto"/>
                <w:sz w:val="21"/>
                <w:szCs w:val="21"/>
                <w:highlight w:val="none"/>
              </w:rPr>
              <w:t>合理性（0-2分）、餐具</w:t>
            </w:r>
            <w:r>
              <w:rPr>
                <w:rFonts w:ascii="宋体" w:hAnsi="宋体" w:cs="宋体"/>
                <w:color w:val="auto"/>
                <w:sz w:val="21"/>
                <w:szCs w:val="21"/>
                <w:highlight w:val="none"/>
              </w:rPr>
              <w:t>、用具清洗消毒的方案合理性</w:t>
            </w:r>
            <w:r>
              <w:rPr>
                <w:rFonts w:hint="eastAsia" w:ascii="宋体" w:hAnsi="宋体" w:cs="宋体"/>
                <w:color w:val="auto"/>
                <w:sz w:val="21"/>
                <w:szCs w:val="21"/>
                <w:highlight w:val="none"/>
              </w:rPr>
              <w:t>（0-2分）、</w:t>
            </w:r>
            <w:r>
              <w:rPr>
                <w:rFonts w:ascii="宋体" w:hAnsi="宋体" w:cs="宋体"/>
                <w:color w:val="auto"/>
                <w:sz w:val="21"/>
                <w:szCs w:val="21"/>
                <w:highlight w:val="none"/>
              </w:rPr>
              <w:t>人员卫生控制方案合理性（</w:t>
            </w:r>
            <w:r>
              <w:rPr>
                <w:rFonts w:hint="eastAsia" w:ascii="宋体" w:hAnsi="宋体" w:cs="宋体"/>
                <w:color w:val="auto"/>
                <w:sz w:val="21"/>
                <w:szCs w:val="21"/>
                <w:highlight w:val="none"/>
              </w:rPr>
              <w:t>0-2分</w:t>
            </w:r>
            <w:r>
              <w:rPr>
                <w:rFonts w:ascii="宋体" w:hAnsi="宋体" w:cs="宋体"/>
                <w:color w:val="auto"/>
                <w:sz w:val="21"/>
                <w:szCs w:val="21"/>
                <w:highlight w:val="none"/>
              </w:rPr>
              <w:t>）、食品调味料公示管理制度合理性（</w:t>
            </w:r>
            <w:r>
              <w:rPr>
                <w:rFonts w:hint="eastAsia" w:ascii="宋体" w:hAnsi="宋体" w:cs="宋体"/>
                <w:color w:val="auto"/>
                <w:sz w:val="21"/>
                <w:szCs w:val="21"/>
                <w:highlight w:val="none"/>
              </w:rPr>
              <w:t>0-1分</w:t>
            </w:r>
            <w:r>
              <w:rPr>
                <w:rFonts w:ascii="宋体" w:hAnsi="宋体" w:cs="宋体"/>
                <w:color w:val="auto"/>
                <w:sz w:val="21"/>
                <w:szCs w:val="21"/>
                <w:highlight w:val="none"/>
              </w:rPr>
              <w:t>）、食品安全自查管理制度合理性（</w:t>
            </w:r>
            <w:r>
              <w:rPr>
                <w:rFonts w:hint="eastAsia" w:ascii="宋体" w:hAnsi="宋体" w:cs="宋体"/>
                <w:color w:val="auto"/>
                <w:sz w:val="21"/>
                <w:szCs w:val="21"/>
                <w:highlight w:val="none"/>
              </w:rPr>
              <w:t>0-1分</w:t>
            </w:r>
            <w:r>
              <w:rPr>
                <w:rFonts w:ascii="宋体" w:hAnsi="宋体" w:cs="宋体"/>
                <w:color w:val="auto"/>
                <w:sz w:val="21"/>
                <w:szCs w:val="21"/>
                <w:highlight w:val="none"/>
              </w:rPr>
              <w:t>）</w:t>
            </w:r>
            <w:r>
              <w:rPr>
                <w:rFonts w:hint="eastAsia" w:ascii="宋体" w:hAnsi="宋体" w:cs="宋体"/>
                <w:color w:val="auto"/>
                <w:sz w:val="21"/>
                <w:szCs w:val="21"/>
                <w:highlight w:val="none"/>
              </w:rPr>
              <w:t>。</w:t>
            </w:r>
          </w:p>
        </w:tc>
        <w:tc>
          <w:tcPr>
            <w:tcW w:w="709" w:type="dxa"/>
            <w:vAlign w:val="center"/>
          </w:tcPr>
          <w:p w14:paraId="12A9B432">
            <w:pPr>
              <w:spacing w:line="460" w:lineRule="exact"/>
              <w:ind w:left="-5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0C99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3414DD6E">
            <w:pPr>
              <w:spacing w:line="460" w:lineRule="exact"/>
              <w:ind w:left="-50"/>
              <w:jc w:val="center"/>
              <w:rPr>
                <w:rFonts w:ascii="宋体" w:hAnsi="宋体" w:cs="宋体"/>
                <w:color w:val="auto"/>
                <w:sz w:val="21"/>
                <w:szCs w:val="21"/>
                <w:highlight w:val="none"/>
              </w:rPr>
            </w:pPr>
          </w:p>
        </w:tc>
        <w:tc>
          <w:tcPr>
            <w:tcW w:w="1023" w:type="dxa"/>
            <w:vMerge w:val="continue"/>
            <w:vAlign w:val="center"/>
          </w:tcPr>
          <w:p w14:paraId="243C8C41">
            <w:pPr>
              <w:spacing w:line="460" w:lineRule="exact"/>
              <w:ind w:left="-50"/>
              <w:jc w:val="center"/>
              <w:rPr>
                <w:rFonts w:ascii="宋体" w:hAnsi="宋体" w:cs="宋体"/>
                <w:color w:val="auto"/>
                <w:sz w:val="21"/>
                <w:szCs w:val="21"/>
                <w:highlight w:val="none"/>
              </w:rPr>
            </w:pPr>
          </w:p>
        </w:tc>
        <w:tc>
          <w:tcPr>
            <w:tcW w:w="1583" w:type="dxa"/>
            <w:vAlign w:val="center"/>
          </w:tcPr>
          <w:p w14:paraId="5EEAD873">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原</w:t>
            </w:r>
            <w:r>
              <w:rPr>
                <w:rFonts w:ascii="宋体" w:hAnsi="宋体" w:cs="宋体"/>
                <w:color w:val="auto"/>
                <w:sz w:val="21"/>
                <w:szCs w:val="21"/>
                <w:highlight w:val="none"/>
              </w:rPr>
              <w:t>材料验收存储及保鲜方案</w:t>
            </w:r>
          </w:p>
        </w:tc>
        <w:tc>
          <w:tcPr>
            <w:tcW w:w="5792" w:type="dxa"/>
          </w:tcPr>
          <w:p w14:paraId="44C4E717">
            <w:pPr>
              <w:spacing w:line="460" w:lineRule="exact"/>
              <w:ind w:left="-50"/>
              <w:jc w:val="left"/>
              <w:rPr>
                <w:rFonts w:ascii="宋体" w:hAnsi="宋体" w:cs="宋体"/>
                <w:color w:val="auto"/>
                <w:sz w:val="21"/>
                <w:szCs w:val="21"/>
                <w:highlight w:val="none"/>
              </w:rPr>
            </w:pPr>
            <w:r>
              <w:rPr>
                <w:rFonts w:hint="eastAsia" w:ascii="宋体" w:hAnsi="宋体" w:cs="宋体"/>
                <w:color w:val="auto"/>
                <w:sz w:val="21"/>
                <w:szCs w:val="21"/>
                <w:highlight w:val="none"/>
              </w:rPr>
              <w:t>投标</w:t>
            </w:r>
            <w:r>
              <w:rPr>
                <w:rFonts w:ascii="宋体" w:hAnsi="宋体" w:cs="宋体"/>
                <w:color w:val="auto"/>
                <w:sz w:val="21"/>
                <w:szCs w:val="21"/>
                <w:highlight w:val="none"/>
              </w:rPr>
              <w:t>人需</w:t>
            </w:r>
            <w:r>
              <w:rPr>
                <w:rFonts w:hint="eastAsia" w:ascii="宋体" w:hAnsi="宋体" w:cs="宋体"/>
                <w:color w:val="auto"/>
                <w:sz w:val="21"/>
                <w:szCs w:val="21"/>
                <w:highlight w:val="none"/>
              </w:rPr>
              <w:t>制定</w:t>
            </w:r>
            <w:r>
              <w:rPr>
                <w:rFonts w:ascii="宋体" w:hAnsi="宋体" w:cs="宋体"/>
                <w:color w:val="auto"/>
                <w:sz w:val="21"/>
                <w:szCs w:val="21"/>
                <w:highlight w:val="none"/>
              </w:rPr>
              <w:t>原材料验收、存储及</w:t>
            </w:r>
            <w:r>
              <w:rPr>
                <w:rFonts w:hint="eastAsia" w:ascii="宋体" w:hAnsi="宋体" w:cs="宋体"/>
                <w:color w:val="auto"/>
                <w:sz w:val="21"/>
                <w:szCs w:val="21"/>
                <w:highlight w:val="none"/>
              </w:rPr>
              <w:t>保</w:t>
            </w:r>
            <w:r>
              <w:rPr>
                <w:rFonts w:ascii="宋体" w:hAnsi="宋体" w:cs="宋体"/>
                <w:color w:val="auto"/>
                <w:sz w:val="21"/>
                <w:szCs w:val="21"/>
                <w:highlight w:val="none"/>
              </w:rPr>
              <w:t>鲜方案</w:t>
            </w:r>
            <w:r>
              <w:rPr>
                <w:rFonts w:hint="eastAsia" w:ascii="宋体" w:hAnsi="宋体" w:cs="宋体"/>
                <w:color w:val="auto"/>
                <w:sz w:val="21"/>
                <w:szCs w:val="21"/>
                <w:highlight w:val="none"/>
              </w:rPr>
              <w:t>（0-2分）、投</w:t>
            </w:r>
            <w:r>
              <w:rPr>
                <w:rFonts w:ascii="宋体" w:hAnsi="宋体" w:cs="宋体"/>
                <w:color w:val="auto"/>
                <w:sz w:val="21"/>
                <w:szCs w:val="21"/>
                <w:highlight w:val="none"/>
              </w:rPr>
              <w:t>标人需</w:t>
            </w:r>
            <w:r>
              <w:rPr>
                <w:rFonts w:hint="eastAsia" w:ascii="宋体" w:hAnsi="宋体" w:cs="宋体"/>
                <w:color w:val="auto"/>
                <w:sz w:val="21"/>
                <w:szCs w:val="21"/>
                <w:highlight w:val="none"/>
              </w:rPr>
              <w:t>制定具体</w:t>
            </w:r>
            <w:r>
              <w:rPr>
                <w:rFonts w:ascii="宋体" w:hAnsi="宋体" w:cs="宋体"/>
                <w:color w:val="auto"/>
                <w:sz w:val="21"/>
                <w:szCs w:val="21"/>
                <w:highlight w:val="none"/>
              </w:rPr>
              <w:t>的原材料验收管理方案</w:t>
            </w:r>
            <w:r>
              <w:rPr>
                <w:rFonts w:hint="eastAsia" w:ascii="宋体" w:hAnsi="宋体" w:cs="宋体"/>
                <w:color w:val="auto"/>
                <w:sz w:val="21"/>
                <w:szCs w:val="21"/>
                <w:highlight w:val="none"/>
              </w:rPr>
              <w:t>（0-1分）、投</w:t>
            </w:r>
            <w:r>
              <w:rPr>
                <w:rFonts w:ascii="宋体" w:hAnsi="宋体" w:cs="宋体"/>
                <w:color w:val="auto"/>
                <w:sz w:val="21"/>
                <w:szCs w:val="21"/>
                <w:highlight w:val="none"/>
              </w:rPr>
              <w:t>标人需</w:t>
            </w:r>
            <w:r>
              <w:rPr>
                <w:rFonts w:hint="eastAsia" w:ascii="宋体" w:hAnsi="宋体" w:cs="宋体"/>
                <w:color w:val="auto"/>
                <w:sz w:val="21"/>
                <w:szCs w:val="21"/>
                <w:highlight w:val="none"/>
              </w:rPr>
              <w:t>制定具体</w:t>
            </w:r>
            <w:r>
              <w:rPr>
                <w:rFonts w:ascii="宋体" w:hAnsi="宋体" w:cs="宋体"/>
                <w:color w:val="auto"/>
                <w:sz w:val="21"/>
                <w:szCs w:val="21"/>
                <w:highlight w:val="none"/>
              </w:rPr>
              <w:t>的原材料</w:t>
            </w:r>
            <w:r>
              <w:rPr>
                <w:rFonts w:hint="eastAsia" w:ascii="宋体" w:hAnsi="宋体" w:cs="宋体"/>
                <w:color w:val="auto"/>
                <w:sz w:val="21"/>
                <w:szCs w:val="21"/>
                <w:highlight w:val="none"/>
              </w:rPr>
              <w:t>储存</w:t>
            </w:r>
            <w:r>
              <w:rPr>
                <w:rFonts w:ascii="宋体" w:hAnsi="宋体" w:cs="宋体"/>
                <w:color w:val="auto"/>
                <w:sz w:val="21"/>
                <w:szCs w:val="21"/>
                <w:highlight w:val="none"/>
              </w:rPr>
              <w:t>管理方案</w:t>
            </w:r>
            <w:r>
              <w:rPr>
                <w:rFonts w:hint="eastAsia" w:ascii="宋体" w:hAnsi="宋体" w:cs="宋体"/>
                <w:color w:val="auto"/>
                <w:sz w:val="21"/>
                <w:szCs w:val="21"/>
                <w:highlight w:val="none"/>
              </w:rPr>
              <w:t>（0-1分）、投</w:t>
            </w:r>
            <w:r>
              <w:rPr>
                <w:rFonts w:ascii="宋体" w:hAnsi="宋体" w:cs="宋体"/>
                <w:color w:val="auto"/>
                <w:sz w:val="21"/>
                <w:szCs w:val="21"/>
                <w:highlight w:val="none"/>
              </w:rPr>
              <w:t>标人需</w:t>
            </w:r>
            <w:r>
              <w:rPr>
                <w:rFonts w:hint="eastAsia" w:ascii="宋体" w:hAnsi="宋体" w:cs="宋体"/>
                <w:color w:val="auto"/>
                <w:sz w:val="21"/>
                <w:szCs w:val="21"/>
                <w:highlight w:val="none"/>
              </w:rPr>
              <w:t>制定具体</w:t>
            </w:r>
            <w:r>
              <w:rPr>
                <w:rFonts w:ascii="宋体" w:hAnsi="宋体" w:cs="宋体"/>
                <w:color w:val="auto"/>
                <w:sz w:val="21"/>
                <w:szCs w:val="21"/>
                <w:highlight w:val="none"/>
              </w:rPr>
              <w:t>的原材料</w:t>
            </w:r>
            <w:r>
              <w:rPr>
                <w:rFonts w:hint="eastAsia" w:ascii="宋体" w:hAnsi="宋体" w:cs="宋体"/>
                <w:color w:val="auto"/>
                <w:sz w:val="21"/>
                <w:szCs w:val="21"/>
                <w:highlight w:val="none"/>
              </w:rPr>
              <w:t>保鲜</w:t>
            </w:r>
            <w:r>
              <w:rPr>
                <w:rFonts w:ascii="宋体" w:hAnsi="宋体" w:cs="宋体"/>
                <w:color w:val="auto"/>
                <w:sz w:val="21"/>
                <w:szCs w:val="21"/>
                <w:highlight w:val="none"/>
              </w:rPr>
              <w:t>管理方案</w:t>
            </w:r>
            <w:r>
              <w:rPr>
                <w:rFonts w:hint="eastAsia" w:ascii="宋体" w:hAnsi="宋体" w:cs="宋体"/>
                <w:color w:val="auto"/>
                <w:sz w:val="21"/>
                <w:szCs w:val="21"/>
                <w:highlight w:val="none"/>
              </w:rPr>
              <w:t>（0-1分）。</w:t>
            </w:r>
          </w:p>
        </w:tc>
        <w:tc>
          <w:tcPr>
            <w:tcW w:w="709" w:type="dxa"/>
            <w:vAlign w:val="center"/>
          </w:tcPr>
          <w:p w14:paraId="32CEFD92">
            <w:pPr>
              <w:spacing w:line="460" w:lineRule="exact"/>
              <w:ind w:left="-50"/>
              <w:jc w:val="center"/>
              <w:rPr>
                <w:rFonts w:ascii="宋体" w:hAnsi="宋体" w:cs="宋体"/>
                <w:color w:val="auto"/>
                <w:sz w:val="21"/>
                <w:szCs w:val="21"/>
                <w:highlight w:val="none"/>
              </w:rPr>
            </w:pPr>
            <w:r>
              <w:rPr>
                <w:rFonts w:ascii="宋体" w:hAnsi="宋体" w:cs="宋体"/>
                <w:color w:val="auto"/>
                <w:sz w:val="21"/>
                <w:szCs w:val="21"/>
                <w:highlight w:val="none"/>
              </w:rPr>
              <w:t>5</w:t>
            </w:r>
          </w:p>
        </w:tc>
      </w:tr>
      <w:tr w14:paraId="4D01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01EB27D6">
            <w:pPr>
              <w:spacing w:line="460" w:lineRule="exact"/>
              <w:ind w:left="-50"/>
              <w:jc w:val="center"/>
              <w:rPr>
                <w:rFonts w:ascii="宋体" w:hAnsi="宋体" w:cs="宋体"/>
                <w:color w:val="auto"/>
                <w:sz w:val="21"/>
                <w:szCs w:val="21"/>
                <w:highlight w:val="none"/>
              </w:rPr>
            </w:pPr>
          </w:p>
        </w:tc>
        <w:tc>
          <w:tcPr>
            <w:tcW w:w="1023" w:type="dxa"/>
            <w:vMerge w:val="continue"/>
            <w:vAlign w:val="center"/>
          </w:tcPr>
          <w:p w14:paraId="509E31ED">
            <w:pPr>
              <w:spacing w:line="460" w:lineRule="exact"/>
              <w:ind w:left="-50"/>
              <w:jc w:val="center"/>
              <w:rPr>
                <w:rFonts w:ascii="宋体" w:hAnsi="宋体" w:cs="宋体"/>
                <w:color w:val="auto"/>
                <w:sz w:val="21"/>
                <w:szCs w:val="21"/>
                <w:highlight w:val="none"/>
              </w:rPr>
            </w:pPr>
          </w:p>
        </w:tc>
        <w:tc>
          <w:tcPr>
            <w:tcW w:w="1583" w:type="dxa"/>
            <w:vAlign w:val="center"/>
          </w:tcPr>
          <w:p w14:paraId="44DEB974">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各</w:t>
            </w:r>
            <w:r>
              <w:rPr>
                <w:rFonts w:ascii="宋体" w:hAnsi="宋体" w:cs="宋体"/>
                <w:color w:val="auto"/>
                <w:sz w:val="21"/>
                <w:szCs w:val="21"/>
                <w:highlight w:val="none"/>
              </w:rPr>
              <w:t>项服</w:t>
            </w:r>
            <w:r>
              <w:rPr>
                <w:rFonts w:hint="eastAsia" w:ascii="宋体" w:hAnsi="宋体" w:cs="宋体"/>
                <w:color w:val="auto"/>
                <w:sz w:val="21"/>
                <w:szCs w:val="21"/>
                <w:highlight w:val="none"/>
              </w:rPr>
              <w:t>务</w:t>
            </w:r>
            <w:r>
              <w:rPr>
                <w:rFonts w:ascii="宋体" w:hAnsi="宋体" w:cs="宋体"/>
                <w:color w:val="auto"/>
                <w:sz w:val="21"/>
                <w:szCs w:val="21"/>
                <w:highlight w:val="none"/>
              </w:rPr>
              <w:t>应急预案</w:t>
            </w:r>
          </w:p>
        </w:tc>
        <w:tc>
          <w:tcPr>
            <w:tcW w:w="5792" w:type="dxa"/>
          </w:tcPr>
          <w:p w14:paraId="0C7D7DEA">
            <w:pPr>
              <w:spacing w:line="460" w:lineRule="exact"/>
              <w:ind w:left="-50"/>
              <w:jc w:val="left"/>
              <w:rPr>
                <w:rFonts w:ascii="宋体" w:hAnsi="宋体" w:cs="宋体"/>
                <w:color w:val="auto"/>
                <w:sz w:val="21"/>
                <w:szCs w:val="21"/>
                <w:highlight w:val="none"/>
              </w:rPr>
            </w:pPr>
            <w:r>
              <w:rPr>
                <w:rFonts w:hint="eastAsia" w:ascii="宋体" w:hAnsi="宋体" w:cs="宋体"/>
                <w:color w:val="auto"/>
                <w:sz w:val="21"/>
                <w:szCs w:val="21"/>
                <w:highlight w:val="none"/>
              </w:rPr>
              <w:t>食物中</w:t>
            </w:r>
            <w:r>
              <w:rPr>
                <w:rFonts w:ascii="宋体" w:hAnsi="宋体" w:cs="宋体"/>
                <w:color w:val="auto"/>
                <w:sz w:val="21"/>
                <w:szCs w:val="21"/>
                <w:highlight w:val="none"/>
              </w:rPr>
              <w:t>毒应急预案的合理性</w:t>
            </w:r>
            <w:r>
              <w:rPr>
                <w:rFonts w:hint="eastAsia" w:ascii="宋体" w:hAnsi="宋体" w:cs="宋体"/>
                <w:color w:val="auto"/>
                <w:sz w:val="21"/>
                <w:szCs w:val="21"/>
                <w:highlight w:val="none"/>
              </w:rPr>
              <w:t>（0-</w:t>
            </w:r>
            <w:r>
              <w:rPr>
                <w:rFonts w:ascii="宋体" w:hAnsi="宋体" w:cs="宋体"/>
                <w:color w:val="auto"/>
                <w:sz w:val="21"/>
                <w:szCs w:val="21"/>
                <w:highlight w:val="none"/>
              </w:rPr>
              <w:t>2</w:t>
            </w:r>
            <w:r>
              <w:rPr>
                <w:rFonts w:hint="eastAsia" w:ascii="宋体" w:hAnsi="宋体" w:cs="宋体"/>
                <w:color w:val="auto"/>
                <w:sz w:val="21"/>
                <w:szCs w:val="21"/>
                <w:highlight w:val="none"/>
              </w:rPr>
              <w:t>分）、突发</w:t>
            </w:r>
            <w:r>
              <w:rPr>
                <w:rFonts w:ascii="宋体" w:hAnsi="宋体" w:cs="宋体"/>
                <w:color w:val="auto"/>
                <w:sz w:val="21"/>
                <w:szCs w:val="21"/>
                <w:highlight w:val="none"/>
              </w:rPr>
              <w:t>停水、</w:t>
            </w:r>
            <w:r>
              <w:rPr>
                <w:rFonts w:hint="eastAsia" w:ascii="宋体" w:hAnsi="宋体" w:cs="宋体"/>
                <w:color w:val="auto"/>
                <w:sz w:val="21"/>
                <w:szCs w:val="21"/>
                <w:highlight w:val="none"/>
              </w:rPr>
              <w:t>停</w:t>
            </w:r>
            <w:r>
              <w:rPr>
                <w:rFonts w:ascii="宋体" w:hAnsi="宋体" w:cs="宋体"/>
                <w:color w:val="auto"/>
                <w:sz w:val="21"/>
                <w:szCs w:val="21"/>
                <w:highlight w:val="none"/>
              </w:rPr>
              <w:t>电应急预案的合理性</w:t>
            </w:r>
            <w:r>
              <w:rPr>
                <w:rFonts w:hint="eastAsia" w:ascii="宋体" w:hAnsi="宋体" w:cs="宋体"/>
                <w:color w:val="auto"/>
                <w:sz w:val="21"/>
                <w:szCs w:val="21"/>
                <w:highlight w:val="none"/>
              </w:rPr>
              <w:t>（0-</w:t>
            </w:r>
            <w:r>
              <w:rPr>
                <w:rFonts w:ascii="宋体" w:hAnsi="宋体" w:cs="宋体"/>
                <w:color w:val="auto"/>
                <w:sz w:val="21"/>
                <w:szCs w:val="21"/>
                <w:highlight w:val="none"/>
              </w:rPr>
              <w:t>1</w:t>
            </w:r>
            <w:r>
              <w:rPr>
                <w:rFonts w:hint="eastAsia" w:ascii="宋体" w:hAnsi="宋体" w:cs="宋体"/>
                <w:color w:val="auto"/>
                <w:sz w:val="21"/>
                <w:szCs w:val="21"/>
                <w:highlight w:val="none"/>
              </w:rPr>
              <w:t>分）、火灾事故</w:t>
            </w:r>
            <w:r>
              <w:rPr>
                <w:rFonts w:ascii="宋体" w:hAnsi="宋体" w:cs="宋体"/>
                <w:color w:val="auto"/>
                <w:sz w:val="21"/>
                <w:szCs w:val="21"/>
                <w:highlight w:val="none"/>
              </w:rPr>
              <w:t>应急预案的合理性</w:t>
            </w:r>
            <w:r>
              <w:rPr>
                <w:rFonts w:hint="eastAsia" w:ascii="宋体" w:hAnsi="宋体" w:cs="宋体"/>
                <w:color w:val="auto"/>
                <w:sz w:val="21"/>
                <w:szCs w:val="21"/>
                <w:highlight w:val="none"/>
              </w:rPr>
              <w:t>（0-</w:t>
            </w:r>
            <w:r>
              <w:rPr>
                <w:rFonts w:ascii="宋体" w:hAnsi="宋体" w:cs="宋体"/>
                <w:color w:val="auto"/>
                <w:sz w:val="21"/>
                <w:szCs w:val="21"/>
                <w:highlight w:val="none"/>
              </w:rPr>
              <w:t>2</w:t>
            </w:r>
            <w:r>
              <w:rPr>
                <w:rFonts w:hint="eastAsia" w:ascii="宋体" w:hAnsi="宋体" w:cs="宋体"/>
                <w:color w:val="auto"/>
                <w:sz w:val="21"/>
                <w:szCs w:val="21"/>
                <w:highlight w:val="none"/>
              </w:rPr>
              <w:t>分）、触电</w:t>
            </w:r>
            <w:r>
              <w:rPr>
                <w:rFonts w:ascii="宋体" w:hAnsi="宋体" w:cs="宋体"/>
                <w:color w:val="auto"/>
                <w:sz w:val="21"/>
                <w:szCs w:val="21"/>
                <w:highlight w:val="none"/>
              </w:rPr>
              <w:t>伤亡应急预案的合理性</w:t>
            </w:r>
            <w:r>
              <w:rPr>
                <w:rFonts w:hint="eastAsia" w:ascii="宋体" w:hAnsi="宋体" w:cs="宋体"/>
                <w:color w:val="auto"/>
                <w:sz w:val="21"/>
                <w:szCs w:val="21"/>
                <w:highlight w:val="none"/>
              </w:rPr>
              <w:t>（0-</w:t>
            </w:r>
            <w:r>
              <w:rPr>
                <w:rFonts w:ascii="宋体" w:hAnsi="宋体" w:cs="宋体"/>
                <w:color w:val="auto"/>
                <w:sz w:val="21"/>
                <w:szCs w:val="21"/>
                <w:highlight w:val="none"/>
              </w:rPr>
              <w:t>2</w:t>
            </w:r>
            <w:r>
              <w:rPr>
                <w:rFonts w:hint="eastAsia" w:ascii="宋体" w:hAnsi="宋体" w:cs="宋体"/>
                <w:color w:val="auto"/>
                <w:sz w:val="21"/>
                <w:szCs w:val="21"/>
                <w:highlight w:val="none"/>
              </w:rPr>
              <w:t>分）、机械人员</w:t>
            </w:r>
            <w:r>
              <w:rPr>
                <w:rFonts w:ascii="宋体" w:hAnsi="宋体" w:cs="宋体"/>
                <w:color w:val="auto"/>
                <w:sz w:val="21"/>
                <w:szCs w:val="21"/>
                <w:highlight w:val="none"/>
              </w:rPr>
              <w:t>伤亡应急预案的合理性</w:t>
            </w:r>
            <w:r>
              <w:rPr>
                <w:rFonts w:hint="eastAsia" w:ascii="宋体" w:hAnsi="宋体" w:cs="宋体"/>
                <w:color w:val="auto"/>
                <w:sz w:val="21"/>
                <w:szCs w:val="21"/>
                <w:highlight w:val="none"/>
              </w:rPr>
              <w:t>（0-</w:t>
            </w:r>
            <w:r>
              <w:rPr>
                <w:rFonts w:ascii="宋体" w:hAnsi="宋体" w:cs="宋体"/>
                <w:color w:val="auto"/>
                <w:sz w:val="21"/>
                <w:szCs w:val="21"/>
                <w:highlight w:val="none"/>
              </w:rPr>
              <w:t>2</w:t>
            </w:r>
            <w:r>
              <w:rPr>
                <w:rFonts w:hint="eastAsia" w:ascii="宋体" w:hAnsi="宋体" w:cs="宋体"/>
                <w:color w:val="auto"/>
                <w:sz w:val="21"/>
                <w:szCs w:val="21"/>
                <w:highlight w:val="none"/>
              </w:rPr>
              <w:t>分）、治安事件</w:t>
            </w:r>
            <w:r>
              <w:rPr>
                <w:rFonts w:ascii="宋体" w:hAnsi="宋体" w:cs="宋体"/>
                <w:color w:val="auto"/>
                <w:sz w:val="21"/>
                <w:szCs w:val="21"/>
                <w:highlight w:val="none"/>
              </w:rPr>
              <w:t>应急预案的合理性</w:t>
            </w:r>
            <w:r>
              <w:rPr>
                <w:rFonts w:hint="eastAsia" w:ascii="宋体" w:hAnsi="宋体" w:cs="宋体"/>
                <w:color w:val="auto"/>
                <w:sz w:val="21"/>
                <w:szCs w:val="21"/>
                <w:highlight w:val="none"/>
              </w:rPr>
              <w:t>（0-</w:t>
            </w:r>
            <w:r>
              <w:rPr>
                <w:rFonts w:ascii="宋体" w:hAnsi="宋体" w:cs="宋体"/>
                <w:color w:val="auto"/>
                <w:sz w:val="21"/>
                <w:szCs w:val="21"/>
                <w:highlight w:val="none"/>
              </w:rPr>
              <w:t>1</w:t>
            </w:r>
            <w:r>
              <w:rPr>
                <w:rFonts w:hint="eastAsia" w:ascii="宋体" w:hAnsi="宋体" w:cs="宋体"/>
                <w:color w:val="auto"/>
                <w:sz w:val="21"/>
                <w:szCs w:val="21"/>
                <w:highlight w:val="none"/>
              </w:rPr>
              <w:t>分）、就</w:t>
            </w:r>
            <w:r>
              <w:rPr>
                <w:rFonts w:ascii="宋体" w:hAnsi="宋体" w:cs="宋体"/>
                <w:color w:val="auto"/>
                <w:sz w:val="21"/>
                <w:szCs w:val="21"/>
                <w:highlight w:val="none"/>
              </w:rPr>
              <w:t>餐人员投</w:t>
            </w:r>
            <w:r>
              <w:rPr>
                <w:rFonts w:hint="eastAsia" w:ascii="宋体" w:hAnsi="宋体" w:cs="宋体"/>
                <w:color w:val="auto"/>
                <w:sz w:val="21"/>
                <w:szCs w:val="21"/>
                <w:highlight w:val="none"/>
              </w:rPr>
              <w:t>诉</w:t>
            </w:r>
            <w:r>
              <w:rPr>
                <w:rFonts w:ascii="宋体" w:hAnsi="宋体" w:cs="宋体"/>
                <w:color w:val="auto"/>
                <w:sz w:val="21"/>
                <w:szCs w:val="21"/>
                <w:highlight w:val="none"/>
              </w:rPr>
              <w:t>应急预案的合理性</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709" w:type="dxa"/>
            <w:vAlign w:val="center"/>
          </w:tcPr>
          <w:p w14:paraId="69837C93">
            <w:pPr>
              <w:spacing w:line="460" w:lineRule="exact"/>
              <w:ind w:left="-50"/>
              <w:jc w:val="center"/>
              <w:rPr>
                <w:rFonts w:hint="eastAsia" w:ascii="宋体" w:hAnsi="宋体" w:eastAsia="宋体" w:cs="宋体"/>
                <w:color w:val="auto"/>
                <w:sz w:val="21"/>
                <w:szCs w:val="21"/>
                <w:highlight w:val="none"/>
                <w:lang w:eastAsia="zh-CN"/>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p>
        </w:tc>
      </w:tr>
      <w:tr w14:paraId="0EE4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75" w:type="dxa"/>
            <w:vMerge w:val="restart"/>
            <w:vAlign w:val="center"/>
          </w:tcPr>
          <w:p w14:paraId="0A81A58D">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p w14:paraId="5A323E85">
            <w:pPr>
              <w:spacing w:line="460" w:lineRule="exact"/>
              <w:ind w:left="-50"/>
              <w:jc w:val="center"/>
              <w:rPr>
                <w:rFonts w:ascii="宋体" w:hAnsi="宋体" w:cs="宋体"/>
                <w:color w:val="auto"/>
                <w:sz w:val="21"/>
                <w:szCs w:val="21"/>
                <w:highlight w:val="none"/>
              </w:rPr>
            </w:pPr>
          </w:p>
        </w:tc>
        <w:tc>
          <w:tcPr>
            <w:tcW w:w="1023" w:type="dxa"/>
            <w:vMerge w:val="restart"/>
            <w:vAlign w:val="center"/>
          </w:tcPr>
          <w:p w14:paraId="41773D7F">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商务分</w:t>
            </w:r>
          </w:p>
        </w:tc>
        <w:tc>
          <w:tcPr>
            <w:tcW w:w="1583" w:type="dxa"/>
            <w:vMerge w:val="restart"/>
            <w:vAlign w:val="center"/>
          </w:tcPr>
          <w:p w14:paraId="0F3FF889">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团队力量设置和岗位设置</w:t>
            </w:r>
          </w:p>
        </w:tc>
        <w:tc>
          <w:tcPr>
            <w:tcW w:w="5792" w:type="dxa"/>
            <w:vAlign w:val="center"/>
          </w:tcPr>
          <w:p w14:paraId="49FAE663">
            <w:pPr>
              <w:spacing w:line="460" w:lineRule="exact"/>
              <w:ind w:left="-50"/>
              <w:jc w:val="left"/>
              <w:rPr>
                <w:rFonts w:ascii="宋体" w:hAnsi="宋体" w:cs="宋体"/>
                <w:color w:val="auto"/>
                <w:sz w:val="21"/>
                <w:szCs w:val="21"/>
                <w:highlight w:val="none"/>
              </w:rPr>
            </w:pPr>
            <w:r>
              <w:rPr>
                <w:rFonts w:hint="eastAsia" w:ascii="宋体" w:hAnsi="宋体" w:cs="宋体"/>
                <w:color w:val="auto"/>
                <w:sz w:val="21"/>
                <w:szCs w:val="21"/>
                <w:highlight w:val="none"/>
              </w:rPr>
              <w:t>拟投入本项目的管理及服务人员的总体配备情况（0-</w:t>
            </w:r>
            <w:r>
              <w:rPr>
                <w:rFonts w:ascii="宋体" w:hAnsi="宋体" w:cs="宋体"/>
                <w:color w:val="auto"/>
                <w:sz w:val="21"/>
                <w:szCs w:val="21"/>
                <w:highlight w:val="none"/>
              </w:rPr>
              <w:t>2</w:t>
            </w:r>
            <w:r>
              <w:rPr>
                <w:rFonts w:hint="eastAsia" w:ascii="宋体" w:hAnsi="宋体" w:cs="宋体"/>
                <w:color w:val="auto"/>
                <w:sz w:val="21"/>
                <w:szCs w:val="21"/>
                <w:highlight w:val="none"/>
              </w:rPr>
              <w:t>分）及各</w:t>
            </w:r>
            <w:r>
              <w:rPr>
                <w:rFonts w:ascii="宋体" w:hAnsi="宋体" w:cs="宋体"/>
                <w:color w:val="auto"/>
                <w:sz w:val="21"/>
                <w:szCs w:val="21"/>
                <w:highlight w:val="none"/>
              </w:rPr>
              <w:t>岗位人员</w:t>
            </w:r>
            <w:r>
              <w:rPr>
                <w:rFonts w:hint="eastAsia" w:ascii="宋体" w:hAnsi="宋体" w:cs="宋体"/>
                <w:color w:val="auto"/>
                <w:sz w:val="21"/>
                <w:szCs w:val="21"/>
                <w:highlight w:val="none"/>
              </w:rPr>
              <w:t>素质</w:t>
            </w:r>
            <w:r>
              <w:rPr>
                <w:rFonts w:ascii="宋体" w:hAnsi="宋体" w:cs="宋体"/>
                <w:color w:val="auto"/>
                <w:sz w:val="21"/>
                <w:szCs w:val="21"/>
                <w:highlight w:val="none"/>
              </w:rPr>
              <w:t>、</w:t>
            </w:r>
            <w:r>
              <w:rPr>
                <w:rFonts w:hint="eastAsia" w:ascii="宋体" w:hAnsi="宋体" w:cs="宋体"/>
                <w:color w:val="auto"/>
                <w:sz w:val="21"/>
                <w:szCs w:val="21"/>
                <w:highlight w:val="none"/>
              </w:rPr>
              <w:t>资质要求（0-2分）、各</w:t>
            </w:r>
            <w:r>
              <w:rPr>
                <w:rFonts w:ascii="宋体" w:hAnsi="宋体" w:cs="宋体"/>
                <w:color w:val="auto"/>
                <w:sz w:val="21"/>
                <w:szCs w:val="21"/>
                <w:highlight w:val="none"/>
              </w:rPr>
              <w:t>岗位人员岗位</w:t>
            </w:r>
            <w:r>
              <w:rPr>
                <w:rFonts w:hint="eastAsia" w:ascii="宋体" w:hAnsi="宋体" w:cs="宋体"/>
                <w:color w:val="auto"/>
                <w:sz w:val="21"/>
                <w:szCs w:val="21"/>
                <w:highlight w:val="none"/>
              </w:rPr>
              <w:t>工作要求（0-2分）等情况由专家</w:t>
            </w:r>
            <w:r>
              <w:rPr>
                <w:rFonts w:hint="eastAsia" w:ascii="宋体" w:hAnsi="宋体" w:cs="宋体"/>
                <w:color w:val="auto"/>
                <w:sz w:val="21"/>
                <w:szCs w:val="21"/>
                <w:highlight w:val="none"/>
                <w:lang w:val="en-US" w:eastAsia="zh-CN"/>
              </w:rPr>
              <w:t>进行</w:t>
            </w:r>
            <w:r>
              <w:rPr>
                <w:rFonts w:hint="eastAsia" w:ascii="宋体" w:hAnsi="宋体" w:cs="宋体"/>
                <w:color w:val="auto"/>
                <w:sz w:val="21"/>
                <w:szCs w:val="21"/>
                <w:highlight w:val="none"/>
              </w:rPr>
              <w:t>打分。</w:t>
            </w:r>
          </w:p>
        </w:tc>
        <w:tc>
          <w:tcPr>
            <w:tcW w:w="709" w:type="dxa"/>
            <w:vAlign w:val="center"/>
          </w:tcPr>
          <w:p w14:paraId="3A70D734">
            <w:pPr>
              <w:spacing w:line="460" w:lineRule="exact"/>
              <w:ind w:left="-50"/>
              <w:jc w:val="center"/>
              <w:rPr>
                <w:rFonts w:ascii="宋体" w:hAnsi="宋体" w:cs="宋体"/>
                <w:color w:val="auto"/>
                <w:sz w:val="21"/>
                <w:szCs w:val="21"/>
                <w:highlight w:val="none"/>
              </w:rPr>
            </w:pPr>
            <w:r>
              <w:rPr>
                <w:rFonts w:ascii="宋体" w:hAnsi="宋体" w:cs="宋体"/>
                <w:color w:val="auto"/>
                <w:sz w:val="21"/>
                <w:szCs w:val="21"/>
                <w:highlight w:val="none"/>
              </w:rPr>
              <w:t>6</w:t>
            </w:r>
          </w:p>
        </w:tc>
      </w:tr>
      <w:tr w14:paraId="5311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75" w:type="dxa"/>
            <w:vMerge w:val="continue"/>
            <w:vAlign w:val="center"/>
          </w:tcPr>
          <w:p w14:paraId="5E11598C">
            <w:pPr>
              <w:spacing w:line="460" w:lineRule="exact"/>
              <w:ind w:left="-50"/>
              <w:jc w:val="center"/>
              <w:rPr>
                <w:rFonts w:ascii="宋体" w:hAnsi="宋体" w:cs="宋体"/>
                <w:color w:val="auto"/>
                <w:sz w:val="21"/>
                <w:szCs w:val="21"/>
                <w:highlight w:val="none"/>
              </w:rPr>
            </w:pPr>
          </w:p>
        </w:tc>
        <w:tc>
          <w:tcPr>
            <w:tcW w:w="1023" w:type="dxa"/>
            <w:vMerge w:val="continue"/>
            <w:vAlign w:val="center"/>
          </w:tcPr>
          <w:p w14:paraId="35CD0D6D">
            <w:pPr>
              <w:spacing w:line="460" w:lineRule="exact"/>
              <w:ind w:left="-50"/>
              <w:jc w:val="center"/>
              <w:rPr>
                <w:rFonts w:ascii="宋体" w:hAnsi="宋体" w:cs="宋体"/>
                <w:color w:val="auto"/>
                <w:sz w:val="21"/>
                <w:szCs w:val="21"/>
                <w:highlight w:val="none"/>
              </w:rPr>
            </w:pPr>
          </w:p>
        </w:tc>
        <w:tc>
          <w:tcPr>
            <w:tcW w:w="1583" w:type="dxa"/>
            <w:vMerge w:val="continue"/>
            <w:vAlign w:val="center"/>
          </w:tcPr>
          <w:p w14:paraId="4FF93B7B">
            <w:pPr>
              <w:spacing w:line="460" w:lineRule="exact"/>
              <w:ind w:left="-50"/>
              <w:jc w:val="center"/>
              <w:rPr>
                <w:rFonts w:ascii="宋体" w:hAnsi="宋体" w:cs="宋体"/>
                <w:color w:val="auto"/>
                <w:sz w:val="21"/>
                <w:szCs w:val="21"/>
                <w:highlight w:val="none"/>
              </w:rPr>
            </w:pPr>
          </w:p>
        </w:tc>
        <w:tc>
          <w:tcPr>
            <w:tcW w:w="5792" w:type="dxa"/>
            <w:vAlign w:val="center"/>
          </w:tcPr>
          <w:p w14:paraId="1D91AB2D">
            <w:pPr>
              <w:tabs>
                <w:tab w:val="left" w:pos="1260"/>
              </w:tabs>
              <w:spacing w:line="460" w:lineRule="exact"/>
              <w:rPr>
                <w:rFonts w:hAnsi="宋体"/>
                <w:color w:val="auto"/>
                <w:sz w:val="21"/>
                <w:szCs w:val="21"/>
                <w:highlight w:val="none"/>
              </w:rPr>
            </w:pPr>
            <w:r>
              <w:rPr>
                <w:rFonts w:hint="eastAsia" w:ascii="宋体" w:hAnsi="宋体" w:cs="宋体"/>
                <w:color w:val="auto"/>
                <w:sz w:val="21"/>
                <w:szCs w:val="21"/>
                <w:highlight w:val="none"/>
              </w:rPr>
              <w:t>拟投入本项目的管理及服务人员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除机关食堂人员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有厨师证的得1分，拟投入本项目的管理及服务人员有面点师证的得1分，有</w:t>
            </w:r>
            <w:r>
              <w:rPr>
                <w:rFonts w:hint="eastAsia" w:ascii="宋体" w:hAnsi="宋体" w:cs="宋体"/>
                <w:color w:val="auto"/>
                <w:sz w:val="21"/>
                <w:szCs w:val="21"/>
                <w:highlight w:val="none"/>
                <w:lang w:val="en-US" w:eastAsia="zh-CN"/>
              </w:rPr>
              <w:t>餐饮服务单位食品安全管理人员</w:t>
            </w:r>
            <w:r>
              <w:rPr>
                <w:rFonts w:hint="eastAsia" w:ascii="宋体" w:hAnsi="宋体" w:cs="宋体"/>
                <w:color w:val="auto"/>
                <w:sz w:val="21"/>
                <w:szCs w:val="21"/>
                <w:highlight w:val="none"/>
              </w:rPr>
              <w:t>证</w:t>
            </w:r>
            <w:r>
              <w:rPr>
                <w:rFonts w:hint="eastAsia" w:ascii="宋体" w:hAnsi="宋体" w:cs="宋体"/>
                <w:color w:val="auto"/>
                <w:sz w:val="21"/>
                <w:szCs w:val="21"/>
                <w:highlight w:val="none"/>
                <w:lang w:val="en-US" w:eastAsia="zh-CN"/>
              </w:rPr>
              <w:t>书</w:t>
            </w:r>
            <w:r>
              <w:rPr>
                <w:rFonts w:hint="eastAsia" w:ascii="宋体" w:hAnsi="宋体" w:cs="宋体"/>
                <w:color w:val="auto"/>
                <w:sz w:val="21"/>
                <w:szCs w:val="21"/>
                <w:highlight w:val="none"/>
              </w:rPr>
              <w:t>的得1分，有营养师证的得1分，</w:t>
            </w:r>
            <w:r>
              <w:rPr>
                <w:rFonts w:ascii="宋体" w:hAnsi="宋体" w:cs="宋体"/>
                <w:color w:val="auto"/>
                <w:sz w:val="21"/>
                <w:szCs w:val="21"/>
                <w:highlight w:val="none"/>
              </w:rPr>
              <w:t>有消防设</w:t>
            </w:r>
            <w:r>
              <w:rPr>
                <w:rFonts w:hint="eastAsia" w:ascii="宋体" w:hAnsi="宋体" w:cs="宋体"/>
                <w:color w:val="auto"/>
                <w:sz w:val="21"/>
                <w:szCs w:val="21"/>
                <w:highlight w:val="none"/>
              </w:rPr>
              <w:t>施</w:t>
            </w:r>
            <w:r>
              <w:rPr>
                <w:rFonts w:ascii="宋体" w:hAnsi="宋体" w:cs="宋体"/>
                <w:color w:val="auto"/>
                <w:sz w:val="21"/>
                <w:szCs w:val="21"/>
                <w:highlight w:val="none"/>
              </w:rPr>
              <w:t>操作员证的得</w:t>
            </w:r>
            <w:r>
              <w:rPr>
                <w:rFonts w:hint="eastAsia" w:ascii="宋体" w:hAnsi="宋体" w:cs="宋体"/>
                <w:color w:val="auto"/>
                <w:sz w:val="21"/>
                <w:szCs w:val="21"/>
                <w:highlight w:val="none"/>
              </w:rPr>
              <w:t>1分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每本证书得1分，最高得5分</w:t>
            </w:r>
            <w:r>
              <w:rPr>
                <w:rFonts w:hint="eastAsia" w:ascii="宋体" w:hAnsi="宋体" w:cs="宋体"/>
                <w:color w:val="auto"/>
                <w:sz w:val="21"/>
                <w:szCs w:val="21"/>
                <w:highlight w:val="none"/>
              </w:rPr>
              <w:t>。</w:t>
            </w:r>
          </w:p>
        </w:tc>
        <w:tc>
          <w:tcPr>
            <w:tcW w:w="709" w:type="dxa"/>
            <w:vAlign w:val="center"/>
          </w:tcPr>
          <w:p w14:paraId="66844769">
            <w:pPr>
              <w:spacing w:line="460" w:lineRule="exact"/>
              <w:ind w:left="-50"/>
              <w:jc w:val="center"/>
              <w:rPr>
                <w:rFonts w:ascii="宋体" w:hAnsi="宋体" w:cs="宋体"/>
                <w:color w:val="auto"/>
                <w:sz w:val="21"/>
                <w:szCs w:val="21"/>
                <w:highlight w:val="none"/>
              </w:rPr>
            </w:pPr>
            <w:r>
              <w:rPr>
                <w:rFonts w:ascii="宋体" w:hAnsi="宋体" w:cs="宋体"/>
                <w:color w:val="auto"/>
                <w:sz w:val="21"/>
                <w:szCs w:val="21"/>
                <w:highlight w:val="none"/>
              </w:rPr>
              <w:t>5</w:t>
            </w:r>
          </w:p>
        </w:tc>
      </w:tr>
      <w:tr w14:paraId="6A70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75" w:type="dxa"/>
            <w:vMerge w:val="continue"/>
            <w:vAlign w:val="center"/>
          </w:tcPr>
          <w:p w14:paraId="29526FDB">
            <w:pPr>
              <w:spacing w:line="460" w:lineRule="exact"/>
              <w:ind w:left="-50"/>
              <w:jc w:val="center"/>
              <w:rPr>
                <w:rFonts w:ascii="宋体" w:hAnsi="宋体" w:cs="宋体"/>
                <w:color w:val="auto"/>
                <w:sz w:val="21"/>
                <w:szCs w:val="21"/>
                <w:highlight w:val="none"/>
              </w:rPr>
            </w:pPr>
          </w:p>
        </w:tc>
        <w:tc>
          <w:tcPr>
            <w:tcW w:w="1023" w:type="dxa"/>
            <w:vMerge w:val="continue"/>
            <w:vAlign w:val="center"/>
          </w:tcPr>
          <w:p w14:paraId="17319149">
            <w:pPr>
              <w:spacing w:line="460" w:lineRule="exact"/>
              <w:ind w:left="-50"/>
              <w:jc w:val="center"/>
              <w:rPr>
                <w:rFonts w:ascii="宋体" w:hAnsi="宋体" w:cs="宋体"/>
                <w:color w:val="auto"/>
                <w:sz w:val="21"/>
                <w:szCs w:val="21"/>
                <w:highlight w:val="none"/>
              </w:rPr>
            </w:pPr>
          </w:p>
        </w:tc>
        <w:tc>
          <w:tcPr>
            <w:tcW w:w="1583" w:type="dxa"/>
            <w:vAlign w:val="center"/>
          </w:tcPr>
          <w:p w14:paraId="7ADAD885">
            <w:pPr>
              <w:snapToGrid w:val="0"/>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投标人信誉</w:t>
            </w:r>
          </w:p>
        </w:tc>
        <w:tc>
          <w:tcPr>
            <w:tcW w:w="5792" w:type="dxa"/>
            <w:vAlign w:val="center"/>
          </w:tcPr>
          <w:p w14:paraId="1934E5FB">
            <w:pPr>
              <w:snapToGrid w:val="0"/>
              <w:spacing w:line="460" w:lineRule="exact"/>
              <w:ind w:left="-50"/>
              <w:jc w:val="left"/>
              <w:rPr>
                <w:rFonts w:ascii="宋体" w:hAnsi="宋体" w:cs="宋体"/>
                <w:color w:val="auto"/>
                <w:sz w:val="21"/>
                <w:szCs w:val="21"/>
                <w:highlight w:val="none"/>
              </w:rPr>
            </w:pPr>
            <w:r>
              <w:rPr>
                <w:rFonts w:hint="eastAsia" w:ascii="宋体" w:hAnsi="宋体" w:cs="宋体"/>
                <w:color w:val="auto"/>
                <w:sz w:val="21"/>
                <w:szCs w:val="21"/>
                <w:highlight w:val="none"/>
              </w:rPr>
              <w:t>投标人的食堂经营管理服务经验（0-3分）、社会知名度、声誉、服务</w:t>
            </w:r>
            <w:r>
              <w:rPr>
                <w:rFonts w:ascii="宋体" w:hAnsi="宋体" w:cs="宋体"/>
                <w:color w:val="auto"/>
                <w:sz w:val="21"/>
                <w:szCs w:val="21"/>
                <w:highlight w:val="none"/>
              </w:rPr>
              <w:t>单位</w:t>
            </w:r>
            <w:r>
              <w:rPr>
                <w:rFonts w:hint="eastAsia" w:ascii="宋体" w:hAnsi="宋体" w:cs="宋体"/>
                <w:color w:val="auto"/>
                <w:sz w:val="21"/>
                <w:szCs w:val="21"/>
                <w:highlight w:val="none"/>
              </w:rPr>
              <w:t>评价（0-3分）由评审小组评价给分</w:t>
            </w:r>
          </w:p>
        </w:tc>
        <w:tc>
          <w:tcPr>
            <w:tcW w:w="709" w:type="dxa"/>
            <w:vAlign w:val="center"/>
          </w:tcPr>
          <w:p w14:paraId="26537E48">
            <w:pPr>
              <w:spacing w:line="460" w:lineRule="exact"/>
              <w:ind w:left="-50"/>
              <w:jc w:val="center"/>
              <w:rPr>
                <w:rFonts w:ascii="宋体" w:hAnsi="宋体" w:cs="宋体"/>
                <w:color w:val="auto"/>
                <w:sz w:val="21"/>
                <w:szCs w:val="21"/>
                <w:highlight w:val="none"/>
              </w:rPr>
            </w:pPr>
            <w:r>
              <w:rPr>
                <w:rFonts w:ascii="宋体" w:hAnsi="宋体" w:cs="宋体"/>
                <w:color w:val="auto"/>
                <w:sz w:val="21"/>
                <w:szCs w:val="21"/>
                <w:highlight w:val="none"/>
              </w:rPr>
              <w:t>6</w:t>
            </w:r>
          </w:p>
        </w:tc>
      </w:tr>
      <w:tr w14:paraId="2C57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604C6D62">
            <w:pPr>
              <w:spacing w:line="460" w:lineRule="exact"/>
              <w:ind w:left="-50"/>
              <w:jc w:val="center"/>
              <w:rPr>
                <w:rFonts w:ascii="宋体" w:hAnsi="宋体" w:cs="宋体"/>
                <w:color w:val="auto"/>
                <w:sz w:val="21"/>
                <w:szCs w:val="21"/>
                <w:highlight w:val="none"/>
              </w:rPr>
            </w:pPr>
          </w:p>
        </w:tc>
        <w:tc>
          <w:tcPr>
            <w:tcW w:w="1023" w:type="dxa"/>
            <w:vMerge w:val="continue"/>
            <w:vAlign w:val="center"/>
          </w:tcPr>
          <w:p w14:paraId="2751AF81">
            <w:pPr>
              <w:spacing w:line="460" w:lineRule="exact"/>
              <w:ind w:left="-50"/>
              <w:jc w:val="center"/>
              <w:rPr>
                <w:rFonts w:ascii="宋体" w:hAnsi="宋体" w:cs="宋体"/>
                <w:color w:val="auto"/>
                <w:sz w:val="21"/>
                <w:szCs w:val="21"/>
                <w:highlight w:val="none"/>
              </w:rPr>
            </w:pPr>
          </w:p>
        </w:tc>
        <w:tc>
          <w:tcPr>
            <w:tcW w:w="1583" w:type="dxa"/>
            <w:vAlign w:val="center"/>
          </w:tcPr>
          <w:p w14:paraId="3A062E08">
            <w:pPr>
              <w:spacing w:line="460" w:lineRule="exact"/>
              <w:ind w:left="-50"/>
              <w:jc w:val="center"/>
              <w:rPr>
                <w:rFonts w:ascii="宋体" w:hAnsi="宋体" w:cs="宋体"/>
                <w:color w:val="auto"/>
                <w:sz w:val="21"/>
                <w:szCs w:val="21"/>
                <w:highlight w:val="none"/>
              </w:rPr>
            </w:pPr>
            <w:r>
              <w:rPr>
                <w:rFonts w:hint="eastAsia" w:ascii="宋体" w:hAnsi="宋体" w:cs="宋体"/>
                <w:color w:val="auto"/>
                <w:sz w:val="21"/>
                <w:szCs w:val="21"/>
                <w:highlight w:val="none"/>
              </w:rPr>
              <w:t>同类项目业绩</w:t>
            </w:r>
          </w:p>
        </w:tc>
        <w:tc>
          <w:tcPr>
            <w:tcW w:w="5792" w:type="dxa"/>
            <w:vAlign w:val="center"/>
          </w:tcPr>
          <w:p w14:paraId="369C6A7C">
            <w:pPr>
              <w:spacing w:line="460" w:lineRule="exact"/>
              <w:ind w:left="-50"/>
              <w:jc w:val="left"/>
              <w:rPr>
                <w:rFonts w:ascii="宋体" w:hAnsi="宋体" w:cs="宋体"/>
                <w:color w:val="auto"/>
                <w:sz w:val="21"/>
                <w:szCs w:val="21"/>
                <w:highlight w:val="none"/>
              </w:rPr>
            </w:pPr>
            <w:r>
              <w:rPr>
                <w:rFonts w:hint="eastAsia" w:ascii="宋体" w:hAnsi="宋体" w:cs="宋体"/>
                <w:color w:val="auto"/>
                <w:sz w:val="21"/>
                <w:szCs w:val="21"/>
                <w:highlight w:val="none"/>
              </w:rPr>
              <w:t>投标人20</w:t>
            </w:r>
            <w:r>
              <w:rPr>
                <w:rFonts w:ascii="宋体" w:hAnsi="宋体" w:cs="宋体"/>
                <w:color w:val="auto"/>
                <w:sz w:val="21"/>
                <w:szCs w:val="21"/>
                <w:highlight w:val="none"/>
              </w:rPr>
              <w:t>21</w:t>
            </w:r>
            <w:r>
              <w:rPr>
                <w:rFonts w:hint="eastAsia" w:ascii="宋体" w:hAnsi="宋体" w:cs="宋体"/>
                <w:color w:val="auto"/>
                <w:sz w:val="21"/>
                <w:szCs w:val="21"/>
                <w:highlight w:val="none"/>
              </w:rPr>
              <w:t>年1月1日以来类似的项目业绩：单个合同每个得1分，最高</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分。【是否属于同类业绩由评审小组认定，须提供合同复印件，否则不得分 】（0-</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c>
          <w:tcPr>
            <w:tcW w:w="709" w:type="dxa"/>
            <w:vAlign w:val="center"/>
          </w:tcPr>
          <w:p w14:paraId="59DD1769">
            <w:pPr>
              <w:spacing w:line="460" w:lineRule="exact"/>
              <w:ind w:left="-5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2BC7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vAlign w:val="center"/>
          </w:tcPr>
          <w:p w14:paraId="4F9AA948">
            <w:pPr>
              <w:spacing w:line="460" w:lineRule="exact"/>
              <w:ind w:left="-50"/>
              <w:jc w:val="center"/>
              <w:rPr>
                <w:rFonts w:ascii="宋体" w:hAnsi="宋体" w:cs="宋体"/>
                <w:color w:val="auto"/>
                <w:sz w:val="21"/>
                <w:szCs w:val="21"/>
                <w:highlight w:val="none"/>
              </w:rPr>
            </w:pPr>
          </w:p>
        </w:tc>
        <w:tc>
          <w:tcPr>
            <w:tcW w:w="1023" w:type="dxa"/>
            <w:vMerge w:val="continue"/>
            <w:vAlign w:val="center"/>
          </w:tcPr>
          <w:p w14:paraId="2B84524E">
            <w:pPr>
              <w:spacing w:line="460" w:lineRule="exact"/>
              <w:ind w:left="-50"/>
              <w:jc w:val="center"/>
              <w:rPr>
                <w:rFonts w:ascii="宋体" w:hAnsi="宋体" w:cs="宋体"/>
                <w:color w:val="auto"/>
                <w:sz w:val="21"/>
                <w:szCs w:val="21"/>
                <w:highlight w:val="none"/>
              </w:rPr>
            </w:pPr>
          </w:p>
        </w:tc>
        <w:tc>
          <w:tcPr>
            <w:tcW w:w="1583" w:type="dxa"/>
            <w:vAlign w:val="center"/>
          </w:tcPr>
          <w:p w14:paraId="48663D60">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体系认证</w:t>
            </w:r>
          </w:p>
        </w:tc>
        <w:tc>
          <w:tcPr>
            <w:tcW w:w="5792" w:type="dxa"/>
            <w:vAlign w:val="center"/>
          </w:tcPr>
          <w:p w14:paraId="692FE3E2">
            <w:pPr>
              <w:spacing w:line="460" w:lineRule="exact"/>
              <w:ind w:left="-5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投标人具有ISO质量管理</w:t>
            </w:r>
            <w:r>
              <w:rPr>
                <w:rFonts w:ascii="宋体" w:hAnsi="宋体" w:cs="宋体"/>
                <w:color w:val="auto"/>
                <w:sz w:val="21"/>
                <w:szCs w:val="21"/>
                <w:highlight w:val="none"/>
              </w:rPr>
              <w:t>体系</w:t>
            </w:r>
            <w:r>
              <w:rPr>
                <w:rFonts w:hint="eastAsia" w:ascii="宋体" w:hAnsi="宋体" w:cs="宋体"/>
                <w:color w:val="auto"/>
                <w:sz w:val="21"/>
                <w:szCs w:val="21"/>
                <w:highlight w:val="none"/>
              </w:rPr>
              <w:t>认证、食品安全管理体系认证、职业健康安全管理体系认证、</w:t>
            </w:r>
            <w:r>
              <w:rPr>
                <w:rFonts w:ascii="宋体" w:hAnsi="宋体" w:cs="宋体"/>
                <w:color w:val="auto"/>
                <w:sz w:val="21"/>
                <w:szCs w:val="21"/>
                <w:highlight w:val="none"/>
              </w:rPr>
              <w:t>环境</w:t>
            </w:r>
            <w:r>
              <w:rPr>
                <w:rFonts w:hint="eastAsia" w:ascii="宋体" w:hAnsi="宋体" w:cs="宋体"/>
                <w:color w:val="auto"/>
                <w:sz w:val="21"/>
                <w:szCs w:val="21"/>
                <w:highlight w:val="none"/>
              </w:rPr>
              <w:t>管理</w:t>
            </w:r>
            <w:r>
              <w:rPr>
                <w:rFonts w:ascii="宋体" w:hAnsi="宋体" w:cs="宋体"/>
                <w:color w:val="auto"/>
                <w:sz w:val="21"/>
                <w:szCs w:val="21"/>
                <w:highlight w:val="none"/>
              </w:rPr>
              <w:t>体系</w:t>
            </w:r>
            <w:r>
              <w:rPr>
                <w:rFonts w:hint="eastAsia" w:ascii="宋体" w:hAnsi="宋体" w:cs="宋体"/>
                <w:color w:val="auto"/>
                <w:sz w:val="21"/>
                <w:szCs w:val="21"/>
                <w:highlight w:val="none"/>
              </w:rPr>
              <w:t>认证，每提供一个得1分（须提供有效期内证书复印件并加盖公章）</w:t>
            </w:r>
            <w:r>
              <w:rPr>
                <w:rFonts w:hint="eastAsia" w:ascii="宋体" w:hAnsi="宋体" w:cs="宋体"/>
                <w:color w:val="auto"/>
                <w:sz w:val="21"/>
                <w:szCs w:val="21"/>
                <w:highlight w:val="none"/>
                <w:lang w:eastAsia="zh-CN"/>
              </w:rPr>
              <w:t>。</w:t>
            </w:r>
          </w:p>
        </w:tc>
        <w:tc>
          <w:tcPr>
            <w:tcW w:w="709" w:type="dxa"/>
            <w:vAlign w:val="center"/>
          </w:tcPr>
          <w:p w14:paraId="16558303">
            <w:pPr>
              <w:spacing w:line="460" w:lineRule="exact"/>
              <w:ind w:left="-5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bl>
    <w:p w14:paraId="14FBB860">
      <w:pPr>
        <w:spacing w:line="560" w:lineRule="exact"/>
        <w:ind w:firstLine="464" w:firstLineChars="200"/>
        <w:rPr>
          <w:rFonts w:hint="eastAsia" w:ascii="宋体" w:hAnsi="宋体" w:cs="宋体"/>
          <w:b/>
          <w:bCs/>
          <w:color w:val="auto"/>
          <w:spacing w:val="-4"/>
          <w:sz w:val="24"/>
          <w:szCs w:val="20"/>
          <w:highlight w:val="none"/>
          <w:lang w:val="en-US" w:eastAsia="zh-CN"/>
        </w:rPr>
      </w:pPr>
      <w:r>
        <w:rPr>
          <w:rFonts w:hint="eastAsia" w:ascii="宋体" w:hAnsi="宋体" w:cs="宋体"/>
          <w:b/>
          <w:bCs/>
          <w:color w:val="auto"/>
          <w:spacing w:val="-4"/>
          <w:sz w:val="24"/>
          <w:szCs w:val="20"/>
          <w:highlight w:val="none"/>
          <w:lang w:val="en-US" w:eastAsia="zh-CN"/>
        </w:rPr>
        <w:t>标项2：</w:t>
      </w:r>
    </w:p>
    <w:p w14:paraId="783EAA68">
      <w:pPr>
        <w:spacing w:line="560" w:lineRule="exact"/>
        <w:ind w:firstLine="464" w:firstLineChars="200"/>
        <w:rPr>
          <w:rFonts w:ascii="宋体" w:hAnsi="宋体" w:cs="宋体"/>
          <w:b/>
          <w:bCs/>
          <w:color w:val="auto"/>
          <w:spacing w:val="-4"/>
          <w:sz w:val="24"/>
          <w:szCs w:val="20"/>
          <w:highlight w:val="none"/>
        </w:rPr>
      </w:pPr>
      <w:r>
        <w:rPr>
          <w:rFonts w:hint="eastAsia" w:ascii="宋体" w:hAnsi="宋体" w:cs="宋体"/>
          <w:b/>
          <w:bCs/>
          <w:color w:val="auto"/>
          <w:spacing w:val="-4"/>
          <w:sz w:val="24"/>
          <w:szCs w:val="20"/>
          <w:highlight w:val="none"/>
        </w:rPr>
        <w:t>（一）商务技术分（</w:t>
      </w:r>
      <w:r>
        <w:rPr>
          <w:rFonts w:hint="eastAsia" w:ascii="宋体" w:hAnsi="宋体" w:cs="宋体"/>
          <w:b/>
          <w:bCs/>
          <w:color w:val="auto"/>
          <w:spacing w:val="-4"/>
          <w:sz w:val="24"/>
          <w:szCs w:val="20"/>
          <w:highlight w:val="none"/>
          <w:lang w:val="en-US" w:eastAsia="zh-CN"/>
        </w:rPr>
        <w:t>7</w:t>
      </w:r>
      <w:r>
        <w:rPr>
          <w:rFonts w:hint="eastAsia" w:ascii="宋体" w:hAnsi="宋体" w:cs="宋体"/>
          <w:b/>
          <w:bCs/>
          <w:color w:val="auto"/>
          <w:spacing w:val="-4"/>
          <w:sz w:val="24"/>
          <w:szCs w:val="20"/>
          <w:highlight w:val="none"/>
        </w:rPr>
        <w:t>0分）</w:t>
      </w:r>
    </w:p>
    <w:p w14:paraId="55E39167">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商务技术分按照评标委员会成员的独立评分结果的算术平均分计算。</w:t>
      </w:r>
      <w:r>
        <w:rPr>
          <w:rFonts w:hint="eastAsia" w:ascii="宋体" w:hAnsi="宋体"/>
          <w:color w:val="auto"/>
          <w:sz w:val="24"/>
          <w:highlight w:val="none"/>
        </w:rPr>
        <w:t>计算公式为：</w:t>
      </w:r>
    </w:p>
    <w:p w14:paraId="656E7C16">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商务技术分=（评标委员会所有成员有效评分合计数）/（评标委员会组成人员数）</w:t>
      </w:r>
    </w:p>
    <w:p w14:paraId="6FBBBB46">
      <w:pPr>
        <w:pStyle w:val="3"/>
        <w:spacing w:line="360" w:lineRule="auto"/>
        <w:ind w:firstLine="464" w:firstLineChars="200"/>
        <w:rPr>
          <w:rFonts w:hint="eastAsia" w:ascii="宋体" w:hAnsi="宋体" w:eastAsia="宋体" w:cs="Times New Roman"/>
          <w:b/>
          <w:bCs/>
          <w:color w:val="auto"/>
          <w:spacing w:val="0"/>
          <w:kern w:val="2"/>
          <w:sz w:val="24"/>
          <w:szCs w:val="24"/>
          <w:highlight w:val="none"/>
          <w:lang w:val="en-US" w:eastAsia="zh-CN" w:bidi="ar-SA"/>
        </w:rPr>
      </w:pPr>
      <w:r>
        <w:rPr>
          <w:rFonts w:hint="eastAsia" w:hAnsi="宋体" w:cs="宋体"/>
          <w:b/>
          <w:color w:val="auto"/>
          <w:sz w:val="24"/>
          <w:highlight w:val="none"/>
        </w:rPr>
        <w:t>（二）</w:t>
      </w:r>
      <w:r>
        <w:rPr>
          <w:rFonts w:hint="eastAsia" w:hAnsi="宋体" w:cs="宋体"/>
          <w:b/>
          <w:bCs/>
          <w:color w:val="auto"/>
          <w:sz w:val="24"/>
          <w:highlight w:val="none"/>
        </w:rPr>
        <w:t>价格分（</w:t>
      </w:r>
      <w:r>
        <w:rPr>
          <w:rFonts w:hint="eastAsia" w:hAnsi="宋体" w:cs="宋体"/>
          <w:b/>
          <w:bCs/>
          <w:color w:val="auto"/>
          <w:sz w:val="24"/>
          <w:highlight w:val="none"/>
          <w:lang w:val="en-US" w:eastAsia="zh-CN"/>
        </w:rPr>
        <w:t>3</w:t>
      </w:r>
      <w:r>
        <w:rPr>
          <w:rFonts w:hint="eastAsia" w:hAnsi="宋体" w:cs="宋体"/>
          <w:b/>
          <w:bCs/>
          <w:color w:val="auto"/>
          <w:sz w:val="24"/>
          <w:highlight w:val="none"/>
        </w:rPr>
        <w:t xml:space="preserve">0分） </w:t>
      </w:r>
      <w:r>
        <w:rPr>
          <w:rFonts w:hint="eastAsia" w:ascii="宋体" w:hAnsi="宋体" w:eastAsia="宋体" w:cs="Times New Roman"/>
          <w:b/>
          <w:bCs/>
          <w:color w:val="auto"/>
          <w:spacing w:val="0"/>
          <w:kern w:val="2"/>
          <w:sz w:val="24"/>
          <w:szCs w:val="24"/>
          <w:highlight w:val="none"/>
          <w:lang w:val="en-US" w:eastAsia="zh-CN" w:bidi="ar-SA"/>
        </w:rPr>
        <w:t>（蔬菜及其他类占</w:t>
      </w:r>
      <w:r>
        <w:rPr>
          <w:rFonts w:hint="eastAsia" w:hAnsi="宋体" w:cs="Times New Roman"/>
          <w:b/>
          <w:bCs/>
          <w:color w:val="auto"/>
          <w:spacing w:val="0"/>
          <w:kern w:val="2"/>
          <w:sz w:val="24"/>
          <w:szCs w:val="24"/>
          <w:highlight w:val="none"/>
          <w:lang w:val="en-US" w:eastAsia="zh-CN" w:bidi="ar-SA"/>
        </w:rPr>
        <w:t>6</w:t>
      </w:r>
      <w:r>
        <w:rPr>
          <w:rFonts w:hint="eastAsia" w:ascii="宋体" w:hAnsi="宋体" w:eastAsia="宋体" w:cs="Times New Roman"/>
          <w:b/>
          <w:bCs/>
          <w:color w:val="auto"/>
          <w:spacing w:val="0"/>
          <w:kern w:val="2"/>
          <w:sz w:val="24"/>
          <w:szCs w:val="24"/>
          <w:highlight w:val="none"/>
          <w:lang w:val="en-US" w:eastAsia="zh-CN" w:bidi="ar-SA"/>
        </w:rPr>
        <w:t>分、冷冻类</w:t>
      </w:r>
      <w:r>
        <w:rPr>
          <w:rFonts w:hint="eastAsia" w:hAnsi="宋体" w:cs="Times New Roman"/>
          <w:b/>
          <w:bCs/>
          <w:color w:val="auto"/>
          <w:spacing w:val="0"/>
          <w:kern w:val="2"/>
          <w:sz w:val="24"/>
          <w:szCs w:val="24"/>
          <w:highlight w:val="none"/>
          <w:lang w:val="en-US" w:eastAsia="zh-CN" w:bidi="ar-SA"/>
        </w:rPr>
        <w:t>6</w:t>
      </w:r>
      <w:r>
        <w:rPr>
          <w:rFonts w:hint="eastAsia" w:ascii="宋体" w:hAnsi="宋体" w:eastAsia="宋体" w:cs="Times New Roman"/>
          <w:b/>
          <w:bCs/>
          <w:color w:val="auto"/>
          <w:spacing w:val="0"/>
          <w:kern w:val="2"/>
          <w:sz w:val="24"/>
          <w:szCs w:val="24"/>
          <w:highlight w:val="none"/>
          <w:lang w:val="en-US" w:eastAsia="zh-CN" w:bidi="ar-SA"/>
        </w:rPr>
        <w:t>分、粮油类</w:t>
      </w:r>
      <w:r>
        <w:rPr>
          <w:rFonts w:hint="eastAsia" w:hAnsi="宋体" w:cs="Times New Roman"/>
          <w:b/>
          <w:bCs/>
          <w:color w:val="auto"/>
          <w:spacing w:val="0"/>
          <w:kern w:val="2"/>
          <w:sz w:val="24"/>
          <w:szCs w:val="24"/>
          <w:highlight w:val="none"/>
          <w:lang w:val="en-US" w:eastAsia="zh-CN" w:bidi="ar-SA"/>
        </w:rPr>
        <w:t>4.5</w:t>
      </w:r>
      <w:r>
        <w:rPr>
          <w:rFonts w:hint="eastAsia" w:ascii="宋体" w:hAnsi="宋体" w:eastAsia="宋体" w:cs="Times New Roman"/>
          <w:b/>
          <w:bCs/>
          <w:color w:val="auto"/>
          <w:spacing w:val="0"/>
          <w:kern w:val="2"/>
          <w:sz w:val="24"/>
          <w:szCs w:val="24"/>
          <w:highlight w:val="none"/>
          <w:lang w:val="en-US" w:eastAsia="zh-CN" w:bidi="ar-SA"/>
        </w:rPr>
        <w:t>分、猪肉类</w:t>
      </w:r>
      <w:r>
        <w:rPr>
          <w:rFonts w:hint="eastAsia" w:hAnsi="宋体" w:cs="Times New Roman"/>
          <w:b/>
          <w:bCs/>
          <w:color w:val="auto"/>
          <w:spacing w:val="0"/>
          <w:kern w:val="2"/>
          <w:sz w:val="24"/>
          <w:szCs w:val="24"/>
          <w:highlight w:val="none"/>
          <w:lang w:val="en-US" w:eastAsia="zh-CN" w:bidi="ar-SA"/>
        </w:rPr>
        <w:t>7.5</w:t>
      </w:r>
      <w:r>
        <w:rPr>
          <w:rFonts w:hint="eastAsia" w:ascii="宋体" w:hAnsi="宋体" w:eastAsia="宋体" w:cs="Times New Roman"/>
          <w:b/>
          <w:bCs/>
          <w:color w:val="auto"/>
          <w:spacing w:val="0"/>
          <w:kern w:val="2"/>
          <w:sz w:val="24"/>
          <w:szCs w:val="24"/>
          <w:highlight w:val="none"/>
          <w:lang w:val="en-US" w:eastAsia="zh-CN" w:bidi="ar-SA"/>
        </w:rPr>
        <w:t>分、餐后甜品类</w:t>
      </w:r>
      <w:r>
        <w:rPr>
          <w:rFonts w:hint="eastAsia" w:hAnsi="宋体" w:cs="Times New Roman"/>
          <w:b/>
          <w:bCs/>
          <w:color w:val="auto"/>
          <w:spacing w:val="0"/>
          <w:kern w:val="2"/>
          <w:sz w:val="24"/>
          <w:szCs w:val="24"/>
          <w:highlight w:val="none"/>
          <w:lang w:val="en-US" w:eastAsia="zh-CN" w:bidi="ar-SA"/>
        </w:rPr>
        <w:t>6</w:t>
      </w:r>
      <w:r>
        <w:rPr>
          <w:rFonts w:hint="eastAsia" w:ascii="宋体" w:hAnsi="宋体" w:eastAsia="宋体" w:cs="Times New Roman"/>
          <w:b/>
          <w:bCs/>
          <w:color w:val="auto"/>
          <w:spacing w:val="0"/>
          <w:kern w:val="2"/>
          <w:sz w:val="24"/>
          <w:szCs w:val="24"/>
          <w:highlight w:val="none"/>
          <w:lang w:val="en-US" w:eastAsia="zh-CN" w:bidi="ar-SA"/>
        </w:rPr>
        <w:t xml:space="preserve">分） </w:t>
      </w:r>
    </w:p>
    <w:p w14:paraId="333E768D">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价格分采用低价优先法计算，取所有技术、资信商务得分入围投标人中，投标价格最低的投标报价为评标基准价，其他投标人的价格分按照下列公式计算：</w:t>
      </w:r>
    </w:p>
    <w:p w14:paraId="4B512BE8">
      <w:pPr>
        <w:pStyle w:val="3"/>
        <w:pageBreakBefore w:val="0"/>
        <w:kinsoku/>
        <w:overflowPunct/>
        <w:topLinePunct w:val="0"/>
        <w:bidi w:val="0"/>
        <w:spacing w:before="120" w:beforeLines="50" w:after="120" w:afterLines="50" w:line="440" w:lineRule="exact"/>
        <w:ind w:firstLine="464" w:firstLineChars="200"/>
        <w:rPr>
          <w:rFonts w:hint="eastAsia" w:hAnsi="宋体"/>
          <w:b/>
          <w:bCs w:val="0"/>
          <w:color w:val="auto"/>
          <w:sz w:val="24"/>
          <w:highlight w:val="none"/>
          <w:lang w:val="en-US" w:eastAsia="zh-CN"/>
        </w:rPr>
      </w:pPr>
      <w:r>
        <w:rPr>
          <w:rFonts w:hint="eastAsia" w:hAnsi="宋体"/>
          <w:b/>
          <w:bCs w:val="0"/>
          <w:color w:val="auto"/>
          <w:sz w:val="24"/>
          <w:highlight w:val="none"/>
        </w:rPr>
        <w:t>价格分</w:t>
      </w:r>
      <w:r>
        <w:rPr>
          <w:rFonts w:hint="eastAsia" w:hAnsi="宋体"/>
          <w:b/>
          <w:bCs w:val="0"/>
          <w:color w:val="auto"/>
          <w:sz w:val="24"/>
          <w:highlight w:val="none"/>
          <w:lang w:val="en-US" w:eastAsia="zh-CN"/>
        </w:rPr>
        <w:t>=</w:t>
      </w:r>
      <w:r>
        <w:rPr>
          <w:rFonts w:hint="eastAsia" w:hAnsi="宋体"/>
          <w:b/>
          <w:bCs w:val="0"/>
          <w:color w:val="auto"/>
          <w:sz w:val="24"/>
          <w:highlight w:val="none"/>
        </w:rPr>
        <w:t>(评标基准价</w:t>
      </w:r>
      <w:r>
        <w:rPr>
          <w:rFonts w:hint="eastAsia" w:hAnsi="宋体"/>
          <w:b/>
          <w:bCs w:val="0"/>
          <w:color w:val="auto"/>
          <w:sz w:val="24"/>
          <w:highlight w:val="none"/>
          <w:lang w:val="en-US" w:eastAsia="zh-CN"/>
        </w:rPr>
        <w:t>/</w:t>
      </w:r>
      <w:r>
        <w:rPr>
          <w:rFonts w:hint="eastAsia" w:ascii="宋体" w:hAnsi="宋体"/>
          <w:b/>
          <w:bCs w:val="0"/>
          <w:color w:val="auto"/>
          <w:sz w:val="24"/>
          <w:highlight w:val="none"/>
          <w:lang w:val="en-US" w:eastAsia="zh-CN"/>
        </w:rPr>
        <w:t>蔬菜及其他类</w:t>
      </w:r>
      <w:r>
        <w:rPr>
          <w:rFonts w:hint="eastAsia" w:hAnsi="宋体"/>
          <w:b/>
          <w:bCs w:val="0"/>
          <w:color w:val="auto"/>
          <w:sz w:val="24"/>
          <w:highlight w:val="none"/>
        </w:rPr>
        <w:t>投标报价) ×</w:t>
      </w:r>
      <w:r>
        <w:rPr>
          <w:rFonts w:hint="eastAsia" w:hAnsi="宋体" w:cs="Times New Roman"/>
          <w:b/>
          <w:bCs w:val="0"/>
          <w:color w:val="auto"/>
          <w:sz w:val="24"/>
          <w:highlight w:val="none"/>
          <w:lang w:val="en-US" w:eastAsia="zh-CN"/>
        </w:rPr>
        <w:t>6</w:t>
      </w:r>
      <w:r>
        <w:rPr>
          <w:rFonts w:hint="eastAsia" w:ascii="宋体" w:hAnsi="宋体" w:eastAsia="宋体" w:cs="Times New Roman"/>
          <w:b/>
          <w:bCs w:val="0"/>
          <w:color w:val="auto"/>
          <w:sz w:val="24"/>
          <w:highlight w:val="none"/>
          <w:lang w:val="en-US" w:eastAsia="zh-CN"/>
        </w:rPr>
        <w:t>+(评标基准价/冷冻类投标报价)</w:t>
      </w:r>
      <w:r>
        <w:rPr>
          <w:rFonts w:hint="eastAsia" w:hAnsi="宋体"/>
          <w:b/>
          <w:bCs w:val="0"/>
          <w:color w:val="auto"/>
          <w:sz w:val="24"/>
          <w:highlight w:val="none"/>
        </w:rPr>
        <w:t>×</w:t>
      </w:r>
      <w:r>
        <w:rPr>
          <w:rFonts w:hint="eastAsia" w:hAnsi="宋体"/>
          <w:b/>
          <w:bCs w:val="0"/>
          <w:color w:val="auto"/>
          <w:sz w:val="24"/>
          <w:highlight w:val="none"/>
          <w:lang w:val="en-US" w:eastAsia="zh-CN"/>
        </w:rPr>
        <w:t>6</w:t>
      </w:r>
      <w:r>
        <w:rPr>
          <w:rFonts w:hint="eastAsia" w:ascii="宋体" w:hAnsi="宋体" w:eastAsia="宋体" w:cs="Times New Roman"/>
          <w:b/>
          <w:bCs w:val="0"/>
          <w:color w:val="auto"/>
          <w:sz w:val="24"/>
          <w:highlight w:val="none"/>
          <w:lang w:val="en-US" w:eastAsia="zh-CN"/>
        </w:rPr>
        <w:t>+</w:t>
      </w:r>
      <w:r>
        <w:rPr>
          <w:rFonts w:hint="eastAsia" w:hAnsi="宋体"/>
          <w:b/>
          <w:bCs w:val="0"/>
          <w:color w:val="auto"/>
          <w:sz w:val="24"/>
          <w:highlight w:val="none"/>
        </w:rPr>
        <w:t>(评标基准价</w:t>
      </w:r>
      <w:r>
        <w:rPr>
          <w:rFonts w:hint="eastAsia" w:hAnsi="宋体"/>
          <w:b/>
          <w:bCs w:val="0"/>
          <w:color w:val="auto"/>
          <w:sz w:val="24"/>
          <w:highlight w:val="none"/>
          <w:lang w:val="en-US" w:eastAsia="zh-CN"/>
        </w:rPr>
        <w:t>/</w:t>
      </w:r>
      <w:r>
        <w:rPr>
          <w:rFonts w:hint="eastAsia" w:hAnsi="宋体"/>
          <w:b/>
          <w:bCs w:val="0"/>
          <w:color w:val="auto"/>
          <w:sz w:val="24"/>
          <w:highlight w:val="none"/>
          <w:lang w:eastAsia="zh-CN"/>
        </w:rPr>
        <w:t>粮油类</w:t>
      </w:r>
      <w:r>
        <w:rPr>
          <w:rFonts w:hint="eastAsia" w:hAnsi="宋体"/>
          <w:b/>
          <w:bCs w:val="0"/>
          <w:color w:val="auto"/>
          <w:sz w:val="24"/>
          <w:highlight w:val="none"/>
        </w:rPr>
        <w:t>投标报价) ×</w:t>
      </w:r>
      <w:r>
        <w:rPr>
          <w:rFonts w:hint="eastAsia" w:hAnsi="宋体"/>
          <w:b/>
          <w:bCs w:val="0"/>
          <w:color w:val="auto"/>
          <w:sz w:val="24"/>
          <w:highlight w:val="none"/>
          <w:lang w:val="en-US" w:eastAsia="zh-CN"/>
        </w:rPr>
        <w:t>4.5+</w:t>
      </w:r>
      <w:r>
        <w:rPr>
          <w:rFonts w:hint="eastAsia" w:hAnsi="宋体"/>
          <w:b/>
          <w:bCs w:val="0"/>
          <w:color w:val="auto"/>
          <w:sz w:val="24"/>
          <w:highlight w:val="none"/>
        </w:rPr>
        <w:t>(评标基准价</w:t>
      </w:r>
      <w:r>
        <w:rPr>
          <w:rFonts w:hint="eastAsia" w:hAnsi="宋体"/>
          <w:b/>
          <w:bCs w:val="0"/>
          <w:color w:val="auto"/>
          <w:sz w:val="24"/>
          <w:highlight w:val="none"/>
          <w:lang w:val="en-US" w:eastAsia="zh-CN"/>
        </w:rPr>
        <w:t>/</w:t>
      </w:r>
      <w:r>
        <w:rPr>
          <w:rFonts w:hint="eastAsia" w:hAnsi="宋体"/>
          <w:b/>
          <w:bCs w:val="0"/>
          <w:color w:val="auto"/>
          <w:sz w:val="24"/>
          <w:highlight w:val="none"/>
          <w:lang w:eastAsia="zh-CN"/>
        </w:rPr>
        <w:t>猪肉类</w:t>
      </w:r>
      <w:r>
        <w:rPr>
          <w:rFonts w:hint="eastAsia" w:hAnsi="宋体"/>
          <w:b/>
          <w:bCs w:val="0"/>
          <w:color w:val="auto"/>
          <w:sz w:val="24"/>
          <w:highlight w:val="none"/>
        </w:rPr>
        <w:t>投标报价) ×</w:t>
      </w:r>
      <w:r>
        <w:rPr>
          <w:rFonts w:hint="eastAsia" w:hAnsi="宋体"/>
          <w:b/>
          <w:bCs w:val="0"/>
          <w:color w:val="auto"/>
          <w:sz w:val="24"/>
          <w:highlight w:val="none"/>
          <w:lang w:val="en-US" w:eastAsia="zh-CN"/>
        </w:rPr>
        <w:t>7.5+</w:t>
      </w:r>
      <w:r>
        <w:rPr>
          <w:rFonts w:hint="eastAsia" w:hAnsi="宋体"/>
          <w:b/>
          <w:bCs w:val="0"/>
          <w:color w:val="auto"/>
          <w:sz w:val="24"/>
          <w:highlight w:val="none"/>
        </w:rPr>
        <w:t>(评标基准价</w:t>
      </w:r>
      <w:r>
        <w:rPr>
          <w:rFonts w:hint="eastAsia" w:hAnsi="宋体"/>
          <w:b/>
          <w:bCs w:val="0"/>
          <w:color w:val="auto"/>
          <w:sz w:val="24"/>
          <w:highlight w:val="none"/>
          <w:lang w:val="en-US" w:eastAsia="zh-CN"/>
        </w:rPr>
        <w:t>/</w:t>
      </w:r>
      <w:r>
        <w:rPr>
          <w:rFonts w:hint="eastAsia" w:ascii="宋体" w:hAnsi="宋体" w:eastAsia="宋体" w:cs="Times New Roman"/>
          <w:b/>
          <w:bCs/>
          <w:color w:val="auto"/>
          <w:sz w:val="24"/>
          <w:highlight w:val="none"/>
          <w:lang w:val="en-US" w:eastAsia="zh-CN"/>
        </w:rPr>
        <w:t>餐后甜品类</w:t>
      </w:r>
      <w:r>
        <w:rPr>
          <w:rFonts w:hint="eastAsia" w:hAnsi="宋体"/>
          <w:b/>
          <w:bCs w:val="0"/>
          <w:color w:val="auto"/>
          <w:sz w:val="24"/>
          <w:highlight w:val="none"/>
        </w:rPr>
        <w:t>投标报价)×</w:t>
      </w:r>
      <w:r>
        <w:rPr>
          <w:rFonts w:hint="eastAsia" w:hAnsi="宋体"/>
          <w:b/>
          <w:bCs w:val="0"/>
          <w:color w:val="auto"/>
          <w:sz w:val="24"/>
          <w:highlight w:val="none"/>
          <w:lang w:val="en-US" w:eastAsia="zh-CN"/>
        </w:rPr>
        <w:t>6</w:t>
      </w:r>
    </w:p>
    <w:p w14:paraId="2F80E62F">
      <w:pPr>
        <w:pStyle w:val="24"/>
        <w:ind w:firstLine="480" w:firstLineChars="200"/>
        <w:rPr>
          <w:rFonts w:cs="Arial"/>
          <w:b/>
          <w:bCs/>
          <w:color w:val="auto"/>
          <w:highlight w:val="none"/>
        </w:rPr>
      </w:pPr>
      <w:r>
        <w:rPr>
          <w:rFonts w:hint="eastAsia"/>
          <w:b/>
          <w:bCs/>
          <w:color w:val="auto"/>
          <w:highlight w:val="none"/>
        </w:rPr>
        <w:t>（三）商务技术评分标准，共</w:t>
      </w:r>
      <w:r>
        <w:rPr>
          <w:rFonts w:hint="eastAsia"/>
          <w:b/>
          <w:bCs/>
          <w:color w:val="auto"/>
          <w:highlight w:val="none"/>
          <w:lang w:val="en-US" w:eastAsia="zh-CN"/>
        </w:rPr>
        <w:t>7</w:t>
      </w:r>
      <w:r>
        <w:rPr>
          <w:rFonts w:hint="eastAsia"/>
          <w:b/>
          <w:bCs/>
          <w:color w:val="auto"/>
          <w:highlight w:val="none"/>
        </w:rPr>
        <w:t>0分</w:t>
      </w:r>
    </w:p>
    <w:tbl>
      <w:tblPr>
        <w:tblStyle w:val="45"/>
        <w:tblW w:w="10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466"/>
        <w:gridCol w:w="1530"/>
        <w:gridCol w:w="6934"/>
        <w:gridCol w:w="736"/>
      </w:tblGrid>
      <w:tr w14:paraId="18A2A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06670C65">
            <w:pPr>
              <w:spacing w:line="340" w:lineRule="exact"/>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7C1B4F9D">
            <w:pPr>
              <w:spacing w:line="3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评审内容</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5DF25A87">
            <w:pPr>
              <w:spacing w:line="3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评分标准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EED6CE8">
            <w:pPr>
              <w:spacing w:line="3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分值</w:t>
            </w:r>
          </w:p>
        </w:tc>
      </w:tr>
      <w:tr w14:paraId="076D1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65539828">
            <w:pPr>
              <w:spacing w:line="3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一</w:t>
            </w:r>
          </w:p>
        </w:tc>
        <w:tc>
          <w:tcPr>
            <w:tcW w:w="8930" w:type="dxa"/>
            <w:gridSpan w:val="3"/>
            <w:tcBorders>
              <w:top w:val="single" w:color="auto" w:sz="4" w:space="0"/>
              <w:left w:val="single" w:color="auto" w:sz="4" w:space="0"/>
              <w:bottom w:val="single" w:color="auto" w:sz="4" w:space="0"/>
              <w:right w:val="single" w:color="auto" w:sz="4" w:space="0"/>
            </w:tcBorders>
            <w:noWrap w:val="0"/>
            <w:vAlign w:val="center"/>
          </w:tcPr>
          <w:p w14:paraId="1A508EB0">
            <w:pPr>
              <w:spacing w:line="3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技术分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5962FB8">
            <w:pPr>
              <w:spacing w:line="34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53</w:t>
            </w:r>
            <w:r>
              <w:rPr>
                <w:rFonts w:hint="eastAsia" w:ascii="宋体" w:hAnsi="宋体" w:cs="宋体"/>
                <w:b/>
                <w:bCs/>
                <w:color w:val="auto"/>
                <w:sz w:val="24"/>
                <w:highlight w:val="none"/>
              </w:rPr>
              <w:t>分</w:t>
            </w:r>
          </w:p>
        </w:tc>
      </w:tr>
      <w:tr w14:paraId="78DB8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539" w:type="dxa"/>
            <w:tcBorders>
              <w:left w:val="single" w:color="auto" w:sz="4" w:space="0"/>
              <w:bottom w:val="single" w:color="auto" w:sz="4" w:space="0"/>
              <w:right w:val="single" w:color="auto" w:sz="4" w:space="0"/>
            </w:tcBorders>
            <w:noWrap w:val="0"/>
            <w:vAlign w:val="center"/>
          </w:tcPr>
          <w:p w14:paraId="4AD189F9">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66" w:type="dxa"/>
            <w:vMerge w:val="restart"/>
            <w:tcBorders>
              <w:left w:val="single" w:color="auto" w:sz="4" w:space="0"/>
              <w:right w:val="single" w:color="auto" w:sz="4" w:space="0"/>
            </w:tcBorders>
            <w:noWrap w:val="0"/>
            <w:vAlign w:val="center"/>
          </w:tcPr>
          <w:p w14:paraId="3DE9B44C">
            <w:pPr>
              <w:spacing w:line="340" w:lineRule="exact"/>
              <w:jc w:val="center"/>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D4B7AF8">
            <w:pPr>
              <w:snapToGrid w:val="0"/>
              <w:spacing w:before="120" w:beforeLines="50" w:after="120" w:afterLines="50"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项目实施</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711599E6">
            <w:pPr>
              <w:snapToGrid w:val="0"/>
              <w:spacing w:before="120" w:beforeLines="50" w:after="120" w:afterLines="50" w:line="3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投标人提供的整体方案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包含保鲜方案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、运行方案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、管理目标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、仓储情况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、难点要点分析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等，是否能够完全响应招标文件要求，</w:t>
            </w:r>
            <w:r>
              <w:rPr>
                <w:rFonts w:hint="eastAsia" w:ascii="宋体" w:hAnsi="宋体" w:cs="宋体"/>
                <w:color w:val="auto"/>
                <w:szCs w:val="21"/>
                <w:highlight w:val="none"/>
                <w:lang w:val="en-US" w:eastAsia="zh-CN"/>
              </w:rPr>
              <w:t>进行综合评分。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33F0E8B">
            <w:pPr>
              <w:snapToGrid w:val="0"/>
              <w:spacing w:before="120" w:beforeLines="50" w:after="120" w:afterLines="50"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r>
      <w:tr w14:paraId="28BA7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539" w:type="dxa"/>
            <w:tcBorders>
              <w:left w:val="single" w:color="auto" w:sz="4" w:space="0"/>
              <w:bottom w:val="single" w:color="auto" w:sz="4" w:space="0"/>
              <w:right w:val="single" w:color="auto" w:sz="4" w:space="0"/>
            </w:tcBorders>
            <w:noWrap w:val="0"/>
            <w:vAlign w:val="center"/>
          </w:tcPr>
          <w:p w14:paraId="149D2D24">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66" w:type="dxa"/>
            <w:vMerge w:val="continue"/>
            <w:tcBorders>
              <w:left w:val="single" w:color="auto" w:sz="4" w:space="0"/>
              <w:right w:val="single" w:color="auto" w:sz="4" w:space="0"/>
            </w:tcBorders>
            <w:noWrap w:val="0"/>
            <w:vAlign w:val="center"/>
          </w:tcPr>
          <w:p w14:paraId="540ECDCB">
            <w:pPr>
              <w:spacing w:line="340" w:lineRule="exact"/>
              <w:jc w:val="center"/>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1389D26">
            <w:pPr>
              <w:snapToGrid w:val="0"/>
              <w:spacing w:before="120" w:beforeLines="50" w:after="120" w:afterLines="50"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制度</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3205670C">
            <w:pPr>
              <w:snapToGrid w:val="0"/>
              <w:spacing w:before="120" w:beforeLines="50" w:after="120" w:afterLines="50" w:line="3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是否</w:t>
            </w:r>
            <w:r>
              <w:rPr>
                <w:rFonts w:hint="eastAsia" w:ascii="宋体" w:hAnsi="宋体" w:eastAsia="宋体" w:cs="宋体"/>
                <w:color w:val="auto"/>
                <w:szCs w:val="21"/>
                <w:highlight w:val="none"/>
              </w:rPr>
              <w:t>建立完善的管理制度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卫生管理制度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0-2分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、岗位职责</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、质量考核办法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0-2分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74ECBD1">
            <w:pPr>
              <w:snapToGrid w:val="0"/>
              <w:spacing w:before="120" w:beforeLines="50" w:after="120" w:afterLines="50" w:line="3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14:paraId="0A213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54DD7260">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466" w:type="dxa"/>
            <w:vMerge w:val="continue"/>
            <w:tcBorders>
              <w:left w:val="single" w:color="auto" w:sz="4" w:space="0"/>
              <w:right w:val="single" w:color="auto" w:sz="4" w:space="0"/>
            </w:tcBorders>
            <w:noWrap w:val="0"/>
            <w:vAlign w:val="center"/>
          </w:tcPr>
          <w:p w14:paraId="1DF2C3D4">
            <w:pPr>
              <w:spacing w:line="340" w:lineRule="exact"/>
              <w:jc w:val="center"/>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B062769">
            <w:pPr>
              <w:snapToGrid w:val="0"/>
              <w:spacing w:before="120" w:beforeLines="50" w:after="120" w:afterLines="50"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质量监测</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46DECA39">
            <w:pPr>
              <w:snapToGrid w:val="0"/>
              <w:spacing w:before="120" w:beforeLines="50" w:after="120" w:afterLines="50" w:line="3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投标人有无建立完善的质量管理制度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0-2分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，如有无专业人员（或委托其他监测机构）对各类食品进行定期质量监测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0-2分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提供检验监测报告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DBF7D85">
            <w:pPr>
              <w:snapToGrid w:val="0"/>
              <w:spacing w:before="120" w:beforeLines="50" w:after="120" w:afterLines="50"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14:paraId="43A4F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6B0CFD59">
            <w:pPr>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66" w:type="dxa"/>
            <w:vMerge w:val="continue"/>
            <w:tcBorders>
              <w:left w:val="single" w:color="auto" w:sz="4" w:space="0"/>
              <w:right w:val="single" w:color="auto" w:sz="4" w:space="0"/>
            </w:tcBorders>
            <w:noWrap w:val="0"/>
            <w:vAlign w:val="center"/>
          </w:tcPr>
          <w:p w14:paraId="6E0B9442">
            <w:pPr>
              <w:spacing w:line="340" w:lineRule="exact"/>
              <w:jc w:val="center"/>
              <w:rPr>
                <w:rFonts w:hint="eastAsia" w:ascii="宋体" w:hAnsi="宋体" w:eastAsia="宋体" w:cs="宋体"/>
                <w:color w:val="auto"/>
                <w:sz w:val="21"/>
                <w:szCs w:val="21"/>
                <w:highlight w:val="none"/>
              </w:rPr>
            </w:pPr>
          </w:p>
        </w:tc>
        <w:tc>
          <w:tcPr>
            <w:tcW w:w="1530" w:type="dxa"/>
            <w:tcBorders>
              <w:left w:val="single" w:color="auto" w:sz="4" w:space="0"/>
              <w:bottom w:val="single" w:color="auto" w:sz="4" w:space="0"/>
              <w:right w:val="single" w:color="auto" w:sz="4" w:space="0"/>
            </w:tcBorders>
            <w:noWrap w:val="0"/>
            <w:vAlign w:val="center"/>
          </w:tcPr>
          <w:p w14:paraId="52225CDE">
            <w:pPr>
              <w:snapToGrid w:val="0"/>
              <w:spacing w:before="120" w:beforeLines="50" w:after="120" w:afterLines="50"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配送服务</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76855A1B">
            <w:pPr>
              <w:snapToGrid w:val="0"/>
              <w:spacing w:before="120" w:beforeLines="50" w:after="120" w:afterLines="50" w:line="3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配送服务方案</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0-2分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、切实可行</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0-2分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，可操作性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进行打分。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389586E">
            <w:pPr>
              <w:snapToGrid w:val="0"/>
              <w:spacing w:before="120" w:beforeLines="50" w:after="120" w:afterLines="50" w:line="3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14:paraId="5B73A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5"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33498194">
            <w:pPr>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66" w:type="dxa"/>
            <w:vMerge w:val="continue"/>
            <w:tcBorders>
              <w:left w:val="single" w:color="auto" w:sz="4" w:space="0"/>
              <w:right w:val="single" w:color="auto" w:sz="4" w:space="0"/>
            </w:tcBorders>
            <w:noWrap w:val="0"/>
            <w:vAlign w:val="center"/>
          </w:tcPr>
          <w:p w14:paraId="38DD2B27">
            <w:pPr>
              <w:spacing w:line="340" w:lineRule="exact"/>
              <w:jc w:val="center"/>
              <w:rPr>
                <w:rFonts w:hint="eastAsia" w:ascii="宋体" w:hAnsi="宋体" w:eastAsia="宋体" w:cs="宋体"/>
                <w:color w:val="auto"/>
                <w:sz w:val="21"/>
                <w:szCs w:val="21"/>
                <w:highlight w:val="none"/>
              </w:rPr>
            </w:pPr>
          </w:p>
        </w:tc>
        <w:tc>
          <w:tcPr>
            <w:tcW w:w="1530" w:type="dxa"/>
            <w:tcBorders>
              <w:left w:val="single" w:color="auto" w:sz="4" w:space="0"/>
              <w:bottom w:val="single" w:color="auto" w:sz="4" w:space="0"/>
              <w:right w:val="single" w:color="auto" w:sz="4" w:space="0"/>
            </w:tcBorders>
            <w:noWrap w:val="0"/>
            <w:vAlign w:val="center"/>
          </w:tcPr>
          <w:p w14:paraId="7438BEF9">
            <w:pPr>
              <w:snapToGrid w:val="0"/>
              <w:spacing w:before="120" w:beforeLines="50" w:after="120" w:afterLines="50"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配送保障</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6703C3B8">
            <w:pPr>
              <w:snapToGrid w:val="0"/>
              <w:spacing w:before="120" w:beforeLines="50" w:after="120" w:afterLines="50"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自有或租赁</w:t>
            </w:r>
            <w:r>
              <w:rPr>
                <w:rFonts w:hint="eastAsia" w:ascii="宋体" w:hAnsi="宋体" w:eastAsia="宋体" w:cs="宋体"/>
                <w:color w:val="auto"/>
                <w:szCs w:val="21"/>
                <w:highlight w:val="none"/>
                <w:lang w:val="en-US" w:eastAsia="zh-CN"/>
              </w:rPr>
              <w:t>轻型箱式货车，每辆1.5分（满分3分）；</w:t>
            </w:r>
          </w:p>
          <w:p w14:paraId="63384CAC">
            <w:pPr>
              <w:snapToGrid w:val="0"/>
              <w:spacing w:before="120" w:beforeLines="50" w:after="120" w:afterLines="50"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自有或租赁</w:t>
            </w:r>
            <w:r>
              <w:rPr>
                <w:rFonts w:hint="eastAsia" w:ascii="宋体" w:hAnsi="宋体" w:eastAsia="宋体" w:cs="宋体"/>
                <w:color w:val="auto"/>
                <w:szCs w:val="21"/>
                <w:highlight w:val="none"/>
                <w:lang w:val="en-US" w:eastAsia="zh-CN"/>
              </w:rPr>
              <w:t>低温冷冻车（装有制冷机组的制冷装置）每辆2.5分（满分5分）；</w:t>
            </w:r>
          </w:p>
          <w:p w14:paraId="4E3A2ED2">
            <w:pPr>
              <w:snapToGrid w:val="0"/>
              <w:spacing w:before="120" w:beforeLines="50" w:after="120" w:afterLines="50" w:line="34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注：自有的</w:t>
            </w:r>
            <w:r>
              <w:rPr>
                <w:rFonts w:hint="eastAsia" w:ascii="宋体" w:hAnsi="宋体" w:eastAsia="宋体" w:cs="宋体"/>
                <w:color w:val="auto"/>
                <w:szCs w:val="21"/>
                <w:highlight w:val="none"/>
                <w:lang w:val="en-US" w:eastAsia="zh-CN"/>
              </w:rPr>
              <w:t>以上车辆行驶证应属于投标人企业或法人代表，须在检测合格期内，提供车辆行驶证复印件并加盖公章</w:t>
            </w:r>
            <w:r>
              <w:rPr>
                <w:rFonts w:hint="eastAsia" w:ascii="宋体" w:hAnsi="宋体" w:cs="宋体"/>
                <w:color w:val="auto"/>
                <w:szCs w:val="21"/>
                <w:highlight w:val="none"/>
                <w:lang w:val="en-US" w:eastAsia="zh-CN"/>
              </w:rPr>
              <w:t>；租赁的需提供租赁协议或合同复印件并加盖公章。</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2A9875D">
            <w:pPr>
              <w:snapToGrid w:val="0"/>
              <w:spacing w:before="120" w:beforeLines="50" w:after="120" w:afterLines="50"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14:paraId="5088B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63DAA544">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66" w:type="dxa"/>
            <w:vMerge w:val="continue"/>
            <w:tcBorders>
              <w:left w:val="single" w:color="auto" w:sz="4" w:space="0"/>
              <w:right w:val="single" w:color="auto" w:sz="4" w:space="0"/>
            </w:tcBorders>
            <w:noWrap w:val="0"/>
            <w:vAlign w:val="center"/>
          </w:tcPr>
          <w:p w14:paraId="0BCF2A2E">
            <w:pPr>
              <w:spacing w:line="340" w:lineRule="exact"/>
              <w:jc w:val="center"/>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right w:val="single" w:color="auto" w:sz="4" w:space="0"/>
            </w:tcBorders>
            <w:noWrap w:val="0"/>
            <w:vAlign w:val="center"/>
          </w:tcPr>
          <w:p w14:paraId="7391967E">
            <w:pPr>
              <w:pStyle w:val="39"/>
              <w:spacing w:before="0" w:beforeAutospacing="0" w:after="0" w:afterAutospacing="0"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安全保障措施</w:t>
            </w:r>
          </w:p>
        </w:tc>
        <w:tc>
          <w:tcPr>
            <w:tcW w:w="6934" w:type="dxa"/>
            <w:tcBorders>
              <w:top w:val="single" w:color="auto" w:sz="4" w:space="0"/>
              <w:left w:val="single" w:color="auto" w:sz="4" w:space="0"/>
              <w:right w:val="single" w:color="auto" w:sz="4" w:space="0"/>
            </w:tcBorders>
            <w:noWrap w:val="0"/>
            <w:vAlign w:val="center"/>
          </w:tcPr>
          <w:p w14:paraId="58675851">
            <w:pPr>
              <w:pStyle w:val="39"/>
              <w:spacing w:before="0" w:beforeAutospacing="0" w:after="0" w:afterAutospacing="0" w:line="40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根据安全保障应急预案（0-2分）、近保期产品处理方案（0-2分）进行打分，最高4分。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2C09281">
            <w:pPr>
              <w:pStyle w:val="39"/>
              <w:spacing w:before="0" w:beforeAutospacing="0" w:after="0" w:afterAutospacing="0"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r>
      <w:tr w14:paraId="255EC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4ED784E0">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66" w:type="dxa"/>
            <w:vMerge w:val="continue"/>
            <w:tcBorders>
              <w:left w:val="single" w:color="auto" w:sz="4" w:space="0"/>
              <w:right w:val="single" w:color="auto" w:sz="4" w:space="0"/>
            </w:tcBorders>
            <w:noWrap w:val="0"/>
            <w:vAlign w:val="center"/>
          </w:tcPr>
          <w:p w14:paraId="776D3DFF">
            <w:pPr>
              <w:spacing w:line="340" w:lineRule="exact"/>
              <w:jc w:val="center"/>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E1FECD6">
            <w:pPr>
              <w:snapToGrid w:val="0"/>
              <w:spacing w:before="120" w:beforeLines="50" w:after="120" w:afterLines="50"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服务优惠措施</w:t>
            </w:r>
          </w:p>
        </w:tc>
        <w:tc>
          <w:tcPr>
            <w:tcW w:w="6934" w:type="dxa"/>
            <w:tcBorders>
              <w:top w:val="single" w:color="auto" w:sz="4" w:space="0"/>
              <w:left w:val="single" w:color="auto" w:sz="4" w:space="0"/>
              <w:right w:val="single" w:color="auto" w:sz="4" w:space="0"/>
            </w:tcBorders>
            <w:noWrap w:val="0"/>
            <w:vAlign w:val="center"/>
          </w:tcPr>
          <w:p w14:paraId="37AAD8ED">
            <w:pPr>
              <w:snapToGrid w:val="0"/>
              <w:spacing w:before="120" w:beforeLines="50" w:after="120" w:afterLines="50" w:line="34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承诺满足采购人临时采购（0-2分）、增减货物（0-2分）、更换货物等附加要求（0-</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分）等情况，</w:t>
            </w:r>
            <w:r>
              <w:rPr>
                <w:rFonts w:hint="eastAsia" w:ascii="宋体" w:hAnsi="宋体" w:eastAsia="宋体" w:cs="宋体"/>
                <w:color w:val="auto"/>
                <w:kern w:val="2"/>
                <w:sz w:val="21"/>
                <w:szCs w:val="21"/>
                <w:highlight w:val="none"/>
                <w:lang w:val="zh-TW" w:eastAsia="zh-CN" w:bidi="ar-SA"/>
              </w:rPr>
              <w:t>满分</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 xml:space="preserve">分                                                        </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EF9068B">
            <w:pPr>
              <w:snapToGrid w:val="0"/>
              <w:spacing w:before="120" w:beforeLines="50" w:after="120" w:afterLines="50" w:line="3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r w14:paraId="0BE0E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14C24935">
            <w:pPr>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66" w:type="dxa"/>
            <w:tcBorders>
              <w:left w:val="single" w:color="auto" w:sz="4" w:space="0"/>
              <w:right w:val="single" w:color="auto" w:sz="4" w:space="0"/>
            </w:tcBorders>
            <w:noWrap w:val="0"/>
            <w:vAlign w:val="center"/>
          </w:tcPr>
          <w:p w14:paraId="64CC6658">
            <w:pPr>
              <w:spacing w:line="340" w:lineRule="exact"/>
              <w:jc w:val="center"/>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23588FD">
            <w:pPr>
              <w:snapToGrid w:val="0"/>
              <w:spacing w:before="120" w:beforeLines="50" w:after="120" w:afterLines="50"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企业人员</w:t>
            </w:r>
          </w:p>
        </w:tc>
        <w:tc>
          <w:tcPr>
            <w:tcW w:w="6934" w:type="dxa"/>
            <w:tcBorders>
              <w:top w:val="single" w:color="auto" w:sz="4" w:space="0"/>
              <w:left w:val="single" w:color="auto" w:sz="4" w:space="0"/>
              <w:right w:val="single" w:color="auto" w:sz="4" w:space="0"/>
            </w:tcBorders>
            <w:noWrap w:val="0"/>
            <w:vAlign w:val="center"/>
          </w:tcPr>
          <w:p w14:paraId="18A0F71E">
            <w:pPr>
              <w:snapToGrid w:val="0"/>
              <w:spacing w:before="120" w:beforeLines="50" w:after="120" w:afterLines="50" w:line="3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从业员工持有健康证且有缴纳养老保险每人得1分，满分5分。（提供健康证复印件加盖公章和本单位为企业人员缴纳最近3个月社保的承诺书，中标后采购人要对人员进行核查，未提供不得分。）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0AD7746">
            <w:pPr>
              <w:tabs>
                <w:tab w:val="left" w:pos="248"/>
              </w:tabs>
              <w:snapToGrid w:val="0"/>
              <w:spacing w:before="120" w:beforeLines="50" w:after="120" w:afterLines="50" w:line="3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14:paraId="3EE73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6"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6135DF30">
            <w:pPr>
              <w:spacing w:line="3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二</w:t>
            </w:r>
          </w:p>
        </w:tc>
        <w:tc>
          <w:tcPr>
            <w:tcW w:w="8930" w:type="dxa"/>
            <w:gridSpan w:val="3"/>
            <w:tcBorders>
              <w:top w:val="single" w:color="auto" w:sz="4" w:space="0"/>
              <w:left w:val="single" w:color="auto" w:sz="4" w:space="0"/>
              <w:bottom w:val="single" w:color="auto" w:sz="4" w:space="0"/>
              <w:right w:val="single" w:color="auto" w:sz="4" w:space="0"/>
            </w:tcBorders>
            <w:noWrap w:val="0"/>
            <w:vAlign w:val="center"/>
          </w:tcPr>
          <w:p w14:paraId="34683656">
            <w:pPr>
              <w:spacing w:line="3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商务、资信及其他分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97662F2">
            <w:pPr>
              <w:spacing w:line="340" w:lineRule="exact"/>
              <w:jc w:val="cente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17</w:t>
            </w:r>
            <w:r>
              <w:rPr>
                <w:rFonts w:hint="eastAsia" w:ascii="宋体" w:hAnsi="宋体" w:cs="宋体"/>
                <w:b/>
                <w:color w:val="auto"/>
                <w:szCs w:val="21"/>
                <w:highlight w:val="none"/>
              </w:rPr>
              <w:t>分</w:t>
            </w:r>
          </w:p>
        </w:tc>
      </w:tr>
      <w:tr w14:paraId="53796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8"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264175EB">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466" w:type="dxa"/>
            <w:vMerge w:val="restart"/>
            <w:tcBorders>
              <w:top w:val="single" w:color="auto" w:sz="4" w:space="0"/>
              <w:left w:val="single" w:color="auto" w:sz="4" w:space="0"/>
              <w:right w:val="single" w:color="auto" w:sz="4" w:space="0"/>
            </w:tcBorders>
            <w:noWrap w:val="0"/>
            <w:vAlign w:val="center"/>
          </w:tcPr>
          <w:p w14:paraId="7B70CE75">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992E15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同类业绩</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51151B2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近</w:t>
            </w:r>
            <w:r>
              <w:rPr>
                <w:rFonts w:hint="eastAsia" w:ascii="宋体" w:hAnsi="宋体" w:eastAsia="宋体" w:cs="宋体"/>
                <w:color w:val="auto"/>
                <w:szCs w:val="21"/>
                <w:highlight w:val="none"/>
                <w:lang w:val="en-US" w:eastAsia="zh-CN"/>
              </w:rPr>
              <w:t>3年</w:t>
            </w:r>
            <w:r>
              <w:rPr>
                <w:rFonts w:hint="eastAsia" w:ascii="宋体" w:hAnsi="宋体" w:eastAsia="宋体" w:cs="宋体"/>
                <w:color w:val="auto"/>
                <w:szCs w:val="21"/>
                <w:highlight w:val="none"/>
              </w:rPr>
              <w:t>以来有类似配送项目业绩，每份合同得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分。注：提供合同原件备查。</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F0C9ED3">
            <w:pPr>
              <w:spacing w:line="340" w:lineRule="exact"/>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r>
      <w:tr w14:paraId="27581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3"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7E0BB228">
            <w:pPr>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66" w:type="dxa"/>
            <w:vMerge w:val="continue"/>
            <w:tcBorders>
              <w:left w:val="single" w:color="auto" w:sz="4" w:space="0"/>
              <w:right w:val="single" w:color="auto" w:sz="4" w:space="0"/>
            </w:tcBorders>
            <w:noWrap w:val="0"/>
            <w:vAlign w:val="center"/>
          </w:tcPr>
          <w:p w14:paraId="3340411F">
            <w:pPr>
              <w:spacing w:line="340" w:lineRule="exact"/>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6D036C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企业</w:t>
            </w:r>
            <w:r>
              <w:rPr>
                <w:rFonts w:hint="eastAsia" w:ascii="宋体" w:hAnsi="宋体" w:cs="宋体"/>
                <w:color w:val="auto"/>
                <w:sz w:val="21"/>
                <w:szCs w:val="21"/>
                <w:highlight w:val="none"/>
                <w:lang w:val="en-US" w:eastAsia="zh-CN"/>
              </w:rPr>
              <w:t>实力</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5F2882B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.投标人自有或控股或租赁冷冻库设备的得1分；</w:t>
            </w:r>
          </w:p>
          <w:p w14:paraId="284EB97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2.投标人自有</w:t>
            </w:r>
            <w:r>
              <w:rPr>
                <w:rFonts w:hint="eastAsia" w:ascii="宋体" w:hAnsi="宋体" w:cs="宋体"/>
                <w:color w:val="auto"/>
                <w:szCs w:val="21"/>
                <w:highlight w:val="none"/>
                <w:lang w:val="en-US" w:eastAsia="zh-CN"/>
              </w:rPr>
              <w:t>或租赁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200个立方米以上.在同一个场所）</w:t>
            </w:r>
            <w:r>
              <w:rPr>
                <w:rFonts w:hint="eastAsia" w:ascii="宋体" w:hAnsi="宋体" w:eastAsia="宋体" w:cs="宋体"/>
                <w:color w:val="auto"/>
                <w:szCs w:val="21"/>
                <w:highlight w:val="none"/>
              </w:rPr>
              <w:t>保鲜库设备的得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055E0A6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3.投标人设有规范的检测室、独立</w:t>
            </w:r>
            <w:r>
              <w:rPr>
                <w:rFonts w:hint="eastAsia" w:ascii="宋体" w:hAnsi="宋体" w:eastAsia="宋体" w:cs="宋体"/>
                <w:color w:val="auto"/>
                <w:szCs w:val="21"/>
                <w:highlight w:val="none"/>
                <w:lang w:val="en-US" w:eastAsia="zh-CN"/>
              </w:rPr>
              <w:t>的财务、办公区、独立分拣区，每个区域得0.5分，最高得2分；</w:t>
            </w:r>
          </w:p>
          <w:p w14:paraId="09C8448F">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4.有监控设备，配送场所做到无盲区监控的得1分。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BAD33A7">
            <w:pPr>
              <w:spacing w:line="34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13926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39" w:type="dxa"/>
            <w:tcBorders>
              <w:top w:val="single" w:color="auto" w:sz="4" w:space="0"/>
              <w:left w:val="single" w:color="auto" w:sz="4" w:space="0"/>
              <w:right w:val="single" w:color="auto" w:sz="4" w:space="0"/>
            </w:tcBorders>
            <w:noWrap w:val="0"/>
            <w:vAlign w:val="center"/>
          </w:tcPr>
          <w:p w14:paraId="7D55979E">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66" w:type="dxa"/>
            <w:vMerge w:val="continue"/>
            <w:tcBorders>
              <w:top w:val="single" w:color="auto" w:sz="4" w:space="0"/>
              <w:left w:val="single" w:color="auto" w:sz="4" w:space="0"/>
              <w:bottom w:val="single" w:color="auto" w:sz="4" w:space="0"/>
              <w:right w:val="single" w:color="auto" w:sz="4" w:space="0"/>
            </w:tcBorders>
            <w:noWrap w:val="0"/>
            <w:vAlign w:val="center"/>
          </w:tcPr>
          <w:p w14:paraId="3A2E85EB">
            <w:pPr>
              <w:spacing w:line="340" w:lineRule="exact"/>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right w:val="single" w:color="auto" w:sz="4" w:space="0"/>
            </w:tcBorders>
            <w:noWrap w:val="0"/>
            <w:vAlign w:val="center"/>
          </w:tcPr>
          <w:p w14:paraId="65DEB4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eastAsia="zh-CN"/>
              </w:rPr>
              <w:t>承诺</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3FB5767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承诺遇退、换货在</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小时内</w:t>
            </w:r>
            <w:r>
              <w:rPr>
                <w:rFonts w:hint="eastAsia" w:ascii="宋体" w:hAnsi="宋体" w:cs="宋体"/>
                <w:color w:val="auto"/>
                <w:kern w:val="2"/>
                <w:sz w:val="21"/>
                <w:szCs w:val="21"/>
                <w:highlight w:val="none"/>
                <w:lang w:val="en-US" w:eastAsia="zh-CN" w:bidi="ar-SA"/>
              </w:rPr>
              <w:t>完成</w:t>
            </w:r>
            <w:r>
              <w:rPr>
                <w:rFonts w:hint="eastAsia" w:ascii="宋体" w:hAnsi="宋体" w:eastAsia="宋体" w:cs="宋体"/>
                <w:color w:val="auto"/>
                <w:kern w:val="2"/>
                <w:sz w:val="21"/>
                <w:szCs w:val="21"/>
                <w:highlight w:val="none"/>
                <w:lang w:val="en-US" w:eastAsia="zh-CN" w:bidi="ar-SA"/>
              </w:rPr>
              <w:t>的得3分，在</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小时内</w:t>
            </w:r>
            <w:r>
              <w:rPr>
                <w:rFonts w:hint="eastAsia" w:ascii="宋体" w:hAnsi="宋体" w:cs="宋体"/>
                <w:color w:val="auto"/>
                <w:kern w:val="2"/>
                <w:sz w:val="21"/>
                <w:szCs w:val="21"/>
                <w:highlight w:val="none"/>
                <w:lang w:val="en-US" w:eastAsia="zh-CN" w:bidi="ar-SA"/>
              </w:rPr>
              <w:t>完成</w:t>
            </w:r>
            <w:r>
              <w:rPr>
                <w:rFonts w:hint="eastAsia" w:ascii="宋体" w:hAnsi="宋体" w:eastAsia="宋体" w:cs="宋体"/>
                <w:color w:val="auto"/>
                <w:kern w:val="2"/>
                <w:sz w:val="21"/>
                <w:szCs w:val="21"/>
                <w:highlight w:val="none"/>
                <w:lang w:val="en-US" w:eastAsia="zh-CN" w:bidi="ar-SA"/>
              </w:rPr>
              <w:t>的得2分</w:t>
            </w:r>
            <w:r>
              <w:rPr>
                <w:rFonts w:hint="eastAsia" w:ascii="宋体" w:hAnsi="宋体" w:cs="宋体"/>
                <w:color w:val="auto"/>
                <w:kern w:val="2"/>
                <w:sz w:val="21"/>
                <w:szCs w:val="21"/>
                <w:highlight w:val="none"/>
                <w:lang w:val="en-US" w:eastAsia="zh-CN" w:bidi="ar-SA"/>
              </w:rPr>
              <w:t>，在7小时内完成的得1分，其余不得分</w:t>
            </w:r>
            <w:r>
              <w:rPr>
                <w:rFonts w:hint="eastAsia" w:ascii="宋体" w:hAnsi="宋体" w:eastAsia="宋体" w:cs="宋体"/>
                <w:color w:val="auto"/>
                <w:kern w:val="2"/>
                <w:sz w:val="21"/>
                <w:szCs w:val="21"/>
                <w:highlight w:val="none"/>
                <w:lang w:val="en-US" w:eastAsia="zh-CN" w:bidi="ar-SA"/>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CE34D52">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14:paraId="60CD3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14256707">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66" w:type="dxa"/>
            <w:tcBorders>
              <w:left w:val="single" w:color="auto" w:sz="4" w:space="0"/>
              <w:right w:val="single" w:color="auto" w:sz="4" w:space="0"/>
            </w:tcBorders>
            <w:noWrap w:val="0"/>
            <w:vAlign w:val="center"/>
          </w:tcPr>
          <w:p w14:paraId="728CAB6B">
            <w:pPr>
              <w:spacing w:line="340" w:lineRule="exact"/>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14:paraId="16B4AE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认证</w:t>
            </w:r>
            <w:r>
              <w:rPr>
                <w:rFonts w:hint="eastAsia" w:ascii="宋体" w:hAnsi="宋体" w:eastAsia="宋体" w:cs="宋体"/>
                <w:color w:val="auto"/>
                <w:kern w:val="0"/>
                <w:sz w:val="21"/>
                <w:szCs w:val="21"/>
                <w:highlight w:val="none"/>
                <w:lang w:val="en-US" w:eastAsia="zh-CN" w:bidi="ar"/>
              </w:rPr>
              <w:t>证书</w:t>
            </w:r>
          </w:p>
        </w:tc>
        <w:tc>
          <w:tcPr>
            <w:tcW w:w="6934" w:type="dxa"/>
            <w:tcBorders>
              <w:top w:val="single" w:color="auto" w:sz="4" w:space="0"/>
              <w:left w:val="single" w:color="auto" w:sz="4" w:space="0"/>
              <w:bottom w:val="single" w:color="auto" w:sz="4" w:space="0"/>
              <w:right w:val="single" w:color="auto" w:sz="4" w:space="0"/>
            </w:tcBorders>
            <w:noWrap w:val="0"/>
            <w:vAlign w:val="center"/>
          </w:tcPr>
          <w:p w14:paraId="4B905B79">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投标人具有质量管理体系认证、环境管理体系认证、职业健康安全管理体系认证的，证书在有效期内且年检合格的全部满足得6分，缺一项扣2分。须提供相关证明材料复印件，未提供不得分。以全国认证认可信息平台公示查询为准。                                                                                                                                                                                                                                                                                                                                                                                                                                                                                                                                                                                                                                                                                                                                                                                                                                                                                                                                                                                                                                                                                                                                                                                                                                                                                                                                                                                                                                                                                                                                                                                                                                                                                                                                                                                                                                                                                                                                                                                                                                                                                                                                                                                                                                                                                                                                                                                                                                                                                                                                                                                                                                                                                                                                                                                                                                                                                                                                                                                                                                                                                                                                                                                                                                                                                                                                                                                                                                                                                                                                                                                                                                                                                                                                                                                                                                                                                                                                                                                                                                                                                                         </w:t>
            </w:r>
            <w:r>
              <w:rPr>
                <w:rFonts w:hint="eastAsia" w:ascii="宋体" w:hAnsi="宋体" w:eastAsia="宋体" w:cs="宋体"/>
                <w:color w:val="auto"/>
                <w:kern w:val="2"/>
                <w:sz w:val="21"/>
                <w:szCs w:val="21"/>
                <w:highlight w:val="none"/>
                <w:lang w:val="en-US" w:eastAsia="zh-CN" w:bidi="ar-SA"/>
              </w:rPr>
              <w:t xml:space="preserve">                                                                                                                                                                                                                                                                                                                                                                                                                                                                                                                                                                                                                                                                                                                                                                                                                                                                                                                                                                                                                                                                                                                                                                                                                                                                                                                                                                                                                                                                                                                              </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4C6A42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r>
    </w:tbl>
    <w:p w14:paraId="7992DCFF">
      <w:pPr>
        <w:pStyle w:val="4"/>
        <w:keepNext w:val="0"/>
        <w:keepLines w:val="0"/>
        <w:pageBreakBefore/>
        <w:numPr>
          <w:ilvl w:val="0"/>
          <w:numId w:val="4"/>
        </w:numPr>
        <w:spacing w:line="240" w:lineRule="auto"/>
        <w:ind w:firstLine="643"/>
        <w:jc w:val="center"/>
        <w:rPr>
          <w:rFonts w:ascii="宋体" w:hAnsi="宋体" w:cs="宋体"/>
          <w:color w:val="auto"/>
          <w:sz w:val="36"/>
          <w:szCs w:val="36"/>
          <w:highlight w:val="none"/>
        </w:rPr>
      </w:pPr>
      <w:bookmarkStart w:id="32" w:name="_Toc31984"/>
      <w:r>
        <w:rPr>
          <w:rFonts w:hint="eastAsia" w:ascii="宋体" w:hAnsi="宋体" w:cs="宋体"/>
          <w:bCs w:val="0"/>
          <w:color w:val="auto"/>
          <w:sz w:val="32"/>
          <w:szCs w:val="32"/>
          <w:highlight w:val="none"/>
        </w:rPr>
        <w:t>合同主要条款</w:t>
      </w:r>
      <w:bookmarkEnd w:id="27"/>
      <w:bookmarkEnd w:id="32"/>
    </w:p>
    <w:p w14:paraId="04457A44">
      <w:pPr>
        <w:snapToGrid w:val="0"/>
        <w:spacing w:line="360" w:lineRule="auto"/>
        <w:ind w:firstLine="602"/>
        <w:jc w:val="center"/>
        <w:outlineLvl w:val="0"/>
        <w:rPr>
          <w:rFonts w:ascii="宋体"/>
          <w:b/>
          <w:bCs/>
          <w:color w:val="auto"/>
          <w:sz w:val="30"/>
          <w:szCs w:val="20"/>
          <w:highlight w:val="none"/>
        </w:rPr>
      </w:pPr>
      <w:r>
        <w:rPr>
          <w:rFonts w:hint="eastAsia" w:ascii="宋体" w:hAnsi="宋体"/>
          <w:b/>
          <w:color w:val="auto"/>
          <w:sz w:val="30"/>
          <w:szCs w:val="30"/>
          <w:highlight w:val="none"/>
        </w:rPr>
        <w:t>东阳市政府采购合同（样本）</w:t>
      </w:r>
    </w:p>
    <w:p w14:paraId="634A546E">
      <w:pPr>
        <w:pStyle w:val="24"/>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东阳市南市街道办事处食堂劳务及物资配送服务项目</w:t>
      </w:r>
    </w:p>
    <w:p w14:paraId="56AA5E9D">
      <w:pPr>
        <w:pStyle w:val="24"/>
        <w:rPr>
          <w:color w:val="auto"/>
          <w:highlight w:val="none"/>
        </w:rPr>
      </w:pPr>
      <w:r>
        <w:rPr>
          <w:rFonts w:hint="eastAsia"/>
          <w:color w:val="auto"/>
          <w:highlight w:val="none"/>
        </w:rPr>
        <w:t>项目编号：</w:t>
      </w:r>
      <w:r>
        <w:rPr>
          <w:rFonts w:hint="eastAsia"/>
          <w:color w:val="auto"/>
          <w:highlight w:val="none"/>
          <w:u w:val="single"/>
          <w:lang w:eastAsia="zh-CN"/>
        </w:rPr>
        <w:t>JHZD2024-016</w:t>
      </w:r>
      <w:r>
        <w:rPr>
          <w:rFonts w:hint="eastAsia"/>
          <w:color w:val="auto"/>
          <w:highlight w:val="none"/>
        </w:rPr>
        <w:t xml:space="preserve">         合同号：</w:t>
      </w:r>
    </w:p>
    <w:p w14:paraId="4476F2E8">
      <w:pPr>
        <w:pStyle w:val="24"/>
        <w:rPr>
          <w:color w:val="auto"/>
          <w:highlight w:val="none"/>
        </w:rPr>
      </w:pPr>
      <w:r>
        <w:rPr>
          <w:rFonts w:hint="eastAsia"/>
          <w:color w:val="auto"/>
          <w:highlight w:val="none"/>
        </w:rPr>
        <w:t>甲方（采购方）：</w:t>
      </w:r>
      <w:r>
        <w:rPr>
          <w:rFonts w:hint="eastAsia"/>
          <w:color w:val="auto"/>
          <w:highlight w:val="none"/>
          <w:u w:val="single"/>
        </w:rPr>
        <w:t>东阳市南市街道办事处</w:t>
      </w:r>
      <w:r>
        <w:rPr>
          <w:rFonts w:hint="eastAsia"/>
          <w:color w:val="auto"/>
          <w:highlight w:val="none"/>
        </w:rPr>
        <w:t xml:space="preserve">  </w:t>
      </w:r>
    </w:p>
    <w:p w14:paraId="5E59C3B9">
      <w:pPr>
        <w:pStyle w:val="24"/>
        <w:rPr>
          <w:rFonts w:hint="eastAsia"/>
          <w:color w:val="auto"/>
          <w:highlight w:val="none"/>
        </w:rPr>
      </w:pPr>
      <w:r>
        <w:rPr>
          <w:rFonts w:hint="eastAsia"/>
          <w:color w:val="auto"/>
          <w:highlight w:val="none"/>
        </w:rPr>
        <w:t>乙方（服务单位）：</w:t>
      </w:r>
    </w:p>
    <w:p w14:paraId="6C85466C">
      <w:pPr>
        <w:pStyle w:val="24"/>
        <w:rPr>
          <w:rFonts w:hint="eastAsia"/>
          <w:color w:val="auto"/>
          <w:highlight w:val="none"/>
          <w:lang w:val="en-US" w:eastAsia="zh-CN"/>
        </w:rPr>
      </w:pPr>
      <w:r>
        <w:rPr>
          <w:rFonts w:hint="eastAsia"/>
          <w:color w:val="auto"/>
          <w:highlight w:val="none"/>
          <w:lang w:val="en-US" w:eastAsia="zh-CN"/>
        </w:rPr>
        <w:t>鉴证方（招标方）：</w:t>
      </w:r>
    </w:p>
    <w:p w14:paraId="63EFE9C6">
      <w:pPr>
        <w:pStyle w:val="24"/>
        <w:spacing w:line="360" w:lineRule="auto"/>
        <w:ind w:firstLine="480" w:firstLineChars="200"/>
        <w:rPr>
          <w:color w:val="auto"/>
          <w:highlight w:val="none"/>
          <w:u w:val="single"/>
        </w:rPr>
      </w:pPr>
      <w:r>
        <w:rPr>
          <w:rFonts w:hint="eastAsia"/>
          <w:color w:val="auto"/>
          <w:highlight w:val="none"/>
        </w:rPr>
        <w:t>根据</w:t>
      </w:r>
      <w:r>
        <w:rPr>
          <w:rFonts w:hint="eastAsia"/>
          <w:color w:val="auto"/>
          <w:highlight w:val="none"/>
          <w:u w:val="single"/>
        </w:rPr>
        <w:t xml:space="preserve">    年  月  日</w:t>
      </w:r>
      <w:r>
        <w:rPr>
          <w:rFonts w:hint="eastAsia"/>
          <w:color w:val="auto"/>
          <w:highlight w:val="none"/>
        </w:rPr>
        <w:t>金华正达工程造价咨询有限公司关于</w:t>
      </w:r>
      <w:r>
        <w:rPr>
          <w:rFonts w:hint="eastAsia" w:cs="宋体"/>
          <w:color w:val="auto"/>
          <w:highlight w:val="none"/>
          <w:u w:val="single"/>
          <w:lang w:eastAsia="zh-CN"/>
        </w:rPr>
        <w:t>东阳市南市街道办事处食堂劳务及物资配送服务项目</w:t>
      </w:r>
      <w:r>
        <w:rPr>
          <w:rFonts w:hint="eastAsia"/>
          <w:color w:val="auto"/>
          <w:highlight w:val="none"/>
        </w:rPr>
        <w:t xml:space="preserve">公开招标的结果，确定 </w:t>
      </w:r>
      <w:r>
        <w:rPr>
          <w:rFonts w:hint="eastAsia"/>
          <w:color w:val="auto"/>
          <w:highlight w:val="none"/>
          <w:u w:val="single"/>
        </w:rPr>
        <w:t xml:space="preserve">        </w:t>
      </w:r>
      <w:r>
        <w:rPr>
          <w:rFonts w:hint="eastAsia"/>
          <w:color w:val="auto"/>
          <w:highlight w:val="none"/>
        </w:rPr>
        <w:t>为本项目的服务单位。并经双方进一步协商一致，签订本合同，共同执行。</w:t>
      </w:r>
    </w:p>
    <w:p w14:paraId="2EF85EC1">
      <w:pPr>
        <w:spacing w:line="360" w:lineRule="auto"/>
        <w:ind w:firstLine="480" w:firstLineChars="200"/>
        <w:rPr>
          <w:rFonts w:hint="eastAsia" w:ascii="宋体" w:hAnsi="宋体"/>
          <w:b/>
          <w:color w:val="auto"/>
          <w:sz w:val="24"/>
          <w:highlight w:val="none"/>
        </w:rPr>
      </w:pPr>
      <w:r>
        <w:rPr>
          <w:rFonts w:ascii="宋体" w:hAnsi="宋体"/>
          <w:b/>
          <w:color w:val="auto"/>
          <w:sz w:val="24"/>
          <w:highlight w:val="none"/>
        </w:rPr>
        <w:t>一、服务内容</w:t>
      </w:r>
      <w:r>
        <w:rPr>
          <w:rFonts w:hint="eastAsia" w:ascii="宋体" w:hAnsi="宋体"/>
          <w:b/>
          <w:color w:val="auto"/>
          <w:sz w:val="24"/>
          <w:highlight w:val="none"/>
        </w:rPr>
        <w:t>：</w:t>
      </w:r>
    </w:p>
    <w:p w14:paraId="47221423">
      <w:pPr>
        <w:spacing w:line="360" w:lineRule="auto"/>
        <w:ind w:firstLine="480" w:firstLineChars="200"/>
        <w:rPr>
          <w:rFonts w:ascii="宋体" w:hAnsi="宋体"/>
          <w:b/>
          <w:color w:val="auto"/>
          <w:sz w:val="24"/>
          <w:highlight w:val="none"/>
        </w:rPr>
      </w:pPr>
      <w:r>
        <w:rPr>
          <w:rFonts w:ascii="宋体" w:hAnsi="宋体"/>
          <w:b/>
          <w:color w:val="auto"/>
          <w:sz w:val="24"/>
          <w:highlight w:val="none"/>
        </w:rPr>
        <w:t>二、合同金额</w:t>
      </w:r>
    </w:p>
    <w:p w14:paraId="4891AB3E">
      <w:pPr>
        <w:spacing w:line="360" w:lineRule="auto"/>
        <w:ind w:left="420" w:leftChars="200"/>
        <w:rPr>
          <w:rFonts w:hint="eastAsia" w:ascii="宋体" w:hAnsi="宋体"/>
          <w:color w:val="auto"/>
          <w:sz w:val="24"/>
          <w:highlight w:val="none"/>
        </w:rPr>
      </w:pPr>
      <w:r>
        <w:rPr>
          <w:rFonts w:ascii="宋体" w:hAnsi="宋体"/>
          <w:color w:val="auto"/>
          <w:sz w:val="24"/>
          <w:highlight w:val="none"/>
        </w:rPr>
        <w:t>本项目</w:t>
      </w:r>
      <w:r>
        <w:rPr>
          <w:rFonts w:hint="eastAsia" w:ascii="宋体" w:hAnsi="宋体"/>
          <w:color w:val="auto"/>
          <w:sz w:val="24"/>
          <w:highlight w:val="none"/>
        </w:rPr>
        <w:t>投标报价</w:t>
      </w:r>
      <w:r>
        <w:rPr>
          <w:rFonts w:ascii="宋体" w:hAnsi="宋体"/>
          <w:color w:val="auto"/>
          <w:sz w:val="24"/>
          <w:highlight w:val="none"/>
        </w:rPr>
        <w:t>为：____________________</w:t>
      </w:r>
      <w:r>
        <w:rPr>
          <w:rFonts w:hint="eastAsia" w:ascii="宋体" w:hAnsi="宋体"/>
          <w:color w:val="auto"/>
          <w:sz w:val="24"/>
          <w:highlight w:val="none"/>
        </w:rPr>
        <w:t>元；大写</w:t>
      </w:r>
      <w:r>
        <w:rPr>
          <w:rFonts w:ascii="宋体" w:hAnsi="宋体"/>
          <w:color w:val="auto"/>
          <w:sz w:val="24"/>
          <w:highlight w:val="none"/>
        </w:rPr>
        <w:t>______________</w:t>
      </w:r>
      <w:r>
        <w:rPr>
          <w:rFonts w:hint="eastAsia" w:ascii="宋体" w:hAnsi="宋体"/>
          <w:color w:val="auto"/>
          <w:sz w:val="24"/>
          <w:highlight w:val="none"/>
        </w:rPr>
        <w:t>元。</w:t>
      </w:r>
    </w:p>
    <w:p w14:paraId="15C47FA6">
      <w:pPr>
        <w:spacing w:line="360" w:lineRule="auto"/>
        <w:ind w:firstLine="480" w:firstLineChars="200"/>
        <w:rPr>
          <w:rFonts w:ascii="宋体" w:hAnsi="宋体"/>
          <w:b/>
          <w:color w:val="auto"/>
          <w:sz w:val="24"/>
          <w:highlight w:val="none"/>
        </w:rPr>
      </w:pPr>
      <w:r>
        <w:rPr>
          <w:rFonts w:ascii="宋体" w:hAnsi="宋体"/>
          <w:b/>
          <w:color w:val="auto"/>
          <w:sz w:val="24"/>
          <w:highlight w:val="none"/>
        </w:rPr>
        <w:t>三、技术资料</w:t>
      </w:r>
    </w:p>
    <w:p w14:paraId="3811CE02">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 xml:space="preserve">. </w:t>
      </w:r>
      <w:r>
        <w:rPr>
          <w:rFonts w:ascii="宋体" w:hAnsi="宋体"/>
          <w:color w:val="auto"/>
          <w:sz w:val="24"/>
          <w:highlight w:val="none"/>
        </w:rPr>
        <w:t>乙方应按招标文件规定的时间向甲方提供有关技术资料。</w:t>
      </w:r>
    </w:p>
    <w:p w14:paraId="19856DF9">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 </w:t>
      </w:r>
      <w:r>
        <w:rPr>
          <w:rFonts w:ascii="宋体"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0E07AB">
      <w:pPr>
        <w:spacing w:line="360" w:lineRule="auto"/>
        <w:ind w:firstLine="480" w:firstLineChars="200"/>
        <w:rPr>
          <w:rFonts w:ascii="宋体" w:hAnsi="宋体"/>
          <w:b/>
          <w:color w:val="auto"/>
          <w:sz w:val="24"/>
          <w:highlight w:val="none"/>
        </w:rPr>
      </w:pPr>
      <w:r>
        <w:rPr>
          <w:rFonts w:ascii="宋体" w:hAnsi="宋体"/>
          <w:b/>
          <w:color w:val="auto"/>
          <w:sz w:val="24"/>
          <w:highlight w:val="none"/>
        </w:rPr>
        <w:t>四、知识产权</w:t>
      </w:r>
    </w:p>
    <w:p w14:paraId="42F8E9DD">
      <w:pPr>
        <w:spacing w:line="360" w:lineRule="auto"/>
        <w:ind w:firstLine="480" w:firstLineChars="200"/>
        <w:rPr>
          <w:rFonts w:ascii="宋体" w:hAnsi="宋体"/>
          <w:b/>
          <w:bCs/>
          <w:color w:val="auto"/>
          <w:sz w:val="24"/>
          <w:highlight w:val="none"/>
        </w:rPr>
      </w:pPr>
      <w:r>
        <w:rPr>
          <w:rFonts w:ascii="宋体" w:hAnsi="宋体"/>
          <w:color w:val="auto"/>
          <w:sz w:val="24"/>
          <w:highlight w:val="none"/>
        </w:rPr>
        <w:t>乙方应保证提供服务过程中不会侵犯任何第三方的</w:t>
      </w:r>
      <w:r>
        <w:rPr>
          <w:rFonts w:ascii="宋体" w:hAnsi="宋体"/>
          <w:b/>
          <w:color w:val="auto"/>
          <w:sz w:val="24"/>
          <w:highlight w:val="none"/>
        </w:rPr>
        <w:t>知识产权</w:t>
      </w:r>
      <w:r>
        <w:rPr>
          <w:rFonts w:ascii="宋体" w:hAnsi="宋体"/>
          <w:b/>
          <w:bCs/>
          <w:color w:val="auto"/>
          <w:sz w:val="24"/>
          <w:highlight w:val="none"/>
        </w:rPr>
        <w:t>。</w:t>
      </w:r>
    </w:p>
    <w:p w14:paraId="7804576C">
      <w:pPr>
        <w:spacing w:line="360" w:lineRule="auto"/>
        <w:ind w:firstLine="480" w:firstLineChars="200"/>
        <w:rPr>
          <w:rFonts w:ascii="宋体" w:hAnsi="宋体"/>
          <w:b/>
          <w:color w:val="auto"/>
          <w:sz w:val="24"/>
          <w:highlight w:val="none"/>
        </w:rPr>
      </w:pPr>
      <w:r>
        <w:rPr>
          <w:rFonts w:hint="eastAsia" w:ascii="宋体" w:hAnsi="宋体"/>
          <w:b/>
          <w:color w:val="auto"/>
          <w:sz w:val="24"/>
          <w:highlight w:val="none"/>
        </w:rPr>
        <w:t>五</w:t>
      </w:r>
      <w:r>
        <w:rPr>
          <w:rFonts w:ascii="宋体" w:hAnsi="宋体"/>
          <w:b/>
          <w:color w:val="auto"/>
          <w:sz w:val="24"/>
          <w:highlight w:val="none"/>
        </w:rPr>
        <w:t>、履约保证金</w:t>
      </w:r>
    </w:p>
    <w:p w14:paraId="43244F87">
      <w:pPr>
        <w:spacing w:line="360" w:lineRule="auto"/>
        <w:ind w:firstLine="480" w:firstLineChars="200"/>
        <w:rPr>
          <w:rFonts w:hint="eastAsia" w:ascii="宋体" w:hAnsi="宋体" w:cs="宋体"/>
          <w:color w:val="auto"/>
          <w:sz w:val="24"/>
          <w:highlight w:val="none"/>
        </w:rPr>
      </w:pPr>
      <w:r>
        <w:rPr>
          <w:rFonts w:hAnsi="宋体"/>
          <w:color w:val="auto"/>
          <w:sz w:val="24"/>
          <w:highlight w:val="none"/>
        </w:rPr>
        <w:t>乙方交纳人民币</w:t>
      </w:r>
      <w:r>
        <w:rPr>
          <w:rFonts w:hint="eastAsia" w:hAnsi="宋体"/>
          <w:color w:val="auto"/>
          <w:sz w:val="24"/>
          <w:highlight w:val="none"/>
          <w:u w:val="single"/>
        </w:rPr>
        <w:t xml:space="preserve">            </w:t>
      </w:r>
      <w:r>
        <w:rPr>
          <w:rFonts w:hAnsi="宋体"/>
          <w:color w:val="auto"/>
          <w:sz w:val="24"/>
          <w:highlight w:val="none"/>
        </w:rPr>
        <w:t>元作为本合同的履约保证金</w:t>
      </w:r>
      <w:r>
        <w:rPr>
          <w:rFonts w:hint="eastAsia" w:ascii="宋体" w:hAnsi="宋体" w:cs="宋体"/>
          <w:color w:val="auto"/>
          <w:sz w:val="24"/>
          <w:highlight w:val="none"/>
        </w:rPr>
        <w:t>；</w:t>
      </w:r>
    </w:p>
    <w:p w14:paraId="26072F96">
      <w:pPr>
        <w:spacing w:line="360" w:lineRule="auto"/>
        <w:ind w:firstLine="480" w:firstLineChars="200"/>
        <w:rPr>
          <w:rFonts w:hint="eastAsia" w:ascii="宋体" w:hAnsi="宋体" w:cs="宋体"/>
          <w:color w:val="auto"/>
          <w:sz w:val="24"/>
          <w:highlight w:val="none"/>
        </w:rPr>
      </w:pPr>
      <w:r>
        <w:rPr>
          <w:rFonts w:hint="eastAsia" w:hAnsi="宋体"/>
          <w:color w:val="auto"/>
          <w:sz w:val="24"/>
          <w:highlight w:val="none"/>
        </w:rPr>
        <w:t>本项目</w:t>
      </w:r>
      <w:r>
        <w:rPr>
          <w:rFonts w:hAnsi="宋体"/>
          <w:color w:val="auto"/>
          <w:sz w:val="24"/>
          <w:highlight w:val="none"/>
        </w:rPr>
        <w:t>履约保证金</w:t>
      </w:r>
      <w:r>
        <w:rPr>
          <w:rFonts w:hint="eastAsia" w:hAnsi="宋体"/>
          <w:color w:val="auto"/>
          <w:sz w:val="24"/>
          <w:highlight w:val="none"/>
          <w:u w:val="single"/>
        </w:rPr>
        <w:t xml:space="preserve">            </w:t>
      </w:r>
      <w:r>
        <w:rPr>
          <w:rFonts w:hAnsi="宋体"/>
          <w:color w:val="auto"/>
          <w:sz w:val="24"/>
          <w:highlight w:val="none"/>
        </w:rPr>
        <w:t>元</w:t>
      </w:r>
      <w:r>
        <w:rPr>
          <w:rFonts w:hint="eastAsia" w:hAnsi="宋体"/>
          <w:color w:val="auto"/>
          <w:sz w:val="24"/>
          <w:highlight w:val="none"/>
        </w:rPr>
        <w:t>以保函形式提交</w:t>
      </w:r>
      <w:r>
        <w:rPr>
          <w:rFonts w:hint="eastAsia" w:ascii="宋体" w:hAnsi="宋体" w:cs="宋体"/>
          <w:color w:val="auto"/>
          <w:sz w:val="24"/>
          <w:highlight w:val="none"/>
        </w:rPr>
        <w:t>（在合同签订缴纳前交纳或办理保函手续，保函期限应大于履约期限2个月）。</w:t>
      </w:r>
    </w:p>
    <w:p w14:paraId="5435B73D">
      <w:pPr>
        <w:spacing w:line="360" w:lineRule="auto"/>
        <w:ind w:firstLine="480" w:firstLineChars="200"/>
        <w:rPr>
          <w:rFonts w:ascii="宋体" w:hAnsi="宋体"/>
          <w:b/>
          <w:color w:val="auto"/>
          <w:sz w:val="24"/>
          <w:szCs w:val="20"/>
          <w:highlight w:val="none"/>
        </w:rPr>
      </w:pPr>
      <w:r>
        <w:rPr>
          <w:rFonts w:hint="eastAsia" w:ascii="宋体" w:hAnsi="宋体"/>
          <w:b/>
          <w:color w:val="auto"/>
          <w:sz w:val="24"/>
          <w:highlight w:val="none"/>
        </w:rPr>
        <w:t>六、转包或分包</w:t>
      </w:r>
    </w:p>
    <w:p w14:paraId="4EB965C9">
      <w:pPr>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hAnsi="宋体"/>
          <w:color w:val="auto"/>
          <w:sz w:val="24"/>
          <w:highlight w:val="none"/>
        </w:rPr>
        <w:t>乙</w:t>
      </w:r>
      <w:r>
        <w:rPr>
          <w:rFonts w:hint="eastAsia" w:ascii="宋体" w:hAnsi="宋体"/>
          <w:color w:val="auto"/>
          <w:sz w:val="24"/>
          <w:highlight w:val="none"/>
        </w:rPr>
        <w:t>方直接供应，不得转让他人供应；</w:t>
      </w:r>
    </w:p>
    <w:p w14:paraId="2531265B">
      <w:pPr>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2.如有转让和分包行为，甲方有权解除合同，没收履约保证金并追究乙方的违约责任。</w:t>
      </w:r>
    </w:p>
    <w:p w14:paraId="42FBDA94">
      <w:pPr>
        <w:spacing w:line="360" w:lineRule="auto"/>
        <w:ind w:firstLine="480" w:firstLineChars="200"/>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、合同履行时间、履行方式及履行地点</w:t>
      </w:r>
    </w:p>
    <w:p w14:paraId="51333681">
      <w:pP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 xml:space="preserve"> </w:t>
      </w:r>
      <w:r>
        <w:rPr>
          <w:rFonts w:ascii="宋体" w:hAnsi="宋体"/>
          <w:color w:val="auto"/>
          <w:sz w:val="24"/>
          <w:highlight w:val="none"/>
        </w:rPr>
        <w:t>履行时间</w:t>
      </w:r>
      <w:r>
        <w:rPr>
          <w:rFonts w:ascii="宋体" w:hAnsi="宋体"/>
          <w:bCs/>
          <w:color w:val="auto"/>
          <w:sz w:val="24"/>
          <w:highlight w:val="none"/>
        </w:rPr>
        <w:t>：</w:t>
      </w:r>
    </w:p>
    <w:p w14:paraId="063066DD">
      <w:pP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 xml:space="preserve"> </w:t>
      </w:r>
      <w:r>
        <w:rPr>
          <w:rFonts w:ascii="宋体" w:hAnsi="宋体"/>
          <w:color w:val="auto"/>
          <w:sz w:val="24"/>
          <w:highlight w:val="none"/>
        </w:rPr>
        <w:t>履行方式</w:t>
      </w:r>
      <w:r>
        <w:rPr>
          <w:rFonts w:ascii="宋体" w:hAnsi="宋体"/>
          <w:bCs/>
          <w:color w:val="auto"/>
          <w:sz w:val="24"/>
          <w:highlight w:val="none"/>
        </w:rPr>
        <w:t>：</w:t>
      </w:r>
    </w:p>
    <w:p w14:paraId="645E461F">
      <w:pPr>
        <w:spacing w:line="360" w:lineRule="auto"/>
        <w:ind w:firstLine="480" w:firstLineChars="200"/>
        <w:rPr>
          <w:rFonts w:ascii="宋体" w:hAnsi="宋体"/>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 xml:space="preserve"> </w:t>
      </w:r>
      <w:r>
        <w:rPr>
          <w:rFonts w:ascii="宋体" w:hAnsi="宋体"/>
          <w:color w:val="auto"/>
          <w:sz w:val="24"/>
          <w:highlight w:val="none"/>
        </w:rPr>
        <w:t>履行地点</w:t>
      </w:r>
      <w:r>
        <w:rPr>
          <w:rFonts w:ascii="宋体" w:hAnsi="宋体"/>
          <w:bCs/>
          <w:color w:val="auto"/>
          <w:sz w:val="24"/>
          <w:highlight w:val="none"/>
        </w:rPr>
        <w:t>：</w:t>
      </w:r>
    </w:p>
    <w:p w14:paraId="24053C16">
      <w:pPr>
        <w:spacing w:line="360" w:lineRule="auto"/>
        <w:ind w:firstLine="480" w:firstLineChars="200"/>
        <w:rPr>
          <w:rFonts w:hint="eastAsia"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、付款方式</w:t>
      </w:r>
      <w:r>
        <w:rPr>
          <w:rFonts w:hint="eastAsia" w:ascii="宋体" w:hAnsi="宋体"/>
          <w:b/>
          <w:color w:val="auto"/>
          <w:sz w:val="24"/>
          <w:highlight w:val="none"/>
        </w:rPr>
        <w:t>：</w:t>
      </w:r>
    </w:p>
    <w:p w14:paraId="042D068B">
      <w:pPr>
        <w:spacing w:line="360" w:lineRule="auto"/>
        <w:ind w:firstLine="480" w:firstLineChars="200"/>
        <w:rPr>
          <w:rFonts w:ascii="宋体" w:hAnsi="宋体"/>
          <w:b/>
          <w:color w:val="auto"/>
          <w:sz w:val="24"/>
          <w:szCs w:val="20"/>
          <w:highlight w:val="none"/>
        </w:rPr>
      </w:pPr>
      <w:r>
        <w:rPr>
          <w:rFonts w:hint="eastAsia" w:ascii="宋体" w:hAnsi="宋体"/>
          <w:b/>
          <w:color w:val="auto"/>
          <w:sz w:val="24"/>
          <w:highlight w:val="none"/>
        </w:rPr>
        <w:t>九、税费</w:t>
      </w:r>
    </w:p>
    <w:p w14:paraId="0F49DB61">
      <w:pPr>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本合同执行中相关的一切税费均由</w:t>
      </w:r>
      <w:r>
        <w:rPr>
          <w:rFonts w:hAnsi="宋体"/>
          <w:color w:val="auto"/>
          <w:sz w:val="24"/>
          <w:highlight w:val="none"/>
        </w:rPr>
        <w:t>乙</w:t>
      </w:r>
      <w:r>
        <w:rPr>
          <w:rFonts w:hint="eastAsia" w:ascii="宋体" w:hAnsi="宋体"/>
          <w:color w:val="auto"/>
          <w:sz w:val="24"/>
          <w:highlight w:val="none"/>
        </w:rPr>
        <w:t>方负担。</w:t>
      </w:r>
    </w:p>
    <w:p w14:paraId="6002C94C">
      <w:pPr>
        <w:spacing w:line="360" w:lineRule="auto"/>
        <w:ind w:firstLine="480" w:firstLineChars="200"/>
        <w:rPr>
          <w:rFonts w:ascii="宋体" w:hAnsi="宋体"/>
          <w:color w:val="auto"/>
          <w:sz w:val="24"/>
          <w:highlight w:val="none"/>
        </w:rPr>
      </w:pPr>
      <w:r>
        <w:rPr>
          <w:rFonts w:ascii="宋体" w:hAnsi="宋体"/>
          <w:b/>
          <w:color w:val="auto"/>
          <w:sz w:val="24"/>
          <w:highlight w:val="none"/>
        </w:rPr>
        <w:t>十、质量保证及后续服务</w:t>
      </w:r>
    </w:p>
    <w:p w14:paraId="2297C1D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乙方应按招标文件规定向甲方提供服务。</w:t>
      </w:r>
    </w:p>
    <w:p w14:paraId="16138BFC">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乙方提供的服务成果在服务质量保证期内发生故障，乙方应负责免费提供后续服务。</w:t>
      </w:r>
    </w:p>
    <w:p w14:paraId="784929DB">
      <w:pPr>
        <w:spacing w:line="360" w:lineRule="auto"/>
        <w:ind w:firstLine="480" w:firstLineChars="200"/>
        <w:rPr>
          <w:rFonts w:ascii="宋体" w:hAnsi="宋体"/>
          <w:color w:val="auto"/>
          <w:sz w:val="24"/>
          <w:highlight w:val="none"/>
        </w:rPr>
      </w:pPr>
      <w:r>
        <w:rPr>
          <w:rFonts w:ascii="宋体" w:hAnsi="宋体"/>
          <w:color w:val="auto"/>
          <w:sz w:val="24"/>
          <w:highlight w:val="none"/>
        </w:rPr>
        <w:t>对达不到要求者，根据实际情况，经双方协商，可按以下办法处理：</w:t>
      </w:r>
    </w:p>
    <w:p w14:paraId="6FCF00E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重做：由乙方承担所发生的全部费用。</w:t>
      </w:r>
    </w:p>
    <w:p w14:paraId="6031FA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解除合同。</w:t>
      </w:r>
    </w:p>
    <w:p w14:paraId="339D55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3.如在使用过程中发生问题，乙方在接到甲方通知后 2小时内到达甲方现场。</w:t>
      </w:r>
    </w:p>
    <w:p w14:paraId="4F57A54F">
      <w:pPr>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在</w:t>
      </w:r>
      <w:r>
        <w:rPr>
          <w:rFonts w:ascii="宋体" w:hAnsi="宋体"/>
          <w:b/>
          <w:color w:val="auto"/>
          <w:sz w:val="24"/>
          <w:highlight w:val="none"/>
        </w:rPr>
        <w:t>服务质量保证期</w:t>
      </w:r>
      <w:r>
        <w:rPr>
          <w:rFonts w:ascii="宋体" w:hAnsi="宋体"/>
          <w:color w:val="auto"/>
          <w:sz w:val="24"/>
          <w:highlight w:val="none"/>
        </w:rPr>
        <w:t>内，乙方应对出现的质量及安全问题负责处理解决并承担一切费用。</w:t>
      </w:r>
    </w:p>
    <w:p w14:paraId="39F35880">
      <w:pPr>
        <w:spacing w:line="360" w:lineRule="auto"/>
        <w:ind w:firstLine="480"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二</w:t>
      </w:r>
      <w:r>
        <w:rPr>
          <w:rFonts w:ascii="宋体" w:hAnsi="宋体"/>
          <w:b/>
          <w:color w:val="auto"/>
          <w:sz w:val="24"/>
          <w:highlight w:val="none"/>
        </w:rPr>
        <w:t>、违约责任</w:t>
      </w:r>
    </w:p>
    <w:p w14:paraId="0E7E130E">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甲方无正当理由拒收接受服务的，甲方向乙方偿付合同款项百分之五作为违约金。</w:t>
      </w:r>
    </w:p>
    <w:p w14:paraId="1ECCB74A">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甲方无故逾期验收和办理款项支付手续的,甲方应按逾期付款总额每日万分之五向乙方支付违约金。</w:t>
      </w:r>
    </w:p>
    <w:p w14:paraId="1D877841">
      <w:pPr>
        <w:numPr>
          <w:ilvl w:val="0"/>
          <w:numId w:val="5"/>
        </w:numPr>
        <w:spacing w:line="360" w:lineRule="auto"/>
        <w:ind w:firstLine="480" w:firstLineChars="200"/>
        <w:rPr>
          <w:rFonts w:ascii="宋体" w:hAnsi="宋体"/>
          <w:color w:val="auto"/>
          <w:sz w:val="24"/>
          <w:highlight w:val="none"/>
        </w:rPr>
      </w:pPr>
      <w:r>
        <w:rPr>
          <w:rFonts w:ascii="宋体" w:hAnsi="宋体"/>
          <w:color w:val="auto"/>
          <w:sz w:val="24"/>
          <w:highlight w:val="none"/>
        </w:rPr>
        <w:t>乙方</w:t>
      </w:r>
      <w:r>
        <w:rPr>
          <w:rFonts w:hint="eastAsia" w:ascii="宋体" w:hAnsi="宋体"/>
          <w:color w:val="auto"/>
          <w:sz w:val="24"/>
          <w:highlight w:val="none"/>
        </w:rPr>
        <w:t>未能如</w:t>
      </w:r>
      <w:r>
        <w:rPr>
          <w:rFonts w:ascii="宋体" w:hAnsi="宋体"/>
          <w:color w:val="auto"/>
          <w:sz w:val="24"/>
          <w:highlight w:val="none"/>
        </w:rPr>
        <w:t>期提供服务的，每日向甲方支付</w:t>
      </w:r>
      <w:r>
        <w:rPr>
          <w:rFonts w:hint="eastAsia" w:ascii="宋体" w:hAnsi="宋体"/>
          <w:color w:val="auto"/>
          <w:sz w:val="24"/>
          <w:highlight w:val="none"/>
        </w:rPr>
        <w:t>合同款项的</w:t>
      </w:r>
      <w:r>
        <w:rPr>
          <w:rFonts w:ascii="宋体" w:hAnsi="宋体"/>
          <w:color w:val="auto"/>
          <w:sz w:val="24"/>
          <w:highlight w:val="none"/>
        </w:rPr>
        <w:t>千分之六</w:t>
      </w:r>
      <w:r>
        <w:rPr>
          <w:rFonts w:hint="eastAsia" w:ascii="宋体" w:hAnsi="宋体"/>
          <w:color w:val="auto"/>
          <w:sz w:val="24"/>
          <w:highlight w:val="none"/>
        </w:rPr>
        <w:t>作为</w:t>
      </w:r>
      <w:r>
        <w:rPr>
          <w:rFonts w:ascii="宋体" w:hAnsi="宋体"/>
          <w:color w:val="auto"/>
          <w:sz w:val="24"/>
          <w:highlight w:val="none"/>
        </w:rPr>
        <w:t>违约金。乙方超过约定日期10个工作日</w:t>
      </w:r>
      <w:r>
        <w:rPr>
          <w:rFonts w:hint="eastAsia" w:ascii="宋体" w:hAnsi="宋体"/>
          <w:color w:val="auto"/>
          <w:sz w:val="24"/>
          <w:highlight w:val="none"/>
        </w:rPr>
        <w:t>仍</w:t>
      </w:r>
      <w:r>
        <w:rPr>
          <w:rFonts w:ascii="宋体" w:hAnsi="宋体"/>
          <w:color w:val="auto"/>
          <w:sz w:val="24"/>
          <w:highlight w:val="none"/>
        </w:rPr>
        <w:t>不能</w:t>
      </w:r>
      <w:r>
        <w:rPr>
          <w:rFonts w:hint="eastAsia" w:ascii="宋体" w:hAnsi="宋体"/>
          <w:color w:val="auto"/>
          <w:sz w:val="24"/>
          <w:highlight w:val="none"/>
        </w:rPr>
        <w:t>提供服务</w:t>
      </w:r>
      <w:r>
        <w:rPr>
          <w:rFonts w:ascii="宋体" w:hAnsi="宋体"/>
          <w:color w:val="auto"/>
          <w:sz w:val="24"/>
          <w:highlight w:val="none"/>
        </w:rPr>
        <w:t>的，甲方可解除本合同。乙方因</w:t>
      </w:r>
      <w:r>
        <w:rPr>
          <w:rFonts w:hint="eastAsia" w:ascii="宋体" w:hAnsi="宋体"/>
          <w:color w:val="auto"/>
          <w:sz w:val="24"/>
          <w:highlight w:val="none"/>
        </w:rPr>
        <w:t>未能如</w:t>
      </w:r>
      <w:r>
        <w:rPr>
          <w:rFonts w:ascii="宋体" w:hAnsi="宋体"/>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446E0724">
      <w:pPr>
        <w:spacing w:line="360" w:lineRule="auto"/>
        <w:ind w:firstLine="480"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三</w:t>
      </w:r>
      <w:r>
        <w:rPr>
          <w:rFonts w:ascii="宋体" w:hAnsi="宋体"/>
          <w:b/>
          <w:color w:val="auto"/>
          <w:sz w:val="24"/>
          <w:highlight w:val="none"/>
        </w:rPr>
        <w:t>、不可抗力事件处理</w:t>
      </w:r>
    </w:p>
    <w:p w14:paraId="286262F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在合同有效期内，任何一方因不可抗力事件导致不能履行合同，则合同履行期可延长，其延长期与不可抗力影响期相同。</w:t>
      </w:r>
    </w:p>
    <w:p w14:paraId="4CA3CB41">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不可抗力事件发生后，应立即通知对方，并寄送有关权威机构出具的证明。</w:t>
      </w:r>
    </w:p>
    <w:p w14:paraId="0C6B3E1B">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不可抗力事件延续120天以上，双方应通过友好协商，确定是否继续履行合同。</w:t>
      </w:r>
    </w:p>
    <w:p w14:paraId="380C296D">
      <w:pPr>
        <w:pStyle w:val="24"/>
        <w:spacing w:before="0" w:beforeLines="0" w:after="0" w:afterLines="0" w:line="360" w:lineRule="auto"/>
        <w:ind w:firstLine="480" w:firstLineChars="200"/>
        <w:rPr>
          <w:rFonts w:hAnsi="宋体" w:cs="宋体"/>
          <w:b/>
          <w:color w:val="auto"/>
          <w:highlight w:val="none"/>
        </w:rPr>
      </w:pPr>
      <w:r>
        <w:rPr>
          <w:rFonts w:hAnsi="宋体"/>
          <w:b/>
          <w:color w:val="auto"/>
          <w:highlight w:val="none"/>
        </w:rPr>
        <w:t>十</w:t>
      </w:r>
      <w:r>
        <w:rPr>
          <w:rFonts w:hint="eastAsia" w:hAnsi="宋体"/>
          <w:b/>
          <w:color w:val="auto"/>
          <w:highlight w:val="none"/>
        </w:rPr>
        <w:t>四</w:t>
      </w:r>
      <w:r>
        <w:rPr>
          <w:rFonts w:hAnsi="宋体"/>
          <w:b/>
          <w:color w:val="auto"/>
          <w:highlight w:val="none"/>
        </w:rPr>
        <w:t>、</w:t>
      </w:r>
      <w:r>
        <w:rPr>
          <w:rFonts w:hint="eastAsia" w:hAnsi="宋体"/>
          <w:b/>
          <w:color w:val="auto"/>
          <w:highlight w:val="none"/>
        </w:rPr>
        <w:t xml:space="preserve"> </w:t>
      </w:r>
      <w:r>
        <w:rPr>
          <w:rFonts w:hAnsi="宋体" w:cs="宋体"/>
          <w:b/>
          <w:color w:val="auto"/>
          <w:highlight w:val="none"/>
        </w:rPr>
        <w:t>诉讼</w:t>
      </w:r>
    </w:p>
    <w:p w14:paraId="100A56DE">
      <w:pPr>
        <w:pStyle w:val="24"/>
        <w:spacing w:before="0" w:beforeLines="0" w:after="0" w:afterLines="0" w:line="360" w:lineRule="auto"/>
        <w:ind w:firstLine="480" w:firstLineChars="200"/>
        <w:rPr>
          <w:rFonts w:hint="eastAsia" w:hAnsi="宋体"/>
          <w:bCs/>
          <w:color w:val="auto"/>
          <w:highlight w:val="none"/>
        </w:rPr>
      </w:pPr>
      <w:r>
        <w:rPr>
          <w:rFonts w:hAnsi="宋体" w:cs="宋体"/>
          <w:color w:val="auto"/>
          <w:highlight w:val="none"/>
        </w:rPr>
        <w:t>双方在执行合同中所发生的一切争议，应通过协商解决。如协商不成，可向甲方所在地法院起诉。</w:t>
      </w:r>
    </w:p>
    <w:p w14:paraId="4BFF982A">
      <w:pPr>
        <w:spacing w:line="360" w:lineRule="auto"/>
        <w:ind w:firstLine="480"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五</w:t>
      </w:r>
      <w:r>
        <w:rPr>
          <w:rFonts w:ascii="宋体" w:hAnsi="宋体"/>
          <w:b/>
          <w:color w:val="auto"/>
          <w:sz w:val="24"/>
          <w:highlight w:val="none"/>
        </w:rPr>
        <w:t>、合同生效及其它</w:t>
      </w:r>
    </w:p>
    <w:p w14:paraId="3C5399C0">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合同经双方法定代表人或授权代表签字并加盖单位公章后，报东阳市财政局采购办备案后</w:t>
      </w:r>
      <w:r>
        <w:rPr>
          <w:rFonts w:ascii="宋体" w:hAnsi="宋体"/>
          <w:color w:val="auto"/>
          <w:sz w:val="24"/>
          <w:highlight w:val="none"/>
        </w:rPr>
        <w:t>生效。</w:t>
      </w:r>
    </w:p>
    <w:p w14:paraId="39605502">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合同执行中涉及采购资金和采购内容修改或补充的，须经财政部门审批，并签书面补充协议报政府采购监督管理部门备案，方可作为主合同不可分割的一部分。</w:t>
      </w:r>
    </w:p>
    <w:p w14:paraId="09FBF52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本合同未尽事宜，遵照《</w:t>
      </w:r>
      <w:r>
        <w:rPr>
          <w:rFonts w:hint="eastAsia" w:ascii="宋体" w:hAnsi="宋体"/>
          <w:color w:val="auto"/>
          <w:sz w:val="24"/>
          <w:highlight w:val="none"/>
          <w:lang w:eastAsia="zh-CN"/>
        </w:rPr>
        <w:t>民</w:t>
      </w:r>
      <w:r>
        <w:rPr>
          <w:rFonts w:ascii="宋体" w:hAnsi="宋体"/>
          <w:color w:val="auto"/>
          <w:sz w:val="24"/>
          <w:highlight w:val="none"/>
        </w:rPr>
        <w:t>法</w:t>
      </w:r>
      <w:r>
        <w:rPr>
          <w:rFonts w:hint="eastAsia" w:ascii="宋体" w:hAnsi="宋体"/>
          <w:color w:val="auto"/>
          <w:sz w:val="24"/>
          <w:highlight w:val="none"/>
          <w:lang w:eastAsia="zh-CN"/>
        </w:rPr>
        <w:t>典</w:t>
      </w:r>
      <w:r>
        <w:rPr>
          <w:rFonts w:ascii="宋体" w:hAnsi="宋体"/>
          <w:color w:val="auto"/>
          <w:sz w:val="24"/>
          <w:highlight w:val="none"/>
        </w:rPr>
        <w:t>》有关条文执行。</w:t>
      </w:r>
    </w:p>
    <w:p w14:paraId="356182A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4.本合同一式六份，东阳市采购办、招标代理机构各执一份，甲、乙双方各执二份，其都具有同等法律效力。</w:t>
      </w:r>
    </w:p>
    <w:p w14:paraId="11BCD99F">
      <w:pPr>
        <w:spacing w:line="360" w:lineRule="auto"/>
        <w:ind w:firstLine="480" w:firstLineChars="200"/>
        <w:rPr>
          <w:rFonts w:hint="eastAsia" w:ascii="宋体" w:hAnsi="宋体"/>
          <w:color w:val="auto"/>
          <w:sz w:val="24"/>
          <w:highlight w:val="none"/>
        </w:rPr>
      </w:pPr>
      <w:r>
        <w:rPr>
          <w:rFonts w:hint="eastAsia" w:ascii="宋体" w:hAnsi="宋体" w:cs="宋体"/>
          <w:b/>
          <w:color w:val="auto"/>
          <w:sz w:val="24"/>
          <w:highlight w:val="none"/>
        </w:rPr>
        <w:t>5、后附政府采购廉洁承诺书</w:t>
      </w:r>
    </w:p>
    <w:p w14:paraId="1358FA0F">
      <w:pPr>
        <w:spacing w:line="360" w:lineRule="auto"/>
        <w:ind w:firstLine="480" w:firstLineChars="200"/>
        <w:rPr>
          <w:rFonts w:hint="eastAsia" w:ascii="宋体" w:hAnsi="宋体"/>
          <w:b/>
          <w:bCs/>
          <w:color w:val="auto"/>
          <w:sz w:val="24"/>
          <w:highlight w:val="none"/>
        </w:rPr>
      </w:pPr>
    </w:p>
    <w:p w14:paraId="6F82AE8E">
      <w:pPr>
        <w:spacing w:line="360" w:lineRule="auto"/>
        <w:ind w:firstLine="480" w:firstLineChars="200"/>
        <w:rPr>
          <w:rFonts w:hint="eastAsia" w:ascii="宋体" w:hAnsi="宋体"/>
          <w:color w:val="auto"/>
          <w:sz w:val="24"/>
          <w:highlight w:val="none"/>
        </w:rPr>
      </w:pPr>
      <w:r>
        <w:rPr>
          <w:rFonts w:hint="eastAsia" w:ascii="宋体" w:hAnsi="宋体"/>
          <w:b/>
          <w:bCs/>
          <w:color w:val="auto"/>
          <w:sz w:val="24"/>
          <w:highlight w:val="none"/>
        </w:rPr>
        <w:t>甲方（盖章）：                       乙方（盖章）：</w:t>
      </w:r>
    </w:p>
    <w:p w14:paraId="47A6624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法定代表人或受委托人                 法定代表人或受委托人</w:t>
      </w:r>
    </w:p>
    <w:p w14:paraId="6AB667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（签字）                             （签字）</w:t>
      </w:r>
    </w:p>
    <w:p w14:paraId="48CAAEE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地址：                               地址： </w:t>
      </w:r>
    </w:p>
    <w:p w14:paraId="15063D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                               电话：</w:t>
      </w:r>
    </w:p>
    <w:p w14:paraId="1589DA5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开户银行：                           开户银行：</w:t>
      </w:r>
    </w:p>
    <w:p w14:paraId="192617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帐号：                               帐号：</w:t>
      </w:r>
    </w:p>
    <w:p w14:paraId="2975F525">
      <w:pPr>
        <w:spacing w:line="360" w:lineRule="auto"/>
        <w:ind w:firstLine="480" w:firstLineChars="200"/>
        <w:rPr>
          <w:rFonts w:hint="eastAsia" w:ascii="宋体" w:hAnsi="宋体"/>
          <w:b/>
          <w:color w:val="auto"/>
          <w:sz w:val="24"/>
          <w:highlight w:val="none"/>
        </w:rPr>
      </w:pPr>
    </w:p>
    <w:p w14:paraId="5611C50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鉴证方:</w:t>
      </w:r>
    </w:p>
    <w:p w14:paraId="134DA70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法定代表人或主要负责人:</w:t>
      </w:r>
    </w:p>
    <w:p w14:paraId="33167D7D">
      <w:pPr>
        <w:spacing w:line="360" w:lineRule="auto"/>
        <w:ind w:firstLine="420" w:firstLineChars="200"/>
        <w:rPr>
          <w:rFonts w:hint="eastAsia" w:ascii="宋体" w:hAnsi="宋体"/>
          <w:b/>
          <w:color w:val="auto"/>
          <w:highlight w:val="none"/>
        </w:rPr>
      </w:pPr>
    </w:p>
    <w:p w14:paraId="4CDBA1C1">
      <w:pPr>
        <w:spacing w:line="360" w:lineRule="auto"/>
        <w:rPr>
          <w:rFonts w:hint="eastAsia" w:ascii="宋体" w:hAnsi="宋体"/>
          <w:b/>
          <w:color w:val="auto"/>
          <w:highlight w:val="none"/>
        </w:rPr>
      </w:pPr>
      <w:r>
        <w:rPr>
          <w:rFonts w:hint="eastAsia" w:ascii="宋体" w:hAnsi="宋体"/>
          <w:b/>
          <w:color w:val="auto"/>
          <w:highlight w:val="none"/>
        </w:rPr>
        <w:t>注：本合同仅供参考，签注合同时，可以使用项目相关国家标准的合同文本。</w:t>
      </w:r>
    </w:p>
    <w:p w14:paraId="6C3C1B55">
      <w:pPr>
        <w:pageBreakBefore/>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0B14AAC9">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741D1D53">
      <w:pPr>
        <w:spacing w:line="360" w:lineRule="auto"/>
        <w:ind w:firstLine="482"/>
        <w:jc w:val="center"/>
        <w:rPr>
          <w:rFonts w:ascii="宋体" w:hAnsi="宋体" w:cs="宋体"/>
          <w:b/>
          <w:color w:val="auto"/>
          <w:sz w:val="24"/>
          <w:highlight w:val="none"/>
        </w:rPr>
      </w:pPr>
    </w:p>
    <w:p w14:paraId="46FE41A1">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098D4CD1">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0FBDC0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272709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28E3A86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30A72CE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35278F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4F0943B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43859DD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07AEB6F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58EBB95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40E0A70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3D44602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4528B6A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58BAB82B">
      <w:pPr>
        <w:spacing w:line="360" w:lineRule="auto"/>
        <w:ind w:left="840" w:hanging="840" w:hangingChars="350"/>
        <w:jc w:val="center"/>
        <w:rPr>
          <w:rFonts w:ascii="宋体" w:hAnsi="宋体" w:cs="宋体"/>
          <w:color w:val="auto"/>
          <w:sz w:val="24"/>
          <w:highlight w:val="none"/>
        </w:rPr>
      </w:pPr>
    </w:p>
    <w:p w14:paraId="0B7F2353">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7E04BC2B">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703DC664">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019E62CB">
      <w:pPr>
        <w:spacing w:line="360" w:lineRule="auto"/>
        <w:ind w:left="840" w:hanging="840" w:hangingChars="350"/>
        <w:rPr>
          <w:rFonts w:ascii="宋体" w:hAnsi="宋体" w:cs="宋体"/>
          <w:color w:val="auto"/>
          <w:sz w:val="24"/>
          <w:highlight w:val="none"/>
        </w:rPr>
      </w:pPr>
    </w:p>
    <w:p w14:paraId="6E5D6BFC">
      <w:pPr>
        <w:pStyle w:val="4"/>
        <w:ind w:firstLine="482"/>
        <w:jc w:val="center"/>
        <w:rPr>
          <w:rFonts w:ascii="宋体" w:hAnsi="宋体" w:cs="宋体"/>
          <w:color w:val="auto"/>
          <w:sz w:val="24"/>
          <w:szCs w:val="24"/>
          <w:highlight w:val="none"/>
        </w:rPr>
      </w:pPr>
      <w:bookmarkStart w:id="33" w:name="_Toc13445"/>
      <w:r>
        <w:rPr>
          <w:rFonts w:hint="eastAsia" w:ascii="宋体" w:hAnsi="宋体" w:cs="宋体"/>
          <w:color w:val="auto"/>
          <w:sz w:val="24"/>
          <w:szCs w:val="24"/>
          <w:highlight w:val="none"/>
        </w:rPr>
        <w:t>第六章　投标文件组成内容及格式</w:t>
      </w:r>
      <w:bookmarkEnd w:id="33"/>
    </w:p>
    <w:bookmarkEnd w:id="28"/>
    <w:bookmarkEnd w:id="29"/>
    <w:p w14:paraId="089E2C44">
      <w:pPr>
        <w:pStyle w:val="24"/>
        <w:rPr>
          <w:color w:val="auto"/>
          <w:highlight w:val="none"/>
        </w:rPr>
      </w:pPr>
    </w:p>
    <w:p w14:paraId="22E2CF61">
      <w:pPr>
        <w:jc w:val="center"/>
        <w:rPr>
          <w:color w:val="auto"/>
          <w:sz w:val="24"/>
          <w:highlight w:val="none"/>
        </w:rPr>
      </w:pPr>
      <w:bookmarkStart w:id="34" w:name="_Toc405368940"/>
      <w:r>
        <w:rPr>
          <w:rFonts w:hint="eastAsia"/>
          <w:color w:val="auto"/>
          <w:sz w:val="24"/>
          <w:highlight w:val="none"/>
        </w:rPr>
        <w:t>一、投标文件封面格式</w:t>
      </w:r>
      <w:bookmarkEnd w:id="34"/>
    </w:p>
    <w:p w14:paraId="16113E6B">
      <w:pPr>
        <w:rPr>
          <w:rFonts w:ascii="宋体" w:hAnsi="宋体" w:cs="宋体"/>
          <w:color w:val="auto"/>
          <w:sz w:val="24"/>
          <w:highlight w:val="none"/>
        </w:rPr>
      </w:pPr>
    </w:p>
    <w:p w14:paraId="79E2BC17">
      <w:pPr>
        <w:rPr>
          <w:rFonts w:ascii="宋体" w:hAnsi="宋体" w:cs="宋体"/>
          <w:color w:val="auto"/>
          <w:sz w:val="24"/>
          <w:highlight w:val="none"/>
        </w:rPr>
      </w:pPr>
    </w:p>
    <w:p w14:paraId="5EE14363">
      <w:pPr>
        <w:rPr>
          <w:rFonts w:ascii="宋体" w:hAnsi="宋体" w:cs="宋体"/>
          <w:color w:val="auto"/>
          <w:sz w:val="24"/>
          <w:highlight w:val="none"/>
        </w:rPr>
      </w:pPr>
    </w:p>
    <w:p w14:paraId="0B08A9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66ABC3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2A8C01FC">
      <w:pPr>
        <w:spacing w:line="360" w:lineRule="auto"/>
        <w:rPr>
          <w:rFonts w:ascii="宋体" w:hAnsi="宋体" w:cs="宋体"/>
          <w:color w:val="auto"/>
          <w:sz w:val="24"/>
          <w:highlight w:val="none"/>
        </w:rPr>
      </w:pPr>
    </w:p>
    <w:p w14:paraId="13995BB0">
      <w:pPr>
        <w:spacing w:line="360" w:lineRule="auto"/>
        <w:rPr>
          <w:rFonts w:ascii="宋体" w:hAnsi="宋体" w:cs="宋体"/>
          <w:color w:val="auto"/>
          <w:sz w:val="24"/>
          <w:highlight w:val="none"/>
        </w:rPr>
      </w:pPr>
    </w:p>
    <w:p w14:paraId="4D3DABED">
      <w:pPr>
        <w:spacing w:line="360" w:lineRule="auto"/>
        <w:rPr>
          <w:rFonts w:ascii="宋体" w:hAnsi="宋体" w:cs="宋体"/>
          <w:color w:val="auto"/>
          <w:sz w:val="24"/>
          <w:highlight w:val="none"/>
        </w:rPr>
      </w:pPr>
    </w:p>
    <w:p w14:paraId="1F0269B1">
      <w:pPr>
        <w:spacing w:line="360" w:lineRule="auto"/>
        <w:rPr>
          <w:rFonts w:ascii="宋体" w:hAnsi="宋体" w:cs="宋体"/>
          <w:color w:val="auto"/>
          <w:sz w:val="24"/>
          <w:highlight w:val="none"/>
        </w:rPr>
      </w:pPr>
    </w:p>
    <w:p w14:paraId="49939D5E">
      <w:pPr>
        <w:spacing w:line="360" w:lineRule="auto"/>
        <w:rPr>
          <w:rFonts w:ascii="宋体" w:hAnsi="宋体" w:cs="宋体"/>
          <w:color w:val="auto"/>
          <w:sz w:val="24"/>
          <w:highlight w:val="none"/>
        </w:rPr>
      </w:pPr>
    </w:p>
    <w:p w14:paraId="40DF4A7D">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148FA689">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东阳市南市街道办事处食堂劳务及物资配送服务项目</w:t>
      </w:r>
    </w:p>
    <w:p w14:paraId="6E59846F">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JHZD2024-016</w:t>
      </w:r>
    </w:p>
    <w:p w14:paraId="67AFE58C">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1FB6FCCD">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6D4A03EE">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708D1153">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9BEB564">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7F7A741E">
      <w:pPr>
        <w:spacing w:line="360" w:lineRule="auto"/>
        <w:rPr>
          <w:rFonts w:ascii="宋体" w:hAnsi="宋体" w:cs="宋体"/>
          <w:color w:val="auto"/>
          <w:sz w:val="24"/>
          <w:highlight w:val="none"/>
        </w:rPr>
      </w:pPr>
    </w:p>
    <w:p w14:paraId="4DA5FB07">
      <w:pPr>
        <w:rPr>
          <w:rFonts w:ascii="宋体" w:hAnsi="宋体" w:cs="宋体"/>
          <w:color w:val="auto"/>
          <w:sz w:val="24"/>
          <w:highlight w:val="none"/>
        </w:rPr>
      </w:pPr>
    </w:p>
    <w:p w14:paraId="5BE91E4F">
      <w:pPr>
        <w:rPr>
          <w:color w:val="auto"/>
          <w:highlight w:val="none"/>
        </w:rPr>
      </w:pPr>
    </w:p>
    <w:p w14:paraId="4EFE7A49">
      <w:pPr>
        <w:spacing w:line="360" w:lineRule="auto"/>
        <w:rPr>
          <w:rFonts w:ascii="宋体" w:hAnsi="宋体" w:cs="宋体"/>
          <w:color w:val="auto"/>
          <w:sz w:val="24"/>
          <w:highlight w:val="none"/>
        </w:rPr>
      </w:pPr>
    </w:p>
    <w:p w14:paraId="38E5B9EB">
      <w:pPr>
        <w:spacing w:line="360" w:lineRule="auto"/>
        <w:rPr>
          <w:rFonts w:ascii="宋体" w:hAnsi="宋体" w:cs="宋体"/>
          <w:color w:val="auto"/>
          <w:sz w:val="24"/>
          <w:highlight w:val="none"/>
        </w:rPr>
      </w:pPr>
    </w:p>
    <w:p w14:paraId="4BA9A88B">
      <w:pPr>
        <w:spacing w:line="360" w:lineRule="auto"/>
        <w:rPr>
          <w:rFonts w:ascii="宋体" w:hAnsi="宋体" w:cs="宋体"/>
          <w:color w:val="auto"/>
          <w:sz w:val="24"/>
          <w:highlight w:val="none"/>
        </w:rPr>
      </w:pPr>
    </w:p>
    <w:p w14:paraId="30BE6E2C">
      <w:pPr>
        <w:spacing w:line="360" w:lineRule="auto"/>
        <w:ind w:firstLine="482"/>
        <w:rPr>
          <w:rFonts w:ascii="宋体" w:hAnsi="宋体" w:cs="宋体"/>
          <w:b/>
          <w:bCs/>
          <w:color w:val="auto"/>
          <w:sz w:val="24"/>
          <w:highlight w:val="none"/>
        </w:rPr>
      </w:pPr>
    </w:p>
    <w:p w14:paraId="16CDA03F">
      <w:pPr>
        <w:pStyle w:val="5"/>
        <w:keepNext w:val="0"/>
        <w:keepLines w:val="0"/>
        <w:pageBreakBefore/>
        <w:spacing w:line="360" w:lineRule="auto"/>
        <w:rPr>
          <w:rFonts w:ascii="宋体" w:hAnsi="宋体" w:eastAsia="宋体" w:cs="宋体"/>
          <w:b w:val="0"/>
          <w:color w:val="auto"/>
          <w:sz w:val="24"/>
          <w:szCs w:val="24"/>
          <w:highlight w:val="none"/>
        </w:rPr>
      </w:pPr>
      <w:bookmarkStart w:id="35" w:name="_Toc20783"/>
      <w:r>
        <w:rPr>
          <w:rFonts w:hint="eastAsia" w:ascii="宋体" w:hAnsi="宋体" w:eastAsia="宋体" w:cs="宋体"/>
          <w:b w:val="0"/>
          <w:color w:val="auto"/>
          <w:sz w:val="24"/>
          <w:szCs w:val="24"/>
          <w:highlight w:val="none"/>
        </w:rPr>
        <w:t>附件一：投标声明书</w:t>
      </w:r>
      <w:bookmarkEnd w:id="35"/>
    </w:p>
    <w:p w14:paraId="0B649AB0">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6539B21C">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3B3611D7">
      <w:pPr>
        <w:snapToGrid w:val="0"/>
        <w:spacing w:before="156"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4F5096">
      <w:pPr>
        <w:snapToGrid w:val="0"/>
        <w:spacing w:before="156"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68BAD6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24302179">
      <w:pPr>
        <w:snapToGrid w:val="0"/>
        <w:spacing w:before="156"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0DDE94A1">
      <w:pPr>
        <w:snapToGrid w:val="0"/>
        <w:spacing w:before="156"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4AF7B193">
      <w:pPr>
        <w:snapToGrid w:val="0"/>
        <w:spacing w:before="156"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2391D62F">
      <w:pPr>
        <w:snapToGrid w:val="0"/>
        <w:spacing w:before="156"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1B5DD013">
      <w:pPr>
        <w:pStyle w:val="3"/>
        <w:snapToGrid w:val="0"/>
        <w:spacing w:line="276" w:lineRule="auto"/>
        <w:ind w:firstLine="464"/>
        <w:rPr>
          <w:rFonts w:hAnsi="宋体" w:cs="宋体"/>
          <w:color w:val="auto"/>
          <w:sz w:val="24"/>
          <w:highlight w:val="none"/>
        </w:rPr>
      </w:pPr>
      <w:r>
        <w:rPr>
          <w:rFonts w:hint="eastAsia" w:hAnsi="宋体" w:cs="宋体"/>
          <w:color w:val="auto"/>
          <w:sz w:val="24"/>
          <w:highlight w:val="none"/>
        </w:rPr>
        <w:t>4.我方及由本人担任法定代表人的其他机构最近三年内被通报或者被处罚的违法行为有：</w:t>
      </w:r>
    </w:p>
    <w:p w14:paraId="4579A1F3">
      <w:pPr>
        <w:snapToGrid w:val="0"/>
        <w:spacing w:before="156"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66283752">
      <w:pPr>
        <w:snapToGrid w:val="0"/>
        <w:spacing w:before="156"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4D22CB8C">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7BA7CFA4">
      <w:pPr>
        <w:pStyle w:val="22"/>
        <w:tabs>
          <w:tab w:val="left" w:pos="939"/>
        </w:tabs>
        <w:snapToGrid w:val="0"/>
        <w:spacing w:line="276" w:lineRule="auto"/>
        <w:ind w:left="773" w:leftChars="150" w:hanging="458" w:hangingChars="191"/>
        <w:rPr>
          <w:rFonts w:ascii="宋体" w:hAnsi="宋体" w:cs="宋体"/>
          <w:color w:val="auto"/>
          <w:sz w:val="24"/>
          <w:highlight w:val="none"/>
        </w:rPr>
      </w:pPr>
    </w:p>
    <w:p w14:paraId="122024DF">
      <w:pPr>
        <w:pStyle w:val="236"/>
        <w:snapToGrid w:val="0"/>
        <w:spacing w:before="156" w:beforeLines="50" w:line="276" w:lineRule="auto"/>
        <w:ind w:firstLine="480"/>
        <w:rPr>
          <w:rFonts w:ascii="宋体" w:hAnsi="宋体" w:cs="宋体"/>
          <w:color w:val="auto"/>
          <w:szCs w:val="24"/>
          <w:highlight w:val="none"/>
        </w:rPr>
      </w:pPr>
    </w:p>
    <w:p w14:paraId="5C441A05">
      <w:pPr>
        <w:snapToGrid w:val="0"/>
        <w:spacing w:before="156"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283EB1B0">
      <w:pPr>
        <w:snapToGrid w:val="0"/>
        <w:spacing w:before="156"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3FA4BE2">
      <w:pPr>
        <w:snapToGrid w:val="0"/>
        <w:spacing w:before="156"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41EBD9A4">
      <w:pPr>
        <w:snapToGrid w:val="0"/>
        <w:spacing w:before="156" w:beforeLines="50" w:after="50" w:line="276" w:lineRule="auto"/>
        <w:ind w:firstLine="6240" w:firstLineChars="2600"/>
        <w:rPr>
          <w:rFonts w:ascii="宋体" w:hAnsi="宋体" w:cs="宋体"/>
          <w:color w:val="auto"/>
          <w:sz w:val="24"/>
          <w:highlight w:val="none"/>
        </w:rPr>
      </w:pPr>
    </w:p>
    <w:p w14:paraId="68ED2838">
      <w:pPr>
        <w:snapToGrid w:val="0"/>
        <w:spacing w:before="156" w:beforeLines="50" w:after="50" w:line="276" w:lineRule="auto"/>
        <w:ind w:firstLine="6240" w:firstLineChars="2600"/>
        <w:rPr>
          <w:rFonts w:ascii="宋体" w:hAnsi="宋体" w:cs="宋体"/>
          <w:color w:val="auto"/>
          <w:sz w:val="24"/>
          <w:highlight w:val="none"/>
        </w:rPr>
      </w:pPr>
    </w:p>
    <w:p w14:paraId="6824095A">
      <w:pPr>
        <w:snapToGrid w:val="0"/>
        <w:spacing w:before="156" w:beforeLines="50" w:after="50" w:line="276" w:lineRule="auto"/>
        <w:rPr>
          <w:rFonts w:ascii="宋体" w:hAnsi="宋体" w:cs="宋体"/>
          <w:color w:val="auto"/>
          <w:sz w:val="24"/>
          <w:highlight w:val="none"/>
        </w:rPr>
      </w:pPr>
    </w:p>
    <w:p w14:paraId="44D18B85">
      <w:pPr>
        <w:pStyle w:val="5"/>
        <w:keepNext w:val="0"/>
        <w:keepLines w:val="0"/>
        <w:pageBreakBefore/>
        <w:spacing w:line="360" w:lineRule="auto"/>
        <w:rPr>
          <w:rFonts w:ascii="宋体" w:hAnsi="宋体" w:eastAsia="宋体" w:cs="宋体"/>
          <w:b w:val="0"/>
          <w:bCs w:val="0"/>
          <w:color w:val="auto"/>
          <w:sz w:val="24"/>
          <w:szCs w:val="24"/>
          <w:highlight w:val="none"/>
        </w:rPr>
      </w:pPr>
      <w:bookmarkStart w:id="36" w:name="_Toc24340"/>
      <w:bookmarkStart w:id="37" w:name="_Toc30843"/>
      <w:bookmarkStart w:id="38" w:name="_Toc12906"/>
      <w:bookmarkStart w:id="39" w:name="_Toc23315"/>
      <w:bookmarkStart w:id="40" w:name="_Toc10320"/>
      <w:r>
        <w:rPr>
          <w:rFonts w:hint="eastAsia" w:ascii="宋体" w:hAnsi="宋体" w:eastAsia="宋体" w:cs="宋体"/>
          <w:b w:val="0"/>
          <w:bCs w:val="0"/>
          <w:color w:val="auto"/>
          <w:sz w:val="24"/>
          <w:szCs w:val="24"/>
          <w:highlight w:val="none"/>
        </w:rPr>
        <w:t>附件二：</w:t>
      </w:r>
      <w:bookmarkEnd w:id="36"/>
      <w:bookmarkEnd w:id="37"/>
      <w:r>
        <w:rPr>
          <w:rFonts w:hint="eastAsia" w:ascii="宋体" w:hAnsi="宋体" w:eastAsia="宋体" w:cs="宋体"/>
          <w:b w:val="0"/>
          <w:bCs w:val="0"/>
          <w:color w:val="auto"/>
          <w:sz w:val="24"/>
          <w:szCs w:val="24"/>
          <w:highlight w:val="none"/>
        </w:rPr>
        <w:t>符合参加政府采购活动应当具备的一般条件的承诺函</w:t>
      </w:r>
      <w:bookmarkEnd w:id="38"/>
      <w:bookmarkEnd w:id="39"/>
    </w:p>
    <w:p w14:paraId="36598A41">
      <w:pPr>
        <w:pStyle w:val="39"/>
        <w:spacing w:beforeAutospacing="0" w:afterAutospacing="0" w:line="360" w:lineRule="auto"/>
        <w:ind w:firstLine="542"/>
        <w:jc w:val="center"/>
        <w:rPr>
          <w:rFonts w:cs="宋体"/>
          <w:color w:val="auto"/>
          <w:highlight w:val="none"/>
        </w:rPr>
      </w:pPr>
      <w:r>
        <w:rPr>
          <w:rFonts w:hint="eastAsia" w:cs="宋体"/>
          <w:b/>
          <w:bCs/>
          <w:color w:val="auto"/>
          <w:sz w:val="27"/>
          <w:szCs w:val="27"/>
          <w:highlight w:val="none"/>
        </w:rPr>
        <w:t>符合参加政府采购活动应当具备的一般条件的承诺函</w:t>
      </w:r>
    </w:p>
    <w:p w14:paraId="2AD2F9A8">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5F355FBA">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我方参与</w:t>
      </w:r>
      <w:r>
        <w:rPr>
          <w:rFonts w:hint="eastAsia" w:cs="宋体"/>
          <w:color w:val="auto"/>
          <w:highlight w:val="none"/>
          <w:u w:val="single"/>
        </w:rPr>
        <w:t xml:space="preserve">              </w:t>
      </w:r>
      <w:r>
        <w:rPr>
          <w:rFonts w:hint="eastAsia" w:cs="宋体"/>
          <w:color w:val="auto"/>
          <w:kern w:val="2"/>
          <w:highlight w:val="none"/>
        </w:rPr>
        <w:t>项目【项目编号：</w:t>
      </w:r>
      <w:r>
        <w:rPr>
          <w:rFonts w:hint="eastAsia" w:cs="宋体"/>
          <w:color w:val="auto"/>
          <w:highlight w:val="none"/>
          <w:u w:val="single"/>
        </w:rPr>
        <w:t xml:space="preserve">             </w:t>
      </w:r>
      <w:r>
        <w:rPr>
          <w:rFonts w:hint="eastAsia" w:cs="宋体"/>
          <w:color w:val="auto"/>
          <w:kern w:val="2"/>
          <w:highlight w:val="none"/>
        </w:rPr>
        <w:t>】政府采购活动，郑重承诺：</w:t>
      </w:r>
    </w:p>
    <w:p w14:paraId="77ACB155">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（一）具备《中华人民共和国政府采购法》第二十二条第一款规定的条件：</w:t>
      </w:r>
    </w:p>
    <w:p w14:paraId="1DEEEE5F">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1、具有独立承担民事责任的能力；</w:t>
      </w:r>
    </w:p>
    <w:p w14:paraId="630AAB7A">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 xml:space="preserve">2、具有良好的商业信誉和健全的财务会计制度； </w:t>
      </w:r>
    </w:p>
    <w:p w14:paraId="1BABF909">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3、具有履行合同所必需的设备和专业技术能力；</w:t>
      </w:r>
    </w:p>
    <w:p w14:paraId="7670474F">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4、有依法缴纳税收和社会保障资金的良好记录；</w:t>
      </w:r>
    </w:p>
    <w:p w14:paraId="5A6725F1">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5、参加政府采购活动前三年内，在经营活动中没有重大违法记录；</w:t>
      </w:r>
    </w:p>
    <w:p w14:paraId="428E051E">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6、具有法律、行政法规规定的其他条件。</w:t>
      </w:r>
    </w:p>
    <w:p w14:paraId="671460B1">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（二）未被信用中国（www.creditchina.gov.cn)、中国政府采购网（www.ccgp.gov.cn）列入失信被执行人、重大税收违法案件当事人名单、政府采购严重违法失信行为记录名单。</w:t>
      </w:r>
    </w:p>
    <w:p w14:paraId="252F6399">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（三）不存在以下情况：</w:t>
      </w:r>
    </w:p>
    <w:p w14:paraId="0EAEDC26">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1、单位负责人为同一人或者存在直接控股、管理关系的不同供应商参加同一合同项下的政府采购活动的；</w:t>
      </w:r>
    </w:p>
    <w:p w14:paraId="47DA47A8">
      <w:pPr>
        <w:pStyle w:val="39"/>
        <w:spacing w:before="0" w:beforeAutospacing="0" w:after="0" w:afterAutospacing="0" w:line="360" w:lineRule="auto"/>
        <w:ind w:left="480"/>
        <w:jc w:val="both"/>
        <w:rPr>
          <w:rFonts w:cs="宋体"/>
          <w:color w:val="auto"/>
          <w:kern w:val="2"/>
          <w:highlight w:val="none"/>
        </w:rPr>
      </w:pPr>
      <w:r>
        <w:rPr>
          <w:rFonts w:hint="eastAsia" w:cs="宋体"/>
          <w:color w:val="auto"/>
          <w:kern w:val="2"/>
          <w:highlight w:val="none"/>
        </w:rPr>
        <w:t>2、为采购项目提供整体设计、规范编制或者项目管理、监理、检测等服务后再参加该采购项目的其他采购活动的。</w:t>
      </w:r>
    </w:p>
    <w:p w14:paraId="32CA11CE">
      <w:pPr>
        <w:pStyle w:val="39"/>
        <w:spacing w:before="0" w:beforeAutospacing="0" w:after="0" w:afterAutospacing="0" w:line="360" w:lineRule="auto"/>
        <w:ind w:left="480"/>
        <w:jc w:val="both"/>
        <w:rPr>
          <w:rFonts w:cs="宋体"/>
          <w:color w:val="auto"/>
          <w:kern w:val="2"/>
          <w:highlight w:val="none"/>
        </w:rPr>
      </w:pPr>
    </w:p>
    <w:p w14:paraId="13CFEA0E">
      <w:pPr>
        <w:pStyle w:val="39"/>
        <w:spacing w:before="0" w:beforeAutospacing="0" w:after="0" w:afterAutospacing="0" w:line="360" w:lineRule="auto"/>
        <w:ind w:left="480"/>
        <w:jc w:val="both"/>
        <w:rPr>
          <w:rFonts w:cs="宋体"/>
          <w:color w:val="auto"/>
          <w:kern w:val="2"/>
          <w:highlight w:val="none"/>
        </w:rPr>
      </w:pPr>
    </w:p>
    <w:p w14:paraId="5BEC69E6">
      <w:pPr>
        <w:pStyle w:val="39"/>
        <w:spacing w:before="0" w:beforeAutospacing="0" w:after="0" w:afterAutospacing="0" w:line="360" w:lineRule="auto"/>
        <w:ind w:left="480"/>
        <w:jc w:val="both"/>
        <w:rPr>
          <w:rFonts w:cs="宋体"/>
          <w:color w:val="auto"/>
          <w:kern w:val="2"/>
          <w:highlight w:val="none"/>
        </w:rPr>
      </w:pPr>
    </w:p>
    <w:p w14:paraId="67EBDA8E">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4DB92E0">
      <w:pPr>
        <w:snapToGrid w:val="0"/>
        <w:spacing w:before="156" w:beforeLines="50"/>
        <w:ind w:firstLine="56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F0B7C88">
      <w:pPr>
        <w:rPr>
          <w:rFonts w:ascii="宋体" w:hAnsi="宋体" w:cs="宋体"/>
          <w:color w:val="auto"/>
          <w:sz w:val="24"/>
          <w:highlight w:val="none"/>
        </w:rPr>
      </w:pPr>
    </w:p>
    <w:p w14:paraId="7D41E8DA">
      <w:pPr>
        <w:pStyle w:val="5"/>
        <w:keepNext w:val="0"/>
        <w:keepLines w:val="0"/>
        <w:pageBreakBefore/>
        <w:spacing w:line="360" w:lineRule="auto"/>
        <w:rPr>
          <w:rFonts w:ascii="宋体" w:hAnsi="宋体" w:eastAsia="宋体" w:cs="宋体"/>
          <w:b w:val="0"/>
          <w:bCs w:val="0"/>
          <w:color w:val="auto"/>
          <w:sz w:val="24"/>
          <w:szCs w:val="24"/>
          <w:highlight w:val="none"/>
        </w:rPr>
      </w:pPr>
      <w:bookmarkStart w:id="41" w:name="_Toc18047"/>
      <w:r>
        <w:rPr>
          <w:rFonts w:hint="eastAsia" w:ascii="宋体" w:hAnsi="宋体" w:eastAsia="宋体" w:cs="宋体"/>
          <w:b w:val="0"/>
          <w:bCs w:val="0"/>
          <w:color w:val="auto"/>
          <w:sz w:val="24"/>
          <w:szCs w:val="24"/>
          <w:highlight w:val="none"/>
        </w:rPr>
        <w:t>附件三：政府采购活动现场确认声明书</w:t>
      </w:r>
      <w:bookmarkEnd w:id="40"/>
      <w:bookmarkEnd w:id="41"/>
    </w:p>
    <w:p w14:paraId="485C2152">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0576CD39">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金华正达工程造价咨询有限公司 :</w:t>
      </w:r>
    </w:p>
    <w:p w14:paraId="1F38D293">
      <w:pPr>
        <w:snapToGrid w:val="0"/>
        <w:spacing w:before="156"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114E5E2C">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34327142">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753534DD">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59CBDA85">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361D1305">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7EBFF04C">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762C46BB">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64DC0B37">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61812A29">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5A5659C6">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2E65808A">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114DAF73">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0FA48B48">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7A5C494D">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0D065663">
      <w:pPr>
        <w:snapToGrid w:val="0"/>
        <w:spacing w:before="156" w:beforeLines="50" w:after="50" w:line="276" w:lineRule="auto"/>
        <w:rPr>
          <w:rFonts w:ascii="宋体" w:hAnsi="宋体" w:cs="宋体"/>
          <w:color w:val="auto"/>
          <w:sz w:val="24"/>
          <w:highlight w:val="none"/>
        </w:rPr>
      </w:pPr>
    </w:p>
    <w:p w14:paraId="000E8DB3">
      <w:pPr>
        <w:snapToGrid w:val="0"/>
        <w:spacing w:before="156"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0EEF1218">
      <w:pPr>
        <w:snapToGrid w:val="0"/>
        <w:spacing w:before="156"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4DCE910A">
      <w:pPr>
        <w:pStyle w:val="5"/>
        <w:keepNext w:val="0"/>
        <w:keepLines w:val="0"/>
        <w:pageBreakBefore/>
        <w:spacing w:line="276" w:lineRule="auto"/>
        <w:rPr>
          <w:rFonts w:ascii="宋体" w:hAnsi="宋体" w:eastAsia="宋体" w:cs="宋体"/>
          <w:b w:val="0"/>
          <w:color w:val="auto"/>
          <w:sz w:val="24"/>
          <w:szCs w:val="24"/>
          <w:highlight w:val="none"/>
        </w:rPr>
      </w:pPr>
      <w:bookmarkStart w:id="42" w:name="_Toc2718"/>
      <w:r>
        <w:rPr>
          <w:rFonts w:hint="eastAsia" w:ascii="宋体" w:hAnsi="宋体" w:eastAsia="宋体" w:cs="宋体"/>
          <w:b w:val="0"/>
          <w:color w:val="auto"/>
          <w:sz w:val="24"/>
          <w:szCs w:val="24"/>
          <w:highlight w:val="none"/>
        </w:rPr>
        <w:t>附件四：法定代表人授权委托书</w:t>
      </w:r>
      <w:bookmarkEnd w:id="42"/>
    </w:p>
    <w:p w14:paraId="5F4EABFD">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08868DB7">
      <w:pPr>
        <w:snapToGrid w:val="0"/>
        <w:spacing w:before="156"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29B5918">
      <w:pPr>
        <w:snapToGrid w:val="0"/>
        <w:spacing w:before="156"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东阳市南市街道办事处食堂劳务及物资配送服务项目</w:t>
      </w:r>
      <w:r>
        <w:rPr>
          <w:rFonts w:hint="eastAsia" w:ascii="宋体" w:hAnsi="宋体" w:cs="宋体"/>
          <w:color w:val="auto"/>
          <w:sz w:val="24"/>
          <w:highlight w:val="none"/>
        </w:rPr>
        <w:t>的投标活动，并代表我方全权办理针对上述项目的投标、开标、评标、签约等具体事务和签署相关文件。</w:t>
      </w:r>
    </w:p>
    <w:p w14:paraId="35E004CA">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15BED64D">
      <w:pPr>
        <w:snapToGrid w:val="0"/>
        <w:spacing w:before="156"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43AA89B8">
      <w:pPr>
        <w:snapToGrid w:val="0"/>
        <w:spacing w:before="156"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5B1EF13">
      <w:pPr>
        <w:snapToGrid w:val="0"/>
        <w:spacing w:before="156"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5AA67562">
      <w:pPr>
        <w:snapToGrid w:val="0"/>
        <w:spacing w:before="156"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4CFB4EC0">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45"/>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694330F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53EFFED7">
            <w:pPr>
              <w:snapToGrid w:val="0"/>
              <w:spacing w:before="156" w:beforeLines="50" w:after="50" w:line="276" w:lineRule="auto"/>
              <w:rPr>
                <w:rFonts w:ascii="宋体" w:hAnsi="宋体" w:cs="宋体"/>
                <w:color w:val="auto"/>
                <w:sz w:val="24"/>
                <w:highlight w:val="none"/>
              </w:rPr>
            </w:pPr>
          </w:p>
          <w:p w14:paraId="08C2EC36">
            <w:pPr>
              <w:snapToGrid w:val="0"/>
              <w:spacing w:before="156" w:beforeLines="50" w:after="50" w:line="276" w:lineRule="auto"/>
              <w:rPr>
                <w:rFonts w:ascii="宋体" w:hAnsi="宋体" w:cs="宋体"/>
                <w:color w:val="auto"/>
                <w:sz w:val="24"/>
                <w:highlight w:val="none"/>
              </w:rPr>
            </w:pPr>
          </w:p>
          <w:p w14:paraId="1C59EB8F">
            <w:pPr>
              <w:snapToGrid w:val="0"/>
              <w:spacing w:before="156" w:beforeLines="50" w:after="50" w:line="276" w:lineRule="auto"/>
              <w:rPr>
                <w:rFonts w:ascii="宋体" w:hAnsi="宋体" w:cs="宋体"/>
                <w:color w:val="auto"/>
                <w:sz w:val="24"/>
                <w:highlight w:val="none"/>
              </w:rPr>
            </w:pPr>
          </w:p>
          <w:p w14:paraId="279925C6">
            <w:pPr>
              <w:snapToGrid w:val="0"/>
              <w:spacing w:before="156"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2E473272">
            <w:pPr>
              <w:snapToGrid w:val="0"/>
              <w:spacing w:before="156" w:beforeLines="50" w:after="50" w:line="276" w:lineRule="auto"/>
              <w:jc w:val="center"/>
              <w:rPr>
                <w:rFonts w:ascii="宋体" w:hAnsi="宋体" w:cs="宋体"/>
                <w:color w:val="auto"/>
                <w:sz w:val="24"/>
                <w:highlight w:val="none"/>
              </w:rPr>
            </w:pPr>
          </w:p>
          <w:p w14:paraId="1EE1613B">
            <w:pPr>
              <w:snapToGrid w:val="0"/>
              <w:spacing w:before="156"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55C4FF57">
            <w:pPr>
              <w:snapToGrid w:val="0"/>
              <w:spacing w:before="156" w:beforeLines="50" w:after="50" w:line="276" w:lineRule="auto"/>
              <w:jc w:val="center"/>
              <w:rPr>
                <w:rFonts w:ascii="宋体" w:hAnsi="宋体" w:cs="宋体"/>
                <w:color w:val="auto"/>
                <w:sz w:val="24"/>
                <w:highlight w:val="none"/>
              </w:rPr>
            </w:pPr>
          </w:p>
          <w:p w14:paraId="4C95F605">
            <w:pPr>
              <w:snapToGrid w:val="0"/>
              <w:spacing w:before="156"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0900E79B">
      <w:pPr>
        <w:snapToGrid w:val="0"/>
        <w:spacing w:before="156" w:beforeLines="50" w:after="50" w:line="276" w:lineRule="auto"/>
        <w:rPr>
          <w:rFonts w:ascii="宋体" w:hAnsi="宋体" w:cs="宋体"/>
          <w:color w:val="auto"/>
          <w:sz w:val="24"/>
          <w:highlight w:val="none"/>
        </w:rPr>
      </w:pPr>
    </w:p>
    <w:p w14:paraId="3DFFE46C">
      <w:pPr>
        <w:snapToGrid w:val="0"/>
        <w:spacing w:before="156" w:beforeLines="50" w:after="50" w:line="276" w:lineRule="auto"/>
        <w:rPr>
          <w:rFonts w:ascii="宋体" w:hAnsi="宋体" w:cs="宋体"/>
          <w:color w:val="auto"/>
          <w:sz w:val="24"/>
          <w:highlight w:val="none"/>
        </w:rPr>
      </w:pPr>
    </w:p>
    <w:p w14:paraId="77CDF38F">
      <w:pPr>
        <w:snapToGrid w:val="0"/>
        <w:spacing w:before="156" w:beforeLines="50" w:after="50" w:line="276" w:lineRule="auto"/>
        <w:rPr>
          <w:rFonts w:ascii="宋体" w:hAnsi="宋体" w:cs="宋体"/>
          <w:color w:val="auto"/>
          <w:sz w:val="24"/>
          <w:highlight w:val="none"/>
        </w:rPr>
      </w:pPr>
    </w:p>
    <w:p w14:paraId="5987D253">
      <w:pPr>
        <w:snapToGrid w:val="0"/>
        <w:spacing w:before="156" w:beforeLines="50" w:after="50" w:line="276" w:lineRule="auto"/>
        <w:rPr>
          <w:rFonts w:ascii="宋体" w:hAnsi="宋体" w:cs="宋体"/>
          <w:color w:val="auto"/>
          <w:sz w:val="24"/>
          <w:highlight w:val="none"/>
        </w:rPr>
      </w:pPr>
    </w:p>
    <w:p w14:paraId="3A92CAE5">
      <w:pPr>
        <w:snapToGrid w:val="0"/>
        <w:spacing w:before="156" w:beforeLines="50" w:after="50" w:line="276" w:lineRule="auto"/>
        <w:rPr>
          <w:rFonts w:ascii="宋体" w:hAnsi="宋体" w:cs="宋体"/>
          <w:color w:val="auto"/>
          <w:sz w:val="24"/>
          <w:highlight w:val="none"/>
        </w:rPr>
      </w:pPr>
    </w:p>
    <w:p w14:paraId="5B642C26">
      <w:pPr>
        <w:snapToGrid w:val="0"/>
        <w:spacing w:before="156" w:beforeLines="50" w:after="50" w:line="276" w:lineRule="auto"/>
        <w:rPr>
          <w:rFonts w:ascii="宋体" w:hAnsi="宋体" w:cs="宋体"/>
          <w:color w:val="auto"/>
          <w:sz w:val="24"/>
          <w:highlight w:val="none"/>
        </w:rPr>
      </w:pPr>
    </w:p>
    <w:p w14:paraId="32ADDFBD">
      <w:pPr>
        <w:snapToGrid w:val="0"/>
        <w:spacing w:before="156" w:beforeLines="50" w:after="50" w:line="276" w:lineRule="auto"/>
        <w:rPr>
          <w:rFonts w:ascii="宋体" w:hAnsi="宋体" w:cs="宋体"/>
          <w:color w:val="auto"/>
          <w:sz w:val="24"/>
          <w:highlight w:val="none"/>
        </w:rPr>
      </w:pPr>
    </w:p>
    <w:p w14:paraId="2C159E4D">
      <w:pPr>
        <w:snapToGrid w:val="0"/>
        <w:spacing w:before="156" w:beforeLines="50" w:after="50" w:line="276" w:lineRule="auto"/>
        <w:rPr>
          <w:rFonts w:ascii="宋体" w:hAnsi="宋体" w:cs="宋体"/>
          <w:color w:val="auto"/>
          <w:sz w:val="24"/>
          <w:highlight w:val="none"/>
        </w:rPr>
      </w:pPr>
    </w:p>
    <w:p w14:paraId="3C062020">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F098F3A">
      <w:pPr>
        <w:snapToGrid w:val="0"/>
        <w:spacing w:before="156" w:beforeLines="50" w:after="50" w:line="276" w:lineRule="auto"/>
        <w:rPr>
          <w:rFonts w:ascii="宋体" w:hAnsi="宋体" w:cs="宋体"/>
          <w:color w:val="auto"/>
          <w:sz w:val="24"/>
          <w:highlight w:val="none"/>
        </w:rPr>
      </w:pPr>
    </w:p>
    <w:p w14:paraId="0CEBCF70">
      <w:pPr>
        <w:snapToGrid w:val="0"/>
        <w:spacing w:before="156"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0B16B6DF">
      <w:pPr>
        <w:snapToGrid w:val="0"/>
        <w:spacing w:before="156"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2DA4D7F9">
      <w:pPr>
        <w:snapToGrid w:val="0"/>
        <w:spacing w:before="156"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t>▲注；此表格格式不得修改。</w:t>
      </w:r>
    </w:p>
    <w:p w14:paraId="498542B6">
      <w:pPr>
        <w:pStyle w:val="5"/>
        <w:keepNext w:val="0"/>
        <w:keepLines w:val="0"/>
        <w:pageBreakBefore/>
        <w:spacing w:line="276" w:lineRule="auto"/>
        <w:rPr>
          <w:rFonts w:ascii="宋体" w:hAnsi="宋体" w:eastAsia="宋体" w:cs="宋体"/>
          <w:b w:val="0"/>
          <w:color w:val="auto"/>
          <w:sz w:val="24"/>
          <w:szCs w:val="24"/>
          <w:highlight w:val="none"/>
        </w:rPr>
      </w:pPr>
      <w:bookmarkStart w:id="43" w:name="_Toc1563"/>
      <w:r>
        <w:rPr>
          <w:rFonts w:hint="eastAsia" w:ascii="宋体" w:hAnsi="宋体" w:eastAsia="宋体" w:cs="宋体"/>
          <w:b w:val="0"/>
          <w:color w:val="auto"/>
          <w:sz w:val="24"/>
          <w:szCs w:val="24"/>
          <w:highlight w:val="none"/>
        </w:rPr>
        <w:t>附件五：联合体协议</w:t>
      </w:r>
      <w:bookmarkEnd w:id="43"/>
    </w:p>
    <w:p w14:paraId="3B6A3FA9">
      <w:pPr>
        <w:widowControl/>
        <w:spacing w:line="360" w:lineRule="auto"/>
        <w:ind w:firstLine="640"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联合体协议书</w:t>
      </w:r>
    </w:p>
    <w:p w14:paraId="3F7B85F7">
      <w:pPr>
        <w:widowControl/>
        <w:spacing w:line="360" w:lineRule="auto"/>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D7626B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7B7E569">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4883F2D">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0EFBCE16">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；（联合体其中一方成员名称）承担的工作和义务为：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p>
    <w:p w14:paraId="45759ECC">
      <w:pPr>
        <w:snapToGrid w:val="0"/>
        <w:spacing w:line="360" w:lineRule="auto"/>
        <w:ind w:firstLine="482"/>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四、</w:t>
      </w:r>
      <w:r>
        <w:rPr>
          <w:rFonts w:hint="eastAsia" w:ascii="宋体" w:hAnsi="宋体" w:cs="宋体"/>
          <w:b/>
          <w:bCs/>
          <w:color w:val="auto"/>
          <w:kern w:val="0"/>
          <w:sz w:val="24"/>
          <w:highlight w:val="none"/>
        </w:rPr>
        <w:t>中小企业合同金额达到</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zh-CN"/>
        </w:rPr>
        <w:t>。</w:t>
      </w:r>
    </w:p>
    <w:p w14:paraId="2C64B961">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1D9B3CB">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3E24F5">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58A6620">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AA153CD">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6D49E03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578D64">
      <w:pPr>
        <w:snapToGrid w:val="0"/>
        <w:spacing w:line="360" w:lineRule="auto"/>
        <w:ind w:firstLine="5760" w:firstLineChars="2400"/>
        <w:rPr>
          <w:rFonts w:ascii="宋体" w:hAnsi="宋体" w:cs="宋体"/>
          <w:color w:val="auto"/>
          <w:sz w:val="24"/>
          <w:highlight w:val="none"/>
        </w:rPr>
      </w:pPr>
      <w:r>
        <w:rPr>
          <w:rFonts w:hint="eastAsia" w:ascii="宋体" w:hAnsi="宋体" w:cs="宋体"/>
          <w:color w:val="auto"/>
          <w:kern w:val="0"/>
          <w:sz w:val="24"/>
          <w:highlight w:val="none"/>
          <w:lang w:val="zh-CN"/>
        </w:rPr>
        <w:t>……</w:t>
      </w:r>
    </w:p>
    <w:p w14:paraId="62A99292">
      <w:pPr>
        <w:snapToGrid w:val="0"/>
        <w:spacing w:before="156" w:beforeLines="50" w:after="50" w:line="276" w:lineRule="auto"/>
        <w:ind w:firstLine="720" w:firstLineChars="300"/>
        <w:rPr>
          <w:rFonts w:ascii="宋体" w:hAnsi="宋体" w:cs="宋体"/>
          <w:color w:val="auto"/>
          <w:sz w:val="24"/>
          <w:highlight w:val="none"/>
        </w:rPr>
      </w:pPr>
      <w:r>
        <w:rPr>
          <w:rFonts w:hint="eastAsia" w:ascii="宋体" w:hAnsi="宋体" w:cs="宋体"/>
          <w:color w:val="auto"/>
          <w:kern w:val="0"/>
          <w:sz w:val="24"/>
          <w:highlight w:val="none"/>
          <w:lang w:val="zh-CN"/>
        </w:rPr>
        <w:t xml:space="preserve">                                               日期：  年  月   日</w:t>
      </w:r>
    </w:p>
    <w:p w14:paraId="0B3542A3">
      <w:pPr>
        <w:pStyle w:val="5"/>
        <w:keepNext w:val="0"/>
        <w:keepLines w:val="0"/>
        <w:pageBreakBefore/>
        <w:spacing w:line="276" w:lineRule="auto"/>
        <w:rPr>
          <w:rFonts w:ascii="宋体" w:hAnsi="宋体" w:eastAsia="宋体" w:cs="宋体"/>
          <w:b w:val="0"/>
          <w:color w:val="auto"/>
          <w:sz w:val="24"/>
          <w:szCs w:val="24"/>
          <w:highlight w:val="none"/>
        </w:rPr>
      </w:pPr>
      <w:bookmarkStart w:id="44" w:name="_Toc8524"/>
      <w:r>
        <w:rPr>
          <w:rFonts w:hint="eastAsia" w:ascii="宋体" w:hAnsi="宋体" w:eastAsia="宋体" w:cs="宋体"/>
          <w:b w:val="0"/>
          <w:color w:val="auto"/>
          <w:sz w:val="24"/>
          <w:szCs w:val="24"/>
          <w:highlight w:val="none"/>
        </w:rPr>
        <w:t>附件六：分包意向协议</w:t>
      </w:r>
      <w:bookmarkEnd w:id="44"/>
    </w:p>
    <w:p w14:paraId="7AFFC5BB">
      <w:pPr>
        <w:snapToGrid w:val="0"/>
        <w:spacing w:line="360" w:lineRule="auto"/>
        <w:ind w:firstLine="3840"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26757CC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中标后以分包方式履行合同的，提供分包意向协议；投标人中标后不以分包方式履行合同的，则不需要提供。</w:t>
      </w:r>
      <w:r>
        <w:rPr>
          <w:rFonts w:hint="eastAsia" w:ascii="宋体" w:hAnsi="宋体" w:cs="宋体"/>
          <w:color w:val="auto"/>
          <w:sz w:val="24"/>
          <w:highlight w:val="none"/>
        </w:rPr>
        <w:t>）</w:t>
      </w:r>
    </w:p>
    <w:p w14:paraId="01698FFF">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D607D9">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28F7B13">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0969338">
      <w:pPr>
        <w:snapToGrid w:val="0"/>
        <w:spacing w:line="360" w:lineRule="auto"/>
        <w:ind w:firstLine="480"/>
        <w:rPr>
          <w:rFonts w:ascii="宋体" w:hAnsi="宋体" w:cs="宋体"/>
          <w:color w:val="auto"/>
          <w:highlight w:val="none"/>
        </w:rPr>
      </w:pPr>
      <w:r>
        <w:rPr>
          <w:rFonts w:hint="eastAsia" w:ascii="宋体" w:hAnsi="宋体" w:cs="宋体"/>
          <w:color w:val="auto"/>
          <w:kern w:val="0"/>
          <w:sz w:val="24"/>
          <w:highlight w:val="none"/>
        </w:rPr>
        <w:t>……</w:t>
      </w:r>
    </w:p>
    <w:p w14:paraId="5449D8F4">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459907C2">
      <w:pPr>
        <w:snapToGrid w:val="0"/>
        <w:spacing w:line="360" w:lineRule="auto"/>
        <w:rPr>
          <w:rFonts w:ascii="宋体" w:hAnsi="宋体" w:cs="宋体"/>
          <w:color w:val="auto"/>
          <w:highlight w:val="none"/>
          <w:u w:val="single"/>
        </w:rPr>
      </w:pPr>
      <w:r>
        <w:rPr>
          <w:rFonts w:hint="eastAsia" w:ascii="宋体" w:hAnsi="宋体" w:cs="宋体"/>
          <w:color w:val="auto"/>
          <w:highlight w:val="none"/>
          <w:u w:val="single"/>
        </w:rPr>
        <w:t xml:space="preserve">                                                                             </w:t>
      </w:r>
    </w:p>
    <w:p w14:paraId="308959C1">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6114FBF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FE7B9D">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64FE436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989D8C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r>
        <w:rPr>
          <w:rFonts w:hint="eastAsia" w:ascii="宋体" w:hAnsi="宋体" w:cs="宋体"/>
          <w:color w:val="auto"/>
          <w:highlight w:val="none"/>
          <w:u w:val="single"/>
        </w:rPr>
        <w:t xml:space="preserve">                                                                            </w:t>
      </w:r>
    </w:p>
    <w:p w14:paraId="58D9501C">
      <w:pPr>
        <w:snapToGrid w:val="0"/>
        <w:spacing w:line="360" w:lineRule="auto"/>
        <w:ind w:firstLine="480"/>
        <w:rPr>
          <w:rFonts w:ascii="宋体" w:hAnsi="宋体" w:cs="宋体"/>
          <w:color w:val="auto"/>
          <w:kern w:val="0"/>
          <w:sz w:val="24"/>
          <w:highlight w:val="none"/>
          <w:lang w:val="zh-CN"/>
        </w:rPr>
      </w:pPr>
    </w:p>
    <w:p w14:paraId="23630982">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r>
        <w:rPr>
          <w:rFonts w:hint="eastAsia" w:ascii="宋体" w:hAnsi="宋体" w:cs="宋体"/>
          <w:color w:val="auto"/>
          <w:highlight w:val="none"/>
          <w:u w:val="single"/>
        </w:rPr>
        <w:t xml:space="preserve">                                                                              </w:t>
      </w:r>
    </w:p>
    <w:p w14:paraId="01370D44">
      <w:pPr>
        <w:snapToGrid w:val="0"/>
        <w:spacing w:line="360" w:lineRule="auto"/>
        <w:rPr>
          <w:rFonts w:ascii="宋体" w:hAnsi="宋体" w:cs="宋体"/>
          <w:color w:val="auto"/>
          <w:kern w:val="0"/>
          <w:sz w:val="24"/>
          <w:highlight w:val="none"/>
          <w:lang w:val="zh-CN"/>
        </w:rPr>
      </w:pPr>
    </w:p>
    <w:p w14:paraId="48C879A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4DB79910">
      <w:pPr>
        <w:snapToGrid w:val="0"/>
        <w:spacing w:line="360" w:lineRule="auto"/>
        <w:ind w:firstLine="480"/>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中小企业合同金额达到</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w:t>
      </w:r>
    </w:p>
    <w:p w14:paraId="07E466E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B94ACE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投标人名称(签名)：</w:t>
      </w:r>
    </w:p>
    <w:p w14:paraId="4A235EFE">
      <w:pPr>
        <w:snapToGrid w:val="0"/>
        <w:spacing w:line="360" w:lineRule="auto"/>
        <w:ind w:firstLine="5640" w:firstLineChars="2350"/>
        <w:rPr>
          <w:color w:val="auto"/>
          <w:highlight w:val="none"/>
        </w:rPr>
      </w:pPr>
      <w:r>
        <w:rPr>
          <w:rFonts w:hint="eastAsia" w:ascii="宋体" w:hAnsi="宋体" w:cs="宋体"/>
          <w:color w:val="auto"/>
          <w:kern w:val="0"/>
          <w:sz w:val="24"/>
          <w:highlight w:val="none"/>
          <w:lang w:val="zh-CN"/>
        </w:rPr>
        <w:t>分包供应商名称：</w:t>
      </w:r>
    </w:p>
    <w:p w14:paraId="7F9A2807">
      <w:pPr>
        <w:snapToGrid w:val="0"/>
        <w:spacing w:line="360" w:lineRule="auto"/>
        <w:rPr>
          <w:rFonts w:ascii="宋体" w:hAnsi="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cs="宋体"/>
          <w:color w:val="auto"/>
          <w:kern w:val="0"/>
          <w:sz w:val="24"/>
          <w:highlight w:val="none"/>
          <w:lang w:val="zh-CN"/>
        </w:rPr>
        <w:t xml:space="preserve"> 日期：  年  月   日</w:t>
      </w:r>
    </w:p>
    <w:p w14:paraId="23D3E59B">
      <w:pPr>
        <w:pageBreakBefore/>
        <w:spacing w:before="260" w:after="260" w:line="415" w:lineRule="auto"/>
        <w:outlineLvl w:val="1"/>
        <w:rPr>
          <w:rFonts w:ascii="宋体" w:hAnsi="宋体" w:cs="宋体"/>
          <w:bCs/>
          <w:color w:val="auto"/>
          <w:sz w:val="24"/>
          <w:highlight w:val="none"/>
        </w:rPr>
      </w:pPr>
      <w:bookmarkStart w:id="45" w:name="_Toc14124"/>
      <w:r>
        <w:rPr>
          <w:rFonts w:hint="eastAsia" w:ascii="宋体" w:hAnsi="宋体" w:cs="宋体"/>
          <w:color w:val="auto"/>
          <w:sz w:val="24"/>
          <w:highlight w:val="none"/>
        </w:rPr>
        <w:t>附件七：</w:t>
      </w:r>
      <w:bookmarkEnd w:id="45"/>
      <w:r>
        <w:rPr>
          <w:rFonts w:hint="eastAsia" w:ascii="宋体" w:hAnsi="宋体" w:cs="宋体"/>
          <w:bCs/>
          <w:color w:val="auto"/>
          <w:sz w:val="24"/>
          <w:highlight w:val="none"/>
        </w:rPr>
        <w:t>中小企业声明函（工程、服务）</w:t>
      </w:r>
    </w:p>
    <w:p w14:paraId="17C2CD75">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中小企业声明函（工程、服务）</w:t>
      </w:r>
    </w:p>
    <w:p w14:paraId="12DC9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ECBD3A8">
      <w:pPr>
        <w:numPr>
          <w:ilvl w:val="0"/>
          <w:numId w:val="6"/>
        </w:numPr>
        <w:spacing w:line="360" w:lineRule="auto"/>
        <w:ind w:firstLine="480" w:firstLineChars="200"/>
        <w:rPr>
          <w:rFonts w:ascii="宋体" w:hAnsi="宋体" w:cs="宋体"/>
          <w:b/>
          <w:bCs/>
          <w:color w:val="auto"/>
          <w:sz w:val="24"/>
          <w:szCs w:val="32"/>
          <w:highlight w:val="none"/>
          <w:u w:val="single"/>
        </w:rPr>
      </w:pP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仿宋_GB2312"/>
          <w:color w:val="auto"/>
          <w:sz w:val="24"/>
          <w:highlight w:val="none"/>
          <w:u w:val="single"/>
        </w:rPr>
        <w:t xml:space="preserve">   （</w:t>
      </w:r>
      <w:r>
        <w:rPr>
          <w:rFonts w:hint="eastAsia" w:ascii="宋体" w:hAnsi="宋体" w:cs="宋体"/>
          <w:color w:val="auto"/>
          <w:sz w:val="24"/>
          <w:highlight w:val="none"/>
          <w:u w:val="single"/>
        </w:rPr>
        <w:t>划分标准所属行业</w:t>
      </w:r>
      <w:r>
        <w:rPr>
          <w:rFonts w:hint="eastAsia" w:ascii="宋体" w:hAnsi="宋体" w:cs="仿宋_GB2312"/>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p>
    <w:p w14:paraId="1DEF5A61">
      <w:pPr>
        <w:spacing w:line="360" w:lineRule="auto"/>
        <w:ind w:firstLine="482"/>
        <w:rPr>
          <w:rFonts w:ascii="宋体" w:hAnsi="宋体" w:cs="宋体"/>
          <w:color w:val="auto"/>
          <w:sz w:val="24"/>
          <w:szCs w:val="32"/>
          <w:highlight w:val="none"/>
        </w:rPr>
      </w:pP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61296402">
      <w:pPr>
        <w:numPr>
          <w:ilvl w:val="0"/>
          <w:numId w:val="6"/>
        </w:num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仿宋_GB2312"/>
          <w:color w:val="auto"/>
          <w:sz w:val="24"/>
          <w:highlight w:val="none"/>
          <w:u w:val="single"/>
        </w:rPr>
        <w:t xml:space="preserve">     （</w:t>
      </w:r>
      <w:r>
        <w:rPr>
          <w:rFonts w:hint="eastAsia" w:ascii="宋体" w:hAnsi="宋体" w:cs="宋体"/>
          <w:color w:val="auto"/>
          <w:sz w:val="24"/>
          <w:highlight w:val="none"/>
          <w:u w:val="single"/>
        </w:rPr>
        <w:t>划分标准所属行业</w:t>
      </w:r>
      <w:r>
        <w:rPr>
          <w:rFonts w:hint="eastAsia" w:ascii="宋体" w:hAnsi="宋体" w:cs="仿宋_GB2312"/>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p>
    <w:p w14:paraId="79488D9C">
      <w:pPr>
        <w:spacing w:line="360" w:lineRule="auto"/>
        <w:ind w:firstLine="482"/>
        <w:rPr>
          <w:rFonts w:ascii="宋体" w:hAnsi="宋体" w:cs="宋体"/>
          <w:color w:val="auto"/>
          <w:sz w:val="24"/>
          <w:szCs w:val="32"/>
          <w:highlight w:val="none"/>
        </w:rPr>
      </w:pP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668C75E7">
      <w:pPr>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033EB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3D2FE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FC7CF3E">
      <w:pPr>
        <w:spacing w:line="360" w:lineRule="auto"/>
        <w:rPr>
          <w:rFonts w:ascii="宋体" w:hAnsi="宋体" w:cs="宋体"/>
          <w:color w:val="auto"/>
          <w:sz w:val="24"/>
          <w:highlight w:val="none"/>
        </w:rPr>
      </w:pPr>
    </w:p>
    <w:p w14:paraId="3E049FAA">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企业名称（盖章）：</w:t>
      </w:r>
    </w:p>
    <w:p w14:paraId="1E3AE46A">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日期：</w:t>
      </w:r>
    </w:p>
    <w:p w14:paraId="3460C304">
      <w:pPr>
        <w:spacing w:line="360" w:lineRule="auto"/>
        <w:rPr>
          <w:rFonts w:ascii="宋体" w:hAnsi="宋体" w:cs="宋体"/>
          <w:b/>
          <w:bCs/>
          <w:color w:val="auto"/>
          <w:sz w:val="24"/>
          <w:highlight w:val="none"/>
        </w:rPr>
      </w:pPr>
    </w:p>
    <w:p w14:paraId="04046DAF">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备注：</w:t>
      </w:r>
    </w:p>
    <w:p w14:paraId="20A79CDE">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14:paraId="2CD43389">
      <w:pPr>
        <w:ind w:firstLine="360" w:firstLineChars="15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kern w:val="0"/>
          <w:sz w:val="24"/>
        </w:rPr>
        <w:t>新成立企业（无上一年数据的企业）应参照国务院批准的中小企业划分标准，根据企业自身情况如实判断并填写中小企业申明函。认为本企业属于中小企业的，可按照《办法》的规定出具《中小企业声明函》，享受相关扶持政策。</w:t>
      </w:r>
      <w:r>
        <w:rPr>
          <w:rFonts w:hint="eastAsia" w:ascii="宋体" w:hAnsi="宋体" w:cs="宋体"/>
          <w:b/>
          <w:bCs/>
          <w:color w:val="auto"/>
          <w:sz w:val="24"/>
          <w:highlight w:val="none"/>
          <w:lang w:val="en-US" w:eastAsia="zh-CN"/>
        </w:rPr>
        <w:br w:type="textWrapping"/>
      </w:r>
      <w:r>
        <w:rPr>
          <w:rFonts w:hint="default" w:ascii="宋体" w:hAnsi="宋体" w:cs="宋体"/>
          <w:b/>
          <w:bCs/>
          <w:color w:val="auto"/>
          <w:sz w:val="24"/>
          <w:highlight w:val="none"/>
          <w:lang w:val="en-US" w:eastAsia="zh-CN"/>
        </w:rPr>
        <w:t xml:space="preserve">  3</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本声明函将随中标结果同时公告，接受社会监督。</w:t>
      </w:r>
    </w:p>
    <w:p w14:paraId="6F157E9B">
      <w:pPr>
        <w:rPr>
          <w:rFonts w:ascii="宋体" w:hAnsi="宋体" w:cs="宋体"/>
          <w:color w:val="auto"/>
          <w:sz w:val="24"/>
          <w:highlight w:val="none"/>
        </w:rPr>
      </w:pPr>
    </w:p>
    <w:p w14:paraId="3A06D5C2">
      <w:pPr>
        <w:snapToGrid w:val="0"/>
        <w:spacing w:before="50" w:after="156" w:afterLines="50"/>
        <w:jc w:val="left"/>
        <w:rPr>
          <w:rFonts w:ascii="宋体" w:hAnsi="宋体" w:cs="宋体"/>
          <w:color w:val="auto"/>
          <w:sz w:val="24"/>
          <w:highlight w:val="none"/>
        </w:rPr>
      </w:pPr>
      <w:bookmarkStart w:id="46" w:name="_Toc19938"/>
    </w:p>
    <w:p w14:paraId="6EA12078">
      <w:pPr>
        <w:snapToGrid w:val="0"/>
        <w:spacing w:before="50" w:after="156" w:afterLines="50"/>
        <w:jc w:val="left"/>
        <w:rPr>
          <w:rFonts w:ascii="宋体" w:hAnsi="宋体" w:cs="宋体"/>
          <w:color w:val="auto"/>
          <w:sz w:val="24"/>
          <w:highlight w:val="none"/>
        </w:rPr>
      </w:pPr>
    </w:p>
    <w:p w14:paraId="1908C80F">
      <w:pPr>
        <w:snapToGrid w:val="0"/>
        <w:spacing w:before="50" w:after="156" w:afterLines="50"/>
        <w:jc w:val="left"/>
        <w:rPr>
          <w:rFonts w:ascii="宋体" w:hAnsi="宋体" w:cs="宋体"/>
          <w:color w:val="auto"/>
          <w:sz w:val="24"/>
          <w:highlight w:val="none"/>
        </w:rPr>
      </w:pPr>
    </w:p>
    <w:p w14:paraId="0498FDF2">
      <w:pPr>
        <w:snapToGrid w:val="0"/>
        <w:spacing w:before="50" w:after="120" w:afterLines="5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：投标单位情况表</w:t>
      </w:r>
    </w:p>
    <w:p w14:paraId="3B46AB04">
      <w:pPr>
        <w:snapToGrid w:val="0"/>
        <w:spacing w:before="120" w:beforeLines="50" w:after="50"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投标单位情况表</w:t>
      </w:r>
    </w:p>
    <w:p w14:paraId="6AF7ACAB">
      <w:pPr>
        <w:pStyle w:val="24"/>
        <w:spacing w:before="120" w:after="120" w:line="360" w:lineRule="auto"/>
        <w:rPr>
          <w:rFonts w:hint="eastAsia" w:hAnsi="宋体" w:cs="宋体"/>
          <w:color w:val="auto"/>
          <w:highlight w:val="none"/>
        </w:rPr>
      </w:pPr>
      <w:r>
        <w:rPr>
          <w:rFonts w:hint="eastAsia" w:hAnsi="宋体" w:cs="宋体"/>
          <w:color w:val="auto"/>
          <w:highlight w:val="none"/>
        </w:rPr>
        <w:t>投标单位：                                 填表日期：</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0D72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noWrap w:val="0"/>
            <w:vAlign w:val="center"/>
          </w:tcPr>
          <w:p w14:paraId="4DCB9A96">
            <w:pPr>
              <w:pStyle w:val="24"/>
              <w:spacing w:before="120" w:after="120" w:line="360" w:lineRule="auto"/>
              <w:rPr>
                <w:rFonts w:hint="eastAsia" w:hAnsi="宋体" w:cs="宋体"/>
                <w:color w:val="auto"/>
                <w:highlight w:val="none"/>
              </w:rPr>
            </w:pPr>
            <w:r>
              <w:rPr>
                <w:rFonts w:hint="eastAsia" w:hAnsi="宋体" w:cs="宋体"/>
                <w:color w:val="auto"/>
                <w:highlight w:val="none"/>
              </w:rPr>
              <w:t>单位名称</w:t>
            </w:r>
          </w:p>
        </w:tc>
        <w:tc>
          <w:tcPr>
            <w:tcW w:w="2887" w:type="dxa"/>
            <w:noWrap w:val="0"/>
            <w:vAlign w:val="center"/>
          </w:tcPr>
          <w:p w14:paraId="29FD6793">
            <w:pPr>
              <w:widowControl/>
              <w:spacing w:line="360" w:lineRule="auto"/>
              <w:jc w:val="center"/>
              <w:rPr>
                <w:rFonts w:hint="eastAsia" w:ascii="宋体" w:hAnsi="宋体" w:cs="宋体"/>
                <w:color w:val="auto"/>
                <w:sz w:val="24"/>
                <w:highlight w:val="none"/>
              </w:rPr>
            </w:pPr>
          </w:p>
        </w:tc>
        <w:tc>
          <w:tcPr>
            <w:tcW w:w="1388" w:type="dxa"/>
            <w:gridSpan w:val="2"/>
            <w:noWrap w:val="0"/>
            <w:vAlign w:val="center"/>
          </w:tcPr>
          <w:p w14:paraId="66104DE8">
            <w:pPr>
              <w:pStyle w:val="24"/>
              <w:spacing w:before="120" w:after="120" w:line="360" w:lineRule="auto"/>
              <w:rPr>
                <w:rFonts w:hint="eastAsia" w:hAnsi="宋体" w:cs="宋体"/>
                <w:color w:val="auto"/>
                <w:highlight w:val="none"/>
              </w:rPr>
            </w:pPr>
            <w:r>
              <w:rPr>
                <w:rFonts w:hint="eastAsia" w:hAnsi="宋体" w:cs="宋体"/>
                <w:color w:val="auto"/>
                <w:highlight w:val="none"/>
              </w:rPr>
              <w:t>电话</w:t>
            </w:r>
          </w:p>
        </w:tc>
        <w:tc>
          <w:tcPr>
            <w:tcW w:w="2534" w:type="dxa"/>
            <w:noWrap w:val="0"/>
            <w:vAlign w:val="center"/>
          </w:tcPr>
          <w:p w14:paraId="0850F5EA">
            <w:pPr>
              <w:pStyle w:val="24"/>
              <w:spacing w:before="120" w:after="120" w:line="360" w:lineRule="auto"/>
              <w:jc w:val="center"/>
              <w:rPr>
                <w:rFonts w:hint="eastAsia" w:hAnsi="宋体" w:cs="宋体"/>
                <w:color w:val="auto"/>
                <w:highlight w:val="none"/>
              </w:rPr>
            </w:pPr>
          </w:p>
        </w:tc>
      </w:tr>
      <w:tr w14:paraId="74A6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noWrap w:val="0"/>
            <w:vAlign w:val="center"/>
          </w:tcPr>
          <w:p w14:paraId="36EAF5AB">
            <w:pPr>
              <w:pStyle w:val="24"/>
              <w:spacing w:before="120" w:after="120" w:line="360" w:lineRule="auto"/>
              <w:rPr>
                <w:rFonts w:hint="eastAsia" w:hAnsi="宋体" w:cs="宋体"/>
                <w:color w:val="auto"/>
                <w:highlight w:val="none"/>
              </w:rPr>
            </w:pPr>
            <w:r>
              <w:rPr>
                <w:rFonts w:hint="eastAsia" w:hAnsi="宋体" w:cs="宋体"/>
                <w:color w:val="auto"/>
                <w:highlight w:val="none"/>
              </w:rPr>
              <w:t>地址</w:t>
            </w:r>
          </w:p>
        </w:tc>
        <w:tc>
          <w:tcPr>
            <w:tcW w:w="2887" w:type="dxa"/>
            <w:noWrap w:val="0"/>
            <w:vAlign w:val="center"/>
          </w:tcPr>
          <w:p w14:paraId="34CC3000">
            <w:pPr>
              <w:pStyle w:val="24"/>
              <w:spacing w:before="120" w:after="120" w:line="360" w:lineRule="auto"/>
              <w:jc w:val="center"/>
              <w:rPr>
                <w:rFonts w:hint="eastAsia" w:hAnsi="宋体" w:cs="宋体"/>
                <w:color w:val="auto"/>
                <w:highlight w:val="none"/>
              </w:rPr>
            </w:pPr>
          </w:p>
        </w:tc>
        <w:tc>
          <w:tcPr>
            <w:tcW w:w="1388" w:type="dxa"/>
            <w:gridSpan w:val="2"/>
            <w:noWrap w:val="0"/>
            <w:vAlign w:val="center"/>
          </w:tcPr>
          <w:p w14:paraId="1FD64DEB">
            <w:pPr>
              <w:pStyle w:val="24"/>
              <w:spacing w:before="120" w:after="120" w:line="360" w:lineRule="auto"/>
              <w:rPr>
                <w:rFonts w:hint="eastAsia" w:hAnsi="宋体" w:cs="宋体"/>
                <w:color w:val="auto"/>
                <w:highlight w:val="none"/>
              </w:rPr>
            </w:pPr>
            <w:r>
              <w:rPr>
                <w:rFonts w:hint="eastAsia" w:hAnsi="宋体" w:cs="宋体"/>
                <w:color w:val="auto"/>
                <w:highlight w:val="none"/>
              </w:rPr>
              <w:t>传真</w:t>
            </w:r>
          </w:p>
        </w:tc>
        <w:tc>
          <w:tcPr>
            <w:tcW w:w="2534" w:type="dxa"/>
            <w:noWrap w:val="0"/>
            <w:vAlign w:val="center"/>
          </w:tcPr>
          <w:p w14:paraId="1541D9A7">
            <w:pPr>
              <w:pStyle w:val="24"/>
              <w:spacing w:before="120" w:after="120" w:line="360" w:lineRule="auto"/>
              <w:jc w:val="center"/>
              <w:rPr>
                <w:rFonts w:hint="eastAsia" w:hAnsi="宋体" w:cs="宋体"/>
                <w:color w:val="auto"/>
                <w:highlight w:val="none"/>
              </w:rPr>
            </w:pPr>
          </w:p>
        </w:tc>
      </w:tr>
      <w:tr w14:paraId="401D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noWrap w:val="0"/>
            <w:vAlign w:val="center"/>
          </w:tcPr>
          <w:p w14:paraId="6CE2FDEA">
            <w:pPr>
              <w:pStyle w:val="24"/>
              <w:spacing w:before="120" w:after="120" w:line="360" w:lineRule="auto"/>
              <w:rPr>
                <w:rFonts w:hint="eastAsia" w:hAnsi="宋体" w:cs="宋体"/>
                <w:color w:val="auto"/>
                <w:highlight w:val="none"/>
              </w:rPr>
            </w:pPr>
            <w:r>
              <w:rPr>
                <w:rFonts w:hint="eastAsia" w:hAnsi="宋体" w:cs="宋体"/>
                <w:color w:val="auto"/>
                <w:highlight w:val="none"/>
              </w:rPr>
              <w:t>主管部门</w:t>
            </w:r>
          </w:p>
        </w:tc>
        <w:tc>
          <w:tcPr>
            <w:tcW w:w="2887" w:type="dxa"/>
            <w:noWrap w:val="0"/>
            <w:vAlign w:val="center"/>
          </w:tcPr>
          <w:p w14:paraId="68DFDA3E">
            <w:pPr>
              <w:pStyle w:val="24"/>
              <w:spacing w:before="120" w:after="120" w:line="360" w:lineRule="auto"/>
              <w:jc w:val="center"/>
              <w:rPr>
                <w:rFonts w:hint="eastAsia" w:hAnsi="宋体" w:cs="宋体"/>
                <w:color w:val="auto"/>
                <w:highlight w:val="none"/>
              </w:rPr>
            </w:pPr>
          </w:p>
        </w:tc>
        <w:tc>
          <w:tcPr>
            <w:tcW w:w="1388" w:type="dxa"/>
            <w:gridSpan w:val="2"/>
            <w:noWrap w:val="0"/>
            <w:vAlign w:val="center"/>
          </w:tcPr>
          <w:p w14:paraId="381D2934">
            <w:pPr>
              <w:pStyle w:val="24"/>
              <w:spacing w:before="120" w:after="120" w:line="360" w:lineRule="auto"/>
              <w:rPr>
                <w:rFonts w:hint="eastAsia" w:hAnsi="宋体" w:cs="宋体"/>
                <w:color w:val="auto"/>
                <w:highlight w:val="none"/>
              </w:rPr>
            </w:pPr>
            <w:r>
              <w:rPr>
                <w:rFonts w:hint="eastAsia" w:hAnsi="宋体" w:cs="宋体"/>
                <w:color w:val="auto"/>
                <w:highlight w:val="none"/>
              </w:rPr>
              <w:t>企业性质</w:t>
            </w:r>
          </w:p>
        </w:tc>
        <w:tc>
          <w:tcPr>
            <w:tcW w:w="2534" w:type="dxa"/>
            <w:noWrap w:val="0"/>
            <w:vAlign w:val="center"/>
          </w:tcPr>
          <w:p w14:paraId="20CEB61B">
            <w:pPr>
              <w:pStyle w:val="24"/>
              <w:spacing w:before="120" w:after="120" w:line="360" w:lineRule="auto"/>
              <w:jc w:val="center"/>
              <w:rPr>
                <w:rFonts w:hint="eastAsia" w:hAnsi="宋体" w:cs="宋体"/>
                <w:color w:val="auto"/>
                <w:highlight w:val="none"/>
              </w:rPr>
            </w:pPr>
          </w:p>
        </w:tc>
      </w:tr>
      <w:tr w14:paraId="65A7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noWrap w:val="0"/>
            <w:vAlign w:val="center"/>
          </w:tcPr>
          <w:p w14:paraId="305FA45A">
            <w:pPr>
              <w:pStyle w:val="24"/>
              <w:spacing w:before="120" w:after="120" w:line="360" w:lineRule="auto"/>
              <w:rPr>
                <w:rFonts w:hint="eastAsia" w:hAnsi="宋体" w:cs="宋体"/>
                <w:color w:val="auto"/>
                <w:highlight w:val="none"/>
              </w:rPr>
            </w:pPr>
            <w:r>
              <w:rPr>
                <w:rFonts w:hint="eastAsia" w:hAnsi="宋体" w:cs="宋体"/>
                <w:color w:val="auto"/>
                <w:highlight w:val="none"/>
              </w:rPr>
              <w:t>企业法人</w:t>
            </w:r>
          </w:p>
        </w:tc>
        <w:tc>
          <w:tcPr>
            <w:tcW w:w="2887" w:type="dxa"/>
            <w:noWrap w:val="0"/>
            <w:vAlign w:val="center"/>
          </w:tcPr>
          <w:p w14:paraId="79F4CD89">
            <w:pPr>
              <w:pStyle w:val="24"/>
              <w:spacing w:before="120" w:after="120" w:line="360" w:lineRule="auto"/>
              <w:jc w:val="center"/>
              <w:rPr>
                <w:rFonts w:hint="eastAsia" w:hAnsi="宋体" w:cs="宋体"/>
                <w:color w:val="auto"/>
                <w:highlight w:val="none"/>
              </w:rPr>
            </w:pPr>
          </w:p>
        </w:tc>
        <w:tc>
          <w:tcPr>
            <w:tcW w:w="1388" w:type="dxa"/>
            <w:gridSpan w:val="2"/>
            <w:noWrap w:val="0"/>
            <w:vAlign w:val="center"/>
          </w:tcPr>
          <w:p w14:paraId="2DD69E07">
            <w:pPr>
              <w:pStyle w:val="24"/>
              <w:spacing w:before="120" w:after="120" w:line="360" w:lineRule="auto"/>
              <w:rPr>
                <w:rFonts w:hint="eastAsia" w:hAnsi="宋体" w:cs="宋体"/>
                <w:color w:val="auto"/>
                <w:highlight w:val="none"/>
              </w:rPr>
            </w:pPr>
            <w:r>
              <w:rPr>
                <w:rFonts w:hint="eastAsia" w:hAnsi="宋体" w:cs="宋体"/>
                <w:color w:val="auto"/>
                <w:highlight w:val="none"/>
              </w:rPr>
              <w:t>资质等级</w:t>
            </w:r>
          </w:p>
        </w:tc>
        <w:tc>
          <w:tcPr>
            <w:tcW w:w="2534" w:type="dxa"/>
            <w:noWrap w:val="0"/>
            <w:vAlign w:val="center"/>
          </w:tcPr>
          <w:p w14:paraId="685D5E0D">
            <w:pPr>
              <w:pStyle w:val="24"/>
              <w:spacing w:before="120" w:after="120" w:line="360" w:lineRule="auto"/>
              <w:jc w:val="center"/>
              <w:rPr>
                <w:rFonts w:hint="eastAsia" w:hAnsi="宋体" w:cs="宋体"/>
                <w:color w:val="auto"/>
                <w:highlight w:val="none"/>
              </w:rPr>
            </w:pPr>
          </w:p>
        </w:tc>
      </w:tr>
      <w:tr w14:paraId="3A84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noWrap w:val="0"/>
            <w:vAlign w:val="center"/>
          </w:tcPr>
          <w:p w14:paraId="01FDB680">
            <w:pPr>
              <w:pStyle w:val="24"/>
              <w:spacing w:before="120" w:after="120" w:line="360" w:lineRule="auto"/>
              <w:rPr>
                <w:rFonts w:hint="eastAsia" w:hAnsi="宋体" w:cs="宋体"/>
                <w:color w:val="auto"/>
                <w:highlight w:val="none"/>
              </w:rPr>
            </w:pPr>
            <w:r>
              <w:rPr>
                <w:rFonts w:hint="eastAsia" w:hAnsi="宋体" w:cs="宋体"/>
                <w:color w:val="auto"/>
                <w:highlight w:val="none"/>
              </w:rPr>
              <w:t>授权代表</w:t>
            </w:r>
          </w:p>
        </w:tc>
        <w:tc>
          <w:tcPr>
            <w:tcW w:w="2887" w:type="dxa"/>
            <w:noWrap w:val="0"/>
            <w:vAlign w:val="center"/>
          </w:tcPr>
          <w:p w14:paraId="5F46C23F">
            <w:pPr>
              <w:pStyle w:val="24"/>
              <w:spacing w:before="120" w:after="120" w:line="360" w:lineRule="auto"/>
              <w:jc w:val="center"/>
              <w:rPr>
                <w:rFonts w:hint="eastAsia" w:hAnsi="宋体" w:cs="宋体"/>
                <w:color w:val="auto"/>
                <w:highlight w:val="none"/>
              </w:rPr>
            </w:pPr>
          </w:p>
        </w:tc>
        <w:tc>
          <w:tcPr>
            <w:tcW w:w="1388" w:type="dxa"/>
            <w:gridSpan w:val="2"/>
            <w:noWrap w:val="0"/>
            <w:vAlign w:val="center"/>
          </w:tcPr>
          <w:p w14:paraId="07FB8193">
            <w:pPr>
              <w:pStyle w:val="24"/>
              <w:spacing w:before="120" w:after="120" w:line="360" w:lineRule="auto"/>
              <w:rPr>
                <w:rFonts w:hint="eastAsia" w:hAnsi="宋体" w:cs="宋体"/>
                <w:color w:val="auto"/>
                <w:highlight w:val="none"/>
              </w:rPr>
            </w:pPr>
            <w:r>
              <w:rPr>
                <w:rFonts w:hint="eastAsia" w:hAnsi="宋体" w:cs="宋体"/>
                <w:color w:val="auto"/>
                <w:highlight w:val="none"/>
              </w:rPr>
              <w:t>职务</w:t>
            </w:r>
          </w:p>
        </w:tc>
        <w:tc>
          <w:tcPr>
            <w:tcW w:w="2534" w:type="dxa"/>
            <w:noWrap w:val="0"/>
            <w:vAlign w:val="center"/>
          </w:tcPr>
          <w:p w14:paraId="27851C72">
            <w:pPr>
              <w:pStyle w:val="24"/>
              <w:spacing w:before="120" w:after="120" w:line="360" w:lineRule="auto"/>
              <w:jc w:val="center"/>
              <w:rPr>
                <w:rFonts w:hint="eastAsia" w:hAnsi="宋体" w:cs="宋体"/>
                <w:color w:val="auto"/>
                <w:highlight w:val="none"/>
              </w:rPr>
            </w:pPr>
          </w:p>
        </w:tc>
      </w:tr>
      <w:tr w14:paraId="1BB9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noWrap w:val="0"/>
            <w:vAlign w:val="center"/>
          </w:tcPr>
          <w:p w14:paraId="0C2D18C5">
            <w:pPr>
              <w:pStyle w:val="24"/>
              <w:spacing w:before="120" w:after="120" w:line="360" w:lineRule="auto"/>
              <w:ind w:firstLine="720" w:firstLineChars="300"/>
              <w:jc w:val="center"/>
              <w:rPr>
                <w:rFonts w:hint="eastAsia" w:hAnsi="宋体" w:cs="宋体"/>
                <w:color w:val="auto"/>
                <w:highlight w:val="none"/>
              </w:rPr>
            </w:pPr>
          </w:p>
          <w:p w14:paraId="184AFB01">
            <w:pPr>
              <w:pStyle w:val="24"/>
              <w:spacing w:before="120" w:after="120" w:line="360" w:lineRule="auto"/>
              <w:jc w:val="center"/>
              <w:rPr>
                <w:rFonts w:hint="eastAsia" w:hAnsi="宋体" w:cs="宋体"/>
                <w:color w:val="auto"/>
                <w:highlight w:val="none"/>
              </w:rPr>
            </w:pPr>
            <w:r>
              <w:rPr>
                <w:rFonts w:hint="eastAsia" w:hAnsi="宋体" w:cs="宋体"/>
                <w:color w:val="auto"/>
                <w:highlight w:val="none"/>
              </w:rPr>
              <w:t>单位概况</w:t>
            </w:r>
          </w:p>
          <w:p w14:paraId="058F66AD">
            <w:pPr>
              <w:pStyle w:val="24"/>
              <w:spacing w:before="120" w:after="120" w:line="360" w:lineRule="auto"/>
              <w:ind w:firstLine="720" w:firstLineChars="300"/>
              <w:jc w:val="center"/>
              <w:rPr>
                <w:rFonts w:hint="eastAsia" w:hAnsi="宋体" w:cs="宋体"/>
                <w:color w:val="auto"/>
                <w:highlight w:val="none"/>
              </w:rPr>
            </w:pPr>
          </w:p>
          <w:p w14:paraId="6041FD96">
            <w:pPr>
              <w:pStyle w:val="24"/>
              <w:spacing w:before="120" w:after="120" w:line="360" w:lineRule="auto"/>
              <w:ind w:firstLine="720" w:firstLineChars="300"/>
              <w:jc w:val="center"/>
              <w:rPr>
                <w:rFonts w:hint="eastAsia" w:hAnsi="宋体" w:cs="宋体"/>
                <w:color w:val="auto"/>
                <w:highlight w:val="none"/>
              </w:rPr>
            </w:pPr>
          </w:p>
          <w:p w14:paraId="120C77D6">
            <w:pPr>
              <w:pStyle w:val="24"/>
              <w:spacing w:before="120" w:after="120" w:line="360" w:lineRule="auto"/>
              <w:ind w:firstLine="720" w:firstLineChars="300"/>
              <w:jc w:val="center"/>
              <w:rPr>
                <w:rFonts w:hint="eastAsia" w:hAnsi="宋体" w:cs="宋体"/>
                <w:color w:val="auto"/>
                <w:highlight w:val="none"/>
              </w:rPr>
            </w:pPr>
          </w:p>
          <w:p w14:paraId="53EC3656">
            <w:pPr>
              <w:pStyle w:val="24"/>
              <w:spacing w:before="120" w:after="120" w:line="360" w:lineRule="auto"/>
              <w:ind w:firstLine="720" w:firstLineChars="300"/>
              <w:jc w:val="center"/>
              <w:rPr>
                <w:rFonts w:hint="eastAsia" w:hAnsi="宋体" w:cs="宋体"/>
                <w:color w:val="auto"/>
                <w:highlight w:val="none"/>
              </w:rPr>
            </w:pPr>
          </w:p>
        </w:tc>
        <w:tc>
          <w:tcPr>
            <w:tcW w:w="1260" w:type="dxa"/>
            <w:vMerge w:val="restart"/>
            <w:noWrap w:val="0"/>
            <w:vAlign w:val="center"/>
          </w:tcPr>
          <w:p w14:paraId="67BA890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职工总数</w:t>
            </w:r>
          </w:p>
        </w:tc>
        <w:tc>
          <w:tcPr>
            <w:tcW w:w="2887" w:type="dxa"/>
            <w:noWrap w:val="0"/>
            <w:vAlign w:val="center"/>
          </w:tcPr>
          <w:p w14:paraId="6DEAD4A2">
            <w:pPr>
              <w:pStyle w:val="24"/>
              <w:spacing w:before="120" w:after="120" w:line="360" w:lineRule="auto"/>
              <w:rPr>
                <w:rFonts w:hint="eastAsia" w:hAnsi="宋体" w:cs="宋体"/>
                <w:color w:val="auto"/>
                <w:highlight w:val="none"/>
              </w:rPr>
            </w:pPr>
            <w:r>
              <w:rPr>
                <w:rFonts w:hint="eastAsia" w:hAnsi="宋体" w:cs="宋体"/>
                <w:color w:val="auto"/>
                <w:highlight w:val="none"/>
              </w:rPr>
              <w:t>员工： 人</w:t>
            </w:r>
          </w:p>
        </w:tc>
        <w:tc>
          <w:tcPr>
            <w:tcW w:w="3922" w:type="dxa"/>
            <w:gridSpan w:val="3"/>
            <w:noWrap w:val="0"/>
            <w:vAlign w:val="center"/>
          </w:tcPr>
          <w:p w14:paraId="362B6F50">
            <w:pPr>
              <w:pStyle w:val="24"/>
              <w:spacing w:before="120" w:after="120" w:line="360" w:lineRule="auto"/>
              <w:rPr>
                <w:rFonts w:hint="eastAsia" w:hAnsi="宋体" w:cs="宋体"/>
                <w:color w:val="auto"/>
                <w:highlight w:val="none"/>
              </w:rPr>
            </w:pPr>
            <w:r>
              <w:rPr>
                <w:rFonts w:hint="eastAsia" w:hAnsi="宋体" w:cs="宋体"/>
                <w:color w:val="auto"/>
                <w:highlight w:val="none"/>
              </w:rPr>
              <w:t>初级职称： 人</w:t>
            </w:r>
          </w:p>
        </w:tc>
      </w:tr>
      <w:tr w14:paraId="5798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noWrap w:val="0"/>
            <w:vAlign w:val="center"/>
          </w:tcPr>
          <w:p w14:paraId="072E8A77">
            <w:pPr>
              <w:pStyle w:val="24"/>
              <w:spacing w:before="120" w:after="120" w:line="360" w:lineRule="auto"/>
              <w:ind w:firstLine="720" w:firstLineChars="300"/>
              <w:jc w:val="center"/>
              <w:rPr>
                <w:rFonts w:hint="eastAsia" w:hAnsi="宋体" w:cs="宋体"/>
                <w:color w:val="auto"/>
                <w:highlight w:val="none"/>
              </w:rPr>
            </w:pPr>
          </w:p>
        </w:tc>
        <w:tc>
          <w:tcPr>
            <w:tcW w:w="1260" w:type="dxa"/>
            <w:vMerge w:val="continue"/>
            <w:noWrap w:val="0"/>
            <w:vAlign w:val="center"/>
          </w:tcPr>
          <w:p w14:paraId="0BCF03FA">
            <w:pPr>
              <w:widowControl/>
              <w:spacing w:line="360" w:lineRule="auto"/>
              <w:jc w:val="center"/>
              <w:rPr>
                <w:rFonts w:hint="eastAsia" w:ascii="宋体" w:hAnsi="宋体" w:cs="宋体"/>
                <w:color w:val="auto"/>
                <w:sz w:val="24"/>
                <w:highlight w:val="none"/>
              </w:rPr>
            </w:pPr>
          </w:p>
        </w:tc>
        <w:tc>
          <w:tcPr>
            <w:tcW w:w="2887" w:type="dxa"/>
            <w:noWrap w:val="0"/>
            <w:vAlign w:val="center"/>
          </w:tcPr>
          <w:p w14:paraId="0ED086A3">
            <w:pPr>
              <w:pStyle w:val="24"/>
              <w:spacing w:before="120" w:after="120" w:line="360" w:lineRule="auto"/>
              <w:rPr>
                <w:rFonts w:hint="eastAsia" w:hAnsi="宋体" w:cs="宋体"/>
                <w:color w:val="auto"/>
                <w:highlight w:val="none"/>
              </w:rPr>
            </w:pPr>
            <w:r>
              <w:rPr>
                <w:rFonts w:hint="eastAsia" w:hAnsi="宋体" w:cs="宋体"/>
                <w:color w:val="auto"/>
                <w:highlight w:val="none"/>
              </w:rPr>
              <w:t>高级职称： 人</w:t>
            </w:r>
          </w:p>
        </w:tc>
        <w:tc>
          <w:tcPr>
            <w:tcW w:w="3922" w:type="dxa"/>
            <w:gridSpan w:val="3"/>
            <w:noWrap w:val="0"/>
            <w:vAlign w:val="center"/>
          </w:tcPr>
          <w:p w14:paraId="7BE07492">
            <w:pPr>
              <w:pStyle w:val="24"/>
              <w:spacing w:before="120" w:after="120" w:line="360" w:lineRule="auto"/>
              <w:rPr>
                <w:rFonts w:hint="eastAsia" w:hAnsi="宋体" w:cs="宋体"/>
                <w:color w:val="auto"/>
                <w:highlight w:val="none"/>
              </w:rPr>
            </w:pPr>
            <w:r>
              <w:rPr>
                <w:rFonts w:hint="eastAsia" w:hAnsi="宋体" w:cs="宋体"/>
                <w:color w:val="auto"/>
                <w:highlight w:val="none"/>
              </w:rPr>
              <w:t>中级职称： 人</w:t>
            </w:r>
          </w:p>
        </w:tc>
      </w:tr>
      <w:tr w14:paraId="0EB6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noWrap w:val="0"/>
            <w:vAlign w:val="center"/>
          </w:tcPr>
          <w:p w14:paraId="39687AFC">
            <w:pPr>
              <w:pStyle w:val="24"/>
              <w:spacing w:before="120" w:after="120" w:line="360" w:lineRule="auto"/>
              <w:ind w:firstLine="720" w:firstLineChars="300"/>
              <w:jc w:val="center"/>
              <w:rPr>
                <w:rFonts w:hint="eastAsia" w:hAnsi="宋体" w:cs="宋体"/>
                <w:color w:val="auto"/>
                <w:highlight w:val="none"/>
              </w:rPr>
            </w:pPr>
          </w:p>
        </w:tc>
        <w:tc>
          <w:tcPr>
            <w:tcW w:w="1260" w:type="dxa"/>
            <w:noWrap w:val="0"/>
            <w:vAlign w:val="center"/>
          </w:tcPr>
          <w:p w14:paraId="1E1EC9ED">
            <w:pPr>
              <w:pStyle w:val="24"/>
              <w:spacing w:before="120" w:after="120" w:line="360" w:lineRule="auto"/>
              <w:jc w:val="center"/>
              <w:rPr>
                <w:rFonts w:hint="eastAsia" w:hAnsi="宋体" w:cs="宋体"/>
                <w:color w:val="auto"/>
                <w:highlight w:val="none"/>
              </w:rPr>
            </w:pPr>
            <w:r>
              <w:rPr>
                <w:rFonts w:hint="eastAsia" w:hAnsi="宋体" w:cs="宋体"/>
                <w:color w:val="auto"/>
                <w:highlight w:val="none"/>
              </w:rPr>
              <w:t>流动资金</w:t>
            </w:r>
          </w:p>
        </w:tc>
        <w:tc>
          <w:tcPr>
            <w:tcW w:w="2887" w:type="dxa"/>
            <w:noWrap w:val="0"/>
            <w:vAlign w:val="center"/>
          </w:tcPr>
          <w:p w14:paraId="12E2F0CB">
            <w:pPr>
              <w:pStyle w:val="24"/>
              <w:spacing w:before="120" w:after="120" w:line="360" w:lineRule="auto"/>
              <w:jc w:val="center"/>
              <w:rPr>
                <w:rFonts w:hint="eastAsia" w:hAnsi="宋体" w:cs="宋体"/>
                <w:color w:val="auto"/>
                <w:highlight w:val="none"/>
              </w:rPr>
            </w:pPr>
          </w:p>
        </w:tc>
        <w:tc>
          <w:tcPr>
            <w:tcW w:w="1222" w:type="dxa"/>
            <w:noWrap w:val="0"/>
            <w:vAlign w:val="center"/>
          </w:tcPr>
          <w:p w14:paraId="65165FD9">
            <w:pPr>
              <w:pStyle w:val="24"/>
              <w:spacing w:before="120" w:after="120" w:line="360" w:lineRule="auto"/>
              <w:jc w:val="center"/>
              <w:rPr>
                <w:rFonts w:hint="eastAsia" w:hAnsi="宋体" w:cs="宋体"/>
                <w:color w:val="auto"/>
                <w:highlight w:val="none"/>
              </w:rPr>
            </w:pPr>
          </w:p>
        </w:tc>
        <w:tc>
          <w:tcPr>
            <w:tcW w:w="2700" w:type="dxa"/>
            <w:gridSpan w:val="2"/>
            <w:noWrap w:val="0"/>
            <w:vAlign w:val="center"/>
          </w:tcPr>
          <w:p w14:paraId="7F079C9A">
            <w:pPr>
              <w:pStyle w:val="24"/>
              <w:spacing w:before="120" w:after="120" w:line="360" w:lineRule="auto"/>
              <w:jc w:val="center"/>
              <w:rPr>
                <w:rFonts w:hint="eastAsia" w:hAnsi="宋体" w:cs="宋体"/>
                <w:color w:val="auto"/>
                <w:highlight w:val="none"/>
              </w:rPr>
            </w:pPr>
          </w:p>
        </w:tc>
      </w:tr>
      <w:tr w14:paraId="2A8F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noWrap w:val="0"/>
            <w:vAlign w:val="center"/>
          </w:tcPr>
          <w:p w14:paraId="6685ED65">
            <w:pPr>
              <w:pStyle w:val="24"/>
              <w:spacing w:before="120" w:after="120" w:line="360" w:lineRule="auto"/>
              <w:ind w:firstLine="720" w:firstLineChars="300"/>
              <w:jc w:val="center"/>
              <w:rPr>
                <w:rFonts w:hint="eastAsia" w:hAnsi="宋体" w:cs="宋体"/>
                <w:color w:val="auto"/>
                <w:highlight w:val="none"/>
              </w:rPr>
            </w:pPr>
          </w:p>
        </w:tc>
        <w:tc>
          <w:tcPr>
            <w:tcW w:w="1260" w:type="dxa"/>
            <w:noWrap w:val="0"/>
            <w:vAlign w:val="center"/>
          </w:tcPr>
          <w:p w14:paraId="7AC5A384">
            <w:pPr>
              <w:pStyle w:val="24"/>
              <w:spacing w:before="120" w:after="120" w:line="360" w:lineRule="auto"/>
              <w:jc w:val="center"/>
              <w:rPr>
                <w:rFonts w:hint="eastAsia" w:hAnsi="宋体" w:cs="宋体"/>
                <w:color w:val="auto"/>
                <w:highlight w:val="none"/>
              </w:rPr>
            </w:pPr>
            <w:r>
              <w:rPr>
                <w:rFonts w:hint="eastAsia" w:hAnsi="宋体" w:cs="宋体"/>
                <w:color w:val="auto"/>
                <w:highlight w:val="none"/>
              </w:rPr>
              <w:t>固定资金</w:t>
            </w:r>
          </w:p>
        </w:tc>
        <w:tc>
          <w:tcPr>
            <w:tcW w:w="2887" w:type="dxa"/>
            <w:noWrap w:val="0"/>
            <w:vAlign w:val="center"/>
          </w:tcPr>
          <w:p w14:paraId="129A4EBD">
            <w:pPr>
              <w:widowControl/>
              <w:spacing w:line="360" w:lineRule="auto"/>
              <w:jc w:val="center"/>
              <w:rPr>
                <w:rFonts w:hint="eastAsia" w:ascii="宋体" w:hAnsi="宋体" w:cs="宋体"/>
                <w:color w:val="auto"/>
                <w:sz w:val="24"/>
                <w:highlight w:val="none"/>
              </w:rPr>
            </w:pPr>
          </w:p>
        </w:tc>
        <w:tc>
          <w:tcPr>
            <w:tcW w:w="1222" w:type="dxa"/>
            <w:noWrap w:val="0"/>
            <w:vAlign w:val="center"/>
          </w:tcPr>
          <w:p w14:paraId="38885958">
            <w:pPr>
              <w:pStyle w:val="24"/>
              <w:spacing w:before="120" w:after="120" w:line="360" w:lineRule="auto"/>
              <w:jc w:val="center"/>
              <w:rPr>
                <w:rFonts w:hint="eastAsia" w:hAnsi="宋体" w:cs="宋体"/>
                <w:color w:val="auto"/>
                <w:highlight w:val="none"/>
              </w:rPr>
            </w:pPr>
            <w:r>
              <w:rPr>
                <w:rFonts w:hint="eastAsia" w:hAnsi="宋体" w:cs="宋体"/>
                <w:color w:val="auto"/>
                <w:highlight w:val="none"/>
              </w:rPr>
              <w:t>服务网点</w:t>
            </w:r>
          </w:p>
        </w:tc>
        <w:tc>
          <w:tcPr>
            <w:tcW w:w="2700" w:type="dxa"/>
            <w:gridSpan w:val="2"/>
            <w:noWrap w:val="0"/>
            <w:vAlign w:val="center"/>
          </w:tcPr>
          <w:p w14:paraId="48580E58">
            <w:pPr>
              <w:widowControl/>
              <w:spacing w:line="360" w:lineRule="auto"/>
              <w:jc w:val="center"/>
              <w:rPr>
                <w:rFonts w:hint="eastAsia" w:ascii="宋体" w:hAnsi="宋体" w:cs="宋体"/>
                <w:color w:val="auto"/>
                <w:sz w:val="24"/>
                <w:highlight w:val="none"/>
              </w:rPr>
            </w:pPr>
          </w:p>
        </w:tc>
      </w:tr>
      <w:tr w14:paraId="5D7A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noWrap w:val="0"/>
            <w:vAlign w:val="center"/>
          </w:tcPr>
          <w:p w14:paraId="4355AAF0">
            <w:pPr>
              <w:pStyle w:val="24"/>
              <w:spacing w:before="120" w:after="120" w:line="360" w:lineRule="auto"/>
              <w:jc w:val="center"/>
              <w:rPr>
                <w:rFonts w:hint="eastAsia" w:hAnsi="宋体" w:cs="宋体"/>
                <w:color w:val="auto"/>
                <w:highlight w:val="none"/>
              </w:rPr>
            </w:pPr>
            <w:r>
              <w:rPr>
                <w:rFonts w:hint="eastAsia" w:hAnsi="宋体" w:cs="宋体"/>
                <w:color w:val="auto"/>
                <w:highlight w:val="none"/>
              </w:rPr>
              <w:t>单位简历</w:t>
            </w:r>
          </w:p>
        </w:tc>
        <w:tc>
          <w:tcPr>
            <w:tcW w:w="8069" w:type="dxa"/>
            <w:gridSpan w:val="5"/>
            <w:noWrap w:val="0"/>
            <w:vAlign w:val="top"/>
          </w:tcPr>
          <w:p w14:paraId="79F145BD">
            <w:pPr>
              <w:spacing w:line="360" w:lineRule="auto"/>
              <w:jc w:val="left"/>
              <w:rPr>
                <w:rFonts w:hint="eastAsia" w:ascii="宋体" w:hAnsi="宋体" w:cs="宋体"/>
                <w:color w:val="auto"/>
                <w:sz w:val="24"/>
                <w:highlight w:val="none"/>
              </w:rPr>
            </w:pPr>
          </w:p>
        </w:tc>
      </w:tr>
      <w:tr w14:paraId="5BB2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noWrap w:val="0"/>
            <w:vAlign w:val="center"/>
          </w:tcPr>
          <w:p w14:paraId="77295D9B">
            <w:pPr>
              <w:pStyle w:val="24"/>
              <w:spacing w:before="120" w:after="120" w:line="360" w:lineRule="auto"/>
              <w:jc w:val="center"/>
              <w:rPr>
                <w:rFonts w:hint="eastAsia" w:hAnsi="宋体" w:cs="宋体"/>
                <w:color w:val="auto"/>
                <w:highlight w:val="none"/>
              </w:rPr>
            </w:pPr>
            <w:r>
              <w:rPr>
                <w:rFonts w:hint="eastAsia" w:hAnsi="宋体" w:cs="宋体"/>
                <w:color w:val="auto"/>
                <w:highlight w:val="none"/>
              </w:rPr>
              <w:t>优势及特长</w:t>
            </w:r>
          </w:p>
        </w:tc>
        <w:tc>
          <w:tcPr>
            <w:tcW w:w="8069" w:type="dxa"/>
            <w:gridSpan w:val="5"/>
            <w:noWrap w:val="0"/>
            <w:vAlign w:val="top"/>
          </w:tcPr>
          <w:p w14:paraId="6A6593C9">
            <w:pPr>
              <w:spacing w:line="360" w:lineRule="auto"/>
              <w:jc w:val="left"/>
              <w:rPr>
                <w:rFonts w:hint="eastAsia" w:ascii="宋体" w:hAnsi="宋体" w:cs="宋体"/>
                <w:color w:val="auto"/>
                <w:sz w:val="24"/>
                <w:highlight w:val="none"/>
              </w:rPr>
            </w:pPr>
          </w:p>
        </w:tc>
      </w:tr>
    </w:tbl>
    <w:p w14:paraId="24CFCC5E">
      <w:pPr>
        <w:snapToGrid w:val="0"/>
        <w:spacing w:line="360" w:lineRule="auto"/>
        <w:rPr>
          <w:rFonts w:hint="eastAsia" w:ascii="宋体" w:hAnsi="宋体"/>
          <w:b/>
          <w:color w:val="auto"/>
          <w:sz w:val="24"/>
          <w:highlight w:val="none"/>
        </w:rPr>
      </w:pPr>
    </w:p>
    <w:p w14:paraId="5352463C">
      <w:pPr>
        <w:rPr>
          <w:rFonts w:hint="eastAsia" w:ascii="宋体" w:hAnsi="宋体" w:cs="宋体"/>
          <w:b/>
          <w:bCs/>
          <w:color w:val="auto"/>
          <w:sz w:val="24"/>
          <w:highlight w:val="none"/>
        </w:rPr>
      </w:pPr>
    </w:p>
    <w:p w14:paraId="282622B8">
      <w:pPr>
        <w:snapToGrid w:val="0"/>
        <w:spacing w:before="50" w:after="156" w:afterLines="50"/>
        <w:ind w:firstLine="482"/>
        <w:jc w:val="left"/>
        <w:rPr>
          <w:rFonts w:ascii="宋体" w:hAnsi="宋体"/>
          <w:b/>
          <w:color w:val="auto"/>
          <w:sz w:val="24"/>
          <w:highlight w:val="none"/>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w:t>
      </w:r>
      <w:bookmarkEnd w:id="46"/>
      <w:bookmarkStart w:id="47" w:name="_Toc5298"/>
      <w:bookmarkStart w:id="48" w:name="_Toc496598991"/>
      <w:r>
        <w:rPr>
          <w:rFonts w:hint="eastAsia" w:ascii="宋体" w:hAnsi="宋体"/>
          <w:b/>
          <w:color w:val="auto"/>
          <w:sz w:val="24"/>
          <w:highlight w:val="none"/>
        </w:rPr>
        <w:t>评分响应表格式：</w:t>
      </w:r>
    </w:p>
    <w:p w14:paraId="303CEFB1">
      <w:pPr>
        <w:snapToGrid w:val="0"/>
        <w:spacing w:before="156" w:beforeLines="50" w:after="50"/>
        <w:ind w:firstLine="482"/>
        <w:rPr>
          <w:rFonts w:ascii="宋体" w:hAnsi="宋体"/>
          <w:b/>
          <w:color w:val="auto"/>
          <w:sz w:val="24"/>
          <w:highlight w:val="none"/>
        </w:rPr>
      </w:pPr>
    </w:p>
    <w:p w14:paraId="0BFEEC97">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▲评分响应表（该表必须填写）</w:t>
      </w:r>
    </w:p>
    <w:p w14:paraId="4DA86C6F">
      <w:pPr>
        <w:snapToGrid w:val="0"/>
        <w:spacing w:before="50" w:after="50" w:line="360" w:lineRule="auto"/>
        <w:ind w:firstLine="482"/>
        <w:rPr>
          <w:rFonts w:ascii="宋体" w:hAnsi="宋体"/>
          <w:b/>
          <w:color w:val="auto"/>
          <w:sz w:val="24"/>
          <w:highlight w:val="none"/>
          <w:u w:val="single"/>
        </w:rPr>
      </w:pPr>
      <w:r>
        <w:rPr>
          <w:rFonts w:hint="eastAsia" w:ascii="宋体" w:hAnsi="宋体"/>
          <w:b/>
          <w:color w:val="auto"/>
          <w:sz w:val="24"/>
          <w:highlight w:val="none"/>
        </w:rPr>
        <w:t>投标单位名称：                             标项：</w:t>
      </w:r>
    </w:p>
    <w:tbl>
      <w:tblPr>
        <w:tblStyle w:val="45"/>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61836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A17556F">
            <w:pPr>
              <w:pStyle w:val="35"/>
              <w:ind w:firstLine="0" w:firstLineChars="0"/>
              <w:jc w:val="center"/>
              <w:rPr>
                <w:rFonts w:ascii="宋体" w:eastAsia="宋体"/>
                <w:b/>
                <w:bCs/>
                <w:color w:val="auto"/>
                <w:highlight w:val="none"/>
              </w:rPr>
            </w:pPr>
            <w:r>
              <w:rPr>
                <w:rFonts w:hint="eastAsia" w:ascii="宋体" w:eastAsia="宋体"/>
                <w:b/>
                <w:bCs/>
                <w:color w:val="auto"/>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2F0D9C5F">
            <w:pPr>
              <w:pStyle w:val="35"/>
              <w:ind w:firstLine="0" w:firstLineChars="0"/>
              <w:jc w:val="center"/>
              <w:rPr>
                <w:rFonts w:ascii="宋体" w:eastAsia="宋体"/>
                <w:b/>
                <w:bCs/>
                <w:color w:val="auto"/>
                <w:highlight w:val="none"/>
              </w:rPr>
            </w:pPr>
            <w:r>
              <w:rPr>
                <w:rFonts w:hint="eastAsia" w:ascii="宋体" w:eastAsia="宋体"/>
                <w:b/>
                <w:bCs/>
                <w:color w:val="auto"/>
                <w:highlight w:val="none"/>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14:paraId="3C662921">
            <w:pPr>
              <w:pStyle w:val="35"/>
              <w:ind w:firstLine="0" w:firstLineChars="0"/>
              <w:rPr>
                <w:rFonts w:ascii="宋体" w:eastAsia="宋体"/>
                <w:b/>
                <w:bCs/>
                <w:color w:val="auto"/>
                <w:highlight w:val="none"/>
              </w:rPr>
            </w:pPr>
            <w:r>
              <w:rPr>
                <w:rFonts w:hint="eastAsia" w:ascii="宋体" w:eastAsia="宋体"/>
                <w:b/>
                <w:bCs/>
                <w:color w:val="auto"/>
                <w:highlight w:val="none"/>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14:paraId="135E5510">
            <w:pPr>
              <w:pStyle w:val="35"/>
              <w:ind w:firstLine="0" w:firstLineChars="0"/>
              <w:jc w:val="center"/>
              <w:rPr>
                <w:rFonts w:ascii="宋体" w:eastAsia="宋体"/>
                <w:b/>
                <w:bCs/>
                <w:color w:val="auto"/>
                <w:highlight w:val="none"/>
              </w:rPr>
            </w:pPr>
            <w:r>
              <w:rPr>
                <w:rFonts w:hint="eastAsia" w:ascii="宋体" w:eastAsia="宋体"/>
                <w:b/>
                <w:bCs/>
                <w:color w:val="auto"/>
                <w:highlight w:val="none"/>
              </w:rPr>
              <w:t>评分标准分值</w:t>
            </w:r>
          </w:p>
        </w:tc>
        <w:tc>
          <w:tcPr>
            <w:tcW w:w="859" w:type="dxa"/>
            <w:tcBorders>
              <w:top w:val="single" w:color="auto" w:sz="4" w:space="0"/>
              <w:left w:val="single" w:color="auto" w:sz="4" w:space="0"/>
              <w:bottom w:val="single" w:color="auto" w:sz="4" w:space="0"/>
              <w:right w:val="single" w:color="auto" w:sz="4" w:space="0"/>
            </w:tcBorders>
            <w:vAlign w:val="center"/>
          </w:tcPr>
          <w:p w14:paraId="10C0BF89">
            <w:pPr>
              <w:pStyle w:val="35"/>
              <w:ind w:firstLine="0" w:firstLineChars="0"/>
              <w:jc w:val="center"/>
              <w:rPr>
                <w:rFonts w:ascii="宋体" w:eastAsia="宋体"/>
                <w:b/>
                <w:bCs/>
                <w:color w:val="auto"/>
                <w:highlight w:val="none"/>
              </w:rPr>
            </w:pPr>
            <w:r>
              <w:rPr>
                <w:rFonts w:hint="eastAsia" w:ascii="宋体" w:eastAsia="宋体"/>
                <w:b/>
                <w:bCs/>
                <w:color w:val="auto"/>
                <w:highlight w:val="none"/>
              </w:rPr>
              <w:t>自评得分</w:t>
            </w:r>
          </w:p>
        </w:tc>
        <w:tc>
          <w:tcPr>
            <w:tcW w:w="1042" w:type="dxa"/>
            <w:tcBorders>
              <w:top w:val="single" w:color="auto" w:sz="4" w:space="0"/>
              <w:left w:val="single" w:color="auto" w:sz="4" w:space="0"/>
              <w:bottom w:val="single" w:color="auto" w:sz="4" w:space="0"/>
              <w:right w:val="single" w:color="auto" w:sz="4" w:space="0"/>
            </w:tcBorders>
            <w:vAlign w:val="center"/>
          </w:tcPr>
          <w:p w14:paraId="3BDF6081">
            <w:pPr>
              <w:pStyle w:val="35"/>
              <w:ind w:firstLine="0" w:firstLineChars="0"/>
              <w:jc w:val="center"/>
              <w:rPr>
                <w:rFonts w:ascii="宋体" w:eastAsia="宋体"/>
                <w:b/>
                <w:bCs/>
                <w:color w:val="auto"/>
                <w:sz w:val="21"/>
                <w:szCs w:val="21"/>
                <w:highlight w:val="none"/>
              </w:rPr>
            </w:pPr>
            <w:r>
              <w:rPr>
                <w:rFonts w:hint="eastAsia" w:ascii="宋体" w:eastAsia="宋体"/>
                <w:b/>
                <w:bCs/>
                <w:color w:val="auto"/>
                <w:sz w:val="21"/>
                <w:szCs w:val="21"/>
                <w:highlight w:val="none"/>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14:paraId="6D582AF2">
            <w:pPr>
              <w:pStyle w:val="35"/>
              <w:ind w:firstLine="0" w:firstLineChars="0"/>
              <w:jc w:val="center"/>
              <w:rPr>
                <w:rFonts w:ascii="宋体" w:eastAsia="宋体"/>
                <w:b/>
                <w:bCs/>
                <w:color w:val="auto"/>
                <w:sz w:val="21"/>
                <w:szCs w:val="21"/>
                <w:highlight w:val="none"/>
              </w:rPr>
            </w:pPr>
            <w:r>
              <w:rPr>
                <w:rFonts w:hint="eastAsia" w:ascii="宋体" w:eastAsia="宋体"/>
                <w:b/>
                <w:bCs/>
                <w:color w:val="auto"/>
                <w:sz w:val="21"/>
                <w:szCs w:val="21"/>
                <w:highlight w:val="none"/>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14:paraId="47EBE235">
            <w:pPr>
              <w:pStyle w:val="35"/>
              <w:ind w:firstLine="0" w:firstLineChars="0"/>
              <w:jc w:val="center"/>
              <w:rPr>
                <w:rFonts w:ascii="宋体" w:eastAsia="宋体"/>
                <w:b/>
                <w:bCs/>
                <w:color w:val="auto"/>
                <w:highlight w:val="none"/>
              </w:rPr>
            </w:pPr>
            <w:r>
              <w:rPr>
                <w:rFonts w:hint="eastAsia" w:ascii="宋体" w:eastAsia="宋体"/>
                <w:b/>
                <w:bCs/>
                <w:color w:val="auto"/>
                <w:highlight w:val="none"/>
              </w:rPr>
              <w:t>页码</w:t>
            </w:r>
          </w:p>
        </w:tc>
      </w:tr>
      <w:tr w14:paraId="1F3F2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F3842A6">
            <w:pPr>
              <w:pStyle w:val="35"/>
              <w:ind w:firstLine="0" w:firstLineChars="0"/>
              <w:jc w:val="center"/>
              <w:rPr>
                <w:rFonts w:ascii="宋体" w:eastAsia="宋体"/>
                <w:b/>
                <w:bCs/>
                <w:color w:val="auto"/>
                <w:highlight w:val="none"/>
              </w:rPr>
            </w:pPr>
            <w:r>
              <w:rPr>
                <w:rFonts w:hint="eastAsia" w:ascii="宋体" w:eastAsia="宋体"/>
                <w:b/>
                <w:bCs/>
                <w:color w:val="auto"/>
                <w:highlight w:val="none"/>
              </w:rPr>
              <w:t>一</w:t>
            </w:r>
          </w:p>
        </w:tc>
        <w:tc>
          <w:tcPr>
            <w:tcW w:w="1276" w:type="dxa"/>
            <w:tcBorders>
              <w:top w:val="single" w:color="auto" w:sz="4" w:space="0"/>
              <w:left w:val="single" w:color="auto" w:sz="4" w:space="0"/>
              <w:bottom w:val="single" w:color="auto" w:sz="4" w:space="0"/>
              <w:right w:val="single" w:color="auto" w:sz="4" w:space="0"/>
            </w:tcBorders>
            <w:vAlign w:val="center"/>
          </w:tcPr>
          <w:p w14:paraId="5CCBD7F3">
            <w:pPr>
              <w:pStyle w:val="35"/>
              <w:ind w:firstLine="0" w:firstLineChars="0"/>
              <w:jc w:val="center"/>
              <w:rPr>
                <w:rFonts w:ascii="宋体" w:eastAsia="宋体"/>
                <w:b/>
                <w:bCs/>
                <w:color w:val="auto"/>
                <w:highlight w:val="none"/>
              </w:rPr>
            </w:pPr>
            <w:r>
              <w:rPr>
                <w:rFonts w:hint="eastAsia" w:ascii="宋体" w:eastAsia="宋体"/>
                <w:b/>
                <w:bCs/>
                <w:color w:val="auto"/>
                <w:highlight w:val="none"/>
              </w:rPr>
              <w:t>技术分</w:t>
            </w:r>
          </w:p>
        </w:tc>
        <w:tc>
          <w:tcPr>
            <w:tcW w:w="1276" w:type="dxa"/>
            <w:tcBorders>
              <w:top w:val="single" w:color="auto" w:sz="4" w:space="0"/>
              <w:left w:val="single" w:color="auto" w:sz="4" w:space="0"/>
              <w:bottom w:val="single" w:color="auto" w:sz="4" w:space="0"/>
              <w:right w:val="single" w:color="auto" w:sz="4" w:space="0"/>
            </w:tcBorders>
            <w:vAlign w:val="center"/>
          </w:tcPr>
          <w:p w14:paraId="5B6D79CD">
            <w:pPr>
              <w:pStyle w:val="35"/>
              <w:ind w:firstLine="482"/>
              <w:jc w:val="center"/>
              <w:rPr>
                <w:rFonts w:ascii="宋体" w:eastAsia="宋体"/>
                <w:b/>
                <w:bCs/>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7735331F">
            <w:pPr>
              <w:pStyle w:val="35"/>
              <w:ind w:firstLine="0" w:firstLineChars="0"/>
              <w:jc w:val="center"/>
              <w:rPr>
                <w:rFonts w:ascii="宋体" w:eastAsia="宋体"/>
                <w:b/>
                <w:bCs/>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2AD06820">
            <w:pPr>
              <w:pStyle w:val="35"/>
              <w:ind w:firstLine="0" w:firstLineChars="0"/>
              <w:jc w:val="center"/>
              <w:rPr>
                <w:rFonts w:ascii="宋体" w:eastAsia="宋体"/>
                <w:b/>
                <w:bCs/>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66F306C9">
            <w:pPr>
              <w:pStyle w:val="35"/>
              <w:ind w:firstLine="0" w:firstLineChars="0"/>
              <w:jc w:val="center"/>
              <w:rPr>
                <w:rFonts w:ascii="宋体" w:eastAsia="宋体"/>
                <w:b/>
                <w:bCs/>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674493">
            <w:pPr>
              <w:pStyle w:val="35"/>
              <w:ind w:firstLine="0" w:firstLineChars="0"/>
              <w:jc w:val="center"/>
              <w:rPr>
                <w:rFonts w:ascii="宋体" w:eastAsia="宋体"/>
                <w:bCs/>
                <w:color w:val="auto"/>
                <w:sz w:val="15"/>
                <w:szCs w:val="15"/>
                <w:highlight w:val="none"/>
              </w:rPr>
            </w:pPr>
            <w:r>
              <w:rPr>
                <w:rFonts w:hint="eastAsia" w:ascii="宋体" w:eastAsia="宋体"/>
                <w:bCs/>
                <w:color w:val="auto"/>
                <w:sz w:val="15"/>
                <w:szCs w:val="15"/>
                <w:highlight w:val="none"/>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14:paraId="785660CC">
            <w:pPr>
              <w:pStyle w:val="35"/>
              <w:ind w:firstLine="0" w:firstLineChars="0"/>
              <w:jc w:val="center"/>
              <w:rPr>
                <w:rFonts w:ascii="宋体" w:eastAsia="宋体"/>
                <w:b/>
                <w:bCs/>
                <w:color w:val="auto"/>
                <w:highlight w:val="none"/>
              </w:rPr>
            </w:pPr>
          </w:p>
        </w:tc>
      </w:tr>
      <w:tr w14:paraId="27951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5CD2F11">
            <w:pPr>
              <w:widowControl/>
              <w:rPr>
                <w:rFonts w:ascii="宋体" w:hAnsi="宋体"/>
                <w:color w:val="auto"/>
                <w:sz w:val="24"/>
                <w:highlight w:val="none"/>
              </w:rPr>
            </w:pPr>
            <w:r>
              <w:rPr>
                <w:rFonts w:hint="eastAsia" w:ascii="宋体" w:hAnsi="宋体"/>
                <w:color w:val="auto"/>
                <w:sz w:val="24"/>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14:paraId="6259F9B7">
            <w:pPr>
              <w:rPr>
                <w:rFonts w:ascii="宋体" w:hAnsi="宋体"/>
                <w:color w:val="auto"/>
                <w:sz w:val="24"/>
                <w:highlight w:val="none"/>
              </w:rPr>
            </w:pPr>
          </w:p>
        </w:tc>
        <w:tc>
          <w:tcPr>
            <w:tcW w:w="1276" w:type="dxa"/>
            <w:tcBorders>
              <w:top w:val="single" w:color="auto" w:sz="4" w:space="0"/>
              <w:left w:val="single" w:color="auto" w:sz="4" w:space="0"/>
              <w:right w:val="single" w:color="auto" w:sz="4" w:space="0"/>
            </w:tcBorders>
            <w:vAlign w:val="center"/>
          </w:tcPr>
          <w:p w14:paraId="07DDA834">
            <w:pPr>
              <w:rPr>
                <w:rFonts w:ascii="宋体" w:hAnsi="宋体"/>
                <w:color w:val="auto"/>
                <w:sz w:val="24"/>
                <w:highlight w:val="none"/>
              </w:rPr>
            </w:pPr>
          </w:p>
        </w:tc>
        <w:tc>
          <w:tcPr>
            <w:tcW w:w="1076" w:type="dxa"/>
            <w:tcBorders>
              <w:top w:val="single" w:color="auto" w:sz="4" w:space="0"/>
              <w:left w:val="single" w:color="auto" w:sz="4" w:space="0"/>
              <w:right w:val="single" w:color="auto" w:sz="4" w:space="0"/>
            </w:tcBorders>
            <w:vAlign w:val="center"/>
          </w:tcPr>
          <w:p w14:paraId="1EBF6A55">
            <w:pPr>
              <w:jc w:val="center"/>
              <w:rPr>
                <w:rFonts w:ascii="宋体" w:hAnsi="宋体"/>
                <w:bCs/>
                <w:color w:val="auto"/>
                <w:sz w:val="24"/>
                <w:highlight w:val="none"/>
              </w:rPr>
            </w:pPr>
          </w:p>
        </w:tc>
        <w:tc>
          <w:tcPr>
            <w:tcW w:w="859" w:type="dxa"/>
            <w:tcBorders>
              <w:top w:val="single" w:color="auto" w:sz="4" w:space="0"/>
              <w:left w:val="single" w:color="auto" w:sz="4" w:space="0"/>
              <w:right w:val="single" w:color="auto" w:sz="4" w:space="0"/>
            </w:tcBorders>
            <w:vAlign w:val="center"/>
          </w:tcPr>
          <w:p w14:paraId="32B78F8E">
            <w:pPr>
              <w:jc w:val="center"/>
              <w:rPr>
                <w:rFonts w:ascii="宋体" w:hAnsi="宋体"/>
                <w:bCs/>
                <w:color w:val="auto"/>
                <w:sz w:val="24"/>
                <w:highlight w:val="none"/>
              </w:rPr>
            </w:pPr>
          </w:p>
        </w:tc>
        <w:tc>
          <w:tcPr>
            <w:tcW w:w="1042" w:type="dxa"/>
            <w:tcBorders>
              <w:top w:val="single" w:color="auto" w:sz="4" w:space="0"/>
              <w:left w:val="single" w:color="auto" w:sz="4" w:space="0"/>
              <w:right w:val="single" w:color="auto" w:sz="4" w:space="0"/>
            </w:tcBorders>
            <w:vAlign w:val="center"/>
          </w:tcPr>
          <w:p w14:paraId="7FE5095B">
            <w:pPr>
              <w:jc w:val="center"/>
              <w:rPr>
                <w:rFonts w:ascii="宋体" w:hAnsi="宋体"/>
                <w:bCs/>
                <w:color w:val="auto"/>
                <w:sz w:val="24"/>
                <w:highlight w:val="none"/>
              </w:rPr>
            </w:pPr>
          </w:p>
        </w:tc>
        <w:tc>
          <w:tcPr>
            <w:tcW w:w="1134" w:type="dxa"/>
            <w:tcBorders>
              <w:top w:val="single" w:color="auto" w:sz="4" w:space="0"/>
              <w:left w:val="single" w:color="auto" w:sz="4" w:space="0"/>
              <w:right w:val="single" w:color="auto" w:sz="4" w:space="0"/>
            </w:tcBorders>
            <w:vAlign w:val="center"/>
          </w:tcPr>
          <w:p w14:paraId="676ED3F0">
            <w:pPr>
              <w:jc w:val="center"/>
              <w:rPr>
                <w:rFonts w:ascii="宋体" w:hAnsi="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14:paraId="10DA81F0">
            <w:pPr>
              <w:jc w:val="center"/>
              <w:rPr>
                <w:rFonts w:ascii="宋体" w:hAnsi="宋体"/>
                <w:bCs/>
                <w:color w:val="auto"/>
                <w:sz w:val="24"/>
                <w:highlight w:val="none"/>
              </w:rPr>
            </w:pPr>
            <w:r>
              <w:rPr>
                <w:rFonts w:hint="eastAsia" w:ascii="宋体" w:hAnsi="宋体"/>
                <w:bCs/>
                <w:color w:val="auto"/>
                <w:sz w:val="24"/>
                <w:highlight w:val="none"/>
              </w:rPr>
              <w:t>详见</w:t>
            </w:r>
            <w:r>
              <w:rPr>
                <w:rFonts w:hint="eastAsia" w:ascii="宋体" w:hAnsi="宋体"/>
                <w:b/>
                <w:bCs/>
                <w:color w:val="auto"/>
                <w:sz w:val="24"/>
                <w:highlight w:val="none"/>
              </w:rPr>
              <w:t>商务技术响应文件</w:t>
            </w:r>
            <w:r>
              <w:rPr>
                <w:rFonts w:hint="eastAsia" w:ascii="宋体" w:hAnsi="宋体"/>
                <w:bCs/>
                <w:color w:val="auto"/>
                <w:sz w:val="24"/>
                <w:highlight w:val="none"/>
              </w:rPr>
              <w:t>第几页</w:t>
            </w:r>
          </w:p>
        </w:tc>
      </w:tr>
      <w:tr w14:paraId="07291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DB8758C">
            <w:pPr>
              <w:widowControl/>
              <w:rPr>
                <w:rFonts w:ascii="宋体" w:hAnsi="宋体"/>
                <w:color w:val="auto"/>
                <w:sz w:val="24"/>
                <w:highlight w:val="none"/>
              </w:rPr>
            </w:pPr>
            <w:r>
              <w:rPr>
                <w:rFonts w:hint="eastAsia" w:ascii="宋体" w:hAnsi="宋体"/>
                <w:color w:val="auto"/>
                <w:sz w:val="24"/>
                <w:highlight w:val="none"/>
              </w:rPr>
              <w:t>2</w:t>
            </w:r>
          </w:p>
        </w:tc>
        <w:tc>
          <w:tcPr>
            <w:tcW w:w="1276" w:type="dxa"/>
            <w:tcBorders>
              <w:top w:val="single" w:color="auto" w:sz="4" w:space="0"/>
              <w:left w:val="single" w:color="auto" w:sz="4" w:space="0"/>
              <w:bottom w:val="single" w:color="auto" w:sz="4" w:space="0"/>
              <w:right w:val="single" w:color="auto" w:sz="4" w:space="0"/>
            </w:tcBorders>
            <w:vAlign w:val="center"/>
          </w:tcPr>
          <w:p w14:paraId="583403A0">
            <w:pPr>
              <w:spacing w:line="320" w:lineRule="exact"/>
              <w:rPr>
                <w:rFonts w:ascii="宋体" w:hAnsi="宋体"/>
                <w:color w:val="auto"/>
                <w:sz w:val="24"/>
                <w:highlight w:val="none"/>
              </w:rPr>
            </w:pPr>
          </w:p>
        </w:tc>
        <w:tc>
          <w:tcPr>
            <w:tcW w:w="1276" w:type="dxa"/>
            <w:tcBorders>
              <w:top w:val="single" w:color="auto" w:sz="4" w:space="0"/>
              <w:left w:val="single" w:color="auto" w:sz="4" w:space="0"/>
              <w:right w:val="single" w:color="auto" w:sz="4" w:space="0"/>
            </w:tcBorders>
            <w:vAlign w:val="center"/>
          </w:tcPr>
          <w:p w14:paraId="6DE37777">
            <w:pPr>
              <w:widowControl/>
              <w:rPr>
                <w:rFonts w:ascii="宋体" w:hAnsi="宋体" w:cs="宋体"/>
                <w:color w:val="auto"/>
                <w:kern w:val="0"/>
                <w:sz w:val="24"/>
                <w:highlight w:val="none"/>
              </w:rPr>
            </w:pPr>
          </w:p>
        </w:tc>
        <w:tc>
          <w:tcPr>
            <w:tcW w:w="1076" w:type="dxa"/>
            <w:tcBorders>
              <w:top w:val="single" w:color="auto" w:sz="4" w:space="0"/>
              <w:left w:val="single" w:color="auto" w:sz="4" w:space="0"/>
              <w:right w:val="single" w:color="auto" w:sz="4" w:space="0"/>
            </w:tcBorders>
            <w:vAlign w:val="center"/>
          </w:tcPr>
          <w:p w14:paraId="03D9B037">
            <w:pPr>
              <w:spacing w:line="320" w:lineRule="exact"/>
              <w:jc w:val="center"/>
              <w:rPr>
                <w:rFonts w:ascii="宋体" w:hAnsi="宋体"/>
                <w:bCs/>
                <w:color w:val="auto"/>
                <w:sz w:val="24"/>
                <w:highlight w:val="none"/>
              </w:rPr>
            </w:pPr>
          </w:p>
        </w:tc>
        <w:tc>
          <w:tcPr>
            <w:tcW w:w="859" w:type="dxa"/>
            <w:tcBorders>
              <w:top w:val="single" w:color="auto" w:sz="4" w:space="0"/>
              <w:left w:val="single" w:color="auto" w:sz="4" w:space="0"/>
              <w:right w:val="single" w:color="auto" w:sz="4" w:space="0"/>
            </w:tcBorders>
            <w:vAlign w:val="center"/>
          </w:tcPr>
          <w:p w14:paraId="5491460F">
            <w:pPr>
              <w:spacing w:line="320" w:lineRule="exact"/>
              <w:jc w:val="center"/>
              <w:rPr>
                <w:rFonts w:ascii="宋体" w:hAnsi="宋体"/>
                <w:bCs/>
                <w:color w:val="auto"/>
                <w:sz w:val="24"/>
                <w:highlight w:val="none"/>
              </w:rPr>
            </w:pPr>
          </w:p>
        </w:tc>
        <w:tc>
          <w:tcPr>
            <w:tcW w:w="1042" w:type="dxa"/>
            <w:tcBorders>
              <w:top w:val="single" w:color="auto" w:sz="4" w:space="0"/>
              <w:left w:val="single" w:color="auto" w:sz="4" w:space="0"/>
              <w:right w:val="single" w:color="auto" w:sz="4" w:space="0"/>
            </w:tcBorders>
            <w:vAlign w:val="center"/>
          </w:tcPr>
          <w:p w14:paraId="510F1068">
            <w:pPr>
              <w:spacing w:line="320" w:lineRule="exact"/>
              <w:jc w:val="center"/>
              <w:rPr>
                <w:rFonts w:ascii="宋体" w:hAnsi="宋体"/>
                <w:bCs/>
                <w:color w:val="auto"/>
                <w:sz w:val="24"/>
                <w:highlight w:val="none"/>
              </w:rPr>
            </w:pPr>
          </w:p>
        </w:tc>
        <w:tc>
          <w:tcPr>
            <w:tcW w:w="1134" w:type="dxa"/>
            <w:tcBorders>
              <w:top w:val="single" w:color="auto" w:sz="4" w:space="0"/>
              <w:left w:val="single" w:color="auto" w:sz="4" w:space="0"/>
              <w:right w:val="single" w:color="auto" w:sz="4" w:space="0"/>
            </w:tcBorders>
            <w:vAlign w:val="center"/>
          </w:tcPr>
          <w:p w14:paraId="52A15288">
            <w:pPr>
              <w:spacing w:line="320" w:lineRule="exact"/>
              <w:jc w:val="center"/>
              <w:rPr>
                <w:rFonts w:ascii="宋体" w:hAnsi="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14:paraId="7A3FC086">
            <w:pPr>
              <w:jc w:val="center"/>
              <w:rPr>
                <w:rFonts w:ascii="宋体" w:hAnsi="宋体"/>
                <w:bCs/>
                <w:color w:val="auto"/>
                <w:sz w:val="24"/>
                <w:highlight w:val="none"/>
              </w:rPr>
            </w:pPr>
            <w:r>
              <w:rPr>
                <w:rFonts w:hint="eastAsia" w:ascii="宋体" w:hAnsi="宋体"/>
                <w:bCs/>
                <w:color w:val="auto"/>
                <w:sz w:val="24"/>
                <w:highlight w:val="none"/>
              </w:rPr>
              <w:t>……</w:t>
            </w:r>
          </w:p>
        </w:tc>
      </w:tr>
      <w:tr w14:paraId="317DC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vAlign w:val="center"/>
          </w:tcPr>
          <w:p w14:paraId="2272916F">
            <w:pPr>
              <w:widowControl/>
              <w:rPr>
                <w:rFonts w:ascii="宋体" w:hAnsi="宋体"/>
                <w:color w:val="auto"/>
                <w:sz w:val="24"/>
                <w:highlight w:val="none"/>
              </w:rPr>
            </w:pPr>
            <w:r>
              <w:rPr>
                <w:rFonts w:hint="eastAsia" w:ascii="宋体" w:hAnsi="宋体"/>
                <w:color w:val="auto"/>
                <w:sz w:val="24"/>
                <w:highlight w:val="none"/>
              </w:rPr>
              <w:t>……</w:t>
            </w:r>
          </w:p>
        </w:tc>
        <w:tc>
          <w:tcPr>
            <w:tcW w:w="1276" w:type="dxa"/>
            <w:tcBorders>
              <w:left w:val="single" w:color="auto" w:sz="4" w:space="0"/>
              <w:bottom w:val="single" w:color="auto" w:sz="4" w:space="0"/>
              <w:right w:val="single" w:color="auto" w:sz="4" w:space="0"/>
            </w:tcBorders>
            <w:vAlign w:val="center"/>
          </w:tcPr>
          <w:p w14:paraId="314FFEE6">
            <w:pPr>
              <w:widowControl/>
              <w:rPr>
                <w:rFonts w:ascii="宋体" w:hAnsi="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9EDB2BF">
            <w:pPr>
              <w:ind w:left="54" w:leftChars="26"/>
              <w:rPr>
                <w:rFonts w:ascii="宋体" w:hAnsi="宋体" w:cs="宋体"/>
                <w:color w:val="auto"/>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5519DB2B">
            <w:pPr>
              <w:spacing w:line="320" w:lineRule="exact"/>
              <w:jc w:val="center"/>
              <w:rPr>
                <w:rFonts w:ascii="宋体" w:hAns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5B20F27">
            <w:pPr>
              <w:spacing w:line="320" w:lineRule="exact"/>
              <w:jc w:val="center"/>
              <w:rPr>
                <w:rFonts w:ascii="宋体" w:hAns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78A604B6">
            <w:pPr>
              <w:spacing w:line="320" w:lineRule="exact"/>
              <w:jc w:val="center"/>
              <w:rPr>
                <w:rFonts w:ascii="宋体" w:hAns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AFBB24">
            <w:pPr>
              <w:spacing w:line="320" w:lineRule="exact"/>
              <w:jc w:val="center"/>
              <w:rPr>
                <w:rFonts w:ascii="宋体" w:hAns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0BFC4968">
            <w:pPr>
              <w:jc w:val="center"/>
              <w:rPr>
                <w:rFonts w:ascii="宋体" w:hAnsi="宋体"/>
                <w:bCs/>
                <w:color w:val="auto"/>
                <w:sz w:val="24"/>
                <w:highlight w:val="none"/>
              </w:rPr>
            </w:pPr>
          </w:p>
        </w:tc>
      </w:tr>
      <w:tr w14:paraId="6F0E5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4CD20C6">
            <w:pPr>
              <w:widowControl/>
              <w:rPr>
                <w:rFonts w:ascii="宋体" w:hAnsi="宋体"/>
                <w:b/>
                <w:color w:val="auto"/>
                <w:sz w:val="24"/>
                <w:highlight w:val="none"/>
              </w:rPr>
            </w:pPr>
            <w:r>
              <w:rPr>
                <w:rFonts w:hint="eastAsia" w:ascii="宋体" w:hAnsi="宋体"/>
                <w:b/>
                <w:color w:val="auto"/>
                <w:sz w:val="24"/>
                <w:highlight w:val="none"/>
              </w:rPr>
              <w:t>二</w:t>
            </w:r>
          </w:p>
        </w:tc>
        <w:tc>
          <w:tcPr>
            <w:tcW w:w="1276" w:type="dxa"/>
            <w:tcBorders>
              <w:top w:val="single" w:color="auto" w:sz="4" w:space="0"/>
              <w:left w:val="single" w:color="auto" w:sz="4" w:space="0"/>
              <w:bottom w:val="single" w:color="auto" w:sz="4" w:space="0"/>
              <w:right w:val="single" w:color="auto" w:sz="4" w:space="0"/>
            </w:tcBorders>
            <w:vAlign w:val="center"/>
          </w:tcPr>
          <w:p w14:paraId="5E919664">
            <w:pPr>
              <w:widowControl/>
              <w:rPr>
                <w:rFonts w:ascii="宋体" w:hAnsi="宋体"/>
                <w:b/>
                <w:color w:val="auto"/>
                <w:sz w:val="24"/>
                <w:highlight w:val="none"/>
              </w:rPr>
            </w:pPr>
            <w:r>
              <w:rPr>
                <w:rFonts w:hint="eastAsia" w:ascii="宋体" w:hAnsi="宋体"/>
                <w:b/>
                <w:color w:val="auto"/>
                <w:sz w:val="24"/>
                <w:highlight w:val="none"/>
              </w:rPr>
              <w:t>商务资信分</w:t>
            </w:r>
          </w:p>
        </w:tc>
        <w:tc>
          <w:tcPr>
            <w:tcW w:w="1276" w:type="dxa"/>
            <w:tcBorders>
              <w:top w:val="single" w:color="auto" w:sz="4" w:space="0"/>
              <w:left w:val="single" w:color="auto" w:sz="4" w:space="0"/>
              <w:bottom w:val="single" w:color="auto" w:sz="4" w:space="0"/>
              <w:right w:val="single" w:color="auto" w:sz="4" w:space="0"/>
            </w:tcBorders>
            <w:vAlign w:val="center"/>
          </w:tcPr>
          <w:p w14:paraId="1C908057">
            <w:pPr>
              <w:pStyle w:val="35"/>
              <w:ind w:firstLine="0" w:firstLineChars="0"/>
              <w:jc w:val="both"/>
              <w:rPr>
                <w:rFonts w:ascii="宋体" w:eastAsia="宋体"/>
                <w:b/>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4D821A18">
            <w:pPr>
              <w:pStyle w:val="35"/>
              <w:ind w:firstLine="0" w:firstLineChars="0"/>
              <w:jc w:val="center"/>
              <w:rPr>
                <w:rFonts w:ascii="宋体" w:eastAsia="宋体"/>
                <w:b/>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38DCC84D">
            <w:pPr>
              <w:pStyle w:val="35"/>
              <w:ind w:firstLine="0" w:firstLineChars="0"/>
              <w:jc w:val="center"/>
              <w:rPr>
                <w:rFonts w:ascii="宋体" w:eastAsia="宋体"/>
                <w:b/>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61EC8343">
            <w:pPr>
              <w:pStyle w:val="35"/>
              <w:ind w:firstLine="0" w:firstLineChars="0"/>
              <w:jc w:val="center"/>
              <w:rPr>
                <w:rFonts w:ascii="宋体" w:eastAsia="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4679C8">
            <w:pPr>
              <w:pStyle w:val="35"/>
              <w:ind w:firstLine="0" w:firstLineChars="0"/>
              <w:jc w:val="center"/>
              <w:rPr>
                <w:rFonts w:ascii="宋体" w:eastAsia="宋体"/>
                <w:b/>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7C3844D4">
            <w:pPr>
              <w:pStyle w:val="35"/>
              <w:ind w:firstLine="0" w:firstLineChars="0"/>
              <w:jc w:val="center"/>
              <w:rPr>
                <w:rFonts w:ascii="宋体" w:eastAsia="宋体"/>
                <w:b/>
                <w:color w:val="auto"/>
                <w:highlight w:val="none"/>
              </w:rPr>
            </w:pPr>
          </w:p>
        </w:tc>
      </w:tr>
      <w:tr w14:paraId="0FCA6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C73EA61">
            <w:pPr>
              <w:widowControl/>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A6D839E">
            <w:pPr>
              <w:spacing w:line="320" w:lineRule="exact"/>
              <w:rPr>
                <w:rFonts w:ascii="宋体" w:hAnsi="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B99D2A">
            <w:pPr>
              <w:spacing w:line="320" w:lineRule="exact"/>
              <w:rPr>
                <w:rFonts w:ascii="宋体" w:hAnsi="宋体"/>
                <w:color w:val="auto"/>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090CFFD8">
            <w:pPr>
              <w:pStyle w:val="35"/>
              <w:ind w:firstLine="0" w:firstLineChars="0"/>
              <w:jc w:val="center"/>
              <w:rPr>
                <w:rFonts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B5E2158">
            <w:pPr>
              <w:pStyle w:val="35"/>
              <w:ind w:firstLine="0" w:firstLineChars="0"/>
              <w:jc w:val="center"/>
              <w:rPr>
                <w:rFonts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7FD0C2C7">
            <w:pPr>
              <w:pStyle w:val="35"/>
              <w:ind w:firstLine="0" w:firstLineChars="0"/>
              <w:jc w:val="center"/>
              <w:rPr>
                <w:rFonts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B2D5D1">
            <w:pPr>
              <w:pStyle w:val="35"/>
              <w:ind w:firstLine="0" w:firstLineChars="0"/>
              <w:jc w:val="center"/>
              <w:rPr>
                <w:rFonts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170954DD">
            <w:pPr>
              <w:jc w:val="center"/>
              <w:rPr>
                <w:rFonts w:ascii="宋体" w:hAnsi="宋体"/>
                <w:bCs/>
                <w:color w:val="auto"/>
                <w:sz w:val="24"/>
                <w:highlight w:val="none"/>
              </w:rPr>
            </w:pPr>
            <w:r>
              <w:rPr>
                <w:rFonts w:hint="eastAsia" w:ascii="宋体" w:hAnsi="宋体"/>
                <w:bCs/>
                <w:color w:val="auto"/>
                <w:sz w:val="24"/>
                <w:highlight w:val="none"/>
              </w:rPr>
              <w:t>详见</w:t>
            </w:r>
            <w:r>
              <w:rPr>
                <w:rFonts w:hint="eastAsia" w:ascii="宋体" w:hAnsi="宋体"/>
                <w:b/>
                <w:bCs/>
                <w:color w:val="auto"/>
                <w:sz w:val="24"/>
                <w:highlight w:val="none"/>
              </w:rPr>
              <w:t>商务技术响应文件</w:t>
            </w:r>
          </w:p>
          <w:p w14:paraId="0B605E36">
            <w:pPr>
              <w:jc w:val="center"/>
              <w:rPr>
                <w:rFonts w:ascii="宋体" w:hAnsi="宋体"/>
                <w:bCs/>
                <w:color w:val="auto"/>
                <w:sz w:val="24"/>
                <w:highlight w:val="none"/>
              </w:rPr>
            </w:pPr>
            <w:r>
              <w:rPr>
                <w:rFonts w:hint="eastAsia" w:ascii="宋体" w:hAnsi="宋体"/>
                <w:bCs/>
                <w:color w:val="auto"/>
                <w:sz w:val="24"/>
                <w:highlight w:val="none"/>
              </w:rPr>
              <w:t>第几页</w:t>
            </w:r>
          </w:p>
        </w:tc>
      </w:tr>
      <w:tr w14:paraId="29FBE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608D518">
            <w:pPr>
              <w:widowControl/>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CBB3487">
            <w:pPr>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8CF20E8">
            <w:pPr>
              <w:rPr>
                <w:rFonts w:ascii="宋体" w:hAnsi="宋体"/>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65DC6CF0">
            <w:pPr>
              <w:pStyle w:val="35"/>
              <w:ind w:firstLine="0" w:firstLineChars="0"/>
              <w:jc w:val="center"/>
              <w:rPr>
                <w:rFonts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40BAA17F">
            <w:pPr>
              <w:pStyle w:val="35"/>
              <w:ind w:firstLine="0" w:firstLineChars="0"/>
              <w:jc w:val="center"/>
              <w:rPr>
                <w:rFonts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31D97B71">
            <w:pPr>
              <w:pStyle w:val="35"/>
              <w:ind w:firstLine="0" w:firstLineChars="0"/>
              <w:jc w:val="center"/>
              <w:rPr>
                <w:rFonts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500950">
            <w:pPr>
              <w:pStyle w:val="35"/>
              <w:ind w:firstLine="0" w:firstLineChars="0"/>
              <w:jc w:val="center"/>
              <w:rPr>
                <w:rFonts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4534BD85">
            <w:pPr>
              <w:pStyle w:val="35"/>
              <w:ind w:firstLine="0" w:firstLineChars="0"/>
              <w:jc w:val="center"/>
              <w:rPr>
                <w:rFonts w:ascii="宋体" w:eastAsia="宋体"/>
                <w:color w:val="auto"/>
                <w:highlight w:val="none"/>
              </w:rPr>
            </w:pPr>
            <w:r>
              <w:rPr>
                <w:rFonts w:hint="eastAsia" w:ascii="宋体" w:eastAsia="宋体"/>
                <w:color w:val="auto"/>
                <w:highlight w:val="none"/>
              </w:rPr>
              <w:t>……</w:t>
            </w:r>
          </w:p>
        </w:tc>
      </w:tr>
      <w:tr w14:paraId="23F8A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5FC423B">
            <w:pPr>
              <w:widowControl/>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4B55F96">
            <w:pPr>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98B4910">
            <w:pPr>
              <w:rPr>
                <w:rFonts w:ascii="宋体" w:hAnsi="宋体"/>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1EF10525">
            <w:pPr>
              <w:pStyle w:val="35"/>
              <w:ind w:firstLine="0" w:firstLineChars="0"/>
              <w:jc w:val="center"/>
              <w:rPr>
                <w:rFonts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21D12B6B">
            <w:pPr>
              <w:pStyle w:val="35"/>
              <w:ind w:firstLine="0" w:firstLineChars="0"/>
              <w:jc w:val="center"/>
              <w:rPr>
                <w:rFonts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69015992">
            <w:pPr>
              <w:pStyle w:val="35"/>
              <w:ind w:firstLine="0" w:firstLineChars="0"/>
              <w:jc w:val="center"/>
              <w:rPr>
                <w:rFonts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431BF0">
            <w:pPr>
              <w:pStyle w:val="35"/>
              <w:ind w:firstLine="0" w:firstLineChars="0"/>
              <w:jc w:val="center"/>
              <w:rPr>
                <w:rFonts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3E940C7D">
            <w:pPr>
              <w:pStyle w:val="35"/>
              <w:ind w:firstLine="0" w:firstLineChars="0"/>
              <w:jc w:val="center"/>
              <w:rPr>
                <w:rFonts w:ascii="宋体" w:eastAsia="宋体"/>
                <w:color w:val="auto"/>
                <w:highlight w:val="none"/>
              </w:rPr>
            </w:pPr>
          </w:p>
        </w:tc>
      </w:tr>
      <w:tr w14:paraId="3F837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14:paraId="345305C8">
            <w:pPr>
              <w:widowControl/>
              <w:rPr>
                <w:rFonts w:ascii="宋体" w:hAnsi="宋体"/>
                <w:color w:val="auto"/>
                <w:sz w:val="24"/>
                <w:highlight w:val="none"/>
              </w:rPr>
            </w:pPr>
          </w:p>
        </w:tc>
        <w:tc>
          <w:tcPr>
            <w:tcW w:w="1276" w:type="dxa"/>
            <w:tcBorders>
              <w:left w:val="single" w:color="auto" w:sz="4" w:space="0"/>
              <w:bottom w:val="single" w:color="auto" w:sz="4" w:space="0"/>
              <w:right w:val="single" w:color="auto" w:sz="4" w:space="0"/>
            </w:tcBorders>
            <w:vAlign w:val="center"/>
          </w:tcPr>
          <w:p w14:paraId="4C3A4128">
            <w:pPr>
              <w:widowControl/>
              <w:ind w:firstLine="482"/>
              <w:rPr>
                <w:rFonts w:ascii="宋体" w:hAnsi="宋体"/>
                <w:b/>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8DC0501">
            <w:pPr>
              <w:pStyle w:val="35"/>
              <w:ind w:firstLine="0" w:firstLineChars="0"/>
              <w:jc w:val="both"/>
              <w:rPr>
                <w:rFonts w:ascii="宋体" w:eastAsia="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3FCF8EA8">
            <w:pPr>
              <w:widowControl/>
              <w:ind w:firstLine="482"/>
              <w:jc w:val="center"/>
              <w:rPr>
                <w:rFonts w:ascii="宋体" w:hAnsi="宋体"/>
                <w:b/>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109FD921">
            <w:pPr>
              <w:widowControl/>
              <w:ind w:firstLine="482"/>
              <w:jc w:val="center"/>
              <w:rPr>
                <w:rFonts w:ascii="宋体" w:hAnsi="宋体"/>
                <w:b/>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5BDADAF9">
            <w:pPr>
              <w:widowControl/>
              <w:ind w:firstLine="482"/>
              <w:jc w:val="center"/>
              <w:rPr>
                <w:rFonts w:ascii="宋体" w:hAns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DEB478">
            <w:pPr>
              <w:widowControl/>
              <w:ind w:firstLine="482"/>
              <w:jc w:val="center"/>
              <w:rPr>
                <w:rFonts w:ascii="宋体" w:hAnsi="宋体"/>
                <w:b/>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713A9009">
            <w:pPr>
              <w:widowControl/>
              <w:ind w:firstLine="482"/>
              <w:jc w:val="center"/>
              <w:rPr>
                <w:rFonts w:ascii="宋体" w:hAnsi="宋体"/>
                <w:b/>
                <w:color w:val="auto"/>
                <w:sz w:val="24"/>
                <w:highlight w:val="none"/>
              </w:rPr>
            </w:pPr>
          </w:p>
        </w:tc>
      </w:tr>
      <w:tr w14:paraId="28F7D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14:paraId="5B442F17">
            <w:pPr>
              <w:widowControl/>
              <w:rPr>
                <w:rFonts w:ascii="宋体" w:hAnsi="宋体"/>
                <w:color w:val="auto"/>
                <w:sz w:val="24"/>
                <w:highlight w:val="none"/>
              </w:rPr>
            </w:pPr>
          </w:p>
        </w:tc>
        <w:tc>
          <w:tcPr>
            <w:tcW w:w="1276" w:type="dxa"/>
            <w:tcBorders>
              <w:left w:val="single" w:color="auto" w:sz="4" w:space="0"/>
              <w:bottom w:val="single" w:color="auto" w:sz="4" w:space="0"/>
              <w:right w:val="single" w:color="auto" w:sz="4" w:space="0"/>
            </w:tcBorders>
            <w:vAlign w:val="center"/>
          </w:tcPr>
          <w:p w14:paraId="03E025F9">
            <w:pPr>
              <w:spacing w:line="320" w:lineRule="exact"/>
              <w:rPr>
                <w:rFonts w:ascii="宋体" w:hAns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72FEE48">
            <w:pPr>
              <w:rPr>
                <w:rFonts w:ascii="宋体" w:hAnsi="宋体"/>
                <w:bCs/>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615E2E21">
            <w:pPr>
              <w:spacing w:line="320" w:lineRule="exact"/>
              <w:jc w:val="center"/>
              <w:rPr>
                <w:rFonts w:ascii="宋体" w:hAns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54F32A68">
            <w:pPr>
              <w:spacing w:line="320" w:lineRule="exact"/>
              <w:jc w:val="center"/>
              <w:rPr>
                <w:rFonts w:ascii="宋体" w:hAns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0489D3E5">
            <w:pPr>
              <w:spacing w:line="320" w:lineRule="exact"/>
              <w:jc w:val="center"/>
              <w:rPr>
                <w:rFonts w:ascii="宋体" w:hAns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0857D52">
            <w:pPr>
              <w:spacing w:line="320" w:lineRule="exact"/>
              <w:jc w:val="center"/>
              <w:rPr>
                <w:rFonts w:ascii="宋体" w:hAns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600062C9">
            <w:pPr>
              <w:jc w:val="center"/>
              <w:rPr>
                <w:rFonts w:ascii="宋体" w:hAnsi="宋体"/>
                <w:bCs/>
                <w:color w:val="auto"/>
                <w:sz w:val="24"/>
                <w:highlight w:val="none"/>
              </w:rPr>
            </w:pPr>
            <w:r>
              <w:rPr>
                <w:rFonts w:hint="eastAsia" w:ascii="宋体" w:hAnsi="宋体"/>
                <w:bCs/>
                <w:color w:val="auto"/>
                <w:sz w:val="24"/>
                <w:highlight w:val="none"/>
              </w:rPr>
              <w:t>详见</w:t>
            </w:r>
            <w:r>
              <w:rPr>
                <w:rFonts w:hint="eastAsia" w:ascii="宋体" w:hAnsi="宋体"/>
                <w:b/>
                <w:bCs/>
                <w:color w:val="auto"/>
                <w:sz w:val="24"/>
                <w:highlight w:val="none"/>
              </w:rPr>
              <w:t>商务技术响应文件</w:t>
            </w:r>
          </w:p>
          <w:p w14:paraId="17C27AF0">
            <w:pPr>
              <w:jc w:val="center"/>
              <w:rPr>
                <w:rFonts w:ascii="宋体" w:hAnsi="宋体"/>
                <w:bCs/>
                <w:color w:val="auto"/>
                <w:sz w:val="24"/>
                <w:highlight w:val="none"/>
              </w:rPr>
            </w:pPr>
            <w:r>
              <w:rPr>
                <w:rFonts w:hint="eastAsia" w:ascii="宋体" w:hAnsi="宋体"/>
                <w:bCs/>
                <w:color w:val="auto"/>
                <w:sz w:val="24"/>
                <w:highlight w:val="none"/>
              </w:rPr>
              <w:t>第几页</w:t>
            </w:r>
          </w:p>
        </w:tc>
      </w:tr>
      <w:tr w14:paraId="1A895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94F0433">
            <w:pPr>
              <w:widowControl/>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18C0952">
            <w:pPr>
              <w:spacing w:line="320" w:lineRule="exact"/>
              <w:rPr>
                <w:rFonts w:ascii="宋体" w:hAns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EC913FD">
            <w:pPr>
              <w:rPr>
                <w:rFonts w:ascii="宋体" w:hAnsi="宋体"/>
                <w:bCs/>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66C694DC">
            <w:pPr>
              <w:spacing w:line="320" w:lineRule="exact"/>
              <w:jc w:val="center"/>
              <w:rPr>
                <w:rFonts w:ascii="宋体" w:hAns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5CCD6D4F">
            <w:pPr>
              <w:spacing w:line="320" w:lineRule="exact"/>
              <w:jc w:val="center"/>
              <w:rPr>
                <w:rFonts w:ascii="宋体" w:hAns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7CAFC1CB">
            <w:pPr>
              <w:spacing w:line="320" w:lineRule="exact"/>
              <w:jc w:val="center"/>
              <w:rPr>
                <w:rFonts w:ascii="宋体" w:hAns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4385948">
            <w:pPr>
              <w:spacing w:line="320" w:lineRule="exact"/>
              <w:jc w:val="center"/>
              <w:rPr>
                <w:rFonts w:ascii="宋体" w:hAns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6CDB410E">
            <w:pPr>
              <w:jc w:val="center"/>
              <w:rPr>
                <w:rFonts w:ascii="宋体" w:hAnsi="宋体"/>
                <w:bCs/>
                <w:color w:val="auto"/>
                <w:sz w:val="24"/>
                <w:highlight w:val="none"/>
              </w:rPr>
            </w:pPr>
            <w:r>
              <w:rPr>
                <w:rFonts w:hint="eastAsia" w:ascii="宋体" w:hAnsi="宋体"/>
                <w:bCs/>
                <w:color w:val="auto"/>
                <w:sz w:val="24"/>
                <w:highlight w:val="none"/>
              </w:rPr>
              <w:t>……</w:t>
            </w:r>
          </w:p>
        </w:tc>
      </w:tr>
      <w:tr w14:paraId="50B20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F67935F">
            <w:pPr>
              <w:widowControl/>
              <w:rPr>
                <w:rFonts w:ascii="宋体" w:hAns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64A0A53">
            <w:pPr>
              <w:spacing w:line="320" w:lineRule="exact"/>
              <w:rPr>
                <w:rFonts w:ascii="宋体" w:hAns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B0509CA">
            <w:pPr>
              <w:rPr>
                <w:rFonts w:ascii="宋体" w:hAnsi="宋体"/>
                <w:bCs/>
                <w:color w:val="auto"/>
                <w:sz w:val="24"/>
                <w:highlight w:val="none"/>
              </w:rPr>
            </w:pPr>
          </w:p>
        </w:tc>
        <w:tc>
          <w:tcPr>
            <w:tcW w:w="1076" w:type="dxa"/>
            <w:tcBorders>
              <w:top w:val="single" w:color="auto" w:sz="4" w:space="0"/>
              <w:left w:val="single" w:color="auto" w:sz="4" w:space="0"/>
              <w:right w:val="single" w:color="auto" w:sz="4" w:space="0"/>
            </w:tcBorders>
            <w:vAlign w:val="center"/>
          </w:tcPr>
          <w:p w14:paraId="51EFF6E2">
            <w:pPr>
              <w:spacing w:line="320" w:lineRule="exact"/>
              <w:jc w:val="center"/>
              <w:rPr>
                <w:rFonts w:ascii="宋体" w:hAnsi="宋体"/>
                <w:bCs/>
                <w:color w:val="auto"/>
                <w:sz w:val="24"/>
                <w:highlight w:val="none"/>
              </w:rPr>
            </w:pPr>
          </w:p>
        </w:tc>
        <w:tc>
          <w:tcPr>
            <w:tcW w:w="859" w:type="dxa"/>
            <w:tcBorders>
              <w:top w:val="single" w:color="auto" w:sz="4" w:space="0"/>
              <w:left w:val="single" w:color="auto" w:sz="4" w:space="0"/>
              <w:right w:val="single" w:color="auto" w:sz="4" w:space="0"/>
            </w:tcBorders>
            <w:vAlign w:val="center"/>
          </w:tcPr>
          <w:p w14:paraId="7D2236DB">
            <w:pPr>
              <w:spacing w:line="320" w:lineRule="exact"/>
              <w:jc w:val="center"/>
              <w:rPr>
                <w:rFonts w:ascii="宋体" w:hAnsi="宋体"/>
                <w:bCs/>
                <w:color w:val="auto"/>
                <w:sz w:val="24"/>
                <w:highlight w:val="none"/>
              </w:rPr>
            </w:pPr>
          </w:p>
        </w:tc>
        <w:tc>
          <w:tcPr>
            <w:tcW w:w="1042" w:type="dxa"/>
            <w:tcBorders>
              <w:top w:val="single" w:color="auto" w:sz="4" w:space="0"/>
              <w:left w:val="single" w:color="auto" w:sz="4" w:space="0"/>
              <w:right w:val="single" w:color="auto" w:sz="4" w:space="0"/>
            </w:tcBorders>
            <w:vAlign w:val="center"/>
          </w:tcPr>
          <w:p w14:paraId="27ED05B8">
            <w:pPr>
              <w:spacing w:line="320" w:lineRule="exact"/>
              <w:jc w:val="center"/>
              <w:rPr>
                <w:rFonts w:ascii="宋体" w:hAnsi="宋体"/>
                <w:bCs/>
                <w:color w:val="auto"/>
                <w:sz w:val="24"/>
                <w:highlight w:val="none"/>
              </w:rPr>
            </w:pPr>
          </w:p>
        </w:tc>
        <w:tc>
          <w:tcPr>
            <w:tcW w:w="1134" w:type="dxa"/>
            <w:tcBorders>
              <w:top w:val="single" w:color="auto" w:sz="4" w:space="0"/>
              <w:left w:val="single" w:color="auto" w:sz="4" w:space="0"/>
              <w:right w:val="single" w:color="auto" w:sz="4" w:space="0"/>
            </w:tcBorders>
            <w:vAlign w:val="center"/>
          </w:tcPr>
          <w:p w14:paraId="4CE25DDC">
            <w:pPr>
              <w:spacing w:line="320" w:lineRule="exact"/>
              <w:jc w:val="center"/>
              <w:rPr>
                <w:rFonts w:ascii="宋体" w:hAnsi="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14:paraId="562B5BAF">
            <w:pPr>
              <w:jc w:val="center"/>
              <w:rPr>
                <w:rFonts w:ascii="宋体" w:hAnsi="宋体"/>
                <w:bCs/>
                <w:color w:val="auto"/>
                <w:sz w:val="24"/>
                <w:highlight w:val="none"/>
              </w:rPr>
            </w:pPr>
          </w:p>
        </w:tc>
      </w:tr>
    </w:tbl>
    <w:p w14:paraId="14C49BB8">
      <w:pPr>
        <w:snapToGrid w:val="0"/>
        <w:spacing w:before="50" w:after="50"/>
        <w:rPr>
          <w:rFonts w:ascii="宋体" w:hAnsi="宋体"/>
          <w:color w:val="auto"/>
          <w:sz w:val="24"/>
          <w:highlight w:val="none"/>
        </w:rPr>
      </w:pPr>
    </w:p>
    <w:p w14:paraId="1AD2B0F9">
      <w:pPr>
        <w:snapToGrid w:val="0"/>
        <w:rPr>
          <w:rFonts w:ascii="宋体" w:hAnsi="宋体"/>
          <w:color w:val="auto"/>
          <w:sz w:val="24"/>
          <w:highlight w:val="none"/>
        </w:rPr>
      </w:pPr>
      <w:r>
        <w:rPr>
          <w:rFonts w:hint="eastAsia" w:ascii="宋体" w:hAnsi="宋体"/>
          <w:color w:val="auto"/>
          <w:sz w:val="24"/>
          <w:highlight w:val="none"/>
        </w:rPr>
        <w:t>注：1、投标单位根据所投标项的评分表内容，按此格式提供评分响应表置于商务技术响应文件第1页。</w:t>
      </w:r>
    </w:p>
    <w:p w14:paraId="1EBAD88C">
      <w:pPr>
        <w:pStyle w:val="14"/>
        <w:ind w:firstLine="480" w:firstLineChars="200"/>
        <w:rPr>
          <w:rFonts w:ascii="宋体" w:hAnsi="宋体"/>
          <w:b/>
          <w:bCs/>
          <w:color w:val="auto"/>
          <w:sz w:val="24"/>
          <w:highlight w:val="none"/>
        </w:rPr>
      </w:pPr>
      <w:r>
        <w:rPr>
          <w:rFonts w:hint="eastAsia" w:ascii="宋体" w:hAnsi="宋体"/>
          <w:b/>
          <w:bCs/>
          <w:color w:val="auto"/>
          <w:sz w:val="24"/>
          <w:highlight w:val="none"/>
        </w:rPr>
        <w:t>2、自评得分=其中肯定能得分分值+可能可以得分分值</w:t>
      </w:r>
    </w:p>
    <w:p w14:paraId="59FF9AC2">
      <w:pPr>
        <w:snapToGrid w:val="0"/>
        <w:rPr>
          <w:rFonts w:ascii="宋体" w:hAnsi="宋体"/>
          <w:color w:val="auto"/>
          <w:sz w:val="24"/>
          <w:highlight w:val="none"/>
        </w:rPr>
      </w:pPr>
      <w:r>
        <w:rPr>
          <w:rFonts w:hint="eastAsia" w:ascii="宋体" w:hAnsi="宋体"/>
          <w:color w:val="auto"/>
          <w:sz w:val="24"/>
          <w:highlight w:val="none"/>
        </w:rPr>
        <w:t xml:space="preserve">    3、上表中客观分得分分值须认真填写</w:t>
      </w:r>
    </w:p>
    <w:p w14:paraId="75086518">
      <w:pPr>
        <w:snapToGrid w:val="0"/>
        <w:ind w:firstLine="480" w:firstLineChars="200"/>
        <w:rPr>
          <w:rFonts w:ascii="宋体" w:hAnsi="宋体"/>
          <w:color w:val="auto"/>
          <w:sz w:val="24"/>
          <w:highlight w:val="none"/>
        </w:rPr>
      </w:pPr>
      <w:r>
        <w:rPr>
          <w:rFonts w:hint="eastAsia" w:ascii="宋体" w:hAnsi="宋体"/>
          <w:color w:val="auto"/>
          <w:sz w:val="24"/>
          <w:highlight w:val="none"/>
        </w:rPr>
        <w:t>4、评标委员会仅在供应商标注的页码范围内寻找评标依据，未标注页码范围或页码标注不准确造成评标委员会漏评的责任由供应商自行承担。</w:t>
      </w:r>
    </w:p>
    <w:p w14:paraId="0C7339E0">
      <w:pPr>
        <w:pStyle w:val="14"/>
        <w:rPr>
          <w:rFonts w:ascii="宋体" w:hAnsi="宋体" w:cs="宋体"/>
          <w:color w:val="auto"/>
          <w:sz w:val="24"/>
          <w:highlight w:val="none"/>
        </w:rPr>
      </w:pPr>
    </w:p>
    <w:p w14:paraId="73C0ADB7">
      <w:pPr>
        <w:pStyle w:val="14"/>
        <w:rPr>
          <w:rFonts w:ascii="宋体" w:hAnsi="宋体" w:cs="宋体"/>
          <w:color w:val="auto"/>
          <w:sz w:val="24"/>
          <w:highlight w:val="none"/>
        </w:rPr>
      </w:pPr>
    </w:p>
    <w:p w14:paraId="791AACB0">
      <w:pPr>
        <w:pStyle w:val="14"/>
        <w:ind w:firstLine="482"/>
        <w:rPr>
          <w:rFonts w:ascii="宋体" w:hAnsi="宋体"/>
          <w:b/>
          <w:color w:val="auto"/>
          <w:sz w:val="24"/>
          <w:highlight w:val="none"/>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w:t>
      </w:r>
      <w:bookmarkEnd w:id="47"/>
      <w:bookmarkEnd w:id="48"/>
      <w:r>
        <w:rPr>
          <w:rFonts w:hint="eastAsia" w:ascii="宋体" w:hAnsi="宋体"/>
          <w:b/>
          <w:bCs/>
          <w:color w:val="auto"/>
          <w:sz w:val="24"/>
          <w:highlight w:val="none"/>
        </w:rPr>
        <w:t>同</w:t>
      </w:r>
      <w:r>
        <w:rPr>
          <w:rFonts w:hint="eastAsia" w:ascii="宋体" w:hAnsi="宋体"/>
          <w:b/>
          <w:color w:val="auto"/>
          <w:sz w:val="24"/>
          <w:highlight w:val="none"/>
        </w:rPr>
        <w:t>类项目业绩一览表</w:t>
      </w:r>
    </w:p>
    <w:p w14:paraId="7B79C603">
      <w:pPr>
        <w:widowControl/>
        <w:ind w:firstLine="562"/>
        <w:jc w:val="center"/>
        <w:rPr>
          <w:b/>
          <w:color w:val="auto"/>
          <w:kern w:val="0"/>
          <w:sz w:val="28"/>
          <w:szCs w:val="28"/>
          <w:highlight w:val="none"/>
        </w:rPr>
      </w:pPr>
      <w:r>
        <w:rPr>
          <w:rFonts w:hint="eastAsia"/>
          <w:b/>
          <w:color w:val="auto"/>
          <w:kern w:val="0"/>
          <w:sz w:val="28"/>
          <w:szCs w:val="28"/>
          <w:highlight w:val="none"/>
        </w:rPr>
        <w:t>同类项目业绩一览表</w:t>
      </w:r>
    </w:p>
    <w:p w14:paraId="19F49C59">
      <w:pPr>
        <w:widowControl/>
        <w:jc w:val="left"/>
        <w:rPr>
          <w:color w:val="auto"/>
          <w:kern w:val="0"/>
          <w:sz w:val="24"/>
          <w:szCs w:val="20"/>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6D9E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17A42232">
            <w:pPr>
              <w:jc w:val="center"/>
              <w:rPr>
                <w:rFonts w:ascii="宋体"/>
                <w:color w:val="auto"/>
                <w:sz w:val="24"/>
                <w:highlight w:val="none"/>
                <w:lang w:val="zh-CN"/>
              </w:rPr>
            </w:pPr>
            <w:r>
              <w:rPr>
                <w:rFonts w:hint="eastAsia" w:ascii="宋体" w:hAnsi="宋体"/>
                <w:color w:val="auto"/>
                <w:sz w:val="24"/>
                <w:highlight w:val="none"/>
                <w:lang w:val="zh-CN"/>
              </w:rPr>
              <w:t>项目名称</w:t>
            </w:r>
          </w:p>
        </w:tc>
        <w:tc>
          <w:tcPr>
            <w:tcW w:w="1312" w:type="dxa"/>
            <w:vAlign w:val="center"/>
          </w:tcPr>
          <w:p w14:paraId="514AA4D3">
            <w:pPr>
              <w:jc w:val="center"/>
              <w:rPr>
                <w:rFonts w:ascii="宋体"/>
                <w:color w:val="auto"/>
                <w:sz w:val="24"/>
                <w:highlight w:val="none"/>
                <w:lang w:val="zh-CN"/>
              </w:rPr>
            </w:pPr>
            <w:r>
              <w:rPr>
                <w:rFonts w:hint="eastAsia" w:ascii="宋体" w:hAnsi="宋体"/>
                <w:color w:val="auto"/>
                <w:sz w:val="24"/>
                <w:highlight w:val="none"/>
                <w:lang w:val="zh-CN"/>
              </w:rPr>
              <w:t>项目</w:t>
            </w:r>
          </w:p>
          <w:p w14:paraId="6A5C9E07">
            <w:pPr>
              <w:jc w:val="center"/>
              <w:rPr>
                <w:rFonts w:ascii="宋体"/>
                <w:color w:val="auto"/>
                <w:sz w:val="24"/>
                <w:highlight w:val="none"/>
                <w:lang w:val="zh-CN"/>
              </w:rPr>
            </w:pPr>
            <w:r>
              <w:rPr>
                <w:rFonts w:hint="eastAsia" w:ascii="宋体" w:hAnsi="宋体"/>
                <w:color w:val="auto"/>
                <w:sz w:val="24"/>
                <w:highlight w:val="none"/>
                <w:lang w:val="zh-CN"/>
              </w:rPr>
              <w:t>类型</w:t>
            </w:r>
          </w:p>
        </w:tc>
        <w:tc>
          <w:tcPr>
            <w:tcW w:w="1312" w:type="dxa"/>
            <w:vAlign w:val="center"/>
          </w:tcPr>
          <w:p w14:paraId="00A5AF97">
            <w:pPr>
              <w:jc w:val="center"/>
              <w:rPr>
                <w:rFonts w:ascii="宋体"/>
                <w:color w:val="auto"/>
                <w:sz w:val="24"/>
                <w:highlight w:val="none"/>
                <w:lang w:val="zh-CN"/>
              </w:rPr>
            </w:pPr>
            <w:r>
              <w:rPr>
                <w:rFonts w:hint="eastAsia" w:ascii="宋体" w:hAnsi="宋体"/>
                <w:color w:val="auto"/>
                <w:sz w:val="24"/>
                <w:highlight w:val="none"/>
                <w:lang w:val="zh-CN"/>
              </w:rPr>
              <w:t>简要描述</w:t>
            </w:r>
          </w:p>
        </w:tc>
        <w:tc>
          <w:tcPr>
            <w:tcW w:w="1312" w:type="dxa"/>
            <w:vAlign w:val="center"/>
          </w:tcPr>
          <w:p w14:paraId="2B70DD76">
            <w:pPr>
              <w:jc w:val="center"/>
              <w:rPr>
                <w:rFonts w:ascii="宋体"/>
                <w:color w:val="auto"/>
                <w:sz w:val="24"/>
                <w:highlight w:val="none"/>
                <w:lang w:val="zh-CN"/>
              </w:rPr>
            </w:pPr>
            <w:r>
              <w:rPr>
                <w:rFonts w:hint="eastAsia" w:ascii="宋体" w:hAnsi="宋体"/>
                <w:color w:val="auto"/>
                <w:sz w:val="24"/>
                <w:highlight w:val="none"/>
                <w:lang w:val="zh-CN"/>
              </w:rPr>
              <w:t>项目</w:t>
            </w:r>
          </w:p>
          <w:p w14:paraId="4B5BC0CF">
            <w:pPr>
              <w:jc w:val="center"/>
              <w:rPr>
                <w:rFonts w:ascii="宋体"/>
                <w:color w:val="auto"/>
                <w:sz w:val="24"/>
                <w:highlight w:val="none"/>
                <w:lang w:val="zh-CN"/>
              </w:rPr>
            </w:pPr>
            <w:r>
              <w:rPr>
                <w:rFonts w:hint="eastAsia" w:ascii="宋体" w:hAnsi="宋体"/>
                <w:color w:val="auto"/>
                <w:sz w:val="24"/>
                <w:highlight w:val="none"/>
                <w:lang w:val="zh-CN"/>
              </w:rPr>
              <w:t>金额</w:t>
            </w:r>
          </w:p>
          <w:p w14:paraId="4D529E65">
            <w:pPr>
              <w:jc w:val="center"/>
              <w:rPr>
                <w:rFonts w:ascii="宋体"/>
                <w:color w:val="auto"/>
                <w:sz w:val="24"/>
                <w:highlight w:val="none"/>
                <w:lang w:val="zh-CN"/>
              </w:rPr>
            </w:pPr>
            <w:r>
              <w:rPr>
                <w:rFonts w:hint="eastAsia" w:ascii="宋体" w:hAnsi="宋体"/>
                <w:color w:val="auto"/>
                <w:sz w:val="24"/>
                <w:highlight w:val="none"/>
                <w:lang w:val="zh-CN"/>
              </w:rPr>
              <w:t>（万元）</w:t>
            </w:r>
          </w:p>
        </w:tc>
        <w:tc>
          <w:tcPr>
            <w:tcW w:w="1312" w:type="dxa"/>
            <w:vAlign w:val="center"/>
          </w:tcPr>
          <w:p w14:paraId="7FA84536">
            <w:pPr>
              <w:jc w:val="center"/>
              <w:rPr>
                <w:rFonts w:ascii="宋体"/>
                <w:color w:val="auto"/>
                <w:sz w:val="24"/>
                <w:highlight w:val="none"/>
                <w:lang w:val="zh-CN"/>
              </w:rPr>
            </w:pPr>
            <w:r>
              <w:rPr>
                <w:rFonts w:hint="eastAsia" w:ascii="宋体" w:hAnsi="宋体"/>
                <w:color w:val="auto"/>
                <w:sz w:val="24"/>
                <w:highlight w:val="none"/>
                <w:lang w:val="zh-CN"/>
              </w:rPr>
              <w:t>实施时间</w:t>
            </w:r>
          </w:p>
        </w:tc>
        <w:tc>
          <w:tcPr>
            <w:tcW w:w="1312" w:type="dxa"/>
            <w:vAlign w:val="center"/>
          </w:tcPr>
          <w:p w14:paraId="7EC09732">
            <w:pPr>
              <w:jc w:val="center"/>
              <w:rPr>
                <w:rFonts w:ascii="宋体"/>
                <w:color w:val="auto"/>
                <w:sz w:val="24"/>
                <w:highlight w:val="none"/>
                <w:lang w:val="zh-CN"/>
              </w:rPr>
            </w:pPr>
            <w:r>
              <w:rPr>
                <w:rFonts w:hint="eastAsia" w:ascii="宋体" w:hAnsi="宋体"/>
                <w:color w:val="auto"/>
                <w:sz w:val="24"/>
                <w:highlight w:val="none"/>
                <w:lang w:val="zh-CN"/>
              </w:rPr>
              <w:t>项目单位、联系人及电话</w:t>
            </w:r>
          </w:p>
        </w:tc>
        <w:tc>
          <w:tcPr>
            <w:tcW w:w="1313" w:type="dxa"/>
            <w:vAlign w:val="center"/>
          </w:tcPr>
          <w:p w14:paraId="4CE450B5">
            <w:pPr>
              <w:jc w:val="center"/>
              <w:rPr>
                <w:rFonts w:ascii="宋体"/>
                <w:color w:val="auto"/>
                <w:sz w:val="24"/>
                <w:highlight w:val="none"/>
                <w:lang w:val="zh-CN"/>
              </w:rPr>
            </w:pPr>
            <w:r>
              <w:rPr>
                <w:rFonts w:hint="eastAsia" w:ascii="宋体" w:hAnsi="宋体"/>
                <w:color w:val="auto"/>
                <w:sz w:val="24"/>
                <w:highlight w:val="none"/>
                <w:lang w:val="zh-CN"/>
              </w:rPr>
              <w:t>项目完成情况</w:t>
            </w:r>
          </w:p>
        </w:tc>
      </w:tr>
      <w:tr w14:paraId="5F6B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18089054">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72EDB2D5">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5514F915">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6955E3B4">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65848474">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53FBAFAC">
            <w:pPr>
              <w:autoSpaceDE w:val="0"/>
              <w:autoSpaceDN w:val="0"/>
              <w:adjustRightInd w:val="0"/>
              <w:spacing w:line="360" w:lineRule="auto"/>
              <w:jc w:val="center"/>
              <w:rPr>
                <w:rFonts w:ascii="宋体"/>
                <w:color w:val="auto"/>
                <w:sz w:val="24"/>
                <w:highlight w:val="none"/>
                <w:lang w:val="zh-CN"/>
              </w:rPr>
            </w:pPr>
          </w:p>
        </w:tc>
        <w:tc>
          <w:tcPr>
            <w:tcW w:w="1313" w:type="dxa"/>
            <w:vAlign w:val="center"/>
          </w:tcPr>
          <w:p w14:paraId="294BB2AA">
            <w:pPr>
              <w:autoSpaceDE w:val="0"/>
              <w:autoSpaceDN w:val="0"/>
              <w:adjustRightInd w:val="0"/>
              <w:spacing w:line="360" w:lineRule="auto"/>
              <w:jc w:val="center"/>
              <w:rPr>
                <w:rFonts w:ascii="宋体"/>
                <w:color w:val="auto"/>
                <w:sz w:val="24"/>
                <w:highlight w:val="none"/>
                <w:lang w:val="zh-CN"/>
              </w:rPr>
            </w:pPr>
          </w:p>
        </w:tc>
      </w:tr>
      <w:tr w14:paraId="1850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2FEC7F9B">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27E5B3A7">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23BAE621">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6B0E498C">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1E1DA9B0">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7F1F9085">
            <w:pPr>
              <w:autoSpaceDE w:val="0"/>
              <w:autoSpaceDN w:val="0"/>
              <w:adjustRightInd w:val="0"/>
              <w:spacing w:line="360" w:lineRule="auto"/>
              <w:jc w:val="center"/>
              <w:rPr>
                <w:rFonts w:ascii="宋体"/>
                <w:color w:val="auto"/>
                <w:sz w:val="24"/>
                <w:highlight w:val="none"/>
                <w:lang w:val="zh-CN"/>
              </w:rPr>
            </w:pPr>
          </w:p>
        </w:tc>
        <w:tc>
          <w:tcPr>
            <w:tcW w:w="1313" w:type="dxa"/>
            <w:vAlign w:val="center"/>
          </w:tcPr>
          <w:p w14:paraId="72C59A5D">
            <w:pPr>
              <w:autoSpaceDE w:val="0"/>
              <w:autoSpaceDN w:val="0"/>
              <w:adjustRightInd w:val="0"/>
              <w:spacing w:line="360" w:lineRule="auto"/>
              <w:jc w:val="center"/>
              <w:rPr>
                <w:rFonts w:ascii="宋体"/>
                <w:color w:val="auto"/>
                <w:sz w:val="24"/>
                <w:highlight w:val="none"/>
                <w:lang w:val="zh-CN"/>
              </w:rPr>
            </w:pPr>
          </w:p>
        </w:tc>
      </w:tr>
      <w:tr w14:paraId="5A43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457FB3E5">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13FFE8A3">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3D7974ED">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11DE2451">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589AB310">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62F4DCB8">
            <w:pPr>
              <w:autoSpaceDE w:val="0"/>
              <w:autoSpaceDN w:val="0"/>
              <w:adjustRightInd w:val="0"/>
              <w:spacing w:line="360" w:lineRule="auto"/>
              <w:jc w:val="center"/>
              <w:rPr>
                <w:rFonts w:ascii="宋体"/>
                <w:color w:val="auto"/>
                <w:sz w:val="24"/>
                <w:highlight w:val="none"/>
                <w:lang w:val="zh-CN"/>
              </w:rPr>
            </w:pPr>
          </w:p>
        </w:tc>
        <w:tc>
          <w:tcPr>
            <w:tcW w:w="1313" w:type="dxa"/>
            <w:vAlign w:val="center"/>
          </w:tcPr>
          <w:p w14:paraId="58C42361">
            <w:pPr>
              <w:autoSpaceDE w:val="0"/>
              <w:autoSpaceDN w:val="0"/>
              <w:adjustRightInd w:val="0"/>
              <w:spacing w:line="360" w:lineRule="auto"/>
              <w:jc w:val="center"/>
              <w:rPr>
                <w:rFonts w:ascii="宋体"/>
                <w:color w:val="auto"/>
                <w:sz w:val="24"/>
                <w:highlight w:val="none"/>
                <w:lang w:val="zh-CN"/>
              </w:rPr>
            </w:pPr>
          </w:p>
        </w:tc>
      </w:tr>
      <w:tr w14:paraId="4927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155D732F">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294D7FFB">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2187699F">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3F7BD3A6">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62CA2E4B">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2EEEE06F">
            <w:pPr>
              <w:autoSpaceDE w:val="0"/>
              <w:autoSpaceDN w:val="0"/>
              <w:adjustRightInd w:val="0"/>
              <w:spacing w:line="360" w:lineRule="auto"/>
              <w:jc w:val="center"/>
              <w:rPr>
                <w:rFonts w:ascii="宋体"/>
                <w:color w:val="auto"/>
                <w:sz w:val="24"/>
                <w:highlight w:val="none"/>
                <w:lang w:val="zh-CN"/>
              </w:rPr>
            </w:pPr>
          </w:p>
        </w:tc>
        <w:tc>
          <w:tcPr>
            <w:tcW w:w="1313" w:type="dxa"/>
            <w:vAlign w:val="center"/>
          </w:tcPr>
          <w:p w14:paraId="1944B670">
            <w:pPr>
              <w:autoSpaceDE w:val="0"/>
              <w:autoSpaceDN w:val="0"/>
              <w:adjustRightInd w:val="0"/>
              <w:spacing w:line="360" w:lineRule="auto"/>
              <w:jc w:val="center"/>
              <w:rPr>
                <w:rFonts w:ascii="宋体"/>
                <w:color w:val="auto"/>
                <w:sz w:val="24"/>
                <w:highlight w:val="none"/>
                <w:lang w:val="zh-CN"/>
              </w:rPr>
            </w:pPr>
          </w:p>
        </w:tc>
      </w:tr>
      <w:tr w14:paraId="0D41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7F023A5A">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710FD2A2">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2EEAA54F">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28958A55">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596AE398">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47BD6BBA">
            <w:pPr>
              <w:autoSpaceDE w:val="0"/>
              <w:autoSpaceDN w:val="0"/>
              <w:adjustRightInd w:val="0"/>
              <w:spacing w:line="360" w:lineRule="auto"/>
              <w:jc w:val="center"/>
              <w:rPr>
                <w:rFonts w:ascii="宋体"/>
                <w:color w:val="auto"/>
                <w:sz w:val="24"/>
                <w:highlight w:val="none"/>
                <w:lang w:val="zh-CN"/>
              </w:rPr>
            </w:pPr>
          </w:p>
        </w:tc>
        <w:tc>
          <w:tcPr>
            <w:tcW w:w="1313" w:type="dxa"/>
            <w:vAlign w:val="center"/>
          </w:tcPr>
          <w:p w14:paraId="4C8E8790">
            <w:pPr>
              <w:autoSpaceDE w:val="0"/>
              <w:autoSpaceDN w:val="0"/>
              <w:adjustRightInd w:val="0"/>
              <w:spacing w:line="360" w:lineRule="auto"/>
              <w:jc w:val="center"/>
              <w:rPr>
                <w:rFonts w:ascii="宋体"/>
                <w:color w:val="auto"/>
                <w:sz w:val="24"/>
                <w:highlight w:val="none"/>
                <w:lang w:val="zh-CN"/>
              </w:rPr>
            </w:pPr>
          </w:p>
        </w:tc>
      </w:tr>
      <w:tr w14:paraId="5748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0DB37FD6">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59F274AB">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57F9A03F">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3EADE52A">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2E468B7C">
            <w:pPr>
              <w:autoSpaceDE w:val="0"/>
              <w:autoSpaceDN w:val="0"/>
              <w:adjustRightInd w:val="0"/>
              <w:spacing w:line="360" w:lineRule="auto"/>
              <w:jc w:val="center"/>
              <w:rPr>
                <w:rFonts w:ascii="宋体"/>
                <w:color w:val="auto"/>
                <w:sz w:val="24"/>
                <w:highlight w:val="none"/>
                <w:lang w:val="zh-CN"/>
              </w:rPr>
            </w:pPr>
          </w:p>
        </w:tc>
        <w:tc>
          <w:tcPr>
            <w:tcW w:w="1312" w:type="dxa"/>
            <w:vAlign w:val="center"/>
          </w:tcPr>
          <w:p w14:paraId="47103E4A">
            <w:pPr>
              <w:autoSpaceDE w:val="0"/>
              <w:autoSpaceDN w:val="0"/>
              <w:adjustRightInd w:val="0"/>
              <w:spacing w:line="360" w:lineRule="auto"/>
              <w:jc w:val="center"/>
              <w:rPr>
                <w:rFonts w:ascii="宋体"/>
                <w:color w:val="auto"/>
                <w:sz w:val="24"/>
                <w:highlight w:val="none"/>
                <w:lang w:val="zh-CN"/>
              </w:rPr>
            </w:pPr>
          </w:p>
        </w:tc>
        <w:tc>
          <w:tcPr>
            <w:tcW w:w="1313" w:type="dxa"/>
            <w:vAlign w:val="center"/>
          </w:tcPr>
          <w:p w14:paraId="6C87FE46">
            <w:pPr>
              <w:autoSpaceDE w:val="0"/>
              <w:autoSpaceDN w:val="0"/>
              <w:adjustRightInd w:val="0"/>
              <w:spacing w:line="360" w:lineRule="auto"/>
              <w:jc w:val="center"/>
              <w:rPr>
                <w:rFonts w:ascii="宋体"/>
                <w:color w:val="auto"/>
                <w:sz w:val="24"/>
                <w:highlight w:val="none"/>
                <w:lang w:val="zh-CN"/>
              </w:rPr>
            </w:pPr>
          </w:p>
        </w:tc>
      </w:tr>
    </w:tbl>
    <w:p w14:paraId="6C8B42E5">
      <w:pPr>
        <w:snapToGrid w:val="0"/>
        <w:spacing w:line="360" w:lineRule="auto"/>
        <w:ind w:firstLine="482"/>
        <w:rPr>
          <w:rFonts w:ascii="宋体"/>
          <w:b/>
          <w:color w:val="auto"/>
          <w:szCs w:val="21"/>
          <w:highlight w:val="none"/>
        </w:rPr>
      </w:pPr>
    </w:p>
    <w:p w14:paraId="5D7E993E">
      <w:pPr>
        <w:snapToGrid w:val="0"/>
        <w:spacing w:line="360" w:lineRule="auto"/>
        <w:ind w:firstLine="482"/>
        <w:rPr>
          <w:rFonts w:ascii="宋体"/>
          <w:b/>
          <w:color w:val="auto"/>
          <w:szCs w:val="21"/>
          <w:highlight w:val="none"/>
        </w:rPr>
      </w:pPr>
      <w:r>
        <w:rPr>
          <w:rFonts w:hint="eastAsia" w:ascii="宋体" w:hAnsi="宋体"/>
          <w:b/>
          <w:color w:val="auto"/>
          <w:szCs w:val="21"/>
          <w:highlight w:val="none"/>
        </w:rPr>
        <w:t>注：</w:t>
      </w:r>
      <w:r>
        <w:rPr>
          <w:rFonts w:ascii="宋体" w:hAnsi="宋体"/>
          <w:b/>
          <w:color w:val="auto"/>
          <w:szCs w:val="21"/>
          <w:highlight w:val="none"/>
        </w:rPr>
        <w:t>1</w:t>
      </w:r>
      <w:r>
        <w:rPr>
          <w:rFonts w:hint="eastAsia" w:ascii="宋体" w:hAnsi="宋体"/>
          <w:b/>
          <w:color w:val="auto"/>
          <w:szCs w:val="21"/>
          <w:highlight w:val="none"/>
        </w:rPr>
        <w:t>、</w:t>
      </w:r>
      <w:r>
        <w:rPr>
          <w:rFonts w:hint="eastAsia" w:ascii="宋体" w:hAnsi="宋体" w:cs="Arial"/>
          <w:b/>
          <w:color w:val="auto"/>
          <w:szCs w:val="21"/>
          <w:highlight w:val="none"/>
        </w:rPr>
        <w:t>各投标人可以根据各自业绩量准备充分的表格，此页后须附上中标通知书复印件或合同复印件（复印件加盖公章）等材料。</w:t>
      </w:r>
    </w:p>
    <w:p w14:paraId="68D6A9D0">
      <w:pPr>
        <w:snapToGrid w:val="0"/>
        <w:spacing w:line="360" w:lineRule="auto"/>
        <w:ind w:firstLine="482"/>
        <w:rPr>
          <w:color w:val="auto"/>
          <w:kern w:val="0"/>
          <w:sz w:val="24"/>
          <w:szCs w:val="20"/>
          <w:highlight w:val="none"/>
        </w:rPr>
      </w:pPr>
      <w:r>
        <w:rPr>
          <w:rFonts w:ascii="宋体" w:hAnsi="宋体" w:cs="Arial"/>
          <w:b/>
          <w:color w:val="auto"/>
          <w:szCs w:val="21"/>
          <w:highlight w:val="none"/>
        </w:rPr>
        <w:t xml:space="preserve">    2</w:t>
      </w:r>
      <w:r>
        <w:rPr>
          <w:rFonts w:hint="eastAsia" w:ascii="宋体" w:hAnsi="宋体" w:cs="Arial"/>
          <w:b/>
          <w:color w:val="auto"/>
          <w:szCs w:val="21"/>
          <w:highlight w:val="none"/>
        </w:rPr>
        <w:t>、投标人须真实仔细地填写本表格，以备现场核实。</w:t>
      </w:r>
    </w:p>
    <w:p w14:paraId="78A065E4">
      <w:pPr>
        <w:widowControl/>
        <w:jc w:val="left"/>
        <w:rPr>
          <w:color w:val="auto"/>
          <w:kern w:val="0"/>
          <w:sz w:val="24"/>
          <w:szCs w:val="20"/>
          <w:highlight w:val="none"/>
        </w:rPr>
      </w:pPr>
    </w:p>
    <w:p w14:paraId="05FDCA3B">
      <w:pPr>
        <w:pStyle w:val="2"/>
        <w:overflowPunct w:val="0"/>
        <w:spacing w:line="360" w:lineRule="auto"/>
        <w:ind w:right="420" w:firstLine="3300" w:firstLineChars="1375"/>
        <w:rPr>
          <w:rFonts w:ascii="宋体"/>
          <w:color w:val="auto"/>
          <w:sz w:val="24"/>
          <w:szCs w:val="24"/>
          <w:highlight w:val="none"/>
        </w:rPr>
      </w:pPr>
      <w:r>
        <w:rPr>
          <w:rFonts w:hint="eastAsia" w:ascii="宋体" w:hAnsi="宋体"/>
          <w:color w:val="auto"/>
          <w:sz w:val="24"/>
          <w:szCs w:val="24"/>
          <w:highlight w:val="none"/>
        </w:rPr>
        <w:t>投标人（单位盖章）：</w:t>
      </w:r>
    </w:p>
    <w:p w14:paraId="1363FA5E">
      <w:pPr>
        <w:snapToGrid w:val="0"/>
        <w:spacing w:before="50" w:after="50"/>
        <w:ind w:firstLine="3360" w:firstLineChars="1400"/>
        <w:rPr>
          <w:rFonts w:hint="eastAsia" w:ascii="宋体" w:hAnsi="宋体" w:cs="宋体"/>
          <w:color w:val="auto"/>
          <w:spacing w:val="20"/>
          <w:sz w:val="24"/>
          <w:highlight w:val="none"/>
        </w:rPr>
      </w:pPr>
      <w:r>
        <w:rPr>
          <w:rFonts w:hint="eastAsia" w:ascii="宋体" w:hAnsi="宋体"/>
          <w:color w:val="auto"/>
          <w:sz w:val="24"/>
          <w:highlight w:val="none"/>
        </w:rPr>
        <w:t xml:space="preserve">法定代表人或委托代理人（签字或盖章）            </w:t>
      </w:r>
      <w:r>
        <w:rPr>
          <w:rFonts w:hint="eastAsia" w:ascii="宋体" w:hAnsi="宋体" w:cs="宋体"/>
          <w:color w:val="auto"/>
          <w:spacing w:val="20"/>
          <w:sz w:val="24"/>
          <w:highlight w:val="none"/>
        </w:rPr>
        <w:t xml:space="preserve">  </w:t>
      </w:r>
    </w:p>
    <w:p w14:paraId="0444ADD2">
      <w:pPr>
        <w:snapToGrid w:val="0"/>
        <w:spacing w:before="50" w:after="50"/>
        <w:ind w:firstLine="3360" w:firstLineChars="1200"/>
        <w:rPr>
          <w:rFonts w:ascii="宋体" w:hAnsi="宋体" w:cs="宋体"/>
          <w:color w:val="auto"/>
          <w:sz w:val="24"/>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6A3499B3">
      <w:pPr>
        <w:snapToGrid w:val="0"/>
        <w:spacing w:before="50" w:after="156" w:afterLines="50"/>
        <w:jc w:val="left"/>
        <w:rPr>
          <w:rFonts w:ascii="宋体" w:hAnsi="宋体" w:cs="宋体"/>
          <w:color w:val="auto"/>
          <w:sz w:val="24"/>
          <w:highlight w:val="none"/>
        </w:rPr>
      </w:pPr>
    </w:p>
    <w:p w14:paraId="74B0918F">
      <w:pPr>
        <w:spacing w:before="260" w:after="260" w:line="415" w:lineRule="auto"/>
        <w:rPr>
          <w:rFonts w:ascii="宋体" w:hAnsi="宋体" w:cs="宋体"/>
          <w:bCs/>
          <w:color w:val="auto"/>
          <w:sz w:val="24"/>
          <w:highlight w:val="none"/>
        </w:rPr>
      </w:pPr>
    </w:p>
    <w:p w14:paraId="34FF8FA9">
      <w:pPr>
        <w:spacing w:before="260" w:after="260" w:line="415" w:lineRule="auto"/>
        <w:rPr>
          <w:rFonts w:ascii="宋体" w:hAnsi="宋体" w:cs="宋体"/>
          <w:bCs/>
          <w:color w:val="auto"/>
          <w:sz w:val="24"/>
          <w:highlight w:val="none"/>
        </w:rPr>
      </w:pPr>
    </w:p>
    <w:p w14:paraId="0BE3ECA2">
      <w:pPr>
        <w:spacing w:before="260" w:after="260" w:line="415" w:lineRule="auto"/>
        <w:rPr>
          <w:rFonts w:ascii="宋体" w:hAnsi="宋体" w:cs="宋体"/>
          <w:bCs/>
          <w:color w:val="auto"/>
          <w:sz w:val="24"/>
          <w:highlight w:val="none"/>
        </w:rPr>
      </w:pPr>
    </w:p>
    <w:p w14:paraId="11551DD9">
      <w:pPr>
        <w:rPr>
          <w:rFonts w:ascii="宋体" w:hAnsi="宋体" w:cs="宋体"/>
          <w:bCs/>
          <w:color w:val="auto"/>
          <w:sz w:val="24"/>
          <w:highlight w:val="none"/>
        </w:rPr>
      </w:pPr>
    </w:p>
    <w:p w14:paraId="2C9C5AA2">
      <w:pPr>
        <w:pStyle w:val="14"/>
        <w:ind w:firstLine="482"/>
        <w:rPr>
          <w:rFonts w:ascii="宋体" w:hAnsi="宋体"/>
          <w:b w:val="0"/>
          <w:bCs w:val="0"/>
          <w:color w:val="auto"/>
          <w:sz w:val="24"/>
          <w:highlight w:val="none"/>
        </w:rPr>
      </w:pPr>
      <w:bookmarkStart w:id="49" w:name="_Toc19577"/>
      <w:r>
        <w:rPr>
          <w:rFonts w:hint="eastAsia" w:ascii="宋体" w:hAnsi="宋体" w:cs="宋体"/>
          <w:b w:val="0"/>
          <w:bCs w:val="0"/>
          <w:color w:val="auto"/>
          <w:sz w:val="24"/>
          <w:highlight w:val="none"/>
        </w:rPr>
        <w:t>附件十</w:t>
      </w:r>
      <w:r>
        <w:rPr>
          <w:rFonts w:hint="eastAsia" w:ascii="宋体" w:hAnsi="宋体" w:cs="宋体"/>
          <w:b w:val="0"/>
          <w:bCs w:val="0"/>
          <w:color w:val="auto"/>
          <w:sz w:val="24"/>
          <w:highlight w:val="none"/>
          <w:lang w:val="en-US" w:eastAsia="zh-CN"/>
        </w:rPr>
        <w:t>一</w:t>
      </w:r>
      <w:r>
        <w:rPr>
          <w:rFonts w:hint="eastAsia" w:ascii="宋体" w:hAnsi="宋体" w:cs="宋体"/>
          <w:b w:val="0"/>
          <w:bCs w:val="0"/>
          <w:color w:val="auto"/>
          <w:sz w:val="24"/>
          <w:highlight w:val="none"/>
        </w:rPr>
        <w:t>：拟投入项目负责人情况表</w:t>
      </w:r>
    </w:p>
    <w:p w14:paraId="3CD1180B">
      <w:pPr>
        <w:spacing w:line="360" w:lineRule="auto"/>
        <w:ind w:firstLine="602"/>
        <w:jc w:val="center"/>
        <w:rPr>
          <w:rFonts w:ascii="新宋体" w:hAnsi="新宋体" w:eastAsia="新宋体"/>
          <w:b/>
          <w:bCs/>
          <w:color w:val="auto"/>
          <w:sz w:val="30"/>
          <w:szCs w:val="30"/>
          <w:highlight w:val="none"/>
        </w:rPr>
      </w:pPr>
    </w:p>
    <w:p w14:paraId="4E004E77">
      <w:pPr>
        <w:spacing w:line="360" w:lineRule="auto"/>
        <w:ind w:firstLine="602"/>
        <w:jc w:val="center"/>
        <w:rPr>
          <w:rFonts w:ascii="新宋体" w:hAnsi="新宋体" w:eastAsia="新宋体"/>
          <w:b/>
          <w:bCs/>
          <w:color w:val="auto"/>
          <w:sz w:val="30"/>
          <w:szCs w:val="30"/>
          <w:highlight w:val="none"/>
        </w:rPr>
      </w:pPr>
      <w:r>
        <w:rPr>
          <w:rFonts w:hint="eastAsia" w:ascii="新宋体" w:hAnsi="新宋体" w:eastAsia="新宋体"/>
          <w:b/>
          <w:bCs/>
          <w:color w:val="auto"/>
          <w:sz w:val="30"/>
          <w:szCs w:val="30"/>
          <w:highlight w:val="none"/>
        </w:rPr>
        <w:t>拟投入项目负责人情况表</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332"/>
        <w:gridCol w:w="11"/>
        <w:gridCol w:w="1711"/>
        <w:gridCol w:w="209"/>
        <w:gridCol w:w="2054"/>
      </w:tblGrid>
      <w:tr w14:paraId="70000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14:paraId="1E171E71">
            <w:pPr>
              <w:jc w:val="center"/>
              <w:rPr>
                <w:snapToGrid w:val="0"/>
                <w:color w:val="auto"/>
                <w:szCs w:val="21"/>
                <w:highlight w:val="none"/>
              </w:rPr>
            </w:pPr>
            <w:r>
              <w:rPr>
                <w:rFonts w:hint="eastAsia"/>
                <w:snapToGrid w:val="0"/>
                <w:color w:val="auto"/>
                <w:szCs w:val="21"/>
                <w:highlight w:val="none"/>
              </w:rPr>
              <w:t>姓</w:t>
            </w:r>
            <w:r>
              <w:rPr>
                <w:snapToGrid w:val="0"/>
                <w:color w:val="auto"/>
                <w:szCs w:val="21"/>
                <w:highlight w:val="none"/>
              </w:rPr>
              <w:t xml:space="preserve">  </w:t>
            </w:r>
            <w:r>
              <w:rPr>
                <w:rFonts w:hint="eastAsia"/>
                <w:snapToGrid w:val="0"/>
                <w:color w:val="auto"/>
                <w:szCs w:val="21"/>
                <w:highlight w:val="none"/>
              </w:rPr>
              <w:t>名</w:t>
            </w:r>
          </w:p>
        </w:tc>
        <w:tc>
          <w:tcPr>
            <w:tcW w:w="1050" w:type="dxa"/>
            <w:gridSpan w:val="2"/>
            <w:vAlign w:val="center"/>
          </w:tcPr>
          <w:p w14:paraId="35FC7CDB">
            <w:pPr>
              <w:jc w:val="center"/>
              <w:rPr>
                <w:snapToGrid w:val="0"/>
                <w:color w:val="auto"/>
                <w:szCs w:val="21"/>
                <w:highlight w:val="none"/>
              </w:rPr>
            </w:pPr>
          </w:p>
        </w:tc>
        <w:tc>
          <w:tcPr>
            <w:tcW w:w="1838" w:type="dxa"/>
            <w:gridSpan w:val="2"/>
            <w:vAlign w:val="center"/>
          </w:tcPr>
          <w:p w14:paraId="6FAD10A0">
            <w:pPr>
              <w:jc w:val="center"/>
              <w:rPr>
                <w:snapToGrid w:val="0"/>
                <w:color w:val="auto"/>
                <w:szCs w:val="21"/>
                <w:highlight w:val="none"/>
              </w:rPr>
            </w:pPr>
            <w:r>
              <w:rPr>
                <w:rFonts w:hint="eastAsia"/>
                <w:snapToGrid w:val="0"/>
                <w:color w:val="auto"/>
                <w:szCs w:val="21"/>
                <w:highlight w:val="none"/>
              </w:rPr>
              <w:t>性</w:t>
            </w:r>
            <w:r>
              <w:rPr>
                <w:snapToGrid w:val="0"/>
                <w:color w:val="auto"/>
                <w:szCs w:val="21"/>
                <w:highlight w:val="none"/>
              </w:rPr>
              <w:t xml:space="preserve">  </w:t>
            </w:r>
            <w:r>
              <w:rPr>
                <w:rFonts w:hint="eastAsia"/>
                <w:snapToGrid w:val="0"/>
                <w:color w:val="auto"/>
                <w:szCs w:val="21"/>
                <w:highlight w:val="none"/>
              </w:rPr>
              <w:t>别</w:t>
            </w:r>
          </w:p>
        </w:tc>
        <w:tc>
          <w:tcPr>
            <w:tcW w:w="1343" w:type="dxa"/>
            <w:gridSpan w:val="2"/>
            <w:vAlign w:val="center"/>
          </w:tcPr>
          <w:p w14:paraId="59688F24">
            <w:pPr>
              <w:jc w:val="center"/>
              <w:rPr>
                <w:snapToGrid w:val="0"/>
                <w:color w:val="auto"/>
                <w:szCs w:val="21"/>
                <w:highlight w:val="none"/>
              </w:rPr>
            </w:pPr>
          </w:p>
        </w:tc>
        <w:tc>
          <w:tcPr>
            <w:tcW w:w="1711" w:type="dxa"/>
            <w:vAlign w:val="center"/>
          </w:tcPr>
          <w:p w14:paraId="25E5C0EB">
            <w:pPr>
              <w:jc w:val="center"/>
              <w:rPr>
                <w:snapToGrid w:val="0"/>
                <w:color w:val="auto"/>
                <w:szCs w:val="21"/>
                <w:highlight w:val="none"/>
              </w:rPr>
            </w:pPr>
            <w:r>
              <w:rPr>
                <w:rFonts w:hint="eastAsia"/>
                <w:snapToGrid w:val="0"/>
                <w:color w:val="auto"/>
                <w:szCs w:val="21"/>
                <w:highlight w:val="none"/>
              </w:rPr>
              <w:t>年</w:t>
            </w:r>
            <w:r>
              <w:rPr>
                <w:snapToGrid w:val="0"/>
                <w:color w:val="auto"/>
                <w:szCs w:val="21"/>
                <w:highlight w:val="none"/>
              </w:rPr>
              <w:t xml:space="preserve">  </w:t>
            </w:r>
            <w:r>
              <w:rPr>
                <w:rFonts w:hint="eastAsia"/>
                <w:snapToGrid w:val="0"/>
                <w:color w:val="auto"/>
                <w:szCs w:val="21"/>
                <w:highlight w:val="none"/>
              </w:rPr>
              <w:t>龄</w:t>
            </w:r>
          </w:p>
        </w:tc>
        <w:tc>
          <w:tcPr>
            <w:tcW w:w="2263" w:type="dxa"/>
            <w:gridSpan w:val="2"/>
            <w:vAlign w:val="center"/>
          </w:tcPr>
          <w:p w14:paraId="012EF381">
            <w:pPr>
              <w:jc w:val="center"/>
              <w:rPr>
                <w:snapToGrid w:val="0"/>
                <w:color w:val="auto"/>
                <w:szCs w:val="21"/>
                <w:highlight w:val="none"/>
              </w:rPr>
            </w:pPr>
          </w:p>
        </w:tc>
      </w:tr>
      <w:tr w14:paraId="09C21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14:paraId="42DC2658">
            <w:pPr>
              <w:jc w:val="center"/>
              <w:rPr>
                <w:snapToGrid w:val="0"/>
                <w:color w:val="auto"/>
                <w:szCs w:val="21"/>
                <w:highlight w:val="none"/>
              </w:rPr>
            </w:pPr>
            <w:r>
              <w:rPr>
                <w:rFonts w:hint="eastAsia"/>
                <w:snapToGrid w:val="0"/>
                <w:color w:val="auto"/>
                <w:szCs w:val="21"/>
                <w:highlight w:val="none"/>
              </w:rPr>
              <w:t>职</w:t>
            </w:r>
            <w:r>
              <w:rPr>
                <w:snapToGrid w:val="0"/>
                <w:color w:val="auto"/>
                <w:szCs w:val="21"/>
                <w:highlight w:val="none"/>
              </w:rPr>
              <w:t xml:space="preserve">  </w:t>
            </w:r>
            <w:r>
              <w:rPr>
                <w:rFonts w:hint="eastAsia"/>
                <w:snapToGrid w:val="0"/>
                <w:color w:val="auto"/>
                <w:szCs w:val="21"/>
                <w:highlight w:val="none"/>
              </w:rPr>
              <w:t>务</w:t>
            </w:r>
          </w:p>
        </w:tc>
        <w:tc>
          <w:tcPr>
            <w:tcW w:w="1050" w:type="dxa"/>
            <w:gridSpan w:val="2"/>
            <w:vAlign w:val="center"/>
          </w:tcPr>
          <w:p w14:paraId="51FC102C">
            <w:pPr>
              <w:jc w:val="center"/>
              <w:rPr>
                <w:snapToGrid w:val="0"/>
                <w:color w:val="auto"/>
                <w:szCs w:val="21"/>
                <w:highlight w:val="none"/>
              </w:rPr>
            </w:pPr>
          </w:p>
        </w:tc>
        <w:tc>
          <w:tcPr>
            <w:tcW w:w="1838" w:type="dxa"/>
            <w:gridSpan w:val="2"/>
            <w:vAlign w:val="center"/>
          </w:tcPr>
          <w:p w14:paraId="756D63A0">
            <w:pPr>
              <w:jc w:val="center"/>
              <w:rPr>
                <w:snapToGrid w:val="0"/>
                <w:color w:val="auto"/>
                <w:szCs w:val="21"/>
                <w:highlight w:val="none"/>
              </w:rPr>
            </w:pPr>
            <w:r>
              <w:rPr>
                <w:rFonts w:hint="eastAsia"/>
                <w:snapToGrid w:val="0"/>
                <w:color w:val="auto"/>
                <w:szCs w:val="21"/>
                <w:highlight w:val="none"/>
              </w:rPr>
              <w:t>职</w:t>
            </w:r>
            <w:r>
              <w:rPr>
                <w:snapToGrid w:val="0"/>
                <w:color w:val="auto"/>
                <w:szCs w:val="21"/>
                <w:highlight w:val="none"/>
              </w:rPr>
              <w:t xml:space="preserve">  </w:t>
            </w:r>
            <w:r>
              <w:rPr>
                <w:rFonts w:hint="eastAsia"/>
                <w:snapToGrid w:val="0"/>
                <w:color w:val="auto"/>
                <w:szCs w:val="21"/>
                <w:highlight w:val="none"/>
              </w:rPr>
              <w:t>称</w:t>
            </w:r>
          </w:p>
        </w:tc>
        <w:tc>
          <w:tcPr>
            <w:tcW w:w="1343" w:type="dxa"/>
            <w:gridSpan w:val="2"/>
            <w:vAlign w:val="center"/>
          </w:tcPr>
          <w:p w14:paraId="6471DDB9">
            <w:pPr>
              <w:rPr>
                <w:snapToGrid w:val="0"/>
                <w:color w:val="auto"/>
                <w:szCs w:val="21"/>
                <w:highlight w:val="none"/>
              </w:rPr>
            </w:pPr>
          </w:p>
        </w:tc>
        <w:tc>
          <w:tcPr>
            <w:tcW w:w="1711" w:type="dxa"/>
            <w:vAlign w:val="center"/>
          </w:tcPr>
          <w:p w14:paraId="7A7777E9">
            <w:pPr>
              <w:jc w:val="center"/>
              <w:rPr>
                <w:snapToGrid w:val="0"/>
                <w:color w:val="auto"/>
                <w:szCs w:val="21"/>
                <w:highlight w:val="none"/>
              </w:rPr>
            </w:pPr>
            <w:r>
              <w:rPr>
                <w:rFonts w:hint="eastAsia"/>
                <w:snapToGrid w:val="0"/>
                <w:color w:val="auto"/>
                <w:szCs w:val="21"/>
                <w:highlight w:val="none"/>
              </w:rPr>
              <w:t>学</w:t>
            </w:r>
            <w:r>
              <w:rPr>
                <w:snapToGrid w:val="0"/>
                <w:color w:val="auto"/>
                <w:szCs w:val="21"/>
                <w:highlight w:val="none"/>
              </w:rPr>
              <w:t xml:space="preserve">  </w:t>
            </w:r>
            <w:r>
              <w:rPr>
                <w:rFonts w:hint="eastAsia"/>
                <w:snapToGrid w:val="0"/>
                <w:color w:val="auto"/>
                <w:szCs w:val="21"/>
                <w:highlight w:val="none"/>
              </w:rPr>
              <w:t>历</w:t>
            </w:r>
          </w:p>
        </w:tc>
        <w:tc>
          <w:tcPr>
            <w:tcW w:w="2263" w:type="dxa"/>
            <w:gridSpan w:val="2"/>
            <w:vAlign w:val="center"/>
          </w:tcPr>
          <w:p w14:paraId="2F021D20">
            <w:pPr>
              <w:jc w:val="center"/>
              <w:rPr>
                <w:snapToGrid w:val="0"/>
                <w:color w:val="auto"/>
                <w:szCs w:val="21"/>
                <w:highlight w:val="none"/>
              </w:rPr>
            </w:pPr>
          </w:p>
        </w:tc>
      </w:tr>
      <w:tr w14:paraId="638AD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14:paraId="348A6C20">
            <w:pPr>
              <w:jc w:val="center"/>
              <w:rPr>
                <w:snapToGrid w:val="0"/>
                <w:color w:val="auto"/>
                <w:szCs w:val="21"/>
                <w:highlight w:val="none"/>
              </w:rPr>
            </w:pPr>
            <w:r>
              <w:rPr>
                <w:rFonts w:hint="eastAsia"/>
                <w:snapToGrid w:val="0"/>
                <w:color w:val="auto"/>
                <w:szCs w:val="21"/>
                <w:highlight w:val="none"/>
              </w:rPr>
              <w:t>参加工作时间</w:t>
            </w:r>
          </w:p>
        </w:tc>
        <w:tc>
          <w:tcPr>
            <w:tcW w:w="1050" w:type="dxa"/>
            <w:gridSpan w:val="2"/>
            <w:vAlign w:val="center"/>
          </w:tcPr>
          <w:p w14:paraId="2886F8A4">
            <w:pPr>
              <w:rPr>
                <w:snapToGrid w:val="0"/>
                <w:color w:val="auto"/>
                <w:szCs w:val="21"/>
                <w:highlight w:val="none"/>
              </w:rPr>
            </w:pPr>
          </w:p>
        </w:tc>
        <w:tc>
          <w:tcPr>
            <w:tcW w:w="1838" w:type="dxa"/>
            <w:gridSpan w:val="2"/>
            <w:vAlign w:val="center"/>
          </w:tcPr>
          <w:p w14:paraId="2913A90F">
            <w:pPr>
              <w:jc w:val="center"/>
              <w:rPr>
                <w:snapToGrid w:val="0"/>
                <w:color w:val="auto"/>
                <w:szCs w:val="21"/>
                <w:highlight w:val="none"/>
              </w:rPr>
            </w:pPr>
            <w:r>
              <w:rPr>
                <w:rFonts w:hint="eastAsia"/>
                <w:snapToGrid w:val="0"/>
                <w:color w:val="auto"/>
                <w:szCs w:val="21"/>
                <w:highlight w:val="none"/>
              </w:rPr>
              <w:t>拟担任本</w:t>
            </w:r>
          </w:p>
          <w:p w14:paraId="74B60035">
            <w:pPr>
              <w:jc w:val="center"/>
              <w:rPr>
                <w:snapToGrid w:val="0"/>
                <w:color w:val="auto"/>
                <w:szCs w:val="21"/>
                <w:highlight w:val="none"/>
              </w:rPr>
            </w:pPr>
            <w:r>
              <w:rPr>
                <w:rFonts w:hint="eastAsia"/>
                <w:snapToGrid w:val="0"/>
                <w:color w:val="auto"/>
                <w:szCs w:val="21"/>
                <w:highlight w:val="none"/>
              </w:rPr>
              <w:t>项目职务</w:t>
            </w:r>
          </w:p>
        </w:tc>
        <w:tc>
          <w:tcPr>
            <w:tcW w:w="1343" w:type="dxa"/>
            <w:gridSpan w:val="2"/>
            <w:vAlign w:val="center"/>
          </w:tcPr>
          <w:p w14:paraId="706DF4A2">
            <w:pPr>
              <w:rPr>
                <w:snapToGrid w:val="0"/>
                <w:color w:val="auto"/>
                <w:szCs w:val="21"/>
                <w:highlight w:val="none"/>
              </w:rPr>
            </w:pPr>
          </w:p>
        </w:tc>
        <w:tc>
          <w:tcPr>
            <w:tcW w:w="1711" w:type="dxa"/>
            <w:vAlign w:val="center"/>
          </w:tcPr>
          <w:p w14:paraId="463B5CC3">
            <w:pPr>
              <w:jc w:val="center"/>
              <w:rPr>
                <w:snapToGrid w:val="0"/>
                <w:color w:val="auto"/>
                <w:szCs w:val="21"/>
                <w:highlight w:val="none"/>
              </w:rPr>
            </w:pPr>
            <w:r>
              <w:rPr>
                <w:rFonts w:hint="eastAsia"/>
                <w:snapToGrid w:val="0"/>
                <w:color w:val="auto"/>
                <w:szCs w:val="21"/>
                <w:highlight w:val="none"/>
              </w:rPr>
              <w:t>从事项目负责人年限</w:t>
            </w:r>
          </w:p>
        </w:tc>
        <w:tc>
          <w:tcPr>
            <w:tcW w:w="2263" w:type="dxa"/>
            <w:gridSpan w:val="2"/>
            <w:vAlign w:val="center"/>
          </w:tcPr>
          <w:p w14:paraId="51367909">
            <w:pPr>
              <w:rPr>
                <w:snapToGrid w:val="0"/>
                <w:color w:val="auto"/>
                <w:szCs w:val="21"/>
                <w:highlight w:val="none"/>
              </w:rPr>
            </w:pPr>
          </w:p>
        </w:tc>
      </w:tr>
      <w:tr w14:paraId="59BD0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vAlign w:val="center"/>
          </w:tcPr>
          <w:p w14:paraId="357F2D49">
            <w:pPr>
              <w:jc w:val="center"/>
              <w:rPr>
                <w:snapToGrid w:val="0"/>
                <w:color w:val="auto"/>
                <w:szCs w:val="21"/>
                <w:highlight w:val="none"/>
              </w:rPr>
            </w:pPr>
            <w:r>
              <w:rPr>
                <w:rFonts w:hint="eastAsia"/>
                <w:snapToGrid w:val="0"/>
                <w:color w:val="auto"/>
                <w:szCs w:val="21"/>
                <w:highlight w:val="none"/>
              </w:rPr>
              <w:t>已</w:t>
            </w:r>
            <w:r>
              <w:rPr>
                <w:snapToGrid w:val="0"/>
                <w:color w:val="auto"/>
                <w:szCs w:val="21"/>
                <w:highlight w:val="none"/>
              </w:rPr>
              <w:t xml:space="preserve"> </w:t>
            </w:r>
            <w:r>
              <w:rPr>
                <w:rFonts w:hint="eastAsia"/>
                <w:snapToGrid w:val="0"/>
                <w:color w:val="auto"/>
                <w:szCs w:val="21"/>
                <w:highlight w:val="none"/>
              </w:rPr>
              <w:t>完</w:t>
            </w:r>
            <w:r>
              <w:rPr>
                <w:snapToGrid w:val="0"/>
                <w:color w:val="auto"/>
                <w:szCs w:val="21"/>
                <w:highlight w:val="none"/>
              </w:rPr>
              <w:t xml:space="preserve"> </w:t>
            </w:r>
            <w:r>
              <w:rPr>
                <w:rFonts w:hint="eastAsia"/>
                <w:snapToGrid w:val="0"/>
                <w:color w:val="auto"/>
                <w:szCs w:val="21"/>
                <w:highlight w:val="none"/>
              </w:rPr>
              <w:t>成</w:t>
            </w:r>
            <w:r>
              <w:rPr>
                <w:snapToGrid w:val="0"/>
                <w:color w:val="auto"/>
                <w:szCs w:val="21"/>
                <w:highlight w:val="none"/>
              </w:rPr>
              <w:t xml:space="preserve"> </w:t>
            </w:r>
            <w:r>
              <w:rPr>
                <w:rFonts w:hint="eastAsia"/>
                <w:snapToGrid w:val="0"/>
                <w:color w:val="auto"/>
                <w:szCs w:val="21"/>
                <w:highlight w:val="none"/>
              </w:rPr>
              <w:t>项</w:t>
            </w:r>
            <w:r>
              <w:rPr>
                <w:snapToGrid w:val="0"/>
                <w:color w:val="auto"/>
                <w:szCs w:val="21"/>
                <w:highlight w:val="none"/>
              </w:rPr>
              <w:t xml:space="preserve"> </w:t>
            </w:r>
            <w:r>
              <w:rPr>
                <w:rFonts w:hint="eastAsia"/>
                <w:snapToGrid w:val="0"/>
                <w:color w:val="auto"/>
                <w:szCs w:val="21"/>
                <w:highlight w:val="none"/>
              </w:rPr>
              <w:t>目</w:t>
            </w:r>
            <w:r>
              <w:rPr>
                <w:snapToGrid w:val="0"/>
                <w:color w:val="auto"/>
                <w:szCs w:val="21"/>
                <w:highlight w:val="none"/>
              </w:rPr>
              <w:t xml:space="preserve"> </w:t>
            </w:r>
            <w:r>
              <w:rPr>
                <w:rFonts w:hint="eastAsia"/>
                <w:snapToGrid w:val="0"/>
                <w:color w:val="auto"/>
                <w:szCs w:val="21"/>
                <w:highlight w:val="none"/>
              </w:rPr>
              <w:t>情</w:t>
            </w:r>
            <w:r>
              <w:rPr>
                <w:snapToGrid w:val="0"/>
                <w:color w:val="auto"/>
                <w:szCs w:val="21"/>
                <w:highlight w:val="none"/>
              </w:rPr>
              <w:t xml:space="preserve"> </w:t>
            </w:r>
            <w:r>
              <w:rPr>
                <w:rFonts w:hint="eastAsia"/>
                <w:snapToGrid w:val="0"/>
                <w:color w:val="auto"/>
                <w:szCs w:val="21"/>
                <w:highlight w:val="none"/>
              </w:rPr>
              <w:t>况</w:t>
            </w:r>
          </w:p>
        </w:tc>
      </w:tr>
      <w:tr w14:paraId="565C1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1140F3D">
            <w:pPr>
              <w:jc w:val="center"/>
              <w:rPr>
                <w:snapToGrid w:val="0"/>
                <w:color w:val="auto"/>
                <w:szCs w:val="21"/>
                <w:highlight w:val="none"/>
              </w:rPr>
            </w:pPr>
            <w:r>
              <w:rPr>
                <w:rFonts w:hint="eastAsia"/>
                <w:snapToGrid w:val="0"/>
                <w:color w:val="auto"/>
                <w:szCs w:val="21"/>
                <w:highlight w:val="none"/>
              </w:rPr>
              <w:t>项目名称</w:t>
            </w:r>
          </w:p>
        </w:tc>
        <w:tc>
          <w:tcPr>
            <w:tcW w:w="2037" w:type="dxa"/>
            <w:gridSpan w:val="2"/>
            <w:vAlign w:val="center"/>
          </w:tcPr>
          <w:p w14:paraId="67552C59">
            <w:pPr>
              <w:jc w:val="center"/>
              <w:rPr>
                <w:snapToGrid w:val="0"/>
                <w:color w:val="auto"/>
                <w:szCs w:val="21"/>
                <w:highlight w:val="none"/>
              </w:rPr>
            </w:pPr>
            <w:r>
              <w:rPr>
                <w:rFonts w:hint="eastAsia"/>
                <w:snapToGrid w:val="0"/>
                <w:color w:val="auto"/>
                <w:szCs w:val="21"/>
                <w:highlight w:val="none"/>
              </w:rPr>
              <w:t>项目概况</w:t>
            </w:r>
          </w:p>
        </w:tc>
        <w:tc>
          <w:tcPr>
            <w:tcW w:w="1501" w:type="dxa"/>
            <w:gridSpan w:val="2"/>
            <w:vAlign w:val="center"/>
          </w:tcPr>
          <w:p w14:paraId="2AF16CF0">
            <w:pPr>
              <w:jc w:val="center"/>
              <w:rPr>
                <w:snapToGrid w:val="0"/>
                <w:color w:val="auto"/>
                <w:szCs w:val="21"/>
                <w:highlight w:val="none"/>
              </w:rPr>
            </w:pPr>
            <w:r>
              <w:rPr>
                <w:rFonts w:hint="eastAsia"/>
                <w:snapToGrid w:val="0"/>
                <w:color w:val="auto"/>
                <w:szCs w:val="21"/>
                <w:highlight w:val="none"/>
              </w:rPr>
              <w:t>合同签订时间</w:t>
            </w:r>
          </w:p>
        </w:tc>
        <w:tc>
          <w:tcPr>
            <w:tcW w:w="1931" w:type="dxa"/>
            <w:gridSpan w:val="3"/>
            <w:vAlign w:val="center"/>
          </w:tcPr>
          <w:p w14:paraId="19073120">
            <w:pPr>
              <w:jc w:val="center"/>
              <w:rPr>
                <w:snapToGrid w:val="0"/>
                <w:color w:val="auto"/>
                <w:szCs w:val="21"/>
                <w:highlight w:val="none"/>
              </w:rPr>
            </w:pPr>
            <w:r>
              <w:rPr>
                <w:rFonts w:hint="eastAsia"/>
                <w:snapToGrid w:val="0"/>
                <w:color w:val="auto"/>
                <w:szCs w:val="21"/>
                <w:highlight w:val="none"/>
              </w:rPr>
              <w:t>负担的技术职务</w:t>
            </w:r>
          </w:p>
        </w:tc>
        <w:tc>
          <w:tcPr>
            <w:tcW w:w="2054" w:type="dxa"/>
            <w:vAlign w:val="center"/>
          </w:tcPr>
          <w:p w14:paraId="1149CA2D">
            <w:pPr>
              <w:jc w:val="center"/>
              <w:rPr>
                <w:snapToGrid w:val="0"/>
                <w:color w:val="auto"/>
                <w:szCs w:val="21"/>
                <w:highlight w:val="none"/>
              </w:rPr>
            </w:pPr>
            <w:r>
              <w:rPr>
                <w:rFonts w:hint="eastAsia"/>
                <w:snapToGrid w:val="0"/>
                <w:color w:val="auto"/>
                <w:szCs w:val="21"/>
                <w:highlight w:val="none"/>
              </w:rPr>
              <w:t>获奖情况</w:t>
            </w:r>
          </w:p>
        </w:tc>
      </w:tr>
      <w:tr w14:paraId="70047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4E0DD451">
            <w:pPr>
              <w:rPr>
                <w:snapToGrid w:val="0"/>
                <w:color w:val="auto"/>
                <w:highlight w:val="none"/>
              </w:rPr>
            </w:pPr>
          </w:p>
        </w:tc>
        <w:tc>
          <w:tcPr>
            <w:tcW w:w="2037" w:type="dxa"/>
            <w:gridSpan w:val="2"/>
            <w:vAlign w:val="center"/>
          </w:tcPr>
          <w:p w14:paraId="45C2E25B">
            <w:pPr>
              <w:rPr>
                <w:snapToGrid w:val="0"/>
                <w:color w:val="auto"/>
                <w:highlight w:val="none"/>
              </w:rPr>
            </w:pPr>
          </w:p>
        </w:tc>
        <w:tc>
          <w:tcPr>
            <w:tcW w:w="1501" w:type="dxa"/>
            <w:gridSpan w:val="2"/>
            <w:vAlign w:val="center"/>
          </w:tcPr>
          <w:p w14:paraId="5BBA16E4">
            <w:pPr>
              <w:rPr>
                <w:snapToGrid w:val="0"/>
                <w:color w:val="auto"/>
                <w:highlight w:val="none"/>
              </w:rPr>
            </w:pPr>
          </w:p>
        </w:tc>
        <w:tc>
          <w:tcPr>
            <w:tcW w:w="1931" w:type="dxa"/>
            <w:gridSpan w:val="3"/>
            <w:vAlign w:val="center"/>
          </w:tcPr>
          <w:p w14:paraId="57478400">
            <w:pPr>
              <w:rPr>
                <w:snapToGrid w:val="0"/>
                <w:color w:val="auto"/>
                <w:highlight w:val="none"/>
              </w:rPr>
            </w:pPr>
          </w:p>
        </w:tc>
        <w:tc>
          <w:tcPr>
            <w:tcW w:w="2054" w:type="dxa"/>
            <w:vAlign w:val="center"/>
          </w:tcPr>
          <w:p w14:paraId="0785C5A9">
            <w:pPr>
              <w:rPr>
                <w:snapToGrid w:val="0"/>
                <w:color w:val="auto"/>
                <w:highlight w:val="none"/>
              </w:rPr>
            </w:pPr>
          </w:p>
        </w:tc>
      </w:tr>
      <w:tr w14:paraId="29984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1B9926B8">
            <w:pPr>
              <w:rPr>
                <w:snapToGrid w:val="0"/>
                <w:color w:val="auto"/>
                <w:highlight w:val="none"/>
              </w:rPr>
            </w:pPr>
          </w:p>
        </w:tc>
        <w:tc>
          <w:tcPr>
            <w:tcW w:w="2037" w:type="dxa"/>
            <w:gridSpan w:val="2"/>
            <w:vAlign w:val="center"/>
          </w:tcPr>
          <w:p w14:paraId="261D71E0">
            <w:pPr>
              <w:rPr>
                <w:snapToGrid w:val="0"/>
                <w:color w:val="auto"/>
                <w:highlight w:val="none"/>
              </w:rPr>
            </w:pPr>
          </w:p>
        </w:tc>
        <w:tc>
          <w:tcPr>
            <w:tcW w:w="1501" w:type="dxa"/>
            <w:gridSpan w:val="2"/>
            <w:vAlign w:val="center"/>
          </w:tcPr>
          <w:p w14:paraId="7C83E6B1">
            <w:pPr>
              <w:rPr>
                <w:snapToGrid w:val="0"/>
                <w:color w:val="auto"/>
                <w:highlight w:val="none"/>
              </w:rPr>
            </w:pPr>
          </w:p>
        </w:tc>
        <w:tc>
          <w:tcPr>
            <w:tcW w:w="1931" w:type="dxa"/>
            <w:gridSpan w:val="3"/>
            <w:vAlign w:val="center"/>
          </w:tcPr>
          <w:p w14:paraId="08D80BA1">
            <w:pPr>
              <w:rPr>
                <w:snapToGrid w:val="0"/>
                <w:color w:val="auto"/>
                <w:highlight w:val="none"/>
              </w:rPr>
            </w:pPr>
          </w:p>
        </w:tc>
        <w:tc>
          <w:tcPr>
            <w:tcW w:w="2054" w:type="dxa"/>
            <w:vAlign w:val="center"/>
          </w:tcPr>
          <w:p w14:paraId="732D1624">
            <w:pPr>
              <w:rPr>
                <w:snapToGrid w:val="0"/>
                <w:color w:val="auto"/>
                <w:highlight w:val="none"/>
              </w:rPr>
            </w:pPr>
          </w:p>
        </w:tc>
      </w:tr>
      <w:tr w14:paraId="76CA3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5A298D25">
            <w:pPr>
              <w:rPr>
                <w:snapToGrid w:val="0"/>
                <w:color w:val="auto"/>
                <w:highlight w:val="none"/>
              </w:rPr>
            </w:pPr>
          </w:p>
        </w:tc>
        <w:tc>
          <w:tcPr>
            <w:tcW w:w="2037" w:type="dxa"/>
            <w:gridSpan w:val="2"/>
            <w:vAlign w:val="center"/>
          </w:tcPr>
          <w:p w14:paraId="0445A6AF">
            <w:pPr>
              <w:rPr>
                <w:snapToGrid w:val="0"/>
                <w:color w:val="auto"/>
                <w:highlight w:val="none"/>
              </w:rPr>
            </w:pPr>
          </w:p>
        </w:tc>
        <w:tc>
          <w:tcPr>
            <w:tcW w:w="1501" w:type="dxa"/>
            <w:gridSpan w:val="2"/>
            <w:vAlign w:val="center"/>
          </w:tcPr>
          <w:p w14:paraId="7B882D42">
            <w:pPr>
              <w:rPr>
                <w:snapToGrid w:val="0"/>
                <w:color w:val="auto"/>
                <w:highlight w:val="none"/>
              </w:rPr>
            </w:pPr>
          </w:p>
        </w:tc>
        <w:tc>
          <w:tcPr>
            <w:tcW w:w="1931" w:type="dxa"/>
            <w:gridSpan w:val="3"/>
            <w:vAlign w:val="center"/>
          </w:tcPr>
          <w:p w14:paraId="6C3105CE">
            <w:pPr>
              <w:rPr>
                <w:snapToGrid w:val="0"/>
                <w:color w:val="auto"/>
                <w:highlight w:val="none"/>
              </w:rPr>
            </w:pPr>
          </w:p>
        </w:tc>
        <w:tc>
          <w:tcPr>
            <w:tcW w:w="2054" w:type="dxa"/>
            <w:vAlign w:val="center"/>
          </w:tcPr>
          <w:p w14:paraId="19F19102">
            <w:pPr>
              <w:rPr>
                <w:snapToGrid w:val="0"/>
                <w:color w:val="auto"/>
                <w:highlight w:val="none"/>
              </w:rPr>
            </w:pPr>
          </w:p>
        </w:tc>
      </w:tr>
      <w:tr w14:paraId="0D899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6703C724">
            <w:pPr>
              <w:rPr>
                <w:snapToGrid w:val="0"/>
                <w:color w:val="auto"/>
                <w:highlight w:val="none"/>
              </w:rPr>
            </w:pPr>
          </w:p>
        </w:tc>
        <w:tc>
          <w:tcPr>
            <w:tcW w:w="2037" w:type="dxa"/>
            <w:gridSpan w:val="2"/>
            <w:vAlign w:val="center"/>
          </w:tcPr>
          <w:p w14:paraId="20495602">
            <w:pPr>
              <w:rPr>
                <w:snapToGrid w:val="0"/>
                <w:color w:val="auto"/>
                <w:highlight w:val="none"/>
              </w:rPr>
            </w:pPr>
          </w:p>
        </w:tc>
        <w:tc>
          <w:tcPr>
            <w:tcW w:w="1501" w:type="dxa"/>
            <w:gridSpan w:val="2"/>
            <w:vAlign w:val="center"/>
          </w:tcPr>
          <w:p w14:paraId="1D975585">
            <w:pPr>
              <w:rPr>
                <w:snapToGrid w:val="0"/>
                <w:color w:val="auto"/>
                <w:highlight w:val="none"/>
              </w:rPr>
            </w:pPr>
          </w:p>
        </w:tc>
        <w:tc>
          <w:tcPr>
            <w:tcW w:w="1931" w:type="dxa"/>
            <w:gridSpan w:val="3"/>
            <w:vAlign w:val="center"/>
          </w:tcPr>
          <w:p w14:paraId="6F255DAB">
            <w:pPr>
              <w:rPr>
                <w:snapToGrid w:val="0"/>
                <w:color w:val="auto"/>
                <w:highlight w:val="none"/>
              </w:rPr>
            </w:pPr>
          </w:p>
        </w:tc>
        <w:tc>
          <w:tcPr>
            <w:tcW w:w="2054" w:type="dxa"/>
            <w:vAlign w:val="center"/>
          </w:tcPr>
          <w:p w14:paraId="50D067AB">
            <w:pPr>
              <w:rPr>
                <w:snapToGrid w:val="0"/>
                <w:color w:val="auto"/>
                <w:highlight w:val="none"/>
              </w:rPr>
            </w:pPr>
          </w:p>
        </w:tc>
      </w:tr>
      <w:tr w14:paraId="7E155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37D8FC52">
            <w:pPr>
              <w:rPr>
                <w:snapToGrid w:val="0"/>
                <w:color w:val="auto"/>
                <w:highlight w:val="none"/>
              </w:rPr>
            </w:pPr>
          </w:p>
        </w:tc>
        <w:tc>
          <w:tcPr>
            <w:tcW w:w="2037" w:type="dxa"/>
            <w:gridSpan w:val="2"/>
            <w:vAlign w:val="center"/>
          </w:tcPr>
          <w:p w14:paraId="591DD27B">
            <w:pPr>
              <w:rPr>
                <w:snapToGrid w:val="0"/>
                <w:color w:val="auto"/>
                <w:highlight w:val="none"/>
              </w:rPr>
            </w:pPr>
          </w:p>
        </w:tc>
        <w:tc>
          <w:tcPr>
            <w:tcW w:w="1501" w:type="dxa"/>
            <w:gridSpan w:val="2"/>
            <w:vAlign w:val="center"/>
          </w:tcPr>
          <w:p w14:paraId="7389ABF2">
            <w:pPr>
              <w:rPr>
                <w:snapToGrid w:val="0"/>
                <w:color w:val="auto"/>
                <w:highlight w:val="none"/>
              </w:rPr>
            </w:pPr>
          </w:p>
        </w:tc>
        <w:tc>
          <w:tcPr>
            <w:tcW w:w="1931" w:type="dxa"/>
            <w:gridSpan w:val="3"/>
            <w:vAlign w:val="center"/>
          </w:tcPr>
          <w:p w14:paraId="6EA439A4">
            <w:pPr>
              <w:rPr>
                <w:snapToGrid w:val="0"/>
                <w:color w:val="auto"/>
                <w:highlight w:val="none"/>
              </w:rPr>
            </w:pPr>
          </w:p>
        </w:tc>
        <w:tc>
          <w:tcPr>
            <w:tcW w:w="2054" w:type="dxa"/>
            <w:vAlign w:val="center"/>
          </w:tcPr>
          <w:p w14:paraId="494ABF4D">
            <w:pPr>
              <w:rPr>
                <w:snapToGrid w:val="0"/>
                <w:color w:val="auto"/>
                <w:highlight w:val="none"/>
              </w:rPr>
            </w:pPr>
          </w:p>
        </w:tc>
      </w:tr>
      <w:tr w14:paraId="66EEF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3BA065CD">
            <w:pPr>
              <w:rPr>
                <w:snapToGrid w:val="0"/>
                <w:color w:val="auto"/>
                <w:highlight w:val="none"/>
              </w:rPr>
            </w:pPr>
          </w:p>
        </w:tc>
        <w:tc>
          <w:tcPr>
            <w:tcW w:w="2037" w:type="dxa"/>
            <w:gridSpan w:val="2"/>
            <w:vAlign w:val="center"/>
          </w:tcPr>
          <w:p w14:paraId="25638514">
            <w:pPr>
              <w:rPr>
                <w:snapToGrid w:val="0"/>
                <w:color w:val="auto"/>
                <w:highlight w:val="none"/>
              </w:rPr>
            </w:pPr>
          </w:p>
        </w:tc>
        <w:tc>
          <w:tcPr>
            <w:tcW w:w="1501" w:type="dxa"/>
            <w:gridSpan w:val="2"/>
            <w:vAlign w:val="center"/>
          </w:tcPr>
          <w:p w14:paraId="1434E799">
            <w:pPr>
              <w:rPr>
                <w:snapToGrid w:val="0"/>
                <w:color w:val="auto"/>
                <w:highlight w:val="none"/>
              </w:rPr>
            </w:pPr>
          </w:p>
        </w:tc>
        <w:tc>
          <w:tcPr>
            <w:tcW w:w="1931" w:type="dxa"/>
            <w:gridSpan w:val="3"/>
            <w:vAlign w:val="center"/>
          </w:tcPr>
          <w:p w14:paraId="3D1A422D">
            <w:pPr>
              <w:rPr>
                <w:snapToGrid w:val="0"/>
                <w:color w:val="auto"/>
                <w:highlight w:val="none"/>
              </w:rPr>
            </w:pPr>
          </w:p>
        </w:tc>
        <w:tc>
          <w:tcPr>
            <w:tcW w:w="2054" w:type="dxa"/>
            <w:vAlign w:val="center"/>
          </w:tcPr>
          <w:p w14:paraId="0AD9F1AB">
            <w:pPr>
              <w:rPr>
                <w:snapToGrid w:val="0"/>
                <w:color w:val="auto"/>
                <w:highlight w:val="none"/>
              </w:rPr>
            </w:pPr>
          </w:p>
        </w:tc>
      </w:tr>
      <w:tr w14:paraId="450CC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09C263F1">
            <w:pPr>
              <w:rPr>
                <w:snapToGrid w:val="0"/>
                <w:color w:val="auto"/>
                <w:highlight w:val="none"/>
              </w:rPr>
            </w:pPr>
          </w:p>
        </w:tc>
        <w:tc>
          <w:tcPr>
            <w:tcW w:w="2037" w:type="dxa"/>
            <w:gridSpan w:val="2"/>
            <w:vAlign w:val="center"/>
          </w:tcPr>
          <w:p w14:paraId="3FF2E9BA">
            <w:pPr>
              <w:rPr>
                <w:snapToGrid w:val="0"/>
                <w:color w:val="auto"/>
                <w:highlight w:val="none"/>
              </w:rPr>
            </w:pPr>
          </w:p>
        </w:tc>
        <w:tc>
          <w:tcPr>
            <w:tcW w:w="1501" w:type="dxa"/>
            <w:gridSpan w:val="2"/>
            <w:vAlign w:val="center"/>
          </w:tcPr>
          <w:p w14:paraId="356289A8">
            <w:pPr>
              <w:rPr>
                <w:snapToGrid w:val="0"/>
                <w:color w:val="auto"/>
                <w:highlight w:val="none"/>
              </w:rPr>
            </w:pPr>
          </w:p>
        </w:tc>
        <w:tc>
          <w:tcPr>
            <w:tcW w:w="1931" w:type="dxa"/>
            <w:gridSpan w:val="3"/>
            <w:vAlign w:val="center"/>
          </w:tcPr>
          <w:p w14:paraId="133F8DE8">
            <w:pPr>
              <w:rPr>
                <w:snapToGrid w:val="0"/>
                <w:color w:val="auto"/>
                <w:highlight w:val="none"/>
              </w:rPr>
            </w:pPr>
          </w:p>
        </w:tc>
        <w:tc>
          <w:tcPr>
            <w:tcW w:w="2054" w:type="dxa"/>
            <w:vAlign w:val="center"/>
          </w:tcPr>
          <w:p w14:paraId="35330AE5">
            <w:pPr>
              <w:rPr>
                <w:snapToGrid w:val="0"/>
                <w:color w:val="auto"/>
                <w:highlight w:val="none"/>
              </w:rPr>
            </w:pPr>
          </w:p>
        </w:tc>
      </w:tr>
      <w:tr w14:paraId="3C970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479A3063">
            <w:pPr>
              <w:rPr>
                <w:snapToGrid w:val="0"/>
                <w:color w:val="auto"/>
                <w:highlight w:val="none"/>
              </w:rPr>
            </w:pPr>
          </w:p>
        </w:tc>
        <w:tc>
          <w:tcPr>
            <w:tcW w:w="2037" w:type="dxa"/>
            <w:gridSpan w:val="2"/>
            <w:vAlign w:val="center"/>
          </w:tcPr>
          <w:p w14:paraId="58313BE7">
            <w:pPr>
              <w:rPr>
                <w:snapToGrid w:val="0"/>
                <w:color w:val="auto"/>
                <w:highlight w:val="none"/>
              </w:rPr>
            </w:pPr>
          </w:p>
        </w:tc>
        <w:tc>
          <w:tcPr>
            <w:tcW w:w="1501" w:type="dxa"/>
            <w:gridSpan w:val="2"/>
            <w:vAlign w:val="center"/>
          </w:tcPr>
          <w:p w14:paraId="368C22A0">
            <w:pPr>
              <w:rPr>
                <w:snapToGrid w:val="0"/>
                <w:color w:val="auto"/>
                <w:highlight w:val="none"/>
              </w:rPr>
            </w:pPr>
          </w:p>
        </w:tc>
        <w:tc>
          <w:tcPr>
            <w:tcW w:w="1931" w:type="dxa"/>
            <w:gridSpan w:val="3"/>
            <w:vAlign w:val="center"/>
          </w:tcPr>
          <w:p w14:paraId="296442B2">
            <w:pPr>
              <w:rPr>
                <w:snapToGrid w:val="0"/>
                <w:color w:val="auto"/>
                <w:highlight w:val="none"/>
              </w:rPr>
            </w:pPr>
          </w:p>
        </w:tc>
        <w:tc>
          <w:tcPr>
            <w:tcW w:w="2054" w:type="dxa"/>
            <w:vAlign w:val="center"/>
          </w:tcPr>
          <w:p w14:paraId="406D766E">
            <w:pPr>
              <w:rPr>
                <w:snapToGrid w:val="0"/>
                <w:color w:val="auto"/>
                <w:highlight w:val="none"/>
              </w:rPr>
            </w:pPr>
          </w:p>
        </w:tc>
      </w:tr>
      <w:tr w14:paraId="4FC47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26ADEB1D">
            <w:pPr>
              <w:rPr>
                <w:snapToGrid w:val="0"/>
                <w:color w:val="auto"/>
                <w:highlight w:val="none"/>
              </w:rPr>
            </w:pPr>
          </w:p>
        </w:tc>
        <w:tc>
          <w:tcPr>
            <w:tcW w:w="2037" w:type="dxa"/>
            <w:gridSpan w:val="2"/>
            <w:vAlign w:val="center"/>
          </w:tcPr>
          <w:p w14:paraId="72176DFF">
            <w:pPr>
              <w:rPr>
                <w:snapToGrid w:val="0"/>
                <w:color w:val="auto"/>
                <w:highlight w:val="none"/>
              </w:rPr>
            </w:pPr>
          </w:p>
        </w:tc>
        <w:tc>
          <w:tcPr>
            <w:tcW w:w="1501" w:type="dxa"/>
            <w:gridSpan w:val="2"/>
            <w:vAlign w:val="center"/>
          </w:tcPr>
          <w:p w14:paraId="414C1AF9">
            <w:pPr>
              <w:rPr>
                <w:snapToGrid w:val="0"/>
                <w:color w:val="auto"/>
                <w:highlight w:val="none"/>
              </w:rPr>
            </w:pPr>
          </w:p>
        </w:tc>
        <w:tc>
          <w:tcPr>
            <w:tcW w:w="1931" w:type="dxa"/>
            <w:gridSpan w:val="3"/>
            <w:vAlign w:val="center"/>
          </w:tcPr>
          <w:p w14:paraId="3BDF1A11">
            <w:pPr>
              <w:rPr>
                <w:snapToGrid w:val="0"/>
                <w:color w:val="auto"/>
                <w:highlight w:val="none"/>
              </w:rPr>
            </w:pPr>
          </w:p>
        </w:tc>
        <w:tc>
          <w:tcPr>
            <w:tcW w:w="2054" w:type="dxa"/>
            <w:vAlign w:val="center"/>
          </w:tcPr>
          <w:p w14:paraId="4BFBF54E">
            <w:pPr>
              <w:rPr>
                <w:snapToGrid w:val="0"/>
                <w:color w:val="auto"/>
                <w:highlight w:val="none"/>
              </w:rPr>
            </w:pPr>
          </w:p>
        </w:tc>
      </w:tr>
      <w:tr w14:paraId="0C7AA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313DCF65">
            <w:pPr>
              <w:rPr>
                <w:snapToGrid w:val="0"/>
                <w:color w:val="auto"/>
                <w:highlight w:val="none"/>
              </w:rPr>
            </w:pPr>
          </w:p>
        </w:tc>
        <w:tc>
          <w:tcPr>
            <w:tcW w:w="2037" w:type="dxa"/>
            <w:gridSpan w:val="2"/>
            <w:vAlign w:val="center"/>
          </w:tcPr>
          <w:p w14:paraId="1378A71C">
            <w:pPr>
              <w:rPr>
                <w:snapToGrid w:val="0"/>
                <w:color w:val="auto"/>
                <w:highlight w:val="none"/>
              </w:rPr>
            </w:pPr>
          </w:p>
        </w:tc>
        <w:tc>
          <w:tcPr>
            <w:tcW w:w="1501" w:type="dxa"/>
            <w:gridSpan w:val="2"/>
            <w:vAlign w:val="center"/>
          </w:tcPr>
          <w:p w14:paraId="43A8BD55">
            <w:pPr>
              <w:rPr>
                <w:snapToGrid w:val="0"/>
                <w:color w:val="auto"/>
                <w:highlight w:val="none"/>
              </w:rPr>
            </w:pPr>
          </w:p>
        </w:tc>
        <w:tc>
          <w:tcPr>
            <w:tcW w:w="1931" w:type="dxa"/>
            <w:gridSpan w:val="3"/>
            <w:vAlign w:val="center"/>
          </w:tcPr>
          <w:p w14:paraId="669D5586">
            <w:pPr>
              <w:rPr>
                <w:snapToGrid w:val="0"/>
                <w:color w:val="auto"/>
                <w:highlight w:val="none"/>
              </w:rPr>
            </w:pPr>
          </w:p>
        </w:tc>
        <w:tc>
          <w:tcPr>
            <w:tcW w:w="2054" w:type="dxa"/>
            <w:vAlign w:val="center"/>
          </w:tcPr>
          <w:p w14:paraId="7479DCE5">
            <w:pPr>
              <w:rPr>
                <w:snapToGrid w:val="0"/>
                <w:color w:val="auto"/>
                <w:highlight w:val="none"/>
              </w:rPr>
            </w:pPr>
          </w:p>
        </w:tc>
      </w:tr>
      <w:tr w14:paraId="1BC77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3A58CC00">
            <w:pPr>
              <w:rPr>
                <w:snapToGrid w:val="0"/>
                <w:color w:val="auto"/>
                <w:highlight w:val="none"/>
              </w:rPr>
            </w:pPr>
          </w:p>
        </w:tc>
        <w:tc>
          <w:tcPr>
            <w:tcW w:w="2037" w:type="dxa"/>
            <w:gridSpan w:val="2"/>
            <w:vAlign w:val="center"/>
          </w:tcPr>
          <w:p w14:paraId="539DCFDB">
            <w:pPr>
              <w:rPr>
                <w:snapToGrid w:val="0"/>
                <w:color w:val="auto"/>
                <w:highlight w:val="none"/>
              </w:rPr>
            </w:pPr>
          </w:p>
        </w:tc>
        <w:tc>
          <w:tcPr>
            <w:tcW w:w="1501" w:type="dxa"/>
            <w:gridSpan w:val="2"/>
            <w:vAlign w:val="center"/>
          </w:tcPr>
          <w:p w14:paraId="13D0B965">
            <w:pPr>
              <w:rPr>
                <w:snapToGrid w:val="0"/>
                <w:color w:val="auto"/>
                <w:highlight w:val="none"/>
              </w:rPr>
            </w:pPr>
          </w:p>
        </w:tc>
        <w:tc>
          <w:tcPr>
            <w:tcW w:w="1931" w:type="dxa"/>
            <w:gridSpan w:val="3"/>
            <w:vAlign w:val="center"/>
          </w:tcPr>
          <w:p w14:paraId="0FD702CF">
            <w:pPr>
              <w:rPr>
                <w:snapToGrid w:val="0"/>
                <w:color w:val="auto"/>
                <w:highlight w:val="none"/>
              </w:rPr>
            </w:pPr>
          </w:p>
        </w:tc>
        <w:tc>
          <w:tcPr>
            <w:tcW w:w="2054" w:type="dxa"/>
            <w:vAlign w:val="center"/>
          </w:tcPr>
          <w:p w14:paraId="3BA23F0C">
            <w:pPr>
              <w:rPr>
                <w:snapToGrid w:val="0"/>
                <w:color w:val="auto"/>
                <w:highlight w:val="none"/>
              </w:rPr>
            </w:pPr>
          </w:p>
        </w:tc>
      </w:tr>
      <w:tr w14:paraId="1FFE0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6D1C6F2C">
            <w:pPr>
              <w:rPr>
                <w:snapToGrid w:val="0"/>
                <w:color w:val="auto"/>
                <w:highlight w:val="none"/>
              </w:rPr>
            </w:pPr>
          </w:p>
        </w:tc>
        <w:tc>
          <w:tcPr>
            <w:tcW w:w="2037" w:type="dxa"/>
            <w:gridSpan w:val="2"/>
            <w:vAlign w:val="center"/>
          </w:tcPr>
          <w:p w14:paraId="4E4D94B5">
            <w:pPr>
              <w:rPr>
                <w:snapToGrid w:val="0"/>
                <w:color w:val="auto"/>
                <w:highlight w:val="none"/>
              </w:rPr>
            </w:pPr>
          </w:p>
        </w:tc>
        <w:tc>
          <w:tcPr>
            <w:tcW w:w="1501" w:type="dxa"/>
            <w:gridSpan w:val="2"/>
            <w:vAlign w:val="center"/>
          </w:tcPr>
          <w:p w14:paraId="08EDBBA0">
            <w:pPr>
              <w:rPr>
                <w:snapToGrid w:val="0"/>
                <w:color w:val="auto"/>
                <w:highlight w:val="none"/>
              </w:rPr>
            </w:pPr>
          </w:p>
        </w:tc>
        <w:tc>
          <w:tcPr>
            <w:tcW w:w="1931" w:type="dxa"/>
            <w:gridSpan w:val="3"/>
            <w:vAlign w:val="center"/>
          </w:tcPr>
          <w:p w14:paraId="7263B682">
            <w:pPr>
              <w:rPr>
                <w:snapToGrid w:val="0"/>
                <w:color w:val="auto"/>
                <w:highlight w:val="none"/>
              </w:rPr>
            </w:pPr>
          </w:p>
        </w:tc>
        <w:tc>
          <w:tcPr>
            <w:tcW w:w="2054" w:type="dxa"/>
            <w:vAlign w:val="center"/>
          </w:tcPr>
          <w:p w14:paraId="1542947F">
            <w:pPr>
              <w:rPr>
                <w:snapToGrid w:val="0"/>
                <w:color w:val="auto"/>
                <w:highlight w:val="none"/>
              </w:rPr>
            </w:pPr>
          </w:p>
        </w:tc>
      </w:tr>
      <w:tr w14:paraId="3249F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69D8E699">
            <w:pPr>
              <w:rPr>
                <w:snapToGrid w:val="0"/>
                <w:color w:val="auto"/>
                <w:highlight w:val="none"/>
              </w:rPr>
            </w:pPr>
          </w:p>
        </w:tc>
        <w:tc>
          <w:tcPr>
            <w:tcW w:w="2037" w:type="dxa"/>
            <w:gridSpan w:val="2"/>
            <w:vAlign w:val="center"/>
          </w:tcPr>
          <w:p w14:paraId="2A4EBFF4">
            <w:pPr>
              <w:rPr>
                <w:snapToGrid w:val="0"/>
                <w:color w:val="auto"/>
                <w:highlight w:val="none"/>
              </w:rPr>
            </w:pPr>
          </w:p>
        </w:tc>
        <w:tc>
          <w:tcPr>
            <w:tcW w:w="1501" w:type="dxa"/>
            <w:gridSpan w:val="2"/>
            <w:vAlign w:val="center"/>
          </w:tcPr>
          <w:p w14:paraId="73E5ECBB">
            <w:pPr>
              <w:rPr>
                <w:snapToGrid w:val="0"/>
                <w:color w:val="auto"/>
                <w:highlight w:val="none"/>
              </w:rPr>
            </w:pPr>
          </w:p>
        </w:tc>
        <w:tc>
          <w:tcPr>
            <w:tcW w:w="1931" w:type="dxa"/>
            <w:gridSpan w:val="3"/>
            <w:vAlign w:val="center"/>
          </w:tcPr>
          <w:p w14:paraId="1093BE09">
            <w:pPr>
              <w:rPr>
                <w:snapToGrid w:val="0"/>
                <w:color w:val="auto"/>
                <w:highlight w:val="none"/>
              </w:rPr>
            </w:pPr>
          </w:p>
        </w:tc>
        <w:tc>
          <w:tcPr>
            <w:tcW w:w="2054" w:type="dxa"/>
            <w:vAlign w:val="center"/>
          </w:tcPr>
          <w:p w14:paraId="1DD401B1">
            <w:pPr>
              <w:rPr>
                <w:snapToGrid w:val="0"/>
                <w:color w:val="auto"/>
                <w:highlight w:val="none"/>
              </w:rPr>
            </w:pPr>
          </w:p>
        </w:tc>
      </w:tr>
      <w:tr w14:paraId="7794D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5855875B">
            <w:pPr>
              <w:rPr>
                <w:snapToGrid w:val="0"/>
                <w:color w:val="auto"/>
                <w:highlight w:val="none"/>
              </w:rPr>
            </w:pPr>
          </w:p>
        </w:tc>
        <w:tc>
          <w:tcPr>
            <w:tcW w:w="2037" w:type="dxa"/>
            <w:gridSpan w:val="2"/>
            <w:vAlign w:val="center"/>
          </w:tcPr>
          <w:p w14:paraId="781E004F">
            <w:pPr>
              <w:rPr>
                <w:snapToGrid w:val="0"/>
                <w:color w:val="auto"/>
                <w:highlight w:val="none"/>
              </w:rPr>
            </w:pPr>
          </w:p>
        </w:tc>
        <w:tc>
          <w:tcPr>
            <w:tcW w:w="1501" w:type="dxa"/>
            <w:gridSpan w:val="2"/>
            <w:vAlign w:val="center"/>
          </w:tcPr>
          <w:p w14:paraId="3FE8E95D">
            <w:pPr>
              <w:rPr>
                <w:snapToGrid w:val="0"/>
                <w:color w:val="auto"/>
                <w:highlight w:val="none"/>
              </w:rPr>
            </w:pPr>
          </w:p>
        </w:tc>
        <w:tc>
          <w:tcPr>
            <w:tcW w:w="1931" w:type="dxa"/>
            <w:gridSpan w:val="3"/>
            <w:vAlign w:val="center"/>
          </w:tcPr>
          <w:p w14:paraId="46BD1906">
            <w:pPr>
              <w:rPr>
                <w:snapToGrid w:val="0"/>
                <w:color w:val="auto"/>
                <w:highlight w:val="none"/>
              </w:rPr>
            </w:pPr>
          </w:p>
        </w:tc>
        <w:tc>
          <w:tcPr>
            <w:tcW w:w="2054" w:type="dxa"/>
            <w:vAlign w:val="center"/>
          </w:tcPr>
          <w:p w14:paraId="173087AF">
            <w:pPr>
              <w:rPr>
                <w:snapToGrid w:val="0"/>
                <w:color w:val="auto"/>
                <w:highlight w:val="none"/>
              </w:rPr>
            </w:pPr>
          </w:p>
        </w:tc>
      </w:tr>
      <w:tr w14:paraId="36E8E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14:paraId="6B43B0B7">
            <w:pPr>
              <w:rPr>
                <w:snapToGrid w:val="0"/>
                <w:color w:val="auto"/>
                <w:highlight w:val="none"/>
              </w:rPr>
            </w:pPr>
          </w:p>
        </w:tc>
        <w:tc>
          <w:tcPr>
            <w:tcW w:w="2037" w:type="dxa"/>
            <w:gridSpan w:val="2"/>
            <w:vAlign w:val="center"/>
          </w:tcPr>
          <w:p w14:paraId="102BB48C">
            <w:pPr>
              <w:rPr>
                <w:snapToGrid w:val="0"/>
                <w:color w:val="auto"/>
                <w:highlight w:val="none"/>
              </w:rPr>
            </w:pPr>
          </w:p>
        </w:tc>
        <w:tc>
          <w:tcPr>
            <w:tcW w:w="1501" w:type="dxa"/>
            <w:gridSpan w:val="2"/>
            <w:vAlign w:val="center"/>
          </w:tcPr>
          <w:p w14:paraId="3962F71A">
            <w:pPr>
              <w:rPr>
                <w:snapToGrid w:val="0"/>
                <w:color w:val="auto"/>
                <w:highlight w:val="none"/>
              </w:rPr>
            </w:pPr>
          </w:p>
        </w:tc>
        <w:tc>
          <w:tcPr>
            <w:tcW w:w="1931" w:type="dxa"/>
            <w:gridSpan w:val="3"/>
            <w:vAlign w:val="center"/>
          </w:tcPr>
          <w:p w14:paraId="69740AA5">
            <w:pPr>
              <w:rPr>
                <w:snapToGrid w:val="0"/>
                <w:color w:val="auto"/>
                <w:highlight w:val="none"/>
              </w:rPr>
            </w:pPr>
          </w:p>
        </w:tc>
        <w:tc>
          <w:tcPr>
            <w:tcW w:w="2054" w:type="dxa"/>
            <w:vAlign w:val="center"/>
          </w:tcPr>
          <w:p w14:paraId="54D55E6F">
            <w:pPr>
              <w:rPr>
                <w:snapToGrid w:val="0"/>
                <w:color w:val="auto"/>
                <w:highlight w:val="none"/>
              </w:rPr>
            </w:pPr>
          </w:p>
        </w:tc>
      </w:tr>
    </w:tbl>
    <w:p w14:paraId="39E4CFD8">
      <w:pPr>
        <w:rPr>
          <w:color w:val="auto"/>
          <w:highlight w:val="none"/>
        </w:rPr>
      </w:pPr>
      <w:r>
        <w:rPr>
          <w:rFonts w:hint="eastAsia" w:ascii="宋体" w:hAnsi="宋体"/>
          <w:snapToGrid w:val="0"/>
          <w:color w:val="auto"/>
          <w:sz w:val="24"/>
          <w:highlight w:val="none"/>
        </w:rPr>
        <w:t>附：身份证复印件、获奖证书复印件等。</w:t>
      </w:r>
    </w:p>
    <w:p w14:paraId="7FBE5524">
      <w:pPr>
        <w:rPr>
          <w:color w:val="auto"/>
          <w:sz w:val="24"/>
          <w:highlight w:val="none"/>
        </w:rPr>
      </w:pPr>
    </w:p>
    <w:p w14:paraId="2E4E3E7A">
      <w:pPr>
        <w:rPr>
          <w:color w:val="auto"/>
          <w:sz w:val="24"/>
          <w:highlight w:val="none"/>
        </w:rPr>
      </w:pPr>
      <w:r>
        <w:rPr>
          <w:color w:val="auto"/>
          <w:sz w:val="24"/>
          <w:highlight w:val="none"/>
        </w:rPr>
        <w:t>投标人：（公章）</w:t>
      </w:r>
      <w:r>
        <w:rPr>
          <w:rFonts w:hint="eastAsia"/>
          <w:color w:val="auto"/>
          <w:sz w:val="24"/>
          <w:highlight w:val="none"/>
        </w:rPr>
        <w:t xml:space="preserve">                   </w:t>
      </w:r>
      <w:r>
        <w:rPr>
          <w:rFonts w:hint="eastAsia"/>
          <w:snapToGrid w:val="0"/>
          <w:color w:val="auto"/>
          <w:sz w:val="24"/>
          <w:highlight w:val="none"/>
        </w:rPr>
        <w:t>法定代表人（或委托代理人）：</w:t>
      </w:r>
      <w:r>
        <w:rPr>
          <w:snapToGrid w:val="0"/>
          <w:color w:val="auto"/>
          <w:sz w:val="24"/>
          <w:highlight w:val="none"/>
          <w:u w:val="single"/>
        </w:rPr>
        <w:t xml:space="preserve">              </w:t>
      </w:r>
    </w:p>
    <w:p w14:paraId="5E6B25AA">
      <w:pPr>
        <w:pStyle w:val="2"/>
        <w:ind w:firstLine="480"/>
        <w:rPr>
          <w:snapToGrid w:val="0"/>
          <w:color w:val="auto"/>
          <w:sz w:val="24"/>
          <w:szCs w:val="24"/>
          <w:highlight w:val="none"/>
        </w:rPr>
      </w:pPr>
      <w:r>
        <w:rPr>
          <w:snapToGrid w:val="0"/>
          <w:color w:val="auto"/>
          <w:sz w:val="24"/>
          <w:szCs w:val="24"/>
          <w:highlight w:val="none"/>
        </w:rPr>
        <w:t xml:space="preserve">                                            </w:t>
      </w:r>
    </w:p>
    <w:p w14:paraId="7BB4D1AB">
      <w:pPr>
        <w:pStyle w:val="2"/>
        <w:ind w:left="1" w:leftChars="-3" w:hanging="7" w:hangingChars="3"/>
        <w:rPr>
          <w:snapToGrid w:val="0"/>
          <w:color w:val="auto"/>
          <w:sz w:val="24"/>
          <w:szCs w:val="24"/>
          <w:highlight w:val="none"/>
        </w:rPr>
      </w:pPr>
      <w:r>
        <w:rPr>
          <w:rFonts w:hint="eastAsia"/>
          <w:snapToGrid w:val="0"/>
          <w:color w:val="auto"/>
          <w:sz w:val="24"/>
          <w:szCs w:val="24"/>
          <w:highlight w:val="none"/>
        </w:rPr>
        <w:t xml:space="preserve">                                               </w:t>
      </w:r>
      <w:r>
        <w:rPr>
          <w:rFonts w:hint="eastAsia"/>
          <w:snapToGrid w:val="0"/>
          <w:color w:val="auto"/>
          <w:sz w:val="24"/>
          <w:szCs w:val="24"/>
          <w:highlight w:val="none"/>
          <w:u w:val="single"/>
        </w:rPr>
        <w:t xml:space="preserve">        </w:t>
      </w:r>
      <w:r>
        <w:rPr>
          <w:rFonts w:hint="eastAsia"/>
          <w:snapToGrid w:val="0"/>
          <w:color w:val="auto"/>
          <w:sz w:val="24"/>
          <w:szCs w:val="24"/>
          <w:highlight w:val="none"/>
        </w:rPr>
        <w:t>年</w:t>
      </w:r>
      <w:r>
        <w:rPr>
          <w:rFonts w:hint="eastAsia"/>
          <w:snapToGrid w:val="0"/>
          <w:color w:val="auto"/>
          <w:sz w:val="24"/>
          <w:szCs w:val="24"/>
          <w:highlight w:val="none"/>
          <w:u w:val="single"/>
        </w:rPr>
        <w:tab/>
      </w:r>
      <w:r>
        <w:rPr>
          <w:rFonts w:hint="eastAsia"/>
          <w:snapToGrid w:val="0"/>
          <w:color w:val="auto"/>
          <w:sz w:val="24"/>
          <w:szCs w:val="24"/>
          <w:highlight w:val="none"/>
          <w:u w:val="single"/>
        </w:rPr>
        <w:t xml:space="preserve">   </w:t>
      </w:r>
      <w:r>
        <w:rPr>
          <w:rFonts w:hint="eastAsia"/>
          <w:snapToGrid w:val="0"/>
          <w:color w:val="auto"/>
          <w:sz w:val="24"/>
          <w:szCs w:val="24"/>
          <w:highlight w:val="none"/>
        </w:rPr>
        <w:t>月</w:t>
      </w:r>
      <w:r>
        <w:rPr>
          <w:rFonts w:hint="eastAsia"/>
          <w:snapToGrid w:val="0"/>
          <w:color w:val="auto"/>
          <w:sz w:val="24"/>
          <w:szCs w:val="24"/>
          <w:highlight w:val="none"/>
          <w:u w:val="single"/>
        </w:rPr>
        <w:t xml:space="preserve">     </w:t>
      </w:r>
      <w:r>
        <w:rPr>
          <w:rFonts w:hint="eastAsia"/>
          <w:snapToGrid w:val="0"/>
          <w:color w:val="auto"/>
          <w:sz w:val="24"/>
          <w:szCs w:val="24"/>
          <w:highlight w:val="none"/>
        </w:rPr>
        <w:t>日</w:t>
      </w:r>
    </w:p>
    <w:bookmarkEnd w:id="49"/>
    <w:p w14:paraId="0436A111">
      <w:pPr>
        <w:snapToGrid w:val="0"/>
        <w:spacing w:before="156" w:beforeLines="50" w:after="50" w:line="276" w:lineRule="auto"/>
        <w:jc w:val="left"/>
        <w:rPr>
          <w:rFonts w:ascii="宋体" w:hAnsi="宋体" w:cs="宋体"/>
          <w:color w:val="auto"/>
          <w:sz w:val="24"/>
          <w:highlight w:val="none"/>
        </w:rPr>
      </w:pPr>
    </w:p>
    <w:p w14:paraId="05BE9ED4">
      <w:pPr>
        <w:rPr>
          <w:rFonts w:hint="eastAsia" w:ascii="宋体" w:hAnsi="宋体" w:cs="宋体"/>
          <w:b w:val="0"/>
          <w:bCs w:val="0"/>
          <w:color w:val="auto"/>
          <w:sz w:val="24"/>
          <w:highlight w:val="none"/>
        </w:rPr>
      </w:pPr>
      <w:bookmarkStart w:id="50" w:name="_Toc496598995"/>
      <w:bookmarkStart w:id="51" w:name="_Toc31955"/>
    </w:p>
    <w:p w14:paraId="44349D63">
      <w:pPr>
        <w:rPr>
          <w:color w:val="auto"/>
          <w:sz w:val="24"/>
          <w:szCs w:val="32"/>
          <w:highlight w:val="none"/>
        </w:rPr>
      </w:pPr>
      <w:r>
        <w:rPr>
          <w:rFonts w:hint="eastAsia"/>
          <w:color w:val="auto"/>
          <w:sz w:val="24"/>
          <w:szCs w:val="32"/>
          <w:highlight w:val="none"/>
        </w:rPr>
        <w:t>附件</w:t>
      </w:r>
      <w:r>
        <w:rPr>
          <w:rFonts w:hint="eastAsia"/>
          <w:color w:val="auto"/>
          <w:sz w:val="24"/>
          <w:szCs w:val="32"/>
          <w:highlight w:val="none"/>
          <w:lang w:val="en-US" w:eastAsia="zh-CN"/>
        </w:rPr>
        <w:t>十二</w:t>
      </w:r>
      <w:r>
        <w:rPr>
          <w:rFonts w:hint="eastAsia"/>
          <w:color w:val="auto"/>
          <w:sz w:val="24"/>
          <w:szCs w:val="32"/>
          <w:highlight w:val="none"/>
        </w:rPr>
        <w:t>：拟派项目人员概况一览表</w:t>
      </w:r>
    </w:p>
    <w:p w14:paraId="58C51783">
      <w:pPr>
        <w:jc w:val="center"/>
        <w:rPr>
          <w:rFonts w:hint="eastAsia" w:ascii="宋体" w:hAnsi="宋体"/>
          <w:b/>
          <w:color w:val="auto"/>
          <w:sz w:val="28"/>
          <w:szCs w:val="28"/>
          <w:highlight w:val="none"/>
        </w:rPr>
      </w:pPr>
    </w:p>
    <w:p w14:paraId="736C0FE1">
      <w:pPr>
        <w:jc w:val="center"/>
        <w:rPr>
          <w:color w:val="auto"/>
          <w:sz w:val="28"/>
          <w:szCs w:val="28"/>
          <w:highlight w:val="none"/>
        </w:rPr>
      </w:pPr>
      <w:r>
        <w:rPr>
          <w:rFonts w:hint="eastAsia" w:ascii="宋体" w:hAnsi="宋体"/>
          <w:b/>
          <w:color w:val="auto"/>
          <w:sz w:val="28"/>
          <w:szCs w:val="28"/>
          <w:highlight w:val="none"/>
        </w:rPr>
        <w:t>拟派项目人员</w:t>
      </w:r>
      <w:r>
        <w:rPr>
          <w:rFonts w:hint="eastAsia"/>
          <w:b/>
          <w:bCs/>
          <w:snapToGrid w:val="0"/>
          <w:color w:val="auto"/>
          <w:sz w:val="28"/>
          <w:szCs w:val="28"/>
          <w:highlight w:val="none"/>
        </w:rPr>
        <w:t>概况一览表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90"/>
        <w:gridCol w:w="604"/>
        <w:gridCol w:w="1065"/>
        <w:gridCol w:w="1031"/>
        <w:gridCol w:w="1276"/>
        <w:gridCol w:w="1085"/>
        <w:gridCol w:w="2768"/>
      </w:tblGrid>
      <w:tr w14:paraId="17AD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1071" w:type="dxa"/>
            <w:noWrap w:val="0"/>
            <w:vAlign w:val="center"/>
          </w:tcPr>
          <w:p w14:paraId="5928256A">
            <w:pPr>
              <w:snapToGrid w:val="0"/>
              <w:spacing w:before="50" w:after="50"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590" w:type="dxa"/>
            <w:noWrap w:val="0"/>
            <w:vAlign w:val="center"/>
          </w:tcPr>
          <w:p w14:paraId="1135AF7E">
            <w:pPr>
              <w:snapToGrid w:val="0"/>
              <w:spacing w:before="50" w:after="50"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604" w:type="dxa"/>
            <w:noWrap w:val="0"/>
            <w:vAlign w:val="center"/>
          </w:tcPr>
          <w:p w14:paraId="68945820">
            <w:pPr>
              <w:snapToGrid w:val="0"/>
              <w:spacing w:before="50" w:after="50"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65" w:type="dxa"/>
            <w:noWrap w:val="0"/>
            <w:vAlign w:val="center"/>
          </w:tcPr>
          <w:p w14:paraId="5F3226D1">
            <w:pPr>
              <w:snapToGrid w:val="0"/>
              <w:spacing w:before="50" w:after="50" w:line="500" w:lineRule="exact"/>
              <w:jc w:val="center"/>
              <w:rPr>
                <w:rFonts w:ascii="宋体" w:hAnsi="宋体" w:cs="宋体"/>
                <w:color w:val="auto"/>
                <w:sz w:val="24"/>
                <w:highlight w:val="none"/>
              </w:rPr>
            </w:pPr>
            <w:r>
              <w:rPr>
                <w:rFonts w:hint="eastAsia" w:ascii="宋体" w:hAnsi="宋体" w:cs="宋体"/>
                <w:color w:val="auto"/>
                <w:sz w:val="24"/>
                <w:highlight w:val="none"/>
              </w:rPr>
              <w:t>文化</w:t>
            </w:r>
          </w:p>
          <w:p w14:paraId="3BA94FF2">
            <w:pPr>
              <w:snapToGrid w:val="0"/>
              <w:spacing w:before="50" w:after="50"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程度</w:t>
            </w:r>
          </w:p>
        </w:tc>
        <w:tc>
          <w:tcPr>
            <w:tcW w:w="1031" w:type="dxa"/>
            <w:noWrap w:val="0"/>
            <w:vAlign w:val="center"/>
          </w:tcPr>
          <w:p w14:paraId="372A9DA5">
            <w:pPr>
              <w:snapToGrid w:val="0"/>
              <w:spacing w:before="50" w:after="50"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从事</w:t>
            </w:r>
          </w:p>
          <w:p w14:paraId="0F2BA027">
            <w:pPr>
              <w:snapToGrid w:val="0"/>
              <w:spacing w:before="50" w:after="50"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1276" w:type="dxa"/>
            <w:noWrap w:val="0"/>
            <w:vAlign w:val="center"/>
          </w:tcPr>
          <w:p w14:paraId="343FE7C0">
            <w:pPr>
              <w:snapToGrid w:val="0"/>
              <w:spacing w:before="50" w:after="50"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从事专业</w:t>
            </w:r>
            <w:r>
              <w:rPr>
                <w:rFonts w:ascii="宋体" w:hAnsi="宋体" w:cs="宋体"/>
                <w:color w:val="auto"/>
                <w:sz w:val="24"/>
                <w:highlight w:val="none"/>
              </w:rPr>
              <w:t>工作时间</w:t>
            </w:r>
          </w:p>
        </w:tc>
        <w:tc>
          <w:tcPr>
            <w:tcW w:w="1085" w:type="dxa"/>
            <w:noWrap w:val="0"/>
            <w:vAlign w:val="center"/>
          </w:tcPr>
          <w:p w14:paraId="27021851">
            <w:pPr>
              <w:snapToGrid w:val="0"/>
              <w:spacing w:before="50" w:after="50" w:line="500" w:lineRule="exact"/>
              <w:ind w:left="-107" w:leftChars="-51" w:firstLine="91" w:firstLineChars="38"/>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2768" w:type="dxa"/>
            <w:noWrap w:val="0"/>
            <w:vAlign w:val="center"/>
          </w:tcPr>
          <w:p w14:paraId="6A6DEB9A">
            <w:pPr>
              <w:snapToGrid w:val="0"/>
              <w:spacing w:before="50" w:after="50"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拟派岗位</w:t>
            </w:r>
          </w:p>
        </w:tc>
      </w:tr>
      <w:tr w14:paraId="04F8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noWrap w:val="0"/>
            <w:vAlign w:val="top"/>
          </w:tcPr>
          <w:p w14:paraId="4D45B785">
            <w:pPr>
              <w:spacing w:before="50" w:after="50" w:line="500" w:lineRule="exact"/>
              <w:jc w:val="left"/>
              <w:rPr>
                <w:rFonts w:hint="eastAsia" w:ascii="宋体" w:hAnsi="宋体" w:cs="宋体"/>
                <w:color w:val="auto"/>
                <w:sz w:val="24"/>
                <w:highlight w:val="none"/>
              </w:rPr>
            </w:pPr>
          </w:p>
        </w:tc>
        <w:tc>
          <w:tcPr>
            <w:tcW w:w="590" w:type="dxa"/>
            <w:noWrap w:val="0"/>
            <w:vAlign w:val="top"/>
          </w:tcPr>
          <w:p w14:paraId="663C7319">
            <w:pPr>
              <w:spacing w:before="50" w:after="50" w:line="500" w:lineRule="exact"/>
              <w:jc w:val="left"/>
              <w:rPr>
                <w:rFonts w:hint="eastAsia" w:ascii="宋体" w:hAnsi="宋体" w:cs="宋体"/>
                <w:color w:val="auto"/>
                <w:sz w:val="24"/>
                <w:highlight w:val="none"/>
              </w:rPr>
            </w:pPr>
          </w:p>
        </w:tc>
        <w:tc>
          <w:tcPr>
            <w:tcW w:w="604" w:type="dxa"/>
            <w:noWrap w:val="0"/>
            <w:vAlign w:val="top"/>
          </w:tcPr>
          <w:p w14:paraId="264B6586">
            <w:pPr>
              <w:spacing w:before="50" w:after="50" w:line="500" w:lineRule="exact"/>
              <w:jc w:val="left"/>
              <w:rPr>
                <w:rFonts w:hint="eastAsia" w:ascii="宋体" w:hAnsi="宋体" w:cs="宋体"/>
                <w:color w:val="auto"/>
                <w:sz w:val="24"/>
                <w:highlight w:val="none"/>
              </w:rPr>
            </w:pPr>
          </w:p>
        </w:tc>
        <w:tc>
          <w:tcPr>
            <w:tcW w:w="1065" w:type="dxa"/>
            <w:noWrap w:val="0"/>
            <w:vAlign w:val="top"/>
          </w:tcPr>
          <w:p w14:paraId="1B6BCC04">
            <w:pPr>
              <w:spacing w:before="50" w:after="50" w:line="500" w:lineRule="exact"/>
              <w:jc w:val="left"/>
              <w:rPr>
                <w:rFonts w:hint="eastAsia" w:ascii="宋体" w:hAnsi="宋体" w:cs="宋体"/>
                <w:color w:val="auto"/>
                <w:sz w:val="24"/>
                <w:highlight w:val="none"/>
              </w:rPr>
            </w:pPr>
          </w:p>
        </w:tc>
        <w:tc>
          <w:tcPr>
            <w:tcW w:w="1031" w:type="dxa"/>
            <w:noWrap w:val="0"/>
            <w:vAlign w:val="top"/>
          </w:tcPr>
          <w:p w14:paraId="12032C6E">
            <w:pPr>
              <w:spacing w:before="50" w:after="50" w:line="500" w:lineRule="exact"/>
              <w:jc w:val="left"/>
              <w:rPr>
                <w:rFonts w:hint="eastAsia" w:ascii="宋体" w:hAnsi="宋体" w:cs="宋体"/>
                <w:color w:val="auto"/>
                <w:sz w:val="24"/>
                <w:highlight w:val="none"/>
              </w:rPr>
            </w:pPr>
          </w:p>
        </w:tc>
        <w:tc>
          <w:tcPr>
            <w:tcW w:w="1276" w:type="dxa"/>
            <w:noWrap w:val="0"/>
            <w:vAlign w:val="top"/>
          </w:tcPr>
          <w:p w14:paraId="00DAB24F">
            <w:pPr>
              <w:spacing w:before="50" w:after="50" w:line="500" w:lineRule="exact"/>
              <w:jc w:val="left"/>
              <w:rPr>
                <w:rFonts w:hint="eastAsia" w:ascii="宋体" w:hAnsi="宋体" w:cs="宋体"/>
                <w:color w:val="auto"/>
                <w:sz w:val="24"/>
                <w:highlight w:val="none"/>
              </w:rPr>
            </w:pPr>
          </w:p>
        </w:tc>
        <w:tc>
          <w:tcPr>
            <w:tcW w:w="1085" w:type="dxa"/>
            <w:noWrap w:val="0"/>
            <w:vAlign w:val="top"/>
          </w:tcPr>
          <w:p w14:paraId="15D70D99">
            <w:pPr>
              <w:spacing w:before="50" w:after="50" w:line="500" w:lineRule="exact"/>
              <w:jc w:val="left"/>
              <w:rPr>
                <w:rFonts w:hint="eastAsia" w:ascii="宋体" w:hAnsi="宋体" w:cs="宋体"/>
                <w:color w:val="auto"/>
                <w:sz w:val="24"/>
                <w:highlight w:val="none"/>
              </w:rPr>
            </w:pPr>
          </w:p>
        </w:tc>
        <w:tc>
          <w:tcPr>
            <w:tcW w:w="2768" w:type="dxa"/>
            <w:noWrap w:val="0"/>
            <w:vAlign w:val="top"/>
          </w:tcPr>
          <w:p w14:paraId="66A0E953">
            <w:pPr>
              <w:spacing w:before="50" w:after="50" w:line="500" w:lineRule="exact"/>
              <w:jc w:val="left"/>
              <w:rPr>
                <w:rFonts w:hint="eastAsia" w:ascii="宋体" w:hAnsi="宋体" w:cs="宋体"/>
                <w:color w:val="auto"/>
                <w:sz w:val="24"/>
                <w:highlight w:val="none"/>
              </w:rPr>
            </w:pPr>
          </w:p>
        </w:tc>
      </w:tr>
      <w:tr w14:paraId="1D7F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noWrap w:val="0"/>
            <w:vAlign w:val="top"/>
          </w:tcPr>
          <w:p w14:paraId="2D8E77F3">
            <w:pPr>
              <w:spacing w:before="50" w:after="50" w:line="500" w:lineRule="exact"/>
              <w:jc w:val="left"/>
              <w:rPr>
                <w:rFonts w:hint="eastAsia" w:ascii="宋体" w:hAnsi="宋体" w:cs="宋体"/>
                <w:color w:val="auto"/>
                <w:sz w:val="24"/>
                <w:highlight w:val="none"/>
              </w:rPr>
            </w:pPr>
          </w:p>
        </w:tc>
        <w:tc>
          <w:tcPr>
            <w:tcW w:w="590" w:type="dxa"/>
            <w:noWrap w:val="0"/>
            <w:vAlign w:val="top"/>
          </w:tcPr>
          <w:p w14:paraId="1FAA1857">
            <w:pPr>
              <w:spacing w:before="50" w:after="50" w:line="500" w:lineRule="exact"/>
              <w:jc w:val="left"/>
              <w:rPr>
                <w:rFonts w:hint="eastAsia" w:ascii="宋体" w:hAnsi="宋体" w:cs="宋体"/>
                <w:color w:val="auto"/>
                <w:sz w:val="24"/>
                <w:highlight w:val="none"/>
              </w:rPr>
            </w:pPr>
          </w:p>
        </w:tc>
        <w:tc>
          <w:tcPr>
            <w:tcW w:w="604" w:type="dxa"/>
            <w:noWrap w:val="0"/>
            <w:vAlign w:val="top"/>
          </w:tcPr>
          <w:p w14:paraId="01555AF0">
            <w:pPr>
              <w:spacing w:before="50" w:after="50" w:line="500" w:lineRule="exact"/>
              <w:jc w:val="left"/>
              <w:rPr>
                <w:rFonts w:hint="eastAsia" w:ascii="宋体" w:hAnsi="宋体" w:cs="宋体"/>
                <w:color w:val="auto"/>
                <w:sz w:val="24"/>
                <w:highlight w:val="none"/>
              </w:rPr>
            </w:pPr>
          </w:p>
        </w:tc>
        <w:tc>
          <w:tcPr>
            <w:tcW w:w="1065" w:type="dxa"/>
            <w:noWrap w:val="0"/>
            <w:vAlign w:val="top"/>
          </w:tcPr>
          <w:p w14:paraId="3E3935C7">
            <w:pPr>
              <w:spacing w:before="50" w:after="50" w:line="500" w:lineRule="exact"/>
              <w:jc w:val="left"/>
              <w:rPr>
                <w:rFonts w:hint="eastAsia" w:ascii="宋体" w:hAnsi="宋体" w:cs="宋体"/>
                <w:color w:val="auto"/>
                <w:sz w:val="24"/>
                <w:highlight w:val="none"/>
              </w:rPr>
            </w:pPr>
          </w:p>
        </w:tc>
        <w:tc>
          <w:tcPr>
            <w:tcW w:w="1031" w:type="dxa"/>
            <w:noWrap w:val="0"/>
            <w:vAlign w:val="top"/>
          </w:tcPr>
          <w:p w14:paraId="1E56A4A1">
            <w:pPr>
              <w:spacing w:before="50" w:after="50" w:line="500" w:lineRule="exact"/>
              <w:jc w:val="left"/>
              <w:rPr>
                <w:rFonts w:hint="eastAsia" w:ascii="宋体" w:hAnsi="宋体" w:cs="宋体"/>
                <w:color w:val="auto"/>
                <w:sz w:val="24"/>
                <w:highlight w:val="none"/>
              </w:rPr>
            </w:pPr>
          </w:p>
        </w:tc>
        <w:tc>
          <w:tcPr>
            <w:tcW w:w="1276" w:type="dxa"/>
            <w:noWrap w:val="0"/>
            <w:vAlign w:val="top"/>
          </w:tcPr>
          <w:p w14:paraId="26166294">
            <w:pPr>
              <w:spacing w:before="50" w:after="50" w:line="500" w:lineRule="exact"/>
              <w:jc w:val="left"/>
              <w:rPr>
                <w:rFonts w:hint="eastAsia" w:ascii="宋体" w:hAnsi="宋体" w:cs="宋体"/>
                <w:color w:val="auto"/>
                <w:sz w:val="24"/>
                <w:highlight w:val="none"/>
              </w:rPr>
            </w:pPr>
          </w:p>
        </w:tc>
        <w:tc>
          <w:tcPr>
            <w:tcW w:w="1085" w:type="dxa"/>
            <w:noWrap w:val="0"/>
            <w:vAlign w:val="top"/>
          </w:tcPr>
          <w:p w14:paraId="4A9483E8">
            <w:pPr>
              <w:spacing w:before="50" w:after="50" w:line="500" w:lineRule="exact"/>
              <w:jc w:val="left"/>
              <w:rPr>
                <w:rFonts w:hint="eastAsia" w:ascii="宋体" w:hAnsi="宋体" w:cs="宋体"/>
                <w:color w:val="auto"/>
                <w:sz w:val="24"/>
                <w:highlight w:val="none"/>
              </w:rPr>
            </w:pPr>
          </w:p>
        </w:tc>
        <w:tc>
          <w:tcPr>
            <w:tcW w:w="2768" w:type="dxa"/>
            <w:noWrap w:val="0"/>
            <w:vAlign w:val="top"/>
          </w:tcPr>
          <w:p w14:paraId="44434E09">
            <w:pPr>
              <w:spacing w:before="50" w:after="50" w:line="500" w:lineRule="exact"/>
              <w:jc w:val="left"/>
              <w:rPr>
                <w:rFonts w:hint="eastAsia" w:ascii="宋体" w:hAnsi="宋体" w:cs="宋体"/>
                <w:color w:val="auto"/>
                <w:sz w:val="24"/>
                <w:highlight w:val="none"/>
              </w:rPr>
            </w:pPr>
          </w:p>
        </w:tc>
      </w:tr>
      <w:tr w14:paraId="3920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noWrap w:val="0"/>
            <w:vAlign w:val="top"/>
          </w:tcPr>
          <w:p w14:paraId="6AA48333">
            <w:pPr>
              <w:spacing w:before="50" w:after="50" w:line="500" w:lineRule="exact"/>
              <w:jc w:val="left"/>
              <w:rPr>
                <w:rFonts w:hint="eastAsia" w:ascii="宋体" w:hAnsi="宋体" w:cs="宋体"/>
                <w:color w:val="auto"/>
                <w:sz w:val="24"/>
                <w:highlight w:val="none"/>
              </w:rPr>
            </w:pPr>
          </w:p>
        </w:tc>
        <w:tc>
          <w:tcPr>
            <w:tcW w:w="590" w:type="dxa"/>
            <w:noWrap w:val="0"/>
            <w:vAlign w:val="top"/>
          </w:tcPr>
          <w:p w14:paraId="4EA3232C">
            <w:pPr>
              <w:spacing w:before="50" w:after="50" w:line="500" w:lineRule="exact"/>
              <w:jc w:val="left"/>
              <w:rPr>
                <w:rFonts w:hint="eastAsia" w:ascii="宋体" w:hAnsi="宋体" w:cs="宋体"/>
                <w:color w:val="auto"/>
                <w:sz w:val="24"/>
                <w:highlight w:val="none"/>
              </w:rPr>
            </w:pPr>
          </w:p>
        </w:tc>
        <w:tc>
          <w:tcPr>
            <w:tcW w:w="604" w:type="dxa"/>
            <w:noWrap w:val="0"/>
            <w:vAlign w:val="top"/>
          </w:tcPr>
          <w:p w14:paraId="62034A1D">
            <w:pPr>
              <w:spacing w:before="50" w:after="50" w:line="500" w:lineRule="exact"/>
              <w:jc w:val="left"/>
              <w:rPr>
                <w:rFonts w:hint="eastAsia" w:ascii="宋体" w:hAnsi="宋体" w:cs="宋体"/>
                <w:color w:val="auto"/>
                <w:sz w:val="24"/>
                <w:highlight w:val="none"/>
              </w:rPr>
            </w:pPr>
          </w:p>
        </w:tc>
        <w:tc>
          <w:tcPr>
            <w:tcW w:w="1065" w:type="dxa"/>
            <w:noWrap w:val="0"/>
            <w:vAlign w:val="top"/>
          </w:tcPr>
          <w:p w14:paraId="4B7AC0CD">
            <w:pPr>
              <w:spacing w:before="50" w:after="50" w:line="500" w:lineRule="exact"/>
              <w:jc w:val="left"/>
              <w:rPr>
                <w:rFonts w:hint="eastAsia" w:ascii="宋体" w:hAnsi="宋体" w:cs="宋体"/>
                <w:color w:val="auto"/>
                <w:sz w:val="24"/>
                <w:highlight w:val="none"/>
              </w:rPr>
            </w:pPr>
          </w:p>
        </w:tc>
        <w:tc>
          <w:tcPr>
            <w:tcW w:w="1031" w:type="dxa"/>
            <w:noWrap w:val="0"/>
            <w:vAlign w:val="top"/>
          </w:tcPr>
          <w:p w14:paraId="7EEDB540">
            <w:pPr>
              <w:spacing w:before="50" w:after="50" w:line="500" w:lineRule="exact"/>
              <w:jc w:val="left"/>
              <w:rPr>
                <w:rFonts w:hint="eastAsia" w:ascii="宋体" w:hAnsi="宋体" w:cs="宋体"/>
                <w:color w:val="auto"/>
                <w:sz w:val="24"/>
                <w:highlight w:val="none"/>
              </w:rPr>
            </w:pPr>
          </w:p>
        </w:tc>
        <w:tc>
          <w:tcPr>
            <w:tcW w:w="1276" w:type="dxa"/>
            <w:noWrap w:val="0"/>
            <w:vAlign w:val="top"/>
          </w:tcPr>
          <w:p w14:paraId="6BCEF573">
            <w:pPr>
              <w:spacing w:before="50" w:after="50" w:line="500" w:lineRule="exact"/>
              <w:jc w:val="left"/>
              <w:rPr>
                <w:rFonts w:hint="eastAsia" w:ascii="宋体" w:hAnsi="宋体" w:cs="宋体"/>
                <w:color w:val="auto"/>
                <w:sz w:val="24"/>
                <w:highlight w:val="none"/>
              </w:rPr>
            </w:pPr>
          </w:p>
        </w:tc>
        <w:tc>
          <w:tcPr>
            <w:tcW w:w="1085" w:type="dxa"/>
            <w:noWrap w:val="0"/>
            <w:vAlign w:val="top"/>
          </w:tcPr>
          <w:p w14:paraId="4FAB226A">
            <w:pPr>
              <w:spacing w:before="50" w:after="50" w:line="500" w:lineRule="exact"/>
              <w:jc w:val="left"/>
              <w:rPr>
                <w:rFonts w:hint="eastAsia" w:ascii="宋体" w:hAnsi="宋体" w:cs="宋体"/>
                <w:color w:val="auto"/>
                <w:sz w:val="24"/>
                <w:highlight w:val="none"/>
              </w:rPr>
            </w:pPr>
          </w:p>
        </w:tc>
        <w:tc>
          <w:tcPr>
            <w:tcW w:w="2768" w:type="dxa"/>
            <w:noWrap w:val="0"/>
            <w:vAlign w:val="top"/>
          </w:tcPr>
          <w:p w14:paraId="02C8CDEE">
            <w:pPr>
              <w:spacing w:before="50" w:after="50" w:line="500" w:lineRule="exact"/>
              <w:jc w:val="left"/>
              <w:rPr>
                <w:rFonts w:hint="eastAsia" w:ascii="宋体" w:hAnsi="宋体" w:cs="宋体"/>
                <w:color w:val="auto"/>
                <w:sz w:val="24"/>
                <w:highlight w:val="none"/>
              </w:rPr>
            </w:pPr>
          </w:p>
        </w:tc>
      </w:tr>
      <w:tr w14:paraId="58C8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noWrap w:val="0"/>
            <w:vAlign w:val="top"/>
          </w:tcPr>
          <w:p w14:paraId="2AD2023B">
            <w:pPr>
              <w:spacing w:before="50" w:after="50" w:line="500" w:lineRule="exact"/>
              <w:jc w:val="left"/>
              <w:rPr>
                <w:rFonts w:hint="eastAsia" w:ascii="宋体" w:hAnsi="宋体" w:cs="宋体"/>
                <w:color w:val="auto"/>
                <w:sz w:val="24"/>
                <w:highlight w:val="none"/>
              </w:rPr>
            </w:pPr>
          </w:p>
        </w:tc>
        <w:tc>
          <w:tcPr>
            <w:tcW w:w="590" w:type="dxa"/>
            <w:noWrap w:val="0"/>
            <w:vAlign w:val="top"/>
          </w:tcPr>
          <w:p w14:paraId="088125BD">
            <w:pPr>
              <w:spacing w:before="50" w:after="50" w:line="500" w:lineRule="exact"/>
              <w:jc w:val="left"/>
              <w:rPr>
                <w:rFonts w:hint="eastAsia" w:ascii="宋体" w:hAnsi="宋体" w:cs="宋体"/>
                <w:color w:val="auto"/>
                <w:sz w:val="24"/>
                <w:highlight w:val="none"/>
              </w:rPr>
            </w:pPr>
          </w:p>
        </w:tc>
        <w:tc>
          <w:tcPr>
            <w:tcW w:w="604" w:type="dxa"/>
            <w:noWrap w:val="0"/>
            <w:vAlign w:val="top"/>
          </w:tcPr>
          <w:p w14:paraId="7823A163">
            <w:pPr>
              <w:spacing w:before="50" w:after="50" w:line="500" w:lineRule="exact"/>
              <w:jc w:val="left"/>
              <w:rPr>
                <w:rFonts w:hint="eastAsia" w:ascii="宋体" w:hAnsi="宋体" w:cs="宋体"/>
                <w:color w:val="auto"/>
                <w:sz w:val="24"/>
                <w:highlight w:val="none"/>
              </w:rPr>
            </w:pPr>
          </w:p>
        </w:tc>
        <w:tc>
          <w:tcPr>
            <w:tcW w:w="1065" w:type="dxa"/>
            <w:noWrap w:val="0"/>
            <w:vAlign w:val="top"/>
          </w:tcPr>
          <w:p w14:paraId="465E1922">
            <w:pPr>
              <w:spacing w:before="50" w:after="50" w:line="500" w:lineRule="exact"/>
              <w:jc w:val="left"/>
              <w:rPr>
                <w:rFonts w:hint="eastAsia" w:ascii="宋体" w:hAnsi="宋体" w:cs="宋体"/>
                <w:color w:val="auto"/>
                <w:sz w:val="24"/>
                <w:highlight w:val="none"/>
              </w:rPr>
            </w:pPr>
          </w:p>
        </w:tc>
        <w:tc>
          <w:tcPr>
            <w:tcW w:w="1031" w:type="dxa"/>
            <w:noWrap w:val="0"/>
            <w:vAlign w:val="top"/>
          </w:tcPr>
          <w:p w14:paraId="429C7CF2">
            <w:pPr>
              <w:spacing w:before="50" w:after="50" w:line="500" w:lineRule="exact"/>
              <w:jc w:val="left"/>
              <w:rPr>
                <w:rFonts w:hint="eastAsia" w:ascii="宋体" w:hAnsi="宋体" w:cs="宋体"/>
                <w:color w:val="auto"/>
                <w:sz w:val="24"/>
                <w:highlight w:val="none"/>
              </w:rPr>
            </w:pPr>
          </w:p>
        </w:tc>
        <w:tc>
          <w:tcPr>
            <w:tcW w:w="1276" w:type="dxa"/>
            <w:noWrap w:val="0"/>
            <w:vAlign w:val="top"/>
          </w:tcPr>
          <w:p w14:paraId="5B5D20EE">
            <w:pPr>
              <w:spacing w:before="50" w:after="50" w:line="500" w:lineRule="exact"/>
              <w:jc w:val="left"/>
              <w:rPr>
                <w:rFonts w:hint="eastAsia" w:ascii="宋体" w:hAnsi="宋体" w:cs="宋体"/>
                <w:color w:val="auto"/>
                <w:sz w:val="24"/>
                <w:highlight w:val="none"/>
              </w:rPr>
            </w:pPr>
          </w:p>
        </w:tc>
        <w:tc>
          <w:tcPr>
            <w:tcW w:w="1085" w:type="dxa"/>
            <w:noWrap w:val="0"/>
            <w:vAlign w:val="top"/>
          </w:tcPr>
          <w:p w14:paraId="060A3C3F">
            <w:pPr>
              <w:spacing w:before="50" w:after="50" w:line="500" w:lineRule="exact"/>
              <w:jc w:val="left"/>
              <w:rPr>
                <w:rFonts w:hint="eastAsia" w:ascii="宋体" w:hAnsi="宋体" w:cs="宋体"/>
                <w:color w:val="auto"/>
                <w:sz w:val="24"/>
                <w:highlight w:val="none"/>
              </w:rPr>
            </w:pPr>
          </w:p>
        </w:tc>
        <w:tc>
          <w:tcPr>
            <w:tcW w:w="2768" w:type="dxa"/>
            <w:noWrap w:val="0"/>
            <w:vAlign w:val="top"/>
          </w:tcPr>
          <w:p w14:paraId="1EED8108">
            <w:pPr>
              <w:spacing w:before="50" w:after="50" w:line="500" w:lineRule="exact"/>
              <w:jc w:val="left"/>
              <w:rPr>
                <w:rFonts w:hint="eastAsia" w:ascii="宋体" w:hAnsi="宋体" w:cs="宋体"/>
                <w:color w:val="auto"/>
                <w:sz w:val="24"/>
                <w:highlight w:val="none"/>
              </w:rPr>
            </w:pPr>
          </w:p>
        </w:tc>
      </w:tr>
      <w:tr w14:paraId="09FD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noWrap w:val="0"/>
            <w:vAlign w:val="top"/>
          </w:tcPr>
          <w:p w14:paraId="0AD47DFF">
            <w:pPr>
              <w:spacing w:before="50" w:after="50" w:line="500" w:lineRule="exact"/>
              <w:jc w:val="left"/>
              <w:rPr>
                <w:rFonts w:hint="eastAsia" w:ascii="宋体" w:hAnsi="宋体" w:cs="宋体"/>
                <w:color w:val="auto"/>
                <w:sz w:val="24"/>
                <w:highlight w:val="none"/>
              </w:rPr>
            </w:pPr>
          </w:p>
        </w:tc>
        <w:tc>
          <w:tcPr>
            <w:tcW w:w="590" w:type="dxa"/>
            <w:noWrap w:val="0"/>
            <w:vAlign w:val="top"/>
          </w:tcPr>
          <w:p w14:paraId="2AB7E383">
            <w:pPr>
              <w:spacing w:before="50" w:after="50" w:line="500" w:lineRule="exact"/>
              <w:jc w:val="left"/>
              <w:rPr>
                <w:rFonts w:hint="eastAsia" w:ascii="宋体" w:hAnsi="宋体" w:cs="宋体"/>
                <w:color w:val="auto"/>
                <w:sz w:val="24"/>
                <w:highlight w:val="none"/>
              </w:rPr>
            </w:pPr>
          </w:p>
        </w:tc>
        <w:tc>
          <w:tcPr>
            <w:tcW w:w="604" w:type="dxa"/>
            <w:noWrap w:val="0"/>
            <w:vAlign w:val="top"/>
          </w:tcPr>
          <w:p w14:paraId="256E219B">
            <w:pPr>
              <w:spacing w:before="50" w:after="50" w:line="500" w:lineRule="exact"/>
              <w:jc w:val="left"/>
              <w:rPr>
                <w:rFonts w:hint="eastAsia" w:ascii="宋体" w:hAnsi="宋体" w:cs="宋体"/>
                <w:color w:val="auto"/>
                <w:sz w:val="24"/>
                <w:highlight w:val="none"/>
              </w:rPr>
            </w:pPr>
          </w:p>
        </w:tc>
        <w:tc>
          <w:tcPr>
            <w:tcW w:w="1065" w:type="dxa"/>
            <w:noWrap w:val="0"/>
            <w:vAlign w:val="top"/>
          </w:tcPr>
          <w:p w14:paraId="5E37E619">
            <w:pPr>
              <w:spacing w:before="50" w:after="50" w:line="500" w:lineRule="exact"/>
              <w:jc w:val="left"/>
              <w:rPr>
                <w:rFonts w:hint="eastAsia" w:ascii="宋体" w:hAnsi="宋体" w:cs="宋体"/>
                <w:color w:val="auto"/>
                <w:sz w:val="24"/>
                <w:highlight w:val="none"/>
              </w:rPr>
            </w:pPr>
          </w:p>
        </w:tc>
        <w:tc>
          <w:tcPr>
            <w:tcW w:w="1031" w:type="dxa"/>
            <w:noWrap w:val="0"/>
            <w:vAlign w:val="top"/>
          </w:tcPr>
          <w:p w14:paraId="009BD50C">
            <w:pPr>
              <w:spacing w:before="50" w:after="50" w:line="500" w:lineRule="exact"/>
              <w:jc w:val="left"/>
              <w:rPr>
                <w:rFonts w:hint="eastAsia" w:ascii="宋体" w:hAnsi="宋体" w:cs="宋体"/>
                <w:color w:val="auto"/>
                <w:sz w:val="24"/>
                <w:highlight w:val="none"/>
              </w:rPr>
            </w:pPr>
          </w:p>
        </w:tc>
        <w:tc>
          <w:tcPr>
            <w:tcW w:w="1276" w:type="dxa"/>
            <w:noWrap w:val="0"/>
            <w:vAlign w:val="top"/>
          </w:tcPr>
          <w:p w14:paraId="767256F1">
            <w:pPr>
              <w:spacing w:before="50" w:after="50" w:line="500" w:lineRule="exact"/>
              <w:jc w:val="left"/>
              <w:rPr>
                <w:rFonts w:hint="eastAsia" w:ascii="宋体" w:hAnsi="宋体" w:cs="宋体"/>
                <w:color w:val="auto"/>
                <w:sz w:val="24"/>
                <w:highlight w:val="none"/>
              </w:rPr>
            </w:pPr>
          </w:p>
        </w:tc>
        <w:tc>
          <w:tcPr>
            <w:tcW w:w="1085" w:type="dxa"/>
            <w:noWrap w:val="0"/>
            <w:vAlign w:val="top"/>
          </w:tcPr>
          <w:p w14:paraId="2D83D54C">
            <w:pPr>
              <w:spacing w:before="50" w:after="50" w:line="500" w:lineRule="exact"/>
              <w:jc w:val="left"/>
              <w:rPr>
                <w:rFonts w:hint="eastAsia" w:ascii="宋体" w:hAnsi="宋体" w:cs="宋体"/>
                <w:color w:val="auto"/>
                <w:sz w:val="24"/>
                <w:highlight w:val="none"/>
              </w:rPr>
            </w:pPr>
          </w:p>
        </w:tc>
        <w:tc>
          <w:tcPr>
            <w:tcW w:w="2768" w:type="dxa"/>
            <w:noWrap w:val="0"/>
            <w:vAlign w:val="top"/>
          </w:tcPr>
          <w:p w14:paraId="0CC7E1E5">
            <w:pPr>
              <w:spacing w:before="50" w:after="50" w:line="500" w:lineRule="exact"/>
              <w:jc w:val="left"/>
              <w:rPr>
                <w:rFonts w:hint="eastAsia" w:ascii="宋体" w:hAnsi="宋体" w:cs="宋体"/>
                <w:color w:val="auto"/>
                <w:sz w:val="24"/>
                <w:highlight w:val="none"/>
              </w:rPr>
            </w:pPr>
          </w:p>
        </w:tc>
      </w:tr>
      <w:tr w14:paraId="26E7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noWrap w:val="0"/>
            <w:vAlign w:val="top"/>
          </w:tcPr>
          <w:p w14:paraId="265107D0">
            <w:pPr>
              <w:spacing w:before="50" w:after="50" w:line="500" w:lineRule="exact"/>
              <w:jc w:val="left"/>
              <w:rPr>
                <w:rFonts w:hint="eastAsia" w:ascii="宋体" w:hAnsi="宋体" w:cs="宋体"/>
                <w:color w:val="auto"/>
                <w:sz w:val="24"/>
                <w:highlight w:val="none"/>
              </w:rPr>
            </w:pPr>
          </w:p>
        </w:tc>
        <w:tc>
          <w:tcPr>
            <w:tcW w:w="590" w:type="dxa"/>
            <w:noWrap w:val="0"/>
            <w:vAlign w:val="top"/>
          </w:tcPr>
          <w:p w14:paraId="1E45B4C4">
            <w:pPr>
              <w:spacing w:before="50" w:after="50" w:line="500" w:lineRule="exact"/>
              <w:jc w:val="left"/>
              <w:rPr>
                <w:rFonts w:hint="eastAsia" w:ascii="宋体" w:hAnsi="宋体" w:cs="宋体"/>
                <w:color w:val="auto"/>
                <w:sz w:val="24"/>
                <w:highlight w:val="none"/>
              </w:rPr>
            </w:pPr>
          </w:p>
        </w:tc>
        <w:tc>
          <w:tcPr>
            <w:tcW w:w="604" w:type="dxa"/>
            <w:noWrap w:val="0"/>
            <w:vAlign w:val="top"/>
          </w:tcPr>
          <w:p w14:paraId="60A1C3E6">
            <w:pPr>
              <w:spacing w:before="50" w:after="50" w:line="500" w:lineRule="exact"/>
              <w:jc w:val="left"/>
              <w:rPr>
                <w:rFonts w:hint="eastAsia" w:ascii="宋体" w:hAnsi="宋体" w:cs="宋体"/>
                <w:color w:val="auto"/>
                <w:sz w:val="24"/>
                <w:highlight w:val="none"/>
              </w:rPr>
            </w:pPr>
          </w:p>
        </w:tc>
        <w:tc>
          <w:tcPr>
            <w:tcW w:w="1065" w:type="dxa"/>
            <w:noWrap w:val="0"/>
            <w:vAlign w:val="top"/>
          </w:tcPr>
          <w:p w14:paraId="71B06B80">
            <w:pPr>
              <w:spacing w:before="50" w:after="50" w:line="500" w:lineRule="exact"/>
              <w:jc w:val="left"/>
              <w:rPr>
                <w:rFonts w:hint="eastAsia" w:ascii="宋体" w:hAnsi="宋体" w:cs="宋体"/>
                <w:color w:val="auto"/>
                <w:sz w:val="24"/>
                <w:highlight w:val="none"/>
              </w:rPr>
            </w:pPr>
          </w:p>
        </w:tc>
        <w:tc>
          <w:tcPr>
            <w:tcW w:w="1031" w:type="dxa"/>
            <w:noWrap w:val="0"/>
            <w:vAlign w:val="top"/>
          </w:tcPr>
          <w:p w14:paraId="08D20112">
            <w:pPr>
              <w:spacing w:before="50" w:after="50" w:line="500" w:lineRule="exact"/>
              <w:jc w:val="left"/>
              <w:rPr>
                <w:rFonts w:hint="eastAsia" w:ascii="宋体" w:hAnsi="宋体" w:cs="宋体"/>
                <w:color w:val="auto"/>
                <w:sz w:val="24"/>
                <w:highlight w:val="none"/>
              </w:rPr>
            </w:pPr>
          </w:p>
        </w:tc>
        <w:tc>
          <w:tcPr>
            <w:tcW w:w="1276" w:type="dxa"/>
            <w:noWrap w:val="0"/>
            <w:vAlign w:val="top"/>
          </w:tcPr>
          <w:p w14:paraId="7D3F92BA">
            <w:pPr>
              <w:spacing w:before="50" w:after="50" w:line="500" w:lineRule="exact"/>
              <w:jc w:val="left"/>
              <w:rPr>
                <w:rFonts w:hint="eastAsia" w:ascii="宋体" w:hAnsi="宋体" w:cs="宋体"/>
                <w:color w:val="auto"/>
                <w:sz w:val="24"/>
                <w:highlight w:val="none"/>
              </w:rPr>
            </w:pPr>
          </w:p>
        </w:tc>
        <w:tc>
          <w:tcPr>
            <w:tcW w:w="1085" w:type="dxa"/>
            <w:noWrap w:val="0"/>
            <w:vAlign w:val="top"/>
          </w:tcPr>
          <w:p w14:paraId="2EE758FD">
            <w:pPr>
              <w:spacing w:before="50" w:after="50" w:line="500" w:lineRule="exact"/>
              <w:jc w:val="left"/>
              <w:rPr>
                <w:rFonts w:hint="eastAsia" w:ascii="宋体" w:hAnsi="宋体" w:cs="宋体"/>
                <w:color w:val="auto"/>
                <w:sz w:val="24"/>
                <w:highlight w:val="none"/>
              </w:rPr>
            </w:pPr>
          </w:p>
        </w:tc>
        <w:tc>
          <w:tcPr>
            <w:tcW w:w="2768" w:type="dxa"/>
            <w:noWrap w:val="0"/>
            <w:vAlign w:val="top"/>
          </w:tcPr>
          <w:p w14:paraId="1CB772CE">
            <w:pPr>
              <w:spacing w:before="50" w:after="50" w:line="500" w:lineRule="exact"/>
              <w:jc w:val="left"/>
              <w:rPr>
                <w:rFonts w:hint="eastAsia" w:ascii="宋体" w:hAnsi="宋体" w:cs="宋体"/>
                <w:color w:val="auto"/>
                <w:sz w:val="24"/>
                <w:highlight w:val="none"/>
              </w:rPr>
            </w:pPr>
          </w:p>
        </w:tc>
      </w:tr>
      <w:tr w14:paraId="08B2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noWrap w:val="0"/>
            <w:vAlign w:val="top"/>
          </w:tcPr>
          <w:p w14:paraId="5EC7404E">
            <w:pPr>
              <w:spacing w:before="50" w:after="50" w:line="500" w:lineRule="exact"/>
              <w:jc w:val="left"/>
              <w:rPr>
                <w:rFonts w:hint="eastAsia" w:ascii="宋体" w:hAnsi="宋体" w:cs="宋体"/>
                <w:color w:val="auto"/>
                <w:sz w:val="24"/>
                <w:highlight w:val="none"/>
              </w:rPr>
            </w:pPr>
          </w:p>
        </w:tc>
        <w:tc>
          <w:tcPr>
            <w:tcW w:w="590" w:type="dxa"/>
            <w:noWrap w:val="0"/>
            <w:vAlign w:val="top"/>
          </w:tcPr>
          <w:p w14:paraId="41B3FD47">
            <w:pPr>
              <w:spacing w:before="50" w:after="50" w:line="500" w:lineRule="exact"/>
              <w:jc w:val="left"/>
              <w:rPr>
                <w:rFonts w:hint="eastAsia" w:ascii="宋体" w:hAnsi="宋体" w:cs="宋体"/>
                <w:color w:val="auto"/>
                <w:sz w:val="24"/>
                <w:highlight w:val="none"/>
              </w:rPr>
            </w:pPr>
          </w:p>
        </w:tc>
        <w:tc>
          <w:tcPr>
            <w:tcW w:w="604" w:type="dxa"/>
            <w:noWrap w:val="0"/>
            <w:vAlign w:val="top"/>
          </w:tcPr>
          <w:p w14:paraId="7C4A1A77">
            <w:pPr>
              <w:spacing w:before="50" w:after="50" w:line="500" w:lineRule="exact"/>
              <w:jc w:val="left"/>
              <w:rPr>
                <w:rFonts w:hint="eastAsia" w:ascii="宋体" w:hAnsi="宋体" w:cs="宋体"/>
                <w:color w:val="auto"/>
                <w:sz w:val="24"/>
                <w:highlight w:val="none"/>
              </w:rPr>
            </w:pPr>
          </w:p>
        </w:tc>
        <w:tc>
          <w:tcPr>
            <w:tcW w:w="1065" w:type="dxa"/>
            <w:noWrap w:val="0"/>
            <w:vAlign w:val="top"/>
          </w:tcPr>
          <w:p w14:paraId="6686064E">
            <w:pPr>
              <w:spacing w:before="50" w:after="50" w:line="500" w:lineRule="exact"/>
              <w:jc w:val="left"/>
              <w:rPr>
                <w:rFonts w:hint="eastAsia" w:ascii="宋体" w:hAnsi="宋体" w:cs="宋体"/>
                <w:color w:val="auto"/>
                <w:sz w:val="24"/>
                <w:highlight w:val="none"/>
              </w:rPr>
            </w:pPr>
          </w:p>
        </w:tc>
        <w:tc>
          <w:tcPr>
            <w:tcW w:w="1031" w:type="dxa"/>
            <w:noWrap w:val="0"/>
            <w:vAlign w:val="top"/>
          </w:tcPr>
          <w:p w14:paraId="78D7F674">
            <w:pPr>
              <w:spacing w:before="50" w:after="50" w:line="500" w:lineRule="exact"/>
              <w:jc w:val="left"/>
              <w:rPr>
                <w:rFonts w:hint="eastAsia" w:ascii="宋体" w:hAnsi="宋体" w:cs="宋体"/>
                <w:color w:val="auto"/>
                <w:sz w:val="24"/>
                <w:highlight w:val="none"/>
              </w:rPr>
            </w:pPr>
          </w:p>
        </w:tc>
        <w:tc>
          <w:tcPr>
            <w:tcW w:w="1276" w:type="dxa"/>
            <w:noWrap w:val="0"/>
            <w:vAlign w:val="top"/>
          </w:tcPr>
          <w:p w14:paraId="745CBE94">
            <w:pPr>
              <w:spacing w:before="50" w:after="50" w:line="500" w:lineRule="exact"/>
              <w:jc w:val="left"/>
              <w:rPr>
                <w:rFonts w:hint="eastAsia" w:ascii="宋体" w:hAnsi="宋体" w:cs="宋体"/>
                <w:color w:val="auto"/>
                <w:sz w:val="24"/>
                <w:highlight w:val="none"/>
              </w:rPr>
            </w:pPr>
          </w:p>
        </w:tc>
        <w:tc>
          <w:tcPr>
            <w:tcW w:w="1085" w:type="dxa"/>
            <w:noWrap w:val="0"/>
            <w:vAlign w:val="top"/>
          </w:tcPr>
          <w:p w14:paraId="0131F0C5">
            <w:pPr>
              <w:spacing w:before="50" w:after="50" w:line="500" w:lineRule="exact"/>
              <w:jc w:val="left"/>
              <w:rPr>
                <w:rFonts w:hint="eastAsia" w:ascii="宋体" w:hAnsi="宋体" w:cs="宋体"/>
                <w:color w:val="auto"/>
                <w:sz w:val="24"/>
                <w:highlight w:val="none"/>
              </w:rPr>
            </w:pPr>
          </w:p>
        </w:tc>
        <w:tc>
          <w:tcPr>
            <w:tcW w:w="2768" w:type="dxa"/>
            <w:noWrap w:val="0"/>
            <w:vAlign w:val="top"/>
          </w:tcPr>
          <w:p w14:paraId="41812352">
            <w:pPr>
              <w:spacing w:before="50" w:after="50" w:line="500" w:lineRule="exact"/>
              <w:jc w:val="left"/>
              <w:rPr>
                <w:rFonts w:hint="eastAsia" w:ascii="宋体" w:hAnsi="宋体" w:cs="宋体"/>
                <w:color w:val="auto"/>
                <w:sz w:val="24"/>
                <w:highlight w:val="none"/>
              </w:rPr>
            </w:pPr>
          </w:p>
        </w:tc>
      </w:tr>
      <w:tr w14:paraId="6327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noWrap w:val="0"/>
            <w:vAlign w:val="top"/>
          </w:tcPr>
          <w:p w14:paraId="76696A08">
            <w:pPr>
              <w:spacing w:before="50" w:after="50" w:line="500" w:lineRule="exact"/>
              <w:jc w:val="left"/>
              <w:rPr>
                <w:rFonts w:hint="eastAsia" w:ascii="宋体" w:hAnsi="宋体" w:cs="宋体"/>
                <w:color w:val="auto"/>
                <w:sz w:val="24"/>
                <w:highlight w:val="none"/>
              </w:rPr>
            </w:pPr>
          </w:p>
        </w:tc>
        <w:tc>
          <w:tcPr>
            <w:tcW w:w="590" w:type="dxa"/>
            <w:noWrap w:val="0"/>
            <w:vAlign w:val="top"/>
          </w:tcPr>
          <w:p w14:paraId="303A3C53">
            <w:pPr>
              <w:spacing w:before="50" w:after="50" w:line="500" w:lineRule="exact"/>
              <w:jc w:val="left"/>
              <w:rPr>
                <w:rFonts w:hint="eastAsia" w:ascii="宋体" w:hAnsi="宋体" w:cs="宋体"/>
                <w:color w:val="auto"/>
                <w:sz w:val="24"/>
                <w:highlight w:val="none"/>
              </w:rPr>
            </w:pPr>
          </w:p>
        </w:tc>
        <w:tc>
          <w:tcPr>
            <w:tcW w:w="604" w:type="dxa"/>
            <w:noWrap w:val="0"/>
            <w:vAlign w:val="top"/>
          </w:tcPr>
          <w:p w14:paraId="3D2FC046">
            <w:pPr>
              <w:spacing w:before="50" w:after="50" w:line="500" w:lineRule="exact"/>
              <w:jc w:val="left"/>
              <w:rPr>
                <w:rFonts w:hint="eastAsia" w:ascii="宋体" w:hAnsi="宋体" w:cs="宋体"/>
                <w:color w:val="auto"/>
                <w:sz w:val="24"/>
                <w:highlight w:val="none"/>
              </w:rPr>
            </w:pPr>
          </w:p>
        </w:tc>
        <w:tc>
          <w:tcPr>
            <w:tcW w:w="1065" w:type="dxa"/>
            <w:noWrap w:val="0"/>
            <w:vAlign w:val="top"/>
          </w:tcPr>
          <w:p w14:paraId="334D2626">
            <w:pPr>
              <w:spacing w:before="50" w:after="50" w:line="500" w:lineRule="exact"/>
              <w:jc w:val="left"/>
              <w:rPr>
                <w:rFonts w:hint="eastAsia" w:ascii="宋体" w:hAnsi="宋体" w:cs="宋体"/>
                <w:color w:val="auto"/>
                <w:sz w:val="24"/>
                <w:highlight w:val="none"/>
              </w:rPr>
            </w:pPr>
          </w:p>
        </w:tc>
        <w:tc>
          <w:tcPr>
            <w:tcW w:w="1031" w:type="dxa"/>
            <w:noWrap w:val="0"/>
            <w:vAlign w:val="top"/>
          </w:tcPr>
          <w:p w14:paraId="265D34CA">
            <w:pPr>
              <w:spacing w:before="50" w:after="50" w:line="500" w:lineRule="exact"/>
              <w:jc w:val="left"/>
              <w:rPr>
                <w:rFonts w:hint="eastAsia" w:ascii="宋体" w:hAnsi="宋体" w:cs="宋体"/>
                <w:color w:val="auto"/>
                <w:sz w:val="24"/>
                <w:highlight w:val="none"/>
              </w:rPr>
            </w:pPr>
          </w:p>
        </w:tc>
        <w:tc>
          <w:tcPr>
            <w:tcW w:w="1276" w:type="dxa"/>
            <w:noWrap w:val="0"/>
            <w:vAlign w:val="top"/>
          </w:tcPr>
          <w:p w14:paraId="508D049F">
            <w:pPr>
              <w:spacing w:before="50" w:after="50" w:line="500" w:lineRule="exact"/>
              <w:jc w:val="left"/>
              <w:rPr>
                <w:rFonts w:hint="eastAsia" w:ascii="宋体" w:hAnsi="宋体" w:cs="宋体"/>
                <w:color w:val="auto"/>
                <w:sz w:val="24"/>
                <w:highlight w:val="none"/>
              </w:rPr>
            </w:pPr>
          </w:p>
        </w:tc>
        <w:tc>
          <w:tcPr>
            <w:tcW w:w="1085" w:type="dxa"/>
            <w:noWrap w:val="0"/>
            <w:vAlign w:val="top"/>
          </w:tcPr>
          <w:p w14:paraId="212B3E51">
            <w:pPr>
              <w:spacing w:before="50" w:after="50" w:line="500" w:lineRule="exact"/>
              <w:jc w:val="left"/>
              <w:rPr>
                <w:rFonts w:hint="eastAsia" w:ascii="宋体" w:hAnsi="宋体" w:cs="宋体"/>
                <w:color w:val="auto"/>
                <w:sz w:val="24"/>
                <w:highlight w:val="none"/>
              </w:rPr>
            </w:pPr>
          </w:p>
        </w:tc>
        <w:tc>
          <w:tcPr>
            <w:tcW w:w="2768" w:type="dxa"/>
            <w:noWrap w:val="0"/>
            <w:vAlign w:val="top"/>
          </w:tcPr>
          <w:p w14:paraId="5C5A620F">
            <w:pPr>
              <w:spacing w:before="50" w:after="50" w:line="500" w:lineRule="exact"/>
              <w:jc w:val="left"/>
              <w:rPr>
                <w:rFonts w:hint="eastAsia" w:ascii="宋体" w:hAnsi="宋体" w:cs="宋体"/>
                <w:color w:val="auto"/>
                <w:sz w:val="24"/>
                <w:highlight w:val="none"/>
              </w:rPr>
            </w:pPr>
          </w:p>
        </w:tc>
      </w:tr>
      <w:tr w14:paraId="7059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1" w:type="dxa"/>
            <w:noWrap w:val="0"/>
            <w:vAlign w:val="top"/>
          </w:tcPr>
          <w:p w14:paraId="0C2AFD77">
            <w:pPr>
              <w:spacing w:before="50" w:after="50" w:line="500" w:lineRule="exact"/>
              <w:jc w:val="left"/>
              <w:rPr>
                <w:rFonts w:hint="eastAsia" w:ascii="宋体" w:hAnsi="宋体" w:cs="宋体"/>
                <w:color w:val="auto"/>
                <w:sz w:val="24"/>
                <w:highlight w:val="none"/>
              </w:rPr>
            </w:pPr>
          </w:p>
        </w:tc>
        <w:tc>
          <w:tcPr>
            <w:tcW w:w="590" w:type="dxa"/>
            <w:noWrap w:val="0"/>
            <w:vAlign w:val="top"/>
          </w:tcPr>
          <w:p w14:paraId="3FE21359">
            <w:pPr>
              <w:spacing w:before="50" w:after="50" w:line="500" w:lineRule="exact"/>
              <w:jc w:val="left"/>
              <w:rPr>
                <w:rFonts w:hint="eastAsia" w:ascii="宋体" w:hAnsi="宋体" w:cs="宋体"/>
                <w:color w:val="auto"/>
                <w:sz w:val="24"/>
                <w:highlight w:val="none"/>
              </w:rPr>
            </w:pPr>
          </w:p>
        </w:tc>
        <w:tc>
          <w:tcPr>
            <w:tcW w:w="604" w:type="dxa"/>
            <w:noWrap w:val="0"/>
            <w:vAlign w:val="top"/>
          </w:tcPr>
          <w:p w14:paraId="75774087">
            <w:pPr>
              <w:spacing w:before="50" w:after="50" w:line="500" w:lineRule="exact"/>
              <w:jc w:val="left"/>
              <w:rPr>
                <w:rFonts w:hint="eastAsia" w:ascii="宋体" w:hAnsi="宋体" w:cs="宋体"/>
                <w:color w:val="auto"/>
                <w:sz w:val="24"/>
                <w:highlight w:val="none"/>
              </w:rPr>
            </w:pPr>
          </w:p>
        </w:tc>
        <w:tc>
          <w:tcPr>
            <w:tcW w:w="1065" w:type="dxa"/>
            <w:noWrap w:val="0"/>
            <w:vAlign w:val="top"/>
          </w:tcPr>
          <w:p w14:paraId="2BA160FF">
            <w:pPr>
              <w:spacing w:before="50" w:after="50" w:line="500" w:lineRule="exact"/>
              <w:jc w:val="left"/>
              <w:rPr>
                <w:rFonts w:hint="eastAsia" w:ascii="宋体" w:hAnsi="宋体" w:cs="宋体"/>
                <w:color w:val="auto"/>
                <w:sz w:val="24"/>
                <w:highlight w:val="none"/>
              </w:rPr>
            </w:pPr>
          </w:p>
        </w:tc>
        <w:tc>
          <w:tcPr>
            <w:tcW w:w="1031" w:type="dxa"/>
            <w:noWrap w:val="0"/>
            <w:vAlign w:val="top"/>
          </w:tcPr>
          <w:p w14:paraId="65764A51">
            <w:pPr>
              <w:spacing w:before="50" w:after="50" w:line="500" w:lineRule="exact"/>
              <w:jc w:val="left"/>
              <w:rPr>
                <w:rFonts w:hint="eastAsia" w:ascii="宋体" w:hAnsi="宋体" w:cs="宋体"/>
                <w:color w:val="auto"/>
                <w:sz w:val="24"/>
                <w:highlight w:val="none"/>
              </w:rPr>
            </w:pPr>
          </w:p>
        </w:tc>
        <w:tc>
          <w:tcPr>
            <w:tcW w:w="1276" w:type="dxa"/>
            <w:noWrap w:val="0"/>
            <w:vAlign w:val="top"/>
          </w:tcPr>
          <w:p w14:paraId="5003D9E8">
            <w:pPr>
              <w:spacing w:before="50" w:after="50" w:line="500" w:lineRule="exact"/>
              <w:jc w:val="left"/>
              <w:rPr>
                <w:rFonts w:hint="eastAsia" w:ascii="宋体" w:hAnsi="宋体" w:cs="宋体"/>
                <w:color w:val="auto"/>
                <w:sz w:val="24"/>
                <w:highlight w:val="none"/>
              </w:rPr>
            </w:pPr>
          </w:p>
        </w:tc>
        <w:tc>
          <w:tcPr>
            <w:tcW w:w="1085" w:type="dxa"/>
            <w:noWrap w:val="0"/>
            <w:vAlign w:val="top"/>
          </w:tcPr>
          <w:p w14:paraId="77FA6783">
            <w:pPr>
              <w:spacing w:before="50" w:after="50" w:line="500" w:lineRule="exact"/>
              <w:jc w:val="left"/>
              <w:rPr>
                <w:rFonts w:hint="eastAsia" w:ascii="宋体" w:hAnsi="宋体" w:cs="宋体"/>
                <w:color w:val="auto"/>
                <w:sz w:val="24"/>
                <w:highlight w:val="none"/>
              </w:rPr>
            </w:pPr>
          </w:p>
        </w:tc>
        <w:tc>
          <w:tcPr>
            <w:tcW w:w="2768" w:type="dxa"/>
            <w:noWrap w:val="0"/>
            <w:vAlign w:val="top"/>
          </w:tcPr>
          <w:p w14:paraId="0A7A93B6">
            <w:pPr>
              <w:spacing w:before="50" w:after="50" w:line="500" w:lineRule="exact"/>
              <w:jc w:val="left"/>
              <w:rPr>
                <w:rFonts w:hint="eastAsia" w:ascii="宋体" w:hAnsi="宋体" w:cs="宋体"/>
                <w:color w:val="auto"/>
                <w:sz w:val="24"/>
                <w:highlight w:val="none"/>
              </w:rPr>
            </w:pPr>
          </w:p>
        </w:tc>
      </w:tr>
      <w:tr w14:paraId="50A7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71" w:type="dxa"/>
            <w:noWrap w:val="0"/>
            <w:vAlign w:val="top"/>
          </w:tcPr>
          <w:p w14:paraId="0EE9DD4D">
            <w:pPr>
              <w:spacing w:before="50" w:after="50" w:line="500" w:lineRule="exact"/>
              <w:jc w:val="left"/>
              <w:rPr>
                <w:rFonts w:hint="eastAsia" w:ascii="宋体" w:hAnsi="宋体" w:cs="宋体"/>
                <w:color w:val="auto"/>
                <w:sz w:val="24"/>
                <w:highlight w:val="none"/>
              </w:rPr>
            </w:pPr>
          </w:p>
        </w:tc>
        <w:tc>
          <w:tcPr>
            <w:tcW w:w="590" w:type="dxa"/>
            <w:noWrap w:val="0"/>
            <w:vAlign w:val="top"/>
          </w:tcPr>
          <w:p w14:paraId="7DEE58AA">
            <w:pPr>
              <w:spacing w:before="50" w:after="50" w:line="500" w:lineRule="exact"/>
              <w:jc w:val="left"/>
              <w:rPr>
                <w:rFonts w:hint="eastAsia" w:ascii="宋体" w:hAnsi="宋体" w:cs="宋体"/>
                <w:color w:val="auto"/>
                <w:sz w:val="24"/>
                <w:highlight w:val="none"/>
              </w:rPr>
            </w:pPr>
          </w:p>
        </w:tc>
        <w:tc>
          <w:tcPr>
            <w:tcW w:w="604" w:type="dxa"/>
            <w:noWrap w:val="0"/>
            <w:vAlign w:val="top"/>
          </w:tcPr>
          <w:p w14:paraId="27E6FEFE">
            <w:pPr>
              <w:spacing w:before="50" w:after="50" w:line="500" w:lineRule="exact"/>
              <w:jc w:val="left"/>
              <w:rPr>
                <w:rFonts w:hint="eastAsia" w:ascii="宋体" w:hAnsi="宋体" w:cs="宋体"/>
                <w:color w:val="auto"/>
                <w:sz w:val="24"/>
                <w:highlight w:val="none"/>
              </w:rPr>
            </w:pPr>
          </w:p>
        </w:tc>
        <w:tc>
          <w:tcPr>
            <w:tcW w:w="1065" w:type="dxa"/>
            <w:noWrap w:val="0"/>
            <w:vAlign w:val="top"/>
          </w:tcPr>
          <w:p w14:paraId="256BCE13">
            <w:pPr>
              <w:spacing w:before="50" w:after="50" w:line="500" w:lineRule="exact"/>
              <w:jc w:val="left"/>
              <w:rPr>
                <w:rFonts w:hint="eastAsia" w:ascii="宋体" w:hAnsi="宋体" w:cs="宋体"/>
                <w:color w:val="auto"/>
                <w:sz w:val="24"/>
                <w:highlight w:val="none"/>
              </w:rPr>
            </w:pPr>
          </w:p>
        </w:tc>
        <w:tc>
          <w:tcPr>
            <w:tcW w:w="1031" w:type="dxa"/>
            <w:noWrap w:val="0"/>
            <w:vAlign w:val="top"/>
          </w:tcPr>
          <w:p w14:paraId="76173A63">
            <w:pPr>
              <w:spacing w:before="50" w:after="50" w:line="500" w:lineRule="exact"/>
              <w:jc w:val="left"/>
              <w:rPr>
                <w:rFonts w:hint="eastAsia" w:ascii="宋体" w:hAnsi="宋体" w:cs="宋体"/>
                <w:color w:val="auto"/>
                <w:sz w:val="24"/>
                <w:highlight w:val="none"/>
              </w:rPr>
            </w:pPr>
          </w:p>
        </w:tc>
        <w:tc>
          <w:tcPr>
            <w:tcW w:w="1276" w:type="dxa"/>
            <w:noWrap w:val="0"/>
            <w:vAlign w:val="top"/>
          </w:tcPr>
          <w:p w14:paraId="1136BF90">
            <w:pPr>
              <w:spacing w:before="50" w:after="50" w:line="500" w:lineRule="exact"/>
              <w:jc w:val="left"/>
              <w:rPr>
                <w:rFonts w:hint="eastAsia" w:ascii="宋体" w:hAnsi="宋体" w:cs="宋体"/>
                <w:color w:val="auto"/>
                <w:sz w:val="24"/>
                <w:highlight w:val="none"/>
              </w:rPr>
            </w:pPr>
          </w:p>
        </w:tc>
        <w:tc>
          <w:tcPr>
            <w:tcW w:w="1085" w:type="dxa"/>
            <w:noWrap w:val="0"/>
            <w:vAlign w:val="top"/>
          </w:tcPr>
          <w:p w14:paraId="55DCCCE9">
            <w:pPr>
              <w:spacing w:before="50" w:after="50" w:line="500" w:lineRule="exact"/>
              <w:jc w:val="left"/>
              <w:rPr>
                <w:rFonts w:hint="eastAsia" w:ascii="宋体" w:hAnsi="宋体" w:cs="宋体"/>
                <w:color w:val="auto"/>
                <w:sz w:val="24"/>
                <w:highlight w:val="none"/>
              </w:rPr>
            </w:pPr>
          </w:p>
        </w:tc>
        <w:tc>
          <w:tcPr>
            <w:tcW w:w="2768" w:type="dxa"/>
            <w:noWrap w:val="0"/>
            <w:vAlign w:val="top"/>
          </w:tcPr>
          <w:p w14:paraId="2EB8AC6B">
            <w:pPr>
              <w:spacing w:before="50" w:after="50" w:line="500" w:lineRule="exact"/>
              <w:jc w:val="left"/>
              <w:rPr>
                <w:rFonts w:hint="eastAsia" w:ascii="宋体" w:hAnsi="宋体" w:cs="宋体"/>
                <w:color w:val="auto"/>
                <w:sz w:val="24"/>
                <w:highlight w:val="none"/>
              </w:rPr>
            </w:pPr>
          </w:p>
        </w:tc>
      </w:tr>
    </w:tbl>
    <w:p w14:paraId="3EBDFC43">
      <w:pPr>
        <w:rPr>
          <w:rFonts w:hint="eastAsia"/>
          <w:color w:val="auto"/>
          <w:szCs w:val="21"/>
          <w:highlight w:val="none"/>
        </w:rPr>
      </w:pPr>
    </w:p>
    <w:p w14:paraId="5C9DC1CB">
      <w:pPr>
        <w:ind w:firstLine="210" w:firstLineChars="100"/>
        <w:rPr>
          <w:color w:val="auto"/>
          <w:szCs w:val="21"/>
          <w:highlight w:val="none"/>
        </w:rPr>
      </w:pPr>
    </w:p>
    <w:p w14:paraId="5CB591D9">
      <w:pPr>
        <w:rPr>
          <w:color w:val="auto"/>
          <w:szCs w:val="21"/>
          <w:highlight w:val="none"/>
        </w:rPr>
      </w:pPr>
    </w:p>
    <w:p w14:paraId="7B9F64D6">
      <w:pPr>
        <w:pStyle w:val="2"/>
        <w:rPr>
          <w:snapToGrid w:val="0"/>
          <w:color w:val="auto"/>
          <w:highlight w:val="none"/>
        </w:rPr>
      </w:pPr>
      <w:r>
        <w:rPr>
          <w:rFonts w:hint="eastAsia"/>
          <w:color w:val="auto"/>
          <w:highlight w:val="none"/>
        </w:rPr>
        <w:t>投</w:t>
      </w:r>
      <w:r>
        <w:rPr>
          <w:color w:val="auto"/>
          <w:highlight w:val="none"/>
        </w:rPr>
        <w:t>标人：（公章）</w:t>
      </w:r>
      <w:r>
        <w:rPr>
          <w:rFonts w:hint="eastAsia"/>
          <w:color w:val="auto"/>
          <w:highlight w:val="none"/>
        </w:rPr>
        <w:t xml:space="preserve">                     </w:t>
      </w:r>
      <w:r>
        <w:rPr>
          <w:rFonts w:hint="eastAsia"/>
          <w:snapToGrid w:val="0"/>
          <w:color w:val="auto"/>
          <w:highlight w:val="none"/>
        </w:rPr>
        <w:t>法定代表人（或委托代理人）：</w:t>
      </w:r>
      <w:r>
        <w:rPr>
          <w:snapToGrid w:val="0"/>
          <w:color w:val="auto"/>
          <w:highlight w:val="none"/>
          <w:u w:val="single"/>
        </w:rPr>
        <w:t xml:space="preserve">              </w:t>
      </w:r>
    </w:p>
    <w:p w14:paraId="0B17F0C7">
      <w:pPr>
        <w:pStyle w:val="24"/>
        <w:rPr>
          <w:snapToGrid w:val="0"/>
          <w:color w:val="auto"/>
          <w:highlight w:val="none"/>
        </w:rPr>
      </w:pPr>
      <w:r>
        <w:rPr>
          <w:snapToGrid w:val="0"/>
          <w:color w:val="auto"/>
          <w:highlight w:val="none"/>
        </w:rPr>
        <w:t xml:space="preserve">  </w:t>
      </w:r>
    </w:p>
    <w:p w14:paraId="4217A75F">
      <w:pPr>
        <w:spacing w:line="360" w:lineRule="auto"/>
        <w:jc w:val="center"/>
        <w:rPr>
          <w:rFonts w:hint="eastAsia" w:ascii="宋体" w:hAnsi="宋体"/>
          <w:b/>
          <w:color w:val="auto"/>
          <w:sz w:val="24"/>
          <w:highlight w:val="none"/>
        </w:rPr>
      </w:pPr>
      <w:r>
        <w:rPr>
          <w:snapToGrid w:val="0"/>
          <w:color w:val="auto"/>
          <w:highlight w:val="none"/>
        </w:rPr>
        <w:t xml:space="preserve">                                      </w:t>
      </w:r>
      <w:r>
        <w:rPr>
          <w:rFonts w:hint="eastAsia"/>
          <w:snapToGrid w:val="0"/>
          <w:color w:val="auto"/>
          <w:highlight w:val="none"/>
        </w:rPr>
        <w:t xml:space="preserve">  </w:t>
      </w:r>
      <w:r>
        <w:rPr>
          <w:rFonts w:hint="eastAsia"/>
          <w:snapToGrid w:val="0"/>
          <w:color w:val="auto"/>
          <w:highlight w:val="none"/>
          <w:u w:val="single"/>
        </w:rPr>
        <w:t xml:space="preserve">        </w:t>
      </w:r>
      <w:r>
        <w:rPr>
          <w:rFonts w:hint="eastAsia"/>
          <w:snapToGrid w:val="0"/>
          <w:color w:val="auto"/>
          <w:highlight w:val="none"/>
        </w:rPr>
        <w:t>年</w:t>
      </w:r>
      <w:r>
        <w:rPr>
          <w:rFonts w:hint="eastAsia"/>
          <w:snapToGrid w:val="0"/>
          <w:color w:val="auto"/>
          <w:highlight w:val="none"/>
          <w:u w:val="single"/>
        </w:rPr>
        <w:tab/>
      </w:r>
      <w:r>
        <w:rPr>
          <w:rFonts w:hint="eastAsia"/>
          <w:snapToGrid w:val="0"/>
          <w:color w:val="auto"/>
          <w:highlight w:val="none"/>
          <w:u w:val="single"/>
        </w:rPr>
        <w:t xml:space="preserve">   </w:t>
      </w:r>
      <w:r>
        <w:rPr>
          <w:rFonts w:hint="eastAsia"/>
          <w:snapToGrid w:val="0"/>
          <w:color w:val="auto"/>
          <w:highlight w:val="none"/>
        </w:rPr>
        <w:t>月</w:t>
      </w:r>
      <w:r>
        <w:rPr>
          <w:rFonts w:hint="eastAsia"/>
          <w:snapToGrid w:val="0"/>
          <w:color w:val="auto"/>
          <w:highlight w:val="none"/>
          <w:u w:val="single"/>
        </w:rPr>
        <w:t xml:space="preserve">     </w:t>
      </w:r>
      <w:r>
        <w:rPr>
          <w:rFonts w:hint="eastAsia"/>
          <w:snapToGrid w:val="0"/>
          <w:color w:val="auto"/>
          <w:highlight w:val="none"/>
        </w:rPr>
        <w:t xml:space="preserve">日 </w:t>
      </w:r>
      <w:r>
        <w:rPr>
          <w:rFonts w:hint="eastAsia" w:ascii="宋体" w:hAnsi="宋体"/>
          <w:b/>
          <w:color w:val="auto"/>
          <w:sz w:val="24"/>
          <w:highlight w:val="none"/>
        </w:rPr>
        <w:t xml:space="preserve">  </w:t>
      </w:r>
    </w:p>
    <w:p w14:paraId="348CA20A">
      <w:pPr>
        <w:pStyle w:val="40"/>
        <w:rPr>
          <w:rFonts w:hint="eastAsia"/>
          <w:color w:val="auto"/>
          <w:highlight w:val="none"/>
          <w:lang w:val="en-US" w:eastAsia="zh-CN"/>
        </w:rPr>
      </w:pPr>
    </w:p>
    <w:p w14:paraId="6D47CFFB">
      <w:pPr>
        <w:rPr>
          <w:rFonts w:hint="eastAsia"/>
          <w:color w:val="auto"/>
          <w:szCs w:val="20"/>
          <w:highlight w:val="none"/>
        </w:rPr>
      </w:pPr>
    </w:p>
    <w:p w14:paraId="6CB48599">
      <w:pPr>
        <w:pStyle w:val="40"/>
        <w:rPr>
          <w:rFonts w:hint="eastAsia"/>
          <w:color w:val="auto"/>
          <w:highlight w:val="none"/>
          <w:lang w:val="en-US" w:eastAsia="zh-CN"/>
        </w:rPr>
      </w:pPr>
    </w:p>
    <w:p w14:paraId="0B08C46B">
      <w:pPr>
        <w:rPr>
          <w:rFonts w:hint="eastAsia"/>
          <w:color w:val="auto"/>
          <w:szCs w:val="20"/>
          <w:highlight w:val="none"/>
        </w:rPr>
      </w:pPr>
    </w:p>
    <w:p w14:paraId="56F893B1">
      <w:pPr>
        <w:pStyle w:val="40"/>
        <w:rPr>
          <w:rFonts w:hint="eastAsia"/>
          <w:color w:val="auto"/>
          <w:highlight w:val="none"/>
          <w:lang w:val="en-US" w:eastAsia="zh-CN"/>
        </w:rPr>
      </w:pPr>
    </w:p>
    <w:p w14:paraId="5AA8F58E">
      <w:pPr>
        <w:rPr>
          <w:rFonts w:hint="eastAsia"/>
          <w:color w:val="auto"/>
          <w:szCs w:val="20"/>
          <w:highlight w:val="none"/>
        </w:rPr>
      </w:pPr>
    </w:p>
    <w:p w14:paraId="37562434">
      <w:pPr>
        <w:pStyle w:val="40"/>
        <w:rPr>
          <w:rFonts w:hint="eastAsia"/>
          <w:color w:val="auto"/>
          <w:highlight w:val="none"/>
          <w:lang w:val="en-US" w:eastAsia="zh-CN"/>
        </w:rPr>
      </w:pPr>
    </w:p>
    <w:p w14:paraId="481F6EB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br w:type="page"/>
      </w:r>
    </w:p>
    <w:p w14:paraId="174155CD">
      <w:pPr>
        <w:widowControl/>
        <w:jc w:val="both"/>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rPr>
        <w:t>附件</w:t>
      </w:r>
      <w:r>
        <w:rPr>
          <w:rFonts w:hint="eastAsia" w:ascii="宋体" w:hAnsi="宋体" w:cs="宋体"/>
          <w:b w:val="0"/>
          <w:bCs w:val="0"/>
          <w:color w:val="auto"/>
          <w:sz w:val="24"/>
          <w:highlight w:val="none"/>
          <w:lang w:val="en-US" w:eastAsia="zh-CN"/>
        </w:rPr>
        <w:t>十三</w:t>
      </w:r>
      <w:r>
        <w:rPr>
          <w:rFonts w:hint="eastAsia" w:ascii="宋体" w:hAnsi="宋体" w:cs="宋体"/>
          <w:b w:val="0"/>
          <w:bCs w:val="0"/>
          <w:color w:val="auto"/>
          <w:sz w:val="24"/>
          <w:highlight w:val="none"/>
        </w:rPr>
        <w:t>：</w:t>
      </w:r>
      <w:r>
        <w:rPr>
          <w:rFonts w:hint="eastAsia" w:ascii="宋体" w:hAnsi="宋体" w:eastAsia="宋体" w:cs="宋体"/>
          <w:b w:val="0"/>
          <w:bCs w:val="0"/>
          <w:color w:val="auto"/>
          <w:sz w:val="24"/>
          <w:highlight w:val="none"/>
        </w:rPr>
        <w:t>食品安全责任保险承诺书</w:t>
      </w:r>
    </w:p>
    <w:p w14:paraId="66DA3283">
      <w:pPr>
        <w:widowControl/>
        <w:jc w:val="center"/>
        <w:rPr>
          <w:rFonts w:hint="eastAsia" w:ascii="宋体" w:hAnsi="宋体"/>
          <w:b/>
          <w:color w:val="auto"/>
          <w:kern w:val="0"/>
          <w:sz w:val="36"/>
          <w:szCs w:val="36"/>
          <w:highlight w:val="none"/>
        </w:rPr>
      </w:pPr>
    </w:p>
    <w:p w14:paraId="54927C3A">
      <w:pPr>
        <w:widowControl/>
        <w:jc w:val="center"/>
        <w:rPr>
          <w:rFonts w:ascii="宋体" w:hAnsi="宋体"/>
          <w:b/>
          <w:color w:val="auto"/>
          <w:kern w:val="0"/>
          <w:sz w:val="36"/>
          <w:szCs w:val="36"/>
          <w:highlight w:val="none"/>
        </w:rPr>
      </w:pPr>
      <w:r>
        <w:rPr>
          <w:rFonts w:hint="eastAsia" w:ascii="宋体" w:hAnsi="宋体"/>
          <w:b/>
          <w:color w:val="auto"/>
          <w:kern w:val="0"/>
          <w:sz w:val="36"/>
          <w:szCs w:val="36"/>
          <w:highlight w:val="none"/>
        </w:rPr>
        <w:t>食品安全责任保险承诺书</w:t>
      </w:r>
    </w:p>
    <w:p w14:paraId="1F74C430">
      <w:pPr>
        <w:widowControl/>
        <w:rPr>
          <w:rFonts w:ascii="宋体" w:hAnsi="宋体"/>
          <w:color w:val="auto"/>
          <w:kern w:val="0"/>
          <w:sz w:val="28"/>
          <w:szCs w:val="28"/>
          <w:highlight w:val="none"/>
        </w:rPr>
      </w:pPr>
    </w:p>
    <w:p w14:paraId="157B2704">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东阳市</w:t>
      </w:r>
      <w:r>
        <w:rPr>
          <w:rFonts w:hint="eastAsia" w:ascii="宋体" w:hAnsi="宋体"/>
          <w:color w:val="auto"/>
          <w:kern w:val="0"/>
          <w:sz w:val="24"/>
          <w:highlight w:val="none"/>
          <w:lang w:eastAsia="zh-CN"/>
        </w:rPr>
        <w:t>南市街道办事处</w:t>
      </w:r>
      <w:r>
        <w:rPr>
          <w:rFonts w:hint="eastAsia" w:ascii="宋体" w:hAnsi="宋体"/>
          <w:color w:val="auto"/>
          <w:kern w:val="0"/>
          <w:sz w:val="24"/>
          <w:highlight w:val="none"/>
        </w:rPr>
        <w:t>：</w:t>
      </w:r>
    </w:p>
    <w:p w14:paraId="6CC1321E">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    本单位郑重承诺：如在此次招标中本单位被确定为预中标单位后，自愿投保与东阳市</w:t>
      </w:r>
      <w:r>
        <w:rPr>
          <w:rFonts w:hint="eastAsia" w:ascii="宋体" w:hAnsi="宋体"/>
          <w:color w:val="auto"/>
          <w:kern w:val="0"/>
          <w:sz w:val="24"/>
          <w:highlight w:val="none"/>
          <w:lang w:eastAsia="zh-CN"/>
        </w:rPr>
        <w:t>南市街道办事处</w:t>
      </w:r>
      <w:r>
        <w:rPr>
          <w:rFonts w:hint="eastAsia" w:ascii="宋体" w:hAnsi="宋体"/>
          <w:color w:val="auto"/>
          <w:kern w:val="0"/>
          <w:sz w:val="24"/>
          <w:highlight w:val="none"/>
        </w:rPr>
        <w:t>责任险相一致的甲方食品安全责任保险。如不履行本承诺，自愿承担被取消预中标资格、没收履约保证金责任。</w:t>
      </w:r>
    </w:p>
    <w:p w14:paraId="0C02D546">
      <w:pPr>
        <w:widowControl/>
        <w:spacing w:line="360" w:lineRule="auto"/>
        <w:rPr>
          <w:rFonts w:ascii="宋体" w:hAnsi="宋体"/>
          <w:color w:val="auto"/>
          <w:kern w:val="0"/>
          <w:sz w:val="24"/>
          <w:highlight w:val="none"/>
        </w:rPr>
      </w:pPr>
    </w:p>
    <w:p w14:paraId="1A05CE1D">
      <w:pPr>
        <w:widowControl/>
        <w:spacing w:line="360" w:lineRule="auto"/>
        <w:rPr>
          <w:rFonts w:ascii="宋体" w:hAnsi="宋体"/>
          <w:color w:val="auto"/>
          <w:kern w:val="0"/>
          <w:sz w:val="24"/>
          <w:highlight w:val="none"/>
        </w:rPr>
      </w:pPr>
    </w:p>
    <w:p w14:paraId="107C73B7">
      <w:pPr>
        <w:widowControl/>
        <w:spacing w:line="360" w:lineRule="auto"/>
        <w:ind w:firstLine="5740"/>
        <w:rPr>
          <w:rFonts w:ascii="宋体" w:hAnsi="宋体"/>
          <w:color w:val="auto"/>
          <w:kern w:val="0"/>
          <w:sz w:val="24"/>
          <w:highlight w:val="none"/>
        </w:rPr>
      </w:pPr>
    </w:p>
    <w:p w14:paraId="5904743F">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                                   承诺单位(盖章)</w:t>
      </w:r>
    </w:p>
    <w:p w14:paraId="326BF734">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                              法人代表人或其授权代表签字</w:t>
      </w:r>
    </w:p>
    <w:p w14:paraId="2F24667D">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                                   日期：    年   月   日</w:t>
      </w:r>
    </w:p>
    <w:p w14:paraId="0F0040F8">
      <w:pPr>
        <w:rPr>
          <w:rFonts w:hint="eastAsia"/>
          <w:color w:val="auto"/>
          <w:highlight w:val="none"/>
        </w:rPr>
      </w:pPr>
    </w:p>
    <w:p w14:paraId="05A44EDE">
      <w:pPr>
        <w:rPr>
          <w:rFonts w:hint="eastAsia"/>
          <w:color w:val="auto"/>
          <w:highlight w:val="none"/>
        </w:rPr>
      </w:pPr>
    </w:p>
    <w:p w14:paraId="3D485DA8">
      <w:pPr>
        <w:rPr>
          <w:rFonts w:hint="eastAsia"/>
          <w:color w:val="auto"/>
          <w:highlight w:val="none"/>
        </w:rPr>
      </w:pPr>
    </w:p>
    <w:p w14:paraId="592618E6">
      <w:pPr>
        <w:rPr>
          <w:rFonts w:hint="eastAsia"/>
          <w:color w:val="auto"/>
          <w:highlight w:val="none"/>
        </w:rPr>
      </w:pPr>
    </w:p>
    <w:p w14:paraId="0286E487">
      <w:pPr>
        <w:rPr>
          <w:rFonts w:hint="eastAsia"/>
          <w:color w:val="auto"/>
          <w:highlight w:val="none"/>
        </w:rPr>
      </w:pPr>
    </w:p>
    <w:p w14:paraId="31F8A81D">
      <w:pPr>
        <w:pageBreakBefore/>
        <w:spacing w:before="260" w:after="260" w:line="415" w:lineRule="auto"/>
        <w:outlineLvl w:val="1"/>
        <w:rPr>
          <w:rFonts w:ascii="宋体" w:hAnsi="宋体" w:cs="宋体"/>
          <w:bCs/>
          <w:color w:val="auto"/>
          <w:sz w:val="24"/>
          <w:highlight w:val="none"/>
        </w:rPr>
      </w:pPr>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：服务费承诺书</w:t>
      </w:r>
    </w:p>
    <w:p w14:paraId="239DB732">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服 务 费 承 诺 书</w:t>
      </w:r>
    </w:p>
    <w:p w14:paraId="3BA9055F">
      <w:pPr>
        <w:snapToGrid w:val="0"/>
        <w:spacing w:before="50" w:after="156" w:afterLines="50"/>
        <w:ind w:firstLine="482"/>
        <w:jc w:val="left"/>
        <w:rPr>
          <w:rFonts w:ascii="宋体" w:hAnsi="宋体" w:cs="宋体"/>
          <w:b/>
          <w:color w:val="auto"/>
          <w:sz w:val="24"/>
          <w:highlight w:val="none"/>
        </w:rPr>
      </w:pPr>
    </w:p>
    <w:p w14:paraId="140CB204">
      <w:pPr>
        <w:snapToGrid w:val="0"/>
        <w:spacing w:before="50" w:after="156" w:afterLines="50" w:line="360" w:lineRule="auto"/>
        <w:ind w:firstLine="482"/>
        <w:jc w:val="left"/>
        <w:rPr>
          <w:rFonts w:ascii="宋体" w:hAnsi="宋体" w:cs="宋体"/>
          <w:b/>
          <w:bCs/>
          <w:color w:val="auto"/>
          <w:sz w:val="24"/>
          <w:highlight w:val="none"/>
        </w:rPr>
      </w:pPr>
      <w:r>
        <w:rPr>
          <w:rFonts w:hint="eastAsia" w:ascii="宋体" w:hAnsi="宋体" w:cs="宋体"/>
          <w:b/>
          <w:color w:val="auto"/>
          <w:sz w:val="24"/>
          <w:highlight w:val="none"/>
        </w:rPr>
        <w:t>金华正达工程造价咨询有限公司</w:t>
      </w:r>
      <w:r>
        <w:rPr>
          <w:rFonts w:hint="eastAsia" w:ascii="宋体" w:hAnsi="宋体" w:cs="宋体"/>
          <w:b/>
          <w:bCs/>
          <w:color w:val="auto"/>
          <w:sz w:val="24"/>
          <w:highlight w:val="none"/>
        </w:rPr>
        <w:t>：</w:t>
      </w:r>
    </w:p>
    <w:p w14:paraId="12DAF938">
      <w:pPr>
        <w:snapToGrid w:val="0"/>
        <w:spacing w:before="50" w:after="156" w:afterLines="50" w:line="360" w:lineRule="auto"/>
        <w:ind w:firstLine="470" w:firstLineChars="196"/>
        <w:jc w:val="left"/>
        <w:rPr>
          <w:rFonts w:ascii="宋体" w:hAnsi="宋体" w:cs="宋体"/>
          <w:b/>
          <w:color w:val="auto"/>
          <w:sz w:val="24"/>
          <w:highlight w:val="none"/>
        </w:rPr>
      </w:pPr>
      <w:r>
        <w:rPr>
          <w:rFonts w:hint="eastAsia" w:ascii="宋体" w:hAnsi="宋体" w:cs="宋体"/>
          <w:b/>
          <w:color w:val="auto"/>
          <w:sz w:val="24"/>
          <w:highlight w:val="none"/>
        </w:rPr>
        <w:t xml:space="preserve">若我公司中标时，在中标结果公示结束之日起3天内，愿按本招标文件总则第（五）条规定向金华正达工程造价咨询有限公司支付中标服务费。    </w:t>
      </w:r>
    </w:p>
    <w:p w14:paraId="2596310D">
      <w:pPr>
        <w:snapToGrid w:val="0"/>
        <w:spacing w:before="50" w:after="156" w:afterLines="50" w:line="360" w:lineRule="auto"/>
        <w:ind w:firstLine="470" w:firstLineChars="196"/>
        <w:jc w:val="left"/>
        <w:rPr>
          <w:rFonts w:ascii="宋体" w:hAnsi="宋体" w:cs="宋体"/>
          <w:b/>
          <w:bCs/>
          <w:color w:val="auto"/>
          <w:sz w:val="24"/>
          <w:highlight w:val="none"/>
        </w:rPr>
      </w:pPr>
      <w:r>
        <w:rPr>
          <w:rFonts w:hint="eastAsia" w:ascii="宋体" w:hAnsi="宋体" w:cs="宋体"/>
          <w:b/>
          <w:color w:val="auto"/>
          <w:sz w:val="24"/>
          <w:highlight w:val="none"/>
        </w:rPr>
        <w:t>我方如未在规定时间内交纳时，承诺凭贵方开出的违约通知，按上述承诺金额标准的200%交纳，由采购人在本次招标项目的货款/服务款中直接扣缴，并同意贵方以失信单位上报东阳市财政局采监科。</w:t>
      </w:r>
    </w:p>
    <w:p w14:paraId="5F415109">
      <w:pPr>
        <w:snapToGrid w:val="0"/>
        <w:spacing w:before="50" w:after="156" w:afterLines="50"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特此承诺！</w:t>
      </w:r>
    </w:p>
    <w:p w14:paraId="383FBCFF">
      <w:pPr>
        <w:snapToGrid w:val="0"/>
        <w:spacing w:before="50" w:after="156" w:afterLines="50" w:line="360" w:lineRule="auto"/>
        <w:ind w:firstLine="482"/>
        <w:jc w:val="left"/>
        <w:rPr>
          <w:rFonts w:ascii="宋体" w:hAnsi="宋体" w:cs="宋体"/>
          <w:b/>
          <w:color w:val="auto"/>
          <w:sz w:val="24"/>
          <w:highlight w:val="none"/>
        </w:rPr>
      </w:pPr>
    </w:p>
    <w:p w14:paraId="2565F40A">
      <w:pPr>
        <w:snapToGrid w:val="0"/>
        <w:spacing w:before="50" w:after="156" w:afterLines="50"/>
        <w:ind w:firstLine="482"/>
        <w:jc w:val="left"/>
        <w:rPr>
          <w:rFonts w:ascii="宋体" w:hAnsi="宋体" w:cs="宋体"/>
          <w:b/>
          <w:color w:val="auto"/>
          <w:sz w:val="24"/>
          <w:highlight w:val="none"/>
        </w:rPr>
      </w:pPr>
    </w:p>
    <w:p w14:paraId="1B979187">
      <w:pPr>
        <w:snapToGrid w:val="0"/>
        <w:spacing w:before="50" w:after="156" w:afterLines="50"/>
        <w:ind w:firstLine="482"/>
        <w:jc w:val="left"/>
        <w:rPr>
          <w:rFonts w:ascii="宋体" w:hAnsi="宋体" w:cs="宋体"/>
          <w:b/>
          <w:color w:val="auto"/>
          <w:sz w:val="24"/>
          <w:highlight w:val="none"/>
        </w:rPr>
      </w:pPr>
    </w:p>
    <w:p w14:paraId="5FC9FC1B">
      <w:pPr>
        <w:snapToGrid w:val="0"/>
        <w:spacing w:before="50" w:after="156" w:afterLines="50"/>
        <w:ind w:firstLine="482"/>
        <w:jc w:val="left"/>
        <w:rPr>
          <w:rFonts w:ascii="宋体" w:hAnsi="宋体" w:cs="宋体"/>
          <w:b/>
          <w:color w:val="auto"/>
          <w:sz w:val="24"/>
          <w:highlight w:val="none"/>
        </w:rPr>
      </w:pPr>
    </w:p>
    <w:p w14:paraId="141C8F73">
      <w:pPr>
        <w:snapToGrid w:val="0"/>
        <w:spacing w:before="50" w:after="156" w:afterLines="50"/>
        <w:ind w:firstLine="482"/>
        <w:jc w:val="left"/>
        <w:rPr>
          <w:rFonts w:ascii="宋体" w:hAnsi="宋体" w:cs="宋体"/>
          <w:b/>
          <w:color w:val="auto"/>
          <w:sz w:val="24"/>
          <w:highlight w:val="none"/>
        </w:rPr>
      </w:pPr>
    </w:p>
    <w:p w14:paraId="193283F7">
      <w:pPr>
        <w:snapToGrid w:val="0"/>
        <w:spacing w:before="50" w:after="156" w:afterLines="50"/>
        <w:ind w:firstLine="482"/>
        <w:jc w:val="left"/>
        <w:rPr>
          <w:rFonts w:ascii="宋体" w:hAnsi="宋体" w:cs="宋体"/>
          <w:b/>
          <w:color w:val="auto"/>
          <w:sz w:val="24"/>
          <w:highlight w:val="none"/>
        </w:rPr>
      </w:pPr>
    </w:p>
    <w:p w14:paraId="11A3F1DC">
      <w:pPr>
        <w:snapToGrid w:val="0"/>
        <w:spacing w:before="50" w:after="156" w:afterLines="50"/>
        <w:ind w:firstLine="235"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21D5CCD8">
      <w:pPr>
        <w:snapToGrid w:val="0"/>
        <w:spacing w:before="50" w:after="156" w:afterLines="50"/>
        <w:ind w:firstLine="482"/>
        <w:jc w:val="left"/>
        <w:rPr>
          <w:rFonts w:ascii="宋体" w:hAnsi="宋体" w:cs="宋体"/>
          <w:b/>
          <w:color w:val="auto"/>
          <w:sz w:val="24"/>
          <w:highlight w:val="none"/>
        </w:rPr>
      </w:pPr>
    </w:p>
    <w:p w14:paraId="146052E6">
      <w:pPr>
        <w:snapToGrid w:val="0"/>
        <w:spacing w:before="50" w:after="156" w:afterLines="50"/>
        <w:ind w:firstLine="482"/>
        <w:jc w:val="left"/>
        <w:rPr>
          <w:rFonts w:ascii="宋体" w:hAnsi="宋体" w:cs="宋体"/>
          <w:b/>
          <w:color w:val="auto"/>
          <w:sz w:val="24"/>
          <w:highlight w:val="none"/>
        </w:rPr>
      </w:pPr>
    </w:p>
    <w:p w14:paraId="72575E78">
      <w:pPr>
        <w:snapToGrid w:val="0"/>
        <w:spacing w:before="50" w:after="156" w:afterLines="50"/>
        <w:ind w:firstLine="235"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656F9EA0">
      <w:pPr>
        <w:snapToGrid w:val="0"/>
        <w:spacing w:before="50" w:after="156" w:afterLines="50"/>
        <w:ind w:firstLine="482"/>
        <w:jc w:val="left"/>
        <w:rPr>
          <w:rFonts w:ascii="宋体" w:hAnsi="宋体" w:cs="宋体"/>
          <w:b/>
          <w:bCs/>
          <w:color w:val="auto"/>
          <w:sz w:val="24"/>
          <w:highlight w:val="none"/>
        </w:rPr>
      </w:pPr>
    </w:p>
    <w:p w14:paraId="720B78E1">
      <w:pPr>
        <w:snapToGrid w:val="0"/>
        <w:spacing w:before="50" w:after="156" w:afterLines="50"/>
        <w:ind w:firstLine="482"/>
        <w:jc w:val="left"/>
        <w:rPr>
          <w:rFonts w:ascii="宋体" w:hAnsi="宋体" w:cs="宋体"/>
          <w:b/>
          <w:bCs/>
          <w:color w:val="auto"/>
          <w:sz w:val="24"/>
          <w:highlight w:val="none"/>
        </w:rPr>
      </w:pPr>
    </w:p>
    <w:p w14:paraId="0FB782D7">
      <w:pPr>
        <w:snapToGrid w:val="0"/>
        <w:spacing w:before="50" w:after="156" w:afterLines="50"/>
        <w:ind w:firstLine="5956"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669CB3D5">
      <w:pPr>
        <w:snapToGrid w:val="0"/>
        <w:spacing w:before="50" w:after="156" w:afterLines="50"/>
        <w:ind w:firstLine="482"/>
        <w:jc w:val="left"/>
        <w:rPr>
          <w:rFonts w:ascii="宋体" w:hAnsi="宋体" w:cs="宋体"/>
          <w:b/>
          <w:color w:val="auto"/>
          <w:sz w:val="24"/>
          <w:highlight w:val="none"/>
        </w:rPr>
      </w:pPr>
    </w:p>
    <w:p w14:paraId="35363C7C">
      <w:pPr>
        <w:pageBreakBefore/>
        <w:spacing w:before="260" w:after="260" w:line="415" w:lineRule="auto"/>
        <w:outlineLvl w:val="1"/>
        <w:rPr>
          <w:rFonts w:ascii="宋体" w:hAnsi="宋体" w:cs="宋体"/>
          <w:bCs/>
          <w:color w:val="auto"/>
          <w:sz w:val="24"/>
          <w:highlight w:val="none"/>
        </w:rPr>
      </w:pPr>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五</w:t>
      </w:r>
      <w:r>
        <w:rPr>
          <w:rFonts w:hint="eastAsia" w:ascii="宋体" w:hAnsi="宋体" w:cs="宋体"/>
          <w:bCs/>
          <w:color w:val="auto"/>
          <w:sz w:val="24"/>
          <w:highlight w:val="none"/>
        </w:rPr>
        <w:t>:</w:t>
      </w:r>
      <w:bookmarkEnd w:id="50"/>
      <w:r>
        <w:rPr>
          <w:rFonts w:hint="eastAsia" w:ascii="宋体" w:hAnsi="宋体" w:cs="宋体"/>
          <w:bCs/>
          <w:color w:val="auto"/>
          <w:sz w:val="24"/>
          <w:highlight w:val="none"/>
        </w:rPr>
        <w:t xml:space="preserve"> 投标函</w:t>
      </w:r>
      <w:bookmarkEnd w:id="51"/>
    </w:p>
    <w:p w14:paraId="4514C961">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2F57A6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2A6BDAD6">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4A0E14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1285FC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565A32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3BD482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099FC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1EB80A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67D1B0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6CBF5C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283FA1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邮编：__________   电话：______________</w:t>
      </w:r>
    </w:p>
    <w:p w14:paraId="60FDCE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职务：__________</w:t>
      </w:r>
    </w:p>
    <w:p w14:paraId="61181599">
      <w:pPr>
        <w:snapToGrid w:val="0"/>
        <w:spacing w:line="360" w:lineRule="auto"/>
        <w:rPr>
          <w:rFonts w:ascii="宋体" w:hAnsi="宋体" w:cs="宋体"/>
          <w:color w:val="auto"/>
          <w:sz w:val="24"/>
          <w:highlight w:val="none"/>
        </w:rPr>
      </w:pPr>
    </w:p>
    <w:p w14:paraId="6A2D8F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5C50F9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6B7F4B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72D35F85">
      <w:pPr>
        <w:snapToGrid w:val="0"/>
        <w:spacing w:before="156" w:after="156" w:line="360" w:lineRule="auto"/>
        <w:rPr>
          <w:rFonts w:ascii="宋体" w:hAnsi="宋体" w:cs="宋体"/>
          <w:color w:val="auto"/>
          <w:sz w:val="24"/>
          <w:highlight w:val="none"/>
        </w:rPr>
      </w:pPr>
    </w:p>
    <w:p w14:paraId="4A5FCF38">
      <w:pPr>
        <w:snapToGrid w:val="0"/>
        <w:spacing w:before="50" w:after="156" w:afterLines="50"/>
        <w:ind w:firstLine="482"/>
        <w:jc w:val="left"/>
        <w:rPr>
          <w:rFonts w:ascii="宋体" w:hAnsi="宋体" w:cs="宋体"/>
          <w:b/>
          <w:color w:val="auto"/>
          <w:sz w:val="24"/>
          <w:highlight w:val="none"/>
        </w:rPr>
      </w:pPr>
    </w:p>
    <w:p w14:paraId="1DB4B1E7">
      <w:pPr>
        <w:snapToGrid w:val="0"/>
        <w:spacing w:before="50" w:after="156" w:afterLines="50"/>
        <w:ind w:firstLine="482"/>
        <w:jc w:val="left"/>
        <w:rPr>
          <w:rFonts w:ascii="宋体" w:hAnsi="宋体" w:cs="宋体"/>
          <w:b/>
          <w:color w:val="auto"/>
          <w:sz w:val="24"/>
          <w:highlight w:val="none"/>
        </w:rPr>
      </w:pPr>
    </w:p>
    <w:p w14:paraId="0C762D2E">
      <w:pPr>
        <w:snapToGrid w:val="0"/>
        <w:spacing w:before="50" w:after="156" w:afterLines="50"/>
        <w:ind w:firstLine="482"/>
        <w:jc w:val="left"/>
        <w:rPr>
          <w:rFonts w:ascii="宋体" w:hAnsi="宋体" w:cs="宋体"/>
          <w:b/>
          <w:color w:val="auto"/>
          <w:sz w:val="24"/>
          <w:highlight w:val="none"/>
        </w:rPr>
      </w:pPr>
    </w:p>
    <w:p w14:paraId="28B48C8B">
      <w:pPr>
        <w:rPr>
          <w:rFonts w:ascii="宋体" w:hAnsi="宋体" w:cs="宋体"/>
          <w:color w:val="auto"/>
          <w:sz w:val="24"/>
          <w:highlight w:val="none"/>
        </w:rPr>
      </w:pPr>
      <w:bookmarkStart w:id="52" w:name="_Toc496598998"/>
    </w:p>
    <w:p w14:paraId="78BAA649">
      <w:pPr>
        <w:keepNext/>
        <w:keepLines/>
        <w:spacing w:before="260" w:after="260" w:line="360" w:lineRule="auto"/>
        <w:outlineLvl w:val="1"/>
        <w:rPr>
          <w:rFonts w:ascii="宋体" w:hAnsi="宋体" w:cs="宋体"/>
          <w:bCs/>
          <w:color w:val="auto"/>
          <w:sz w:val="24"/>
          <w:highlight w:val="none"/>
        </w:rPr>
      </w:pPr>
      <w:bookmarkStart w:id="53" w:name="_Toc312"/>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：开标一览表</w:t>
      </w:r>
      <w:bookmarkEnd w:id="53"/>
    </w:p>
    <w:bookmarkEnd w:id="52"/>
    <w:p w14:paraId="67CCDC64">
      <w:pPr>
        <w:spacing w:line="360" w:lineRule="auto"/>
        <w:jc w:val="center"/>
        <w:rPr>
          <w:rFonts w:ascii="宋体" w:hAnsi="宋体" w:cs="宋体"/>
          <w:b/>
          <w:color w:val="auto"/>
          <w:sz w:val="36"/>
          <w:szCs w:val="36"/>
          <w:highlight w:val="none"/>
        </w:rPr>
      </w:pPr>
      <w:bookmarkStart w:id="54" w:name="_Toc496599000"/>
      <w:r>
        <w:rPr>
          <w:rFonts w:hint="eastAsia" w:ascii="宋体" w:hAnsi="宋体" w:cs="宋体"/>
          <w:b/>
          <w:color w:val="auto"/>
          <w:sz w:val="36"/>
          <w:szCs w:val="36"/>
          <w:highlight w:val="none"/>
          <w:lang w:val="en-US" w:eastAsia="zh-CN"/>
        </w:rPr>
        <w:t>标项1</w:t>
      </w:r>
      <w:r>
        <w:rPr>
          <w:rFonts w:hint="eastAsia" w:ascii="宋体" w:hAnsi="宋体" w:cs="宋体"/>
          <w:b/>
          <w:color w:val="auto"/>
          <w:sz w:val="36"/>
          <w:szCs w:val="36"/>
          <w:highlight w:val="none"/>
        </w:rPr>
        <w:t>开标一览表</w:t>
      </w:r>
    </w:p>
    <w:p w14:paraId="069F70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7B7AD6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olor w:val="auto"/>
          <w:sz w:val="24"/>
          <w:highlight w:val="none"/>
        </w:rPr>
        <w:t>单位：元/年</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1"/>
        <w:gridCol w:w="3318"/>
        <w:gridCol w:w="4049"/>
      </w:tblGrid>
      <w:tr w14:paraId="74C13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4D0DE634">
            <w:pPr>
              <w:snapToGrid w:val="0"/>
              <w:spacing w:before="100" w:beforeAutospacing="1" w:after="100" w:afterAutospacing="1" w:line="500" w:lineRule="exact"/>
              <w:rPr>
                <w:rFonts w:hint="eastAsia" w:ascii="宋体" w:hAnsi="宋体"/>
                <w:b/>
                <w:color w:val="auto"/>
                <w:sz w:val="24"/>
                <w:highlight w:val="none"/>
              </w:rPr>
            </w:pPr>
            <w:r>
              <w:rPr>
                <w:rFonts w:hint="eastAsia" w:ascii="宋体" w:hAnsi="宋体"/>
                <w:b/>
                <w:color w:val="auto"/>
                <w:sz w:val="24"/>
                <w:highlight w:val="none"/>
              </w:rPr>
              <w:t>序号</w:t>
            </w:r>
          </w:p>
        </w:tc>
        <w:tc>
          <w:tcPr>
            <w:tcW w:w="3318" w:type="dxa"/>
            <w:tcBorders>
              <w:top w:val="single" w:color="auto" w:sz="4" w:space="0"/>
              <w:left w:val="single" w:color="auto" w:sz="4" w:space="0"/>
              <w:bottom w:val="single" w:color="auto" w:sz="4" w:space="0"/>
              <w:right w:val="single" w:color="auto" w:sz="4" w:space="0"/>
            </w:tcBorders>
            <w:noWrap w:val="0"/>
            <w:vAlign w:val="center"/>
          </w:tcPr>
          <w:p w14:paraId="363EE66C">
            <w:pPr>
              <w:snapToGrid w:val="0"/>
              <w:spacing w:before="100" w:beforeAutospacing="1" w:after="100" w:afterAutospacing="1" w:line="500" w:lineRule="exact"/>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项目名称</w:t>
            </w:r>
          </w:p>
        </w:tc>
        <w:tc>
          <w:tcPr>
            <w:tcW w:w="4049" w:type="dxa"/>
            <w:tcBorders>
              <w:top w:val="single" w:color="auto" w:sz="4" w:space="0"/>
              <w:left w:val="single" w:color="auto" w:sz="4" w:space="0"/>
              <w:bottom w:val="single" w:color="auto" w:sz="4" w:space="0"/>
              <w:right w:val="single" w:color="auto" w:sz="4" w:space="0"/>
            </w:tcBorders>
            <w:noWrap w:val="0"/>
            <w:vAlign w:val="center"/>
          </w:tcPr>
          <w:p w14:paraId="555F6F20">
            <w:pPr>
              <w:snapToGrid w:val="0"/>
              <w:spacing w:before="100" w:beforeAutospacing="1" w:after="100" w:afterAutospacing="1" w:line="500" w:lineRule="exact"/>
              <w:jc w:val="center"/>
              <w:rPr>
                <w:rFonts w:hint="eastAsia" w:ascii="宋体" w:hAnsi="宋体"/>
                <w:b/>
                <w:color w:val="auto"/>
                <w:sz w:val="24"/>
                <w:highlight w:val="none"/>
              </w:rPr>
            </w:pPr>
            <w:r>
              <w:rPr>
                <w:rFonts w:hint="eastAsia" w:ascii="宋体" w:hAnsi="宋体"/>
                <w:b/>
                <w:color w:val="auto"/>
                <w:sz w:val="24"/>
                <w:highlight w:val="none"/>
              </w:rPr>
              <w:t>投标价格</w:t>
            </w:r>
          </w:p>
        </w:tc>
      </w:tr>
      <w:tr w14:paraId="07D2F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187B9A8F">
            <w:pPr>
              <w:snapToGrid w:val="0"/>
              <w:spacing w:before="100" w:beforeAutospacing="1" w:after="100" w:afterAutospacing="1" w:line="50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3318" w:type="dxa"/>
            <w:tcBorders>
              <w:top w:val="single" w:color="auto" w:sz="4" w:space="0"/>
              <w:left w:val="single" w:color="auto" w:sz="4" w:space="0"/>
              <w:right w:val="single" w:color="auto" w:sz="4" w:space="0"/>
            </w:tcBorders>
            <w:noWrap w:val="0"/>
            <w:vAlign w:val="center"/>
          </w:tcPr>
          <w:p w14:paraId="2FB97756">
            <w:pPr>
              <w:snapToGrid w:val="0"/>
              <w:spacing w:before="100" w:beforeAutospacing="1" w:after="100" w:afterAutospacing="1" w:line="24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东阳市南市街道办事处食堂劳务服务项目</w:t>
            </w:r>
          </w:p>
        </w:tc>
        <w:tc>
          <w:tcPr>
            <w:tcW w:w="4049" w:type="dxa"/>
            <w:tcBorders>
              <w:top w:val="single" w:color="auto" w:sz="4" w:space="0"/>
              <w:left w:val="single" w:color="auto" w:sz="4" w:space="0"/>
              <w:right w:val="single" w:color="auto" w:sz="4" w:space="0"/>
            </w:tcBorders>
            <w:noWrap w:val="0"/>
            <w:vAlign w:val="center"/>
          </w:tcPr>
          <w:p w14:paraId="7ADAF6AD">
            <w:pPr>
              <w:snapToGrid w:val="0"/>
              <w:spacing w:before="100" w:beforeAutospacing="1" w:after="100" w:afterAutospacing="1" w:line="500" w:lineRule="exact"/>
              <w:rPr>
                <w:rFonts w:hint="eastAsia" w:ascii="宋体" w:hAnsi="宋体"/>
                <w:color w:val="auto"/>
                <w:sz w:val="24"/>
                <w:highlight w:val="none"/>
              </w:rPr>
            </w:pPr>
          </w:p>
        </w:tc>
      </w:tr>
      <w:tr w14:paraId="7EC1C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5024F92D">
            <w:pPr>
              <w:pStyle w:val="170"/>
              <w:rPr>
                <w:rFonts w:hint="eastAsia" w:ascii="宋体" w:hAnsi="宋体" w:eastAsia="宋体"/>
                <w:color w:val="auto"/>
                <w:highlight w:val="none"/>
              </w:rPr>
            </w:pPr>
            <w:r>
              <w:rPr>
                <w:rFonts w:hint="eastAsia" w:ascii="宋体" w:hAnsi="宋体" w:eastAsia="宋体"/>
                <w:color w:val="auto"/>
                <w:highlight w:val="none"/>
              </w:rPr>
              <w:t>2</w:t>
            </w:r>
          </w:p>
        </w:tc>
        <w:tc>
          <w:tcPr>
            <w:tcW w:w="3318" w:type="dxa"/>
            <w:tcBorders>
              <w:top w:val="single" w:color="auto" w:sz="4" w:space="0"/>
              <w:left w:val="single" w:color="auto" w:sz="4" w:space="0"/>
              <w:right w:val="single" w:color="auto" w:sz="4" w:space="0"/>
            </w:tcBorders>
            <w:noWrap w:val="0"/>
            <w:vAlign w:val="center"/>
          </w:tcPr>
          <w:p w14:paraId="1813B45B">
            <w:pPr>
              <w:snapToGrid w:val="0"/>
              <w:spacing w:before="100" w:beforeAutospacing="1" w:after="100" w:afterAutospacing="1" w:line="500" w:lineRule="exact"/>
              <w:rPr>
                <w:rFonts w:hint="eastAsia" w:ascii="宋体" w:hAnsi="宋体" w:cs="宋体"/>
                <w:color w:val="auto"/>
                <w:kern w:val="0"/>
                <w:sz w:val="24"/>
                <w:highlight w:val="none"/>
              </w:rPr>
            </w:pPr>
          </w:p>
        </w:tc>
        <w:tc>
          <w:tcPr>
            <w:tcW w:w="4049" w:type="dxa"/>
            <w:tcBorders>
              <w:top w:val="single" w:color="auto" w:sz="4" w:space="0"/>
              <w:left w:val="single" w:color="auto" w:sz="4" w:space="0"/>
              <w:right w:val="single" w:color="auto" w:sz="4" w:space="0"/>
            </w:tcBorders>
            <w:noWrap w:val="0"/>
            <w:vAlign w:val="center"/>
          </w:tcPr>
          <w:p w14:paraId="1F30B362">
            <w:pPr>
              <w:snapToGrid w:val="0"/>
              <w:spacing w:before="100" w:beforeAutospacing="1" w:after="100" w:afterAutospacing="1" w:line="500" w:lineRule="exact"/>
              <w:rPr>
                <w:rFonts w:hint="eastAsia" w:ascii="宋体" w:hAnsi="宋体"/>
                <w:color w:val="auto"/>
                <w:sz w:val="24"/>
                <w:highlight w:val="none"/>
              </w:rPr>
            </w:pPr>
          </w:p>
        </w:tc>
      </w:tr>
      <w:tr w14:paraId="6E6E8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2585902C">
            <w:pPr>
              <w:pStyle w:val="170"/>
              <w:rPr>
                <w:rFonts w:hint="eastAsia" w:ascii="宋体" w:hAnsi="宋体" w:eastAsia="宋体"/>
                <w:color w:val="auto"/>
                <w:highlight w:val="none"/>
              </w:rPr>
            </w:pPr>
            <w:r>
              <w:rPr>
                <w:rFonts w:hint="eastAsia" w:ascii="宋体" w:hAnsi="宋体" w:eastAsia="宋体"/>
                <w:color w:val="auto"/>
                <w:highlight w:val="none"/>
              </w:rPr>
              <w:t>3</w:t>
            </w:r>
          </w:p>
        </w:tc>
        <w:tc>
          <w:tcPr>
            <w:tcW w:w="3318" w:type="dxa"/>
            <w:tcBorders>
              <w:top w:val="single" w:color="auto" w:sz="4" w:space="0"/>
              <w:left w:val="single" w:color="auto" w:sz="4" w:space="0"/>
              <w:right w:val="single" w:color="auto" w:sz="4" w:space="0"/>
            </w:tcBorders>
            <w:noWrap w:val="0"/>
            <w:vAlign w:val="center"/>
          </w:tcPr>
          <w:p w14:paraId="7023255E">
            <w:pPr>
              <w:snapToGrid w:val="0"/>
              <w:spacing w:before="100" w:beforeAutospacing="1" w:after="100" w:afterAutospacing="1" w:line="500" w:lineRule="exact"/>
              <w:rPr>
                <w:rFonts w:hint="eastAsia" w:ascii="宋体" w:hAnsi="宋体" w:cs="宋体"/>
                <w:color w:val="auto"/>
                <w:kern w:val="0"/>
                <w:sz w:val="24"/>
                <w:highlight w:val="none"/>
              </w:rPr>
            </w:pPr>
          </w:p>
        </w:tc>
        <w:tc>
          <w:tcPr>
            <w:tcW w:w="4049" w:type="dxa"/>
            <w:tcBorders>
              <w:top w:val="single" w:color="auto" w:sz="4" w:space="0"/>
              <w:left w:val="single" w:color="auto" w:sz="4" w:space="0"/>
              <w:right w:val="single" w:color="auto" w:sz="4" w:space="0"/>
            </w:tcBorders>
            <w:noWrap w:val="0"/>
            <w:vAlign w:val="center"/>
          </w:tcPr>
          <w:p w14:paraId="7B7CDF39">
            <w:pPr>
              <w:snapToGrid w:val="0"/>
              <w:spacing w:before="100" w:beforeAutospacing="1" w:after="100" w:afterAutospacing="1" w:line="500" w:lineRule="exact"/>
              <w:rPr>
                <w:rFonts w:hint="eastAsia" w:ascii="宋体" w:hAnsi="宋体"/>
                <w:color w:val="auto"/>
                <w:sz w:val="24"/>
                <w:highlight w:val="none"/>
              </w:rPr>
            </w:pPr>
          </w:p>
        </w:tc>
      </w:tr>
      <w:tr w14:paraId="4685C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0DD05FF1">
            <w:pPr>
              <w:pStyle w:val="170"/>
              <w:rPr>
                <w:rFonts w:hint="eastAsia" w:ascii="宋体" w:hAnsi="宋体" w:eastAsia="宋体"/>
                <w:color w:val="auto"/>
                <w:highlight w:val="none"/>
              </w:rPr>
            </w:pPr>
            <w:r>
              <w:rPr>
                <w:rFonts w:hint="eastAsia" w:ascii="宋体" w:hAnsi="宋体" w:eastAsia="宋体"/>
                <w:color w:val="auto"/>
                <w:highlight w:val="none"/>
              </w:rPr>
              <w:t>4</w:t>
            </w:r>
          </w:p>
        </w:tc>
        <w:tc>
          <w:tcPr>
            <w:tcW w:w="3318" w:type="dxa"/>
            <w:tcBorders>
              <w:top w:val="single" w:color="auto" w:sz="4" w:space="0"/>
              <w:left w:val="single" w:color="auto" w:sz="4" w:space="0"/>
              <w:right w:val="single" w:color="auto" w:sz="4" w:space="0"/>
            </w:tcBorders>
            <w:noWrap w:val="0"/>
            <w:vAlign w:val="center"/>
          </w:tcPr>
          <w:p w14:paraId="090FD7BD">
            <w:pPr>
              <w:snapToGrid w:val="0"/>
              <w:spacing w:before="100" w:beforeAutospacing="1" w:after="100" w:afterAutospacing="1" w:line="500" w:lineRule="exact"/>
              <w:rPr>
                <w:rFonts w:hint="eastAsia" w:ascii="宋体" w:hAnsi="宋体" w:cs="宋体"/>
                <w:color w:val="auto"/>
                <w:kern w:val="0"/>
                <w:sz w:val="24"/>
                <w:highlight w:val="none"/>
              </w:rPr>
            </w:pPr>
          </w:p>
        </w:tc>
        <w:tc>
          <w:tcPr>
            <w:tcW w:w="4049" w:type="dxa"/>
            <w:tcBorders>
              <w:top w:val="single" w:color="auto" w:sz="4" w:space="0"/>
              <w:left w:val="single" w:color="auto" w:sz="4" w:space="0"/>
              <w:right w:val="single" w:color="auto" w:sz="4" w:space="0"/>
            </w:tcBorders>
            <w:noWrap w:val="0"/>
            <w:vAlign w:val="center"/>
          </w:tcPr>
          <w:p w14:paraId="679338AB">
            <w:pPr>
              <w:snapToGrid w:val="0"/>
              <w:spacing w:before="100" w:beforeAutospacing="1" w:after="100" w:afterAutospacing="1" w:line="500" w:lineRule="exact"/>
              <w:rPr>
                <w:rFonts w:hint="eastAsia" w:ascii="宋体" w:hAnsi="宋体"/>
                <w:color w:val="auto"/>
                <w:sz w:val="24"/>
                <w:highlight w:val="none"/>
              </w:rPr>
            </w:pPr>
          </w:p>
        </w:tc>
      </w:tr>
      <w:tr w14:paraId="1E25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627767EB">
            <w:pPr>
              <w:pStyle w:val="170"/>
              <w:rPr>
                <w:rFonts w:hint="eastAsia" w:ascii="宋体" w:hAnsi="宋体" w:eastAsia="宋体"/>
                <w:color w:val="auto"/>
                <w:highlight w:val="none"/>
              </w:rPr>
            </w:pPr>
            <w:r>
              <w:rPr>
                <w:rFonts w:hint="eastAsia" w:ascii="宋体" w:hAnsi="宋体" w:eastAsia="宋体"/>
                <w:color w:val="auto"/>
                <w:highlight w:val="none"/>
              </w:rPr>
              <w:t>5</w:t>
            </w:r>
          </w:p>
        </w:tc>
        <w:tc>
          <w:tcPr>
            <w:tcW w:w="3318" w:type="dxa"/>
            <w:tcBorders>
              <w:top w:val="single" w:color="auto" w:sz="4" w:space="0"/>
              <w:left w:val="single" w:color="auto" w:sz="4" w:space="0"/>
              <w:right w:val="single" w:color="auto" w:sz="4" w:space="0"/>
            </w:tcBorders>
            <w:noWrap w:val="0"/>
            <w:vAlign w:val="center"/>
          </w:tcPr>
          <w:p w14:paraId="20EBBC45">
            <w:pPr>
              <w:snapToGrid w:val="0"/>
              <w:spacing w:before="100" w:beforeAutospacing="1" w:after="100" w:afterAutospacing="1" w:line="500" w:lineRule="exact"/>
              <w:rPr>
                <w:rFonts w:hint="eastAsia" w:ascii="宋体" w:hAnsi="宋体" w:cs="宋体"/>
                <w:color w:val="auto"/>
                <w:kern w:val="0"/>
                <w:sz w:val="24"/>
                <w:highlight w:val="none"/>
              </w:rPr>
            </w:pPr>
          </w:p>
        </w:tc>
        <w:tc>
          <w:tcPr>
            <w:tcW w:w="4049" w:type="dxa"/>
            <w:tcBorders>
              <w:top w:val="single" w:color="auto" w:sz="4" w:space="0"/>
              <w:left w:val="single" w:color="auto" w:sz="4" w:space="0"/>
              <w:right w:val="single" w:color="auto" w:sz="4" w:space="0"/>
            </w:tcBorders>
            <w:noWrap w:val="0"/>
            <w:vAlign w:val="center"/>
          </w:tcPr>
          <w:p w14:paraId="10FFC8B3">
            <w:pPr>
              <w:snapToGrid w:val="0"/>
              <w:spacing w:before="100" w:beforeAutospacing="1" w:after="100" w:afterAutospacing="1" w:line="500" w:lineRule="exact"/>
              <w:rPr>
                <w:rFonts w:hint="eastAsia" w:ascii="宋体" w:hAnsi="宋体"/>
                <w:color w:val="auto"/>
                <w:sz w:val="24"/>
                <w:highlight w:val="none"/>
              </w:rPr>
            </w:pPr>
          </w:p>
        </w:tc>
      </w:tr>
      <w:tr w14:paraId="7901A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702DD8C5">
            <w:pPr>
              <w:pStyle w:val="170"/>
              <w:rPr>
                <w:rFonts w:hint="eastAsia" w:ascii="宋体" w:hAnsi="宋体" w:eastAsia="宋体"/>
                <w:color w:val="auto"/>
                <w:highlight w:val="none"/>
              </w:rPr>
            </w:pPr>
            <w:r>
              <w:rPr>
                <w:rFonts w:hint="eastAsia" w:ascii="宋体" w:hAnsi="宋体" w:eastAsia="宋体"/>
                <w:color w:val="auto"/>
                <w:highlight w:val="none"/>
              </w:rPr>
              <w:t>6</w:t>
            </w:r>
          </w:p>
        </w:tc>
        <w:tc>
          <w:tcPr>
            <w:tcW w:w="3318" w:type="dxa"/>
            <w:tcBorders>
              <w:top w:val="single" w:color="auto" w:sz="4" w:space="0"/>
              <w:left w:val="single" w:color="auto" w:sz="4" w:space="0"/>
              <w:right w:val="single" w:color="auto" w:sz="4" w:space="0"/>
            </w:tcBorders>
            <w:noWrap w:val="0"/>
            <w:vAlign w:val="center"/>
          </w:tcPr>
          <w:p w14:paraId="071D8E8A">
            <w:pPr>
              <w:snapToGrid w:val="0"/>
              <w:spacing w:before="100" w:beforeAutospacing="1" w:after="100" w:afterAutospacing="1" w:line="500" w:lineRule="exact"/>
              <w:rPr>
                <w:rFonts w:hint="eastAsia" w:ascii="宋体" w:hAnsi="宋体" w:cs="宋体"/>
                <w:color w:val="auto"/>
                <w:kern w:val="0"/>
                <w:sz w:val="24"/>
                <w:highlight w:val="none"/>
              </w:rPr>
            </w:pPr>
          </w:p>
        </w:tc>
        <w:tc>
          <w:tcPr>
            <w:tcW w:w="4049" w:type="dxa"/>
            <w:tcBorders>
              <w:top w:val="single" w:color="auto" w:sz="4" w:space="0"/>
              <w:left w:val="single" w:color="auto" w:sz="4" w:space="0"/>
              <w:right w:val="single" w:color="auto" w:sz="4" w:space="0"/>
            </w:tcBorders>
            <w:noWrap w:val="0"/>
            <w:vAlign w:val="center"/>
          </w:tcPr>
          <w:p w14:paraId="5F206240">
            <w:pPr>
              <w:snapToGrid w:val="0"/>
              <w:spacing w:before="100" w:beforeAutospacing="1" w:after="100" w:afterAutospacing="1" w:line="500" w:lineRule="exact"/>
              <w:rPr>
                <w:rFonts w:hint="eastAsia" w:ascii="宋体" w:hAnsi="宋体"/>
                <w:color w:val="auto"/>
                <w:sz w:val="24"/>
                <w:highlight w:val="none"/>
              </w:rPr>
            </w:pPr>
          </w:p>
        </w:tc>
      </w:tr>
      <w:tr w14:paraId="136BD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720ABD53">
            <w:pPr>
              <w:pStyle w:val="170"/>
              <w:rPr>
                <w:rFonts w:hint="eastAsia" w:ascii="宋体" w:hAnsi="宋体" w:eastAsia="宋体"/>
                <w:color w:val="auto"/>
                <w:highlight w:val="none"/>
              </w:rPr>
            </w:pPr>
            <w:r>
              <w:rPr>
                <w:rFonts w:hint="eastAsia" w:ascii="宋体" w:hAnsi="宋体" w:eastAsia="宋体"/>
                <w:color w:val="auto"/>
                <w:highlight w:val="none"/>
              </w:rPr>
              <w:t>7</w:t>
            </w:r>
          </w:p>
        </w:tc>
        <w:tc>
          <w:tcPr>
            <w:tcW w:w="3318" w:type="dxa"/>
            <w:tcBorders>
              <w:top w:val="single" w:color="auto" w:sz="4" w:space="0"/>
              <w:left w:val="single" w:color="auto" w:sz="4" w:space="0"/>
              <w:right w:val="single" w:color="auto" w:sz="4" w:space="0"/>
            </w:tcBorders>
            <w:noWrap w:val="0"/>
            <w:vAlign w:val="center"/>
          </w:tcPr>
          <w:p w14:paraId="11F71A67">
            <w:pPr>
              <w:snapToGrid w:val="0"/>
              <w:spacing w:before="100" w:beforeAutospacing="1" w:after="100" w:afterAutospacing="1" w:line="500" w:lineRule="exact"/>
              <w:rPr>
                <w:rFonts w:hint="eastAsia" w:ascii="宋体" w:hAnsi="宋体" w:cs="宋体"/>
                <w:color w:val="auto"/>
                <w:kern w:val="0"/>
                <w:sz w:val="24"/>
                <w:highlight w:val="none"/>
              </w:rPr>
            </w:pPr>
          </w:p>
        </w:tc>
        <w:tc>
          <w:tcPr>
            <w:tcW w:w="4049" w:type="dxa"/>
            <w:tcBorders>
              <w:top w:val="single" w:color="auto" w:sz="4" w:space="0"/>
              <w:left w:val="single" w:color="auto" w:sz="4" w:space="0"/>
              <w:right w:val="single" w:color="auto" w:sz="4" w:space="0"/>
            </w:tcBorders>
            <w:noWrap w:val="0"/>
            <w:vAlign w:val="center"/>
          </w:tcPr>
          <w:p w14:paraId="2561E912">
            <w:pPr>
              <w:snapToGrid w:val="0"/>
              <w:spacing w:before="100" w:beforeAutospacing="1" w:after="100" w:afterAutospacing="1" w:line="500" w:lineRule="exact"/>
              <w:rPr>
                <w:rFonts w:hint="eastAsia" w:ascii="宋体" w:hAnsi="宋体"/>
                <w:color w:val="auto"/>
                <w:sz w:val="24"/>
                <w:highlight w:val="none"/>
              </w:rPr>
            </w:pPr>
          </w:p>
        </w:tc>
      </w:tr>
      <w:tr w14:paraId="7580B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14:paraId="5A227B04">
            <w:pPr>
              <w:pStyle w:val="170"/>
              <w:rPr>
                <w:rFonts w:hint="eastAsia" w:ascii="宋体" w:hAnsi="宋体" w:eastAsia="宋体"/>
                <w:color w:val="auto"/>
                <w:highlight w:val="none"/>
              </w:rPr>
            </w:pPr>
            <w:r>
              <w:rPr>
                <w:rFonts w:hint="eastAsia" w:ascii="宋体" w:hAnsi="宋体" w:eastAsia="宋体"/>
                <w:color w:val="auto"/>
                <w:highlight w:val="none"/>
              </w:rPr>
              <w:t>8</w:t>
            </w:r>
          </w:p>
        </w:tc>
        <w:tc>
          <w:tcPr>
            <w:tcW w:w="3318" w:type="dxa"/>
            <w:tcBorders>
              <w:top w:val="single" w:color="auto" w:sz="4" w:space="0"/>
              <w:left w:val="single" w:color="auto" w:sz="4" w:space="0"/>
              <w:right w:val="single" w:color="auto" w:sz="4" w:space="0"/>
            </w:tcBorders>
            <w:noWrap w:val="0"/>
            <w:vAlign w:val="center"/>
          </w:tcPr>
          <w:p w14:paraId="57F9B91D">
            <w:pPr>
              <w:snapToGrid w:val="0"/>
              <w:spacing w:before="100" w:beforeAutospacing="1" w:after="100" w:afterAutospacing="1" w:line="500" w:lineRule="exact"/>
              <w:rPr>
                <w:rFonts w:hint="eastAsia" w:ascii="宋体" w:hAnsi="宋体" w:cs="宋体"/>
                <w:color w:val="auto"/>
                <w:kern w:val="0"/>
                <w:sz w:val="24"/>
                <w:highlight w:val="none"/>
              </w:rPr>
            </w:pPr>
          </w:p>
        </w:tc>
        <w:tc>
          <w:tcPr>
            <w:tcW w:w="4049" w:type="dxa"/>
            <w:tcBorders>
              <w:top w:val="single" w:color="auto" w:sz="4" w:space="0"/>
              <w:left w:val="single" w:color="auto" w:sz="4" w:space="0"/>
              <w:right w:val="single" w:color="auto" w:sz="4" w:space="0"/>
            </w:tcBorders>
            <w:noWrap w:val="0"/>
            <w:vAlign w:val="center"/>
          </w:tcPr>
          <w:p w14:paraId="1F4A6F5E">
            <w:pPr>
              <w:snapToGrid w:val="0"/>
              <w:spacing w:before="100" w:beforeAutospacing="1" w:after="100" w:afterAutospacing="1" w:line="500" w:lineRule="exact"/>
              <w:rPr>
                <w:rFonts w:hint="eastAsia" w:ascii="宋体" w:hAnsi="宋体"/>
                <w:color w:val="auto"/>
                <w:sz w:val="24"/>
                <w:highlight w:val="none"/>
              </w:rPr>
            </w:pPr>
          </w:p>
        </w:tc>
      </w:tr>
      <w:tr w14:paraId="51B99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8" w:type="dxa"/>
            <w:gridSpan w:val="3"/>
            <w:tcBorders>
              <w:top w:val="single" w:color="auto" w:sz="4" w:space="0"/>
              <w:left w:val="single" w:color="auto" w:sz="4" w:space="0"/>
              <w:right w:val="single" w:color="auto" w:sz="4" w:space="0"/>
            </w:tcBorders>
            <w:noWrap w:val="0"/>
            <w:vAlign w:val="center"/>
          </w:tcPr>
          <w:p w14:paraId="67D34D8D">
            <w:pPr>
              <w:tabs>
                <w:tab w:val="left" w:pos="1418"/>
              </w:tabs>
              <w:snapToGrid w:val="0"/>
              <w:spacing w:before="50" w:after="50" w:line="460" w:lineRule="exact"/>
              <w:rPr>
                <w:rFonts w:hint="eastAsia" w:ascii="宋体" w:hAnsi="宋体"/>
                <w:color w:val="auto"/>
                <w:spacing w:val="20"/>
                <w:sz w:val="24"/>
                <w:highlight w:val="none"/>
              </w:rPr>
            </w:pPr>
            <w:r>
              <w:rPr>
                <w:rFonts w:hint="eastAsia" w:ascii="宋体" w:hAnsi="宋体"/>
                <w:color w:val="auto"/>
                <w:spacing w:val="20"/>
                <w:sz w:val="24"/>
                <w:highlight w:val="none"/>
              </w:rPr>
              <w:t>投标总报价：（</w:t>
            </w:r>
            <w:r>
              <w:rPr>
                <w:rFonts w:hint="eastAsia" w:ascii="宋体" w:hAnsi="宋体"/>
                <w:color w:val="auto"/>
                <w:sz w:val="24"/>
                <w:highlight w:val="none"/>
              </w:rPr>
              <w:t xml:space="preserve">大写）         元/年            </w:t>
            </w:r>
            <w:r>
              <w:rPr>
                <w:rFonts w:ascii="Arial" w:hAnsi="Arial" w:cs="Arial"/>
                <w:color w:val="auto"/>
                <w:sz w:val="24"/>
                <w:highlight w:val="none"/>
              </w:rPr>
              <w:t>¥</w:t>
            </w:r>
            <w:r>
              <w:rPr>
                <w:rFonts w:hint="eastAsia" w:ascii="Arial" w:hAnsi="Arial" w:cs="Arial"/>
                <w:color w:val="auto"/>
                <w:sz w:val="24"/>
                <w:highlight w:val="none"/>
              </w:rPr>
              <w:t xml:space="preserve">：        </w:t>
            </w:r>
            <w:r>
              <w:rPr>
                <w:rFonts w:hint="eastAsia" w:ascii="宋体" w:hAnsi="宋体"/>
                <w:color w:val="auto"/>
                <w:sz w:val="24"/>
                <w:highlight w:val="none"/>
              </w:rPr>
              <w:t>元/年</w:t>
            </w:r>
          </w:p>
        </w:tc>
      </w:tr>
    </w:tbl>
    <w:p w14:paraId="1F57F8D2">
      <w:pPr>
        <w:spacing w:line="360" w:lineRule="auto"/>
        <w:ind w:left="479" w:leftChars="114" w:hanging="240" w:hangingChars="100"/>
        <w:rPr>
          <w:rFonts w:hint="eastAsia" w:ascii="宋体" w:hAnsi="宋体" w:cs="宋体"/>
          <w:color w:val="auto"/>
          <w:sz w:val="24"/>
          <w:highlight w:val="none"/>
        </w:rPr>
      </w:pPr>
      <w:r>
        <w:rPr>
          <w:rFonts w:hint="eastAsia" w:ascii="宋体" w:hAnsi="宋体" w:cs="宋体"/>
          <w:color w:val="auto"/>
          <w:sz w:val="24"/>
          <w:highlight w:val="none"/>
        </w:rPr>
        <w:t>注：</w:t>
      </w:r>
    </w:p>
    <w:p w14:paraId="466F5C75">
      <w:pPr>
        <w:spacing w:line="360" w:lineRule="auto"/>
        <w:ind w:left="478" w:leftChars="228" w:firstLine="0" w:firstLineChars="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报价必须填写，否则其投标作无效标处理。</w:t>
      </w:r>
    </w:p>
    <w:p w14:paraId="274F7848">
      <w:pPr>
        <w:numPr>
          <w:ilvl w:val="0"/>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投标报价一经涂改，应在涂改处加盖单位公章或者由法定代表人或授权委托人签字或盖章，否则其投标作无效标处理</w:t>
      </w:r>
      <w:r>
        <w:rPr>
          <w:rFonts w:hint="eastAsia" w:ascii="宋体" w:hAnsi="宋体" w:cs="宋体"/>
          <w:bCs/>
          <w:color w:val="auto"/>
          <w:sz w:val="24"/>
          <w:highlight w:val="none"/>
        </w:rPr>
        <w:t>。</w:t>
      </w:r>
    </w:p>
    <w:p w14:paraId="6C0A0439">
      <w:pPr>
        <w:pStyle w:val="244"/>
        <w:spacing w:line="360" w:lineRule="auto"/>
        <w:ind w:firstLine="513" w:firstLineChars="214"/>
        <w:rPr>
          <w:rFonts w:ascii="宋体" w:hAnsi="宋体"/>
          <w:color w:val="auto"/>
          <w:sz w:val="24"/>
          <w:highlight w:val="none"/>
        </w:rPr>
      </w:pPr>
      <w:r>
        <w:rPr>
          <w:rFonts w:hint="eastAsia" w:hAnsi="宋体" w:eastAsia="宋体" w:cs="宋体"/>
          <w:color w:val="auto"/>
          <w:sz w:val="24"/>
          <w:szCs w:val="24"/>
          <w:highlight w:val="none"/>
          <w:lang w:val="en-US" w:eastAsia="zh-CN"/>
        </w:rPr>
        <w:t>3、</w:t>
      </w:r>
      <w:r>
        <w:rPr>
          <w:rFonts w:hAnsi="宋体" w:eastAsia="宋体" w:cs="宋体"/>
          <w:color w:val="auto"/>
          <w:sz w:val="24"/>
          <w:szCs w:val="24"/>
          <w:highlight w:val="none"/>
        </w:rPr>
        <w:t>投标报价包括招标文件表格中相应的人员服务外还包括食材采购等全部费用。投标人所投报的投标报价为投标人所能承受的整个项目的最终最低报价，如有漏项，视同已包含在其它项目中，合同总价不作调整。按国家规定由中标人缴纳的各种税收已包含在投标总价内，由中标人向税务机关缴纳。</w:t>
      </w:r>
    </w:p>
    <w:p w14:paraId="104617AD">
      <w:pPr>
        <w:numPr>
          <w:ilvl w:val="0"/>
          <w:numId w:val="0"/>
        </w:num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投标人的</w:t>
      </w:r>
      <w:r>
        <w:rPr>
          <w:rFonts w:hint="eastAsia" w:ascii="宋体" w:hAnsi="宋体"/>
          <w:color w:val="auto"/>
          <w:sz w:val="24"/>
          <w:highlight w:val="none"/>
          <w:lang w:val="en-US" w:eastAsia="zh-CN"/>
        </w:rPr>
        <w:t>总</w:t>
      </w:r>
      <w:r>
        <w:rPr>
          <w:rFonts w:hint="eastAsia" w:ascii="宋体" w:hAnsi="宋体"/>
          <w:color w:val="auto"/>
          <w:sz w:val="24"/>
          <w:highlight w:val="none"/>
        </w:rPr>
        <w:t>报价超过最高限价</w:t>
      </w:r>
      <w:r>
        <w:rPr>
          <w:rFonts w:hint="eastAsia" w:ascii="宋体" w:hAnsi="宋体"/>
          <w:color w:val="auto"/>
          <w:sz w:val="24"/>
          <w:highlight w:val="none"/>
          <w:lang w:val="en-US" w:eastAsia="zh-CN"/>
        </w:rPr>
        <w:t>按无效标</w:t>
      </w:r>
      <w:r>
        <w:rPr>
          <w:rFonts w:hint="eastAsia" w:ascii="宋体" w:hAnsi="宋体"/>
          <w:color w:val="auto"/>
          <w:sz w:val="24"/>
          <w:highlight w:val="none"/>
        </w:rPr>
        <w:t>处理</w:t>
      </w:r>
      <w:r>
        <w:rPr>
          <w:rFonts w:hint="eastAsia" w:ascii="宋体" w:hAnsi="宋体" w:cs="宋体"/>
          <w:color w:val="auto"/>
          <w:sz w:val="24"/>
          <w:highlight w:val="none"/>
        </w:rPr>
        <w:t>。</w:t>
      </w:r>
    </w:p>
    <w:p w14:paraId="18DCA5DA">
      <w:pPr>
        <w:pStyle w:val="43"/>
        <w:ind w:firstLine="464"/>
        <w:rPr>
          <w:rFonts w:hAnsi="宋体" w:cs="宋体"/>
          <w:color w:val="auto"/>
          <w:sz w:val="24"/>
          <w:highlight w:val="none"/>
        </w:rPr>
      </w:pPr>
    </w:p>
    <w:p w14:paraId="01B6BA29">
      <w:pPr>
        <w:pStyle w:val="14"/>
        <w:ind w:firstLine="560"/>
        <w:rPr>
          <w:color w:val="auto"/>
          <w:highlight w:val="none"/>
        </w:rPr>
      </w:pPr>
    </w:p>
    <w:p w14:paraId="3DA6BA19">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0411C9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14:paraId="465CF5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59DD1D">
      <w:pPr>
        <w:pStyle w:val="43"/>
        <w:ind w:firstLine="464"/>
        <w:rPr>
          <w:rFonts w:hAnsi="宋体" w:cs="宋体"/>
          <w:color w:val="auto"/>
          <w:sz w:val="24"/>
          <w:highlight w:val="none"/>
        </w:rPr>
      </w:pPr>
    </w:p>
    <w:p w14:paraId="5367154E">
      <w:pPr>
        <w:pStyle w:val="43"/>
        <w:ind w:firstLine="0" w:firstLineChars="0"/>
        <w:rPr>
          <w:rFonts w:hAnsi="宋体" w:cs="宋体"/>
          <w:color w:val="auto"/>
          <w:sz w:val="24"/>
          <w:highlight w:val="none"/>
        </w:rPr>
      </w:pPr>
    </w:p>
    <w:p w14:paraId="65D17F0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标项2</w:t>
      </w:r>
      <w:r>
        <w:rPr>
          <w:rFonts w:hint="eastAsia" w:ascii="宋体" w:hAnsi="宋体" w:cs="宋体"/>
          <w:b/>
          <w:color w:val="auto"/>
          <w:sz w:val="36"/>
          <w:szCs w:val="36"/>
          <w:highlight w:val="none"/>
        </w:rPr>
        <w:t>开标一览表</w:t>
      </w:r>
    </w:p>
    <w:p w14:paraId="270224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136F6EA1">
      <w:pPr>
        <w:pStyle w:val="43"/>
        <w:spacing w:line="360" w:lineRule="auto"/>
        <w:ind w:left="0" w:leftChars="0" w:firstLine="0" w:firstLineChars="0"/>
        <w:rPr>
          <w:rFonts w:hint="eastAsia" w:hAnsi="宋体" w:eastAsia="宋体" w:cs="宋体"/>
          <w:color w:val="auto"/>
          <w:sz w:val="24"/>
          <w:highlight w:val="none"/>
          <w:lang w:val="en-US" w:eastAsia="zh-CN"/>
        </w:rPr>
      </w:pPr>
      <w:r>
        <w:rPr>
          <w:rFonts w:hint="eastAsia" w:ascii="宋体" w:hAnsi="宋体" w:cs="宋体"/>
          <w:color w:val="auto"/>
          <w:sz w:val="24"/>
          <w:highlight w:val="none"/>
        </w:rPr>
        <w:t xml:space="preserve">投标人名称：                                         </w:t>
      </w:r>
      <w:r>
        <w:rPr>
          <w:rFonts w:hint="eastAsia" w:ascii="宋体" w:hAnsi="宋体"/>
          <w:color w:val="auto"/>
          <w:sz w:val="24"/>
          <w:highlight w:val="none"/>
        </w:rPr>
        <w:t>单位：</w:t>
      </w:r>
      <w:r>
        <w:rPr>
          <w:rFonts w:hint="eastAsia" w:hAnsi="宋体"/>
          <w:color w:val="auto"/>
          <w:sz w:val="24"/>
          <w:highlight w:val="none"/>
          <w:lang w:val="en-US" w:eastAsia="zh-CN"/>
        </w:rPr>
        <w:t>%</w:t>
      </w:r>
    </w:p>
    <w:tbl>
      <w:tblPr>
        <w:tblStyle w:val="45"/>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4"/>
        <w:gridCol w:w="2182"/>
        <w:gridCol w:w="1870"/>
        <w:gridCol w:w="1994"/>
        <w:gridCol w:w="1622"/>
        <w:gridCol w:w="1366"/>
      </w:tblGrid>
      <w:tr w14:paraId="195EC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89AE7B2">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序号</w:t>
            </w:r>
          </w:p>
        </w:tc>
        <w:tc>
          <w:tcPr>
            <w:tcW w:w="1107" w:type="pct"/>
            <w:tcBorders>
              <w:top w:val="single" w:color="auto" w:sz="4" w:space="0"/>
              <w:left w:val="single" w:color="auto" w:sz="4" w:space="0"/>
              <w:bottom w:val="single" w:color="auto" w:sz="4" w:space="0"/>
              <w:right w:val="single" w:color="auto" w:sz="4" w:space="0"/>
            </w:tcBorders>
            <w:noWrap w:val="0"/>
            <w:vAlign w:val="center"/>
          </w:tcPr>
          <w:p w14:paraId="42F5A61E">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项目名称</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5B2E477B">
            <w:pPr>
              <w:snapToGrid w:val="0"/>
              <w:spacing w:before="50" w:after="50"/>
              <w:jc w:val="center"/>
              <w:rPr>
                <w:rFonts w:hint="eastAsia" w:ascii="宋体" w:hAnsi="宋体" w:eastAsia="宋体"/>
                <w:b/>
                <w:color w:val="auto"/>
                <w:szCs w:val="30"/>
                <w:highlight w:val="none"/>
                <w:lang w:eastAsia="zh-CN"/>
              </w:rPr>
            </w:pPr>
            <w:r>
              <w:rPr>
                <w:rFonts w:hint="eastAsia" w:ascii="宋体" w:hAnsi="宋体"/>
                <w:b/>
                <w:color w:val="auto"/>
                <w:szCs w:val="30"/>
                <w:highlight w:val="none"/>
                <w:lang w:eastAsia="zh-CN"/>
              </w:rPr>
              <w:t>品种</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77D2E698">
            <w:pPr>
              <w:snapToGrid w:val="0"/>
              <w:spacing w:before="50" w:after="50"/>
              <w:jc w:val="center"/>
              <w:rPr>
                <w:rFonts w:hint="eastAsia" w:ascii="宋体" w:hAnsi="宋体" w:eastAsia="宋体"/>
                <w:b/>
                <w:bCs/>
                <w:color w:val="auto"/>
                <w:kern w:val="2"/>
                <w:sz w:val="21"/>
                <w:szCs w:val="30"/>
                <w:highlight w:val="none"/>
                <w:lang w:val="en-US" w:eastAsia="zh-CN" w:bidi="ar-SA"/>
              </w:rPr>
            </w:pPr>
            <w:r>
              <w:rPr>
                <w:rFonts w:hint="eastAsia" w:ascii="宋体" w:hAnsi="宋体"/>
                <w:b/>
                <w:color w:val="auto"/>
                <w:szCs w:val="30"/>
                <w:highlight w:val="none"/>
                <w:lang w:eastAsia="zh-CN"/>
              </w:rPr>
              <w:t>最高限价（投标折扣）</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34B46384">
            <w:pPr>
              <w:snapToGrid w:val="0"/>
              <w:spacing w:before="50" w:after="50"/>
              <w:jc w:val="center"/>
              <w:rPr>
                <w:rFonts w:hint="eastAsia" w:ascii="宋体" w:hAnsi="宋体" w:eastAsia="宋体"/>
                <w:b/>
                <w:bCs/>
                <w:color w:val="auto"/>
                <w:kern w:val="2"/>
                <w:sz w:val="21"/>
                <w:szCs w:val="30"/>
                <w:highlight w:val="none"/>
                <w:lang w:val="en-US" w:eastAsia="zh-CN" w:bidi="ar-SA"/>
              </w:rPr>
            </w:pPr>
            <w:r>
              <w:rPr>
                <w:rFonts w:hint="eastAsia" w:ascii="宋体" w:hAnsi="宋体" w:cs="宋体"/>
                <w:b/>
                <w:bCs/>
                <w:color w:val="auto"/>
                <w:sz w:val="22"/>
                <w:szCs w:val="22"/>
                <w:highlight w:val="none"/>
                <w:lang w:eastAsia="zh-CN"/>
              </w:rPr>
              <w:t>投标折扣</w:t>
            </w:r>
            <w:r>
              <w:rPr>
                <w:rFonts w:hint="eastAsia" w:ascii="宋体" w:hAnsi="宋体" w:cs="宋体"/>
                <w:b/>
                <w:bCs/>
                <w:color w:val="auto"/>
                <w:sz w:val="22"/>
                <w:szCs w:val="22"/>
                <w:highlight w:val="none"/>
              </w:rPr>
              <w:t>（%）</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1142EB7A">
            <w:pPr>
              <w:snapToGrid w:val="0"/>
              <w:spacing w:before="50" w:after="50"/>
              <w:jc w:val="center"/>
              <w:rPr>
                <w:rFonts w:hint="eastAsia" w:ascii="宋体" w:hAnsi="宋体" w:eastAsia="宋体"/>
                <w:b/>
                <w:bCs/>
                <w:color w:val="auto"/>
                <w:kern w:val="2"/>
                <w:sz w:val="21"/>
                <w:szCs w:val="30"/>
                <w:highlight w:val="none"/>
                <w:lang w:val="en-US" w:eastAsia="zh-CN" w:bidi="ar-SA"/>
              </w:rPr>
            </w:pPr>
            <w:r>
              <w:rPr>
                <w:rFonts w:hint="eastAsia" w:ascii="宋体" w:hAnsi="宋体"/>
                <w:b/>
                <w:bCs/>
                <w:color w:val="auto"/>
                <w:szCs w:val="30"/>
                <w:highlight w:val="none"/>
                <w:lang w:eastAsia="zh-CN"/>
              </w:rPr>
              <w:t>备注</w:t>
            </w:r>
          </w:p>
        </w:tc>
      </w:tr>
      <w:tr w14:paraId="1DC2C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5D5B6C3">
            <w:pPr>
              <w:snapToGrid w:val="0"/>
              <w:spacing w:before="50" w:after="50"/>
              <w:jc w:val="center"/>
              <w:rPr>
                <w:rFonts w:hint="eastAsia" w:ascii="宋体" w:hAnsi="宋体"/>
                <w:b/>
                <w:color w:val="auto"/>
                <w:szCs w:val="30"/>
                <w:highlight w:val="none"/>
              </w:rPr>
            </w:pPr>
            <w:r>
              <w:rPr>
                <w:rFonts w:hint="eastAsia" w:ascii="宋体" w:hAnsi="宋体"/>
                <w:b/>
                <w:color w:val="auto"/>
                <w:szCs w:val="30"/>
                <w:highlight w:val="none"/>
              </w:rPr>
              <w:t>1</w:t>
            </w:r>
          </w:p>
        </w:tc>
        <w:tc>
          <w:tcPr>
            <w:tcW w:w="1107" w:type="pct"/>
            <w:vMerge w:val="restart"/>
            <w:tcBorders>
              <w:top w:val="single" w:color="auto" w:sz="4" w:space="0"/>
              <w:left w:val="single" w:color="auto" w:sz="4" w:space="0"/>
              <w:right w:val="single" w:color="auto" w:sz="4" w:space="0"/>
            </w:tcBorders>
            <w:noWrap w:val="0"/>
            <w:vAlign w:val="center"/>
          </w:tcPr>
          <w:p w14:paraId="138403D9">
            <w:pPr>
              <w:snapToGrid w:val="0"/>
              <w:spacing w:before="50" w:after="50"/>
              <w:jc w:val="both"/>
              <w:rPr>
                <w:rFonts w:hint="eastAsia" w:ascii="宋体" w:hAnsi="宋体" w:eastAsia="宋体"/>
                <w:b/>
                <w:color w:val="auto"/>
                <w:szCs w:val="30"/>
                <w:highlight w:val="none"/>
                <w:lang w:eastAsia="zh-CN"/>
              </w:rPr>
            </w:pPr>
            <w:r>
              <w:rPr>
                <w:rFonts w:hint="eastAsia" w:ascii="宋体" w:hAnsi="宋体" w:eastAsia="宋体"/>
                <w:b w:val="0"/>
                <w:bCs/>
                <w:color w:val="auto"/>
                <w:szCs w:val="30"/>
                <w:highlight w:val="none"/>
                <w:lang w:eastAsia="zh-CN"/>
              </w:rPr>
              <w:t>东阳市南市街道办事处食堂物资配送服务项目</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068E0FED">
            <w:pPr>
              <w:snapToGrid w:val="0"/>
              <w:spacing w:before="50" w:after="50"/>
              <w:jc w:val="center"/>
              <w:rPr>
                <w:rFonts w:hint="eastAsia" w:ascii="宋体" w:hAnsi="宋体" w:eastAsia="宋体"/>
                <w:b w:val="0"/>
                <w:bCs/>
                <w:color w:val="auto"/>
                <w:szCs w:val="30"/>
                <w:highlight w:val="none"/>
                <w:lang w:eastAsia="zh-CN"/>
              </w:rPr>
            </w:pPr>
            <w:r>
              <w:rPr>
                <w:rFonts w:hint="eastAsia" w:ascii="宋体" w:hAnsi="宋体"/>
                <w:b w:val="0"/>
                <w:bCs/>
                <w:color w:val="auto"/>
                <w:szCs w:val="30"/>
                <w:highlight w:val="none"/>
                <w:lang w:eastAsia="zh-CN"/>
              </w:rPr>
              <w:t>蔬菜及其他类</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1F0C15CB">
            <w:pPr>
              <w:snapToGrid w:val="0"/>
              <w:spacing w:before="50" w:after="50"/>
              <w:jc w:val="center"/>
              <w:rPr>
                <w:rFonts w:hint="default" w:ascii="宋体" w:hAnsi="宋体" w:eastAsia="宋体"/>
                <w:b w:val="0"/>
                <w:bCs/>
                <w:color w:val="auto"/>
                <w:kern w:val="2"/>
                <w:sz w:val="21"/>
                <w:szCs w:val="30"/>
                <w:highlight w:val="none"/>
                <w:lang w:val="en-US" w:eastAsia="zh-CN" w:bidi="ar-SA"/>
              </w:rPr>
            </w:pPr>
            <w:r>
              <w:rPr>
                <w:rFonts w:hint="eastAsia" w:ascii="宋体" w:hAnsi="宋体" w:eastAsia="宋体"/>
                <w:b w:val="0"/>
                <w:bCs/>
                <w:color w:val="auto"/>
                <w:kern w:val="2"/>
                <w:sz w:val="21"/>
                <w:szCs w:val="30"/>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593B981C">
            <w:pPr>
              <w:snapToGrid w:val="0"/>
              <w:spacing w:before="50" w:after="50"/>
              <w:jc w:val="center"/>
              <w:rPr>
                <w:rFonts w:hint="eastAsia" w:ascii="宋体" w:hAnsi="宋体"/>
                <w:b w:val="0"/>
                <w:bCs/>
                <w:color w:val="auto"/>
                <w:kern w:val="2"/>
                <w:sz w:val="21"/>
                <w:szCs w:val="30"/>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390B4776">
            <w:pPr>
              <w:snapToGrid w:val="0"/>
              <w:spacing w:before="50" w:after="50"/>
              <w:jc w:val="center"/>
              <w:rPr>
                <w:rFonts w:hint="eastAsia" w:ascii="宋体" w:hAnsi="宋体"/>
                <w:b w:val="0"/>
                <w:bCs/>
                <w:color w:val="auto"/>
                <w:kern w:val="2"/>
                <w:sz w:val="21"/>
                <w:szCs w:val="30"/>
                <w:highlight w:val="none"/>
                <w:lang w:val="en-US" w:eastAsia="zh-CN" w:bidi="ar-SA"/>
              </w:rPr>
            </w:pPr>
          </w:p>
        </w:tc>
      </w:tr>
      <w:tr w14:paraId="19033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8B7B19D">
            <w:pPr>
              <w:snapToGrid w:val="0"/>
              <w:spacing w:before="50" w:after="50"/>
              <w:jc w:val="center"/>
              <w:rPr>
                <w:rFonts w:hint="eastAsia" w:ascii="宋体" w:hAnsi="宋体" w:eastAsia="宋体"/>
                <w:b/>
                <w:color w:val="auto"/>
                <w:szCs w:val="30"/>
                <w:highlight w:val="none"/>
                <w:lang w:val="en-US" w:eastAsia="zh-CN"/>
              </w:rPr>
            </w:pPr>
            <w:r>
              <w:rPr>
                <w:rFonts w:hint="eastAsia" w:ascii="宋体" w:hAnsi="宋体"/>
                <w:b/>
                <w:color w:val="auto"/>
                <w:szCs w:val="30"/>
                <w:highlight w:val="none"/>
                <w:lang w:val="en-US" w:eastAsia="zh-CN"/>
              </w:rPr>
              <w:t>2</w:t>
            </w:r>
          </w:p>
        </w:tc>
        <w:tc>
          <w:tcPr>
            <w:tcW w:w="1107" w:type="pct"/>
            <w:vMerge w:val="continue"/>
            <w:tcBorders>
              <w:left w:val="single" w:color="auto" w:sz="4" w:space="0"/>
              <w:right w:val="single" w:color="auto" w:sz="4" w:space="0"/>
            </w:tcBorders>
            <w:noWrap w:val="0"/>
            <w:vAlign w:val="center"/>
          </w:tcPr>
          <w:p w14:paraId="4C67E0AB">
            <w:pPr>
              <w:snapToGrid w:val="0"/>
              <w:spacing w:before="50" w:after="50"/>
              <w:jc w:val="both"/>
              <w:rPr>
                <w:rFonts w:hint="eastAsia" w:ascii="宋体" w:hAnsi="宋体" w:cs="宋体"/>
                <w:color w:val="auto"/>
                <w:sz w:val="21"/>
                <w:szCs w:val="21"/>
                <w:highlight w:val="none"/>
                <w:lang w:eastAsia="zh-CN"/>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723926B0">
            <w:pPr>
              <w:snapToGrid w:val="0"/>
              <w:spacing w:before="50" w:after="50"/>
              <w:jc w:val="center"/>
              <w:rPr>
                <w:rFonts w:hint="eastAsia" w:ascii="宋体" w:hAnsi="宋体"/>
                <w:b w:val="0"/>
                <w:bCs/>
                <w:color w:val="auto"/>
                <w:szCs w:val="30"/>
                <w:highlight w:val="none"/>
                <w:lang w:val="en-US" w:eastAsia="zh-CN"/>
              </w:rPr>
            </w:pPr>
            <w:r>
              <w:rPr>
                <w:rFonts w:hint="eastAsia" w:ascii="宋体" w:hAnsi="宋体"/>
                <w:b w:val="0"/>
                <w:bCs/>
                <w:color w:val="auto"/>
                <w:szCs w:val="30"/>
                <w:highlight w:val="none"/>
                <w:lang w:val="en-US" w:eastAsia="zh-CN"/>
              </w:rPr>
              <w:t>冷冻类</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7851D8CC">
            <w:pPr>
              <w:snapToGrid w:val="0"/>
              <w:spacing w:before="50" w:after="50"/>
              <w:jc w:val="center"/>
              <w:rPr>
                <w:rFonts w:hint="eastAsia" w:ascii="宋体" w:hAnsi="宋体"/>
                <w:b w:val="0"/>
                <w:bCs/>
                <w:color w:val="auto"/>
                <w:kern w:val="2"/>
                <w:sz w:val="21"/>
                <w:szCs w:val="30"/>
                <w:highlight w:val="none"/>
                <w:lang w:val="en-US" w:eastAsia="zh-CN" w:bidi="ar-SA"/>
              </w:rPr>
            </w:pPr>
            <w:r>
              <w:rPr>
                <w:rFonts w:hint="eastAsia" w:ascii="宋体" w:hAnsi="宋体" w:eastAsia="宋体"/>
                <w:b w:val="0"/>
                <w:bCs/>
                <w:color w:val="auto"/>
                <w:kern w:val="2"/>
                <w:sz w:val="21"/>
                <w:szCs w:val="30"/>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01E78DD9">
            <w:pPr>
              <w:snapToGrid w:val="0"/>
              <w:spacing w:before="50" w:after="50"/>
              <w:jc w:val="center"/>
              <w:rPr>
                <w:rFonts w:hint="eastAsia" w:ascii="宋体" w:hAnsi="宋体"/>
                <w:b w:val="0"/>
                <w:bCs/>
                <w:color w:val="auto"/>
                <w:kern w:val="2"/>
                <w:sz w:val="21"/>
                <w:szCs w:val="30"/>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1EA44FE6">
            <w:pPr>
              <w:snapToGrid w:val="0"/>
              <w:spacing w:before="50" w:after="50"/>
              <w:jc w:val="center"/>
              <w:rPr>
                <w:rFonts w:hint="eastAsia" w:ascii="宋体" w:hAnsi="宋体"/>
                <w:b w:val="0"/>
                <w:bCs/>
                <w:color w:val="auto"/>
                <w:kern w:val="2"/>
                <w:sz w:val="21"/>
                <w:szCs w:val="30"/>
                <w:highlight w:val="none"/>
                <w:lang w:val="en-US" w:eastAsia="zh-CN" w:bidi="ar-SA"/>
              </w:rPr>
            </w:pPr>
          </w:p>
        </w:tc>
      </w:tr>
      <w:tr w14:paraId="0829C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B8CD042">
            <w:pPr>
              <w:snapToGrid w:val="0"/>
              <w:spacing w:before="50" w:after="50"/>
              <w:jc w:val="center"/>
              <w:rPr>
                <w:rFonts w:hint="eastAsia" w:ascii="宋体" w:hAnsi="宋体" w:eastAsia="宋体"/>
                <w:b/>
                <w:color w:val="auto"/>
                <w:szCs w:val="30"/>
                <w:highlight w:val="none"/>
                <w:lang w:val="en-US" w:eastAsia="zh-CN"/>
              </w:rPr>
            </w:pPr>
            <w:r>
              <w:rPr>
                <w:rFonts w:hint="eastAsia" w:ascii="宋体" w:hAnsi="宋体"/>
                <w:b/>
                <w:color w:val="auto"/>
                <w:szCs w:val="30"/>
                <w:highlight w:val="none"/>
                <w:lang w:val="en-US" w:eastAsia="zh-CN"/>
              </w:rPr>
              <w:t>3</w:t>
            </w:r>
          </w:p>
        </w:tc>
        <w:tc>
          <w:tcPr>
            <w:tcW w:w="1107" w:type="pct"/>
            <w:vMerge w:val="continue"/>
            <w:tcBorders>
              <w:left w:val="single" w:color="auto" w:sz="4" w:space="0"/>
              <w:right w:val="single" w:color="auto" w:sz="4" w:space="0"/>
            </w:tcBorders>
            <w:noWrap w:val="0"/>
            <w:vAlign w:val="center"/>
          </w:tcPr>
          <w:p w14:paraId="544B5B27">
            <w:pPr>
              <w:snapToGrid w:val="0"/>
              <w:spacing w:before="50" w:after="50"/>
              <w:jc w:val="both"/>
              <w:rPr>
                <w:rFonts w:hint="eastAsia" w:ascii="宋体" w:hAnsi="宋体" w:cs="宋体"/>
                <w:color w:val="auto"/>
                <w:sz w:val="21"/>
                <w:szCs w:val="21"/>
                <w:highlight w:val="none"/>
                <w:lang w:eastAsia="zh-CN"/>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49B05ED9">
            <w:pPr>
              <w:snapToGrid w:val="0"/>
              <w:spacing w:before="50" w:after="50"/>
              <w:jc w:val="center"/>
              <w:rPr>
                <w:rFonts w:hint="eastAsia" w:ascii="宋体" w:hAnsi="宋体"/>
                <w:b w:val="0"/>
                <w:bCs/>
                <w:color w:val="auto"/>
                <w:szCs w:val="30"/>
                <w:highlight w:val="none"/>
                <w:lang w:val="en-US" w:eastAsia="zh-CN"/>
              </w:rPr>
            </w:pPr>
            <w:r>
              <w:rPr>
                <w:rFonts w:hint="eastAsia" w:ascii="宋体" w:hAnsi="宋体"/>
                <w:b w:val="0"/>
                <w:bCs/>
                <w:color w:val="auto"/>
                <w:szCs w:val="30"/>
                <w:highlight w:val="none"/>
                <w:lang w:val="en-US" w:eastAsia="zh-CN"/>
              </w:rPr>
              <w:t>粮油类</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346EAE68">
            <w:pPr>
              <w:snapToGrid w:val="0"/>
              <w:spacing w:before="50" w:after="50"/>
              <w:jc w:val="center"/>
              <w:rPr>
                <w:rFonts w:hint="eastAsia" w:ascii="宋体" w:hAnsi="宋体"/>
                <w:b w:val="0"/>
                <w:bCs/>
                <w:color w:val="auto"/>
                <w:kern w:val="2"/>
                <w:sz w:val="21"/>
                <w:szCs w:val="30"/>
                <w:highlight w:val="none"/>
                <w:lang w:val="en-US" w:eastAsia="zh-CN" w:bidi="ar-SA"/>
              </w:rPr>
            </w:pPr>
            <w:r>
              <w:rPr>
                <w:rFonts w:hint="eastAsia" w:ascii="宋体" w:hAnsi="宋体" w:eastAsia="宋体"/>
                <w:b w:val="0"/>
                <w:bCs/>
                <w:color w:val="auto"/>
                <w:kern w:val="2"/>
                <w:sz w:val="21"/>
                <w:szCs w:val="30"/>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736F0240">
            <w:pPr>
              <w:snapToGrid w:val="0"/>
              <w:spacing w:before="50" w:after="50"/>
              <w:jc w:val="center"/>
              <w:rPr>
                <w:rFonts w:hint="eastAsia" w:ascii="宋体" w:hAnsi="宋体"/>
                <w:b w:val="0"/>
                <w:bCs/>
                <w:color w:val="auto"/>
                <w:kern w:val="2"/>
                <w:sz w:val="21"/>
                <w:szCs w:val="30"/>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0A9E66D4">
            <w:pPr>
              <w:snapToGrid w:val="0"/>
              <w:spacing w:before="50" w:after="50"/>
              <w:jc w:val="center"/>
              <w:rPr>
                <w:rFonts w:hint="eastAsia" w:ascii="宋体" w:hAnsi="宋体"/>
                <w:b w:val="0"/>
                <w:bCs/>
                <w:color w:val="auto"/>
                <w:kern w:val="2"/>
                <w:sz w:val="21"/>
                <w:szCs w:val="30"/>
                <w:highlight w:val="none"/>
                <w:lang w:val="en-US" w:eastAsia="zh-CN" w:bidi="ar-SA"/>
              </w:rPr>
            </w:pPr>
          </w:p>
        </w:tc>
      </w:tr>
      <w:tr w14:paraId="4405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1D8EAE4">
            <w:pPr>
              <w:snapToGrid w:val="0"/>
              <w:spacing w:before="50" w:after="50"/>
              <w:jc w:val="center"/>
              <w:rPr>
                <w:rFonts w:hint="eastAsia" w:ascii="宋体" w:hAnsi="宋体" w:eastAsia="宋体"/>
                <w:b/>
                <w:color w:val="auto"/>
                <w:szCs w:val="30"/>
                <w:highlight w:val="none"/>
                <w:lang w:val="en-US" w:eastAsia="zh-CN"/>
              </w:rPr>
            </w:pPr>
            <w:r>
              <w:rPr>
                <w:rFonts w:hint="eastAsia" w:ascii="宋体" w:hAnsi="宋体"/>
                <w:b/>
                <w:color w:val="auto"/>
                <w:szCs w:val="30"/>
                <w:highlight w:val="none"/>
                <w:lang w:val="en-US" w:eastAsia="zh-CN"/>
              </w:rPr>
              <w:t>4</w:t>
            </w:r>
          </w:p>
        </w:tc>
        <w:tc>
          <w:tcPr>
            <w:tcW w:w="1107" w:type="pct"/>
            <w:vMerge w:val="continue"/>
            <w:tcBorders>
              <w:left w:val="single" w:color="auto" w:sz="4" w:space="0"/>
              <w:right w:val="single" w:color="auto" w:sz="4" w:space="0"/>
            </w:tcBorders>
            <w:noWrap w:val="0"/>
            <w:vAlign w:val="center"/>
          </w:tcPr>
          <w:p w14:paraId="783778ED">
            <w:pPr>
              <w:snapToGrid w:val="0"/>
              <w:spacing w:before="50" w:after="50"/>
              <w:jc w:val="both"/>
              <w:rPr>
                <w:rFonts w:hint="eastAsia" w:ascii="宋体" w:hAnsi="宋体" w:cs="宋体"/>
                <w:color w:val="auto"/>
                <w:sz w:val="21"/>
                <w:szCs w:val="21"/>
                <w:highlight w:val="none"/>
                <w:lang w:eastAsia="zh-CN"/>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11323749">
            <w:pPr>
              <w:snapToGrid w:val="0"/>
              <w:spacing w:before="50" w:after="50"/>
              <w:jc w:val="center"/>
              <w:rPr>
                <w:rFonts w:hint="eastAsia" w:ascii="宋体" w:hAnsi="宋体"/>
                <w:b w:val="0"/>
                <w:bCs/>
                <w:color w:val="auto"/>
                <w:szCs w:val="30"/>
                <w:highlight w:val="none"/>
                <w:lang w:val="en-US" w:eastAsia="zh-CN"/>
              </w:rPr>
            </w:pPr>
            <w:r>
              <w:rPr>
                <w:rFonts w:hint="eastAsia" w:ascii="宋体" w:hAnsi="宋体"/>
                <w:b w:val="0"/>
                <w:bCs/>
                <w:color w:val="auto"/>
                <w:szCs w:val="30"/>
                <w:highlight w:val="none"/>
                <w:lang w:val="en-US" w:eastAsia="zh-CN"/>
              </w:rPr>
              <w:t>猪肉类</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2C688795">
            <w:pPr>
              <w:snapToGrid w:val="0"/>
              <w:spacing w:before="50" w:after="50"/>
              <w:jc w:val="center"/>
              <w:rPr>
                <w:rFonts w:hint="eastAsia" w:ascii="宋体" w:hAnsi="宋体"/>
                <w:b w:val="0"/>
                <w:bCs/>
                <w:color w:val="auto"/>
                <w:kern w:val="2"/>
                <w:sz w:val="21"/>
                <w:szCs w:val="30"/>
                <w:highlight w:val="none"/>
                <w:lang w:val="en-US" w:eastAsia="zh-CN" w:bidi="ar-SA"/>
              </w:rPr>
            </w:pPr>
            <w:r>
              <w:rPr>
                <w:rFonts w:hint="eastAsia" w:ascii="宋体" w:hAnsi="宋体" w:eastAsia="宋体"/>
                <w:b w:val="0"/>
                <w:bCs/>
                <w:color w:val="auto"/>
                <w:kern w:val="2"/>
                <w:sz w:val="21"/>
                <w:szCs w:val="30"/>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201F3DFD">
            <w:pPr>
              <w:snapToGrid w:val="0"/>
              <w:spacing w:before="50" w:after="50"/>
              <w:jc w:val="center"/>
              <w:rPr>
                <w:rFonts w:hint="eastAsia" w:ascii="宋体" w:hAnsi="宋体"/>
                <w:b w:val="0"/>
                <w:bCs/>
                <w:color w:val="auto"/>
                <w:kern w:val="2"/>
                <w:sz w:val="21"/>
                <w:szCs w:val="30"/>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22DF2F1C">
            <w:pPr>
              <w:snapToGrid w:val="0"/>
              <w:spacing w:before="50" w:after="50"/>
              <w:jc w:val="center"/>
              <w:rPr>
                <w:rFonts w:hint="eastAsia" w:ascii="宋体" w:hAnsi="宋体"/>
                <w:b w:val="0"/>
                <w:bCs/>
                <w:color w:val="auto"/>
                <w:kern w:val="2"/>
                <w:sz w:val="21"/>
                <w:szCs w:val="30"/>
                <w:highlight w:val="none"/>
                <w:lang w:val="en-US" w:eastAsia="zh-CN" w:bidi="ar-SA"/>
              </w:rPr>
            </w:pPr>
          </w:p>
        </w:tc>
      </w:tr>
      <w:tr w14:paraId="068F8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10C0C7A">
            <w:pPr>
              <w:snapToGrid w:val="0"/>
              <w:spacing w:before="50" w:after="50"/>
              <w:jc w:val="center"/>
              <w:rPr>
                <w:rFonts w:hint="default" w:ascii="宋体" w:hAnsi="宋体"/>
                <w:b/>
                <w:color w:val="auto"/>
                <w:szCs w:val="30"/>
                <w:highlight w:val="none"/>
                <w:lang w:val="en-US" w:eastAsia="zh-CN"/>
              </w:rPr>
            </w:pPr>
            <w:r>
              <w:rPr>
                <w:rFonts w:hint="eastAsia" w:ascii="宋体" w:hAnsi="宋体"/>
                <w:b/>
                <w:color w:val="auto"/>
                <w:szCs w:val="30"/>
                <w:highlight w:val="none"/>
                <w:lang w:val="en-US" w:eastAsia="zh-CN"/>
              </w:rPr>
              <w:t>5</w:t>
            </w:r>
          </w:p>
        </w:tc>
        <w:tc>
          <w:tcPr>
            <w:tcW w:w="1107" w:type="pct"/>
            <w:vMerge w:val="continue"/>
            <w:tcBorders>
              <w:left w:val="single" w:color="auto" w:sz="4" w:space="0"/>
              <w:bottom w:val="single" w:color="auto" w:sz="4" w:space="0"/>
              <w:right w:val="single" w:color="auto" w:sz="4" w:space="0"/>
            </w:tcBorders>
            <w:noWrap w:val="0"/>
            <w:vAlign w:val="center"/>
          </w:tcPr>
          <w:p w14:paraId="73A6E9B9">
            <w:pPr>
              <w:snapToGrid w:val="0"/>
              <w:spacing w:before="50" w:after="50"/>
              <w:jc w:val="both"/>
              <w:rPr>
                <w:rFonts w:hint="eastAsia" w:ascii="宋体" w:hAnsi="宋体" w:cs="宋体"/>
                <w:color w:val="auto"/>
                <w:sz w:val="21"/>
                <w:szCs w:val="21"/>
                <w:highlight w:val="none"/>
                <w:lang w:eastAsia="zh-CN"/>
              </w:rPr>
            </w:pPr>
          </w:p>
        </w:tc>
        <w:tc>
          <w:tcPr>
            <w:tcW w:w="949" w:type="pct"/>
            <w:tcBorders>
              <w:top w:val="single" w:color="auto" w:sz="4" w:space="0"/>
              <w:left w:val="single" w:color="auto" w:sz="4" w:space="0"/>
              <w:bottom w:val="single" w:color="auto" w:sz="4" w:space="0"/>
              <w:right w:val="single" w:color="auto" w:sz="4" w:space="0"/>
            </w:tcBorders>
            <w:noWrap w:val="0"/>
            <w:vAlign w:val="center"/>
          </w:tcPr>
          <w:p w14:paraId="507E1291">
            <w:pPr>
              <w:snapToGrid w:val="0"/>
              <w:spacing w:before="50" w:after="50"/>
              <w:jc w:val="center"/>
              <w:rPr>
                <w:rFonts w:hint="eastAsia" w:ascii="宋体" w:hAnsi="宋体"/>
                <w:b w:val="0"/>
                <w:bCs/>
                <w:color w:val="auto"/>
                <w:szCs w:val="30"/>
                <w:highlight w:val="none"/>
                <w:lang w:val="en-US" w:eastAsia="zh-CN"/>
              </w:rPr>
            </w:pPr>
            <w:r>
              <w:rPr>
                <w:rFonts w:hint="eastAsia" w:ascii="宋体" w:hAnsi="宋体" w:eastAsia="宋体" w:cs="Times New Roman"/>
                <w:b w:val="0"/>
                <w:bCs/>
                <w:color w:val="auto"/>
                <w:szCs w:val="30"/>
                <w:highlight w:val="none"/>
                <w:lang w:val="en-US" w:eastAsia="zh-CN"/>
              </w:rPr>
              <w:t>餐后甜品类</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7E2419A4">
            <w:pPr>
              <w:snapToGrid w:val="0"/>
              <w:spacing w:before="50" w:after="50"/>
              <w:jc w:val="center"/>
              <w:rPr>
                <w:rFonts w:hint="default" w:ascii="宋体" w:hAnsi="宋体" w:eastAsia="宋体"/>
                <w:b w:val="0"/>
                <w:bCs/>
                <w:color w:val="auto"/>
                <w:kern w:val="2"/>
                <w:sz w:val="21"/>
                <w:szCs w:val="30"/>
                <w:highlight w:val="none"/>
                <w:lang w:val="en-US" w:eastAsia="zh-CN" w:bidi="ar-SA"/>
              </w:rPr>
            </w:pPr>
            <w:r>
              <w:rPr>
                <w:rFonts w:hint="eastAsia" w:ascii="宋体" w:hAnsi="宋体" w:eastAsia="宋体"/>
                <w:b w:val="0"/>
                <w:bCs/>
                <w:color w:val="auto"/>
                <w:kern w:val="2"/>
                <w:sz w:val="21"/>
                <w:szCs w:val="30"/>
                <w:highlight w:val="none"/>
                <w:lang w:val="en-US" w:eastAsia="zh-CN" w:bidi="ar-SA"/>
              </w:rPr>
              <w:t>100%</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77A54080">
            <w:pPr>
              <w:snapToGrid w:val="0"/>
              <w:spacing w:before="50" w:after="50"/>
              <w:jc w:val="center"/>
              <w:rPr>
                <w:rFonts w:hint="eastAsia" w:ascii="宋体" w:hAnsi="宋体"/>
                <w:b w:val="0"/>
                <w:bCs/>
                <w:color w:val="auto"/>
                <w:kern w:val="2"/>
                <w:sz w:val="21"/>
                <w:szCs w:val="30"/>
                <w:highlight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1F467F39">
            <w:pPr>
              <w:snapToGrid w:val="0"/>
              <w:spacing w:before="50" w:after="50"/>
              <w:jc w:val="center"/>
              <w:rPr>
                <w:rFonts w:hint="eastAsia" w:ascii="宋体" w:hAnsi="宋体"/>
                <w:b w:val="0"/>
                <w:bCs/>
                <w:color w:val="auto"/>
                <w:kern w:val="2"/>
                <w:sz w:val="21"/>
                <w:szCs w:val="30"/>
                <w:highlight w:val="none"/>
                <w:lang w:val="en-US" w:eastAsia="zh-CN" w:bidi="ar-SA"/>
              </w:rPr>
            </w:pPr>
          </w:p>
        </w:tc>
      </w:tr>
    </w:tbl>
    <w:p w14:paraId="6A7918BB">
      <w:pPr>
        <w:pageBreakBefore w:val="0"/>
        <w:widowControl w:val="0"/>
        <w:kinsoku/>
        <w:wordWrap/>
        <w:overflowPunct/>
        <w:topLinePunct w:val="0"/>
        <w:autoSpaceDE/>
        <w:autoSpaceDN/>
        <w:bidi w:val="0"/>
        <w:adjustRightInd/>
        <w:spacing w:line="360" w:lineRule="auto"/>
        <w:textAlignment w:val="auto"/>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1、报价一经涂改，应在涂改处加盖单位公章或者由法定代表人或授权委托人签字或盖章，否则其投标作无效标处理。</w:t>
      </w:r>
    </w:p>
    <w:p w14:paraId="666D0057">
      <w:pPr>
        <w:pageBreakBefore w:val="0"/>
        <w:widowControl w:val="0"/>
        <w:numPr>
          <w:ilvl w:val="0"/>
          <w:numId w:val="0"/>
        </w:numPr>
        <w:kinsoku/>
        <w:wordWrap/>
        <w:overflowPunct/>
        <w:topLinePunct w:val="0"/>
        <w:autoSpaceDE/>
        <w:autoSpaceDN/>
        <w:bidi w:val="0"/>
        <w:adjustRightInd/>
        <w:snapToGrid w:val="0"/>
        <w:spacing w:line="360" w:lineRule="auto"/>
        <w:ind w:left="420" w:leftChars="0"/>
        <w:jc w:val="left"/>
        <w:textAlignment w:val="auto"/>
        <w:rPr>
          <w:rStyle w:val="243"/>
          <w:rFonts w:hint="default" w:ascii="宋体" w:hAnsi="宋体" w:eastAsia="宋体"/>
          <w:b/>
          <w:color w:val="auto"/>
          <w:sz w:val="24"/>
          <w:szCs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投标费用包括</w:t>
      </w:r>
      <w:r>
        <w:rPr>
          <w:rFonts w:hint="eastAsia" w:ascii="宋体" w:hAnsi="宋体"/>
          <w:b/>
          <w:bCs/>
          <w:color w:val="auto"/>
          <w:sz w:val="24"/>
          <w:highlight w:val="none"/>
          <w:u w:val="single"/>
        </w:rPr>
        <w:t>货物价款、包装、仓储、运输装缷、保险、所有含税等一切费用，具体数量按实结算</w:t>
      </w:r>
      <w:r>
        <w:rPr>
          <w:rFonts w:hint="eastAsia" w:ascii="宋体" w:hAnsi="宋体"/>
          <w:color w:val="auto"/>
          <w:sz w:val="24"/>
          <w:highlight w:val="none"/>
        </w:rPr>
        <w:t>。</w:t>
      </w:r>
    </w:p>
    <w:p w14:paraId="39572801">
      <w:pPr>
        <w:pageBreakBefore w:val="0"/>
        <w:widowControl w:val="0"/>
        <w:numPr>
          <w:ilvl w:val="0"/>
          <w:numId w:val="0"/>
        </w:numPr>
        <w:kinsoku/>
        <w:wordWrap/>
        <w:overflowPunct/>
        <w:topLinePunct w:val="0"/>
        <w:autoSpaceDE/>
        <w:autoSpaceDN/>
        <w:bidi w:val="0"/>
        <w:adjustRightInd/>
        <w:snapToGrid w:val="0"/>
        <w:spacing w:line="360" w:lineRule="auto"/>
        <w:ind w:left="420" w:leftChars="0"/>
        <w:jc w:val="left"/>
        <w:textAlignment w:val="auto"/>
        <w:rPr>
          <w:rFonts w:hint="eastAsia" w:ascii="宋体" w:hAnsi="宋体" w:eastAsia="宋体" w:cs="Times New Roman"/>
          <w:b w:val="0"/>
          <w:bCs/>
          <w:color w:val="auto"/>
          <w:kern w:val="2"/>
          <w:sz w:val="24"/>
          <w:szCs w:val="24"/>
          <w:highlight w:val="none"/>
          <w:lang w:val="en-US" w:eastAsia="zh-CN" w:bidi="ar-SA"/>
        </w:rPr>
      </w:pPr>
      <w:r>
        <w:rPr>
          <w:rFonts w:hint="eastAsia" w:hAnsi="Courier New"/>
          <w:b w:val="0"/>
          <w:bCs/>
          <w:color w:val="auto"/>
          <w:sz w:val="24"/>
          <w:szCs w:val="24"/>
          <w:highlight w:val="none"/>
          <w:lang w:val="en-US" w:eastAsia="zh-CN"/>
        </w:rPr>
        <w:t>3、投标报价按基准价折扣进行报价，货款按实结算。</w:t>
      </w:r>
    </w:p>
    <w:p w14:paraId="3876F369">
      <w:pPr>
        <w:pageBreakBefore w:val="0"/>
        <w:widowControl w:val="0"/>
        <w:numPr>
          <w:ilvl w:val="0"/>
          <w:numId w:val="0"/>
        </w:numPr>
        <w:kinsoku/>
        <w:wordWrap/>
        <w:overflowPunct/>
        <w:topLinePunct w:val="0"/>
        <w:autoSpaceDE/>
        <w:autoSpaceDN/>
        <w:bidi w:val="0"/>
        <w:adjustRightInd/>
        <w:snapToGrid w:val="0"/>
        <w:spacing w:line="360" w:lineRule="auto"/>
        <w:ind w:left="420" w:leftChars="0"/>
        <w:jc w:val="left"/>
        <w:textAlignment w:val="auto"/>
        <w:rPr>
          <w:rFonts w:hint="eastAsia"/>
          <w:b w:val="0"/>
          <w:bCs/>
          <w:color w:val="auto"/>
          <w:highlight w:val="none"/>
        </w:rPr>
      </w:pPr>
      <w:r>
        <w:rPr>
          <w:rFonts w:hint="eastAsia" w:ascii="宋体" w:hAnsi="宋体" w:cs="Times New Roman"/>
          <w:b w:val="0"/>
          <w:bCs/>
          <w:color w:val="auto"/>
          <w:kern w:val="2"/>
          <w:sz w:val="24"/>
          <w:szCs w:val="24"/>
          <w:highlight w:val="none"/>
          <w:lang w:val="en-US" w:eastAsia="zh-CN" w:bidi="ar-SA"/>
        </w:rPr>
        <w:t>4、</w:t>
      </w:r>
      <w:r>
        <w:rPr>
          <w:rFonts w:hint="eastAsia" w:ascii="宋体" w:hAnsi="宋体" w:eastAsia="宋体" w:cs="Times New Roman"/>
          <w:b w:val="0"/>
          <w:bCs/>
          <w:color w:val="auto"/>
          <w:kern w:val="2"/>
          <w:sz w:val="24"/>
          <w:szCs w:val="24"/>
          <w:highlight w:val="none"/>
          <w:lang w:val="en-US" w:eastAsia="zh-CN" w:bidi="ar-SA"/>
        </w:rPr>
        <w:t>本项目限价为基准价折扣不得高于100%，投标折扣高于或等于限价按无效标处理。</w:t>
      </w:r>
    </w:p>
    <w:p w14:paraId="39EE44F5">
      <w:pPr>
        <w:pageBreakBefore w:val="0"/>
        <w:widowControl w:val="0"/>
        <w:numPr>
          <w:ilvl w:val="0"/>
          <w:numId w:val="0"/>
        </w:numPr>
        <w:kinsoku/>
        <w:wordWrap/>
        <w:overflowPunct/>
        <w:topLinePunct w:val="0"/>
        <w:autoSpaceDE/>
        <w:autoSpaceDN/>
        <w:bidi w:val="0"/>
        <w:adjustRightInd/>
        <w:snapToGrid w:val="0"/>
        <w:spacing w:line="360" w:lineRule="auto"/>
        <w:ind w:left="420" w:leftChars="0"/>
        <w:jc w:val="left"/>
        <w:textAlignment w:val="auto"/>
        <w:rPr>
          <w:rFonts w:hint="eastAsia"/>
          <w:b w:val="0"/>
          <w:bCs/>
          <w:color w:val="auto"/>
          <w:highlight w:val="none"/>
        </w:rPr>
      </w:pPr>
      <w:r>
        <w:rPr>
          <w:rFonts w:hint="eastAsia" w:ascii="宋体" w:hAnsi="宋体" w:cs="Times New Roman"/>
          <w:b w:val="0"/>
          <w:bCs/>
          <w:color w:val="auto"/>
          <w:kern w:val="2"/>
          <w:sz w:val="24"/>
          <w:szCs w:val="24"/>
          <w:highlight w:val="none"/>
          <w:lang w:val="en-US" w:eastAsia="zh-CN" w:bidi="ar-SA"/>
        </w:rPr>
        <w:t>5、</w:t>
      </w:r>
      <w:r>
        <w:rPr>
          <w:rFonts w:hint="eastAsia" w:ascii="宋体" w:hAnsi="宋体" w:eastAsia="宋体" w:cs="Times New Roman"/>
          <w:b w:val="0"/>
          <w:bCs/>
          <w:color w:val="auto"/>
          <w:kern w:val="2"/>
          <w:sz w:val="24"/>
          <w:szCs w:val="24"/>
          <w:highlight w:val="none"/>
          <w:lang w:val="en-US" w:eastAsia="zh-CN" w:bidi="ar-SA"/>
        </w:rPr>
        <w:t>结算单价=基准价×中标折扣。</w:t>
      </w:r>
    </w:p>
    <w:p w14:paraId="70804900">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20" w:leftChars="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6、本表格式不允许修改，否则作无效标处理。</w:t>
      </w:r>
    </w:p>
    <w:p w14:paraId="14EDE0A2">
      <w:pPr>
        <w:snapToGrid w:val="0"/>
        <w:spacing w:before="156" w:beforeLines="50" w:after="50"/>
        <w:rPr>
          <w:rFonts w:hint="eastAsia" w:ascii="宋体" w:hAnsi="宋体" w:eastAsia="宋体" w:cs="Times New Roman"/>
          <w:b w:val="0"/>
          <w:bCs w:val="0"/>
          <w:color w:val="auto"/>
          <w:kern w:val="2"/>
          <w:sz w:val="24"/>
          <w:szCs w:val="24"/>
          <w:highlight w:val="none"/>
          <w:lang w:val="en-US" w:eastAsia="zh-CN" w:bidi="ar-SA"/>
        </w:rPr>
      </w:pPr>
    </w:p>
    <w:p w14:paraId="7B2F82E6">
      <w:pPr>
        <w:pStyle w:val="5"/>
        <w:rPr>
          <w:rFonts w:hint="eastAsia"/>
          <w:color w:val="auto"/>
          <w:highlight w:val="none"/>
        </w:rPr>
      </w:pPr>
    </w:p>
    <w:p w14:paraId="295E9F56">
      <w:pPr>
        <w:widowControl/>
        <w:snapToGrid w:val="0"/>
        <w:spacing w:before="50" w:after="50"/>
        <w:ind w:left="-2" w:leftChars="-1" w:right="-816" w:rightChars="-389"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法定代表人或委托代理人（签字或盖章）：</w:t>
      </w:r>
    </w:p>
    <w:p w14:paraId="4D206967">
      <w:pPr>
        <w:widowControl/>
        <w:snapToGrid w:val="0"/>
        <w:spacing w:before="50" w:after="50"/>
        <w:ind w:left="-2" w:leftChars="-1" w:right="-816" w:rightChars="-389" w:firstLine="360" w:firstLineChars="150"/>
        <w:jc w:val="left"/>
        <w:rPr>
          <w:rFonts w:hint="eastAsia" w:ascii="宋体" w:hAnsi="宋体" w:cs="宋体"/>
          <w:color w:val="auto"/>
          <w:kern w:val="0"/>
          <w:sz w:val="24"/>
          <w:highlight w:val="none"/>
        </w:rPr>
      </w:pPr>
    </w:p>
    <w:p w14:paraId="1476BCC4">
      <w:pPr>
        <w:widowControl/>
        <w:snapToGrid w:val="0"/>
        <w:spacing w:before="50" w:after="50"/>
        <w:ind w:right="-816" w:rightChars="-389"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投标人名称（盖章）：                                         </w:t>
      </w:r>
    </w:p>
    <w:p w14:paraId="0EC94EEE">
      <w:pPr>
        <w:widowControl/>
        <w:snapToGrid w:val="0"/>
        <w:spacing w:before="50" w:after="50"/>
        <w:ind w:right="-816" w:rightChars="-389"/>
        <w:jc w:val="left"/>
        <w:rPr>
          <w:rFonts w:hint="eastAsia" w:ascii="宋体" w:hAnsi="宋体" w:cs="宋体"/>
          <w:color w:val="auto"/>
          <w:kern w:val="0"/>
          <w:sz w:val="24"/>
          <w:highlight w:val="none"/>
        </w:rPr>
      </w:pPr>
    </w:p>
    <w:p w14:paraId="2DEC265D">
      <w:pPr>
        <w:widowControl/>
        <w:snapToGrid w:val="0"/>
        <w:spacing w:before="50" w:after="50"/>
        <w:ind w:left="-2" w:leftChars="-1" w:right="-816" w:rightChars="-389" w:firstLine="5400" w:firstLineChars="2250"/>
        <w:jc w:val="left"/>
        <w:rPr>
          <w:rFonts w:hint="eastAsia" w:ascii="宋体" w:hAnsi="宋体" w:cs="宋体"/>
          <w:bCs/>
          <w:color w:val="auto"/>
          <w:sz w:val="24"/>
          <w:szCs w:val="32"/>
          <w:highlight w:val="none"/>
        </w:rPr>
      </w:pPr>
      <w:r>
        <w:rPr>
          <w:rFonts w:hint="eastAsia" w:ascii="宋体" w:hAnsi="宋体" w:cs="宋体"/>
          <w:color w:val="auto"/>
          <w:kern w:val="0"/>
          <w:sz w:val="24"/>
          <w:highlight w:val="none"/>
        </w:rPr>
        <w:t>日期：    年   月   日</w:t>
      </w:r>
    </w:p>
    <w:p w14:paraId="77776698">
      <w:pPr>
        <w:pStyle w:val="43"/>
        <w:spacing w:line="360" w:lineRule="auto"/>
        <w:ind w:left="0" w:leftChars="0" w:firstLine="0" w:firstLineChars="0"/>
        <w:rPr>
          <w:rFonts w:hint="eastAsia" w:hAnsi="宋体" w:eastAsia="宋体" w:cs="宋体"/>
          <w:color w:val="auto"/>
          <w:sz w:val="24"/>
          <w:highlight w:val="none"/>
          <w:lang w:val="en-US" w:eastAsia="zh-CN"/>
        </w:rPr>
      </w:pPr>
    </w:p>
    <w:bookmarkEnd w:id="54"/>
    <w:p w14:paraId="3AA86ED7">
      <w:pPr>
        <w:pageBreakBefore/>
        <w:spacing w:before="260" w:after="260" w:line="415" w:lineRule="auto"/>
        <w:outlineLvl w:val="1"/>
        <w:rPr>
          <w:rFonts w:ascii="宋体" w:hAnsi="宋体" w:cs="宋体"/>
          <w:bCs/>
          <w:color w:val="auto"/>
          <w:sz w:val="24"/>
          <w:highlight w:val="none"/>
        </w:rPr>
      </w:pPr>
      <w:bookmarkStart w:id="55" w:name="_Toc496599001"/>
      <w:bookmarkStart w:id="56" w:name="_Toc25800"/>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55"/>
      <w:r>
        <w:rPr>
          <w:rFonts w:hint="eastAsia" w:ascii="宋体" w:hAnsi="宋体" w:cs="宋体"/>
          <w:bCs/>
          <w:color w:val="auto"/>
          <w:sz w:val="24"/>
          <w:highlight w:val="none"/>
        </w:rPr>
        <w:t>东阳市采购项目验收方案</w:t>
      </w:r>
      <w:bookmarkEnd w:id="56"/>
    </w:p>
    <w:p w14:paraId="3A37C350">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19F9B96A">
      <w:pPr>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7340A5F9">
      <w:pPr>
        <w:spacing w:after="120" w:line="360" w:lineRule="auto"/>
        <w:ind w:firstLine="470"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10778339">
      <w:pPr>
        <w:spacing w:after="120" w:line="360" w:lineRule="auto"/>
        <w:ind w:firstLine="470"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7CD217CE">
      <w:pPr>
        <w:spacing w:after="120" w:line="360" w:lineRule="auto"/>
        <w:ind w:firstLine="470"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6A570BF0">
      <w:pPr>
        <w:spacing w:after="120" w:line="360" w:lineRule="auto"/>
        <w:ind w:firstLine="482"/>
        <w:rPr>
          <w:rFonts w:ascii="宋体" w:hAnsi="宋体" w:cs="宋体"/>
          <w:b/>
          <w:color w:val="auto"/>
          <w:sz w:val="24"/>
          <w:highlight w:val="none"/>
        </w:rPr>
      </w:pPr>
    </w:p>
    <w:p w14:paraId="7BDD493B">
      <w:pPr>
        <w:spacing w:after="120"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4DD61A70">
      <w:pPr>
        <w:spacing w:after="120" w:line="360" w:lineRule="auto"/>
        <w:ind w:firstLine="470"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08A7F832">
      <w:pPr>
        <w:spacing w:after="120" w:line="360" w:lineRule="auto"/>
        <w:ind w:firstLine="470"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3F637979">
      <w:pPr>
        <w:spacing w:after="120" w:line="360" w:lineRule="auto"/>
        <w:ind w:firstLine="470"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3DC30425">
      <w:pPr>
        <w:spacing w:after="120" w:line="360" w:lineRule="auto"/>
        <w:ind w:firstLine="470"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6AE197B7">
      <w:pPr>
        <w:spacing w:after="120" w:line="360" w:lineRule="auto"/>
        <w:ind w:firstLine="482"/>
        <w:rPr>
          <w:rFonts w:ascii="宋体" w:hAnsi="宋体" w:cs="宋体"/>
          <w:b/>
          <w:color w:val="auto"/>
          <w:sz w:val="24"/>
          <w:highlight w:val="none"/>
        </w:rPr>
      </w:pPr>
    </w:p>
    <w:p w14:paraId="3AA7F51F">
      <w:pPr>
        <w:spacing w:after="120"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682EBC98">
      <w:pPr>
        <w:spacing w:after="120" w:line="360" w:lineRule="auto"/>
        <w:ind w:firstLine="482"/>
        <w:rPr>
          <w:rFonts w:ascii="宋体" w:hAnsi="宋体" w:cs="宋体"/>
          <w:b/>
          <w:color w:val="auto"/>
          <w:sz w:val="24"/>
          <w:highlight w:val="none"/>
        </w:rPr>
      </w:pPr>
    </w:p>
    <w:p w14:paraId="1D836604">
      <w:pPr>
        <w:spacing w:after="120" w:line="360" w:lineRule="auto"/>
        <w:ind w:firstLine="470"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5CE363B6">
      <w:pPr>
        <w:spacing w:after="120" w:line="360" w:lineRule="auto"/>
        <w:ind w:firstLine="482"/>
        <w:rPr>
          <w:rFonts w:ascii="宋体" w:hAnsi="宋体" w:cs="宋体"/>
          <w:b/>
          <w:color w:val="auto"/>
          <w:sz w:val="24"/>
          <w:highlight w:val="none"/>
        </w:rPr>
      </w:pPr>
    </w:p>
    <w:p w14:paraId="3E879E35">
      <w:pPr>
        <w:spacing w:after="120" w:line="360" w:lineRule="auto"/>
        <w:ind w:firstLine="470"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17185059">
      <w:pPr>
        <w:spacing w:after="120" w:line="360" w:lineRule="auto"/>
        <w:ind w:left="478" w:leftChars="228" w:firstLine="468" w:firstLineChars="195"/>
        <w:rPr>
          <w:rFonts w:ascii="宋体" w:hAnsi="宋体" w:cs="宋体"/>
          <w:b/>
          <w:color w:val="auto"/>
          <w:sz w:val="24"/>
          <w:highlight w:val="none"/>
        </w:rPr>
      </w:pPr>
    </w:p>
    <w:p w14:paraId="21F69691">
      <w:pPr>
        <w:spacing w:after="120" w:line="360" w:lineRule="auto"/>
        <w:ind w:left="478" w:leftChars="228" w:firstLine="468" w:firstLineChars="195"/>
        <w:rPr>
          <w:rFonts w:ascii="宋体" w:hAnsi="宋体" w:cs="宋体"/>
          <w:b/>
          <w:color w:val="auto"/>
          <w:sz w:val="24"/>
          <w:highlight w:val="none"/>
        </w:rPr>
      </w:pPr>
    </w:p>
    <w:p w14:paraId="19E7CD48">
      <w:pPr>
        <w:spacing w:after="120" w:line="360" w:lineRule="auto"/>
        <w:ind w:right="-6" w:firstLine="482"/>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3C2E1001">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7DCE8DF8">
      <w:pPr>
        <w:pageBreakBefore/>
        <w:spacing w:before="260" w:after="260" w:line="415" w:lineRule="auto"/>
        <w:outlineLvl w:val="1"/>
        <w:rPr>
          <w:rFonts w:ascii="宋体" w:hAnsi="宋体" w:cs="宋体"/>
          <w:bCs/>
          <w:color w:val="auto"/>
          <w:sz w:val="24"/>
          <w:highlight w:val="none"/>
        </w:rPr>
      </w:pPr>
      <w:bookmarkStart w:id="57" w:name="_Toc496599002"/>
      <w:bookmarkStart w:id="58" w:name="_Toc19782"/>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57"/>
      <w:r>
        <w:rPr>
          <w:rFonts w:hint="eastAsia" w:ascii="宋体" w:hAnsi="宋体" w:cs="宋体"/>
          <w:bCs/>
          <w:color w:val="auto"/>
          <w:sz w:val="24"/>
          <w:highlight w:val="none"/>
        </w:rPr>
        <w:t>东阳市政府采购代理机构社会评价表</w:t>
      </w:r>
      <w:bookmarkEnd w:id="58"/>
    </w:p>
    <w:p w14:paraId="7C1A9CD2">
      <w:pPr>
        <w:ind w:firstLine="883"/>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东阳市政府采购代理机构社会评价表</w:t>
      </w:r>
    </w:p>
    <w:p w14:paraId="56B61770">
      <w:pPr>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4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29B4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14C13496">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18C4CA83">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0169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43F49785">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60D8A117">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2AAC6512">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2F9E0374">
            <w:pPr>
              <w:jc w:val="center"/>
              <w:rPr>
                <w:rFonts w:ascii="宋体" w:hAnsi="宋体" w:cs="宋体"/>
                <w:color w:val="auto"/>
                <w:sz w:val="24"/>
                <w:highlight w:val="none"/>
              </w:rPr>
            </w:pPr>
          </w:p>
        </w:tc>
      </w:tr>
      <w:tr w14:paraId="4BF2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215FF386">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340C9CBC">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030F40A9">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5A01122B">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473E826F">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1BC28B19">
            <w:pPr>
              <w:jc w:val="center"/>
              <w:rPr>
                <w:rFonts w:ascii="宋体" w:hAnsi="宋体" w:cs="宋体"/>
                <w:color w:val="auto"/>
                <w:sz w:val="24"/>
                <w:highlight w:val="none"/>
              </w:rPr>
            </w:pPr>
          </w:p>
        </w:tc>
      </w:tr>
      <w:tr w14:paraId="7640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5A6973C">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7E4B7FA3">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02D48954">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10BE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7839C5A">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05B7F49">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776CB435">
            <w:pPr>
              <w:spacing w:line="500" w:lineRule="exact"/>
              <w:jc w:val="center"/>
              <w:rPr>
                <w:rFonts w:ascii="宋体" w:hAnsi="宋体" w:cs="宋体"/>
                <w:color w:val="auto"/>
                <w:sz w:val="24"/>
                <w:highlight w:val="none"/>
              </w:rPr>
            </w:pPr>
          </w:p>
        </w:tc>
      </w:tr>
      <w:tr w14:paraId="04B6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1F91DCB">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D5CA79E">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301F68D1">
            <w:pPr>
              <w:spacing w:line="500" w:lineRule="exact"/>
              <w:jc w:val="center"/>
              <w:rPr>
                <w:rFonts w:ascii="宋体" w:hAnsi="宋体" w:cs="宋体"/>
                <w:color w:val="auto"/>
                <w:sz w:val="24"/>
                <w:highlight w:val="none"/>
              </w:rPr>
            </w:pPr>
          </w:p>
        </w:tc>
      </w:tr>
      <w:tr w14:paraId="3AB7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11C78A1">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1061728">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40AEF229">
            <w:pPr>
              <w:spacing w:line="500" w:lineRule="exact"/>
              <w:jc w:val="center"/>
              <w:rPr>
                <w:rFonts w:ascii="宋体" w:hAnsi="宋体" w:cs="宋体"/>
                <w:color w:val="auto"/>
                <w:sz w:val="24"/>
                <w:highlight w:val="none"/>
              </w:rPr>
            </w:pPr>
          </w:p>
        </w:tc>
      </w:tr>
      <w:tr w14:paraId="2E9F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06518D7">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DD867B7">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AF7D0D5">
            <w:pPr>
              <w:spacing w:line="500" w:lineRule="exact"/>
              <w:jc w:val="center"/>
              <w:rPr>
                <w:rFonts w:ascii="宋体" w:hAnsi="宋体" w:cs="宋体"/>
                <w:color w:val="auto"/>
                <w:sz w:val="24"/>
                <w:highlight w:val="none"/>
              </w:rPr>
            </w:pPr>
          </w:p>
        </w:tc>
      </w:tr>
      <w:tr w14:paraId="70D2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29E18E2">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A59C5F2">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16A814E6">
            <w:pPr>
              <w:spacing w:line="500" w:lineRule="exact"/>
              <w:jc w:val="center"/>
              <w:rPr>
                <w:rFonts w:ascii="宋体" w:hAnsi="宋体" w:cs="宋体"/>
                <w:color w:val="auto"/>
                <w:sz w:val="24"/>
                <w:highlight w:val="none"/>
              </w:rPr>
            </w:pPr>
          </w:p>
        </w:tc>
      </w:tr>
      <w:tr w14:paraId="6DE0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64DF074">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D417B42">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5E2C47D6">
            <w:pPr>
              <w:spacing w:line="500" w:lineRule="exact"/>
              <w:jc w:val="center"/>
              <w:rPr>
                <w:rFonts w:ascii="宋体" w:hAnsi="宋体" w:cs="宋体"/>
                <w:color w:val="auto"/>
                <w:sz w:val="24"/>
                <w:highlight w:val="none"/>
              </w:rPr>
            </w:pPr>
          </w:p>
        </w:tc>
      </w:tr>
      <w:tr w14:paraId="6BE8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38AA5D8A">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44638CB0">
            <w:pPr>
              <w:jc w:val="center"/>
              <w:rPr>
                <w:rFonts w:ascii="宋体" w:hAnsi="宋体" w:cs="宋体"/>
                <w:color w:val="auto"/>
                <w:sz w:val="24"/>
                <w:highlight w:val="none"/>
              </w:rPr>
            </w:pPr>
          </w:p>
        </w:tc>
      </w:tr>
      <w:tr w14:paraId="4266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5C338E59">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72586FA9">
            <w:pPr>
              <w:jc w:val="center"/>
              <w:rPr>
                <w:rFonts w:ascii="宋体" w:hAnsi="宋体" w:cs="宋体"/>
                <w:color w:val="auto"/>
                <w:sz w:val="24"/>
                <w:highlight w:val="none"/>
              </w:rPr>
            </w:pPr>
          </w:p>
        </w:tc>
      </w:tr>
    </w:tbl>
    <w:p w14:paraId="761E5BA8">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39A1B8FA">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01FBD988">
      <w:pPr>
        <w:pStyle w:val="5"/>
        <w:rPr>
          <w:rFonts w:ascii="宋体" w:hAnsi="宋体" w:eastAsia="宋体" w:cs="宋体"/>
          <w:b w:val="0"/>
          <w:color w:val="auto"/>
          <w:sz w:val="24"/>
          <w:szCs w:val="24"/>
          <w:highlight w:val="none"/>
        </w:rPr>
      </w:pPr>
      <w:bookmarkStart w:id="59" w:name="_Toc25847"/>
      <w:bookmarkStart w:id="60" w:name="_Toc10667"/>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十九</w:t>
      </w:r>
      <w:r>
        <w:rPr>
          <w:rFonts w:hint="eastAsia" w:ascii="宋体" w:hAnsi="宋体" w:eastAsia="宋体" w:cs="宋体"/>
          <w:b w:val="0"/>
          <w:color w:val="auto"/>
          <w:sz w:val="24"/>
          <w:szCs w:val="24"/>
          <w:highlight w:val="none"/>
        </w:rPr>
        <w:t>：办理保函需提供资料</w:t>
      </w:r>
      <w:bookmarkEnd w:id="59"/>
      <w:bookmarkEnd w:id="60"/>
    </w:p>
    <w:p w14:paraId="79869B12">
      <w:pPr>
        <w:spacing w:after="120"/>
        <w:ind w:right="-154"/>
        <w:rPr>
          <w:rFonts w:ascii="宋体" w:hAnsi="宋体" w:cs="宋体"/>
          <w:color w:val="auto"/>
          <w:sz w:val="24"/>
          <w:highlight w:val="none"/>
        </w:rPr>
      </w:pPr>
    </w:p>
    <w:p w14:paraId="7CDC25DE">
      <w:pPr>
        <w:spacing w:after="120"/>
        <w:ind w:right="-154" w:firstLine="482"/>
        <w:jc w:val="center"/>
        <w:rPr>
          <w:rFonts w:ascii="宋体" w:hAnsi="宋体" w:cs="宋体"/>
          <w:b/>
          <w:color w:val="auto"/>
          <w:sz w:val="24"/>
          <w:highlight w:val="none"/>
        </w:rPr>
      </w:pPr>
      <w:r>
        <w:rPr>
          <w:rFonts w:hint="eastAsia" w:ascii="宋体" w:hAnsi="宋体" w:cs="宋体"/>
          <w:b/>
          <w:color w:val="auto"/>
          <w:sz w:val="24"/>
          <w:highlight w:val="none"/>
        </w:rPr>
        <w:t>办理保函需提供资料</w:t>
      </w:r>
    </w:p>
    <w:p w14:paraId="4E7B2F42">
      <w:pPr>
        <w:numPr>
          <w:ilvl w:val="0"/>
          <w:numId w:val="7"/>
        </w:numPr>
        <w:spacing w:line="800" w:lineRule="exact"/>
        <w:ind w:firstLine="480"/>
        <w:jc w:val="left"/>
        <w:rPr>
          <w:rFonts w:ascii="宋体" w:hAnsi="宋体" w:cs="宋体"/>
          <w:color w:val="auto"/>
          <w:sz w:val="24"/>
          <w:highlight w:val="none"/>
        </w:rPr>
      </w:pPr>
      <w:r>
        <w:rPr>
          <w:rFonts w:hint="eastAsia" w:ascii="宋体" w:hAnsi="宋体" w:cs="宋体"/>
          <w:color w:val="auto"/>
          <w:sz w:val="24"/>
          <w:highlight w:val="none"/>
        </w:rPr>
        <w:t>营业执照</w:t>
      </w:r>
    </w:p>
    <w:p w14:paraId="51190429">
      <w:pPr>
        <w:numPr>
          <w:ilvl w:val="0"/>
          <w:numId w:val="7"/>
        </w:numPr>
        <w:spacing w:line="800" w:lineRule="exact"/>
        <w:ind w:firstLine="480"/>
        <w:jc w:val="left"/>
        <w:rPr>
          <w:rFonts w:ascii="宋体" w:hAnsi="宋体" w:cs="宋体"/>
          <w:color w:val="auto"/>
          <w:sz w:val="24"/>
          <w:highlight w:val="none"/>
        </w:rPr>
      </w:pPr>
      <w:r>
        <w:rPr>
          <w:rFonts w:hint="eastAsia" w:ascii="宋体" w:hAnsi="宋体" w:cs="宋体"/>
          <w:color w:val="auto"/>
          <w:sz w:val="24"/>
          <w:highlight w:val="none"/>
        </w:rPr>
        <w:t>法人身份证</w:t>
      </w:r>
    </w:p>
    <w:p w14:paraId="534D6F64">
      <w:pPr>
        <w:numPr>
          <w:ilvl w:val="0"/>
          <w:numId w:val="7"/>
        </w:numPr>
        <w:spacing w:line="800" w:lineRule="exact"/>
        <w:ind w:firstLine="480"/>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34AE347F">
      <w:pPr>
        <w:numPr>
          <w:ilvl w:val="0"/>
          <w:numId w:val="7"/>
        </w:numPr>
        <w:spacing w:line="800" w:lineRule="exact"/>
        <w:ind w:firstLine="480"/>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4A9C1E54">
      <w:pPr>
        <w:numPr>
          <w:ilvl w:val="0"/>
          <w:numId w:val="7"/>
        </w:numPr>
        <w:spacing w:line="800" w:lineRule="exact"/>
        <w:ind w:firstLine="480"/>
        <w:jc w:val="left"/>
        <w:rPr>
          <w:rFonts w:ascii="宋体" w:hAnsi="宋体" w:cs="宋体"/>
          <w:color w:val="auto"/>
          <w:sz w:val="24"/>
          <w:highlight w:val="none"/>
        </w:rPr>
      </w:pPr>
      <w:r>
        <w:rPr>
          <w:rFonts w:hint="eastAsia" w:ascii="宋体" w:hAnsi="宋体" w:cs="宋体"/>
          <w:color w:val="auto"/>
          <w:sz w:val="24"/>
          <w:highlight w:val="none"/>
        </w:rPr>
        <w:t>中标通知书</w:t>
      </w:r>
    </w:p>
    <w:p w14:paraId="09112914">
      <w:pPr>
        <w:numPr>
          <w:ilvl w:val="0"/>
          <w:numId w:val="7"/>
        </w:numPr>
        <w:spacing w:line="800" w:lineRule="exact"/>
        <w:ind w:firstLine="480"/>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394F2470">
      <w:pPr>
        <w:numPr>
          <w:ilvl w:val="0"/>
          <w:numId w:val="7"/>
        </w:numPr>
        <w:spacing w:line="800" w:lineRule="exact"/>
        <w:ind w:firstLine="480"/>
        <w:jc w:val="left"/>
        <w:rPr>
          <w:rFonts w:ascii="宋体" w:hAnsi="宋体" w:cs="宋体"/>
          <w:color w:val="auto"/>
          <w:sz w:val="24"/>
          <w:highlight w:val="none"/>
        </w:rPr>
      </w:pPr>
      <w:r>
        <w:rPr>
          <w:rFonts w:hint="eastAsia" w:ascii="宋体" w:hAnsi="宋体" w:cs="宋体"/>
          <w:color w:val="auto"/>
          <w:sz w:val="24"/>
          <w:highlight w:val="none"/>
        </w:rPr>
        <w:t>信用反担保函</w:t>
      </w:r>
    </w:p>
    <w:p w14:paraId="67452F6A">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76FA2C07">
      <w:pPr>
        <w:spacing w:after="120"/>
        <w:ind w:right="-154" w:firstLine="482"/>
        <w:rPr>
          <w:rFonts w:ascii="宋体" w:hAnsi="宋体" w:cs="宋体"/>
          <w:b/>
          <w:color w:val="auto"/>
          <w:sz w:val="24"/>
          <w:highlight w:val="none"/>
        </w:rPr>
      </w:pPr>
    </w:p>
    <w:p w14:paraId="08F025A1">
      <w:pPr>
        <w:spacing w:after="120"/>
        <w:ind w:right="-154" w:firstLine="482"/>
        <w:rPr>
          <w:rFonts w:ascii="宋体" w:hAnsi="宋体" w:cs="宋体"/>
          <w:b/>
          <w:color w:val="auto"/>
          <w:sz w:val="24"/>
          <w:highlight w:val="none"/>
        </w:rPr>
      </w:pPr>
    </w:p>
    <w:p w14:paraId="173C2E6A">
      <w:pPr>
        <w:spacing w:after="120"/>
        <w:ind w:right="-154" w:firstLine="482"/>
        <w:rPr>
          <w:rFonts w:ascii="宋体" w:hAnsi="宋体" w:cs="宋体"/>
          <w:b/>
          <w:color w:val="auto"/>
          <w:sz w:val="24"/>
          <w:highlight w:val="none"/>
        </w:rPr>
      </w:pPr>
    </w:p>
    <w:p w14:paraId="46E95972">
      <w:pPr>
        <w:spacing w:after="120"/>
        <w:ind w:right="-154" w:firstLine="482"/>
        <w:rPr>
          <w:rFonts w:ascii="宋体" w:hAnsi="宋体" w:cs="宋体"/>
          <w:b/>
          <w:color w:val="auto"/>
          <w:sz w:val="24"/>
          <w:highlight w:val="none"/>
        </w:rPr>
      </w:pPr>
    </w:p>
    <w:p w14:paraId="70AA92D3">
      <w:pPr>
        <w:spacing w:after="120"/>
        <w:ind w:right="-154" w:firstLine="482"/>
        <w:rPr>
          <w:rFonts w:ascii="宋体" w:hAnsi="宋体" w:cs="宋体"/>
          <w:b/>
          <w:color w:val="auto"/>
          <w:sz w:val="24"/>
          <w:highlight w:val="none"/>
        </w:rPr>
      </w:pPr>
    </w:p>
    <w:p w14:paraId="1B9A7E49">
      <w:pPr>
        <w:spacing w:after="120"/>
        <w:ind w:right="-154" w:firstLine="482"/>
        <w:rPr>
          <w:rFonts w:ascii="宋体" w:hAnsi="宋体" w:cs="宋体"/>
          <w:b/>
          <w:color w:val="auto"/>
          <w:sz w:val="24"/>
          <w:highlight w:val="none"/>
        </w:rPr>
      </w:pPr>
    </w:p>
    <w:p w14:paraId="1ECFDD6D">
      <w:pPr>
        <w:spacing w:after="120"/>
        <w:ind w:right="-154" w:firstLine="482"/>
        <w:rPr>
          <w:rFonts w:ascii="宋体" w:hAnsi="宋体" w:cs="宋体"/>
          <w:b/>
          <w:color w:val="auto"/>
          <w:sz w:val="24"/>
          <w:highlight w:val="none"/>
        </w:rPr>
      </w:pPr>
    </w:p>
    <w:p w14:paraId="273B9677">
      <w:pPr>
        <w:spacing w:after="120"/>
        <w:ind w:right="-154" w:firstLine="482"/>
        <w:rPr>
          <w:rFonts w:ascii="宋体" w:hAnsi="宋体" w:cs="宋体"/>
          <w:b/>
          <w:color w:val="auto"/>
          <w:sz w:val="24"/>
          <w:highlight w:val="none"/>
        </w:rPr>
      </w:pPr>
    </w:p>
    <w:p w14:paraId="740773BB">
      <w:pPr>
        <w:spacing w:after="120"/>
        <w:ind w:right="-154" w:firstLine="482"/>
        <w:rPr>
          <w:rFonts w:ascii="宋体" w:hAnsi="宋体" w:cs="宋体"/>
          <w:b/>
          <w:color w:val="auto"/>
          <w:sz w:val="24"/>
          <w:highlight w:val="none"/>
        </w:rPr>
      </w:pPr>
    </w:p>
    <w:p w14:paraId="20D6CCF3">
      <w:pPr>
        <w:spacing w:after="120"/>
        <w:ind w:right="-154" w:firstLine="482"/>
        <w:rPr>
          <w:rFonts w:ascii="宋体" w:hAnsi="宋体" w:cs="宋体"/>
          <w:b/>
          <w:color w:val="auto"/>
          <w:sz w:val="24"/>
          <w:highlight w:val="none"/>
        </w:rPr>
      </w:pPr>
    </w:p>
    <w:p w14:paraId="4E7C6FA6">
      <w:pPr>
        <w:spacing w:after="120"/>
        <w:ind w:right="-154" w:firstLine="482"/>
        <w:rPr>
          <w:rFonts w:ascii="宋体" w:hAnsi="宋体" w:cs="宋体"/>
          <w:b/>
          <w:color w:val="auto"/>
          <w:sz w:val="24"/>
          <w:highlight w:val="none"/>
        </w:rPr>
      </w:pPr>
    </w:p>
    <w:p w14:paraId="0C067D78">
      <w:pPr>
        <w:spacing w:after="120"/>
        <w:ind w:right="-154" w:firstLine="482"/>
        <w:rPr>
          <w:rFonts w:ascii="宋体" w:hAnsi="宋体" w:cs="宋体"/>
          <w:b/>
          <w:color w:val="auto"/>
          <w:sz w:val="24"/>
          <w:highlight w:val="none"/>
        </w:rPr>
      </w:pPr>
    </w:p>
    <w:p w14:paraId="23B1722F">
      <w:pPr>
        <w:pageBreakBefore/>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信用反担保保证函</w:t>
      </w:r>
    </w:p>
    <w:p w14:paraId="00D9F383">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3B3124F6">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15E18DA4">
      <w:pPr>
        <w:spacing w:line="520" w:lineRule="exact"/>
        <w:ind w:firstLine="480"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7288E8B1">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728A7FE2">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5F39D5A4">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328E5DE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64943A0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0E4BFB5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20ADC7D8">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5D5E398C">
      <w:pPr>
        <w:spacing w:line="520" w:lineRule="exact"/>
        <w:rPr>
          <w:rFonts w:ascii="宋体" w:hAnsi="宋体" w:cs="宋体"/>
          <w:color w:val="auto"/>
          <w:sz w:val="24"/>
          <w:highlight w:val="none"/>
        </w:rPr>
      </w:pPr>
    </w:p>
    <w:p w14:paraId="68AA8B83">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571682A">
      <w:pPr>
        <w:spacing w:line="520" w:lineRule="exact"/>
        <w:ind w:left="4680" w:hanging="4680" w:hangingChars="1950"/>
        <w:rPr>
          <w:rFonts w:ascii="宋体" w:hAnsi="宋体" w:cs="宋体"/>
          <w:color w:val="auto"/>
          <w:sz w:val="24"/>
          <w:highlight w:val="none"/>
        </w:rPr>
      </w:pPr>
    </w:p>
    <w:p w14:paraId="41194749">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6498FBCF">
      <w:pPr>
        <w:spacing w:line="360" w:lineRule="auto"/>
        <w:rPr>
          <w:rFonts w:ascii="宋体" w:hAnsi="宋体" w:cs="宋体"/>
          <w:color w:val="auto"/>
          <w:sz w:val="24"/>
          <w:highlight w:val="none"/>
        </w:rPr>
      </w:pPr>
    </w:p>
    <w:p w14:paraId="5C1BAF99">
      <w:pPr>
        <w:pStyle w:val="42"/>
        <w:rPr>
          <w:color w:val="auto"/>
          <w:highlight w:val="none"/>
        </w:rPr>
      </w:pPr>
    </w:p>
    <w:p w14:paraId="7823966D">
      <w:pPr>
        <w:pStyle w:val="5"/>
        <w:keepNext w:val="0"/>
        <w:keepLines w:val="0"/>
        <w:pageBreakBefore/>
        <w:rPr>
          <w:rFonts w:ascii="宋体" w:hAnsi="宋体" w:eastAsia="宋体" w:cs="宋体"/>
          <w:b w:val="0"/>
          <w:color w:val="auto"/>
          <w:sz w:val="24"/>
          <w:highlight w:val="none"/>
        </w:rPr>
      </w:pPr>
      <w:bookmarkStart w:id="61" w:name="_Toc2489"/>
      <w:bookmarkStart w:id="62" w:name="_Toc26572"/>
      <w:bookmarkStart w:id="63" w:name="_Toc24160"/>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w:t>
      </w:r>
      <w:r>
        <w:rPr>
          <w:rFonts w:hint="eastAsia" w:ascii="宋体" w:hAnsi="宋体" w:eastAsia="宋体" w:cs="宋体"/>
          <w:b w:val="0"/>
          <w:color w:val="auto"/>
          <w:sz w:val="24"/>
          <w:highlight w:val="none"/>
        </w:rPr>
        <w:t>：质疑函范本</w:t>
      </w:r>
      <w:bookmarkEnd w:id="61"/>
      <w:bookmarkEnd w:id="62"/>
      <w:bookmarkEnd w:id="63"/>
    </w:p>
    <w:p w14:paraId="2B688EB9">
      <w:pPr>
        <w:ind w:firstLine="883"/>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786FEC8D">
      <w:pPr>
        <w:adjustRightInd w:val="0"/>
        <w:snapToGrid w:val="0"/>
        <w:spacing w:before="312" w:beforeLines="100" w:line="360" w:lineRule="auto"/>
        <w:ind w:firstLine="640"/>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6262431B">
      <w:pPr>
        <w:adjustRightInd w:val="0"/>
        <w:snapToGrid w:val="0"/>
        <w:spacing w:line="360"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493BCD4E">
      <w:pPr>
        <w:adjustRightInd w:val="0"/>
        <w:snapToGrid w:val="0"/>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3CB53401">
      <w:pPr>
        <w:adjustRightInd w:val="0"/>
        <w:snapToGrid w:val="0"/>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07E89B7A">
      <w:pPr>
        <w:adjustRightInd w:val="0"/>
        <w:snapToGrid w:val="0"/>
        <w:spacing w:line="360"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025A47CA">
      <w:pPr>
        <w:adjustRightInd w:val="0"/>
        <w:snapToGrid w:val="0"/>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3BEF59B5">
      <w:pPr>
        <w:adjustRightInd w:val="0"/>
        <w:snapToGrid w:val="0"/>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6F4D9E4F">
      <w:pPr>
        <w:adjustRightInd w:val="0"/>
        <w:snapToGrid w:val="0"/>
        <w:spacing w:line="360" w:lineRule="auto"/>
        <w:ind w:firstLine="560"/>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71E0CB77">
      <w:pPr>
        <w:adjustRightInd w:val="0"/>
        <w:snapToGrid w:val="0"/>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187573B9">
      <w:pPr>
        <w:adjustRightInd w:val="0"/>
        <w:snapToGrid w:val="0"/>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6B646705">
      <w:pPr>
        <w:adjustRightInd w:val="0"/>
        <w:snapToGrid w:val="0"/>
        <w:spacing w:line="360"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7388C99B">
      <w:pPr>
        <w:adjustRightInd w:val="0"/>
        <w:snapToGrid w:val="0"/>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2774F4A0">
      <w:pPr>
        <w:adjustRightInd w:val="0"/>
        <w:snapToGrid w:val="0"/>
        <w:spacing w:line="360" w:lineRule="auto"/>
        <w:ind w:firstLine="560"/>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78287A66">
      <w:pPr>
        <w:adjustRightInd w:val="0"/>
        <w:snapToGrid w:val="0"/>
        <w:spacing w:line="360"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7EC0B416">
      <w:pPr>
        <w:adjustRightInd w:val="0"/>
        <w:snapToGrid w:val="0"/>
        <w:spacing w:line="360"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71A60BC4">
      <w:pPr>
        <w:adjustRightInd w:val="0"/>
        <w:snapToGrid w:val="0"/>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3E4A22F4">
      <w:pPr>
        <w:adjustRightInd w:val="0"/>
        <w:snapToGrid w:val="0"/>
        <w:spacing w:line="360"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1D4C0676">
      <w:pPr>
        <w:adjustRightInd w:val="0"/>
        <w:snapToGrid w:val="0"/>
        <w:spacing w:line="360"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328C85B9">
      <w:pPr>
        <w:adjustRightInd w:val="0"/>
        <w:snapToGrid w:val="0"/>
        <w:spacing w:line="360"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63D60D98">
      <w:pPr>
        <w:adjustRightInd w:val="0"/>
        <w:snapToGrid w:val="0"/>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w:t>
      </w:r>
    </w:p>
    <w:p w14:paraId="2C849378">
      <w:pPr>
        <w:adjustRightInd w:val="0"/>
        <w:snapToGrid w:val="0"/>
        <w:spacing w:line="360" w:lineRule="auto"/>
        <w:ind w:firstLine="560"/>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59347C81">
      <w:pPr>
        <w:adjustRightInd w:val="0"/>
        <w:snapToGrid w:val="0"/>
        <w:spacing w:line="360" w:lineRule="auto"/>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09EAED0F">
      <w:pPr>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78D44482">
      <w:pPr>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711D6860">
      <w:pPr>
        <w:adjustRightInd w:val="0"/>
        <w:snapToGrid w:val="0"/>
        <w:spacing w:line="360" w:lineRule="auto"/>
        <w:ind w:firstLine="560"/>
        <w:rPr>
          <w:rFonts w:ascii="宋体" w:hAnsi="宋体" w:cs="宋体"/>
          <w:color w:val="auto"/>
          <w:sz w:val="28"/>
          <w:szCs w:val="28"/>
          <w:highlight w:val="none"/>
        </w:rPr>
      </w:pPr>
    </w:p>
    <w:p w14:paraId="2B27217C">
      <w:pPr>
        <w:adjustRightInd w:val="0"/>
        <w:snapToGrid w:val="0"/>
        <w:spacing w:line="360" w:lineRule="auto"/>
        <w:ind w:firstLine="560"/>
        <w:rPr>
          <w:rFonts w:ascii="宋体" w:hAnsi="宋体" w:cs="宋体"/>
          <w:color w:val="auto"/>
          <w:sz w:val="28"/>
          <w:szCs w:val="28"/>
          <w:highlight w:val="none"/>
        </w:rPr>
      </w:pPr>
    </w:p>
    <w:p w14:paraId="52E73D4F">
      <w:pPr>
        <w:ind w:firstLine="562"/>
        <w:rPr>
          <w:rFonts w:ascii="宋体" w:hAnsi="宋体" w:cs="宋体"/>
          <w:b/>
          <w:color w:val="auto"/>
          <w:sz w:val="28"/>
          <w:szCs w:val="28"/>
          <w:highlight w:val="none"/>
        </w:rPr>
      </w:pPr>
    </w:p>
    <w:p w14:paraId="41154C4E">
      <w:pPr>
        <w:ind w:firstLine="562"/>
        <w:rPr>
          <w:rFonts w:ascii="宋体" w:hAnsi="宋体" w:cs="宋体"/>
          <w:b/>
          <w:color w:val="auto"/>
          <w:sz w:val="28"/>
          <w:szCs w:val="28"/>
          <w:highlight w:val="none"/>
        </w:rPr>
      </w:pPr>
    </w:p>
    <w:p w14:paraId="15FF1548">
      <w:pPr>
        <w:ind w:firstLine="562"/>
        <w:rPr>
          <w:rFonts w:ascii="宋体" w:hAnsi="宋体" w:cs="宋体"/>
          <w:b/>
          <w:color w:val="auto"/>
          <w:sz w:val="28"/>
          <w:szCs w:val="28"/>
          <w:highlight w:val="none"/>
        </w:rPr>
      </w:pPr>
    </w:p>
    <w:p w14:paraId="7FE5E8E2">
      <w:pPr>
        <w:ind w:firstLine="562"/>
        <w:rPr>
          <w:rFonts w:ascii="宋体" w:hAnsi="宋体" w:cs="宋体"/>
          <w:b/>
          <w:color w:val="auto"/>
          <w:sz w:val="28"/>
          <w:szCs w:val="28"/>
          <w:highlight w:val="none"/>
        </w:rPr>
      </w:pPr>
    </w:p>
    <w:p w14:paraId="646ED116">
      <w:pPr>
        <w:ind w:firstLine="562"/>
        <w:rPr>
          <w:rFonts w:ascii="宋体" w:hAnsi="宋体" w:cs="宋体"/>
          <w:b/>
          <w:color w:val="auto"/>
          <w:sz w:val="28"/>
          <w:szCs w:val="28"/>
          <w:highlight w:val="none"/>
        </w:rPr>
      </w:pPr>
    </w:p>
    <w:p w14:paraId="42839E85">
      <w:pPr>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9FB18F4">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1EDBF2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5F51AED">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E59402C">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493A97D">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718AF52">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AC5DA1">
      <w:pPr>
        <w:ind w:firstLine="400"/>
        <w:rPr>
          <w:rFonts w:ascii="宋体" w:hAnsi="宋体" w:cs="宋体"/>
          <w:color w:val="auto"/>
          <w:sz w:val="20"/>
          <w:szCs w:val="22"/>
          <w:highlight w:val="none"/>
        </w:rPr>
      </w:pPr>
    </w:p>
    <w:p w14:paraId="1AE81914">
      <w:pPr>
        <w:pStyle w:val="42"/>
        <w:rPr>
          <w:color w:val="auto"/>
          <w:highlight w:val="none"/>
        </w:rPr>
      </w:pPr>
    </w:p>
    <w:p w14:paraId="732EB436">
      <w:pPr>
        <w:pStyle w:val="34"/>
        <w:ind w:firstLine="400"/>
        <w:rPr>
          <w:rFonts w:ascii="宋体" w:hAnsi="宋体" w:cs="宋体"/>
          <w:color w:val="auto"/>
          <w:sz w:val="20"/>
          <w:szCs w:val="22"/>
          <w:highlight w:val="none"/>
        </w:rPr>
      </w:pPr>
    </w:p>
    <w:p w14:paraId="2E5CFD3D">
      <w:pPr>
        <w:ind w:firstLine="400"/>
        <w:rPr>
          <w:rFonts w:ascii="宋体" w:hAnsi="宋体" w:cs="宋体"/>
          <w:color w:val="auto"/>
          <w:sz w:val="20"/>
          <w:szCs w:val="22"/>
          <w:highlight w:val="none"/>
        </w:rPr>
      </w:pPr>
    </w:p>
    <w:p w14:paraId="0821F610">
      <w:pPr>
        <w:pStyle w:val="5"/>
        <w:keepNext w:val="0"/>
        <w:keepLines w:val="0"/>
        <w:pageBreakBefore/>
        <w:rPr>
          <w:rFonts w:ascii="宋体" w:hAnsi="宋体" w:eastAsia="宋体" w:cs="宋体"/>
          <w:b w:val="0"/>
          <w:color w:val="auto"/>
          <w:sz w:val="24"/>
          <w:highlight w:val="none"/>
        </w:rPr>
      </w:pPr>
      <w:bookmarkStart w:id="64" w:name="_Toc28792"/>
      <w:bookmarkStart w:id="65" w:name="_Toc32533"/>
      <w:bookmarkStart w:id="66" w:name="_Toc13485"/>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二十一</w:t>
      </w:r>
      <w:r>
        <w:rPr>
          <w:rFonts w:hint="eastAsia" w:ascii="宋体" w:hAnsi="宋体" w:eastAsia="宋体" w:cs="宋体"/>
          <w:b w:val="0"/>
          <w:color w:val="auto"/>
          <w:sz w:val="24"/>
          <w:highlight w:val="none"/>
        </w:rPr>
        <w:t>：投诉书范本</w:t>
      </w:r>
      <w:bookmarkEnd w:id="64"/>
      <w:bookmarkEnd w:id="65"/>
      <w:bookmarkEnd w:id="66"/>
    </w:p>
    <w:p w14:paraId="59604A76">
      <w:pPr>
        <w:ind w:firstLine="803"/>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299D6862">
      <w:pPr>
        <w:ind w:firstLine="560"/>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02674F5C">
      <w:pPr>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253FAF20">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F2D073C">
      <w:pPr>
        <w:tabs>
          <w:tab w:val="left" w:pos="6510"/>
        </w:tabs>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266247D4">
      <w:pPr>
        <w:tabs>
          <w:tab w:val="left" w:pos="6510"/>
        </w:tabs>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1DDD5180">
      <w:pPr>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4CB436A4">
      <w:pPr>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2861372C">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7DBD770">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F55DED1">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E5DFF6D">
      <w:pPr>
        <w:ind w:firstLine="560"/>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30E26726">
      <w:pPr>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4B650DA7">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DC6364A">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637785D">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416A394">
      <w:pPr>
        <w:ind w:firstLine="560"/>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448A6B3E">
      <w:pPr>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0B516848">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0159F24B">
      <w:pPr>
        <w:ind w:firstLine="560"/>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A054A9E">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2BB52333">
      <w:pPr>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7D362850">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4659EE1E">
      <w:pPr>
        <w:ind w:firstLine="560"/>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73AA7540">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0D450AB2">
      <w:pPr>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4887B83C">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341EB8C1">
      <w:pPr>
        <w:ind w:firstLine="560"/>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109EFC93">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5980CD9F">
      <w:pPr>
        <w:ind w:firstLine="560"/>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469EC252">
      <w:pPr>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23DD182D">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51470DB3">
      <w:pPr>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3A8A6191">
      <w:pPr>
        <w:ind w:firstLine="560"/>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043DBC85">
      <w:pPr>
        <w:ind w:firstLine="560"/>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450CF438">
      <w:pPr>
        <w:ind w:firstLine="560"/>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70C3AE65">
      <w:pPr>
        <w:ind w:firstLine="560"/>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22696858">
      <w:pPr>
        <w:ind w:firstLine="560"/>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13A63B74">
      <w:pPr>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1306D012">
      <w:pPr>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2565F5F7">
      <w:pPr>
        <w:ind w:firstLine="562"/>
        <w:rPr>
          <w:rFonts w:ascii="宋体" w:hAnsi="宋体" w:cs="宋体"/>
          <w:b/>
          <w:color w:val="auto"/>
          <w:sz w:val="28"/>
          <w:szCs w:val="28"/>
          <w:highlight w:val="none"/>
        </w:rPr>
      </w:pPr>
    </w:p>
    <w:p w14:paraId="38E8F365">
      <w:pPr>
        <w:ind w:firstLine="562"/>
        <w:rPr>
          <w:rFonts w:ascii="宋体" w:hAnsi="宋体" w:cs="宋体"/>
          <w:b/>
          <w:color w:val="auto"/>
          <w:sz w:val="28"/>
          <w:szCs w:val="28"/>
          <w:highlight w:val="none"/>
        </w:rPr>
      </w:pPr>
    </w:p>
    <w:p w14:paraId="3686136B">
      <w:pPr>
        <w:ind w:firstLine="562"/>
        <w:rPr>
          <w:rFonts w:ascii="宋体" w:hAnsi="宋体" w:cs="宋体"/>
          <w:b/>
          <w:color w:val="auto"/>
          <w:sz w:val="28"/>
          <w:szCs w:val="28"/>
          <w:highlight w:val="none"/>
        </w:rPr>
      </w:pPr>
    </w:p>
    <w:p w14:paraId="1E5DFF06">
      <w:pPr>
        <w:ind w:firstLine="562"/>
        <w:rPr>
          <w:rFonts w:ascii="宋体" w:hAnsi="宋体" w:cs="宋体"/>
          <w:b/>
          <w:color w:val="auto"/>
          <w:sz w:val="28"/>
          <w:szCs w:val="28"/>
          <w:highlight w:val="none"/>
        </w:rPr>
      </w:pPr>
    </w:p>
    <w:p w14:paraId="58277872">
      <w:pPr>
        <w:ind w:firstLine="562"/>
        <w:rPr>
          <w:rFonts w:ascii="宋体" w:hAnsi="宋体" w:cs="宋体"/>
          <w:b/>
          <w:color w:val="auto"/>
          <w:sz w:val="28"/>
          <w:szCs w:val="28"/>
          <w:highlight w:val="none"/>
        </w:rPr>
      </w:pPr>
    </w:p>
    <w:p w14:paraId="131E995F">
      <w:pPr>
        <w:ind w:firstLine="482"/>
        <w:rPr>
          <w:rFonts w:ascii="宋体" w:hAnsi="宋体" w:cs="宋体"/>
          <w:b/>
          <w:color w:val="auto"/>
          <w:sz w:val="24"/>
          <w:highlight w:val="none"/>
        </w:rPr>
      </w:pPr>
      <w:r>
        <w:rPr>
          <w:rFonts w:hint="eastAsia" w:ascii="宋体" w:hAnsi="宋体" w:cs="宋体"/>
          <w:b/>
          <w:color w:val="auto"/>
          <w:sz w:val="24"/>
          <w:highlight w:val="none"/>
        </w:rPr>
        <w:t>投诉书制作说明：</w:t>
      </w:r>
    </w:p>
    <w:p w14:paraId="63C90B91">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9D0D7E6">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9AA65A6">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68EA0DC">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638E3D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022ACA7">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7F2ECE1">
      <w:pPr>
        <w:snapToGrid w:val="0"/>
        <w:spacing w:line="360" w:lineRule="auto"/>
        <w:ind w:firstLine="88" w:firstLineChars="37"/>
        <w:rPr>
          <w:rFonts w:ascii="宋体"/>
          <w:color w:val="auto"/>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sectPr>
      <w:footerReference r:id="rId18" w:type="default"/>
      <w:pgSz w:w="11906" w:h="16838"/>
      <w:pgMar w:top="1021" w:right="1134" w:bottom="1021" w:left="1134" w:header="284"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3B2B4">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96060">
                          <w:pPr>
                            <w:pStyle w:val="2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B96060">
                    <w:pPr>
                      <w:pStyle w:val="2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092E">
    <w:pPr>
      <w:pStyle w:val="29"/>
      <w:framePr w:wrap="around" w:vAnchor="text" w:hAnchor="margin" w:xAlign="right" w:y="1"/>
      <w:ind w:firstLine="360"/>
      <w:rPr>
        <w:rStyle w:val="49"/>
      </w:rPr>
    </w:pPr>
    <w:r>
      <w:fldChar w:fldCharType="begin"/>
    </w:r>
    <w:r>
      <w:rPr>
        <w:rStyle w:val="49"/>
      </w:rPr>
      <w:instrText xml:space="preserve">PAGE  </w:instrText>
    </w:r>
    <w:r>
      <w:fldChar w:fldCharType="end"/>
    </w:r>
  </w:p>
  <w:p w14:paraId="3E640CBE">
    <w:pPr>
      <w:pStyle w:val="29"/>
      <w:ind w:right="360" w:firstLine="360"/>
    </w:pPr>
  </w:p>
  <w:p w14:paraId="306D9090"/>
  <w:p w14:paraId="3B4AA3CC"/>
  <w:p w14:paraId="077DCDF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2EEE">
    <w:pPr>
      <w:pStyle w:val="29"/>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03F49">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B03F49">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BBE9">
    <w:pPr>
      <w:pStyle w:val="29"/>
      <w:framePr w:wrap="around" w:vAnchor="text" w:hAnchor="margin" w:xAlign="center" w:y="1"/>
      <w:rPr>
        <w:rStyle w:val="49"/>
      </w:rPr>
    </w:pPr>
    <w:r>
      <w:fldChar w:fldCharType="begin"/>
    </w:r>
    <w:r>
      <w:rPr>
        <w:rStyle w:val="49"/>
      </w:rPr>
      <w:instrText xml:space="preserve">PAGE  </w:instrText>
    </w:r>
    <w:r>
      <w:fldChar w:fldCharType="end"/>
    </w:r>
  </w:p>
  <w:p w14:paraId="0235995D">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8571F">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78DF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578DFC">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4A75">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AC935">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4AC935">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36063">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926740">
                          <w:pPr>
                            <w:pStyle w:val="29"/>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3C926740">
                    <w:pPr>
                      <w:pStyle w:val="2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6043F">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97C7A">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F97C7A">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B0356">
    <w:pPr>
      <w:pStyle w:val="29"/>
      <w:framePr w:wrap="around" w:vAnchor="text" w:hAnchor="margin" w:xAlign="outside" w:y="1"/>
      <w:rPr>
        <w:rStyle w:val="49"/>
      </w:rPr>
    </w:pPr>
    <w:r>
      <w:fldChar w:fldCharType="begin"/>
    </w:r>
    <w:r>
      <w:rPr>
        <w:rStyle w:val="49"/>
      </w:rPr>
      <w:instrText xml:space="preserve">PAGE  </w:instrText>
    </w:r>
    <w:r>
      <w:fldChar w:fldCharType="separate"/>
    </w:r>
    <w:r>
      <w:rPr>
        <w:rStyle w:val="49"/>
      </w:rPr>
      <w:t>32</w:t>
    </w:r>
    <w:r>
      <w:fldChar w:fldCharType="end"/>
    </w:r>
  </w:p>
  <w:p w14:paraId="01BF52AD">
    <w:pPr>
      <w:pStyle w:val="2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60F7">
    <w:pPr>
      <w:pStyle w:val="29"/>
      <w:framePr w:wrap="around" w:vAnchor="text" w:hAnchor="margin" w:xAlign="outside" w:y="1"/>
      <w:rPr>
        <w:rStyle w:val="49"/>
        <w:rFonts w:ascii="宋体" w:hAnsi="宋体" w:eastAsia="宋体"/>
        <w:sz w:val="28"/>
        <w:szCs w:val="28"/>
      </w:rPr>
    </w:pPr>
  </w:p>
  <w:p w14:paraId="300540B7">
    <w:pPr>
      <w:pStyle w:val="29"/>
      <w:ind w:right="720" w:firstLine="180" w:firstLineChars="100"/>
      <w:jc w:val="both"/>
    </w:pPr>
    <w:r>
      <w:rPr>
        <w:rFonts w:hint="eastAsia"/>
      </w:rPr>
      <w:t xml:space="preserve">                                                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66123">
    <w:pPr>
      <w:pStyle w:val="29"/>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C9A55">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CC9A55">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B62E">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64D9B">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87648">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42904">
    <w:pPr>
      <w:pStyle w:val="30"/>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7D840">
    <w:pPr>
      <w:pStyle w:val="30"/>
    </w:pPr>
  </w:p>
  <w:p w14:paraId="125F7002">
    <w:pPr>
      <w:pStyle w:val="30"/>
      <w:pBdr>
        <w:bottom w:val="none" w:color="auto" w:sz="0" w:space="1"/>
      </w:pBdr>
      <w:tabs>
        <w:tab w:val="left" w:pos="3075"/>
        <w:tab w:val="left" w:pos="6780"/>
        <w:tab w:val="clear" w:pos="4153"/>
        <w:tab w:val="clear" w:pos="8306"/>
      </w:tabs>
      <w:ind w:firstLine="360"/>
      <w:jc w:val="center"/>
    </w:pPr>
    <w:r>
      <w:rPr>
        <w:rFonts w:hint="eastAsia"/>
        <w:color w:val="000000" w:themeColor="text1"/>
        <w:lang w:eastAsia="zh-CN"/>
        <w14:textFill>
          <w14:solidFill>
            <w14:schemeClr w14:val="tx1"/>
          </w14:solidFill>
        </w14:textFill>
      </w:rPr>
      <w:t>东阳市南市街道办事处食堂劳务及物资配送服务项目</w:t>
    </w:r>
  </w:p>
  <w:p w14:paraId="7A8803EF">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A6483"/>
    <w:multiLevelType w:val="singleLevel"/>
    <w:tmpl w:val="955A6483"/>
    <w:lvl w:ilvl="0" w:tentative="0">
      <w:start w:val="1"/>
      <w:numFmt w:val="decimal"/>
      <w:suff w:val="nothing"/>
      <w:lvlText w:val="%1、"/>
      <w:lvlJc w:val="left"/>
    </w:lvl>
  </w:abstractNum>
  <w:abstractNum w:abstractNumId="1">
    <w:nsid w:val="B7BCF419"/>
    <w:multiLevelType w:val="singleLevel"/>
    <w:tmpl w:val="B7BCF419"/>
    <w:lvl w:ilvl="0" w:tentative="0">
      <w:start w:val="1"/>
      <w:numFmt w:val="decimal"/>
      <w:suff w:val="space"/>
      <w:lvlText w:val="%1、"/>
      <w:lvlJc w:val="left"/>
    </w:lvl>
  </w:abstractNum>
  <w:abstractNum w:abstractNumId="2">
    <w:nsid w:val="5D410D0D"/>
    <w:multiLevelType w:val="singleLevel"/>
    <w:tmpl w:val="5D410D0D"/>
    <w:lvl w:ilvl="0" w:tentative="0">
      <w:start w:val="5"/>
      <w:numFmt w:val="chineseCounting"/>
      <w:suff w:val="space"/>
      <w:lvlText w:val="第%1章"/>
      <w:lvlJc w:val="left"/>
      <w:rPr>
        <w:rFonts w:hint="eastAsia"/>
      </w:rPr>
    </w:lvl>
  </w:abstractNum>
  <w:abstractNum w:abstractNumId="3">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FA3866"/>
    <w:multiLevelType w:val="singleLevel"/>
    <w:tmpl w:val="75FA3866"/>
    <w:lvl w:ilvl="0" w:tentative="0">
      <w:start w:val="3"/>
      <w:numFmt w:val="decimal"/>
      <w:suff w:val="space"/>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lvlOverride w:ilvl="0">
      <w:startOverride w:val="1"/>
    </w:lvlOverride>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ODY2OTk3YTg3M2M3OTA5NmNkNjgwYjFkZjA0MzEifQ=="/>
  </w:docVars>
  <w:rsids>
    <w:rsidRoot w:val="007706A5"/>
    <w:rsid w:val="000000D1"/>
    <w:rsid w:val="000002A2"/>
    <w:rsid w:val="00000340"/>
    <w:rsid w:val="000006C3"/>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680"/>
    <w:rsid w:val="00004B38"/>
    <w:rsid w:val="00004CC2"/>
    <w:rsid w:val="00004FF1"/>
    <w:rsid w:val="000056BA"/>
    <w:rsid w:val="000059AB"/>
    <w:rsid w:val="000059C9"/>
    <w:rsid w:val="000060A9"/>
    <w:rsid w:val="00006A51"/>
    <w:rsid w:val="00006AE1"/>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B58"/>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140"/>
    <w:rsid w:val="00027623"/>
    <w:rsid w:val="000277B1"/>
    <w:rsid w:val="00027E31"/>
    <w:rsid w:val="00030010"/>
    <w:rsid w:val="00030029"/>
    <w:rsid w:val="00030527"/>
    <w:rsid w:val="00031018"/>
    <w:rsid w:val="00031987"/>
    <w:rsid w:val="00031997"/>
    <w:rsid w:val="000319DA"/>
    <w:rsid w:val="00031C2E"/>
    <w:rsid w:val="00032B05"/>
    <w:rsid w:val="00032B28"/>
    <w:rsid w:val="00033B46"/>
    <w:rsid w:val="00033CA6"/>
    <w:rsid w:val="00034021"/>
    <w:rsid w:val="00034EA7"/>
    <w:rsid w:val="00035005"/>
    <w:rsid w:val="000352EC"/>
    <w:rsid w:val="0003568B"/>
    <w:rsid w:val="0003613C"/>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8D7"/>
    <w:rsid w:val="00042FD0"/>
    <w:rsid w:val="00044A91"/>
    <w:rsid w:val="00044BF9"/>
    <w:rsid w:val="00044F2F"/>
    <w:rsid w:val="00045AFA"/>
    <w:rsid w:val="00046007"/>
    <w:rsid w:val="00046DFA"/>
    <w:rsid w:val="000470B3"/>
    <w:rsid w:val="000471B0"/>
    <w:rsid w:val="00047702"/>
    <w:rsid w:val="0005032D"/>
    <w:rsid w:val="000505A6"/>
    <w:rsid w:val="00050722"/>
    <w:rsid w:val="0005082A"/>
    <w:rsid w:val="000512D9"/>
    <w:rsid w:val="00051646"/>
    <w:rsid w:val="00051BCC"/>
    <w:rsid w:val="0005217D"/>
    <w:rsid w:val="00052223"/>
    <w:rsid w:val="000522D9"/>
    <w:rsid w:val="00052444"/>
    <w:rsid w:val="000529BF"/>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801"/>
    <w:rsid w:val="0007096D"/>
    <w:rsid w:val="00071901"/>
    <w:rsid w:val="00071A99"/>
    <w:rsid w:val="00071F17"/>
    <w:rsid w:val="00072BA1"/>
    <w:rsid w:val="00072D2C"/>
    <w:rsid w:val="00072D2E"/>
    <w:rsid w:val="00073031"/>
    <w:rsid w:val="00074094"/>
    <w:rsid w:val="00074586"/>
    <w:rsid w:val="00074682"/>
    <w:rsid w:val="00074B32"/>
    <w:rsid w:val="00075DD1"/>
    <w:rsid w:val="0007746D"/>
    <w:rsid w:val="00077966"/>
    <w:rsid w:val="00077DFF"/>
    <w:rsid w:val="00080056"/>
    <w:rsid w:val="000800BF"/>
    <w:rsid w:val="000802AD"/>
    <w:rsid w:val="00081768"/>
    <w:rsid w:val="0008229D"/>
    <w:rsid w:val="000829AA"/>
    <w:rsid w:val="000829AE"/>
    <w:rsid w:val="00082D59"/>
    <w:rsid w:val="000834A4"/>
    <w:rsid w:val="0008365F"/>
    <w:rsid w:val="000838F4"/>
    <w:rsid w:val="00084863"/>
    <w:rsid w:val="000849AC"/>
    <w:rsid w:val="000849AF"/>
    <w:rsid w:val="00084EA2"/>
    <w:rsid w:val="000857BE"/>
    <w:rsid w:val="000860C3"/>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CF"/>
    <w:rsid w:val="00095EEF"/>
    <w:rsid w:val="000963A0"/>
    <w:rsid w:val="00096A58"/>
    <w:rsid w:val="00097712"/>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458D"/>
    <w:rsid w:val="000A48F4"/>
    <w:rsid w:val="000A4D02"/>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1F50"/>
    <w:rsid w:val="000B289B"/>
    <w:rsid w:val="000B296D"/>
    <w:rsid w:val="000B298B"/>
    <w:rsid w:val="000B34F0"/>
    <w:rsid w:val="000B350F"/>
    <w:rsid w:val="000B3668"/>
    <w:rsid w:val="000B3E38"/>
    <w:rsid w:val="000B41DE"/>
    <w:rsid w:val="000B4283"/>
    <w:rsid w:val="000B45A1"/>
    <w:rsid w:val="000B6150"/>
    <w:rsid w:val="000B6D06"/>
    <w:rsid w:val="000B6F53"/>
    <w:rsid w:val="000B729C"/>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31AB"/>
    <w:rsid w:val="000C3624"/>
    <w:rsid w:val="000C36B9"/>
    <w:rsid w:val="000C3FFB"/>
    <w:rsid w:val="000C410C"/>
    <w:rsid w:val="000C4147"/>
    <w:rsid w:val="000C427E"/>
    <w:rsid w:val="000C49E2"/>
    <w:rsid w:val="000C5BA4"/>
    <w:rsid w:val="000C6028"/>
    <w:rsid w:val="000C61CB"/>
    <w:rsid w:val="000C66BE"/>
    <w:rsid w:val="000C7237"/>
    <w:rsid w:val="000C72E2"/>
    <w:rsid w:val="000C7B74"/>
    <w:rsid w:val="000D022F"/>
    <w:rsid w:val="000D07D1"/>
    <w:rsid w:val="000D134D"/>
    <w:rsid w:val="000D13F5"/>
    <w:rsid w:val="000D1754"/>
    <w:rsid w:val="000D18A3"/>
    <w:rsid w:val="000D2726"/>
    <w:rsid w:val="000D2790"/>
    <w:rsid w:val="000D2907"/>
    <w:rsid w:val="000D311D"/>
    <w:rsid w:val="000D4867"/>
    <w:rsid w:val="000D4A39"/>
    <w:rsid w:val="000D50BC"/>
    <w:rsid w:val="000D5631"/>
    <w:rsid w:val="000D5D1D"/>
    <w:rsid w:val="000D6AE5"/>
    <w:rsid w:val="000D6EB9"/>
    <w:rsid w:val="000D6F4F"/>
    <w:rsid w:val="000D7988"/>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6B"/>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1FC9"/>
    <w:rsid w:val="00102505"/>
    <w:rsid w:val="001025AB"/>
    <w:rsid w:val="001028D9"/>
    <w:rsid w:val="0010336D"/>
    <w:rsid w:val="001034FE"/>
    <w:rsid w:val="00103B4E"/>
    <w:rsid w:val="00103EFE"/>
    <w:rsid w:val="001042F9"/>
    <w:rsid w:val="00104D94"/>
    <w:rsid w:val="00105129"/>
    <w:rsid w:val="00105267"/>
    <w:rsid w:val="00105596"/>
    <w:rsid w:val="00105CF7"/>
    <w:rsid w:val="00106316"/>
    <w:rsid w:val="00106C62"/>
    <w:rsid w:val="00110C02"/>
    <w:rsid w:val="00110DDE"/>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0FB"/>
    <w:rsid w:val="001153D2"/>
    <w:rsid w:val="00115675"/>
    <w:rsid w:val="00115684"/>
    <w:rsid w:val="001157F1"/>
    <w:rsid w:val="00115A2C"/>
    <w:rsid w:val="001165E5"/>
    <w:rsid w:val="00116A16"/>
    <w:rsid w:val="00117415"/>
    <w:rsid w:val="001174B5"/>
    <w:rsid w:val="00117A1E"/>
    <w:rsid w:val="0012006F"/>
    <w:rsid w:val="0012113F"/>
    <w:rsid w:val="001213E2"/>
    <w:rsid w:val="00122889"/>
    <w:rsid w:val="00122934"/>
    <w:rsid w:val="0012341D"/>
    <w:rsid w:val="00123770"/>
    <w:rsid w:val="00123FE5"/>
    <w:rsid w:val="00124652"/>
    <w:rsid w:val="001249BA"/>
    <w:rsid w:val="00124E0A"/>
    <w:rsid w:val="001252B5"/>
    <w:rsid w:val="00125932"/>
    <w:rsid w:val="00125D29"/>
    <w:rsid w:val="00126231"/>
    <w:rsid w:val="00126DE1"/>
    <w:rsid w:val="00127230"/>
    <w:rsid w:val="00127449"/>
    <w:rsid w:val="00127B05"/>
    <w:rsid w:val="00127DC2"/>
    <w:rsid w:val="00130534"/>
    <w:rsid w:val="00130ED0"/>
    <w:rsid w:val="001310CD"/>
    <w:rsid w:val="00131901"/>
    <w:rsid w:val="00131A38"/>
    <w:rsid w:val="00131BCA"/>
    <w:rsid w:val="00132695"/>
    <w:rsid w:val="001327F8"/>
    <w:rsid w:val="001333CA"/>
    <w:rsid w:val="001335B7"/>
    <w:rsid w:val="00133652"/>
    <w:rsid w:val="00133824"/>
    <w:rsid w:val="00133C59"/>
    <w:rsid w:val="001346C0"/>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F8E"/>
    <w:rsid w:val="0014154B"/>
    <w:rsid w:val="001415D3"/>
    <w:rsid w:val="001418EA"/>
    <w:rsid w:val="00141D98"/>
    <w:rsid w:val="00142477"/>
    <w:rsid w:val="001426FA"/>
    <w:rsid w:val="001436A3"/>
    <w:rsid w:val="001436B8"/>
    <w:rsid w:val="00143B64"/>
    <w:rsid w:val="00143C11"/>
    <w:rsid w:val="00143FC3"/>
    <w:rsid w:val="001444C0"/>
    <w:rsid w:val="00144E73"/>
    <w:rsid w:val="001457E6"/>
    <w:rsid w:val="00145937"/>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64"/>
    <w:rsid w:val="0015185A"/>
    <w:rsid w:val="00151B14"/>
    <w:rsid w:val="00151C6C"/>
    <w:rsid w:val="0015246F"/>
    <w:rsid w:val="00152D50"/>
    <w:rsid w:val="00152EAB"/>
    <w:rsid w:val="001534AF"/>
    <w:rsid w:val="001536C6"/>
    <w:rsid w:val="00153CF2"/>
    <w:rsid w:val="001548A6"/>
    <w:rsid w:val="00154A9B"/>
    <w:rsid w:val="00155062"/>
    <w:rsid w:val="00155067"/>
    <w:rsid w:val="001556C6"/>
    <w:rsid w:val="001558D7"/>
    <w:rsid w:val="00155A78"/>
    <w:rsid w:val="00155DA2"/>
    <w:rsid w:val="00155E9F"/>
    <w:rsid w:val="00156279"/>
    <w:rsid w:val="00156C22"/>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713"/>
    <w:rsid w:val="00172A1E"/>
    <w:rsid w:val="00172EA3"/>
    <w:rsid w:val="001732D9"/>
    <w:rsid w:val="00173C45"/>
    <w:rsid w:val="00173CC1"/>
    <w:rsid w:val="00173F6A"/>
    <w:rsid w:val="00174832"/>
    <w:rsid w:val="00174BB3"/>
    <w:rsid w:val="00174DC9"/>
    <w:rsid w:val="00174F65"/>
    <w:rsid w:val="001752F1"/>
    <w:rsid w:val="001759DE"/>
    <w:rsid w:val="001761FE"/>
    <w:rsid w:val="0017679C"/>
    <w:rsid w:val="00176970"/>
    <w:rsid w:val="00177E06"/>
    <w:rsid w:val="0018010F"/>
    <w:rsid w:val="00180226"/>
    <w:rsid w:val="001804BC"/>
    <w:rsid w:val="001806FF"/>
    <w:rsid w:val="00181066"/>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946"/>
    <w:rsid w:val="00191B21"/>
    <w:rsid w:val="00191EA2"/>
    <w:rsid w:val="001920FF"/>
    <w:rsid w:val="001945BC"/>
    <w:rsid w:val="00194ADD"/>
    <w:rsid w:val="001959C8"/>
    <w:rsid w:val="00195DFA"/>
    <w:rsid w:val="00196246"/>
    <w:rsid w:val="001966F5"/>
    <w:rsid w:val="00196C84"/>
    <w:rsid w:val="00196E85"/>
    <w:rsid w:val="00196EC4"/>
    <w:rsid w:val="00197565"/>
    <w:rsid w:val="001A07B0"/>
    <w:rsid w:val="001A0E37"/>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14"/>
    <w:rsid w:val="001B7BB7"/>
    <w:rsid w:val="001B7CD2"/>
    <w:rsid w:val="001B7EE7"/>
    <w:rsid w:val="001C03C4"/>
    <w:rsid w:val="001C040C"/>
    <w:rsid w:val="001C0600"/>
    <w:rsid w:val="001C0CDB"/>
    <w:rsid w:val="001C0EAD"/>
    <w:rsid w:val="001C0EF5"/>
    <w:rsid w:val="001C22D4"/>
    <w:rsid w:val="001C3D05"/>
    <w:rsid w:val="001C3E4D"/>
    <w:rsid w:val="001C3F0A"/>
    <w:rsid w:val="001C407F"/>
    <w:rsid w:val="001C41C4"/>
    <w:rsid w:val="001C41E9"/>
    <w:rsid w:val="001C4C22"/>
    <w:rsid w:val="001C4CB8"/>
    <w:rsid w:val="001C5125"/>
    <w:rsid w:val="001C51E2"/>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D7E7A"/>
    <w:rsid w:val="001E013B"/>
    <w:rsid w:val="001E0149"/>
    <w:rsid w:val="001E020D"/>
    <w:rsid w:val="001E0614"/>
    <w:rsid w:val="001E0849"/>
    <w:rsid w:val="001E08DE"/>
    <w:rsid w:val="001E0B32"/>
    <w:rsid w:val="001E0F23"/>
    <w:rsid w:val="001E0F6D"/>
    <w:rsid w:val="001E1089"/>
    <w:rsid w:val="001E117F"/>
    <w:rsid w:val="001E1203"/>
    <w:rsid w:val="001E1616"/>
    <w:rsid w:val="001E170A"/>
    <w:rsid w:val="001E17BC"/>
    <w:rsid w:val="001E2C26"/>
    <w:rsid w:val="001E2DF8"/>
    <w:rsid w:val="001E42D0"/>
    <w:rsid w:val="001E434A"/>
    <w:rsid w:val="001E4AE3"/>
    <w:rsid w:val="001E4BB1"/>
    <w:rsid w:val="001E4C09"/>
    <w:rsid w:val="001E4D9E"/>
    <w:rsid w:val="001E4EBD"/>
    <w:rsid w:val="001E5281"/>
    <w:rsid w:val="001E538F"/>
    <w:rsid w:val="001E5EC2"/>
    <w:rsid w:val="001E602F"/>
    <w:rsid w:val="001E68B8"/>
    <w:rsid w:val="001E6B2D"/>
    <w:rsid w:val="001E6CC0"/>
    <w:rsid w:val="001E6E6B"/>
    <w:rsid w:val="001E7932"/>
    <w:rsid w:val="001F00F5"/>
    <w:rsid w:val="001F0E08"/>
    <w:rsid w:val="001F1721"/>
    <w:rsid w:val="001F1AFC"/>
    <w:rsid w:val="001F1B90"/>
    <w:rsid w:val="001F2D97"/>
    <w:rsid w:val="001F2FF8"/>
    <w:rsid w:val="001F374E"/>
    <w:rsid w:val="001F3A4D"/>
    <w:rsid w:val="001F3DEB"/>
    <w:rsid w:val="001F45BF"/>
    <w:rsid w:val="001F4C7C"/>
    <w:rsid w:val="001F4F5B"/>
    <w:rsid w:val="001F5035"/>
    <w:rsid w:val="001F555E"/>
    <w:rsid w:val="001F556B"/>
    <w:rsid w:val="001F5D1A"/>
    <w:rsid w:val="001F6D5B"/>
    <w:rsid w:val="001F7290"/>
    <w:rsid w:val="001F7BF7"/>
    <w:rsid w:val="002003E5"/>
    <w:rsid w:val="00200E2A"/>
    <w:rsid w:val="0020167C"/>
    <w:rsid w:val="002017A7"/>
    <w:rsid w:val="00201DFD"/>
    <w:rsid w:val="00202DF9"/>
    <w:rsid w:val="002034AC"/>
    <w:rsid w:val="00203D02"/>
    <w:rsid w:val="002040C6"/>
    <w:rsid w:val="002043DC"/>
    <w:rsid w:val="00204C4A"/>
    <w:rsid w:val="00205741"/>
    <w:rsid w:val="002057A6"/>
    <w:rsid w:val="00205840"/>
    <w:rsid w:val="0020584C"/>
    <w:rsid w:val="0020597D"/>
    <w:rsid w:val="002062A2"/>
    <w:rsid w:val="00206BC5"/>
    <w:rsid w:val="00207476"/>
    <w:rsid w:val="002076B9"/>
    <w:rsid w:val="00207753"/>
    <w:rsid w:val="002103A6"/>
    <w:rsid w:val="00210F5A"/>
    <w:rsid w:val="002110DF"/>
    <w:rsid w:val="00211242"/>
    <w:rsid w:val="002114DA"/>
    <w:rsid w:val="0021183D"/>
    <w:rsid w:val="002126D7"/>
    <w:rsid w:val="002127D7"/>
    <w:rsid w:val="002131A0"/>
    <w:rsid w:val="0021337F"/>
    <w:rsid w:val="00213697"/>
    <w:rsid w:val="0021402D"/>
    <w:rsid w:val="002146E8"/>
    <w:rsid w:val="002151DA"/>
    <w:rsid w:val="002155B3"/>
    <w:rsid w:val="00215A10"/>
    <w:rsid w:val="0021630C"/>
    <w:rsid w:val="002163F2"/>
    <w:rsid w:val="00216D65"/>
    <w:rsid w:val="00217380"/>
    <w:rsid w:val="00217E03"/>
    <w:rsid w:val="00220732"/>
    <w:rsid w:val="00221237"/>
    <w:rsid w:val="00221F48"/>
    <w:rsid w:val="0022223C"/>
    <w:rsid w:val="00222375"/>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7D"/>
    <w:rsid w:val="00243BD4"/>
    <w:rsid w:val="00244CBD"/>
    <w:rsid w:val="00245628"/>
    <w:rsid w:val="00245F1F"/>
    <w:rsid w:val="002476AD"/>
    <w:rsid w:val="0024780E"/>
    <w:rsid w:val="002511AF"/>
    <w:rsid w:val="0025123A"/>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702BA"/>
    <w:rsid w:val="0027034C"/>
    <w:rsid w:val="00271B2A"/>
    <w:rsid w:val="00271F12"/>
    <w:rsid w:val="00272020"/>
    <w:rsid w:val="0027203C"/>
    <w:rsid w:val="002724E8"/>
    <w:rsid w:val="0027257B"/>
    <w:rsid w:val="00273214"/>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03D4"/>
    <w:rsid w:val="00281185"/>
    <w:rsid w:val="00281B48"/>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D09"/>
    <w:rsid w:val="002960DF"/>
    <w:rsid w:val="002964E0"/>
    <w:rsid w:val="0029769C"/>
    <w:rsid w:val="002A04B5"/>
    <w:rsid w:val="002A0B6A"/>
    <w:rsid w:val="002A0DD0"/>
    <w:rsid w:val="002A1D18"/>
    <w:rsid w:val="002A1FD2"/>
    <w:rsid w:val="002A24F8"/>
    <w:rsid w:val="002A272A"/>
    <w:rsid w:val="002A2E25"/>
    <w:rsid w:val="002A34A5"/>
    <w:rsid w:val="002A3527"/>
    <w:rsid w:val="002A38E3"/>
    <w:rsid w:val="002A3BDC"/>
    <w:rsid w:val="002A4707"/>
    <w:rsid w:val="002A470A"/>
    <w:rsid w:val="002A4B99"/>
    <w:rsid w:val="002A54FE"/>
    <w:rsid w:val="002A55DB"/>
    <w:rsid w:val="002A56B7"/>
    <w:rsid w:val="002A58EF"/>
    <w:rsid w:val="002A5A44"/>
    <w:rsid w:val="002A5BA0"/>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84D"/>
    <w:rsid w:val="002B5AE7"/>
    <w:rsid w:val="002B5F80"/>
    <w:rsid w:val="002B6313"/>
    <w:rsid w:val="002B6DBD"/>
    <w:rsid w:val="002B6DE3"/>
    <w:rsid w:val="002B720E"/>
    <w:rsid w:val="002B7739"/>
    <w:rsid w:val="002C0720"/>
    <w:rsid w:val="002C1B43"/>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79E"/>
    <w:rsid w:val="002C5A7A"/>
    <w:rsid w:val="002C60C7"/>
    <w:rsid w:val="002C661C"/>
    <w:rsid w:val="002C68AC"/>
    <w:rsid w:val="002C6B12"/>
    <w:rsid w:val="002D02A5"/>
    <w:rsid w:val="002D0DFA"/>
    <w:rsid w:val="002D1010"/>
    <w:rsid w:val="002D112B"/>
    <w:rsid w:val="002D1456"/>
    <w:rsid w:val="002D16A9"/>
    <w:rsid w:val="002D2003"/>
    <w:rsid w:val="002D2281"/>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B0C"/>
    <w:rsid w:val="002F2D0D"/>
    <w:rsid w:val="002F3716"/>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41CB"/>
    <w:rsid w:val="003041D6"/>
    <w:rsid w:val="0030493C"/>
    <w:rsid w:val="0030495C"/>
    <w:rsid w:val="00304C52"/>
    <w:rsid w:val="00304F98"/>
    <w:rsid w:val="003051A9"/>
    <w:rsid w:val="00305BE6"/>
    <w:rsid w:val="00305FD7"/>
    <w:rsid w:val="00306093"/>
    <w:rsid w:val="003069D6"/>
    <w:rsid w:val="00307C93"/>
    <w:rsid w:val="003103BA"/>
    <w:rsid w:val="00310449"/>
    <w:rsid w:val="003104B9"/>
    <w:rsid w:val="00310928"/>
    <w:rsid w:val="00311075"/>
    <w:rsid w:val="00311CB8"/>
    <w:rsid w:val="00311DCE"/>
    <w:rsid w:val="003122A2"/>
    <w:rsid w:val="00312345"/>
    <w:rsid w:val="003124AC"/>
    <w:rsid w:val="00312B56"/>
    <w:rsid w:val="00314EA9"/>
    <w:rsid w:val="0031558C"/>
    <w:rsid w:val="00315755"/>
    <w:rsid w:val="00315D8E"/>
    <w:rsid w:val="00315DCF"/>
    <w:rsid w:val="003169C4"/>
    <w:rsid w:val="00316B20"/>
    <w:rsid w:val="00317248"/>
    <w:rsid w:val="003175FA"/>
    <w:rsid w:val="00317960"/>
    <w:rsid w:val="00320008"/>
    <w:rsid w:val="00320145"/>
    <w:rsid w:val="00320683"/>
    <w:rsid w:val="00320A09"/>
    <w:rsid w:val="00320B50"/>
    <w:rsid w:val="0032108A"/>
    <w:rsid w:val="0032148C"/>
    <w:rsid w:val="003214E7"/>
    <w:rsid w:val="00321B99"/>
    <w:rsid w:val="00321E4B"/>
    <w:rsid w:val="00321FA5"/>
    <w:rsid w:val="003223F8"/>
    <w:rsid w:val="00322490"/>
    <w:rsid w:val="00322A9E"/>
    <w:rsid w:val="00322E6B"/>
    <w:rsid w:val="00323C65"/>
    <w:rsid w:val="0032471B"/>
    <w:rsid w:val="00324EA4"/>
    <w:rsid w:val="0032616A"/>
    <w:rsid w:val="003269FF"/>
    <w:rsid w:val="0032741D"/>
    <w:rsid w:val="00327A1D"/>
    <w:rsid w:val="00327A74"/>
    <w:rsid w:val="00327AC0"/>
    <w:rsid w:val="0033026F"/>
    <w:rsid w:val="0033038E"/>
    <w:rsid w:val="00330A97"/>
    <w:rsid w:val="00331CB7"/>
    <w:rsid w:val="00331E70"/>
    <w:rsid w:val="00332345"/>
    <w:rsid w:val="00332910"/>
    <w:rsid w:val="00332EE0"/>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6ED0"/>
    <w:rsid w:val="0033707D"/>
    <w:rsid w:val="00337AA3"/>
    <w:rsid w:val="00337FB7"/>
    <w:rsid w:val="0034084B"/>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57D9"/>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675"/>
    <w:rsid w:val="00356C7B"/>
    <w:rsid w:val="00356E0D"/>
    <w:rsid w:val="00356F4E"/>
    <w:rsid w:val="00357081"/>
    <w:rsid w:val="0036054A"/>
    <w:rsid w:val="00360752"/>
    <w:rsid w:val="00360B4B"/>
    <w:rsid w:val="00360E12"/>
    <w:rsid w:val="00361480"/>
    <w:rsid w:val="00361CD6"/>
    <w:rsid w:val="0036261B"/>
    <w:rsid w:val="00362916"/>
    <w:rsid w:val="00362A49"/>
    <w:rsid w:val="00362C35"/>
    <w:rsid w:val="00362C7D"/>
    <w:rsid w:val="00362EAA"/>
    <w:rsid w:val="003636B1"/>
    <w:rsid w:val="003638EA"/>
    <w:rsid w:val="003639DB"/>
    <w:rsid w:val="00363ECD"/>
    <w:rsid w:val="00364692"/>
    <w:rsid w:val="003652EE"/>
    <w:rsid w:val="00365487"/>
    <w:rsid w:val="00365799"/>
    <w:rsid w:val="00365996"/>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14C2"/>
    <w:rsid w:val="003821DE"/>
    <w:rsid w:val="00382203"/>
    <w:rsid w:val="0038333E"/>
    <w:rsid w:val="00383720"/>
    <w:rsid w:val="00384121"/>
    <w:rsid w:val="00384D88"/>
    <w:rsid w:val="0038555C"/>
    <w:rsid w:val="003859D4"/>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D2"/>
    <w:rsid w:val="0039551E"/>
    <w:rsid w:val="0039562B"/>
    <w:rsid w:val="00395B04"/>
    <w:rsid w:val="00395DF3"/>
    <w:rsid w:val="0039638F"/>
    <w:rsid w:val="00396F2B"/>
    <w:rsid w:val="00397786"/>
    <w:rsid w:val="00397A8F"/>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58F2"/>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60D6"/>
    <w:rsid w:val="003C63EB"/>
    <w:rsid w:val="003C6795"/>
    <w:rsid w:val="003C6856"/>
    <w:rsid w:val="003C6E21"/>
    <w:rsid w:val="003C7219"/>
    <w:rsid w:val="003C72D8"/>
    <w:rsid w:val="003C7D6D"/>
    <w:rsid w:val="003D01B4"/>
    <w:rsid w:val="003D06F1"/>
    <w:rsid w:val="003D0735"/>
    <w:rsid w:val="003D0DDE"/>
    <w:rsid w:val="003D12B8"/>
    <w:rsid w:val="003D1498"/>
    <w:rsid w:val="003D15BC"/>
    <w:rsid w:val="003D1AFF"/>
    <w:rsid w:val="003D242C"/>
    <w:rsid w:val="003D2B64"/>
    <w:rsid w:val="003D32C1"/>
    <w:rsid w:val="003D3528"/>
    <w:rsid w:val="003D360A"/>
    <w:rsid w:val="003D3C00"/>
    <w:rsid w:val="003D41AD"/>
    <w:rsid w:val="003D4549"/>
    <w:rsid w:val="003D4A84"/>
    <w:rsid w:val="003D4B3A"/>
    <w:rsid w:val="003D4B6A"/>
    <w:rsid w:val="003D515A"/>
    <w:rsid w:val="003D51A8"/>
    <w:rsid w:val="003D5506"/>
    <w:rsid w:val="003D5AA4"/>
    <w:rsid w:val="003D5B61"/>
    <w:rsid w:val="003D5EC0"/>
    <w:rsid w:val="003D5FCF"/>
    <w:rsid w:val="003D619A"/>
    <w:rsid w:val="003D66D2"/>
    <w:rsid w:val="003D7606"/>
    <w:rsid w:val="003D793B"/>
    <w:rsid w:val="003E024B"/>
    <w:rsid w:val="003E0B5B"/>
    <w:rsid w:val="003E0C25"/>
    <w:rsid w:val="003E0C79"/>
    <w:rsid w:val="003E0ECD"/>
    <w:rsid w:val="003E101A"/>
    <w:rsid w:val="003E17AB"/>
    <w:rsid w:val="003E18BA"/>
    <w:rsid w:val="003E260D"/>
    <w:rsid w:val="003E2782"/>
    <w:rsid w:val="003E2EA7"/>
    <w:rsid w:val="003E3027"/>
    <w:rsid w:val="003E3D33"/>
    <w:rsid w:val="003E3DBC"/>
    <w:rsid w:val="003E4ACC"/>
    <w:rsid w:val="003E50D7"/>
    <w:rsid w:val="003E5CD9"/>
    <w:rsid w:val="003E5E58"/>
    <w:rsid w:val="003E615B"/>
    <w:rsid w:val="003E659F"/>
    <w:rsid w:val="003E669D"/>
    <w:rsid w:val="003E6C30"/>
    <w:rsid w:val="003E7ABC"/>
    <w:rsid w:val="003E7B3F"/>
    <w:rsid w:val="003F0091"/>
    <w:rsid w:val="003F009D"/>
    <w:rsid w:val="003F02EE"/>
    <w:rsid w:val="003F0CE1"/>
    <w:rsid w:val="003F1035"/>
    <w:rsid w:val="003F1359"/>
    <w:rsid w:val="003F1E39"/>
    <w:rsid w:val="003F2060"/>
    <w:rsid w:val="003F262C"/>
    <w:rsid w:val="003F277F"/>
    <w:rsid w:val="003F2783"/>
    <w:rsid w:val="003F2DC1"/>
    <w:rsid w:val="003F3169"/>
    <w:rsid w:val="003F3201"/>
    <w:rsid w:val="003F321F"/>
    <w:rsid w:val="003F3505"/>
    <w:rsid w:val="003F3D76"/>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E88"/>
    <w:rsid w:val="00400FB8"/>
    <w:rsid w:val="0040119A"/>
    <w:rsid w:val="004012E6"/>
    <w:rsid w:val="004017CF"/>
    <w:rsid w:val="00401D12"/>
    <w:rsid w:val="00401D97"/>
    <w:rsid w:val="0040364D"/>
    <w:rsid w:val="00403CE3"/>
    <w:rsid w:val="0040403A"/>
    <w:rsid w:val="00404609"/>
    <w:rsid w:val="004046D8"/>
    <w:rsid w:val="0040492F"/>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6C9"/>
    <w:rsid w:val="004208D9"/>
    <w:rsid w:val="00420CD9"/>
    <w:rsid w:val="00421518"/>
    <w:rsid w:val="00421E7C"/>
    <w:rsid w:val="00422ABD"/>
    <w:rsid w:val="00422B4E"/>
    <w:rsid w:val="00422FF6"/>
    <w:rsid w:val="004231FD"/>
    <w:rsid w:val="00423486"/>
    <w:rsid w:val="00423668"/>
    <w:rsid w:val="00424227"/>
    <w:rsid w:val="00424243"/>
    <w:rsid w:val="00424C53"/>
    <w:rsid w:val="00425814"/>
    <w:rsid w:val="00425BE8"/>
    <w:rsid w:val="00425C5F"/>
    <w:rsid w:val="00426286"/>
    <w:rsid w:val="00426376"/>
    <w:rsid w:val="00426F6A"/>
    <w:rsid w:val="00427A24"/>
    <w:rsid w:val="00427F6B"/>
    <w:rsid w:val="0043073D"/>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0FC6"/>
    <w:rsid w:val="004610C4"/>
    <w:rsid w:val="004616C2"/>
    <w:rsid w:val="00461C34"/>
    <w:rsid w:val="00461CCF"/>
    <w:rsid w:val="00461DA4"/>
    <w:rsid w:val="00461E9B"/>
    <w:rsid w:val="004628BF"/>
    <w:rsid w:val="004629A9"/>
    <w:rsid w:val="00462A67"/>
    <w:rsid w:val="004633DA"/>
    <w:rsid w:val="004635E3"/>
    <w:rsid w:val="00463E7F"/>
    <w:rsid w:val="00464220"/>
    <w:rsid w:val="00464576"/>
    <w:rsid w:val="0046483D"/>
    <w:rsid w:val="00464CD5"/>
    <w:rsid w:val="00465D99"/>
    <w:rsid w:val="00465E0A"/>
    <w:rsid w:val="00465EAB"/>
    <w:rsid w:val="00465F8B"/>
    <w:rsid w:val="00466031"/>
    <w:rsid w:val="004661ED"/>
    <w:rsid w:val="00466ED0"/>
    <w:rsid w:val="00467766"/>
    <w:rsid w:val="0047067C"/>
    <w:rsid w:val="00470AC0"/>
    <w:rsid w:val="00470CA0"/>
    <w:rsid w:val="00471073"/>
    <w:rsid w:val="004713AC"/>
    <w:rsid w:val="0047209E"/>
    <w:rsid w:val="0047248C"/>
    <w:rsid w:val="00472690"/>
    <w:rsid w:val="00472A2E"/>
    <w:rsid w:val="00472C21"/>
    <w:rsid w:val="00472D72"/>
    <w:rsid w:val="00473B88"/>
    <w:rsid w:val="00474BBA"/>
    <w:rsid w:val="00474FDA"/>
    <w:rsid w:val="00475118"/>
    <w:rsid w:val="004751F8"/>
    <w:rsid w:val="00475531"/>
    <w:rsid w:val="00475CDC"/>
    <w:rsid w:val="00475D82"/>
    <w:rsid w:val="00475F1D"/>
    <w:rsid w:val="0047619E"/>
    <w:rsid w:val="00476B39"/>
    <w:rsid w:val="00476BEC"/>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EA2"/>
    <w:rsid w:val="004949D4"/>
    <w:rsid w:val="004950BB"/>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2CA"/>
    <w:rsid w:val="004A5E16"/>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1B7E"/>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A18"/>
    <w:rsid w:val="004D0C12"/>
    <w:rsid w:val="004D0E1B"/>
    <w:rsid w:val="004D0E43"/>
    <w:rsid w:val="004D149F"/>
    <w:rsid w:val="004D14D8"/>
    <w:rsid w:val="004D19C2"/>
    <w:rsid w:val="004D228F"/>
    <w:rsid w:val="004D3A10"/>
    <w:rsid w:val="004D3E5E"/>
    <w:rsid w:val="004D4A1D"/>
    <w:rsid w:val="004D4C54"/>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40FE"/>
    <w:rsid w:val="004E4913"/>
    <w:rsid w:val="004E4A2F"/>
    <w:rsid w:val="004E6BEE"/>
    <w:rsid w:val="004E6E7D"/>
    <w:rsid w:val="004E6EAC"/>
    <w:rsid w:val="004E77D7"/>
    <w:rsid w:val="004E7A1F"/>
    <w:rsid w:val="004F0230"/>
    <w:rsid w:val="004F074D"/>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886"/>
    <w:rsid w:val="00501EF6"/>
    <w:rsid w:val="00502998"/>
    <w:rsid w:val="005029D4"/>
    <w:rsid w:val="00502E9D"/>
    <w:rsid w:val="00503843"/>
    <w:rsid w:val="005038D7"/>
    <w:rsid w:val="0050446C"/>
    <w:rsid w:val="0050496A"/>
    <w:rsid w:val="00504BF5"/>
    <w:rsid w:val="00504C3F"/>
    <w:rsid w:val="00505075"/>
    <w:rsid w:val="00505109"/>
    <w:rsid w:val="00505707"/>
    <w:rsid w:val="00505714"/>
    <w:rsid w:val="00505AE5"/>
    <w:rsid w:val="00505CEF"/>
    <w:rsid w:val="00506863"/>
    <w:rsid w:val="00506996"/>
    <w:rsid w:val="00506CE6"/>
    <w:rsid w:val="00506DB4"/>
    <w:rsid w:val="00506ECC"/>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334D"/>
    <w:rsid w:val="00514031"/>
    <w:rsid w:val="005142BB"/>
    <w:rsid w:val="00514659"/>
    <w:rsid w:val="00514722"/>
    <w:rsid w:val="00515052"/>
    <w:rsid w:val="00515DB1"/>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92B"/>
    <w:rsid w:val="00520A22"/>
    <w:rsid w:val="00520FF4"/>
    <w:rsid w:val="0052102A"/>
    <w:rsid w:val="00521076"/>
    <w:rsid w:val="005215E4"/>
    <w:rsid w:val="00521842"/>
    <w:rsid w:val="00521A30"/>
    <w:rsid w:val="00521E64"/>
    <w:rsid w:val="00522267"/>
    <w:rsid w:val="005222D7"/>
    <w:rsid w:val="00522DAB"/>
    <w:rsid w:val="00522FC8"/>
    <w:rsid w:val="00523127"/>
    <w:rsid w:val="00523157"/>
    <w:rsid w:val="00523976"/>
    <w:rsid w:val="00523CF3"/>
    <w:rsid w:val="00525D61"/>
    <w:rsid w:val="00525DEC"/>
    <w:rsid w:val="0052622B"/>
    <w:rsid w:val="005265AA"/>
    <w:rsid w:val="005279F4"/>
    <w:rsid w:val="00527E5A"/>
    <w:rsid w:val="005301E4"/>
    <w:rsid w:val="00530442"/>
    <w:rsid w:val="00530745"/>
    <w:rsid w:val="00530857"/>
    <w:rsid w:val="00530ABE"/>
    <w:rsid w:val="00531062"/>
    <w:rsid w:val="0053126F"/>
    <w:rsid w:val="00531BC2"/>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CAB"/>
    <w:rsid w:val="0053702C"/>
    <w:rsid w:val="005402BD"/>
    <w:rsid w:val="005403CC"/>
    <w:rsid w:val="00540D72"/>
    <w:rsid w:val="00540DE1"/>
    <w:rsid w:val="005416BF"/>
    <w:rsid w:val="0054185D"/>
    <w:rsid w:val="00541EF3"/>
    <w:rsid w:val="00542149"/>
    <w:rsid w:val="0054295C"/>
    <w:rsid w:val="005429BA"/>
    <w:rsid w:val="00543024"/>
    <w:rsid w:val="00543438"/>
    <w:rsid w:val="00543499"/>
    <w:rsid w:val="00543621"/>
    <w:rsid w:val="00543803"/>
    <w:rsid w:val="0054394B"/>
    <w:rsid w:val="005439C6"/>
    <w:rsid w:val="00543DC0"/>
    <w:rsid w:val="00544048"/>
    <w:rsid w:val="005442C7"/>
    <w:rsid w:val="0054499C"/>
    <w:rsid w:val="005449B3"/>
    <w:rsid w:val="0054501D"/>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E42"/>
    <w:rsid w:val="005538BF"/>
    <w:rsid w:val="0055456C"/>
    <w:rsid w:val="00554F99"/>
    <w:rsid w:val="005559B0"/>
    <w:rsid w:val="00555B9A"/>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555"/>
    <w:rsid w:val="00561908"/>
    <w:rsid w:val="00561A8C"/>
    <w:rsid w:val="005625F4"/>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6443"/>
    <w:rsid w:val="00576823"/>
    <w:rsid w:val="00577335"/>
    <w:rsid w:val="00580189"/>
    <w:rsid w:val="00580681"/>
    <w:rsid w:val="00580E63"/>
    <w:rsid w:val="00580F15"/>
    <w:rsid w:val="0058135D"/>
    <w:rsid w:val="00581786"/>
    <w:rsid w:val="00581F3C"/>
    <w:rsid w:val="005822E7"/>
    <w:rsid w:val="00582A1F"/>
    <w:rsid w:val="00582C55"/>
    <w:rsid w:val="0058313E"/>
    <w:rsid w:val="00584402"/>
    <w:rsid w:val="00584E55"/>
    <w:rsid w:val="00584F0C"/>
    <w:rsid w:val="00584FBD"/>
    <w:rsid w:val="00585425"/>
    <w:rsid w:val="0058565E"/>
    <w:rsid w:val="005857AA"/>
    <w:rsid w:val="00585CDC"/>
    <w:rsid w:val="00585E1E"/>
    <w:rsid w:val="00585E2A"/>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559D"/>
    <w:rsid w:val="00596C41"/>
    <w:rsid w:val="00597C24"/>
    <w:rsid w:val="00597F3D"/>
    <w:rsid w:val="005A0064"/>
    <w:rsid w:val="005A0A7B"/>
    <w:rsid w:val="005A104E"/>
    <w:rsid w:val="005A1935"/>
    <w:rsid w:val="005A1BC3"/>
    <w:rsid w:val="005A1C0B"/>
    <w:rsid w:val="005A1D24"/>
    <w:rsid w:val="005A1D82"/>
    <w:rsid w:val="005A1FA7"/>
    <w:rsid w:val="005A208F"/>
    <w:rsid w:val="005A2553"/>
    <w:rsid w:val="005A2822"/>
    <w:rsid w:val="005A2978"/>
    <w:rsid w:val="005A2D87"/>
    <w:rsid w:val="005A3AC7"/>
    <w:rsid w:val="005A4665"/>
    <w:rsid w:val="005A4972"/>
    <w:rsid w:val="005A4B08"/>
    <w:rsid w:val="005A5E6A"/>
    <w:rsid w:val="005A64E8"/>
    <w:rsid w:val="005A783A"/>
    <w:rsid w:val="005A7C55"/>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9BD"/>
    <w:rsid w:val="005B7D10"/>
    <w:rsid w:val="005C06E6"/>
    <w:rsid w:val="005C0901"/>
    <w:rsid w:val="005C0B72"/>
    <w:rsid w:val="005C1747"/>
    <w:rsid w:val="005C1845"/>
    <w:rsid w:val="005C2600"/>
    <w:rsid w:val="005C2AF2"/>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275E"/>
    <w:rsid w:val="005D2D3B"/>
    <w:rsid w:val="005D3AB6"/>
    <w:rsid w:val="005D3F8C"/>
    <w:rsid w:val="005D4031"/>
    <w:rsid w:val="005D408F"/>
    <w:rsid w:val="005D4727"/>
    <w:rsid w:val="005D5415"/>
    <w:rsid w:val="005D5B55"/>
    <w:rsid w:val="005D5EBC"/>
    <w:rsid w:val="005D5F47"/>
    <w:rsid w:val="005D6011"/>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B31"/>
    <w:rsid w:val="005E44F0"/>
    <w:rsid w:val="005E4529"/>
    <w:rsid w:val="005E5AF2"/>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3036"/>
    <w:rsid w:val="005F3160"/>
    <w:rsid w:val="005F3871"/>
    <w:rsid w:val="005F393E"/>
    <w:rsid w:val="005F3B77"/>
    <w:rsid w:val="005F3DC9"/>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100F3"/>
    <w:rsid w:val="006104CB"/>
    <w:rsid w:val="00610BEC"/>
    <w:rsid w:val="006110A0"/>
    <w:rsid w:val="00611265"/>
    <w:rsid w:val="00611691"/>
    <w:rsid w:val="00611E04"/>
    <w:rsid w:val="00611EF0"/>
    <w:rsid w:val="006121F9"/>
    <w:rsid w:val="00612503"/>
    <w:rsid w:val="00612814"/>
    <w:rsid w:val="006130FD"/>
    <w:rsid w:val="0061325B"/>
    <w:rsid w:val="006132A4"/>
    <w:rsid w:val="006135B6"/>
    <w:rsid w:val="00613BE7"/>
    <w:rsid w:val="00613D14"/>
    <w:rsid w:val="0061401C"/>
    <w:rsid w:val="006142C3"/>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2745"/>
    <w:rsid w:val="0062305C"/>
    <w:rsid w:val="006238A0"/>
    <w:rsid w:val="00623B42"/>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F6E"/>
    <w:rsid w:val="006414FF"/>
    <w:rsid w:val="006421D5"/>
    <w:rsid w:val="0064221C"/>
    <w:rsid w:val="00642451"/>
    <w:rsid w:val="00642544"/>
    <w:rsid w:val="0064267D"/>
    <w:rsid w:val="00642A41"/>
    <w:rsid w:val="00642A56"/>
    <w:rsid w:val="00642B3F"/>
    <w:rsid w:val="00643194"/>
    <w:rsid w:val="0064375C"/>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2763"/>
    <w:rsid w:val="006527E4"/>
    <w:rsid w:val="00653B15"/>
    <w:rsid w:val="00653C58"/>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802"/>
    <w:rsid w:val="00663DA3"/>
    <w:rsid w:val="00664392"/>
    <w:rsid w:val="006644DF"/>
    <w:rsid w:val="00664B90"/>
    <w:rsid w:val="00664C5F"/>
    <w:rsid w:val="00664DCB"/>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E7B"/>
    <w:rsid w:val="00673F32"/>
    <w:rsid w:val="0067417E"/>
    <w:rsid w:val="006742D9"/>
    <w:rsid w:val="0067433D"/>
    <w:rsid w:val="00674502"/>
    <w:rsid w:val="006745BC"/>
    <w:rsid w:val="00674901"/>
    <w:rsid w:val="00674966"/>
    <w:rsid w:val="00674DD4"/>
    <w:rsid w:val="00675F6F"/>
    <w:rsid w:val="00676247"/>
    <w:rsid w:val="0067650C"/>
    <w:rsid w:val="006766C0"/>
    <w:rsid w:val="0067736D"/>
    <w:rsid w:val="00677727"/>
    <w:rsid w:val="006779C0"/>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3464"/>
    <w:rsid w:val="006A3D3C"/>
    <w:rsid w:val="006A4059"/>
    <w:rsid w:val="006A4504"/>
    <w:rsid w:val="006A4B5E"/>
    <w:rsid w:val="006A5819"/>
    <w:rsid w:val="006A589B"/>
    <w:rsid w:val="006A5E06"/>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4E"/>
    <w:rsid w:val="006B319C"/>
    <w:rsid w:val="006B332C"/>
    <w:rsid w:val="006B34E3"/>
    <w:rsid w:val="006B398D"/>
    <w:rsid w:val="006B5033"/>
    <w:rsid w:val="006B647A"/>
    <w:rsid w:val="006B653E"/>
    <w:rsid w:val="006B6A0B"/>
    <w:rsid w:val="006B7421"/>
    <w:rsid w:val="006B74D4"/>
    <w:rsid w:val="006B7B3C"/>
    <w:rsid w:val="006C088E"/>
    <w:rsid w:val="006C1746"/>
    <w:rsid w:val="006C1DF2"/>
    <w:rsid w:val="006C2037"/>
    <w:rsid w:val="006C25F3"/>
    <w:rsid w:val="006C366B"/>
    <w:rsid w:val="006C39BF"/>
    <w:rsid w:val="006C39C3"/>
    <w:rsid w:val="006C4600"/>
    <w:rsid w:val="006C4B17"/>
    <w:rsid w:val="006C503B"/>
    <w:rsid w:val="006C5660"/>
    <w:rsid w:val="006C5D15"/>
    <w:rsid w:val="006C5E1E"/>
    <w:rsid w:val="006C63AC"/>
    <w:rsid w:val="006C721C"/>
    <w:rsid w:val="006C7320"/>
    <w:rsid w:val="006C7465"/>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E0041"/>
    <w:rsid w:val="006E0808"/>
    <w:rsid w:val="006E0ABC"/>
    <w:rsid w:val="006E0DBD"/>
    <w:rsid w:val="006E0F51"/>
    <w:rsid w:val="006E15EB"/>
    <w:rsid w:val="006E17D7"/>
    <w:rsid w:val="006E1A16"/>
    <w:rsid w:val="006E1D07"/>
    <w:rsid w:val="006E1ECB"/>
    <w:rsid w:val="006E2D6E"/>
    <w:rsid w:val="006E31AA"/>
    <w:rsid w:val="006E3402"/>
    <w:rsid w:val="006E390E"/>
    <w:rsid w:val="006E42CF"/>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5AB"/>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2CB7"/>
    <w:rsid w:val="0070323D"/>
    <w:rsid w:val="00703465"/>
    <w:rsid w:val="0070385E"/>
    <w:rsid w:val="0070388F"/>
    <w:rsid w:val="00703F47"/>
    <w:rsid w:val="00704383"/>
    <w:rsid w:val="007048D9"/>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19A"/>
    <w:rsid w:val="00717E72"/>
    <w:rsid w:val="007205A5"/>
    <w:rsid w:val="00720704"/>
    <w:rsid w:val="00720F38"/>
    <w:rsid w:val="00721216"/>
    <w:rsid w:val="0072128E"/>
    <w:rsid w:val="00721326"/>
    <w:rsid w:val="00721874"/>
    <w:rsid w:val="007218D9"/>
    <w:rsid w:val="00721A25"/>
    <w:rsid w:val="00722A74"/>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A3C"/>
    <w:rsid w:val="00731B92"/>
    <w:rsid w:val="00731CEB"/>
    <w:rsid w:val="00732743"/>
    <w:rsid w:val="00732C53"/>
    <w:rsid w:val="007333C0"/>
    <w:rsid w:val="0073361E"/>
    <w:rsid w:val="00734A7D"/>
    <w:rsid w:val="007350E4"/>
    <w:rsid w:val="00735389"/>
    <w:rsid w:val="0073562D"/>
    <w:rsid w:val="00735A4E"/>
    <w:rsid w:val="0073661F"/>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499"/>
    <w:rsid w:val="0074639F"/>
    <w:rsid w:val="0074667D"/>
    <w:rsid w:val="00746AFF"/>
    <w:rsid w:val="007474EA"/>
    <w:rsid w:val="007475F6"/>
    <w:rsid w:val="00747A80"/>
    <w:rsid w:val="00747E9B"/>
    <w:rsid w:val="00747EF7"/>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5426"/>
    <w:rsid w:val="007568C8"/>
    <w:rsid w:val="00756972"/>
    <w:rsid w:val="00756A2E"/>
    <w:rsid w:val="00756D51"/>
    <w:rsid w:val="00757099"/>
    <w:rsid w:val="00757BA6"/>
    <w:rsid w:val="00760A34"/>
    <w:rsid w:val="00760C73"/>
    <w:rsid w:val="00760D44"/>
    <w:rsid w:val="00761151"/>
    <w:rsid w:val="00761532"/>
    <w:rsid w:val="00761CFD"/>
    <w:rsid w:val="00762105"/>
    <w:rsid w:val="00762A35"/>
    <w:rsid w:val="0076339B"/>
    <w:rsid w:val="00763665"/>
    <w:rsid w:val="00763A7C"/>
    <w:rsid w:val="00764F78"/>
    <w:rsid w:val="007651AF"/>
    <w:rsid w:val="007661F5"/>
    <w:rsid w:val="007670E9"/>
    <w:rsid w:val="00767457"/>
    <w:rsid w:val="007675D3"/>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477"/>
    <w:rsid w:val="00784604"/>
    <w:rsid w:val="007847CE"/>
    <w:rsid w:val="0078481A"/>
    <w:rsid w:val="00784DAE"/>
    <w:rsid w:val="00785176"/>
    <w:rsid w:val="00785460"/>
    <w:rsid w:val="0078586A"/>
    <w:rsid w:val="00785ADC"/>
    <w:rsid w:val="00787107"/>
    <w:rsid w:val="0078729D"/>
    <w:rsid w:val="00787318"/>
    <w:rsid w:val="007875F6"/>
    <w:rsid w:val="007879D4"/>
    <w:rsid w:val="007903A9"/>
    <w:rsid w:val="00790580"/>
    <w:rsid w:val="0079130C"/>
    <w:rsid w:val="007913C9"/>
    <w:rsid w:val="007922A6"/>
    <w:rsid w:val="0079240C"/>
    <w:rsid w:val="007925C0"/>
    <w:rsid w:val="00792CDE"/>
    <w:rsid w:val="00793720"/>
    <w:rsid w:val="00793CAC"/>
    <w:rsid w:val="00793CFD"/>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DE4"/>
    <w:rsid w:val="007A2048"/>
    <w:rsid w:val="007A211D"/>
    <w:rsid w:val="007A22C2"/>
    <w:rsid w:val="007A25E0"/>
    <w:rsid w:val="007A276E"/>
    <w:rsid w:val="007A2DB4"/>
    <w:rsid w:val="007A3302"/>
    <w:rsid w:val="007A3335"/>
    <w:rsid w:val="007A36D1"/>
    <w:rsid w:val="007A39D8"/>
    <w:rsid w:val="007A3C41"/>
    <w:rsid w:val="007A3FA7"/>
    <w:rsid w:val="007A4F0F"/>
    <w:rsid w:val="007A5A90"/>
    <w:rsid w:val="007A5B25"/>
    <w:rsid w:val="007A645A"/>
    <w:rsid w:val="007A6730"/>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94"/>
    <w:rsid w:val="007C0E21"/>
    <w:rsid w:val="007C10A5"/>
    <w:rsid w:val="007C132C"/>
    <w:rsid w:val="007C15FA"/>
    <w:rsid w:val="007C16EE"/>
    <w:rsid w:val="007C1EA5"/>
    <w:rsid w:val="007C1EB6"/>
    <w:rsid w:val="007C1F49"/>
    <w:rsid w:val="007C2051"/>
    <w:rsid w:val="007C2737"/>
    <w:rsid w:val="007C2D3D"/>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6AE"/>
    <w:rsid w:val="007E08F6"/>
    <w:rsid w:val="007E12DC"/>
    <w:rsid w:val="007E1305"/>
    <w:rsid w:val="007E151A"/>
    <w:rsid w:val="007E161F"/>
    <w:rsid w:val="007E1B64"/>
    <w:rsid w:val="007E1CE1"/>
    <w:rsid w:val="007E1D00"/>
    <w:rsid w:val="007E1D34"/>
    <w:rsid w:val="007E1F52"/>
    <w:rsid w:val="007E2ABF"/>
    <w:rsid w:val="007E2ACA"/>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E74D5"/>
    <w:rsid w:val="007E781B"/>
    <w:rsid w:val="007F083E"/>
    <w:rsid w:val="007F193B"/>
    <w:rsid w:val="007F285D"/>
    <w:rsid w:val="007F2993"/>
    <w:rsid w:val="007F2C29"/>
    <w:rsid w:val="007F2CD7"/>
    <w:rsid w:val="007F34E8"/>
    <w:rsid w:val="007F40A6"/>
    <w:rsid w:val="007F42FD"/>
    <w:rsid w:val="007F4694"/>
    <w:rsid w:val="007F5625"/>
    <w:rsid w:val="007F582E"/>
    <w:rsid w:val="007F6124"/>
    <w:rsid w:val="007F65C3"/>
    <w:rsid w:val="007F683C"/>
    <w:rsid w:val="007F7AF2"/>
    <w:rsid w:val="007F7DCC"/>
    <w:rsid w:val="00800AA6"/>
    <w:rsid w:val="008012A8"/>
    <w:rsid w:val="00801357"/>
    <w:rsid w:val="00801401"/>
    <w:rsid w:val="008019A6"/>
    <w:rsid w:val="00801FC1"/>
    <w:rsid w:val="00801FCE"/>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302"/>
    <w:rsid w:val="0081087D"/>
    <w:rsid w:val="0081140B"/>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960"/>
    <w:rsid w:val="00821BF8"/>
    <w:rsid w:val="00822492"/>
    <w:rsid w:val="0082262D"/>
    <w:rsid w:val="00822826"/>
    <w:rsid w:val="008228E6"/>
    <w:rsid w:val="00822B08"/>
    <w:rsid w:val="00822E85"/>
    <w:rsid w:val="008234CF"/>
    <w:rsid w:val="0082375B"/>
    <w:rsid w:val="00823BFB"/>
    <w:rsid w:val="00823E39"/>
    <w:rsid w:val="00823F86"/>
    <w:rsid w:val="00824318"/>
    <w:rsid w:val="0082431D"/>
    <w:rsid w:val="008249AA"/>
    <w:rsid w:val="00824A39"/>
    <w:rsid w:val="0082513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69E"/>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6F58"/>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9A5"/>
    <w:rsid w:val="00853B1F"/>
    <w:rsid w:val="00853CB8"/>
    <w:rsid w:val="008546E8"/>
    <w:rsid w:val="008547BD"/>
    <w:rsid w:val="00855FCB"/>
    <w:rsid w:val="00855FD4"/>
    <w:rsid w:val="008560F3"/>
    <w:rsid w:val="00856D41"/>
    <w:rsid w:val="00857586"/>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A36"/>
    <w:rsid w:val="00863C2F"/>
    <w:rsid w:val="008641A3"/>
    <w:rsid w:val="00865355"/>
    <w:rsid w:val="00866887"/>
    <w:rsid w:val="00866A4E"/>
    <w:rsid w:val="008672A0"/>
    <w:rsid w:val="00870651"/>
    <w:rsid w:val="00870703"/>
    <w:rsid w:val="008707D8"/>
    <w:rsid w:val="00870B91"/>
    <w:rsid w:val="00871394"/>
    <w:rsid w:val="00871497"/>
    <w:rsid w:val="00871E08"/>
    <w:rsid w:val="008722B3"/>
    <w:rsid w:val="00872BE4"/>
    <w:rsid w:val="00873D85"/>
    <w:rsid w:val="008742B2"/>
    <w:rsid w:val="0087446D"/>
    <w:rsid w:val="008750FF"/>
    <w:rsid w:val="0087550A"/>
    <w:rsid w:val="0087668F"/>
    <w:rsid w:val="0087703F"/>
    <w:rsid w:val="008774BE"/>
    <w:rsid w:val="0087784C"/>
    <w:rsid w:val="00877B83"/>
    <w:rsid w:val="0088061F"/>
    <w:rsid w:val="0088086D"/>
    <w:rsid w:val="00880B96"/>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4E9A"/>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6B89"/>
    <w:rsid w:val="008B756E"/>
    <w:rsid w:val="008B7708"/>
    <w:rsid w:val="008B7CCA"/>
    <w:rsid w:val="008C04B5"/>
    <w:rsid w:val="008C090F"/>
    <w:rsid w:val="008C0911"/>
    <w:rsid w:val="008C0A1D"/>
    <w:rsid w:val="008C1881"/>
    <w:rsid w:val="008C1AD5"/>
    <w:rsid w:val="008C2F60"/>
    <w:rsid w:val="008C3636"/>
    <w:rsid w:val="008C4BDC"/>
    <w:rsid w:val="008C56D0"/>
    <w:rsid w:val="008C5C50"/>
    <w:rsid w:val="008C71A7"/>
    <w:rsid w:val="008C7824"/>
    <w:rsid w:val="008D0489"/>
    <w:rsid w:val="008D0596"/>
    <w:rsid w:val="008D0868"/>
    <w:rsid w:val="008D0D33"/>
    <w:rsid w:val="008D1592"/>
    <w:rsid w:val="008D1707"/>
    <w:rsid w:val="008D1C13"/>
    <w:rsid w:val="008D1D6F"/>
    <w:rsid w:val="008D1DE0"/>
    <w:rsid w:val="008D1FF3"/>
    <w:rsid w:val="008D2492"/>
    <w:rsid w:val="008D2682"/>
    <w:rsid w:val="008D4015"/>
    <w:rsid w:val="008D430D"/>
    <w:rsid w:val="008D47E9"/>
    <w:rsid w:val="008D50AE"/>
    <w:rsid w:val="008D513A"/>
    <w:rsid w:val="008D67DB"/>
    <w:rsid w:val="008D6A81"/>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958"/>
    <w:rsid w:val="008E6A69"/>
    <w:rsid w:val="008E6C85"/>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46EE"/>
    <w:rsid w:val="008F4BA0"/>
    <w:rsid w:val="008F5F7F"/>
    <w:rsid w:val="008F6009"/>
    <w:rsid w:val="008F6CB5"/>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220C"/>
    <w:rsid w:val="0092404C"/>
    <w:rsid w:val="00924627"/>
    <w:rsid w:val="0092484A"/>
    <w:rsid w:val="0092490C"/>
    <w:rsid w:val="00924919"/>
    <w:rsid w:val="00925125"/>
    <w:rsid w:val="009252A9"/>
    <w:rsid w:val="009253D3"/>
    <w:rsid w:val="009259DC"/>
    <w:rsid w:val="00925E17"/>
    <w:rsid w:val="00925FEC"/>
    <w:rsid w:val="00926160"/>
    <w:rsid w:val="0092647E"/>
    <w:rsid w:val="00926485"/>
    <w:rsid w:val="009264B1"/>
    <w:rsid w:val="009266CB"/>
    <w:rsid w:val="00926C5E"/>
    <w:rsid w:val="009274C2"/>
    <w:rsid w:val="0092784B"/>
    <w:rsid w:val="00927934"/>
    <w:rsid w:val="00927F6C"/>
    <w:rsid w:val="00930301"/>
    <w:rsid w:val="00930A02"/>
    <w:rsid w:val="009313F7"/>
    <w:rsid w:val="00931404"/>
    <w:rsid w:val="009317E9"/>
    <w:rsid w:val="0093229C"/>
    <w:rsid w:val="00932803"/>
    <w:rsid w:val="00932D0C"/>
    <w:rsid w:val="00933016"/>
    <w:rsid w:val="00934104"/>
    <w:rsid w:val="009348F2"/>
    <w:rsid w:val="00934971"/>
    <w:rsid w:val="00936212"/>
    <w:rsid w:val="00936342"/>
    <w:rsid w:val="009367B7"/>
    <w:rsid w:val="00936CE7"/>
    <w:rsid w:val="009371DC"/>
    <w:rsid w:val="00937E07"/>
    <w:rsid w:val="00937EB2"/>
    <w:rsid w:val="009401AB"/>
    <w:rsid w:val="00940255"/>
    <w:rsid w:val="0094048F"/>
    <w:rsid w:val="00940668"/>
    <w:rsid w:val="00940FF0"/>
    <w:rsid w:val="00941223"/>
    <w:rsid w:val="00941A75"/>
    <w:rsid w:val="00941F98"/>
    <w:rsid w:val="009425C7"/>
    <w:rsid w:val="009431F3"/>
    <w:rsid w:val="009436BF"/>
    <w:rsid w:val="00943DD3"/>
    <w:rsid w:val="00944298"/>
    <w:rsid w:val="0094496F"/>
    <w:rsid w:val="00944E46"/>
    <w:rsid w:val="00945464"/>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3794"/>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849"/>
    <w:rsid w:val="0097297E"/>
    <w:rsid w:val="00972F47"/>
    <w:rsid w:val="00973502"/>
    <w:rsid w:val="00973D62"/>
    <w:rsid w:val="0097484A"/>
    <w:rsid w:val="00974AC6"/>
    <w:rsid w:val="00974FB9"/>
    <w:rsid w:val="0097515D"/>
    <w:rsid w:val="00975399"/>
    <w:rsid w:val="00975687"/>
    <w:rsid w:val="009757AF"/>
    <w:rsid w:val="00975DB8"/>
    <w:rsid w:val="00975E40"/>
    <w:rsid w:val="00975F8A"/>
    <w:rsid w:val="009761E6"/>
    <w:rsid w:val="00976567"/>
    <w:rsid w:val="00976C85"/>
    <w:rsid w:val="00977124"/>
    <w:rsid w:val="00977172"/>
    <w:rsid w:val="0097734F"/>
    <w:rsid w:val="00977451"/>
    <w:rsid w:val="00977806"/>
    <w:rsid w:val="00977942"/>
    <w:rsid w:val="00977B80"/>
    <w:rsid w:val="00977DB2"/>
    <w:rsid w:val="009800E0"/>
    <w:rsid w:val="00980361"/>
    <w:rsid w:val="009805AC"/>
    <w:rsid w:val="0098075B"/>
    <w:rsid w:val="00981242"/>
    <w:rsid w:val="0098150D"/>
    <w:rsid w:val="00981B78"/>
    <w:rsid w:val="009820A3"/>
    <w:rsid w:val="00982529"/>
    <w:rsid w:val="00982A2F"/>
    <w:rsid w:val="00982BCC"/>
    <w:rsid w:val="009836D0"/>
    <w:rsid w:val="009848DE"/>
    <w:rsid w:val="00984A2B"/>
    <w:rsid w:val="00985171"/>
    <w:rsid w:val="0098522D"/>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0F29"/>
    <w:rsid w:val="009911A5"/>
    <w:rsid w:val="0099215D"/>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4335"/>
    <w:rsid w:val="009B4CC3"/>
    <w:rsid w:val="009B4DE6"/>
    <w:rsid w:val="009B5378"/>
    <w:rsid w:val="009B5EF5"/>
    <w:rsid w:val="009B6779"/>
    <w:rsid w:val="009B734B"/>
    <w:rsid w:val="009B74D2"/>
    <w:rsid w:val="009B7EC7"/>
    <w:rsid w:val="009C06CA"/>
    <w:rsid w:val="009C0A54"/>
    <w:rsid w:val="009C0B30"/>
    <w:rsid w:val="009C0C8C"/>
    <w:rsid w:val="009C1409"/>
    <w:rsid w:val="009C1692"/>
    <w:rsid w:val="009C192E"/>
    <w:rsid w:val="009C4C0F"/>
    <w:rsid w:val="009C552B"/>
    <w:rsid w:val="009C560C"/>
    <w:rsid w:val="009C6D34"/>
    <w:rsid w:val="009C6D7E"/>
    <w:rsid w:val="009C6DA9"/>
    <w:rsid w:val="009C7A18"/>
    <w:rsid w:val="009C7D16"/>
    <w:rsid w:val="009C7D2E"/>
    <w:rsid w:val="009C7F8C"/>
    <w:rsid w:val="009D0AFD"/>
    <w:rsid w:val="009D2987"/>
    <w:rsid w:val="009D29A5"/>
    <w:rsid w:val="009D2C34"/>
    <w:rsid w:val="009D3F0F"/>
    <w:rsid w:val="009D43E3"/>
    <w:rsid w:val="009D4B4D"/>
    <w:rsid w:val="009D500C"/>
    <w:rsid w:val="009D59B0"/>
    <w:rsid w:val="009D5CB5"/>
    <w:rsid w:val="009D5D63"/>
    <w:rsid w:val="009D670A"/>
    <w:rsid w:val="009D70C9"/>
    <w:rsid w:val="009D743B"/>
    <w:rsid w:val="009D76E7"/>
    <w:rsid w:val="009D7D89"/>
    <w:rsid w:val="009E0CB7"/>
    <w:rsid w:val="009E13E5"/>
    <w:rsid w:val="009E177B"/>
    <w:rsid w:val="009E177D"/>
    <w:rsid w:val="009E1A5D"/>
    <w:rsid w:val="009E1A98"/>
    <w:rsid w:val="009E1C30"/>
    <w:rsid w:val="009E1E14"/>
    <w:rsid w:val="009E23D7"/>
    <w:rsid w:val="009E2E34"/>
    <w:rsid w:val="009E326C"/>
    <w:rsid w:val="009E3986"/>
    <w:rsid w:val="009E3A7D"/>
    <w:rsid w:val="009E42D9"/>
    <w:rsid w:val="009E4461"/>
    <w:rsid w:val="009E48C6"/>
    <w:rsid w:val="009E4CA5"/>
    <w:rsid w:val="009E4D70"/>
    <w:rsid w:val="009E4F8D"/>
    <w:rsid w:val="009E5636"/>
    <w:rsid w:val="009E5FA4"/>
    <w:rsid w:val="009E6049"/>
    <w:rsid w:val="009E622F"/>
    <w:rsid w:val="009E6E97"/>
    <w:rsid w:val="009E726C"/>
    <w:rsid w:val="009E7402"/>
    <w:rsid w:val="009E75C9"/>
    <w:rsid w:val="009E7612"/>
    <w:rsid w:val="009E78CD"/>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C2C"/>
    <w:rsid w:val="00A04DDE"/>
    <w:rsid w:val="00A05826"/>
    <w:rsid w:val="00A061C3"/>
    <w:rsid w:val="00A06371"/>
    <w:rsid w:val="00A06A19"/>
    <w:rsid w:val="00A06AC9"/>
    <w:rsid w:val="00A0732D"/>
    <w:rsid w:val="00A0742A"/>
    <w:rsid w:val="00A07665"/>
    <w:rsid w:val="00A07C70"/>
    <w:rsid w:val="00A07DE8"/>
    <w:rsid w:val="00A07DF0"/>
    <w:rsid w:val="00A10115"/>
    <w:rsid w:val="00A103F9"/>
    <w:rsid w:val="00A109F6"/>
    <w:rsid w:val="00A10D21"/>
    <w:rsid w:val="00A11315"/>
    <w:rsid w:val="00A11331"/>
    <w:rsid w:val="00A12767"/>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836"/>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7"/>
    <w:rsid w:val="00A34450"/>
    <w:rsid w:val="00A35668"/>
    <w:rsid w:val="00A357FD"/>
    <w:rsid w:val="00A35917"/>
    <w:rsid w:val="00A359CE"/>
    <w:rsid w:val="00A35EB1"/>
    <w:rsid w:val="00A362A6"/>
    <w:rsid w:val="00A367B8"/>
    <w:rsid w:val="00A36832"/>
    <w:rsid w:val="00A36DBC"/>
    <w:rsid w:val="00A373F9"/>
    <w:rsid w:val="00A3765F"/>
    <w:rsid w:val="00A40C61"/>
    <w:rsid w:val="00A40CD7"/>
    <w:rsid w:val="00A4136E"/>
    <w:rsid w:val="00A41E33"/>
    <w:rsid w:val="00A429E5"/>
    <w:rsid w:val="00A4328E"/>
    <w:rsid w:val="00A435BA"/>
    <w:rsid w:val="00A43731"/>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927"/>
    <w:rsid w:val="00A50CC4"/>
    <w:rsid w:val="00A51A44"/>
    <w:rsid w:val="00A52815"/>
    <w:rsid w:val="00A529F3"/>
    <w:rsid w:val="00A52B33"/>
    <w:rsid w:val="00A52C3A"/>
    <w:rsid w:val="00A535A1"/>
    <w:rsid w:val="00A53749"/>
    <w:rsid w:val="00A54D49"/>
    <w:rsid w:val="00A54D82"/>
    <w:rsid w:val="00A550E0"/>
    <w:rsid w:val="00A5522E"/>
    <w:rsid w:val="00A553E8"/>
    <w:rsid w:val="00A55401"/>
    <w:rsid w:val="00A55D8A"/>
    <w:rsid w:val="00A5609F"/>
    <w:rsid w:val="00A56F89"/>
    <w:rsid w:val="00A601F4"/>
    <w:rsid w:val="00A604CF"/>
    <w:rsid w:val="00A60EF3"/>
    <w:rsid w:val="00A61752"/>
    <w:rsid w:val="00A622EA"/>
    <w:rsid w:val="00A62A0A"/>
    <w:rsid w:val="00A630A6"/>
    <w:rsid w:val="00A63826"/>
    <w:rsid w:val="00A63B1D"/>
    <w:rsid w:val="00A6448C"/>
    <w:rsid w:val="00A64578"/>
    <w:rsid w:val="00A649D4"/>
    <w:rsid w:val="00A64BE8"/>
    <w:rsid w:val="00A64D33"/>
    <w:rsid w:val="00A65292"/>
    <w:rsid w:val="00A654F1"/>
    <w:rsid w:val="00A662B6"/>
    <w:rsid w:val="00A66A19"/>
    <w:rsid w:val="00A66AAE"/>
    <w:rsid w:val="00A66DB5"/>
    <w:rsid w:val="00A671C5"/>
    <w:rsid w:val="00A67A31"/>
    <w:rsid w:val="00A67CD8"/>
    <w:rsid w:val="00A70448"/>
    <w:rsid w:val="00A70D9B"/>
    <w:rsid w:val="00A70F55"/>
    <w:rsid w:val="00A71B83"/>
    <w:rsid w:val="00A71C2D"/>
    <w:rsid w:val="00A71C52"/>
    <w:rsid w:val="00A72053"/>
    <w:rsid w:val="00A721B5"/>
    <w:rsid w:val="00A72568"/>
    <w:rsid w:val="00A72581"/>
    <w:rsid w:val="00A7262F"/>
    <w:rsid w:val="00A739EE"/>
    <w:rsid w:val="00A740D5"/>
    <w:rsid w:val="00A74106"/>
    <w:rsid w:val="00A7469A"/>
    <w:rsid w:val="00A74CCA"/>
    <w:rsid w:val="00A74D65"/>
    <w:rsid w:val="00A74EC2"/>
    <w:rsid w:val="00A7515A"/>
    <w:rsid w:val="00A75A10"/>
    <w:rsid w:val="00A75ED2"/>
    <w:rsid w:val="00A7656A"/>
    <w:rsid w:val="00A76681"/>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5CF"/>
    <w:rsid w:val="00A97FDE"/>
    <w:rsid w:val="00AA041E"/>
    <w:rsid w:val="00AA0501"/>
    <w:rsid w:val="00AA062F"/>
    <w:rsid w:val="00AA0A0C"/>
    <w:rsid w:val="00AA12EC"/>
    <w:rsid w:val="00AA160D"/>
    <w:rsid w:val="00AA1840"/>
    <w:rsid w:val="00AA1B82"/>
    <w:rsid w:val="00AA1BA9"/>
    <w:rsid w:val="00AA1DC8"/>
    <w:rsid w:val="00AA1E51"/>
    <w:rsid w:val="00AA1E96"/>
    <w:rsid w:val="00AA3371"/>
    <w:rsid w:val="00AA36FD"/>
    <w:rsid w:val="00AA39EB"/>
    <w:rsid w:val="00AA404F"/>
    <w:rsid w:val="00AA4917"/>
    <w:rsid w:val="00AA4E9F"/>
    <w:rsid w:val="00AA5159"/>
    <w:rsid w:val="00AA653A"/>
    <w:rsid w:val="00AA6599"/>
    <w:rsid w:val="00AA70ED"/>
    <w:rsid w:val="00AA7106"/>
    <w:rsid w:val="00AA7FBE"/>
    <w:rsid w:val="00AB024A"/>
    <w:rsid w:val="00AB2131"/>
    <w:rsid w:val="00AB2FCE"/>
    <w:rsid w:val="00AB309C"/>
    <w:rsid w:val="00AB3779"/>
    <w:rsid w:val="00AB3BDB"/>
    <w:rsid w:val="00AB42F2"/>
    <w:rsid w:val="00AB4679"/>
    <w:rsid w:val="00AB4722"/>
    <w:rsid w:val="00AB4B9F"/>
    <w:rsid w:val="00AB4E09"/>
    <w:rsid w:val="00AB5A6F"/>
    <w:rsid w:val="00AB5E7F"/>
    <w:rsid w:val="00AB64E4"/>
    <w:rsid w:val="00AB6D92"/>
    <w:rsid w:val="00AB7642"/>
    <w:rsid w:val="00AB7B39"/>
    <w:rsid w:val="00AB7C8B"/>
    <w:rsid w:val="00AC0907"/>
    <w:rsid w:val="00AC12F9"/>
    <w:rsid w:val="00AC15B1"/>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F58"/>
    <w:rsid w:val="00AC6701"/>
    <w:rsid w:val="00AC6883"/>
    <w:rsid w:val="00AC6D2E"/>
    <w:rsid w:val="00AC7A11"/>
    <w:rsid w:val="00AD0C79"/>
    <w:rsid w:val="00AD1DEF"/>
    <w:rsid w:val="00AD2143"/>
    <w:rsid w:val="00AD28FB"/>
    <w:rsid w:val="00AD2BDA"/>
    <w:rsid w:val="00AD3A02"/>
    <w:rsid w:val="00AD3AFB"/>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2CFB"/>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538"/>
    <w:rsid w:val="00AF0C90"/>
    <w:rsid w:val="00AF139B"/>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D0E"/>
    <w:rsid w:val="00B12E5A"/>
    <w:rsid w:val="00B13DEB"/>
    <w:rsid w:val="00B14171"/>
    <w:rsid w:val="00B15579"/>
    <w:rsid w:val="00B1586D"/>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2A"/>
    <w:rsid w:val="00B23D70"/>
    <w:rsid w:val="00B23F1B"/>
    <w:rsid w:val="00B2430E"/>
    <w:rsid w:val="00B24431"/>
    <w:rsid w:val="00B2466A"/>
    <w:rsid w:val="00B247B5"/>
    <w:rsid w:val="00B24B8C"/>
    <w:rsid w:val="00B251F9"/>
    <w:rsid w:val="00B252E4"/>
    <w:rsid w:val="00B25503"/>
    <w:rsid w:val="00B25F34"/>
    <w:rsid w:val="00B26FED"/>
    <w:rsid w:val="00B2771D"/>
    <w:rsid w:val="00B27E2A"/>
    <w:rsid w:val="00B30301"/>
    <w:rsid w:val="00B303B1"/>
    <w:rsid w:val="00B30E36"/>
    <w:rsid w:val="00B30EC4"/>
    <w:rsid w:val="00B318D2"/>
    <w:rsid w:val="00B31C20"/>
    <w:rsid w:val="00B31D00"/>
    <w:rsid w:val="00B31DEF"/>
    <w:rsid w:val="00B329DB"/>
    <w:rsid w:val="00B329FC"/>
    <w:rsid w:val="00B33D87"/>
    <w:rsid w:val="00B34F2C"/>
    <w:rsid w:val="00B34FCD"/>
    <w:rsid w:val="00B3574D"/>
    <w:rsid w:val="00B357C9"/>
    <w:rsid w:val="00B35BA1"/>
    <w:rsid w:val="00B36144"/>
    <w:rsid w:val="00B36724"/>
    <w:rsid w:val="00B36853"/>
    <w:rsid w:val="00B37823"/>
    <w:rsid w:val="00B3798C"/>
    <w:rsid w:val="00B37C8F"/>
    <w:rsid w:val="00B37D10"/>
    <w:rsid w:val="00B37E8E"/>
    <w:rsid w:val="00B40F0B"/>
    <w:rsid w:val="00B40F3E"/>
    <w:rsid w:val="00B4153C"/>
    <w:rsid w:val="00B4285C"/>
    <w:rsid w:val="00B42BF1"/>
    <w:rsid w:val="00B433CC"/>
    <w:rsid w:val="00B43C4B"/>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2045"/>
    <w:rsid w:val="00B52092"/>
    <w:rsid w:val="00B52925"/>
    <w:rsid w:val="00B52C4D"/>
    <w:rsid w:val="00B5316E"/>
    <w:rsid w:val="00B54628"/>
    <w:rsid w:val="00B54B7F"/>
    <w:rsid w:val="00B54D09"/>
    <w:rsid w:val="00B55670"/>
    <w:rsid w:val="00B55A78"/>
    <w:rsid w:val="00B55DC6"/>
    <w:rsid w:val="00B56705"/>
    <w:rsid w:val="00B568EA"/>
    <w:rsid w:val="00B56BA2"/>
    <w:rsid w:val="00B56DD1"/>
    <w:rsid w:val="00B57494"/>
    <w:rsid w:val="00B575F6"/>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687D"/>
    <w:rsid w:val="00B670DF"/>
    <w:rsid w:val="00B672DC"/>
    <w:rsid w:val="00B674D4"/>
    <w:rsid w:val="00B67B3B"/>
    <w:rsid w:val="00B701A1"/>
    <w:rsid w:val="00B7030C"/>
    <w:rsid w:val="00B708EF"/>
    <w:rsid w:val="00B70A25"/>
    <w:rsid w:val="00B70DC7"/>
    <w:rsid w:val="00B711C8"/>
    <w:rsid w:val="00B71F97"/>
    <w:rsid w:val="00B722BE"/>
    <w:rsid w:val="00B7324B"/>
    <w:rsid w:val="00B7328F"/>
    <w:rsid w:val="00B7495B"/>
    <w:rsid w:val="00B75230"/>
    <w:rsid w:val="00B7555F"/>
    <w:rsid w:val="00B761CB"/>
    <w:rsid w:val="00B766DB"/>
    <w:rsid w:val="00B76731"/>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851"/>
    <w:rsid w:val="00B84D81"/>
    <w:rsid w:val="00B851A5"/>
    <w:rsid w:val="00B856F4"/>
    <w:rsid w:val="00B85F4C"/>
    <w:rsid w:val="00B85F9D"/>
    <w:rsid w:val="00B86155"/>
    <w:rsid w:val="00B86162"/>
    <w:rsid w:val="00B8686C"/>
    <w:rsid w:val="00B869F7"/>
    <w:rsid w:val="00B87599"/>
    <w:rsid w:val="00B87830"/>
    <w:rsid w:val="00B9015B"/>
    <w:rsid w:val="00B909D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A015C"/>
    <w:rsid w:val="00BA03C2"/>
    <w:rsid w:val="00BA0F31"/>
    <w:rsid w:val="00BA0F62"/>
    <w:rsid w:val="00BA1338"/>
    <w:rsid w:val="00BA17E8"/>
    <w:rsid w:val="00BA2917"/>
    <w:rsid w:val="00BA3113"/>
    <w:rsid w:val="00BA325C"/>
    <w:rsid w:val="00BA3EA7"/>
    <w:rsid w:val="00BA4065"/>
    <w:rsid w:val="00BA4DBD"/>
    <w:rsid w:val="00BA4E82"/>
    <w:rsid w:val="00BA4F0D"/>
    <w:rsid w:val="00BA4F82"/>
    <w:rsid w:val="00BA52C1"/>
    <w:rsid w:val="00BA5B3A"/>
    <w:rsid w:val="00BA5DF0"/>
    <w:rsid w:val="00BA61A3"/>
    <w:rsid w:val="00BA7662"/>
    <w:rsid w:val="00BA7977"/>
    <w:rsid w:val="00BA7A69"/>
    <w:rsid w:val="00BA7B13"/>
    <w:rsid w:val="00BA7F2A"/>
    <w:rsid w:val="00BB08F1"/>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A24"/>
    <w:rsid w:val="00BB6C83"/>
    <w:rsid w:val="00BB70C2"/>
    <w:rsid w:val="00BB7C60"/>
    <w:rsid w:val="00BB7E3F"/>
    <w:rsid w:val="00BB7EC8"/>
    <w:rsid w:val="00BC074C"/>
    <w:rsid w:val="00BC0998"/>
    <w:rsid w:val="00BC0E96"/>
    <w:rsid w:val="00BC0F54"/>
    <w:rsid w:val="00BC0F77"/>
    <w:rsid w:val="00BC0FBF"/>
    <w:rsid w:val="00BC1D2B"/>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6112"/>
    <w:rsid w:val="00BE615C"/>
    <w:rsid w:val="00BE652D"/>
    <w:rsid w:val="00BE68CD"/>
    <w:rsid w:val="00BE68D0"/>
    <w:rsid w:val="00BE6CE8"/>
    <w:rsid w:val="00BE7177"/>
    <w:rsid w:val="00BE72AA"/>
    <w:rsid w:val="00BE7307"/>
    <w:rsid w:val="00BE7731"/>
    <w:rsid w:val="00BF05F8"/>
    <w:rsid w:val="00BF0688"/>
    <w:rsid w:val="00BF16C0"/>
    <w:rsid w:val="00BF1ED6"/>
    <w:rsid w:val="00BF2126"/>
    <w:rsid w:val="00BF2140"/>
    <w:rsid w:val="00BF26AE"/>
    <w:rsid w:val="00BF372B"/>
    <w:rsid w:val="00BF3AE1"/>
    <w:rsid w:val="00BF43A5"/>
    <w:rsid w:val="00BF4E16"/>
    <w:rsid w:val="00BF5F6F"/>
    <w:rsid w:val="00BF72DD"/>
    <w:rsid w:val="00BF74AD"/>
    <w:rsid w:val="00BF74CB"/>
    <w:rsid w:val="00BF753F"/>
    <w:rsid w:val="00BF7DB9"/>
    <w:rsid w:val="00C00629"/>
    <w:rsid w:val="00C00D7E"/>
    <w:rsid w:val="00C00EA8"/>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510"/>
    <w:rsid w:val="00C127B5"/>
    <w:rsid w:val="00C12B0F"/>
    <w:rsid w:val="00C12C78"/>
    <w:rsid w:val="00C12CF3"/>
    <w:rsid w:val="00C13E14"/>
    <w:rsid w:val="00C13E29"/>
    <w:rsid w:val="00C14A9E"/>
    <w:rsid w:val="00C14D3A"/>
    <w:rsid w:val="00C14DCF"/>
    <w:rsid w:val="00C15B8A"/>
    <w:rsid w:val="00C16247"/>
    <w:rsid w:val="00C16900"/>
    <w:rsid w:val="00C1702C"/>
    <w:rsid w:val="00C17098"/>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B62"/>
    <w:rsid w:val="00C2503C"/>
    <w:rsid w:val="00C25F0B"/>
    <w:rsid w:val="00C26D6F"/>
    <w:rsid w:val="00C305F5"/>
    <w:rsid w:val="00C30C0C"/>
    <w:rsid w:val="00C30D20"/>
    <w:rsid w:val="00C31055"/>
    <w:rsid w:val="00C3114A"/>
    <w:rsid w:val="00C3168A"/>
    <w:rsid w:val="00C31AC9"/>
    <w:rsid w:val="00C31E3F"/>
    <w:rsid w:val="00C327AE"/>
    <w:rsid w:val="00C333A8"/>
    <w:rsid w:val="00C33427"/>
    <w:rsid w:val="00C33B32"/>
    <w:rsid w:val="00C33FF7"/>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6060"/>
    <w:rsid w:val="00C5667C"/>
    <w:rsid w:val="00C56A59"/>
    <w:rsid w:val="00C56EB3"/>
    <w:rsid w:val="00C571D5"/>
    <w:rsid w:val="00C5767F"/>
    <w:rsid w:val="00C60546"/>
    <w:rsid w:val="00C60FCB"/>
    <w:rsid w:val="00C6125C"/>
    <w:rsid w:val="00C614A8"/>
    <w:rsid w:val="00C6205F"/>
    <w:rsid w:val="00C6217C"/>
    <w:rsid w:val="00C62220"/>
    <w:rsid w:val="00C6239C"/>
    <w:rsid w:val="00C63821"/>
    <w:rsid w:val="00C63DF3"/>
    <w:rsid w:val="00C6407C"/>
    <w:rsid w:val="00C641FD"/>
    <w:rsid w:val="00C64269"/>
    <w:rsid w:val="00C64958"/>
    <w:rsid w:val="00C649B7"/>
    <w:rsid w:val="00C6554E"/>
    <w:rsid w:val="00C65882"/>
    <w:rsid w:val="00C67A52"/>
    <w:rsid w:val="00C704F5"/>
    <w:rsid w:val="00C707D2"/>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1C24"/>
    <w:rsid w:val="00C825B6"/>
    <w:rsid w:val="00C82638"/>
    <w:rsid w:val="00C8273E"/>
    <w:rsid w:val="00C828A5"/>
    <w:rsid w:val="00C828D7"/>
    <w:rsid w:val="00C82BEF"/>
    <w:rsid w:val="00C8318E"/>
    <w:rsid w:val="00C832DD"/>
    <w:rsid w:val="00C832FB"/>
    <w:rsid w:val="00C83925"/>
    <w:rsid w:val="00C83F25"/>
    <w:rsid w:val="00C849A3"/>
    <w:rsid w:val="00C85042"/>
    <w:rsid w:val="00C850CC"/>
    <w:rsid w:val="00C85232"/>
    <w:rsid w:val="00C852E1"/>
    <w:rsid w:val="00C859C6"/>
    <w:rsid w:val="00C85E41"/>
    <w:rsid w:val="00C8647E"/>
    <w:rsid w:val="00C86BD0"/>
    <w:rsid w:val="00C8705A"/>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4D91"/>
    <w:rsid w:val="00C95414"/>
    <w:rsid w:val="00C962EB"/>
    <w:rsid w:val="00C96746"/>
    <w:rsid w:val="00C969FC"/>
    <w:rsid w:val="00C96BBC"/>
    <w:rsid w:val="00C96D0C"/>
    <w:rsid w:val="00C97419"/>
    <w:rsid w:val="00CA0171"/>
    <w:rsid w:val="00CA072E"/>
    <w:rsid w:val="00CA0D4E"/>
    <w:rsid w:val="00CA10A8"/>
    <w:rsid w:val="00CA10DE"/>
    <w:rsid w:val="00CA1BD2"/>
    <w:rsid w:val="00CA1E22"/>
    <w:rsid w:val="00CA1F7F"/>
    <w:rsid w:val="00CA215F"/>
    <w:rsid w:val="00CA2903"/>
    <w:rsid w:val="00CA3146"/>
    <w:rsid w:val="00CA375E"/>
    <w:rsid w:val="00CA40C1"/>
    <w:rsid w:val="00CA4105"/>
    <w:rsid w:val="00CA4C73"/>
    <w:rsid w:val="00CA4CB3"/>
    <w:rsid w:val="00CA5767"/>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5F74"/>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1B1C"/>
    <w:rsid w:val="00CC2B53"/>
    <w:rsid w:val="00CC3295"/>
    <w:rsid w:val="00CC347C"/>
    <w:rsid w:val="00CC4704"/>
    <w:rsid w:val="00CC513B"/>
    <w:rsid w:val="00CC5AAA"/>
    <w:rsid w:val="00CC5CAA"/>
    <w:rsid w:val="00CC713F"/>
    <w:rsid w:val="00CC71EE"/>
    <w:rsid w:val="00CC7818"/>
    <w:rsid w:val="00CC785D"/>
    <w:rsid w:val="00CD0482"/>
    <w:rsid w:val="00CD0845"/>
    <w:rsid w:val="00CD0A6E"/>
    <w:rsid w:val="00CD16C6"/>
    <w:rsid w:val="00CD1CD7"/>
    <w:rsid w:val="00CD1D09"/>
    <w:rsid w:val="00CD232D"/>
    <w:rsid w:val="00CD264E"/>
    <w:rsid w:val="00CD3515"/>
    <w:rsid w:val="00CD3B2C"/>
    <w:rsid w:val="00CD4179"/>
    <w:rsid w:val="00CD41E5"/>
    <w:rsid w:val="00CD440B"/>
    <w:rsid w:val="00CD441E"/>
    <w:rsid w:val="00CD4B79"/>
    <w:rsid w:val="00CD4EB1"/>
    <w:rsid w:val="00CD52FB"/>
    <w:rsid w:val="00CD53A8"/>
    <w:rsid w:val="00CD53DD"/>
    <w:rsid w:val="00CD55D4"/>
    <w:rsid w:val="00CD5897"/>
    <w:rsid w:val="00CD5947"/>
    <w:rsid w:val="00CD5E9A"/>
    <w:rsid w:val="00CD631B"/>
    <w:rsid w:val="00CD700D"/>
    <w:rsid w:val="00CD7624"/>
    <w:rsid w:val="00CD7C10"/>
    <w:rsid w:val="00CD7DF5"/>
    <w:rsid w:val="00CD7EE5"/>
    <w:rsid w:val="00CE01B9"/>
    <w:rsid w:val="00CE045D"/>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3D16"/>
    <w:rsid w:val="00D04456"/>
    <w:rsid w:val="00D044A0"/>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B34"/>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333"/>
    <w:rsid w:val="00D569E7"/>
    <w:rsid w:val="00D56B97"/>
    <w:rsid w:val="00D57741"/>
    <w:rsid w:val="00D57BCF"/>
    <w:rsid w:val="00D57BF5"/>
    <w:rsid w:val="00D57EF7"/>
    <w:rsid w:val="00D57F67"/>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90A"/>
    <w:rsid w:val="00D718F9"/>
    <w:rsid w:val="00D7198E"/>
    <w:rsid w:val="00D720BE"/>
    <w:rsid w:val="00D7242A"/>
    <w:rsid w:val="00D72565"/>
    <w:rsid w:val="00D72897"/>
    <w:rsid w:val="00D72AD9"/>
    <w:rsid w:val="00D72BB5"/>
    <w:rsid w:val="00D730CB"/>
    <w:rsid w:val="00D733D3"/>
    <w:rsid w:val="00D736BE"/>
    <w:rsid w:val="00D73A15"/>
    <w:rsid w:val="00D73ACE"/>
    <w:rsid w:val="00D74E67"/>
    <w:rsid w:val="00D74FD9"/>
    <w:rsid w:val="00D75250"/>
    <w:rsid w:val="00D75B15"/>
    <w:rsid w:val="00D75DA2"/>
    <w:rsid w:val="00D761EA"/>
    <w:rsid w:val="00D763AF"/>
    <w:rsid w:val="00D765F2"/>
    <w:rsid w:val="00D76C0D"/>
    <w:rsid w:val="00D76CFA"/>
    <w:rsid w:val="00D77123"/>
    <w:rsid w:val="00D77404"/>
    <w:rsid w:val="00D7745B"/>
    <w:rsid w:val="00D776C2"/>
    <w:rsid w:val="00D779D9"/>
    <w:rsid w:val="00D77D91"/>
    <w:rsid w:val="00D8094B"/>
    <w:rsid w:val="00D80DE0"/>
    <w:rsid w:val="00D818FC"/>
    <w:rsid w:val="00D81D3A"/>
    <w:rsid w:val="00D82254"/>
    <w:rsid w:val="00D827EC"/>
    <w:rsid w:val="00D8287F"/>
    <w:rsid w:val="00D828E7"/>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8BB"/>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83"/>
    <w:rsid w:val="00DA3F5A"/>
    <w:rsid w:val="00DA55C0"/>
    <w:rsid w:val="00DA57D6"/>
    <w:rsid w:val="00DA5EF1"/>
    <w:rsid w:val="00DA62F5"/>
    <w:rsid w:val="00DA62F7"/>
    <w:rsid w:val="00DA6FD0"/>
    <w:rsid w:val="00DA7370"/>
    <w:rsid w:val="00DA749F"/>
    <w:rsid w:val="00DB0235"/>
    <w:rsid w:val="00DB02EE"/>
    <w:rsid w:val="00DB06EB"/>
    <w:rsid w:val="00DB0902"/>
    <w:rsid w:val="00DB1538"/>
    <w:rsid w:val="00DB1F21"/>
    <w:rsid w:val="00DB2BD8"/>
    <w:rsid w:val="00DB335D"/>
    <w:rsid w:val="00DB365F"/>
    <w:rsid w:val="00DB3752"/>
    <w:rsid w:val="00DB444C"/>
    <w:rsid w:val="00DB55AD"/>
    <w:rsid w:val="00DB57B9"/>
    <w:rsid w:val="00DB5A59"/>
    <w:rsid w:val="00DB5BE9"/>
    <w:rsid w:val="00DB6558"/>
    <w:rsid w:val="00DB6851"/>
    <w:rsid w:val="00DB68E2"/>
    <w:rsid w:val="00DB6D07"/>
    <w:rsid w:val="00DB71AB"/>
    <w:rsid w:val="00DB72D6"/>
    <w:rsid w:val="00DC0114"/>
    <w:rsid w:val="00DC014D"/>
    <w:rsid w:val="00DC0D44"/>
    <w:rsid w:val="00DC0FC9"/>
    <w:rsid w:val="00DC125E"/>
    <w:rsid w:val="00DC14AA"/>
    <w:rsid w:val="00DC16B9"/>
    <w:rsid w:val="00DC174C"/>
    <w:rsid w:val="00DC1D03"/>
    <w:rsid w:val="00DC1F2D"/>
    <w:rsid w:val="00DC2E11"/>
    <w:rsid w:val="00DC5429"/>
    <w:rsid w:val="00DC5F94"/>
    <w:rsid w:val="00DC620C"/>
    <w:rsid w:val="00DC662C"/>
    <w:rsid w:val="00DC68E6"/>
    <w:rsid w:val="00DC6E3F"/>
    <w:rsid w:val="00DC73A9"/>
    <w:rsid w:val="00DC7582"/>
    <w:rsid w:val="00DC7586"/>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63D"/>
    <w:rsid w:val="00DF397E"/>
    <w:rsid w:val="00DF4745"/>
    <w:rsid w:val="00DF491A"/>
    <w:rsid w:val="00DF5070"/>
    <w:rsid w:val="00DF549A"/>
    <w:rsid w:val="00DF54EA"/>
    <w:rsid w:val="00DF5A2E"/>
    <w:rsid w:val="00DF5D4E"/>
    <w:rsid w:val="00DF673E"/>
    <w:rsid w:val="00DF69E7"/>
    <w:rsid w:val="00DF6DD1"/>
    <w:rsid w:val="00DF6E3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71F1"/>
    <w:rsid w:val="00E0767D"/>
    <w:rsid w:val="00E07754"/>
    <w:rsid w:val="00E07757"/>
    <w:rsid w:val="00E07C16"/>
    <w:rsid w:val="00E101D9"/>
    <w:rsid w:val="00E1026F"/>
    <w:rsid w:val="00E107D5"/>
    <w:rsid w:val="00E108AA"/>
    <w:rsid w:val="00E1092D"/>
    <w:rsid w:val="00E10CE5"/>
    <w:rsid w:val="00E10D1C"/>
    <w:rsid w:val="00E10FD5"/>
    <w:rsid w:val="00E11EEE"/>
    <w:rsid w:val="00E1277F"/>
    <w:rsid w:val="00E12EF6"/>
    <w:rsid w:val="00E13718"/>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E39"/>
    <w:rsid w:val="00E2162A"/>
    <w:rsid w:val="00E21942"/>
    <w:rsid w:val="00E2208B"/>
    <w:rsid w:val="00E22332"/>
    <w:rsid w:val="00E2245E"/>
    <w:rsid w:val="00E2248D"/>
    <w:rsid w:val="00E22BC7"/>
    <w:rsid w:val="00E23B90"/>
    <w:rsid w:val="00E23C14"/>
    <w:rsid w:val="00E23DC0"/>
    <w:rsid w:val="00E23E24"/>
    <w:rsid w:val="00E242FC"/>
    <w:rsid w:val="00E246E5"/>
    <w:rsid w:val="00E24B2C"/>
    <w:rsid w:val="00E24D04"/>
    <w:rsid w:val="00E26416"/>
    <w:rsid w:val="00E26F4F"/>
    <w:rsid w:val="00E3014C"/>
    <w:rsid w:val="00E305E4"/>
    <w:rsid w:val="00E31120"/>
    <w:rsid w:val="00E3118C"/>
    <w:rsid w:val="00E318C1"/>
    <w:rsid w:val="00E3256A"/>
    <w:rsid w:val="00E3297E"/>
    <w:rsid w:val="00E32FF4"/>
    <w:rsid w:val="00E333AF"/>
    <w:rsid w:val="00E335F4"/>
    <w:rsid w:val="00E337D6"/>
    <w:rsid w:val="00E33B0A"/>
    <w:rsid w:val="00E343CE"/>
    <w:rsid w:val="00E346AB"/>
    <w:rsid w:val="00E34B41"/>
    <w:rsid w:val="00E34C84"/>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5ED"/>
    <w:rsid w:val="00E6085E"/>
    <w:rsid w:val="00E60C66"/>
    <w:rsid w:val="00E61167"/>
    <w:rsid w:val="00E6193F"/>
    <w:rsid w:val="00E61CC7"/>
    <w:rsid w:val="00E61DE5"/>
    <w:rsid w:val="00E624FE"/>
    <w:rsid w:val="00E628D6"/>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109D"/>
    <w:rsid w:val="00E717E0"/>
    <w:rsid w:val="00E71878"/>
    <w:rsid w:val="00E71ED3"/>
    <w:rsid w:val="00E7272E"/>
    <w:rsid w:val="00E7298E"/>
    <w:rsid w:val="00E72EFC"/>
    <w:rsid w:val="00E736A3"/>
    <w:rsid w:val="00E73F21"/>
    <w:rsid w:val="00E74757"/>
    <w:rsid w:val="00E74C63"/>
    <w:rsid w:val="00E75567"/>
    <w:rsid w:val="00E75847"/>
    <w:rsid w:val="00E75973"/>
    <w:rsid w:val="00E75B93"/>
    <w:rsid w:val="00E75DFD"/>
    <w:rsid w:val="00E75F70"/>
    <w:rsid w:val="00E760A6"/>
    <w:rsid w:val="00E76595"/>
    <w:rsid w:val="00E76DEA"/>
    <w:rsid w:val="00E76EFA"/>
    <w:rsid w:val="00E804EA"/>
    <w:rsid w:val="00E80ACB"/>
    <w:rsid w:val="00E80F3A"/>
    <w:rsid w:val="00E810B0"/>
    <w:rsid w:val="00E813C0"/>
    <w:rsid w:val="00E81424"/>
    <w:rsid w:val="00E81A9C"/>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6213"/>
    <w:rsid w:val="00E87330"/>
    <w:rsid w:val="00E873A1"/>
    <w:rsid w:val="00E87440"/>
    <w:rsid w:val="00E90557"/>
    <w:rsid w:val="00E905BE"/>
    <w:rsid w:val="00E91FF1"/>
    <w:rsid w:val="00E9267D"/>
    <w:rsid w:val="00E92CC0"/>
    <w:rsid w:val="00E937CA"/>
    <w:rsid w:val="00E93B51"/>
    <w:rsid w:val="00E93C24"/>
    <w:rsid w:val="00E944BD"/>
    <w:rsid w:val="00E949FD"/>
    <w:rsid w:val="00E94C66"/>
    <w:rsid w:val="00E95A45"/>
    <w:rsid w:val="00E95B64"/>
    <w:rsid w:val="00E95E7D"/>
    <w:rsid w:val="00E9605F"/>
    <w:rsid w:val="00E9633D"/>
    <w:rsid w:val="00E968A8"/>
    <w:rsid w:val="00E97E33"/>
    <w:rsid w:val="00E97F75"/>
    <w:rsid w:val="00EA035B"/>
    <w:rsid w:val="00EA0C4C"/>
    <w:rsid w:val="00EA0F51"/>
    <w:rsid w:val="00EA1131"/>
    <w:rsid w:val="00EA19A9"/>
    <w:rsid w:val="00EA1AE3"/>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3FE4"/>
    <w:rsid w:val="00EC4902"/>
    <w:rsid w:val="00EC4DC9"/>
    <w:rsid w:val="00EC4FCD"/>
    <w:rsid w:val="00EC4FFC"/>
    <w:rsid w:val="00EC54D5"/>
    <w:rsid w:val="00EC580D"/>
    <w:rsid w:val="00EC59BF"/>
    <w:rsid w:val="00EC5F40"/>
    <w:rsid w:val="00EC723E"/>
    <w:rsid w:val="00EC73B6"/>
    <w:rsid w:val="00EC74D0"/>
    <w:rsid w:val="00EC77CD"/>
    <w:rsid w:val="00EC77FE"/>
    <w:rsid w:val="00ED2073"/>
    <w:rsid w:val="00ED2B8A"/>
    <w:rsid w:val="00ED30B9"/>
    <w:rsid w:val="00ED3397"/>
    <w:rsid w:val="00ED3748"/>
    <w:rsid w:val="00ED3BE2"/>
    <w:rsid w:val="00ED3C4C"/>
    <w:rsid w:val="00ED4235"/>
    <w:rsid w:val="00ED4668"/>
    <w:rsid w:val="00ED47B0"/>
    <w:rsid w:val="00ED4BDB"/>
    <w:rsid w:val="00ED529F"/>
    <w:rsid w:val="00ED5844"/>
    <w:rsid w:val="00ED69DE"/>
    <w:rsid w:val="00ED6F39"/>
    <w:rsid w:val="00ED722D"/>
    <w:rsid w:val="00ED73B6"/>
    <w:rsid w:val="00ED750A"/>
    <w:rsid w:val="00ED7909"/>
    <w:rsid w:val="00ED7BC9"/>
    <w:rsid w:val="00ED7D9E"/>
    <w:rsid w:val="00EE0537"/>
    <w:rsid w:val="00EE0B9A"/>
    <w:rsid w:val="00EE1AC6"/>
    <w:rsid w:val="00EE1BD3"/>
    <w:rsid w:val="00EE20A1"/>
    <w:rsid w:val="00EE2185"/>
    <w:rsid w:val="00EE241F"/>
    <w:rsid w:val="00EE249A"/>
    <w:rsid w:val="00EE24EC"/>
    <w:rsid w:val="00EE26A5"/>
    <w:rsid w:val="00EE2825"/>
    <w:rsid w:val="00EE2BBB"/>
    <w:rsid w:val="00EE3D64"/>
    <w:rsid w:val="00EE432F"/>
    <w:rsid w:val="00EE49DB"/>
    <w:rsid w:val="00EE5498"/>
    <w:rsid w:val="00EE54FE"/>
    <w:rsid w:val="00EE5DFD"/>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B21"/>
    <w:rsid w:val="00EF43E8"/>
    <w:rsid w:val="00EF4747"/>
    <w:rsid w:val="00EF5126"/>
    <w:rsid w:val="00EF51B0"/>
    <w:rsid w:val="00EF5C92"/>
    <w:rsid w:val="00EF65B5"/>
    <w:rsid w:val="00EF68E3"/>
    <w:rsid w:val="00EF6ECF"/>
    <w:rsid w:val="00EF73E2"/>
    <w:rsid w:val="00EF75F5"/>
    <w:rsid w:val="00EF7626"/>
    <w:rsid w:val="00EF7C1C"/>
    <w:rsid w:val="00EF7DD6"/>
    <w:rsid w:val="00F01634"/>
    <w:rsid w:val="00F01762"/>
    <w:rsid w:val="00F01916"/>
    <w:rsid w:val="00F022DD"/>
    <w:rsid w:val="00F026BA"/>
    <w:rsid w:val="00F029D1"/>
    <w:rsid w:val="00F0338A"/>
    <w:rsid w:val="00F0355F"/>
    <w:rsid w:val="00F03D7F"/>
    <w:rsid w:val="00F0405B"/>
    <w:rsid w:val="00F04C05"/>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B44"/>
    <w:rsid w:val="00F11BED"/>
    <w:rsid w:val="00F11C2F"/>
    <w:rsid w:val="00F11E8F"/>
    <w:rsid w:val="00F12414"/>
    <w:rsid w:val="00F12415"/>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F8"/>
    <w:rsid w:val="00F17AA0"/>
    <w:rsid w:val="00F2066B"/>
    <w:rsid w:val="00F20863"/>
    <w:rsid w:val="00F20880"/>
    <w:rsid w:val="00F21192"/>
    <w:rsid w:val="00F214A6"/>
    <w:rsid w:val="00F216F9"/>
    <w:rsid w:val="00F21B8F"/>
    <w:rsid w:val="00F21BF5"/>
    <w:rsid w:val="00F21CCF"/>
    <w:rsid w:val="00F22193"/>
    <w:rsid w:val="00F224AE"/>
    <w:rsid w:val="00F249E5"/>
    <w:rsid w:val="00F24AB5"/>
    <w:rsid w:val="00F25146"/>
    <w:rsid w:val="00F2530F"/>
    <w:rsid w:val="00F25D10"/>
    <w:rsid w:val="00F2690D"/>
    <w:rsid w:val="00F26ECD"/>
    <w:rsid w:val="00F300F2"/>
    <w:rsid w:val="00F302AE"/>
    <w:rsid w:val="00F304C3"/>
    <w:rsid w:val="00F30BEB"/>
    <w:rsid w:val="00F313A3"/>
    <w:rsid w:val="00F316A3"/>
    <w:rsid w:val="00F32084"/>
    <w:rsid w:val="00F32102"/>
    <w:rsid w:val="00F321ED"/>
    <w:rsid w:val="00F3227A"/>
    <w:rsid w:val="00F32833"/>
    <w:rsid w:val="00F32F87"/>
    <w:rsid w:val="00F34073"/>
    <w:rsid w:val="00F340F8"/>
    <w:rsid w:val="00F3469A"/>
    <w:rsid w:val="00F3487C"/>
    <w:rsid w:val="00F34A7A"/>
    <w:rsid w:val="00F34C22"/>
    <w:rsid w:val="00F34CF0"/>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5A0"/>
    <w:rsid w:val="00F56AC8"/>
    <w:rsid w:val="00F57776"/>
    <w:rsid w:val="00F577FC"/>
    <w:rsid w:val="00F60555"/>
    <w:rsid w:val="00F605D3"/>
    <w:rsid w:val="00F607DC"/>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5A68"/>
    <w:rsid w:val="00F65CD9"/>
    <w:rsid w:val="00F661C0"/>
    <w:rsid w:val="00F66354"/>
    <w:rsid w:val="00F66492"/>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3E7"/>
    <w:rsid w:val="00F87507"/>
    <w:rsid w:val="00F87C75"/>
    <w:rsid w:val="00F87FC9"/>
    <w:rsid w:val="00F90954"/>
    <w:rsid w:val="00F90DDA"/>
    <w:rsid w:val="00F91066"/>
    <w:rsid w:val="00F919B1"/>
    <w:rsid w:val="00F92200"/>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5017"/>
    <w:rsid w:val="00FA5163"/>
    <w:rsid w:val="00FA5203"/>
    <w:rsid w:val="00FA58A8"/>
    <w:rsid w:val="00FA591D"/>
    <w:rsid w:val="00FA61E6"/>
    <w:rsid w:val="00FA63D0"/>
    <w:rsid w:val="00FA6559"/>
    <w:rsid w:val="00FA6788"/>
    <w:rsid w:val="00FA6C1A"/>
    <w:rsid w:val="00FA6CB7"/>
    <w:rsid w:val="00FA6EDC"/>
    <w:rsid w:val="00FA71D5"/>
    <w:rsid w:val="00FA750D"/>
    <w:rsid w:val="00FA7E0B"/>
    <w:rsid w:val="00FB0536"/>
    <w:rsid w:val="00FB0F2E"/>
    <w:rsid w:val="00FB1606"/>
    <w:rsid w:val="00FB16D7"/>
    <w:rsid w:val="00FB1800"/>
    <w:rsid w:val="00FB1C07"/>
    <w:rsid w:val="00FB21A3"/>
    <w:rsid w:val="00FB26B5"/>
    <w:rsid w:val="00FB2A29"/>
    <w:rsid w:val="00FB503C"/>
    <w:rsid w:val="00FB55F0"/>
    <w:rsid w:val="00FB5FF1"/>
    <w:rsid w:val="00FB6017"/>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C7A2B"/>
    <w:rsid w:val="00FD02AE"/>
    <w:rsid w:val="00FD03FC"/>
    <w:rsid w:val="00FD0AAB"/>
    <w:rsid w:val="00FD0F6A"/>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65A2"/>
    <w:rsid w:val="00FD65EE"/>
    <w:rsid w:val="00FD6717"/>
    <w:rsid w:val="00FE06D7"/>
    <w:rsid w:val="00FE08EB"/>
    <w:rsid w:val="00FE0FF1"/>
    <w:rsid w:val="00FE1078"/>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DE7"/>
    <w:rsid w:val="00FF0077"/>
    <w:rsid w:val="00FF0AAF"/>
    <w:rsid w:val="00FF110E"/>
    <w:rsid w:val="00FF121C"/>
    <w:rsid w:val="00FF1919"/>
    <w:rsid w:val="00FF19F8"/>
    <w:rsid w:val="00FF2155"/>
    <w:rsid w:val="00FF23F9"/>
    <w:rsid w:val="00FF2684"/>
    <w:rsid w:val="00FF29B8"/>
    <w:rsid w:val="00FF2A97"/>
    <w:rsid w:val="00FF2E1C"/>
    <w:rsid w:val="00FF369A"/>
    <w:rsid w:val="00FF3A85"/>
    <w:rsid w:val="00FF3DDC"/>
    <w:rsid w:val="00FF50EE"/>
    <w:rsid w:val="00FF51F9"/>
    <w:rsid w:val="00FF5421"/>
    <w:rsid w:val="00FF585E"/>
    <w:rsid w:val="00FF5998"/>
    <w:rsid w:val="00FF5BAE"/>
    <w:rsid w:val="00FF64B4"/>
    <w:rsid w:val="00FF6B61"/>
    <w:rsid w:val="00FF6BCE"/>
    <w:rsid w:val="00FF6CB6"/>
    <w:rsid w:val="00FF6FCD"/>
    <w:rsid w:val="00FF734A"/>
    <w:rsid w:val="00FF73FD"/>
    <w:rsid w:val="00FF7C73"/>
    <w:rsid w:val="01230FF8"/>
    <w:rsid w:val="01683444"/>
    <w:rsid w:val="01840D23"/>
    <w:rsid w:val="01C523EB"/>
    <w:rsid w:val="02443EBF"/>
    <w:rsid w:val="0330158A"/>
    <w:rsid w:val="03C71167"/>
    <w:rsid w:val="03EA585B"/>
    <w:rsid w:val="04366AF2"/>
    <w:rsid w:val="04F767F1"/>
    <w:rsid w:val="060D0D62"/>
    <w:rsid w:val="06111BB3"/>
    <w:rsid w:val="06A26381"/>
    <w:rsid w:val="0704224E"/>
    <w:rsid w:val="0728574A"/>
    <w:rsid w:val="07F06A7A"/>
    <w:rsid w:val="08226864"/>
    <w:rsid w:val="086361B9"/>
    <w:rsid w:val="08EE2A4A"/>
    <w:rsid w:val="090221EB"/>
    <w:rsid w:val="090F3FE1"/>
    <w:rsid w:val="091F144E"/>
    <w:rsid w:val="093760A7"/>
    <w:rsid w:val="094B6D79"/>
    <w:rsid w:val="09BA1D64"/>
    <w:rsid w:val="09F76798"/>
    <w:rsid w:val="0A2F0398"/>
    <w:rsid w:val="0BA96923"/>
    <w:rsid w:val="0C1C72C1"/>
    <w:rsid w:val="0C762CD4"/>
    <w:rsid w:val="0C893534"/>
    <w:rsid w:val="0D005082"/>
    <w:rsid w:val="0D5225D9"/>
    <w:rsid w:val="0D5A1BC5"/>
    <w:rsid w:val="0D8933DF"/>
    <w:rsid w:val="0DB97A81"/>
    <w:rsid w:val="0E337610"/>
    <w:rsid w:val="0E540B6A"/>
    <w:rsid w:val="0ECD6484"/>
    <w:rsid w:val="0EEB72C5"/>
    <w:rsid w:val="0F501814"/>
    <w:rsid w:val="10A833F3"/>
    <w:rsid w:val="10C47D43"/>
    <w:rsid w:val="110B0E97"/>
    <w:rsid w:val="118725E5"/>
    <w:rsid w:val="129B5913"/>
    <w:rsid w:val="12AB6A19"/>
    <w:rsid w:val="13387A59"/>
    <w:rsid w:val="133A259A"/>
    <w:rsid w:val="133D684E"/>
    <w:rsid w:val="134074AF"/>
    <w:rsid w:val="134763DB"/>
    <w:rsid w:val="145D59CD"/>
    <w:rsid w:val="148F5CF7"/>
    <w:rsid w:val="14AB7929"/>
    <w:rsid w:val="14F352D0"/>
    <w:rsid w:val="15061D4E"/>
    <w:rsid w:val="150A2791"/>
    <w:rsid w:val="159708BF"/>
    <w:rsid w:val="16AC7E59"/>
    <w:rsid w:val="16CA5487"/>
    <w:rsid w:val="171D32B8"/>
    <w:rsid w:val="172F2BA1"/>
    <w:rsid w:val="17D33B8E"/>
    <w:rsid w:val="18296E49"/>
    <w:rsid w:val="187D5677"/>
    <w:rsid w:val="18B96600"/>
    <w:rsid w:val="19076499"/>
    <w:rsid w:val="191F35C3"/>
    <w:rsid w:val="19F71403"/>
    <w:rsid w:val="1A2624C9"/>
    <w:rsid w:val="1A9C243C"/>
    <w:rsid w:val="1ADD6FFB"/>
    <w:rsid w:val="1B1C28D1"/>
    <w:rsid w:val="1B6D337D"/>
    <w:rsid w:val="1C7D2FC3"/>
    <w:rsid w:val="1CA82F66"/>
    <w:rsid w:val="1CEF7BC8"/>
    <w:rsid w:val="1D9B16E1"/>
    <w:rsid w:val="1DE262B7"/>
    <w:rsid w:val="1DF30DBE"/>
    <w:rsid w:val="20541E49"/>
    <w:rsid w:val="2056598B"/>
    <w:rsid w:val="205826F8"/>
    <w:rsid w:val="20EC4110"/>
    <w:rsid w:val="211B43F9"/>
    <w:rsid w:val="212E56A3"/>
    <w:rsid w:val="21792449"/>
    <w:rsid w:val="21B617B5"/>
    <w:rsid w:val="220C057A"/>
    <w:rsid w:val="22744C38"/>
    <w:rsid w:val="22E3703A"/>
    <w:rsid w:val="22F04A70"/>
    <w:rsid w:val="23096F8B"/>
    <w:rsid w:val="23677299"/>
    <w:rsid w:val="238A0EF6"/>
    <w:rsid w:val="248779A4"/>
    <w:rsid w:val="24F9002D"/>
    <w:rsid w:val="24FB0E3B"/>
    <w:rsid w:val="263D2AE0"/>
    <w:rsid w:val="26687C2F"/>
    <w:rsid w:val="266A28AF"/>
    <w:rsid w:val="268F427A"/>
    <w:rsid w:val="271D6388"/>
    <w:rsid w:val="27CF771B"/>
    <w:rsid w:val="27FF404B"/>
    <w:rsid w:val="29733B53"/>
    <w:rsid w:val="29BB297F"/>
    <w:rsid w:val="29DA1326"/>
    <w:rsid w:val="29FC779A"/>
    <w:rsid w:val="2A140675"/>
    <w:rsid w:val="2A1E682D"/>
    <w:rsid w:val="2A542A9A"/>
    <w:rsid w:val="2BC26BFB"/>
    <w:rsid w:val="2BCC4D6B"/>
    <w:rsid w:val="2C093183"/>
    <w:rsid w:val="2C10053A"/>
    <w:rsid w:val="2CCC7620"/>
    <w:rsid w:val="2D2F463D"/>
    <w:rsid w:val="2D3116B8"/>
    <w:rsid w:val="2F341516"/>
    <w:rsid w:val="2F8E3E2E"/>
    <w:rsid w:val="30475C61"/>
    <w:rsid w:val="30B357C7"/>
    <w:rsid w:val="30CA52DE"/>
    <w:rsid w:val="30CF0C1A"/>
    <w:rsid w:val="31497DE8"/>
    <w:rsid w:val="316A1FA7"/>
    <w:rsid w:val="318115D0"/>
    <w:rsid w:val="326C6D5E"/>
    <w:rsid w:val="327A176F"/>
    <w:rsid w:val="32813AA1"/>
    <w:rsid w:val="32CC6D9C"/>
    <w:rsid w:val="331D54F7"/>
    <w:rsid w:val="337C5B48"/>
    <w:rsid w:val="341425B6"/>
    <w:rsid w:val="34477D1D"/>
    <w:rsid w:val="345B39AE"/>
    <w:rsid w:val="34DD5696"/>
    <w:rsid w:val="34E11235"/>
    <w:rsid w:val="355E3D20"/>
    <w:rsid w:val="359033E2"/>
    <w:rsid w:val="35E53EFB"/>
    <w:rsid w:val="36266DB4"/>
    <w:rsid w:val="365A3B54"/>
    <w:rsid w:val="36846637"/>
    <w:rsid w:val="36A50B59"/>
    <w:rsid w:val="36D24142"/>
    <w:rsid w:val="37272F01"/>
    <w:rsid w:val="379320DC"/>
    <w:rsid w:val="37A2544C"/>
    <w:rsid w:val="37F67806"/>
    <w:rsid w:val="38A35D40"/>
    <w:rsid w:val="396B5612"/>
    <w:rsid w:val="399B4E0F"/>
    <w:rsid w:val="39A97105"/>
    <w:rsid w:val="39ED4DE6"/>
    <w:rsid w:val="3A0E06F6"/>
    <w:rsid w:val="3A450AC6"/>
    <w:rsid w:val="3AF718E1"/>
    <w:rsid w:val="3BF738C6"/>
    <w:rsid w:val="3C39735A"/>
    <w:rsid w:val="3C91311A"/>
    <w:rsid w:val="3C9D60B5"/>
    <w:rsid w:val="3D274BF7"/>
    <w:rsid w:val="3D5634C6"/>
    <w:rsid w:val="3D6A5AEF"/>
    <w:rsid w:val="3D8141C6"/>
    <w:rsid w:val="3DE42645"/>
    <w:rsid w:val="3E016E42"/>
    <w:rsid w:val="3ED051B1"/>
    <w:rsid w:val="3EF065DF"/>
    <w:rsid w:val="3F3737D0"/>
    <w:rsid w:val="3F416C0D"/>
    <w:rsid w:val="3F4E1F09"/>
    <w:rsid w:val="3FB07D68"/>
    <w:rsid w:val="3FF208EC"/>
    <w:rsid w:val="3FFF47B3"/>
    <w:rsid w:val="40464190"/>
    <w:rsid w:val="40E953D5"/>
    <w:rsid w:val="4184148D"/>
    <w:rsid w:val="429602E7"/>
    <w:rsid w:val="42C83582"/>
    <w:rsid w:val="43774CC2"/>
    <w:rsid w:val="4455011F"/>
    <w:rsid w:val="44767F39"/>
    <w:rsid w:val="44997FD0"/>
    <w:rsid w:val="45BB24A6"/>
    <w:rsid w:val="46107F64"/>
    <w:rsid w:val="465A1317"/>
    <w:rsid w:val="46BD58A7"/>
    <w:rsid w:val="47B03CDD"/>
    <w:rsid w:val="47CB39B5"/>
    <w:rsid w:val="47EB17E0"/>
    <w:rsid w:val="48457776"/>
    <w:rsid w:val="488D29F2"/>
    <w:rsid w:val="4A0E02D6"/>
    <w:rsid w:val="4A702D82"/>
    <w:rsid w:val="4AD325E2"/>
    <w:rsid w:val="4AEF1EFC"/>
    <w:rsid w:val="4B63508A"/>
    <w:rsid w:val="4B8615C9"/>
    <w:rsid w:val="4BA82AAC"/>
    <w:rsid w:val="4BBE29AC"/>
    <w:rsid w:val="4BC35A11"/>
    <w:rsid w:val="4BC55D72"/>
    <w:rsid w:val="4D7A5586"/>
    <w:rsid w:val="4DC808DA"/>
    <w:rsid w:val="4E3373FB"/>
    <w:rsid w:val="4E7E62F5"/>
    <w:rsid w:val="4EFD3A3D"/>
    <w:rsid w:val="4FD15A8E"/>
    <w:rsid w:val="51882F3A"/>
    <w:rsid w:val="51B556A1"/>
    <w:rsid w:val="51F003FF"/>
    <w:rsid w:val="536C4165"/>
    <w:rsid w:val="539A29F7"/>
    <w:rsid w:val="548B3542"/>
    <w:rsid w:val="54F12ED0"/>
    <w:rsid w:val="55387644"/>
    <w:rsid w:val="55951E9C"/>
    <w:rsid w:val="55B91DE8"/>
    <w:rsid w:val="5626406B"/>
    <w:rsid w:val="56573763"/>
    <w:rsid w:val="566413BC"/>
    <w:rsid w:val="56724F0C"/>
    <w:rsid w:val="56A57CA6"/>
    <w:rsid w:val="56B54986"/>
    <w:rsid w:val="56F33B39"/>
    <w:rsid w:val="58A720A2"/>
    <w:rsid w:val="58FB64F2"/>
    <w:rsid w:val="594D2CAA"/>
    <w:rsid w:val="5A6100CA"/>
    <w:rsid w:val="5ABE6DE8"/>
    <w:rsid w:val="5B9D7330"/>
    <w:rsid w:val="5BCC202C"/>
    <w:rsid w:val="5C4A2E02"/>
    <w:rsid w:val="5C985D31"/>
    <w:rsid w:val="5CF54B1C"/>
    <w:rsid w:val="5D0D6469"/>
    <w:rsid w:val="5D871E87"/>
    <w:rsid w:val="5DE352BC"/>
    <w:rsid w:val="5F5F6BC4"/>
    <w:rsid w:val="60664F57"/>
    <w:rsid w:val="61063E5A"/>
    <w:rsid w:val="61582413"/>
    <w:rsid w:val="62F50734"/>
    <w:rsid w:val="632A68E4"/>
    <w:rsid w:val="63B838A0"/>
    <w:rsid w:val="64A41451"/>
    <w:rsid w:val="651008F6"/>
    <w:rsid w:val="653B59DE"/>
    <w:rsid w:val="65460F0B"/>
    <w:rsid w:val="65997299"/>
    <w:rsid w:val="65BA3648"/>
    <w:rsid w:val="65F464C3"/>
    <w:rsid w:val="661E2D6B"/>
    <w:rsid w:val="66AB0941"/>
    <w:rsid w:val="66B20069"/>
    <w:rsid w:val="66D41454"/>
    <w:rsid w:val="670E313C"/>
    <w:rsid w:val="676B5A41"/>
    <w:rsid w:val="67846D9E"/>
    <w:rsid w:val="67AF037F"/>
    <w:rsid w:val="67F57B1D"/>
    <w:rsid w:val="68300816"/>
    <w:rsid w:val="68CE075A"/>
    <w:rsid w:val="694960ED"/>
    <w:rsid w:val="69832E15"/>
    <w:rsid w:val="69C272B4"/>
    <w:rsid w:val="6A531E63"/>
    <w:rsid w:val="6A8B4468"/>
    <w:rsid w:val="6A926DEF"/>
    <w:rsid w:val="6AB2229E"/>
    <w:rsid w:val="6B244F62"/>
    <w:rsid w:val="6B370211"/>
    <w:rsid w:val="6B4E40B7"/>
    <w:rsid w:val="6B8052A2"/>
    <w:rsid w:val="6B8101BF"/>
    <w:rsid w:val="6BD776AA"/>
    <w:rsid w:val="6D2123CF"/>
    <w:rsid w:val="6EF168F9"/>
    <w:rsid w:val="6F5D06C0"/>
    <w:rsid w:val="6F7663A5"/>
    <w:rsid w:val="701D5B96"/>
    <w:rsid w:val="707569E3"/>
    <w:rsid w:val="70B03147"/>
    <w:rsid w:val="70C2526C"/>
    <w:rsid w:val="70EB02B8"/>
    <w:rsid w:val="71061D22"/>
    <w:rsid w:val="7150119D"/>
    <w:rsid w:val="71EE76D9"/>
    <w:rsid w:val="72E23801"/>
    <w:rsid w:val="72FF43BD"/>
    <w:rsid w:val="73A74AB9"/>
    <w:rsid w:val="73F9191E"/>
    <w:rsid w:val="741A46DC"/>
    <w:rsid w:val="743C5DBA"/>
    <w:rsid w:val="7607033B"/>
    <w:rsid w:val="767E47CF"/>
    <w:rsid w:val="76FF4FA6"/>
    <w:rsid w:val="778C0ADA"/>
    <w:rsid w:val="783818A7"/>
    <w:rsid w:val="78806FCE"/>
    <w:rsid w:val="789A36A2"/>
    <w:rsid w:val="78A21BA4"/>
    <w:rsid w:val="79747688"/>
    <w:rsid w:val="7A0A57D4"/>
    <w:rsid w:val="7A61592D"/>
    <w:rsid w:val="7B375F65"/>
    <w:rsid w:val="7B990188"/>
    <w:rsid w:val="7C475803"/>
    <w:rsid w:val="7C567566"/>
    <w:rsid w:val="7D43500E"/>
    <w:rsid w:val="7D833E26"/>
    <w:rsid w:val="7D840808"/>
    <w:rsid w:val="7DED6275"/>
    <w:rsid w:val="7E262E46"/>
    <w:rsid w:val="7EDD386D"/>
    <w:rsid w:val="7F097D04"/>
    <w:rsid w:val="7F1208B9"/>
    <w:rsid w:val="7F5240D3"/>
    <w:rsid w:val="7FE61D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4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2"/>
    <w:link w:val="7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2"/>
    <w:link w:val="8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10">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74"/>
    <w:qFormat/>
    <w:uiPriority w:val="0"/>
    <w:pPr>
      <w:ind w:firstLine="420"/>
    </w:pPr>
    <w:rPr>
      <w:szCs w:val="20"/>
    </w:rPr>
  </w:style>
  <w:style w:type="paragraph" w:styleId="3">
    <w:name w:val="Body Text Indent"/>
    <w:basedOn w:val="1"/>
    <w:next w:val="2"/>
    <w:link w:val="98"/>
    <w:qFormat/>
    <w:uiPriority w:val="0"/>
    <w:pPr>
      <w:spacing w:line="200" w:lineRule="exact"/>
      <w:ind w:firstLine="301"/>
    </w:pPr>
    <w:rPr>
      <w:rFonts w:ascii="宋体" w:hAnsi="Courier New"/>
      <w:spacing w:val="-4"/>
      <w:sz w:val="18"/>
      <w:szCs w:val="20"/>
    </w:rPr>
  </w:style>
  <w:style w:type="paragraph" w:styleId="13">
    <w:name w:val="List Number"/>
    <w:basedOn w:val="1"/>
    <w:next w:val="14"/>
    <w:qFormat/>
    <w:uiPriority w:val="0"/>
    <w:pPr>
      <w:widowControl/>
      <w:tabs>
        <w:tab w:val="left" w:pos="454"/>
        <w:tab w:val="left" w:pos="720"/>
      </w:tabs>
      <w:spacing w:afterLines="50"/>
      <w:ind w:left="454" w:hanging="284"/>
      <w:jc w:val="left"/>
    </w:pPr>
    <w:rPr>
      <w:kern w:val="0"/>
      <w:sz w:val="24"/>
      <w:szCs w:val="20"/>
    </w:rPr>
  </w:style>
  <w:style w:type="paragraph" w:styleId="14">
    <w:name w:val="Body Text"/>
    <w:basedOn w:val="1"/>
    <w:next w:val="1"/>
    <w:link w:val="94"/>
    <w:qFormat/>
    <w:uiPriority w:val="0"/>
    <w:pPr>
      <w:spacing w:after="120"/>
    </w:pPr>
    <w:rPr>
      <w:sz w:val="28"/>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64"/>
    <w:semiHidden/>
    <w:qFormat/>
    <w:uiPriority w:val="0"/>
    <w:pPr>
      <w:shd w:val="clear" w:color="auto" w:fill="000080"/>
    </w:pPr>
  </w:style>
  <w:style w:type="paragraph" w:styleId="18">
    <w:name w:val="annotation text"/>
    <w:basedOn w:val="1"/>
    <w:link w:val="65"/>
    <w:semiHidden/>
    <w:qFormat/>
    <w:uiPriority w:val="0"/>
    <w:pPr>
      <w:jc w:val="left"/>
    </w:pPr>
  </w:style>
  <w:style w:type="paragraph" w:styleId="19">
    <w:name w:val="Salutation"/>
    <w:basedOn w:val="1"/>
    <w:next w:val="1"/>
    <w:qFormat/>
    <w:uiPriority w:val="0"/>
    <w:rPr>
      <w:sz w:val="24"/>
    </w:rPr>
  </w:style>
  <w:style w:type="paragraph" w:styleId="20">
    <w:name w:val="Body Text 3"/>
    <w:basedOn w:val="1"/>
    <w:qFormat/>
    <w:uiPriority w:val="0"/>
    <w:pPr>
      <w:snapToGrid w:val="0"/>
      <w:spacing w:before="50" w:after="50"/>
    </w:p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4">
    <w:name w:val="Plain Text"/>
    <w:basedOn w:val="1"/>
    <w:next w:val="25"/>
    <w:link w:val="76"/>
    <w:qFormat/>
    <w:uiPriority w:val="0"/>
    <w:pPr>
      <w:adjustRightInd w:val="0"/>
      <w:snapToGrid w:val="0"/>
      <w:spacing w:before="156" w:beforeLines="50" w:after="156" w:afterLines="50"/>
      <w:jc w:val="left"/>
    </w:pPr>
    <w:rPr>
      <w:rFonts w:ascii="宋体" w:hAnsi="Courier New"/>
      <w:sz w:val="24"/>
    </w:rPr>
  </w:style>
  <w:style w:type="paragraph" w:styleId="25">
    <w:name w:val="Date"/>
    <w:basedOn w:val="1"/>
    <w:next w:val="1"/>
    <w:qFormat/>
    <w:uiPriority w:val="0"/>
    <w:pPr>
      <w:ind w:left="2500" w:leftChars="2500"/>
    </w:pPr>
    <w:rPr>
      <w:rFonts w:eastAsia="楷体_GB2312"/>
      <w:sz w:val="32"/>
      <w:szCs w:val="20"/>
    </w:rPr>
  </w:style>
  <w:style w:type="paragraph" w:styleId="26">
    <w:name w:val="Body Text Indent 2"/>
    <w:basedOn w:val="1"/>
    <w:link w:val="95"/>
    <w:qFormat/>
    <w:uiPriority w:val="0"/>
    <w:pPr>
      <w:snapToGrid w:val="0"/>
      <w:ind w:firstLine="542" w:firstLineChars="225"/>
    </w:pPr>
    <w:rPr>
      <w:rFonts w:ascii="仿宋_GB2312" w:hAnsi="宋体" w:cs="Arial"/>
      <w:b/>
      <w:bCs/>
      <w:color w:val="000000"/>
      <w:sz w:val="24"/>
    </w:rPr>
  </w:style>
  <w:style w:type="paragraph" w:styleId="27">
    <w:name w:val="endnote text"/>
    <w:basedOn w:val="1"/>
    <w:semiHidden/>
    <w:qFormat/>
    <w:uiPriority w:val="0"/>
    <w:pPr>
      <w:snapToGrid w:val="0"/>
      <w:spacing w:afterLines="50"/>
      <w:jc w:val="left"/>
    </w:pPr>
    <w:rPr>
      <w:rFonts w:ascii="宋体"/>
      <w:snapToGrid w:val="0"/>
      <w:kern w:val="0"/>
      <w:szCs w:val="20"/>
    </w:rPr>
  </w:style>
  <w:style w:type="paragraph" w:styleId="28">
    <w:name w:val="Balloon Text"/>
    <w:basedOn w:val="1"/>
    <w:link w:val="101"/>
    <w:semiHidden/>
    <w:qFormat/>
    <w:uiPriority w:val="0"/>
    <w:rPr>
      <w:sz w:val="18"/>
      <w:szCs w:val="18"/>
    </w:rPr>
  </w:style>
  <w:style w:type="paragraph" w:styleId="29">
    <w:name w:val="footer"/>
    <w:basedOn w:val="1"/>
    <w:link w:val="82"/>
    <w:qFormat/>
    <w:uiPriority w:val="99"/>
    <w:pPr>
      <w:tabs>
        <w:tab w:val="center" w:pos="4153"/>
        <w:tab w:val="right" w:pos="8306"/>
      </w:tabs>
      <w:snapToGrid w:val="0"/>
      <w:jc w:val="left"/>
    </w:pPr>
    <w:rPr>
      <w:rFonts w:eastAsia="黑体"/>
      <w:snapToGrid w:val="0"/>
      <w:kern w:val="0"/>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1">
    <w:name w:val="toc 1"/>
    <w:basedOn w:val="1"/>
    <w:next w:val="1"/>
    <w:semiHidden/>
    <w:qFormat/>
    <w:uiPriority w:val="0"/>
  </w:style>
  <w:style w:type="paragraph" w:styleId="32">
    <w:name w:val="Subtitle"/>
    <w:basedOn w:val="1"/>
    <w:qFormat/>
    <w:uiPriority w:val="0"/>
    <w:pPr>
      <w:spacing w:afterLines="50"/>
      <w:jc w:val="center"/>
    </w:pPr>
    <w:rPr>
      <w:rFonts w:ascii="宋体"/>
      <w:i/>
      <w:snapToGrid w:val="0"/>
      <w:kern w:val="0"/>
      <w:sz w:val="36"/>
      <w:szCs w:val="20"/>
      <w:lang w:val="en-AU"/>
    </w:rPr>
  </w:style>
  <w:style w:type="paragraph" w:styleId="33">
    <w:name w:val="List"/>
    <w:basedOn w:val="1"/>
    <w:qFormat/>
    <w:uiPriority w:val="0"/>
    <w:pPr>
      <w:ind w:left="200" w:hanging="200" w:hangingChars="200"/>
    </w:pPr>
    <w:rPr>
      <w:sz w:val="28"/>
    </w:rPr>
  </w:style>
  <w:style w:type="paragraph" w:styleId="34">
    <w:name w:val="toc 6"/>
    <w:basedOn w:val="1"/>
    <w:next w:val="1"/>
    <w:unhideWhenUsed/>
    <w:qFormat/>
    <w:uiPriority w:val="39"/>
    <w:pPr>
      <w:ind w:left="2100" w:leftChars="1000"/>
    </w:pPr>
  </w:style>
  <w:style w:type="paragraph" w:styleId="35">
    <w:name w:val="Body Text Indent 3"/>
    <w:basedOn w:val="1"/>
    <w:link w:val="68"/>
    <w:qFormat/>
    <w:uiPriority w:val="0"/>
    <w:pPr>
      <w:snapToGrid w:val="0"/>
      <w:ind w:firstLine="480" w:firstLineChars="200"/>
      <w:jc w:val="left"/>
    </w:pPr>
    <w:rPr>
      <w:rFonts w:ascii="仿宋_GB2312" w:hAnsi="宋体" w:eastAsia="仿宋_GB2312"/>
      <w:color w:val="000000"/>
      <w:sz w:val="24"/>
    </w:rPr>
  </w:style>
  <w:style w:type="paragraph" w:styleId="36">
    <w:name w:val="toc 2"/>
    <w:basedOn w:val="1"/>
    <w:next w:val="1"/>
    <w:qFormat/>
    <w:uiPriority w:val="0"/>
    <w:pPr>
      <w:ind w:left="420" w:leftChars="200"/>
    </w:pPr>
  </w:style>
  <w:style w:type="paragraph" w:styleId="3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8">
    <w:name w:val="HTML Preformatted"/>
    <w:basedOn w:val="1"/>
    <w:qFormat/>
    <w:uiPriority w:val="0"/>
    <w:rPr>
      <w:rFonts w:ascii="Courier New" w:hAnsi="Courier New" w:cs="Courier New"/>
      <w:sz w:val="20"/>
      <w:szCs w:val="20"/>
    </w:rPr>
  </w:style>
  <w:style w:type="paragraph" w:styleId="39">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0">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41">
    <w:name w:val="annotation subject"/>
    <w:basedOn w:val="18"/>
    <w:next w:val="18"/>
    <w:semiHidden/>
    <w:qFormat/>
    <w:uiPriority w:val="0"/>
    <w:rPr>
      <w:b/>
      <w:bCs/>
    </w:rPr>
  </w:style>
  <w:style w:type="paragraph" w:styleId="42">
    <w:name w:val="Body Text First Indent"/>
    <w:basedOn w:val="14"/>
    <w:next w:val="1"/>
    <w:qFormat/>
    <w:uiPriority w:val="0"/>
    <w:pPr>
      <w:spacing w:line="360" w:lineRule="auto"/>
      <w:ind w:firstLine="233" w:firstLineChars="83"/>
      <w:jc w:val="center"/>
    </w:pPr>
    <w:rPr>
      <w:b/>
      <w:bCs/>
    </w:rPr>
  </w:style>
  <w:style w:type="paragraph" w:styleId="43">
    <w:name w:val="Body Text First Indent 2"/>
    <w:basedOn w:val="3"/>
    <w:next w:val="44"/>
    <w:qFormat/>
    <w:uiPriority w:val="0"/>
    <w:pPr>
      <w:ind w:firstLine="420" w:firstLineChars="200"/>
    </w:pPr>
  </w:style>
  <w:style w:type="paragraph" w:customStyle="1" w:styleId="4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basedOn w:val="47"/>
    <w:qFormat/>
    <w:uiPriority w:val="0"/>
    <w:rPr>
      <w:color w:val="0000FF"/>
      <w:u w:val="single"/>
    </w:rPr>
  </w:style>
  <w:style w:type="character" w:styleId="52">
    <w:name w:val="annotation reference"/>
    <w:qFormat/>
    <w:uiPriority w:val="0"/>
    <w:rPr>
      <w:sz w:val="21"/>
      <w:szCs w:val="21"/>
    </w:rPr>
  </w:style>
  <w:style w:type="paragraph" w:customStyle="1" w:styleId="53">
    <w:name w:val="章正文"/>
    <w:basedOn w:val="1"/>
    <w:qFormat/>
    <w:uiPriority w:val="0"/>
    <w:pPr>
      <w:spacing w:beforeLines="50" w:after="120" w:line="300" w:lineRule="auto"/>
      <w:ind w:firstLine="480"/>
    </w:pPr>
    <w:rPr>
      <w:rFonts w:ascii="Helvetica" w:hAnsi="Helvetica"/>
      <w:kern w:val="0"/>
      <w:sz w:val="24"/>
    </w:rPr>
  </w:style>
  <w:style w:type="paragraph" w:customStyle="1" w:styleId="54">
    <w:name w:val="表格文字"/>
    <w:basedOn w:val="1"/>
    <w:next w:val="14"/>
    <w:qFormat/>
    <w:uiPriority w:val="99"/>
    <w:pPr>
      <w:adjustRightInd w:val="0"/>
      <w:spacing w:line="420" w:lineRule="atLeast"/>
      <w:jc w:val="left"/>
      <w:textAlignment w:val="baseline"/>
    </w:pPr>
    <w:rPr>
      <w:kern w:val="0"/>
    </w:rPr>
  </w:style>
  <w:style w:type="paragraph" w:customStyle="1" w:styleId="55">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56">
    <w:name w:val="tw4winInternal"/>
    <w:qFormat/>
    <w:uiPriority w:val="0"/>
    <w:rPr>
      <w:rFonts w:ascii="Courier New" w:hAnsi="Courier New"/>
      <w:color w:val="FF0000"/>
    </w:rPr>
  </w:style>
  <w:style w:type="character" w:customStyle="1" w:styleId="57">
    <w:name w:val="Char Char3"/>
    <w:qFormat/>
    <w:uiPriority w:val="0"/>
    <w:rPr>
      <w:rFonts w:ascii="仿宋_GB2312" w:hAnsi="宋体" w:eastAsia="仿宋_GB2312"/>
      <w:color w:val="000000"/>
      <w:sz w:val="24"/>
      <w:szCs w:val="24"/>
      <w:lang w:bidi="ar-SA"/>
    </w:rPr>
  </w:style>
  <w:style w:type="character" w:customStyle="1" w:styleId="58">
    <w:name w:val="标题 1 Char Char"/>
    <w:qFormat/>
    <w:uiPriority w:val="0"/>
    <w:rPr>
      <w:rFonts w:eastAsia="宋体"/>
      <w:b/>
      <w:spacing w:val="-2"/>
      <w:sz w:val="24"/>
      <w:lang w:val="en-US" w:eastAsia="zh-CN" w:bidi="ar-SA"/>
    </w:rPr>
  </w:style>
  <w:style w:type="character" w:customStyle="1" w:styleId="59">
    <w:name w:val="tw4winMark"/>
    <w:qFormat/>
    <w:uiPriority w:val="0"/>
    <w:rPr>
      <w:rFonts w:ascii="Courier New" w:hAnsi="Courier New"/>
      <w:vanish/>
      <w:color w:val="800080"/>
      <w:vertAlign w:val="subscript"/>
    </w:rPr>
  </w:style>
  <w:style w:type="character" w:customStyle="1" w:styleId="6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61">
    <w:name w:val="Heading 1 Char"/>
    <w:qFormat/>
    <w:locked/>
    <w:uiPriority w:val="0"/>
    <w:rPr>
      <w:rFonts w:cs="Times New Roman"/>
      <w:b/>
      <w:bCs/>
      <w:kern w:val="44"/>
      <w:sz w:val="44"/>
      <w:szCs w:val="44"/>
    </w:rPr>
  </w:style>
  <w:style w:type="character" w:customStyle="1" w:styleId="62">
    <w:name w:val="style11"/>
    <w:qFormat/>
    <w:uiPriority w:val="0"/>
    <w:rPr>
      <w:rFonts w:eastAsia="宋体"/>
      <w:kern w:val="2"/>
      <w:sz w:val="21"/>
      <w:szCs w:val="21"/>
      <w:lang w:val="en-US" w:eastAsia="zh-CN"/>
    </w:rPr>
  </w:style>
  <w:style w:type="character" w:customStyle="1" w:styleId="63">
    <w:name w:val="font2"/>
    <w:qFormat/>
    <w:uiPriority w:val="0"/>
    <w:rPr>
      <w:rFonts w:hint="default" w:ascii="Arial" w:hAnsi="Arial" w:cs="Arial"/>
      <w:color w:val="333333"/>
      <w:spacing w:val="0"/>
      <w:sz w:val="18"/>
      <w:szCs w:val="18"/>
    </w:rPr>
  </w:style>
  <w:style w:type="character" w:customStyle="1" w:styleId="64">
    <w:name w:val="文档结构图 Char"/>
    <w:basedOn w:val="47"/>
    <w:link w:val="17"/>
    <w:qFormat/>
    <w:uiPriority w:val="0"/>
    <w:rPr>
      <w:rFonts w:eastAsia="宋体"/>
      <w:kern w:val="2"/>
      <w:sz w:val="21"/>
      <w:szCs w:val="24"/>
      <w:lang w:val="en-US" w:eastAsia="zh-CN" w:bidi="ar-SA"/>
    </w:rPr>
  </w:style>
  <w:style w:type="character" w:customStyle="1" w:styleId="65">
    <w:name w:val="批注文字 Char"/>
    <w:link w:val="18"/>
    <w:qFormat/>
    <w:uiPriority w:val="0"/>
    <w:rPr>
      <w:rFonts w:eastAsia="宋体"/>
      <w:kern w:val="2"/>
      <w:sz w:val="21"/>
      <w:szCs w:val="24"/>
      <w:lang w:val="en-US" w:eastAsia="zh-CN" w:bidi="ar-SA"/>
    </w:rPr>
  </w:style>
  <w:style w:type="character" w:customStyle="1" w:styleId="66">
    <w:name w:val="b titlename wangputoptitle"/>
    <w:basedOn w:val="47"/>
    <w:qFormat/>
    <w:uiPriority w:val="0"/>
  </w:style>
  <w:style w:type="character" w:customStyle="1" w:styleId="67">
    <w:name w:val="tw4winTerm"/>
    <w:qFormat/>
    <w:uiPriority w:val="0"/>
    <w:rPr>
      <w:color w:val="0000FF"/>
    </w:rPr>
  </w:style>
  <w:style w:type="character" w:customStyle="1" w:styleId="68">
    <w:name w:val="正文文本缩进 3 Char"/>
    <w:link w:val="35"/>
    <w:qFormat/>
    <w:uiPriority w:val="0"/>
    <w:rPr>
      <w:rFonts w:ascii="仿宋_GB2312" w:hAnsi="宋体" w:eastAsia="仿宋_GB2312"/>
      <w:color w:val="000000"/>
      <w:kern w:val="2"/>
      <w:sz w:val="24"/>
      <w:szCs w:val="24"/>
      <w:lang w:val="en-US" w:eastAsia="zh-CN" w:bidi="ar-SA"/>
    </w:rPr>
  </w:style>
  <w:style w:type="character" w:customStyle="1" w:styleId="69">
    <w:name w:val="样式 小四"/>
    <w:qFormat/>
    <w:uiPriority w:val="0"/>
    <w:rPr>
      <w:sz w:val="21"/>
    </w:rPr>
  </w:style>
  <w:style w:type="character" w:customStyle="1" w:styleId="70">
    <w:name w:val="标题 3 Char1"/>
    <w:link w:val="6"/>
    <w:qFormat/>
    <w:uiPriority w:val="0"/>
    <w:rPr>
      <w:rFonts w:ascii="宋体" w:eastAsia="宋体"/>
      <w:b/>
      <w:sz w:val="24"/>
      <w:u w:val="single"/>
      <w:lang w:val="en-US" w:eastAsia="zh-CN" w:bidi="ar-SA"/>
    </w:rPr>
  </w:style>
  <w:style w:type="character" w:customStyle="1" w:styleId="71">
    <w:name w:val="para"/>
    <w:basedOn w:val="47"/>
    <w:qFormat/>
    <w:uiPriority w:val="0"/>
  </w:style>
  <w:style w:type="character" w:customStyle="1" w:styleId="72">
    <w:name w:val="标题 2 Char"/>
    <w:qFormat/>
    <w:uiPriority w:val="0"/>
    <w:rPr>
      <w:rFonts w:ascii="Arial" w:hAnsi="Arial" w:eastAsia="黑体"/>
      <w:b/>
      <w:bCs/>
      <w:kern w:val="2"/>
      <w:sz w:val="32"/>
      <w:szCs w:val="32"/>
      <w:lang w:val="en-US" w:eastAsia="zh-CN" w:bidi="ar-SA"/>
    </w:rPr>
  </w:style>
  <w:style w:type="character" w:customStyle="1" w:styleId="73">
    <w:name w:val="tw4winError"/>
    <w:qFormat/>
    <w:uiPriority w:val="0"/>
    <w:rPr>
      <w:rFonts w:ascii="Courier New" w:hAnsi="Courier New"/>
      <w:color w:val="00FF00"/>
      <w:sz w:val="40"/>
    </w:rPr>
  </w:style>
  <w:style w:type="character" w:customStyle="1" w:styleId="74">
    <w:name w:val="正文缩进 Char"/>
    <w:link w:val="2"/>
    <w:qFormat/>
    <w:uiPriority w:val="0"/>
    <w:rPr>
      <w:rFonts w:eastAsia="宋体"/>
      <w:kern w:val="2"/>
      <w:sz w:val="21"/>
      <w:lang w:val="en-US" w:eastAsia="zh-CN" w:bidi="ar-SA"/>
    </w:rPr>
  </w:style>
  <w:style w:type="character" w:customStyle="1" w:styleId="75">
    <w:name w:val="style31"/>
    <w:qFormat/>
    <w:uiPriority w:val="0"/>
    <w:rPr>
      <w:color w:val="4B4B4B"/>
    </w:rPr>
  </w:style>
  <w:style w:type="character" w:customStyle="1" w:styleId="76">
    <w:name w:val="纯文本 Char"/>
    <w:link w:val="24"/>
    <w:qFormat/>
    <w:uiPriority w:val="0"/>
    <w:rPr>
      <w:rFonts w:ascii="宋体" w:hAnsi="Courier New"/>
      <w:kern w:val="2"/>
      <w:sz w:val="24"/>
      <w:szCs w:val="24"/>
    </w:rPr>
  </w:style>
  <w:style w:type="character" w:customStyle="1" w:styleId="77">
    <w:name w:val="!我的正文 Ctr+Q Char"/>
    <w:link w:val="78"/>
    <w:qFormat/>
    <w:uiPriority w:val="0"/>
    <w:rPr>
      <w:rFonts w:ascii="Arial" w:hAnsi="Arial" w:eastAsia="宋体"/>
      <w:kern w:val="2"/>
      <w:sz w:val="24"/>
      <w:szCs w:val="21"/>
      <w:lang w:val="en-US" w:eastAsia="zh-CN" w:bidi="ar-SA"/>
    </w:rPr>
  </w:style>
  <w:style w:type="paragraph" w:customStyle="1" w:styleId="78">
    <w:name w:val="!我的正文 Ctr+Q"/>
    <w:basedOn w:val="1"/>
    <w:link w:val="77"/>
    <w:qFormat/>
    <w:uiPriority w:val="0"/>
    <w:pPr>
      <w:adjustRightInd w:val="0"/>
      <w:snapToGrid w:val="0"/>
      <w:spacing w:line="360" w:lineRule="auto"/>
      <w:ind w:firstLine="480" w:firstLineChars="200"/>
    </w:pPr>
    <w:rPr>
      <w:rFonts w:ascii="Arial" w:hAnsi="Arial"/>
      <w:sz w:val="24"/>
      <w:szCs w:val="21"/>
    </w:rPr>
  </w:style>
  <w:style w:type="character" w:customStyle="1" w:styleId="79">
    <w:name w:val="font3"/>
    <w:basedOn w:val="47"/>
    <w:qFormat/>
    <w:uiPriority w:val="0"/>
  </w:style>
  <w:style w:type="character" w:customStyle="1" w:styleId="80">
    <w:name w:val="tw4winExternal"/>
    <w:qFormat/>
    <w:uiPriority w:val="0"/>
    <w:rPr>
      <w:rFonts w:ascii="Courier New" w:hAnsi="Courier New"/>
      <w:color w:val="808080"/>
    </w:rPr>
  </w:style>
  <w:style w:type="character" w:customStyle="1" w:styleId="81">
    <w:name w:val="标题 1 Char"/>
    <w:qFormat/>
    <w:uiPriority w:val="0"/>
    <w:rPr>
      <w:rFonts w:eastAsia="宋体"/>
      <w:b/>
      <w:bCs/>
      <w:kern w:val="44"/>
      <w:sz w:val="44"/>
      <w:szCs w:val="44"/>
      <w:lang w:val="en-US" w:eastAsia="zh-CN" w:bidi="ar-SA"/>
    </w:rPr>
  </w:style>
  <w:style w:type="character" w:customStyle="1" w:styleId="82">
    <w:name w:val="页脚 Char"/>
    <w:link w:val="29"/>
    <w:qFormat/>
    <w:locked/>
    <w:uiPriority w:val="99"/>
    <w:rPr>
      <w:rFonts w:eastAsia="黑体"/>
      <w:snapToGrid w:val="0"/>
      <w:sz w:val="18"/>
      <w:szCs w:val="18"/>
      <w:lang w:val="en-US" w:eastAsia="zh-CN" w:bidi="ar-SA"/>
    </w:rPr>
  </w:style>
  <w:style w:type="character" w:customStyle="1" w:styleId="83">
    <w:name w:val="页眉 Char"/>
    <w:link w:val="30"/>
    <w:qFormat/>
    <w:locked/>
    <w:uiPriority w:val="99"/>
    <w:rPr>
      <w:rFonts w:eastAsia="仿宋_GB2312"/>
      <w:kern w:val="2"/>
      <w:sz w:val="18"/>
      <w:lang w:val="en-US" w:eastAsia="zh-CN" w:bidi="ar-SA"/>
    </w:rPr>
  </w:style>
  <w:style w:type="character" w:customStyle="1" w:styleId="84">
    <w:name w:val="point_normal1"/>
    <w:qFormat/>
    <w:uiPriority w:val="0"/>
    <w:rPr>
      <w:rFonts w:hint="default" w:ascii="Arial" w:hAnsi="Arial" w:cs="Arial"/>
      <w:sz w:val="18"/>
      <w:szCs w:val="18"/>
    </w:rPr>
  </w:style>
  <w:style w:type="character" w:customStyle="1" w:styleId="85">
    <w:name w:val="fontblank12"/>
    <w:basedOn w:val="47"/>
    <w:qFormat/>
    <w:uiPriority w:val="0"/>
  </w:style>
  <w:style w:type="character" w:customStyle="1" w:styleId="86">
    <w:name w:val="huide001"/>
    <w:qFormat/>
    <w:uiPriority w:val="0"/>
    <w:rPr>
      <w:rFonts w:hint="default" w:ascii="Arial" w:hAnsi="Arial" w:cs="Arial"/>
      <w:color w:val="666666"/>
      <w:sz w:val="18"/>
      <w:szCs w:val="18"/>
    </w:rPr>
  </w:style>
  <w:style w:type="character" w:customStyle="1" w:styleId="87">
    <w:name w:val="tw4winPopup"/>
    <w:qFormat/>
    <w:uiPriority w:val="0"/>
    <w:rPr>
      <w:rFonts w:ascii="Courier New" w:hAnsi="Courier New"/>
      <w:color w:val="008000"/>
    </w:rPr>
  </w:style>
  <w:style w:type="character" w:customStyle="1" w:styleId="88">
    <w:name w:val="标题 3 Char"/>
    <w:qFormat/>
    <w:uiPriority w:val="0"/>
    <w:rPr>
      <w:rFonts w:eastAsia="宋体"/>
      <w:b/>
      <w:kern w:val="2"/>
      <w:sz w:val="32"/>
      <w:lang w:val="en-US" w:eastAsia="zh-CN"/>
    </w:rPr>
  </w:style>
  <w:style w:type="character" w:customStyle="1" w:styleId="89">
    <w:name w:val="标题 4 Char"/>
    <w:link w:val="7"/>
    <w:qFormat/>
    <w:uiPriority w:val="0"/>
    <w:rPr>
      <w:rFonts w:ascii="Arial" w:hAnsi="Arial" w:eastAsia="黑体"/>
      <w:b/>
      <w:bCs/>
      <w:kern w:val="2"/>
      <w:sz w:val="28"/>
      <w:szCs w:val="28"/>
      <w:lang w:val="en-US" w:eastAsia="zh-CN" w:bidi="ar-SA"/>
    </w:rPr>
  </w:style>
  <w:style w:type="character" w:customStyle="1" w:styleId="90">
    <w:name w:val="unnamed11"/>
    <w:qFormat/>
    <w:uiPriority w:val="0"/>
    <w:rPr>
      <w:sz w:val="20"/>
      <w:szCs w:val="20"/>
    </w:rPr>
  </w:style>
  <w:style w:type="character" w:customStyle="1" w:styleId="91">
    <w:name w:val="pagetitle"/>
    <w:basedOn w:val="47"/>
    <w:qFormat/>
    <w:uiPriority w:val="0"/>
  </w:style>
  <w:style w:type="character" w:customStyle="1" w:styleId="92">
    <w:name w:val="line1"/>
    <w:qFormat/>
    <w:uiPriority w:val="0"/>
    <w:rPr>
      <w:u w:val="none"/>
    </w:rPr>
  </w:style>
  <w:style w:type="character" w:customStyle="1" w:styleId="93">
    <w:name w:val="text11"/>
    <w:qFormat/>
    <w:uiPriority w:val="0"/>
    <w:rPr>
      <w:rFonts w:hint="default" w:ascii="Verdana" w:hAnsi="Verdana"/>
      <w:color w:val="4E4E4E"/>
      <w:sz w:val="18"/>
      <w:szCs w:val="18"/>
    </w:rPr>
  </w:style>
  <w:style w:type="character" w:customStyle="1" w:styleId="94">
    <w:name w:val="正文文本 Char"/>
    <w:link w:val="14"/>
    <w:qFormat/>
    <w:uiPriority w:val="0"/>
    <w:rPr>
      <w:rFonts w:eastAsia="宋体"/>
      <w:kern w:val="2"/>
      <w:sz w:val="28"/>
      <w:szCs w:val="24"/>
      <w:lang w:val="en-US" w:eastAsia="zh-CN" w:bidi="ar-SA"/>
    </w:rPr>
  </w:style>
  <w:style w:type="character" w:customStyle="1" w:styleId="95">
    <w:name w:val="正文文本缩进 2 Char"/>
    <w:link w:val="26"/>
    <w:qFormat/>
    <w:uiPriority w:val="0"/>
    <w:rPr>
      <w:rFonts w:ascii="仿宋_GB2312" w:hAnsi="宋体" w:eastAsia="宋体" w:cs="Arial"/>
      <w:b/>
      <w:bCs/>
      <w:color w:val="000000"/>
      <w:kern w:val="2"/>
      <w:sz w:val="24"/>
      <w:szCs w:val="24"/>
      <w:lang w:val="en-US" w:eastAsia="zh-CN" w:bidi="ar-SA"/>
    </w:rPr>
  </w:style>
  <w:style w:type="character" w:customStyle="1" w:styleId="96">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7">
    <w:name w:val="A C"/>
    <w:qFormat/>
    <w:uiPriority w:val="0"/>
    <w:rPr>
      <w:rFonts w:ascii="仿宋_GB2312"/>
      <w:bCs/>
      <w:iCs/>
      <w:sz w:val="24"/>
    </w:rPr>
  </w:style>
  <w:style w:type="character" w:customStyle="1" w:styleId="98">
    <w:name w:val="正文文本缩进 Char"/>
    <w:link w:val="3"/>
    <w:qFormat/>
    <w:uiPriority w:val="0"/>
    <w:rPr>
      <w:rFonts w:ascii="宋体" w:hAnsi="Courier New"/>
      <w:spacing w:val="-4"/>
      <w:kern w:val="2"/>
      <w:sz w:val="18"/>
    </w:rPr>
  </w:style>
  <w:style w:type="character" w:customStyle="1" w:styleId="99">
    <w:name w:val="tw4winJump"/>
    <w:qFormat/>
    <w:uiPriority w:val="0"/>
    <w:rPr>
      <w:rFonts w:ascii="Courier New" w:hAnsi="Courier New"/>
      <w:color w:val="008080"/>
    </w:rPr>
  </w:style>
  <w:style w:type="character" w:customStyle="1" w:styleId="100">
    <w:name w:val="Char Char7"/>
    <w:qFormat/>
    <w:uiPriority w:val="0"/>
    <w:rPr>
      <w:rFonts w:ascii="Cambria" w:hAnsi="Cambria" w:eastAsia="宋体" w:cs="Times New Roman"/>
      <w:b/>
      <w:bCs/>
      <w:sz w:val="32"/>
      <w:szCs w:val="32"/>
    </w:rPr>
  </w:style>
  <w:style w:type="character" w:customStyle="1" w:styleId="101">
    <w:name w:val="批注框文本 Char"/>
    <w:basedOn w:val="47"/>
    <w:link w:val="28"/>
    <w:qFormat/>
    <w:uiPriority w:val="0"/>
    <w:rPr>
      <w:rFonts w:eastAsia="宋体"/>
      <w:kern w:val="2"/>
      <w:sz w:val="18"/>
      <w:szCs w:val="18"/>
      <w:lang w:val="en-US" w:eastAsia="zh-CN" w:bidi="ar-SA"/>
    </w:rPr>
  </w:style>
  <w:style w:type="character" w:customStyle="1" w:styleId="102">
    <w:name w:val="style101"/>
    <w:qFormat/>
    <w:uiPriority w:val="0"/>
    <w:rPr>
      <w:color w:val="FFFFFF"/>
    </w:rPr>
  </w:style>
  <w:style w:type="paragraph" w:customStyle="1" w:styleId="103">
    <w:name w:val="样式2"/>
    <w:basedOn w:val="5"/>
    <w:qFormat/>
    <w:uiPriority w:val="0"/>
    <w:pPr>
      <w:tabs>
        <w:tab w:val="left" w:pos="600"/>
      </w:tabs>
      <w:ind w:left="600" w:hanging="600"/>
    </w:pPr>
    <w:rPr>
      <w:rFonts w:eastAsia="宋体"/>
    </w:rPr>
  </w:style>
  <w:style w:type="paragraph" w:customStyle="1" w:styleId="104">
    <w:name w:val="p0"/>
    <w:basedOn w:val="1"/>
    <w:qFormat/>
    <w:uiPriority w:val="0"/>
    <w:pPr>
      <w:widowControl/>
      <w:spacing w:after="50"/>
    </w:pPr>
    <w:rPr>
      <w:kern w:val="0"/>
      <w:szCs w:val="21"/>
    </w:rPr>
  </w:style>
  <w:style w:type="paragraph" w:customStyle="1" w:styleId="105">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106">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0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08">
    <w:name w:val="Char Char Char Char Char Char Char Char Char Char"/>
    <w:basedOn w:val="17"/>
    <w:qFormat/>
    <w:uiPriority w:val="0"/>
    <w:rPr>
      <w:rFonts w:ascii="Tahoma" w:hAnsi="Tahoma"/>
      <w:sz w:val="24"/>
    </w:rPr>
  </w:style>
  <w:style w:type="paragraph" w:customStyle="1" w:styleId="109">
    <w:name w:val="P3"/>
    <w:basedOn w:val="1"/>
    <w:qFormat/>
    <w:uiPriority w:val="0"/>
    <w:pPr>
      <w:widowControl/>
      <w:spacing w:before="240" w:line="240" w:lineRule="atLeast"/>
      <w:ind w:left="1152"/>
      <w:jc w:val="left"/>
    </w:pPr>
    <w:rPr>
      <w:b/>
      <w:kern w:val="0"/>
      <w:szCs w:val="21"/>
      <w:lang w:val="en-AU" w:eastAsia="en-US"/>
    </w:rPr>
  </w:style>
  <w:style w:type="paragraph" w:customStyle="1" w:styleId="110">
    <w:name w:val="Char1 Char Char Char Char Char Char"/>
    <w:basedOn w:val="1"/>
    <w:qFormat/>
    <w:uiPriority w:val="0"/>
    <w:rPr>
      <w:rFonts w:ascii="Tahoma" w:hAnsi="Tahoma"/>
      <w:sz w:val="24"/>
      <w:szCs w:val="20"/>
    </w:rPr>
  </w:style>
  <w:style w:type="paragraph" w:customStyle="1" w:styleId="111">
    <w:name w:val="Paragraph4"/>
    <w:basedOn w:val="1"/>
    <w:qFormat/>
    <w:uiPriority w:val="0"/>
    <w:pPr>
      <w:spacing w:before="80" w:afterLines="50"/>
      <w:ind w:left="2250"/>
    </w:pPr>
    <w:rPr>
      <w:rFonts w:ascii="宋体"/>
      <w:snapToGrid w:val="0"/>
      <w:kern w:val="0"/>
      <w:szCs w:val="20"/>
    </w:rPr>
  </w:style>
  <w:style w:type="paragraph" w:customStyle="1" w:styleId="11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13">
    <w:name w:val="样式 标题 3Chapter X.X.X. + 五号 段后: 0.5 行"/>
    <w:basedOn w:val="6"/>
    <w:qFormat/>
    <w:uiPriority w:val="0"/>
    <w:pPr>
      <w:keepLines w:val="0"/>
      <w:autoSpaceDE/>
      <w:autoSpaceDN/>
      <w:adjustRightInd/>
      <w:spacing w:before="120" w:afterLines="50"/>
    </w:pPr>
    <w:rPr>
      <w:rFonts w:cs="宋体"/>
      <w:bCs/>
      <w:snapToGrid w:val="0"/>
      <w:sz w:val="21"/>
      <w:u w:val="none"/>
    </w:rPr>
  </w:style>
  <w:style w:type="paragraph" w:customStyle="1" w:styleId="11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5">
    <w:name w:val="TableTextLeft"/>
    <w:qFormat/>
    <w:uiPriority w:val="0"/>
    <w:rPr>
      <w:rFonts w:ascii="Century Gothic" w:hAnsi="Century Gothic" w:eastAsia="宋体" w:cs="Times New Roman"/>
      <w:szCs w:val="18"/>
      <w:lang w:val="en-US" w:eastAsia="en-US" w:bidi="ar-SA"/>
    </w:rPr>
  </w:style>
  <w:style w:type="paragraph" w:customStyle="1" w:styleId="116">
    <w:name w:val="Body"/>
    <w:basedOn w:val="1"/>
    <w:qFormat/>
    <w:uiPriority w:val="0"/>
    <w:pPr>
      <w:widowControl/>
      <w:spacing w:before="120" w:afterLines="50"/>
    </w:pPr>
    <w:rPr>
      <w:rFonts w:ascii="宋体"/>
      <w:snapToGrid w:val="0"/>
      <w:kern w:val="0"/>
      <w:szCs w:val="20"/>
    </w:rPr>
  </w:style>
  <w:style w:type="paragraph" w:customStyle="1" w:styleId="11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标准标题2"/>
    <w:basedOn w:val="5"/>
    <w:qFormat/>
    <w:uiPriority w:val="0"/>
    <w:pPr>
      <w:spacing w:line="360" w:lineRule="auto"/>
    </w:pPr>
    <w:rPr>
      <w:rFonts w:eastAsia="仿宋_GB2312"/>
      <w:bCs w:val="0"/>
      <w:sz w:val="28"/>
    </w:rPr>
  </w:style>
  <w:style w:type="paragraph" w:customStyle="1" w:styleId="119">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120">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2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2">
    <w:name w:val="Char Char Char Char Char Char Char Char Char Char Char Char Char Char Char Char"/>
    <w:basedOn w:val="1"/>
    <w:qFormat/>
    <w:uiPriority w:val="0"/>
    <w:pPr>
      <w:tabs>
        <w:tab w:val="left" w:pos="360"/>
      </w:tabs>
    </w:pPr>
    <w:rPr>
      <w:sz w:val="24"/>
    </w:rPr>
  </w:style>
  <w:style w:type="paragraph" w:customStyle="1" w:styleId="123">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124">
    <w:name w:val="Char3 Char Char Char"/>
    <w:basedOn w:val="1"/>
    <w:qFormat/>
    <w:uiPriority w:val="0"/>
    <w:pPr>
      <w:tabs>
        <w:tab w:val="left" w:pos="1455"/>
      </w:tabs>
      <w:ind w:left="1455" w:hanging="1275"/>
    </w:pPr>
    <w:rPr>
      <w:sz w:val="24"/>
    </w:rPr>
  </w:style>
  <w:style w:type="paragraph" w:customStyle="1" w:styleId="125">
    <w:name w:val="样式　标题4"/>
    <w:basedOn w:val="126"/>
    <w:next w:val="1"/>
    <w:qFormat/>
    <w:uiPriority w:val="0"/>
  </w:style>
  <w:style w:type="paragraph" w:customStyle="1" w:styleId="126">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127">
    <w:name w:val="样式 标题 2 + 五号"/>
    <w:basedOn w:val="5"/>
    <w:qFormat/>
    <w:uiPriority w:val="0"/>
    <w:pPr>
      <w:spacing w:before="0" w:after="0" w:line="240" w:lineRule="auto"/>
    </w:pPr>
    <w:rPr>
      <w:rFonts w:ascii="宋体" w:hAnsi="宋体" w:eastAsia="宋体"/>
      <w:sz w:val="21"/>
    </w:rPr>
  </w:style>
  <w:style w:type="paragraph" w:customStyle="1" w:styleId="128">
    <w:name w:val="Main Title"/>
    <w:basedOn w:val="1"/>
    <w:qFormat/>
    <w:uiPriority w:val="0"/>
    <w:pPr>
      <w:spacing w:before="480" w:afterLines="50"/>
      <w:jc w:val="center"/>
    </w:pPr>
    <w:rPr>
      <w:rFonts w:ascii="宋体"/>
      <w:b/>
      <w:snapToGrid w:val="0"/>
      <w:kern w:val="28"/>
      <w:sz w:val="32"/>
      <w:szCs w:val="20"/>
    </w:rPr>
  </w:style>
  <w:style w:type="paragraph" w:customStyle="1" w:styleId="129">
    <w:name w:val="表格内容"/>
    <w:basedOn w:val="14"/>
    <w:qFormat/>
    <w:uiPriority w:val="0"/>
    <w:pPr>
      <w:suppressLineNumbers/>
      <w:suppressAutoHyphens/>
    </w:pPr>
    <w:rPr>
      <w:kern w:val="1"/>
      <w:sz w:val="21"/>
      <w:lang w:eastAsia="ar-SA"/>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S4-L15-C"/>
    <w:basedOn w:val="1"/>
    <w:qFormat/>
    <w:uiPriority w:val="0"/>
    <w:pPr>
      <w:spacing w:after="120" w:line="360" w:lineRule="auto"/>
      <w:jc w:val="center"/>
    </w:pPr>
    <w:rPr>
      <w:szCs w:val="21"/>
    </w:rPr>
  </w:style>
  <w:style w:type="paragraph" w:customStyle="1" w:styleId="132">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133">
    <w:name w:val="样式 标题 4"/>
    <w:basedOn w:val="134"/>
    <w:next w:val="135"/>
    <w:qFormat/>
    <w:uiPriority w:val="0"/>
    <w:pPr>
      <w:tabs>
        <w:tab w:val="left" w:pos="2100"/>
      </w:tabs>
      <w:spacing w:after="50"/>
      <w:ind w:left="2100" w:hanging="420"/>
    </w:pPr>
  </w:style>
  <w:style w:type="paragraph" w:customStyle="1" w:styleId="134">
    <w:name w:val="样式 标题 4Chapter X.X.X.X. + 段后: 0.5 行1"/>
    <w:basedOn w:val="132"/>
    <w:qFormat/>
    <w:uiPriority w:val="0"/>
    <w:pPr>
      <w:spacing w:after="120"/>
    </w:pPr>
  </w:style>
  <w:style w:type="paragraph" w:customStyle="1" w:styleId="135">
    <w:name w:val="样式 正文"/>
    <w:basedOn w:val="1"/>
    <w:next w:val="1"/>
    <w:qFormat/>
    <w:uiPriority w:val="0"/>
    <w:pPr>
      <w:spacing w:afterLines="50"/>
      <w:jc w:val="left"/>
    </w:pPr>
    <w:rPr>
      <w:rFonts w:ascii="宋体" w:cs="宋体"/>
      <w:snapToGrid w:val="0"/>
      <w:kern w:val="0"/>
      <w:szCs w:val="20"/>
    </w:rPr>
  </w:style>
  <w:style w:type="paragraph" w:customStyle="1" w:styleId="136">
    <w:name w:val="Char Char"/>
    <w:basedOn w:val="1"/>
    <w:qFormat/>
    <w:uiPriority w:val="0"/>
    <w:pPr>
      <w:spacing w:line="240" w:lineRule="atLeast"/>
      <w:ind w:left="420" w:firstLine="420"/>
    </w:pPr>
    <w:rPr>
      <w:kern w:val="0"/>
      <w:szCs w:val="21"/>
    </w:rPr>
  </w:style>
  <w:style w:type="paragraph" w:customStyle="1" w:styleId="137">
    <w:name w:val="表格标题"/>
    <w:basedOn w:val="129"/>
    <w:qFormat/>
    <w:uiPriority w:val="0"/>
    <w:pPr>
      <w:jc w:val="center"/>
    </w:pPr>
    <w:rPr>
      <w:b/>
      <w:bCs/>
      <w:i/>
      <w:iCs/>
    </w:rPr>
  </w:style>
  <w:style w:type="paragraph" w:customStyle="1" w:styleId="138">
    <w:name w:val="样式 标题 1 + 段后: 0.5 行"/>
    <w:basedOn w:val="4"/>
    <w:qFormat/>
    <w:uiPriority w:val="0"/>
    <w:pPr>
      <w:keepLines w:val="0"/>
      <w:spacing w:before="120" w:afterLines="50" w:line="240" w:lineRule="auto"/>
      <w:jc w:val="left"/>
    </w:pPr>
    <w:rPr>
      <w:rFonts w:ascii="宋体" w:cs="宋体"/>
      <w:snapToGrid w:val="0"/>
      <w:kern w:val="0"/>
      <w:sz w:val="28"/>
      <w:szCs w:val="20"/>
    </w:rPr>
  </w:style>
  <w:style w:type="paragraph" w:customStyle="1" w:styleId="139">
    <w:name w:val="最新标题3"/>
    <w:basedOn w:val="140"/>
    <w:next w:val="141"/>
    <w:qFormat/>
    <w:uiPriority w:val="0"/>
  </w:style>
  <w:style w:type="paragraph" w:customStyle="1" w:styleId="140">
    <w:name w:val="样式 标题 3"/>
    <w:basedOn w:val="6"/>
    <w:next w:val="141"/>
    <w:qFormat/>
    <w:uiPriority w:val="0"/>
    <w:pPr>
      <w:keepLines w:val="0"/>
      <w:autoSpaceDE/>
      <w:autoSpaceDN/>
      <w:adjustRightInd/>
      <w:spacing w:before="120" w:afterLines="50"/>
    </w:pPr>
    <w:rPr>
      <w:rFonts w:cs="宋体"/>
      <w:bCs/>
      <w:snapToGrid w:val="0"/>
      <w:u w:val="none"/>
    </w:rPr>
  </w:style>
  <w:style w:type="paragraph" w:customStyle="1" w:styleId="141">
    <w:name w:val="最新标题4"/>
    <w:basedOn w:val="133"/>
    <w:next w:val="1"/>
    <w:qFormat/>
    <w:uiPriority w:val="0"/>
    <w:pPr>
      <w:tabs>
        <w:tab w:val="clear" w:pos="2100"/>
      </w:tabs>
      <w:spacing w:after="120"/>
      <w:ind w:left="0" w:firstLine="0"/>
    </w:pPr>
  </w:style>
  <w:style w:type="paragraph" w:customStyle="1" w:styleId="142">
    <w:name w:val="Char Char Char1 Char Char Char Char"/>
    <w:basedOn w:val="1"/>
    <w:qFormat/>
    <w:uiPriority w:val="0"/>
    <w:rPr>
      <w:rFonts w:ascii="仿宋_GB2312" w:eastAsia="仿宋_GB2312"/>
      <w:b/>
      <w:sz w:val="32"/>
      <w:szCs w:val="32"/>
    </w:rPr>
  </w:style>
  <w:style w:type="paragraph" w:customStyle="1" w:styleId="143">
    <w:name w:val="样式 标题 3Chapter X.X.X. + 段后: 0.5 行"/>
    <w:basedOn w:val="6"/>
    <w:qFormat/>
    <w:uiPriority w:val="0"/>
    <w:pPr>
      <w:keepLines w:val="0"/>
      <w:autoSpaceDE/>
      <w:autoSpaceDN/>
      <w:adjustRightInd/>
      <w:spacing w:before="120" w:afterLines="50"/>
    </w:pPr>
    <w:rPr>
      <w:rFonts w:cs="宋体"/>
      <w:bCs/>
      <w:snapToGrid w:val="0"/>
      <w:u w:val="none"/>
    </w:rPr>
  </w:style>
  <w:style w:type="paragraph" w:customStyle="1" w:styleId="144">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14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46">
    <w:name w:val="标准标题3"/>
    <w:basedOn w:val="6"/>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147">
    <w:name w:val="样式 样式 正文文本缩进 + 仿宋_GB2312 小四 首行缩进:  0 厘米 行距: 1.5 倍行距 + (中文) 仿宋_GB... Char Char"/>
    <w:basedOn w:val="105"/>
    <w:qFormat/>
    <w:uiPriority w:val="0"/>
    <w:pPr>
      <w:ind w:firstLine="480" w:firstLineChars="200"/>
    </w:pPr>
  </w:style>
  <w:style w:type="paragraph" w:customStyle="1" w:styleId="148">
    <w:name w:val="样式 标题 3Chapter X.X.X. + 段后: 0.5 行1"/>
    <w:basedOn w:val="6"/>
    <w:next w:val="1"/>
    <w:qFormat/>
    <w:uiPriority w:val="0"/>
    <w:pPr>
      <w:keepLines w:val="0"/>
      <w:autoSpaceDE/>
      <w:autoSpaceDN/>
      <w:adjustRightInd/>
      <w:spacing w:before="120" w:afterLines="50"/>
    </w:pPr>
    <w:rPr>
      <w:rFonts w:cs="宋体"/>
      <w:bCs/>
      <w:snapToGrid w:val="0"/>
      <w:u w:val="none"/>
    </w:rPr>
  </w:style>
  <w:style w:type="paragraph" w:customStyle="1" w:styleId="149">
    <w:name w:val="最新标题1"/>
    <w:basedOn w:val="150"/>
    <w:next w:val="151"/>
    <w:qFormat/>
    <w:uiPriority w:val="0"/>
    <w:pPr>
      <w:tabs>
        <w:tab w:val="left" w:pos="1140"/>
      </w:tabs>
      <w:spacing w:after="120"/>
    </w:pPr>
    <w:rPr>
      <w:bCs/>
    </w:rPr>
  </w:style>
  <w:style w:type="paragraph" w:customStyle="1" w:styleId="150">
    <w:name w:val="样式 标题1"/>
    <w:basedOn w:val="138"/>
    <w:next w:val="151"/>
    <w:qFormat/>
    <w:uiPriority w:val="0"/>
    <w:pPr>
      <w:tabs>
        <w:tab w:val="left" w:pos="1140"/>
      </w:tabs>
      <w:spacing w:after="50"/>
      <w:ind w:left="1140" w:hanging="720"/>
    </w:pPr>
    <w:rPr>
      <w:bCs w:val="0"/>
      <w:sz w:val="32"/>
    </w:rPr>
  </w:style>
  <w:style w:type="paragraph" w:customStyle="1" w:styleId="151">
    <w:name w:val="最新标题2"/>
    <w:basedOn w:val="152"/>
    <w:next w:val="139"/>
    <w:qFormat/>
    <w:uiPriority w:val="0"/>
    <w:pPr>
      <w:spacing w:after="120"/>
    </w:pPr>
  </w:style>
  <w:style w:type="paragraph" w:customStyle="1" w:styleId="152">
    <w:name w:val="样式 标题 2"/>
    <w:basedOn w:val="5"/>
    <w:next w:val="13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153">
    <w:name w:val="样式 样式 标题 3Chapter X.X.X. + 段后: 0.5 行 + 段后: 0.5 行"/>
    <w:basedOn w:val="143"/>
    <w:qFormat/>
    <w:uiPriority w:val="0"/>
  </w:style>
  <w:style w:type="paragraph" w:customStyle="1" w:styleId="154">
    <w:name w:val="正文1"/>
    <w:basedOn w:val="17"/>
    <w:next w:val="1"/>
    <w:qFormat/>
    <w:uiPriority w:val="0"/>
    <w:pPr>
      <w:adjustRightInd w:val="0"/>
      <w:spacing w:line="360" w:lineRule="atLeast"/>
      <w:jc w:val="left"/>
      <w:textAlignment w:val="baseline"/>
    </w:pPr>
    <w:rPr>
      <w:rFonts w:eastAsia="Times New Roman"/>
      <w:kern w:val="0"/>
      <w:szCs w:val="20"/>
    </w:rPr>
  </w:style>
  <w:style w:type="paragraph" w:customStyle="1" w:styleId="155">
    <w:name w:val="样式 样式 样式 标题 3Chapter X.X.X. + 段后: 0.5 行 + 段后: 0.5 行 + 段后: 0.5 行"/>
    <w:basedOn w:val="153"/>
    <w:qFormat/>
    <w:uiPriority w:val="0"/>
  </w:style>
  <w:style w:type="paragraph" w:customStyle="1" w:styleId="156">
    <w:name w:val="Char Char Char"/>
    <w:basedOn w:val="1"/>
    <w:qFormat/>
    <w:uiPriority w:val="0"/>
    <w:rPr>
      <w:rFonts w:ascii="Tahoma" w:hAnsi="Tahoma"/>
      <w:sz w:val="24"/>
      <w:szCs w:val="20"/>
    </w:rPr>
  </w:style>
  <w:style w:type="paragraph" w:customStyle="1" w:styleId="157">
    <w:name w:val="IBM 正文"/>
    <w:basedOn w:val="1"/>
    <w:qFormat/>
    <w:uiPriority w:val="0"/>
    <w:pPr>
      <w:spacing w:line="360" w:lineRule="atLeast"/>
    </w:pPr>
    <w:rPr>
      <w:sz w:val="24"/>
      <w:szCs w:val="20"/>
    </w:rPr>
  </w:style>
  <w:style w:type="paragraph" w:customStyle="1" w:styleId="158">
    <w:name w:val="第1.3标题"/>
    <w:basedOn w:val="6"/>
    <w:next w:val="1"/>
    <w:qFormat/>
    <w:uiPriority w:val="0"/>
    <w:pPr>
      <w:keepNext w:val="0"/>
      <w:widowControl/>
      <w:spacing w:beforeLines="50" w:afterLines="50" w:line="360" w:lineRule="auto"/>
      <w:textAlignment w:val="baseline"/>
    </w:pPr>
    <w:rPr>
      <w:rFonts w:ascii="Times New Roman"/>
      <w:sz w:val="30"/>
      <w:u w:val="none"/>
    </w:rPr>
  </w:style>
  <w:style w:type="paragraph" w:customStyle="1" w:styleId="159">
    <w:name w:val="Paragraph1"/>
    <w:basedOn w:val="1"/>
    <w:qFormat/>
    <w:uiPriority w:val="0"/>
    <w:pPr>
      <w:spacing w:before="80" w:afterLines="50"/>
    </w:pPr>
    <w:rPr>
      <w:rFonts w:ascii="宋体"/>
      <w:snapToGrid w:val="0"/>
      <w:kern w:val="0"/>
      <w:szCs w:val="20"/>
    </w:rPr>
  </w:style>
  <w:style w:type="paragraph" w:customStyle="1" w:styleId="160">
    <w:name w:val="Tabletext"/>
    <w:basedOn w:val="1"/>
    <w:qFormat/>
    <w:uiPriority w:val="0"/>
    <w:pPr>
      <w:keepLines/>
      <w:spacing w:afterLines="50"/>
      <w:jc w:val="left"/>
    </w:pPr>
    <w:rPr>
      <w:rFonts w:ascii="宋体"/>
      <w:snapToGrid w:val="0"/>
      <w:kern w:val="0"/>
      <w:szCs w:val="20"/>
    </w:rPr>
  </w:style>
  <w:style w:type="paragraph" w:customStyle="1" w:styleId="161">
    <w:name w:val="Char"/>
    <w:basedOn w:val="1"/>
    <w:qFormat/>
    <w:uiPriority w:val="0"/>
    <w:rPr>
      <w:szCs w:val="20"/>
    </w:rPr>
  </w:style>
  <w:style w:type="paragraph" w:customStyle="1" w:styleId="162">
    <w:name w:val="Char Char7 Char"/>
    <w:basedOn w:val="1"/>
    <w:qFormat/>
    <w:uiPriority w:val="0"/>
    <w:pPr>
      <w:tabs>
        <w:tab w:val="left" w:pos="425"/>
      </w:tabs>
      <w:ind w:left="420" w:leftChars="200" w:firstLine="270" w:firstLineChars="150"/>
    </w:pPr>
    <w:rPr>
      <w:szCs w:val="20"/>
    </w:rPr>
  </w:style>
  <w:style w:type="paragraph" w:customStyle="1" w:styleId="16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65">
    <w:name w:val="此正文"/>
    <w:basedOn w:val="1"/>
    <w:qFormat/>
    <w:uiPriority w:val="0"/>
    <w:pPr>
      <w:spacing w:line="360" w:lineRule="auto"/>
      <w:ind w:firstLine="200" w:firstLineChars="200"/>
    </w:pPr>
    <w:rPr>
      <w:sz w:val="24"/>
      <w:szCs w:val="20"/>
    </w:rPr>
  </w:style>
  <w:style w:type="paragraph" w:customStyle="1" w:styleId="166">
    <w:name w:val="InfoBlue"/>
    <w:basedOn w:val="1"/>
    <w:next w:val="14"/>
    <w:qFormat/>
    <w:uiPriority w:val="0"/>
    <w:pPr>
      <w:spacing w:afterLines="50"/>
      <w:ind w:left="720"/>
      <w:jc w:val="left"/>
    </w:pPr>
    <w:rPr>
      <w:rFonts w:ascii="宋体"/>
      <w:i/>
      <w:snapToGrid w:val="0"/>
      <w:color w:val="0000FF"/>
      <w:kern w:val="0"/>
      <w:szCs w:val="20"/>
    </w:rPr>
  </w:style>
  <w:style w:type="paragraph" w:customStyle="1" w:styleId="167">
    <w:name w:val="S4-B-L15"/>
    <w:basedOn w:val="1"/>
    <w:qFormat/>
    <w:uiPriority w:val="0"/>
    <w:pPr>
      <w:spacing w:line="360" w:lineRule="auto"/>
    </w:pPr>
    <w:rPr>
      <w:b/>
      <w:bCs/>
      <w:sz w:val="24"/>
    </w:rPr>
  </w:style>
  <w:style w:type="paragraph" w:customStyle="1" w:styleId="168">
    <w:name w:val="表格(五号)"/>
    <w:basedOn w:val="1"/>
    <w:qFormat/>
    <w:uiPriority w:val="0"/>
    <w:pPr>
      <w:adjustRightInd w:val="0"/>
      <w:snapToGrid w:val="0"/>
      <w:spacing w:line="300" w:lineRule="auto"/>
      <w:jc w:val="center"/>
    </w:pPr>
    <w:rPr>
      <w:snapToGrid w:val="0"/>
      <w:kern w:val="0"/>
      <w:sz w:val="18"/>
      <w:szCs w:val="20"/>
    </w:rPr>
  </w:style>
  <w:style w:type="paragraph" w:customStyle="1" w:styleId="16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1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71">
    <w:name w:val="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172">
    <w:name w:val="Char1"/>
    <w:basedOn w:val="1"/>
    <w:qFormat/>
    <w:uiPriority w:val="0"/>
    <w:pPr>
      <w:tabs>
        <w:tab w:val="left" w:pos="432"/>
      </w:tabs>
      <w:spacing w:beforeLines="50" w:afterLines="50"/>
      <w:ind w:left="432" w:hanging="432"/>
    </w:pPr>
    <w:rPr>
      <w:sz w:val="24"/>
    </w:rPr>
  </w:style>
  <w:style w:type="paragraph" w:customStyle="1" w:styleId="173">
    <w:name w:val="样式 标题 2Chapter X.X. Statementh22Header 2l2Level 2 Headhea...1"/>
    <w:basedOn w:val="6"/>
    <w:qFormat/>
    <w:uiPriority w:val="0"/>
    <w:pPr>
      <w:keepLines w:val="0"/>
      <w:autoSpaceDE/>
      <w:autoSpaceDN/>
      <w:adjustRightInd/>
      <w:spacing w:before="120" w:afterLines="50"/>
    </w:pPr>
    <w:rPr>
      <w:rFonts w:cs="宋体"/>
      <w:bCs/>
      <w:snapToGrid w:val="0"/>
      <w:u w:val="none"/>
    </w:rPr>
  </w:style>
  <w:style w:type="paragraph" w:customStyle="1" w:styleId="174">
    <w:name w:val="S4-L15"/>
    <w:basedOn w:val="1"/>
    <w:qFormat/>
    <w:uiPriority w:val="0"/>
    <w:pPr>
      <w:spacing w:after="120" w:line="360" w:lineRule="auto"/>
      <w:ind w:left="720" w:firstLine="392"/>
    </w:pPr>
    <w:rPr>
      <w:szCs w:val="21"/>
      <w:lang w:val="fr-FR"/>
    </w:rPr>
  </w:style>
  <w:style w:type="paragraph" w:customStyle="1" w:styleId="175">
    <w:name w:val="标准有序列表（L1）"/>
    <w:basedOn w:val="2"/>
    <w:qFormat/>
    <w:uiPriority w:val="0"/>
    <w:pPr>
      <w:tabs>
        <w:tab w:val="left" w:pos="0"/>
      </w:tabs>
      <w:spacing w:line="360" w:lineRule="auto"/>
      <w:ind w:firstLine="0"/>
    </w:pPr>
    <w:rPr>
      <w:rFonts w:ascii="黑体" w:eastAsia="黑体"/>
      <w:color w:val="000000"/>
      <w:sz w:val="24"/>
    </w:rPr>
  </w:style>
  <w:style w:type="paragraph" w:customStyle="1" w:styleId="176">
    <w:name w:val="Char Char Char Char Char"/>
    <w:basedOn w:val="1"/>
    <w:qFormat/>
    <w:uiPriority w:val="0"/>
    <w:pPr>
      <w:widowControl/>
      <w:adjustRightInd w:val="0"/>
      <w:ind w:firstLine="200" w:firstLineChars="200"/>
      <w:jc w:val="left"/>
      <w:textAlignment w:val="baseline"/>
    </w:pPr>
  </w:style>
  <w:style w:type="paragraph" w:customStyle="1" w:styleId="177">
    <w:name w:val="标题1"/>
    <w:basedOn w:val="24"/>
    <w:qFormat/>
    <w:uiPriority w:val="0"/>
    <w:pPr>
      <w:spacing w:beforeLines="0" w:afterLines="0" w:line="360" w:lineRule="auto"/>
    </w:pPr>
    <w:rPr>
      <w:b/>
      <w:sz w:val="30"/>
      <w:szCs w:val="20"/>
    </w:rPr>
  </w:style>
  <w:style w:type="paragraph" w:customStyle="1" w:styleId="178">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179">
    <w:name w:val="样式 标题 1 + 五号"/>
    <w:basedOn w:val="4"/>
    <w:qFormat/>
    <w:uiPriority w:val="0"/>
    <w:pPr>
      <w:spacing w:before="0" w:after="0" w:line="240" w:lineRule="auto"/>
      <w:jc w:val="center"/>
    </w:pPr>
    <w:rPr>
      <w:sz w:val="32"/>
      <w:szCs w:val="32"/>
    </w:rPr>
  </w:style>
  <w:style w:type="paragraph" w:customStyle="1" w:styleId="180">
    <w:name w:val="表格11"/>
    <w:basedOn w:val="1"/>
    <w:qFormat/>
    <w:uiPriority w:val="0"/>
    <w:pPr>
      <w:widowControl/>
      <w:jc w:val="center"/>
    </w:pPr>
    <w:rPr>
      <w:rFonts w:ascii="宋体" w:hAnsi="宋体" w:cs="宋体"/>
      <w:b/>
      <w:kern w:val="0"/>
      <w:szCs w:val="21"/>
    </w:rPr>
  </w:style>
  <w:style w:type="paragraph" w:customStyle="1" w:styleId="18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82">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83">
    <w:name w:val="Char21"/>
    <w:basedOn w:val="1"/>
    <w:qFormat/>
    <w:uiPriority w:val="0"/>
  </w:style>
  <w:style w:type="paragraph" w:customStyle="1" w:styleId="184">
    <w:name w:val="标题 3Chapter X.X.X. + 段后: 0.5 行 + 段后: 0.5 行 + 段后: 0.5 行1"/>
    <w:basedOn w:val="153"/>
    <w:qFormat/>
    <w:uiPriority w:val="0"/>
  </w:style>
  <w:style w:type="paragraph" w:customStyle="1" w:styleId="185">
    <w:name w:val="S4-I-L15-U"/>
    <w:basedOn w:val="1"/>
    <w:qFormat/>
    <w:uiPriority w:val="0"/>
    <w:pPr>
      <w:spacing w:line="360" w:lineRule="auto"/>
    </w:pPr>
    <w:rPr>
      <w:b/>
      <w:i/>
      <w:sz w:val="24"/>
      <w:u w:val="single"/>
    </w:rPr>
  </w:style>
  <w:style w:type="paragraph" w:customStyle="1" w:styleId="186">
    <w:name w:val="Paragraph3"/>
    <w:basedOn w:val="1"/>
    <w:qFormat/>
    <w:uiPriority w:val="0"/>
    <w:pPr>
      <w:spacing w:before="80" w:afterLines="50"/>
      <w:ind w:left="1530"/>
    </w:pPr>
    <w:rPr>
      <w:rFonts w:ascii="宋体"/>
      <w:snapToGrid w:val="0"/>
      <w:kern w:val="0"/>
      <w:szCs w:val="20"/>
    </w:rPr>
  </w:style>
  <w:style w:type="paragraph" w:customStyle="1" w:styleId="187">
    <w:name w:val="样式 样式 正文文本缩进 + 仿宋_GB2312 小四 首行缩进:  0 厘米 行距: 1.5 倍行距 + (中文) 仿宋_GB..."/>
    <w:basedOn w:val="105"/>
    <w:qFormat/>
    <w:uiPriority w:val="0"/>
    <w:pPr>
      <w:ind w:firstLine="480" w:firstLineChars="200"/>
    </w:pPr>
  </w:style>
  <w:style w:type="paragraph" w:customStyle="1" w:styleId="188">
    <w:name w:val="样式 标题 1 + 五号1 Char Char Char Char Char Char Char Char Char Char Char Char Char Char Char Char Char"/>
    <w:basedOn w:val="4"/>
    <w:qFormat/>
    <w:uiPriority w:val="0"/>
    <w:pPr>
      <w:spacing w:before="0" w:after="0" w:line="480" w:lineRule="auto"/>
    </w:pPr>
    <w:rPr>
      <w:sz w:val="21"/>
    </w:rPr>
  </w:style>
  <w:style w:type="paragraph" w:customStyle="1" w:styleId="189">
    <w:name w:val="纯文本1"/>
    <w:basedOn w:val="190"/>
    <w:qFormat/>
    <w:uiPriority w:val="0"/>
    <w:pPr>
      <w:adjustRightInd w:val="0"/>
    </w:pPr>
    <w:rPr>
      <w:rFonts w:hint="eastAsia" w:ascii="宋体" w:hAnsi="Courier New" w:eastAsia="楷体_GB2312"/>
      <w:sz w:val="28"/>
    </w:rPr>
  </w:style>
  <w:style w:type="paragraph" w:customStyle="1" w:styleId="190">
    <w:name w:val="正文2"/>
    <w:basedOn w:val="1"/>
    <w:qFormat/>
    <w:uiPriority w:val="0"/>
    <w:pPr>
      <w:spacing w:beforeLines="50" w:afterLines="50" w:line="360" w:lineRule="auto"/>
      <w:ind w:firstLine="480" w:firstLineChars="200"/>
    </w:pPr>
    <w:rPr>
      <w:rFonts w:ascii="仿宋_GB2312"/>
      <w:sz w:val="24"/>
      <w:szCs w:val="20"/>
    </w:rPr>
  </w:style>
  <w:style w:type="paragraph" w:customStyle="1" w:styleId="191">
    <w:name w:val="Table - Text"/>
    <w:basedOn w:val="1"/>
    <w:qFormat/>
    <w:uiPriority w:val="0"/>
    <w:pPr>
      <w:widowControl/>
      <w:spacing w:before="60" w:afterLines="50"/>
      <w:jc w:val="left"/>
    </w:pPr>
    <w:rPr>
      <w:kern w:val="0"/>
      <w:szCs w:val="20"/>
      <w:lang w:eastAsia="en-US"/>
    </w:rPr>
  </w:style>
  <w:style w:type="paragraph" w:customStyle="1" w:styleId="192">
    <w:name w:val="样式 标题 3(A-3)sect1.2.3h3H3level_3PIM 3Level 3 HeadHeading..."/>
    <w:basedOn w:val="6"/>
    <w:qFormat/>
    <w:uiPriority w:val="0"/>
    <w:pPr>
      <w:autoSpaceDE/>
      <w:autoSpaceDN/>
      <w:adjustRightInd/>
      <w:spacing w:before="260" w:after="260" w:line="416" w:lineRule="auto"/>
      <w:jc w:val="both"/>
    </w:pPr>
    <w:rPr>
      <w:rFonts w:ascii="Arial" w:hAnsi="Arial"/>
      <w:bCs/>
      <w:kern w:val="2"/>
      <w:sz w:val="30"/>
      <w:szCs w:val="32"/>
      <w:u w:val="none"/>
    </w:rPr>
  </w:style>
  <w:style w:type="paragraph" w:customStyle="1" w:styleId="193">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94">
    <w:name w:val="Char Char Char Char Char Char Char Char Char"/>
    <w:basedOn w:val="1"/>
    <w:qFormat/>
    <w:uiPriority w:val="0"/>
    <w:rPr>
      <w:rFonts w:ascii="Tahoma" w:hAnsi="Tahoma" w:eastAsia="仿宋_GB2312"/>
      <w:sz w:val="24"/>
      <w:szCs w:val="20"/>
    </w:rPr>
  </w:style>
  <w:style w:type="paragraph" w:customStyle="1" w:styleId="195">
    <w:name w:val="列出段落1"/>
    <w:basedOn w:val="1"/>
    <w:qFormat/>
    <w:uiPriority w:val="0"/>
    <w:pPr>
      <w:ind w:firstLine="420" w:firstLineChars="200"/>
    </w:pPr>
    <w:rPr>
      <w:rFonts w:ascii="Calibri" w:hAnsi="Calibri"/>
      <w:szCs w:val="22"/>
    </w:rPr>
  </w:style>
  <w:style w:type="paragraph" w:customStyle="1" w:styleId="196">
    <w:name w:val="标准标题1"/>
    <w:basedOn w:val="4"/>
    <w:qFormat/>
    <w:uiPriority w:val="0"/>
    <w:pPr>
      <w:pageBreakBefore/>
      <w:tabs>
        <w:tab w:val="left" w:pos="1080"/>
      </w:tabs>
      <w:ind w:left="425" w:hanging="425"/>
    </w:pPr>
    <w:rPr>
      <w:rFonts w:eastAsia="仿宋_GB2312"/>
      <w:sz w:val="32"/>
    </w:rPr>
  </w:style>
  <w:style w:type="paragraph" w:customStyle="1" w:styleId="197">
    <w:name w:val="Char Char Char Char"/>
    <w:basedOn w:val="1"/>
    <w:qFormat/>
    <w:uiPriority w:val="0"/>
  </w:style>
  <w:style w:type="paragraph" w:customStyle="1" w:styleId="19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99">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0">
    <w:name w:val="Bullet1"/>
    <w:basedOn w:val="1"/>
    <w:qFormat/>
    <w:uiPriority w:val="0"/>
    <w:pPr>
      <w:spacing w:afterLines="50"/>
      <w:ind w:left="720" w:hanging="432"/>
      <w:jc w:val="left"/>
    </w:pPr>
    <w:rPr>
      <w:rFonts w:ascii="宋体"/>
      <w:snapToGrid w:val="0"/>
      <w:kern w:val="0"/>
      <w:szCs w:val="20"/>
    </w:rPr>
  </w:style>
  <w:style w:type="paragraph" w:customStyle="1" w:styleId="201">
    <w:name w:val="列出段落11"/>
    <w:basedOn w:val="1"/>
    <w:qFormat/>
    <w:uiPriority w:val="0"/>
    <w:pPr>
      <w:spacing w:line="360" w:lineRule="auto"/>
      <w:ind w:firstLine="420" w:firstLineChars="200"/>
      <w:jc w:val="left"/>
    </w:pPr>
    <w:rPr>
      <w:rFonts w:ascii="Calibri" w:hAnsi="Calibri"/>
      <w:sz w:val="24"/>
      <w:szCs w:val="22"/>
    </w:rPr>
  </w:style>
  <w:style w:type="paragraph" w:customStyle="1" w:styleId="202">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03">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04">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205">
    <w:name w:val="列表内容"/>
    <w:basedOn w:val="1"/>
    <w:next w:val="1"/>
    <w:qFormat/>
    <w:uiPriority w:val="0"/>
    <w:pPr>
      <w:widowControl/>
      <w:tabs>
        <w:tab w:val="left" w:pos="840"/>
      </w:tabs>
      <w:ind w:left="840" w:hanging="420"/>
      <w:jc w:val="left"/>
    </w:pPr>
    <w:rPr>
      <w:kern w:val="0"/>
      <w:sz w:val="18"/>
      <w:szCs w:val="20"/>
    </w:rPr>
  </w:style>
  <w:style w:type="paragraph" w:customStyle="1" w:styleId="206">
    <w:name w:val="P2"/>
    <w:basedOn w:val="1"/>
    <w:qFormat/>
    <w:uiPriority w:val="0"/>
    <w:pPr>
      <w:widowControl/>
      <w:spacing w:before="240" w:line="240" w:lineRule="atLeast"/>
      <w:ind w:left="578"/>
      <w:jc w:val="left"/>
    </w:pPr>
    <w:rPr>
      <w:b/>
      <w:kern w:val="0"/>
      <w:szCs w:val="21"/>
      <w:lang w:val="en-AU" w:eastAsia="en-US"/>
    </w:rPr>
  </w:style>
  <w:style w:type="paragraph" w:customStyle="1" w:styleId="207">
    <w:name w:val="样式 标题 3Chapter X.X.X"/>
    <w:basedOn w:val="184"/>
    <w:qFormat/>
    <w:uiPriority w:val="0"/>
  </w:style>
  <w:style w:type="paragraph" w:customStyle="1" w:styleId="208">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209">
    <w:name w:val="Style-正文"/>
    <w:basedOn w:val="1"/>
    <w:qFormat/>
    <w:uiPriority w:val="0"/>
    <w:pPr>
      <w:spacing w:line="360" w:lineRule="auto"/>
      <w:ind w:firstLine="420"/>
    </w:pPr>
    <w:rPr>
      <w:rFonts w:ascii="宋体" w:hAnsi="宋体"/>
      <w:sz w:val="24"/>
    </w:rPr>
  </w:style>
  <w:style w:type="paragraph" w:customStyle="1" w:styleId="210">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1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12">
    <w:name w:val="样式 模板描述"/>
    <w:basedOn w:val="1"/>
    <w:next w:val="135"/>
    <w:qFormat/>
    <w:uiPriority w:val="0"/>
    <w:pPr>
      <w:spacing w:afterLines="50"/>
      <w:jc w:val="left"/>
    </w:pPr>
    <w:rPr>
      <w:rFonts w:ascii="宋体" w:cs="宋体"/>
      <w:i/>
      <w:iCs/>
      <w:snapToGrid w:val="0"/>
      <w:color w:val="0000FF"/>
      <w:kern w:val="0"/>
      <w:szCs w:val="21"/>
    </w:rPr>
  </w:style>
  <w:style w:type="paragraph" w:customStyle="1" w:styleId="213">
    <w:name w:val="Char2"/>
    <w:basedOn w:val="1"/>
    <w:qFormat/>
    <w:uiPriority w:val="0"/>
    <w:pPr>
      <w:tabs>
        <w:tab w:val="left" w:pos="432"/>
      </w:tabs>
      <w:spacing w:beforeLines="50" w:afterLines="50"/>
      <w:ind w:left="432" w:hanging="432"/>
    </w:pPr>
    <w:rPr>
      <w:sz w:val="24"/>
    </w:rPr>
  </w:style>
  <w:style w:type="paragraph" w:customStyle="1" w:styleId="214">
    <w:name w:val="Bullet2"/>
    <w:basedOn w:val="1"/>
    <w:qFormat/>
    <w:uiPriority w:val="0"/>
    <w:pPr>
      <w:spacing w:afterLines="50"/>
      <w:ind w:left="1440" w:hanging="360"/>
      <w:jc w:val="left"/>
    </w:pPr>
    <w:rPr>
      <w:rFonts w:ascii="宋体"/>
      <w:snapToGrid w:val="0"/>
      <w:color w:val="000080"/>
      <w:kern w:val="0"/>
      <w:szCs w:val="20"/>
    </w:rPr>
  </w:style>
  <w:style w:type="paragraph" w:customStyle="1" w:styleId="215">
    <w:name w:val="S4-I-U-L15-No-dot"/>
    <w:basedOn w:val="1"/>
    <w:qFormat/>
    <w:uiPriority w:val="0"/>
    <w:pPr>
      <w:tabs>
        <w:tab w:val="left" w:pos="1112"/>
      </w:tabs>
      <w:spacing w:after="120" w:line="360" w:lineRule="auto"/>
      <w:ind w:left="1112" w:hanging="420"/>
    </w:pPr>
    <w:rPr>
      <w:i/>
      <w:sz w:val="24"/>
      <w:u w:val="single"/>
    </w:rPr>
  </w:style>
  <w:style w:type="paragraph" w:customStyle="1" w:styleId="216">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17">
    <w:name w:val="样式 样式 标题 4 + 段后: 0.5 行1"/>
    <w:basedOn w:val="132"/>
    <w:next w:val="27"/>
    <w:qFormat/>
    <w:uiPriority w:val="0"/>
    <w:pPr>
      <w:spacing w:after="120"/>
    </w:pPr>
  </w:style>
  <w:style w:type="paragraph" w:customStyle="1" w:styleId="21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19">
    <w:name w:val="文本框内文字"/>
    <w:basedOn w:val="1"/>
    <w:qFormat/>
    <w:uiPriority w:val="0"/>
    <w:pPr>
      <w:spacing w:line="0" w:lineRule="atLeast"/>
    </w:pPr>
    <w:rPr>
      <w:rFonts w:eastAsia="仿宋_GB2312"/>
      <w:sz w:val="22"/>
    </w:rPr>
  </w:style>
  <w:style w:type="paragraph" w:customStyle="1" w:styleId="220">
    <w:name w:val="样式 样式 标题 4 + 段后: 0.5 行 + 段后: 0.5 行"/>
    <w:basedOn w:val="132"/>
    <w:qFormat/>
    <w:uiPriority w:val="0"/>
  </w:style>
  <w:style w:type="paragraph" w:customStyle="1" w:styleId="22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22">
    <w:name w:val="paragraph1"/>
    <w:basedOn w:val="1"/>
    <w:qFormat/>
    <w:uiPriority w:val="0"/>
    <w:pPr>
      <w:spacing w:afterLines="30" w:line="360" w:lineRule="auto"/>
      <w:ind w:firstLine="420" w:firstLineChars="200"/>
    </w:pPr>
    <w:rPr>
      <w:rFonts w:eastAsia="楷体_GB2312"/>
      <w:sz w:val="24"/>
      <w:szCs w:val="20"/>
    </w:rPr>
  </w:style>
  <w:style w:type="paragraph" w:customStyle="1" w:styleId="223">
    <w:name w:val="S4-L15-No"/>
    <w:basedOn w:val="174"/>
    <w:qFormat/>
    <w:uiPriority w:val="0"/>
    <w:pPr>
      <w:tabs>
        <w:tab w:val="left" w:pos="720"/>
      </w:tabs>
      <w:ind w:hanging="720"/>
    </w:pPr>
  </w:style>
  <w:style w:type="paragraph" w:customStyle="1" w:styleId="224">
    <w:name w:val="广咨正文"/>
    <w:basedOn w:val="1"/>
    <w:qFormat/>
    <w:uiPriority w:val="0"/>
    <w:pPr>
      <w:snapToGrid w:val="0"/>
      <w:spacing w:line="360" w:lineRule="auto"/>
      <w:ind w:firstLine="480" w:firstLineChars="200"/>
    </w:pPr>
    <w:rPr>
      <w:szCs w:val="20"/>
    </w:rPr>
  </w:style>
  <w:style w:type="paragraph" w:customStyle="1" w:styleId="225">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22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28">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29">
    <w:name w:val="正文段"/>
    <w:basedOn w:val="1"/>
    <w:qFormat/>
    <w:uiPriority w:val="0"/>
    <w:pPr>
      <w:widowControl/>
      <w:snapToGrid w:val="0"/>
      <w:spacing w:afterLines="50"/>
      <w:ind w:firstLine="200" w:firstLineChars="200"/>
    </w:pPr>
    <w:rPr>
      <w:kern w:val="0"/>
      <w:sz w:val="24"/>
      <w:szCs w:val="20"/>
    </w:rPr>
  </w:style>
  <w:style w:type="paragraph" w:customStyle="1" w:styleId="230">
    <w:name w:val="正文 1.5 倍行距"/>
    <w:basedOn w:val="1"/>
    <w:qFormat/>
    <w:uiPriority w:val="0"/>
    <w:pPr>
      <w:autoSpaceDE w:val="0"/>
      <w:autoSpaceDN w:val="0"/>
      <w:adjustRightInd w:val="0"/>
      <w:spacing w:line="360" w:lineRule="auto"/>
      <w:ind w:firstLine="200" w:firstLineChars="200"/>
      <w:textAlignment w:val="baseline"/>
    </w:pPr>
    <w:rPr>
      <w:kern w:val="0"/>
      <w:sz w:val="28"/>
      <w:szCs w:val="20"/>
    </w:rPr>
  </w:style>
  <w:style w:type="paragraph" w:customStyle="1" w:styleId="231">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2">
    <w:name w:val="样式 标题 4Chapter X.X.X. + 段后: 0.5 行1 + 段后: 0.5 行"/>
    <w:basedOn w:val="126"/>
    <w:qFormat/>
    <w:uiPriority w:val="0"/>
    <w:rPr>
      <w:szCs w:val="21"/>
    </w:rPr>
  </w:style>
  <w:style w:type="paragraph" w:customStyle="1" w:styleId="233">
    <w:name w:val="P1"/>
    <w:basedOn w:val="1"/>
    <w:qFormat/>
    <w:uiPriority w:val="0"/>
    <w:pPr>
      <w:widowControl/>
      <w:spacing w:before="240" w:line="240" w:lineRule="atLeast"/>
      <w:jc w:val="left"/>
    </w:pPr>
    <w:rPr>
      <w:b/>
      <w:kern w:val="0"/>
      <w:szCs w:val="21"/>
      <w:lang w:val="en-AU" w:eastAsia="en-US"/>
    </w:rPr>
  </w:style>
  <w:style w:type="paragraph" w:customStyle="1" w:styleId="23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5">
    <w:name w:val="Char3 Char Char Char1"/>
    <w:basedOn w:val="1"/>
    <w:qFormat/>
    <w:uiPriority w:val="0"/>
    <w:pPr>
      <w:widowControl/>
      <w:spacing w:after="160" w:line="240" w:lineRule="exact"/>
      <w:jc w:val="left"/>
    </w:pPr>
  </w:style>
  <w:style w:type="paragraph" w:customStyle="1" w:styleId="236">
    <w:name w:val="默认段落字体 Para Char Char Char Char Char Char Char Char Char1 Char Char Char Char"/>
    <w:basedOn w:val="1"/>
    <w:qFormat/>
    <w:uiPriority w:val="0"/>
    <w:rPr>
      <w:rFonts w:ascii="Tahoma" w:hAnsi="Tahoma"/>
      <w:sz w:val="24"/>
      <w:szCs w:val="20"/>
    </w:rPr>
  </w:style>
  <w:style w:type="paragraph" w:styleId="237">
    <w:name w:val="List Paragraph"/>
    <w:basedOn w:val="1"/>
    <w:unhideWhenUsed/>
    <w:qFormat/>
    <w:uiPriority w:val="34"/>
    <w:pPr>
      <w:ind w:firstLine="420" w:firstLineChars="200"/>
    </w:pPr>
  </w:style>
  <w:style w:type="paragraph" w:customStyle="1" w:styleId="23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character" w:customStyle="1" w:styleId="239">
    <w:name w:val="无"/>
    <w:qFormat/>
    <w:uiPriority w:val="99"/>
  </w:style>
  <w:style w:type="character" w:customStyle="1" w:styleId="240">
    <w:name w:val="标题 2 Char2"/>
    <w:link w:val="5"/>
    <w:qFormat/>
    <w:uiPriority w:val="0"/>
    <w:rPr>
      <w:rFonts w:ascii="Arial" w:hAnsi="Arial" w:eastAsia="黑体"/>
      <w:b/>
      <w:bCs/>
      <w:sz w:val="32"/>
      <w:szCs w:val="32"/>
    </w:rPr>
  </w:style>
  <w:style w:type="character" w:customStyle="1" w:styleId="241">
    <w:name w:val="标题 1 Char1"/>
    <w:link w:val="4"/>
    <w:qFormat/>
    <w:uiPriority w:val="0"/>
    <w:rPr>
      <w:rFonts w:ascii="Times New Roman" w:hAnsi="Times New Roman" w:eastAsia="宋体"/>
      <w:b/>
      <w:bCs/>
      <w:kern w:val="44"/>
      <w:sz w:val="44"/>
      <w:szCs w:val="44"/>
      <w:lang w:val="en-US" w:eastAsia="zh-CN" w:bidi="ar-SA"/>
    </w:rPr>
  </w:style>
  <w:style w:type="character" w:customStyle="1" w:styleId="242">
    <w:name w:val="标题 2 Char1"/>
    <w:qFormat/>
    <w:uiPriority w:val="99"/>
    <w:rPr>
      <w:rFonts w:ascii="Arial" w:hAnsi="Arial" w:eastAsia="宋体"/>
      <w:b/>
      <w:bCs/>
      <w:kern w:val="2"/>
      <w:sz w:val="28"/>
      <w:szCs w:val="32"/>
      <w:lang w:val="en-US" w:eastAsia="zh-CN" w:bidi="ar-SA"/>
    </w:rPr>
  </w:style>
  <w:style w:type="character" w:customStyle="1" w:styleId="243">
    <w:name w:val="ca-11"/>
    <w:qFormat/>
    <w:uiPriority w:val="0"/>
    <w:rPr>
      <w:rFonts w:hint="eastAsia" w:ascii="仿宋_GB2312" w:eastAsia="仿宋_GB2312"/>
      <w:sz w:val="28"/>
      <w:szCs w:val="28"/>
    </w:rPr>
  </w:style>
  <w:style w:type="paragraph" w:customStyle="1" w:styleId="244">
    <w:name w:val="Plain Text"/>
    <w:basedOn w:val="1"/>
    <w:qFormat/>
    <w:uiPriority w:val="0"/>
    <w:pPr>
      <w:adjustRightInd w:val="0"/>
    </w:pPr>
    <w:rPr>
      <w:rFonts w:hint="eastAsia"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10594</Words>
  <Characters>11838</Characters>
  <Lines>330</Lines>
  <Paragraphs>93</Paragraphs>
  <TotalTime>0</TotalTime>
  <ScaleCrop>false</ScaleCrop>
  <LinksUpToDate>false</LinksUpToDate>
  <CharactersWithSpaces>11977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2020-05-27T01:23:00Z</dcterms:created>
  <dc:creator>Administrator</dc:creator>
  <cp:lastModifiedBy>Jeff Wang</cp:lastModifiedBy>
  <cp:lastPrinted>2024-12-24T02:57:00Z</cp:lastPrinted>
  <dcterms:modified xsi:type="dcterms:W3CDTF">2024-12-24T07:32:14Z</dcterms:modified>
  <dc:title>浙江省政府采购招标文件范本（试行）</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5A554B06388F417FBF990B7D48FA629E_13</vt:lpwstr>
  </property>
  <property fmtid="{D5CDD505-2E9C-101B-9397-08002B2CF9AE}" pid="4" name="commondata">
    <vt:lpwstr>eyJoZGlkIjoiMWQ4NGNlZTVlZjNlNzdiMThjOWI1ZTQ4YzY4NGIzZjEifQ==</vt:lpwstr>
  </property>
</Properties>
</file>