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60685">
      <w:pPr>
        <w:jc w:val="center"/>
        <w:rPr>
          <w:rFonts w:ascii="宋体" w:hAnsi="宋体"/>
          <w:b/>
          <w:bCs/>
          <w:color w:val="000000" w:themeColor="text1"/>
          <w:sz w:val="72"/>
          <w:szCs w:val="72"/>
          <w:highlight w:val="none"/>
        </w:rPr>
      </w:pPr>
    </w:p>
    <w:p w14:paraId="4540B248">
      <w:pPr>
        <w:spacing w:line="240" w:lineRule="auto"/>
        <w:jc w:val="center"/>
        <w:rPr>
          <w:rFonts w:hint="eastAsia" w:ascii="宋体" w:hAnsi="宋体"/>
          <w:b/>
          <w:bCs/>
          <w:color w:val="000000" w:themeColor="text1"/>
          <w:sz w:val="36"/>
          <w:szCs w:val="36"/>
          <w:highlight w:val="none"/>
          <w:u w:val="none"/>
          <w:lang w:val="en-US" w:eastAsia="zh-CN"/>
        </w:rPr>
      </w:pPr>
      <w:r>
        <w:rPr>
          <w:rFonts w:hint="eastAsia" w:ascii="宋体" w:hAnsi="宋体"/>
          <w:b/>
          <w:bCs/>
          <w:color w:val="000000" w:themeColor="text1"/>
          <w:sz w:val="36"/>
          <w:szCs w:val="36"/>
          <w:highlight w:val="none"/>
          <w:u w:val="none"/>
          <w:lang w:val="en-US" w:eastAsia="zh-CN"/>
        </w:rPr>
        <w:t>衢州国家高新技术产业开发区（高新片区）调蓄功能提升改造及排水管网建设工程-智造新城防涝减灾综合安全智能管控平台项目-绳索救援套装采购</w:t>
      </w:r>
    </w:p>
    <w:p w14:paraId="05EA9443">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ascii="宋体" w:hAnsi="宋体" w:cs="宋体"/>
          <w:color w:val="000000" w:themeColor="text1"/>
          <w:kern w:val="0"/>
          <w:sz w:val="24"/>
          <w:szCs w:val="24"/>
          <w:highlight w:val="none"/>
        </w:rPr>
      </w:pPr>
      <w:r>
        <w:rPr>
          <w:rFonts w:hint="eastAsia" w:ascii="宋体" w:hAnsi="宋体" w:cs="宋体"/>
          <w:b/>
          <w:color w:val="000000" w:themeColor="text1"/>
          <w:sz w:val="32"/>
          <w:szCs w:val="32"/>
          <w:highlight w:val="none"/>
        </w:rPr>
        <w:t>（项目编号：ZZCG-202</w:t>
      </w:r>
      <w:r>
        <w:rPr>
          <w:rFonts w:hint="eastAsia" w:ascii="宋体" w:hAnsi="宋体" w:cs="宋体"/>
          <w:b/>
          <w:color w:val="000000" w:themeColor="text1"/>
          <w:sz w:val="32"/>
          <w:szCs w:val="32"/>
          <w:highlight w:val="none"/>
          <w:lang w:val="en-US" w:eastAsia="zh-CN"/>
        </w:rPr>
        <w:t>4</w:t>
      </w:r>
      <w:r>
        <w:rPr>
          <w:rFonts w:hint="eastAsia" w:ascii="宋体" w:hAnsi="宋体" w:cs="宋体"/>
          <w:b/>
          <w:color w:val="000000" w:themeColor="text1"/>
          <w:sz w:val="32"/>
          <w:szCs w:val="32"/>
          <w:highlight w:val="none"/>
        </w:rPr>
        <w:t>-</w:t>
      </w:r>
      <w:r>
        <w:rPr>
          <w:rFonts w:hint="eastAsia" w:ascii="宋体" w:hAnsi="宋体" w:cs="宋体"/>
          <w:b/>
          <w:color w:val="000000" w:themeColor="text1"/>
          <w:sz w:val="32"/>
          <w:szCs w:val="32"/>
          <w:highlight w:val="none"/>
          <w:lang w:val="en-US" w:eastAsia="zh-CN"/>
        </w:rPr>
        <w:t>106</w:t>
      </w:r>
      <w:r>
        <w:rPr>
          <w:rFonts w:hint="eastAsia" w:ascii="宋体" w:hAnsi="宋体" w:cs="宋体"/>
          <w:b/>
          <w:color w:val="000000" w:themeColor="text1"/>
          <w:sz w:val="32"/>
          <w:szCs w:val="32"/>
          <w:highlight w:val="none"/>
        </w:rPr>
        <w:t>）</w:t>
      </w:r>
    </w:p>
    <w:p w14:paraId="681F86BB">
      <w:pPr>
        <w:pStyle w:val="20"/>
        <w:ind w:left="560"/>
        <w:rPr>
          <w:color w:val="000000" w:themeColor="text1"/>
          <w:highlight w:val="none"/>
        </w:rPr>
      </w:pPr>
    </w:p>
    <w:p w14:paraId="4E8A5B4F">
      <w:pPr>
        <w:spacing w:line="460" w:lineRule="exact"/>
        <w:rPr>
          <w:rFonts w:ascii="宋体" w:hAnsi="宋体"/>
          <w:color w:val="000000" w:themeColor="text1"/>
          <w:highlight w:val="none"/>
        </w:rPr>
      </w:pPr>
    </w:p>
    <w:p w14:paraId="13292840">
      <w:pPr>
        <w:pStyle w:val="7"/>
        <w:rPr>
          <w:color w:val="000000" w:themeColor="text1"/>
          <w:highlight w:val="none"/>
        </w:rPr>
      </w:pPr>
    </w:p>
    <w:p w14:paraId="1D148364">
      <w:pPr>
        <w:spacing w:line="460" w:lineRule="exact"/>
        <w:jc w:val="center"/>
        <w:rPr>
          <w:rFonts w:ascii="宋体" w:hAnsi="宋体"/>
          <w:color w:val="000000" w:themeColor="text1"/>
          <w:highlight w:val="none"/>
        </w:rPr>
      </w:pPr>
    </w:p>
    <w:p w14:paraId="1C066851">
      <w:pPr>
        <w:pStyle w:val="7"/>
        <w:rPr>
          <w:color w:val="000000" w:themeColor="text1"/>
          <w:highlight w:val="none"/>
        </w:rPr>
      </w:pPr>
    </w:p>
    <w:p w14:paraId="37D08D13">
      <w:pPr>
        <w:spacing w:line="560" w:lineRule="exact"/>
        <w:jc w:val="center"/>
        <w:rPr>
          <w:rFonts w:ascii="宋体" w:hAnsi="宋体"/>
          <w:color w:val="000000" w:themeColor="text1"/>
          <w:sz w:val="48"/>
          <w:szCs w:val="48"/>
          <w:highlight w:val="none"/>
        </w:rPr>
      </w:pPr>
      <w:r>
        <w:rPr>
          <w:rFonts w:hint="eastAsia" w:ascii="宋体" w:hAnsi="宋体"/>
          <w:color w:val="000000" w:themeColor="text1"/>
          <w:sz w:val="48"/>
          <w:szCs w:val="48"/>
          <w:highlight w:val="none"/>
        </w:rPr>
        <w:t>公开招标采购文件</w:t>
      </w:r>
    </w:p>
    <w:p w14:paraId="1298B327">
      <w:pPr>
        <w:spacing w:line="560" w:lineRule="exact"/>
        <w:jc w:val="center"/>
        <w:rPr>
          <w:rFonts w:ascii="宋体" w:hAnsi="宋体"/>
          <w:b/>
          <w:color w:val="000000" w:themeColor="text1"/>
          <w:w w:val="85"/>
          <w:sz w:val="32"/>
          <w:szCs w:val="32"/>
          <w:highlight w:val="none"/>
        </w:rPr>
      </w:pPr>
      <w:r>
        <w:rPr>
          <w:rFonts w:hint="eastAsia" w:ascii="宋体" w:hAnsi="宋体"/>
          <w:color w:val="000000" w:themeColor="text1"/>
          <w:sz w:val="32"/>
          <w:szCs w:val="32"/>
          <w:highlight w:val="none"/>
        </w:rPr>
        <w:t>（线上电子招投标）</w:t>
      </w:r>
    </w:p>
    <w:p w14:paraId="4548F3AF">
      <w:pPr>
        <w:spacing w:line="460" w:lineRule="exact"/>
        <w:ind w:firstLine="1657" w:firstLineChars="693"/>
        <w:rPr>
          <w:rFonts w:ascii="宋体" w:hAnsi="宋体"/>
          <w:b/>
          <w:color w:val="000000" w:themeColor="text1"/>
          <w:w w:val="85"/>
          <w:szCs w:val="28"/>
          <w:highlight w:val="none"/>
        </w:rPr>
      </w:pPr>
    </w:p>
    <w:p w14:paraId="7739E40F">
      <w:pPr>
        <w:spacing w:line="460" w:lineRule="exact"/>
        <w:rPr>
          <w:rFonts w:ascii="宋体" w:hAnsi="宋体"/>
          <w:color w:val="000000" w:themeColor="text1"/>
          <w:highlight w:val="none"/>
        </w:rPr>
      </w:pPr>
    </w:p>
    <w:p w14:paraId="68400075">
      <w:pPr>
        <w:pStyle w:val="3"/>
        <w:rPr>
          <w:rFonts w:ascii="宋体" w:hAnsi="宋体"/>
          <w:color w:val="000000" w:themeColor="text1"/>
          <w:highlight w:val="none"/>
        </w:rPr>
      </w:pPr>
    </w:p>
    <w:p w14:paraId="549D5D6F">
      <w:pPr>
        <w:spacing w:line="460" w:lineRule="exact"/>
        <w:rPr>
          <w:rFonts w:ascii="宋体" w:hAnsi="宋体"/>
          <w:color w:val="000000" w:themeColor="text1"/>
          <w:highlight w:val="none"/>
        </w:rPr>
      </w:pPr>
    </w:p>
    <w:p w14:paraId="09A819E1">
      <w:pPr>
        <w:rPr>
          <w:rFonts w:ascii="宋体" w:hAnsi="宋体"/>
          <w:color w:val="000000" w:themeColor="text1"/>
          <w:highlight w:val="none"/>
        </w:rPr>
      </w:pPr>
    </w:p>
    <w:p w14:paraId="0E279AF5">
      <w:pPr>
        <w:rPr>
          <w:rFonts w:ascii="宋体" w:hAnsi="宋体"/>
          <w:color w:val="000000" w:themeColor="text1"/>
          <w:highlight w:val="none"/>
        </w:rPr>
      </w:pPr>
    </w:p>
    <w:p w14:paraId="615A1B38">
      <w:pPr>
        <w:spacing w:line="700" w:lineRule="exact"/>
        <w:jc w:val="center"/>
        <w:rPr>
          <w:rFonts w:ascii="宋体" w:hAnsi="宋体"/>
          <w:b/>
          <w:color w:val="000000" w:themeColor="text1"/>
          <w:sz w:val="32"/>
          <w:szCs w:val="32"/>
          <w:highlight w:val="none"/>
        </w:rPr>
      </w:pPr>
      <w:r>
        <w:rPr>
          <w:rFonts w:hint="eastAsia" w:ascii="宋体" w:hAnsi="宋体"/>
          <w:b/>
          <w:color w:val="000000" w:themeColor="text1"/>
          <w:sz w:val="32"/>
          <w:szCs w:val="32"/>
          <w:highlight w:val="none"/>
        </w:rPr>
        <w:t>采购</w:t>
      </w:r>
      <w:r>
        <w:rPr>
          <w:rFonts w:hint="eastAsia" w:ascii="宋体" w:hAnsi="宋体"/>
          <w:b/>
          <w:color w:val="000000" w:themeColor="text1"/>
          <w:sz w:val="32"/>
          <w:szCs w:val="32"/>
          <w:highlight w:val="none"/>
          <w:lang w:val="en-US" w:eastAsia="zh-CN"/>
        </w:rPr>
        <w:t>人</w:t>
      </w:r>
      <w:r>
        <w:rPr>
          <w:rFonts w:hint="eastAsia" w:ascii="宋体" w:hAnsi="宋体"/>
          <w:b/>
          <w:color w:val="000000" w:themeColor="text1"/>
          <w:sz w:val="32"/>
          <w:szCs w:val="32"/>
          <w:highlight w:val="none"/>
        </w:rPr>
        <w:t>：衢州智造新城管理委员会（盖章）</w:t>
      </w:r>
    </w:p>
    <w:p w14:paraId="6500850E">
      <w:pPr>
        <w:spacing w:line="700" w:lineRule="exact"/>
        <w:jc w:val="center"/>
        <w:rPr>
          <w:rFonts w:ascii="宋体" w:hAnsi="宋体"/>
          <w:b/>
          <w:color w:val="000000" w:themeColor="text1"/>
          <w:sz w:val="32"/>
          <w:szCs w:val="32"/>
          <w:highlight w:val="none"/>
        </w:rPr>
      </w:pPr>
      <w:r>
        <w:rPr>
          <w:rFonts w:hint="eastAsia" w:ascii="宋体" w:hAnsi="宋体"/>
          <w:b/>
          <w:color w:val="000000" w:themeColor="text1"/>
          <w:sz w:val="32"/>
          <w:szCs w:val="32"/>
          <w:highlight w:val="none"/>
        </w:rPr>
        <w:t>代理机构：浙江欣成工程咨询有限公司（盖章）</w:t>
      </w:r>
    </w:p>
    <w:p w14:paraId="714895FB">
      <w:pPr>
        <w:spacing w:line="700" w:lineRule="exact"/>
        <w:jc w:val="center"/>
        <w:rPr>
          <w:rFonts w:ascii="宋体" w:hAnsi="宋体"/>
          <w:b/>
          <w:color w:val="000000" w:themeColor="text1"/>
          <w:sz w:val="32"/>
          <w:szCs w:val="28"/>
          <w:highlight w:val="none"/>
        </w:rPr>
      </w:pPr>
      <w:r>
        <w:rPr>
          <w:rFonts w:hint="eastAsia" w:ascii="宋体" w:hAnsi="宋体"/>
          <w:b/>
          <w:color w:val="000000" w:themeColor="text1"/>
          <w:sz w:val="32"/>
          <w:szCs w:val="32"/>
          <w:highlight w:val="none"/>
        </w:rPr>
        <w:t>日期：202</w:t>
      </w:r>
      <w:r>
        <w:rPr>
          <w:rFonts w:hint="eastAsia" w:ascii="宋体" w:hAnsi="宋体"/>
          <w:b/>
          <w:color w:val="000000" w:themeColor="text1"/>
          <w:sz w:val="32"/>
          <w:szCs w:val="32"/>
          <w:highlight w:val="none"/>
          <w:lang w:val="en-US" w:eastAsia="zh-CN"/>
        </w:rPr>
        <w:t>4</w:t>
      </w:r>
      <w:r>
        <w:rPr>
          <w:rFonts w:hint="eastAsia" w:ascii="宋体" w:hAnsi="宋体"/>
          <w:b/>
          <w:color w:val="000000" w:themeColor="text1"/>
          <w:sz w:val="32"/>
          <w:szCs w:val="32"/>
          <w:highlight w:val="none"/>
        </w:rPr>
        <w:t>年</w:t>
      </w:r>
      <w:r>
        <w:rPr>
          <w:rFonts w:hint="eastAsia" w:ascii="宋体" w:hAnsi="宋体"/>
          <w:b/>
          <w:color w:val="000000" w:themeColor="text1"/>
          <w:sz w:val="32"/>
          <w:szCs w:val="32"/>
          <w:highlight w:val="none"/>
          <w:lang w:val="en-US" w:eastAsia="zh-CN"/>
        </w:rPr>
        <w:t>9</w:t>
      </w:r>
      <w:r>
        <w:rPr>
          <w:rFonts w:hint="eastAsia" w:ascii="宋体" w:hAnsi="宋体"/>
          <w:b/>
          <w:color w:val="000000" w:themeColor="text1"/>
          <w:sz w:val="32"/>
          <w:szCs w:val="32"/>
          <w:highlight w:val="none"/>
        </w:rPr>
        <w:t>月</w:t>
      </w:r>
    </w:p>
    <w:p w14:paraId="4124C9D3">
      <w:pPr>
        <w:spacing w:line="480" w:lineRule="auto"/>
        <w:rPr>
          <w:rFonts w:ascii="仿宋_GB2312" w:eastAsia="仿宋_GB2312"/>
          <w:color w:val="000000" w:themeColor="text1"/>
          <w:sz w:val="36"/>
          <w:szCs w:val="36"/>
          <w:highlight w:val="none"/>
        </w:rPr>
      </w:pPr>
    </w:p>
    <w:p w14:paraId="799C10B3">
      <w:pPr>
        <w:snapToGrid w:val="0"/>
        <w:jc w:val="center"/>
        <w:rPr>
          <w:rFonts w:ascii="仿宋_GB2312" w:hAnsi="宋体" w:eastAsia="仿宋_GB2312" w:cs="宋体"/>
          <w:b/>
          <w:color w:val="000000" w:themeColor="text1"/>
          <w:sz w:val="40"/>
          <w:szCs w:val="32"/>
          <w:highlight w:val="none"/>
        </w:rPr>
        <w:sectPr>
          <w:headerReference r:id="rId4" w:type="first"/>
          <w:headerReference r:id="rId3" w:type="default"/>
          <w:footerReference r:id="rId5" w:type="default"/>
          <w:footerReference r:id="rId6" w:type="even"/>
          <w:pgSz w:w="11906" w:h="16838"/>
          <w:pgMar w:top="1440" w:right="1587" w:bottom="1440" w:left="1587" w:header="851" w:footer="850" w:gutter="0"/>
          <w:pgBorders>
            <w:top w:val="none" w:sz="0" w:space="0"/>
            <w:left w:val="none" w:sz="0" w:space="0"/>
            <w:bottom w:val="none" w:sz="0" w:space="0"/>
            <w:right w:val="none" w:sz="0" w:space="0"/>
          </w:pgBorders>
          <w:cols w:space="0" w:num="1"/>
          <w:titlePg/>
          <w:docGrid w:linePitch="312" w:charSpace="0"/>
        </w:sectPr>
      </w:pPr>
    </w:p>
    <w:p w14:paraId="7861492E">
      <w:pPr>
        <w:pStyle w:val="14"/>
        <w:spacing w:beforeLines="10" w:line="360" w:lineRule="auto"/>
        <w:ind w:firstLine="281" w:firstLineChars="100"/>
        <w:jc w:val="left"/>
        <w:rPr>
          <w:rFonts w:ascii="宋体" w:hAnsi="宋体" w:eastAsia="宋体"/>
          <w:color w:val="000000" w:themeColor="text1"/>
          <w:highlight w:val="none"/>
        </w:rPr>
      </w:pPr>
    </w:p>
    <w:p w14:paraId="73EC880C">
      <w:pPr>
        <w:pStyle w:val="14"/>
        <w:spacing w:beforeLines="10" w:line="360" w:lineRule="auto"/>
        <w:ind w:firstLine="360" w:firstLineChars="100"/>
        <w:jc w:val="center"/>
        <w:rPr>
          <w:rFonts w:ascii="宋体" w:hAnsi="宋体" w:eastAsia="宋体"/>
          <w:b w:val="0"/>
          <w:color w:val="000000" w:themeColor="text1"/>
          <w:sz w:val="36"/>
          <w:highlight w:val="none"/>
        </w:rPr>
      </w:pPr>
      <w:r>
        <w:rPr>
          <w:rFonts w:hint="eastAsia" w:ascii="宋体" w:hAnsi="宋体" w:eastAsia="宋体"/>
          <w:b w:val="0"/>
          <w:color w:val="000000" w:themeColor="text1"/>
          <w:sz w:val="36"/>
          <w:highlight w:val="none"/>
        </w:rPr>
        <w:t>目  录</w:t>
      </w:r>
    </w:p>
    <w:p w14:paraId="38CD598F">
      <w:pPr>
        <w:rPr>
          <w:color w:val="000000" w:themeColor="text1"/>
          <w:highlight w:val="none"/>
        </w:rPr>
      </w:pPr>
    </w:p>
    <w:p w14:paraId="5794C6FF">
      <w:pPr>
        <w:pStyle w:val="16"/>
        <w:tabs>
          <w:tab w:val="clear" w:pos="8364"/>
        </w:tabs>
        <w:ind w:left="-280" w:leftChars="-100"/>
        <w:jc w:val="distribute"/>
        <w:rPr>
          <w:rFonts w:ascii="宋体" w:hAnsi="宋体"/>
          <w:color w:val="000000" w:themeColor="text1"/>
          <w:sz w:val="24"/>
          <w:szCs w:val="24"/>
          <w:highlight w:val="none"/>
        </w:rPr>
      </w:pPr>
      <w:r>
        <w:rPr>
          <w:rFonts w:ascii="宋体" w:hAnsi="宋体"/>
          <w:b w:val="0"/>
          <w:color w:val="000000" w:themeColor="text1"/>
          <w:sz w:val="24"/>
          <w:szCs w:val="24"/>
          <w:highlight w:val="none"/>
        </w:rPr>
        <w:fldChar w:fldCharType="begin"/>
      </w:r>
      <w:r>
        <w:rPr>
          <w:rFonts w:hint="eastAsia" w:ascii="宋体" w:hAnsi="宋体"/>
          <w:b w:val="0"/>
          <w:color w:val="000000" w:themeColor="text1"/>
          <w:sz w:val="24"/>
          <w:szCs w:val="24"/>
          <w:highlight w:val="none"/>
        </w:rPr>
        <w:instrText xml:space="preserve">TOC \o "1-2" \h \z \u</w:instrText>
      </w:r>
      <w:r>
        <w:rPr>
          <w:rFonts w:ascii="宋体" w:hAnsi="宋体"/>
          <w:b w:val="0"/>
          <w:color w:val="000000" w:themeColor="text1"/>
          <w:sz w:val="24"/>
          <w:szCs w:val="24"/>
          <w:highlight w:val="none"/>
        </w:rPr>
        <w:fldChar w:fldCharType="separate"/>
      </w:r>
      <w:r>
        <w:rPr>
          <w:color w:val="000000" w:themeColor="text1"/>
          <w:highlight w:val="none"/>
        </w:rPr>
        <w:fldChar w:fldCharType="begin"/>
      </w:r>
      <w:r>
        <w:rPr>
          <w:color w:val="000000" w:themeColor="text1"/>
          <w:highlight w:val="none"/>
        </w:rPr>
        <w:instrText xml:space="preserve"> HYPERLINK \l "_Toc32624" </w:instrText>
      </w:r>
      <w:r>
        <w:rPr>
          <w:color w:val="000000" w:themeColor="text1"/>
          <w:highlight w:val="none"/>
        </w:rPr>
        <w:fldChar w:fldCharType="separate"/>
      </w:r>
      <w:r>
        <w:rPr>
          <w:rFonts w:hint="eastAsia" w:ascii="宋体" w:hAnsi="宋体"/>
          <w:color w:val="000000" w:themeColor="text1"/>
          <w:sz w:val="24"/>
          <w:szCs w:val="24"/>
          <w:highlight w:val="none"/>
        </w:rPr>
        <w:t>第一部分  招标公告</w:t>
      </w:r>
      <w:r>
        <w:rPr>
          <w:rFonts w:ascii="宋体" w:hAnsi="宋体"/>
          <w:color w:val="000000" w:themeColor="text1"/>
          <w:sz w:val="24"/>
          <w:szCs w:val="24"/>
          <w:highlight w:val="none"/>
        </w:rPr>
        <w:tab/>
      </w:r>
      <w:r>
        <w:rPr>
          <w:rFonts w:hint="eastAsia" w:ascii="宋体" w:hAnsi="宋体"/>
          <w:color w:val="000000" w:themeColor="text1"/>
          <w:sz w:val="24"/>
          <w:highlight w:val="none"/>
        </w:rPr>
        <w:t>…………………………………………………………………</w:t>
      </w:r>
      <w:r>
        <w:rPr>
          <w:rFonts w:ascii="宋体" w:hAnsi="宋体"/>
          <w:color w:val="000000" w:themeColor="text1"/>
          <w:sz w:val="24"/>
          <w:szCs w:val="24"/>
          <w:highlight w:val="none"/>
        </w:rPr>
        <w:fldChar w:fldCharType="begin"/>
      </w:r>
      <w:r>
        <w:rPr>
          <w:rFonts w:ascii="宋体" w:hAnsi="宋体"/>
          <w:color w:val="000000" w:themeColor="text1"/>
          <w:sz w:val="24"/>
          <w:szCs w:val="24"/>
          <w:highlight w:val="none"/>
        </w:rPr>
        <w:instrText xml:space="preserve"> PAGEREF _Toc32624 </w:instrText>
      </w:r>
      <w:r>
        <w:rPr>
          <w:rFonts w:ascii="宋体" w:hAnsi="宋体"/>
          <w:color w:val="000000" w:themeColor="text1"/>
          <w:sz w:val="24"/>
          <w:szCs w:val="24"/>
          <w:highlight w:val="none"/>
        </w:rPr>
        <w:fldChar w:fldCharType="separate"/>
      </w:r>
      <w:r>
        <w:rPr>
          <w:rFonts w:ascii="宋体" w:hAnsi="宋体"/>
          <w:color w:val="000000" w:themeColor="text1"/>
          <w:sz w:val="24"/>
          <w:szCs w:val="24"/>
          <w:highlight w:val="none"/>
        </w:rPr>
        <w:t>1</w:t>
      </w:r>
      <w:r>
        <w:rPr>
          <w:rFonts w:ascii="宋体" w:hAnsi="宋体"/>
          <w:color w:val="000000" w:themeColor="text1"/>
          <w:sz w:val="24"/>
          <w:szCs w:val="24"/>
          <w:highlight w:val="none"/>
        </w:rPr>
        <w:fldChar w:fldCharType="end"/>
      </w:r>
      <w:r>
        <w:rPr>
          <w:rFonts w:ascii="宋体" w:hAnsi="宋体"/>
          <w:color w:val="000000" w:themeColor="text1"/>
          <w:sz w:val="24"/>
          <w:szCs w:val="24"/>
          <w:highlight w:val="none"/>
        </w:rPr>
        <w:fldChar w:fldCharType="end"/>
      </w:r>
    </w:p>
    <w:p w14:paraId="0D664F4D">
      <w:pPr>
        <w:pStyle w:val="16"/>
        <w:tabs>
          <w:tab w:val="clear" w:pos="8364"/>
        </w:tabs>
        <w:ind w:left="-280" w:leftChars="-100"/>
        <w:jc w:val="distribute"/>
        <w:rPr>
          <w:rFonts w:ascii="宋体" w:hAnsi="宋体"/>
          <w:color w:val="000000" w:themeColor="text1"/>
          <w:sz w:val="24"/>
          <w:szCs w:val="24"/>
          <w:highlight w:val="none"/>
        </w:rPr>
      </w:pPr>
      <w:r>
        <w:rPr>
          <w:color w:val="000000" w:themeColor="text1"/>
          <w:highlight w:val="none"/>
        </w:rPr>
        <w:fldChar w:fldCharType="begin"/>
      </w:r>
      <w:r>
        <w:rPr>
          <w:color w:val="000000" w:themeColor="text1"/>
          <w:highlight w:val="none"/>
        </w:rPr>
        <w:instrText xml:space="preserve"> HYPERLINK \l "_Toc31506" </w:instrText>
      </w:r>
      <w:r>
        <w:rPr>
          <w:color w:val="000000" w:themeColor="text1"/>
          <w:highlight w:val="none"/>
        </w:rPr>
        <w:fldChar w:fldCharType="separate"/>
      </w:r>
      <w:r>
        <w:rPr>
          <w:rFonts w:hint="eastAsia" w:ascii="宋体" w:hAnsi="宋体"/>
          <w:color w:val="000000" w:themeColor="text1"/>
          <w:sz w:val="24"/>
          <w:szCs w:val="24"/>
          <w:highlight w:val="none"/>
        </w:rPr>
        <w:t>第二部分 投标须知前附表及投标须知</w:t>
      </w:r>
      <w:r>
        <w:rPr>
          <w:rFonts w:hint="eastAsia" w:ascii="宋体" w:hAnsi="宋体"/>
          <w:color w:val="000000" w:themeColor="text1"/>
          <w:sz w:val="24"/>
          <w:highlight w:val="none"/>
        </w:rPr>
        <w:t>………………………………………………</w:t>
      </w:r>
      <w:r>
        <w:rPr>
          <w:rFonts w:hint="eastAsia" w:ascii="宋体" w:hAnsi="宋体"/>
          <w:color w:val="000000" w:themeColor="text1"/>
          <w:sz w:val="24"/>
          <w:szCs w:val="24"/>
          <w:highlight w:val="none"/>
        </w:rPr>
        <w:t>4</w:t>
      </w:r>
      <w:r>
        <w:rPr>
          <w:rFonts w:hint="eastAsia" w:ascii="宋体" w:hAnsi="宋体"/>
          <w:color w:val="000000" w:themeColor="text1"/>
          <w:sz w:val="24"/>
          <w:szCs w:val="24"/>
          <w:highlight w:val="none"/>
        </w:rPr>
        <w:fldChar w:fldCharType="end"/>
      </w:r>
    </w:p>
    <w:p w14:paraId="3A16A9D9">
      <w:pPr>
        <w:pStyle w:val="16"/>
        <w:tabs>
          <w:tab w:val="right" w:leader="dot" w:pos="9026"/>
          <w:tab w:val="clear" w:pos="8364"/>
        </w:tabs>
        <w:ind w:left="-560" w:leftChars="-200" w:firstLine="279" w:firstLineChars="139"/>
        <w:jc w:val="distribute"/>
        <w:rPr>
          <w:rFonts w:hint="eastAsia" w:ascii="宋体" w:hAnsi="宋体" w:eastAsia="宋体"/>
          <w:color w:val="000000" w:themeColor="text1"/>
          <w:sz w:val="24"/>
          <w:szCs w:val="24"/>
          <w:highlight w:val="none"/>
          <w:lang w:eastAsia="zh-CN"/>
        </w:rPr>
      </w:pPr>
      <w:r>
        <w:rPr>
          <w:color w:val="000000" w:themeColor="text1"/>
          <w:highlight w:val="none"/>
        </w:rPr>
        <w:fldChar w:fldCharType="begin"/>
      </w:r>
      <w:r>
        <w:rPr>
          <w:color w:val="000000" w:themeColor="text1"/>
          <w:highlight w:val="none"/>
        </w:rPr>
        <w:instrText xml:space="preserve"> HYPERLINK \l "_Toc4895" </w:instrText>
      </w:r>
      <w:r>
        <w:rPr>
          <w:color w:val="000000" w:themeColor="text1"/>
          <w:highlight w:val="none"/>
        </w:rPr>
        <w:fldChar w:fldCharType="separate"/>
      </w:r>
      <w:r>
        <w:rPr>
          <w:rFonts w:hint="eastAsia" w:ascii="宋体" w:hAnsi="宋体"/>
          <w:color w:val="000000" w:themeColor="text1"/>
          <w:sz w:val="24"/>
          <w:szCs w:val="24"/>
          <w:highlight w:val="none"/>
        </w:rPr>
        <w:t>第三部分 采购内容及要求</w:t>
      </w:r>
      <w:r>
        <w:rPr>
          <w:rFonts w:hint="eastAsia" w:ascii="宋体" w:hAnsi="宋体"/>
          <w:color w:val="000000" w:themeColor="text1"/>
          <w:sz w:val="24"/>
          <w:szCs w:val="24"/>
          <w:highlight w:val="none"/>
        </w:rPr>
        <w:fldChar w:fldCharType="end"/>
      </w:r>
      <w:r>
        <w:rPr>
          <w:rFonts w:hint="eastAsia" w:ascii="宋体" w:hAnsi="宋体"/>
          <w:color w:val="000000" w:themeColor="text1"/>
          <w:sz w:val="24"/>
          <w:highlight w:val="none"/>
        </w:rPr>
        <w:t>…………………………………………………………</w:t>
      </w:r>
      <w:r>
        <w:rPr>
          <w:rFonts w:hint="eastAsia" w:ascii="宋体" w:hAnsi="宋体"/>
          <w:color w:val="000000" w:themeColor="text1"/>
          <w:sz w:val="24"/>
          <w:szCs w:val="24"/>
          <w:highlight w:val="none"/>
        </w:rPr>
        <w:t>2</w:t>
      </w:r>
      <w:r>
        <w:rPr>
          <w:rFonts w:hint="eastAsia" w:ascii="宋体" w:hAnsi="宋体"/>
          <w:color w:val="000000" w:themeColor="text1"/>
          <w:sz w:val="24"/>
          <w:szCs w:val="24"/>
          <w:highlight w:val="none"/>
          <w:lang w:val="en-US" w:eastAsia="zh-CN"/>
        </w:rPr>
        <w:t>4</w:t>
      </w:r>
    </w:p>
    <w:p w14:paraId="52514913">
      <w:pPr>
        <w:pStyle w:val="16"/>
        <w:tabs>
          <w:tab w:val="right" w:leader="dot" w:pos="9026"/>
          <w:tab w:val="clear" w:pos="8364"/>
        </w:tabs>
        <w:ind w:left="-560" w:leftChars="-200" w:firstLine="279" w:firstLineChars="139"/>
        <w:jc w:val="distribute"/>
        <w:rPr>
          <w:rFonts w:hint="default" w:ascii="宋体" w:hAnsi="宋体" w:eastAsia="宋体"/>
          <w:color w:val="000000" w:themeColor="text1"/>
          <w:sz w:val="24"/>
          <w:szCs w:val="24"/>
          <w:highlight w:val="none"/>
          <w:lang w:val="en-US" w:eastAsia="zh-CN"/>
        </w:rPr>
      </w:pPr>
      <w:r>
        <w:rPr>
          <w:color w:val="000000" w:themeColor="text1"/>
          <w:highlight w:val="none"/>
        </w:rPr>
        <w:fldChar w:fldCharType="begin"/>
      </w:r>
      <w:r>
        <w:rPr>
          <w:color w:val="000000" w:themeColor="text1"/>
          <w:highlight w:val="none"/>
        </w:rPr>
        <w:instrText xml:space="preserve"> HYPERLINK \l "_Toc1203" </w:instrText>
      </w:r>
      <w:r>
        <w:rPr>
          <w:color w:val="000000" w:themeColor="text1"/>
          <w:highlight w:val="none"/>
        </w:rPr>
        <w:fldChar w:fldCharType="separate"/>
      </w:r>
      <w:r>
        <w:rPr>
          <w:rFonts w:hint="eastAsia" w:ascii="宋体" w:hAnsi="宋体"/>
          <w:color w:val="000000" w:themeColor="text1"/>
          <w:sz w:val="24"/>
          <w:szCs w:val="24"/>
          <w:highlight w:val="none"/>
        </w:rPr>
        <w:t>第四部分 合同文本</w:t>
      </w:r>
      <w:r>
        <w:rPr>
          <w:rFonts w:hint="eastAsia" w:ascii="宋体" w:hAnsi="宋体"/>
          <w:color w:val="000000" w:themeColor="text1"/>
          <w:sz w:val="24"/>
          <w:szCs w:val="24"/>
          <w:highlight w:val="none"/>
        </w:rPr>
        <w:fldChar w:fldCharType="end"/>
      </w:r>
      <w:r>
        <w:rPr>
          <w:rFonts w:hint="eastAsia" w:ascii="宋体" w:hAnsi="宋体"/>
          <w:color w:val="000000" w:themeColor="text1"/>
          <w:sz w:val="24"/>
          <w:highlight w:val="none"/>
        </w:rPr>
        <w:t>…………………………………………………………………</w:t>
      </w:r>
      <w:r>
        <w:rPr>
          <w:rFonts w:hint="eastAsia" w:ascii="宋体" w:hAnsi="宋体"/>
          <w:color w:val="000000" w:themeColor="text1"/>
          <w:sz w:val="24"/>
          <w:szCs w:val="24"/>
          <w:highlight w:val="none"/>
          <w:lang w:val="en-US" w:eastAsia="zh-CN"/>
        </w:rPr>
        <w:t>38</w:t>
      </w:r>
    </w:p>
    <w:p w14:paraId="429CCB63">
      <w:pPr>
        <w:pStyle w:val="18"/>
        <w:tabs>
          <w:tab w:val="right" w:leader="dot" w:pos="9026"/>
          <w:tab w:val="clear" w:pos="8364"/>
        </w:tabs>
        <w:ind w:left="-560" w:leftChars="-200" w:firstLine="279" w:firstLineChars="116"/>
        <w:jc w:val="distribute"/>
        <w:rPr>
          <w:rFonts w:hint="default" w:ascii="宋体" w:hAnsi="宋体" w:eastAsia="宋体"/>
          <w:color w:val="000000" w:themeColor="text1"/>
          <w:szCs w:val="24"/>
          <w:highlight w:val="none"/>
          <w:lang w:val="en-US" w:eastAsia="zh-CN"/>
        </w:rPr>
      </w:pPr>
      <w:r>
        <w:rPr>
          <w:rFonts w:hint="eastAsia" w:ascii="宋体" w:hAnsi="宋体" w:eastAsia="宋体"/>
          <w:caps/>
          <w:smallCaps w:val="0"/>
          <w:color w:val="000000" w:themeColor="text1"/>
          <w:szCs w:val="24"/>
          <w:highlight w:val="none"/>
        </w:rPr>
        <w:t xml:space="preserve">第五部分 </w:t>
      </w:r>
      <w:r>
        <w:rPr>
          <w:color w:val="000000" w:themeColor="text1"/>
          <w:highlight w:val="none"/>
        </w:rPr>
        <w:fldChar w:fldCharType="begin"/>
      </w:r>
      <w:r>
        <w:rPr>
          <w:color w:val="000000" w:themeColor="text1"/>
          <w:highlight w:val="none"/>
        </w:rPr>
        <w:instrText xml:space="preserve"> HYPERLINK \l "_Toc2553" </w:instrText>
      </w:r>
      <w:r>
        <w:rPr>
          <w:color w:val="000000" w:themeColor="text1"/>
          <w:highlight w:val="none"/>
        </w:rPr>
        <w:fldChar w:fldCharType="separate"/>
      </w:r>
      <w:r>
        <w:rPr>
          <w:rFonts w:hint="eastAsia" w:ascii="宋体" w:hAnsi="宋体" w:eastAsia="宋体"/>
          <w:caps/>
          <w:smallCaps w:val="0"/>
          <w:color w:val="000000" w:themeColor="text1"/>
          <w:szCs w:val="24"/>
          <w:highlight w:val="none"/>
        </w:rPr>
        <w:t>应提交的有关格式范例</w:t>
      </w:r>
      <w:r>
        <w:rPr>
          <w:rFonts w:hint="eastAsia" w:ascii="宋体" w:hAnsi="宋体" w:eastAsia="宋体"/>
          <w:caps/>
          <w:smallCaps w:val="0"/>
          <w:color w:val="000000" w:themeColor="text1"/>
          <w:szCs w:val="24"/>
          <w:highlight w:val="none"/>
        </w:rPr>
        <w:fldChar w:fldCharType="end"/>
      </w:r>
      <w:r>
        <w:rPr>
          <w:rFonts w:hint="eastAsia" w:ascii="宋体" w:hAnsi="宋体" w:eastAsia="宋体"/>
          <w:color w:val="000000" w:themeColor="text1"/>
          <w:highlight w:val="none"/>
        </w:rPr>
        <w:t>…………………………………………………</w:t>
      </w:r>
      <w:r>
        <w:rPr>
          <w:rFonts w:hint="eastAsia" w:ascii="宋体" w:hAnsi="宋体" w:eastAsia="宋体"/>
          <w:caps/>
          <w:smallCaps w:val="0"/>
          <w:color w:val="000000" w:themeColor="text1"/>
          <w:szCs w:val="24"/>
          <w:highlight w:val="none"/>
          <w:lang w:val="en-US" w:eastAsia="zh-CN"/>
        </w:rPr>
        <w:t>55</w:t>
      </w:r>
    </w:p>
    <w:p w14:paraId="4A4DF7BB">
      <w:pPr>
        <w:pStyle w:val="16"/>
        <w:tabs>
          <w:tab w:val="right" w:leader="dot" w:pos="9026"/>
          <w:tab w:val="clear" w:pos="8364"/>
        </w:tabs>
        <w:ind w:left="-560" w:leftChars="-200" w:firstLine="279" w:firstLineChars="139"/>
        <w:jc w:val="distribute"/>
        <w:rPr>
          <w:rFonts w:hint="default" w:ascii="宋体" w:hAnsi="宋体"/>
          <w:color w:val="000000" w:themeColor="text1"/>
          <w:sz w:val="24"/>
          <w:szCs w:val="24"/>
          <w:highlight w:val="none"/>
          <w:lang w:val="en-US"/>
        </w:rPr>
      </w:pPr>
      <w:r>
        <w:rPr>
          <w:color w:val="000000" w:themeColor="text1"/>
          <w:highlight w:val="none"/>
        </w:rPr>
        <w:fldChar w:fldCharType="begin"/>
      </w:r>
      <w:r>
        <w:rPr>
          <w:color w:val="000000" w:themeColor="text1"/>
          <w:highlight w:val="none"/>
        </w:rPr>
        <w:instrText xml:space="preserve"> HYPERLINK \l "_Toc15453" </w:instrText>
      </w:r>
      <w:r>
        <w:rPr>
          <w:color w:val="000000" w:themeColor="text1"/>
          <w:highlight w:val="none"/>
        </w:rPr>
        <w:fldChar w:fldCharType="separate"/>
      </w:r>
      <w:r>
        <w:rPr>
          <w:rFonts w:hint="eastAsia" w:ascii="宋体" w:hAnsi="宋体"/>
          <w:color w:val="000000" w:themeColor="text1"/>
          <w:sz w:val="24"/>
          <w:szCs w:val="24"/>
          <w:highlight w:val="none"/>
        </w:rPr>
        <w:t>第六部分 评标办法及开评标程序</w:t>
      </w:r>
      <w:r>
        <w:rPr>
          <w:rFonts w:hint="eastAsia" w:ascii="宋体" w:hAnsi="宋体"/>
          <w:color w:val="000000" w:themeColor="text1"/>
          <w:sz w:val="24"/>
          <w:highlight w:val="none"/>
        </w:rPr>
        <w:t>…………………………………………………</w:t>
      </w:r>
      <w:r>
        <w:rPr>
          <w:rFonts w:hint="eastAsia" w:ascii="宋体" w:hAnsi="宋体"/>
          <w:color w:val="000000" w:themeColor="text1"/>
          <w:sz w:val="24"/>
          <w:szCs w:val="24"/>
          <w:highlight w:val="none"/>
        </w:rPr>
        <w:fldChar w:fldCharType="end"/>
      </w:r>
      <w:r>
        <w:rPr>
          <w:rFonts w:hint="eastAsia" w:ascii="宋体" w:hAnsi="宋体"/>
          <w:color w:val="000000" w:themeColor="text1"/>
          <w:sz w:val="24"/>
          <w:szCs w:val="24"/>
          <w:highlight w:val="none"/>
          <w:lang w:val="en-US" w:eastAsia="zh-CN"/>
        </w:rPr>
        <w:t>68</w:t>
      </w:r>
    </w:p>
    <w:p w14:paraId="564A56F2">
      <w:pPr>
        <w:rPr>
          <w:color w:val="000000" w:themeColor="text1"/>
          <w:sz w:val="24"/>
          <w:szCs w:val="24"/>
          <w:highlight w:val="none"/>
        </w:rPr>
      </w:pPr>
    </w:p>
    <w:p w14:paraId="665DCCC6">
      <w:pPr>
        <w:tabs>
          <w:tab w:val="left" w:pos="1806"/>
        </w:tabs>
        <w:jc w:val="left"/>
        <w:rPr>
          <w:color w:val="000000" w:themeColor="text1"/>
          <w:highlight w:val="none"/>
        </w:rPr>
      </w:pPr>
      <w:r>
        <w:rPr>
          <w:rFonts w:hint="eastAsia"/>
          <w:color w:val="000000" w:themeColor="text1"/>
          <w:highlight w:val="none"/>
        </w:rPr>
        <w:tab/>
      </w:r>
    </w:p>
    <w:p w14:paraId="62231E87">
      <w:pPr>
        <w:rPr>
          <w:color w:val="000000" w:themeColor="text1"/>
          <w:highlight w:val="none"/>
        </w:rPr>
      </w:pPr>
    </w:p>
    <w:p w14:paraId="66BC903D">
      <w:pPr>
        <w:rPr>
          <w:color w:val="000000" w:themeColor="text1"/>
          <w:highlight w:val="none"/>
        </w:rPr>
      </w:pPr>
    </w:p>
    <w:p w14:paraId="5C82064A">
      <w:pPr>
        <w:rPr>
          <w:color w:val="000000" w:themeColor="text1"/>
          <w:highlight w:val="none"/>
        </w:rPr>
      </w:pPr>
    </w:p>
    <w:p w14:paraId="16080FCF">
      <w:pPr>
        <w:rPr>
          <w:color w:val="000000" w:themeColor="text1"/>
          <w:highlight w:val="none"/>
        </w:rPr>
      </w:pPr>
    </w:p>
    <w:p w14:paraId="1854A3B5">
      <w:pPr>
        <w:tabs>
          <w:tab w:val="left" w:pos="6231"/>
        </w:tabs>
        <w:jc w:val="left"/>
        <w:rPr>
          <w:color w:val="000000" w:themeColor="text1"/>
          <w:highlight w:val="none"/>
        </w:rPr>
      </w:pPr>
      <w:r>
        <w:rPr>
          <w:rFonts w:hint="eastAsia"/>
          <w:color w:val="000000" w:themeColor="text1"/>
          <w:highlight w:val="none"/>
        </w:rPr>
        <w:tab/>
      </w:r>
    </w:p>
    <w:p w14:paraId="315402F9">
      <w:pPr>
        <w:snapToGrid w:val="0"/>
        <w:spacing w:line="480" w:lineRule="exact"/>
        <w:ind w:firstLine="480" w:firstLineChars="200"/>
        <w:outlineLvl w:val="0"/>
        <w:rPr>
          <w:rFonts w:hAnsi="宋体"/>
          <w:color w:val="000000" w:themeColor="text1"/>
          <w:sz w:val="24"/>
          <w:szCs w:val="24"/>
          <w:highlight w:val="none"/>
        </w:rPr>
        <w:sectPr>
          <w:footerReference r:id="rId8" w:type="first"/>
          <w:footerReference r:id="rId7" w:type="default"/>
          <w:pgSz w:w="11906" w:h="16838"/>
          <w:pgMar w:top="1440" w:right="1587" w:bottom="1440" w:left="1587" w:header="851" w:footer="850" w:gutter="0"/>
          <w:pgBorders>
            <w:top w:val="none" w:sz="0" w:space="0"/>
            <w:left w:val="none" w:sz="0" w:space="0"/>
            <w:bottom w:val="none" w:sz="0" w:space="0"/>
            <w:right w:val="none" w:sz="0" w:space="0"/>
          </w:pgBorders>
          <w:pgNumType w:start="1"/>
          <w:cols w:space="0" w:num="1"/>
          <w:titlePg/>
          <w:docGrid w:linePitch="312" w:charSpace="0"/>
        </w:sectPr>
      </w:pPr>
    </w:p>
    <w:p w14:paraId="6B363193">
      <w:pPr>
        <w:pStyle w:val="13"/>
        <w:pageBreakBefore/>
        <w:adjustRightInd w:val="0"/>
        <w:snapToGrid w:val="0"/>
        <w:spacing w:line="360" w:lineRule="auto"/>
        <w:jc w:val="center"/>
        <w:outlineLvl w:val="0"/>
        <w:rPr>
          <w:rFonts w:hAnsi="宋体"/>
          <w:b/>
          <w:color w:val="000000" w:themeColor="text1"/>
          <w:sz w:val="32"/>
          <w:szCs w:val="21"/>
          <w:highlight w:val="none"/>
        </w:rPr>
      </w:pPr>
      <w:r>
        <w:rPr>
          <w:rFonts w:hAnsi="宋体"/>
          <w:color w:val="000000" w:themeColor="text1"/>
          <w:sz w:val="24"/>
          <w:szCs w:val="24"/>
          <w:highlight w:val="none"/>
        </w:rPr>
        <w:fldChar w:fldCharType="end"/>
      </w:r>
      <w:bookmarkStart w:id="0" w:name="_Toc32624"/>
      <w:r>
        <w:rPr>
          <w:rFonts w:hint="eastAsia" w:hAnsi="宋体"/>
          <w:b/>
          <w:color w:val="000000" w:themeColor="text1"/>
          <w:sz w:val="32"/>
          <w:szCs w:val="21"/>
          <w:highlight w:val="none"/>
        </w:rPr>
        <w:t xml:space="preserve"> 第一部分  招标公告</w:t>
      </w:r>
    </w:p>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5EA6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072" w:type="dxa"/>
          </w:tcPr>
          <w:p w14:paraId="00175A06">
            <w:pPr>
              <w:pStyle w:val="19"/>
              <w:spacing w:before="0" w:beforeAutospacing="0" w:after="0" w:afterAutospacing="0" w:line="480" w:lineRule="exact"/>
              <w:ind w:firstLine="480" w:firstLineChars="200"/>
              <w:rPr>
                <w:rFonts w:cs="宋体"/>
                <w:color w:val="000000" w:themeColor="text1"/>
                <w:szCs w:val="24"/>
                <w:highlight w:val="none"/>
              </w:rPr>
            </w:pPr>
            <w:r>
              <w:rPr>
                <w:rFonts w:hint="eastAsia" w:cs="宋体"/>
                <w:color w:val="000000" w:themeColor="text1"/>
                <w:szCs w:val="24"/>
                <w:highlight w:val="none"/>
              </w:rPr>
              <w:t>项目概况：</w:t>
            </w:r>
            <w:r>
              <w:rPr>
                <w:rFonts w:hint="eastAsia" w:cs="宋体"/>
                <w:color w:val="000000" w:themeColor="text1"/>
                <w:szCs w:val="24"/>
                <w:highlight w:val="none"/>
                <w:u w:val="single"/>
                <w:lang w:val="en-US" w:eastAsia="zh-CN"/>
              </w:rPr>
              <w:t>衢州国家高新技术产业开发区（高新片区）调蓄功能提升改造及排水管网建设工程-智造新城防涝减灾综合安全智能管控平台项目-绳索救援套装采购（项目名称）</w:t>
            </w:r>
            <w:r>
              <w:rPr>
                <w:rFonts w:hint="eastAsia" w:cs="宋体"/>
                <w:color w:val="000000" w:themeColor="text1"/>
                <w:szCs w:val="24"/>
                <w:highlight w:val="none"/>
              </w:rPr>
              <w:t>的潜在投标人应在</w:t>
            </w:r>
            <w:r>
              <w:rPr>
                <w:rFonts w:hint="eastAsia" w:cs="宋体"/>
                <w:color w:val="000000" w:themeColor="text1"/>
                <w:szCs w:val="24"/>
                <w:highlight w:val="none"/>
                <w:u w:val="single"/>
              </w:rPr>
              <w:t>政采云平台</w:t>
            </w:r>
            <w:r>
              <w:rPr>
                <w:rFonts w:hint="eastAsia" w:cs="宋体"/>
                <w:color w:val="000000" w:themeColor="text1"/>
                <w:szCs w:val="24"/>
                <w:highlight w:val="none"/>
                <w:u w:val="none"/>
                <w:lang w:val="en-US" w:eastAsia="zh-CN"/>
              </w:rPr>
              <w:t>线上</w:t>
            </w:r>
            <w:r>
              <w:rPr>
                <w:rFonts w:hint="eastAsia" w:cs="宋体"/>
                <w:color w:val="000000" w:themeColor="text1"/>
                <w:szCs w:val="24"/>
                <w:highlight w:val="none"/>
              </w:rPr>
              <w:t>获取（下载）招标文件，并于</w:t>
            </w:r>
            <w:r>
              <w:rPr>
                <w:rFonts w:hint="eastAsia" w:cs="宋体"/>
                <w:color w:val="000000" w:themeColor="text1"/>
                <w:szCs w:val="24"/>
                <w:highlight w:val="none"/>
                <w:u w:val="single"/>
              </w:rPr>
              <w:t>2024年</w:t>
            </w:r>
            <w:r>
              <w:rPr>
                <w:rFonts w:hint="eastAsia" w:cs="宋体"/>
                <w:color w:val="000000" w:themeColor="text1"/>
                <w:szCs w:val="24"/>
                <w:highlight w:val="none"/>
                <w:u w:val="single"/>
                <w:lang w:val="en-US" w:eastAsia="zh-CN"/>
              </w:rPr>
              <w:t>10</w:t>
            </w:r>
            <w:r>
              <w:rPr>
                <w:rFonts w:hint="eastAsia" w:cs="宋体"/>
                <w:color w:val="000000" w:themeColor="text1"/>
                <w:szCs w:val="24"/>
                <w:highlight w:val="none"/>
                <w:u w:val="single"/>
              </w:rPr>
              <w:t>月</w:t>
            </w:r>
            <w:r>
              <w:rPr>
                <w:rFonts w:hint="eastAsia" w:cs="宋体"/>
                <w:color w:val="000000" w:themeColor="text1"/>
                <w:szCs w:val="24"/>
                <w:highlight w:val="none"/>
                <w:u w:val="single"/>
                <w:lang w:val="en-US" w:eastAsia="zh-CN"/>
              </w:rPr>
              <w:t>22</w:t>
            </w:r>
            <w:r>
              <w:rPr>
                <w:rFonts w:hint="eastAsia" w:cs="宋体"/>
                <w:color w:val="000000" w:themeColor="text1"/>
                <w:szCs w:val="24"/>
                <w:highlight w:val="none"/>
                <w:u w:val="single"/>
              </w:rPr>
              <w:t>日</w:t>
            </w:r>
            <w:r>
              <w:rPr>
                <w:rFonts w:hint="eastAsia" w:cs="宋体"/>
                <w:color w:val="000000" w:themeColor="text1"/>
                <w:szCs w:val="24"/>
                <w:highlight w:val="none"/>
                <w:u w:val="single"/>
                <w:lang w:val="en-US" w:eastAsia="zh-CN"/>
              </w:rPr>
              <w:t>09</w:t>
            </w:r>
            <w:r>
              <w:rPr>
                <w:rFonts w:hint="eastAsia" w:cs="宋体"/>
                <w:color w:val="000000" w:themeColor="text1"/>
                <w:szCs w:val="24"/>
                <w:highlight w:val="none"/>
                <w:u w:val="single"/>
              </w:rPr>
              <w:t>:</w:t>
            </w:r>
            <w:r>
              <w:rPr>
                <w:rFonts w:hint="eastAsia" w:cs="宋体"/>
                <w:color w:val="000000" w:themeColor="text1"/>
                <w:szCs w:val="24"/>
                <w:highlight w:val="none"/>
                <w:u w:val="single"/>
                <w:lang w:val="en-US" w:eastAsia="zh-CN"/>
              </w:rPr>
              <w:t>30</w:t>
            </w:r>
            <w:r>
              <w:rPr>
                <w:rFonts w:hint="eastAsia" w:cs="宋体"/>
                <w:color w:val="000000" w:themeColor="text1"/>
                <w:szCs w:val="24"/>
                <w:highlight w:val="none"/>
                <w:u w:val="single"/>
              </w:rPr>
              <w:t>:00秒</w:t>
            </w:r>
            <w:r>
              <w:rPr>
                <w:rFonts w:hint="eastAsia" w:cs="宋体"/>
                <w:color w:val="000000" w:themeColor="text1"/>
                <w:szCs w:val="24"/>
                <w:highlight w:val="none"/>
              </w:rPr>
              <w:t>（北京时间）前递交（上传）投标文件。</w:t>
            </w:r>
          </w:p>
        </w:tc>
      </w:tr>
    </w:tbl>
    <w:p w14:paraId="57CDBA98">
      <w:pPr>
        <w:snapToGrid w:val="0"/>
        <w:spacing w:line="480" w:lineRule="exact"/>
        <w:jc w:val="left"/>
        <w:outlineLvl w:val="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一、项目基本情况</w:t>
      </w:r>
    </w:p>
    <w:p w14:paraId="629D1609">
      <w:pPr>
        <w:snapToGrid w:val="0"/>
        <w:spacing w:line="480" w:lineRule="exact"/>
        <w:ind w:firstLine="480" w:firstLineChars="200"/>
        <w:jc w:val="left"/>
        <w:outlineLvl w:val="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项目编号：</w:t>
      </w:r>
      <w:r>
        <w:rPr>
          <w:rFonts w:hint="eastAsia" w:ascii="宋体" w:hAnsi="宋体" w:cs="宋体"/>
          <w:color w:val="000000" w:themeColor="text1"/>
          <w:sz w:val="24"/>
          <w:szCs w:val="24"/>
          <w:highlight w:val="none"/>
          <w:lang w:eastAsia="zh-CN"/>
        </w:rPr>
        <w:t>ZZCG-2024-</w:t>
      </w:r>
      <w:r>
        <w:rPr>
          <w:rFonts w:hint="eastAsia" w:ascii="宋体" w:hAnsi="宋体" w:cs="宋体"/>
          <w:color w:val="000000" w:themeColor="text1"/>
          <w:sz w:val="24"/>
          <w:szCs w:val="24"/>
          <w:highlight w:val="none"/>
          <w:lang w:val="en-US" w:eastAsia="zh-CN"/>
        </w:rPr>
        <w:t>106</w:t>
      </w:r>
      <w:r>
        <w:rPr>
          <w:rFonts w:hint="eastAsia" w:ascii="宋体" w:hAnsi="宋体" w:cs="宋体"/>
          <w:color w:val="000000" w:themeColor="text1"/>
          <w:sz w:val="24"/>
          <w:szCs w:val="24"/>
          <w:highlight w:val="none"/>
        </w:rPr>
        <w:t xml:space="preserve">  </w:t>
      </w:r>
    </w:p>
    <w:p w14:paraId="14C3C198">
      <w:pPr>
        <w:snapToGrid w:val="0"/>
        <w:spacing w:line="480" w:lineRule="exact"/>
        <w:ind w:firstLine="480" w:firstLineChars="200"/>
        <w:jc w:val="left"/>
        <w:outlineLvl w:val="0"/>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项目名称：</w:t>
      </w:r>
      <w:r>
        <w:rPr>
          <w:rFonts w:hint="eastAsia" w:ascii="宋体" w:hAnsi="宋体" w:cs="宋体"/>
          <w:color w:val="000000" w:themeColor="text1"/>
          <w:sz w:val="24"/>
          <w:szCs w:val="24"/>
          <w:highlight w:val="none"/>
          <w:lang w:eastAsia="zh-CN"/>
        </w:rPr>
        <w:t>衢州国家高新技术产业开发区（高新片区）调蓄功能提升改造及排水管网建设工程-智造新城防涝减灾综合安全智能管控平台项目-绳索救援套装采购</w:t>
      </w:r>
    </w:p>
    <w:p w14:paraId="11354E43">
      <w:pPr>
        <w:snapToGrid w:val="0"/>
        <w:spacing w:line="480" w:lineRule="exact"/>
        <w:ind w:firstLine="480" w:firstLineChars="200"/>
        <w:jc w:val="left"/>
        <w:outlineLvl w:val="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采购方式：公开招标</w:t>
      </w:r>
    </w:p>
    <w:p w14:paraId="2FD89ADF">
      <w:pPr>
        <w:snapToGrid w:val="0"/>
        <w:spacing w:line="480" w:lineRule="exact"/>
        <w:ind w:firstLine="480" w:firstLineChars="200"/>
        <w:jc w:val="left"/>
        <w:outlineLvl w:val="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预算金额（元）：</w:t>
      </w:r>
      <w:r>
        <w:rPr>
          <w:rFonts w:hint="eastAsia" w:ascii="宋体" w:hAnsi="宋体" w:cs="宋体"/>
          <w:color w:val="000000" w:themeColor="text1"/>
          <w:sz w:val="24"/>
          <w:szCs w:val="24"/>
          <w:highlight w:val="none"/>
          <w:lang w:val="en-US" w:eastAsia="zh-CN"/>
        </w:rPr>
        <w:t>1220000</w:t>
      </w:r>
      <w:r>
        <w:rPr>
          <w:rFonts w:hint="eastAsia" w:ascii="宋体" w:hAnsi="宋体" w:cs="宋体"/>
          <w:color w:val="000000" w:themeColor="text1"/>
          <w:sz w:val="24"/>
          <w:szCs w:val="24"/>
          <w:highlight w:val="none"/>
        </w:rPr>
        <w:t>元</w:t>
      </w:r>
    </w:p>
    <w:p w14:paraId="6078F3B1">
      <w:pPr>
        <w:snapToGrid w:val="0"/>
        <w:spacing w:line="480" w:lineRule="exact"/>
        <w:ind w:firstLine="480" w:firstLineChars="200"/>
        <w:jc w:val="left"/>
        <w:outlineLvl w:val="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最高限价（元）：</w:t>
      </w:r>
      <w:r>
        <w:rPr>
          <w:rFonts w:hint="eastAsia" w:ascii="宋体" w:hAnsi="宋体" w:cs="宋体"/>
          <w:color w:val="000000" w:themeColor="text1"/>
          <w:sz w:val="24"/>
          <w:szCs w:val="24"/>
          <w:highlight w:val="none"/>
          <w:lang w:val="en-US" w:eastAsia="zh-CN"/>
        </w:rPr>
        <w:t>1220000</w:t>
      </w:r>
      <w:r>
        <w:rPr>
          <w:rFonts w:hint="eastAsia" w:ascii="宋体" w:hAnsi="宋体" w:cs="宋体"/>
          <w:color w:val="000000" w:themeColor="text1"/>
          <w:sz w:val="24"/>
          <w:szCs w:val="24"/>
          <w:highlight w:val="none"/>
        </w:rPr>
        <w:t>元</w:t>
      </w:r>
    </w:p>
    <w:p w14:paraId="77498E8F">
      <w:pPr>
        <w:snapToGrid w:val="0"/>
        <w:spacing w:line="480" w:lineRule="exact"/>
        <w:ind w:firstLine="480" w:firstLineChars="200"/>
        <w:jc w:val="left"/>
        <w:outlineLvl w:val="0"/>
        <w:rPr>
          <w:rFonts w:ascii="宋体" w:hAnsi="宋体" w:cs="宋体"/>
          <w:b/>
          <w:bCs/>
          <w:color w:val="000000" w:themeColor="text1"/>
          <w:sz w:val="24"/>
          <w:szCs w:val="24"/>
          <w:highlight w:val="none"/>
        </w:rPr>
      </w:pPr>
      <w:r>
        <w:rPr>
          <w:rFonts w:hint="eastAsia" w:ascii="宋体" w:hAnsi="宋体" w:cs="宋体"/>
          <w:color w:val="000000" w:themeColor="text1"/>
          <w:sz w:val="24"/>
          <w:szCs w:val="24"/>
          <w:highlight w:val="none"/>
        </w:rPr>
        <w:t>采购需求（内容、用途、数量、简要技术要求等）：</w:t>
      </w:r>
    </w:p>
    <w:tbl>
      <w:tblPr>
        <w:tblStyle w:val="21"/>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4"/>
        <w:gridCol w:w="3963"/>
        <w:gridCol w:w="587"/>
        <w:gridCol w:w="538"/>
        <w:gridCol w:w="1075"/>
        <w:gridCol w:w="1509"/>
        <w:gridCol w:w="628"/>
      </w:tblGrid>
      <w:tr w14:paraId="2775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EA54776">
            <w:pPr>
              <w:widowControl/>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序号</w:t>
            </w:r>
          </w:p>
        </w:tc>
        <w:tc>
          <w:tcPr>
            <w:tcW w:w="3963" w:type="dxa"/>
            <w:tcBorders>
              <w:top w:val="single" w:color="auto" w:sz="4" w:space="0"/>
              <w:left w:val="single" w:color="auto" w:sz="4" w:space="0"/>
              <w:bottom w:val="single" w:color="auto" w:sz="4" w:space="0"/>
              <w:right w:val="single" w:color="auto" w:sz="4" w:space="0"/>
            </w:tcBorders>
            <w:vAlign w:val="center"/>
          </w:tcPr>
          <w:p w14:paraId="2F6CC647">
            <w:pPr>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标项名称</w:t>
            </w:r>
          </w:p>
        </w:tc>
        <w:tc>
          <w:tcPr>
            <w:tcW w:w="587" w:type="dxa"/>
            <w:tcBorders>
              <w:top w:val="single" w:color="auto" w:sz="4" w:space="0"/>
              <w:left w:val="single" w:color="auto" w:sz="4" w:space="0"/>
              <w:bottom w:val="single" w:color="auto" w:sz="4" w:space="0"/>
              <w:right w:val="single" w:color="auto" w:sz="4" w:space="0"/>
            </w:tcBorders>
            <w:vAlign w:val="center"/>
          </w:tcPr>
          <w:p w14:paraId="2DE62C36">
            <w:pPr>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数量</w:t>
            </w:r>
          </w:p>
        </w:tc>
        <w:tc>
          <w:tcPr>
            <w:tcW w:w="538" w:type="dxa"/>
            <w:tcBorders>
              <w:top w:val="single" w:color="auto" w:sz="4" w:space="0"/>
              <w:left w:val="single" w:color="auto" w:sz="4" w:space="0"/>
              <w:bottom w:val="single" w:color="auto" w:sz="4" w:space="0"/>
              <w:right w:val="single" w:color="auto" w:sz="4" w:space="0"/>
            </w:tcBorders>
            <w:vAlign w:val="center"/>
          </w:tcPr>
          <w:p w14:paraId="7B79CE80">
            <w:pPr>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单位</w:t>
            </w:r>
          </w:p>
        </w:tc>
        <w:tc>
          <w:tcPr>
            <w:tcW w:w="1075" w:type="dxa"/>
            <w:tcBorders>
              <w:top w:val="single" w:color="auto" w:sz="4" w:space="0"/>
              <w:left w:val="single" w:color="auto" w:sz="4" w:space="0"/>
              <w:bottom w:val="single" w:color="auto" w:sz="4" w:space="0"/>
              <w:right w:val="single" w:color="auto" w:sz="4" w:space="0"/>
            </w:tcBorders>
            <w:vAlign w:val="center"/>
          </w:tcPr>
          <w:p w14:paraId="59D7D4BC">
            <w:pPr>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预算金额</w:t>
            </w:r>
          </w:p>
          <w:p w14:paraId="0D00C364">
            <w:pPr>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(万元)</w:t>
            </w:r>
          </w:p>
        </w:tc>
        <w:tc>
          <w:tcPr>
            <w:tcW w:w="1509" w:type="dxa"/>
            <w:tcBorders>
              <w:top w:val="single" w:color="auto" w:sz="4" w:space="0"/>
              <w:left w:val="single" w:color="auto" w:sz="4" w:space="0"/>
              <w:bottom w:val="single" w:color="auto" w:sz="4" w:space="0"/>
              <w:right w:val="single" w:color="auto" w:sz="4" w:space="0"/>
            </w:tcBorders>
            <w:vAlign w:val="center"/>
          </w:tcPr>
          <w:p w14:paraId="3AC28DF2">
            <w:pPr>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简要规格描述或项目基本概况介绍、用途</w:t>
            </w:r>
          </w:p>
        </w:tc>
        <w:tc>
          <w:tcPr>
            <w:tcW w:w="628" w:type="dxa"/>
            <w:tcBorders>
              <w:top w:val="single" w:color="auto" w:sz="4" w:space="0"/>
              <w:left w:val="single" w:color="auto" w:sz="4" w:space="0"/>
              <w:bottom w:val="single" w:color="auto" w:sz="4" w:space="0"/>
              <w:right w:val="single" w:color="auto" w:sz="4" w:space="0"/>
            </w:tcBorders>
            <w:vAlign w:val="center"/>
          </w:tcPr>
          <w:p w14:paraId="76988425">
            <w:pPr>
              <w:snapToGrid w:val="0"/>
              <w:spacing w:line="480" w:lineRule="exact"/>
              <w:jc w:val="center"/>
              <w:outlineLvl w:val="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备注</w:t>
            </w:r>
          </w:p>
        </w:tc>
      </w:tr>
      <w:tr w14:paraId="5D40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72924EB7">
            <w:pPr>
              <w:widowControl/>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标项一</w:t>
            </w:r>
          </w:p>
        </w:tc>
        <w:tc>
          <w:tcPr>
            <w:tcW w:w="3963" w:type="dxa"/>
            <w:tcBorders>
              <w:top w:val="single" w:color="auto" w:sz="4" w:space="0"/>
              <w:left w:val="single" w:color="auto" w:sz="4" w:space="0"/>
              <w:bottom w:val="single" w:color="auto" w:sz="4" w:space="0"/>
              <w:right w:val="single" w:color="auto" w:sz="4" w:space="0"/>
            </w:tcBorders>
            <w:vAlign w:val="center"/>
          </w:tcPr>
          <w:p w14:paraId="4FE22C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lang w:eastAsia="zh-CN"/>
              </w:rPr>
              <w:t>衢州国家高新技术产业开发区（高新片区）调蓄功能提升改造及排水管网建设工程-智造新城防涝减灾综合安全智能管控平台项目-绳索救援套装采购</w:t>
            </w:r>
          </w:p>
        </w:tc>
        <w:tc>
          <w:tcPr>
            <w:tcW w:w="587" w:type="dxa"/>
            <w:tcBorders>
              <w:top w:val="single" w:color="auto" w:sz="4" w:space="0"/>
              <w:left w:val="single" w:color="auto" w:sz="4" w:space="0"/>
              <w:bottom w:val="single" w:color="auto" w:sz="4" w:space="0"/>
              <w:right w:val="single" w:color="auto" w:sz="4" w:space="0"/>
            </w:tcBorders>
            <w:vAlign w:val="center"/>
          </w:tcPr>
          <w:p w14:paraId="532A88D7">
            <w:pPr>
              <w:spacing w:line="480" w:lineRule="exact"/>
              <w:jc w:val="center"/>
              <w:rPr>
                <w:rFonts w:hint="eastAsia"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1</w:t>
            </w:r>
          </w:p>
        </w:tc>
        <w:tc>
          <w:tcPr>
            <w:tcW w:w="538" w:type="dxa"/>
            <w:tcBorders>
              <w:top w:val="single" w:color="auto" w:sz="4" w:space="0"/>
              <w:left w:val="single" w:color="auto" w:sz="4" w:space="0"/>
              <w:bottom w:val="single" w:color="auto" w:sz="4" w:space="0"/>
              <w:right w:val="single" w:color="auto" w:sz="4" w:space="0"/>
            </w:tcBorders>
            <w:vAlign w:val="center"/>
          </w:tcPr>
          <w:p w14:paraId="36F6C36E">
            <w:pPr>
              <w:spacing w:line="480" w:lineRule="exact"/>
              <w:jc w:val="center"/>
              <w:rPr>
                <w:rFonts w:hint="eastAsia"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批</w:t>
            </w:r>
          </w:p>
        </w:tc>
        <w:tc>
          <w:tcPr>
            <w:tcW w:w="1075" w:type="dxa"/>
            <w:tcBorders>
              <w:top w:val="single" w:color="auto" w:sz="4" w:space="0"/>
              <w:left w:val="single" w:color="auto" w:sz="4" w:space="0"/>
              <w:bottom w:val="single" w:color="auto" w:sz="4" w:space="0"/>
              <w:right w:val="single" w:color="auto" w:sz="4" w:space="0"/>
            </w:tcBorders>
            <w:vAlign w:val="center"/>
          </w:tcPr>
          <w:p w14:paraId="02B9F95C">
            <w:pPr>
              <w:spacing w:line="480" w:lineRule="exact"/>
              <w:jc w:val="center"/>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122</w:t>
            </w:r>
          </w:p>
        </w:tc>
        <w:tc>
          <w:tcPr>
            <w:tcW w:w="1509" w:type="dxa"/>
            <w:tcBorders>
              <w:top w:val="single" w:color="auto" w:sz="4" w:space="0"/>
              <w:left w:val="single" w:color="auto" w:sz="4" w:space="0"/>
              <w:bottom w:val="single" w:color="auto" w:sz="4" w:space="0"/>
              <w:right w:val="single" w:color="auto" w:sz="4" w:space="0"/>
            </w:tcBorders>
            <w:vAlign w:val="center"/>
          </w:tcPr>
          <w:p w14:paraId="0A5CE8C0">
            <w:pPr>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详见采购文件第三部分</w:t>
            </w:r>
          </w:p>
        </w:tc>
        <w:tc>
          <w:tcPr>
            <w:tcW w:w="628" w:type="dxa"/>
            <w:tcBorders>
              <w:left w:val="single" w:color="auto" w:sz="4" w:space="0"/>
              <w:right w:val="single" w:color="auto" w:sz="4" w:space="0"/>
            </w:tcBorders>
            <w:vAlign w:val="center"/>
          </w:tcPr>
          <w:p w14:paraId="641F7161">
            <w:pPr>
              <w:snapToGrid w:val="0"/>
              <w:spacing w:line="480" w:lineRule="exact"/>
              <w:jc w:val="center"/>
              <w:outlineLvl w:val="0"/>
              <w:rPr>
                <w:rFonts w:ascii="宋体" w:hAnsi="宋体" w:cs="宋体"/>
                <w:color w:val="000000" w:themeColor="text1"/>
                <w:sz w:val="24"/>
                <w:szCs w:val="24"/>
                <w:highlight w:val="none"/>
              </w:rPr>
            </w:pPr>
          </w:p>
        </w:tc>
      </w:tr>
    </w:tbl>
    <w:p w14:paraId="06F8DDE6">
      <w:pPr>
        <w:autoSpaceDE w:val="0"/>
        <w:autoSpaceDN w:val="0"/>
        <w:adjustRightInd w:val="0"/>
        <w:spacing w:line="480" w:lineRule="exact"/>
        <w:ind w:firstLine="480" w:firstLineChars="200"/>
        <w:rPr>
          <w:rFonts w:hint="default" w:ascii="宋体" w:hAnsi="宋体" w:eastAsia="宋体" w:cs="宋体"/>
          <w:bCs/>
          <w:color w:val="000000" w:themeColor="text1"/>
          <w:sz w:val="24"/>
          <w:szCs w:val="24"/>
          <w:highlight w:val="none"/>
          <w:lang w:val="en-US" w:eastAsia="zh-CN"/>
        </w:rPr>
      </w:pPr>
      <w:r>
        <w:rPr>
          <w:rFonts w:hint="eastAsia" w:ascii="宋体" w:hAnsi="宋体" w:cs="宋体"/>
          <w:bCs/>
          <w:color w:val="000000" w:themeColor="text1"/>
          <w:sz w:val="24"/>
          <w:szCs w:val="24"/>
          <w:highlight w:val="none"/>
        </w:rPr>
        <w:t>合同履行期限：</w:t>
      </w:r>
      <w:r>
        <w:rPr>
          <w:rFonts w:hint="eastAsia" w:ascii="宋体" w:hAnsi="宋体" w:cs="宋体"/>
          <w:bCs/>
          <w:color w:val="000000" w:themeColor="text1"/>
          <w:sz w:val="24"/>
          <w:szCs w:val="24"/>
          <w:highlight w:val="none"/>
          <w:lang w:val="en-US" w:eastAsia="zh-CN"/>
        </w:rPr>
        <w:t>在合同签订后60日历天内交货并完成安装调试。</w:t>
      </w:r>
    </w:p>
    <w:p w14:paraId="6EBD618E">
      <w:pPr>
        <w:autoSpaceDE w:val="0"/>
        <w:autoSpaceDN w:val="0"/>
        <w:adjustRightInd w:val="0"/>
        <w:spacing w:line="480" w:lineRule="exact"/>
        <w:ind w:firstLine="480" w:firstLineChars="200"/>
        <w:rPr>
          <w:rFonts w:ascii="宋体" w:hAnsi="宋体" w:cs="宋体"/>
          <w:b/>
          <w:color w:val="000000" w:themeColor="text1"/>
          <w:sz w:val="24"/>
          <w:szCs w:val="24"/>
          <w:highlight w:val="none"/>
        </w:rPr>
      </w:pPr>
      <w:r>
        <w:rPr>
          <w:rFonts w:hint="eastAsia" w:ascii="宋体" w:hAnsi="宋体" w:cs="宋体"/>
          <w:bCs/>
          <w:color w:val="000000" w:themeColor="text1"/>
          <w:sz w:val="24"/>
          <w:szCs w:val="24"/>
          <w:highlight w:val="none"/>
        </w:rPr>
        <w:t>本项目（否）接受联合体投标。</w:t>
      </w:r>
    </w:p>
    <w:p w14:paraId="7DA26C75">
      <w:pPr>
        <w:autoSpaceDE w:val="0"/>
        <w:autoSpaceDN w:val="0"/>
        <w:adjustRightInd w:val="0"/>
        <w:spacing w:line="480" w:lineRule="exact"/>
        <w:rPr>
          <w:rFonts w:ascii="宋体" w:hAnsi="宋体" w:cs="宋体"/>
          <w:color w:val="000000" w:themeColor="text1"/>
          <w:sz w:val="24"/>
          <w:szCs w:val="24"/>
          <w:highlight w:val="none"/>
        </w:rPr>
      </w:pPr>
      <w:r>
        <w:rPr>
          <w:rFonts w:hint="eastAsia" w:ascii="宋体" w:hAnsi="宋体" w:cs="宋体"/>
          <w:b/>
          <w:color w:val="000000" w:themeColor="text1"/>
          <w:sz w:val="24"/>
          <w:szCs w:val="24"/>
          <w:highlight w:val="none"/>
        </w:rPr>
        <w:t>二、申请人的资格要求：</w:t>
      </w:r>
    </w:p>
    <w:p w14:paraId="64F6B462">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color w:val="000000" w:themeColor="text1"/>
          <w:sz w:val="24"/>
          <w:szCs w:val="24"/>
          <w:highlight w:val="none"/>
          <w:lang w:eastAsia="zh-CN"/>
        </w:rPr>
        <w:t>。</w:t>
      </w:r>
    </w:p>
    <w:p w14:paraId="6077809C">
      <w:pPr>
        <w:spacing w:line="360" w:lineRule="auto"/>
        <w:ind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2.落实政府采购政策需满足的资格要求：标项1：</w:t>
      </w:r>
      <w:sdt>
        <w:sdtPr>
          <w:rPr>
            <w:rFonts w:hint="eastAsia" w:ascii="宋体" w:hAnsi="宋体" w:eastAsia="宋体" w:cs="宋体"/>
            <w:color w:val="000000" w:themeColor="text1"/>
            <w:kern w:val="0"/>
            <w:sz w:val="24"/>
            <w:szCs w:val="24"/>
            <w:highlight w:val="none"/>
          </w:rPr>
          <w:id w:val="147473259"/>
        </w:sdtPr>
        <w:sdtEndPr>
          <w:rPr>
            <w:rFonts w:hint="eastAsia" w:ascii="宋体" w:hAnsi="宋体" w:eastAsia="宋体" w:cs="宋体"/>
            <w:color w:val="000000" w:themeColor="text1"/>
            <w:kern w:val="0"/>
            <w:sz w:val="24"/>
            <w:szCs w:val="24"/>
            <w:highlight w:val="none"/>
          </w:rPr>
        </w:sdtEndPr>
        <w:sdtContent>
          <w:r>
            <w:rPr>
              <w:rFonts w:hint="eastAsia" w:ascii="宋体" w:hAnsi="宋体" w:eastAsia="宋体" w:cs="宋体"/>
              <w:color w:val="000000" w:themeColor="text1"/>
              <w:kern w:val="0"/>
              <w:sz w:val="24"/>
              <w:szCs w:val="24"/>
              <w:highlight w:val="none"/>
            </w:rPr>
            <w:t>本项目属于专门面向中小微企业采购的项目,供应商应为中小企业/小微企业</w:t>
          </w:r>
          <w:r>
            <w:rPr>
              <w:rFonts w:hint="eastAsia" w:ascii="宋体" w:hAnsi="宋体" w:cs="宋体"/>
              <w:color w:val="000000" w:themeColor="text1"/>
              <w:kern w:val="0"/>
              <w:sz w:val="24"/>
              <w:szCs w:val="24"/>
              <w:highlight w:val="none"/>
              <w:lang w:eastAsia="zh-CN"/>
            </w:rPr>
            <w:t>。</w:t>
          </w:r>
          <w:r>
            <w:rPr>
              <w:rFonts w:hint="eastAsia" w:ascii="宋体" w:hAnsi="宋体" w:eastAsia="宋体" w:cs="宋体"/>
              <w:color w:val="000000" w:themeColor="text1"/>
              <w:kern w:val="0"/>
              <w:sz w:val="24"/>
              <w:szCs w:val="24"/>
              <w:highlight w:val="none"/>
            </w:rPr>
            <w:t xml:space="preserve"> </w:t>
          </w:r>
        </w:sdtContent>
      </w:sdt>
    </w:p>
    <w:p w14:paraId="3A9899DA">
      <w:pPr>
        <w:autoSpaceDE w:val="0"/>
        <w:autoSpaceDN w:val="0"/>
        <w:adjustRightInd w:val="0"/>
        <w:spacing w:line="360" w:lineRule="auto"/>
        <w:ind w:firstLine="480" w:firstLineChars="200"/>
        <w:rPr>
          <w:rFonts w:ascii="宋体" w:hAnsi="宋体"/>
          <w:color w:val="000000" w:themeColor="text1"/>
          <w:sz w:val="24"/>
          <w:highlight w:val="none"/>
          <w:u w:val="single"/>
        </w:rPr>
      </w:pPr>
      <w:r>
        <w:rPr>
          <w:rFonts w:hint="eastAsia" w:ascii="宋体" w:hAnsi="宋体" w:cs="宋体"/>
          <w:color w:val="000000" w:themeColor="text1"/>
          <w:sz w:val="24"/>
          <w:szCs w:val="24"/>
          <w:highlight w:val="none"/>
        </w:rPr>
        <w:t>3.本项目的特定资格要求：</w:t>
      </w:r>
      <w:bookmarkStart w:id="1" w:name="_Toc35393623"/>
      <w:bookmarkStart w:id="2" w:name="_Toc35393792"/>
      <w:r>
        <w:rPr>
          <w:rFonts w:hint="eastAsia" w:ascii="宋体" w:hAnsi="宋体" w:cs="宋体"/>
          <w:color w:val="000000" w:themeColor="text1"/>
          <w:sz w:val="24"/>
          <w:szCs w:val="24"/>
          <w:highlight w:val="none"/>
        </w:rPr>
        <w:t>无。</w:t>
      </w:r>
    </w:p>
    <w:p w14:paraId="4382045F">
      <w:pPr>
        <w:pStyle w:val="4"/>
        <w:adjustRightInd w:val="0"/>
        <w:snapToGrid w:val="0"/>
        <w:spacing w:line="480" w:lineRule="exact"/>
        <w:ind w:left="0" w:firstLine="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三、获取招标文件</w:t>
      </w:r>
      <w:bookmarkEnd w:id="1"/>
      <w:bookmarkEnd w:id="2"/>
    </w:p>
    <w:p w14:paraId="72F4DD13">
      <w:pPr>
        <w:pStyle w:val="19"/>
        <w:spacing w:before="0" w:beforeAutospacing="0" w:after="0" w:afterAutospacing="0" w:line="480" w:lineRule="exact"/>
        <w:ind w:firstLine="480" w:firstLineChars="200"/>
        <w:rPr>
          <w:rFonts w:cs="宋体"/>
          <w:bCs/>
          <w:color w:val="000000" w:themeColor="text1"/>
          <w:szCs w:val="24"/>
          <w:highlight w:val="none"/>
        </w:rPr>
      </w:pPr>
      <w:r>
        <w:rPr>
          <w:rFonts w:hint="eastAsia" w:cs="宋体"/>
          <w:bCs/>
          <w:color w:val="000000" w:themeColor="text1"/>
          <w:szCs w:val="24"/>
          <w:highlight w:val="none"/>
        </w:rPr>
        <w:t>时间：招标公告发布之日起至2024年</w:t>
      </w:r>
      <w:r>
        <w:rPr>
          <w:rFonts w:hint="eastAsia" w:cs="宋体"/>
          <w:bCs/>
          <w:color w:val="000000" w:themeColor="text1"/>
          <w:szCs w:val="24"/>
          <w:highlight w:val="none"/>
          <w:lang w:val="en-US" w:eastAsia="zh-CN"/>
        </w:rPr>
        <w:t>10</w:t>
      </w:r>
      <w:r>
        <w:rPr>
          <w:rFonts w:hint="eastAsia" w:cs="宋体"/>
          <w:bCs/>
          <w:color w:val="000000" w:themeColor="text1"/>
          <w:szCs w:val="24"/>
          <w:highlight w:val="none"/>
        </w:rPr>
        <w:t>月</w:t>
      </w:r>
      <w:r>
        <w:rPr>
          <w:rFonts w:hint="eastAsia" w:cs="宋体"/>
          <w:bCs/>
          <w:color w:val="000000" w:themeColor="text1"/>
          <w:szCs w:val="24"/>
          <w:highlight w:val="none"/>
          <w:lang w:val="en-US" w:eastAsia="zh-CN"/>
        </w:rPr>
        <w:t>22</w:t>
      </w:r>
      <w:r>
        <w:rPr>
          <w:rFonts w:hint="eastAsia" w:cs="宋体"/>
          <w:bCs/>
          <w:color w:val="000000" w:themeColor="text1"/>
          <w:szCs w:val="24"/>
          <w:highlight w:val="none"/>
        </w:rPr>
        <w:t>日，每天上午00：:00至12:00，下午12:00至23:59（北京时间，线上获取法定节假日均可，线下获取文件法定节假日除外）</w:t>
      </w:r>
    </w:p>
    <w:p w14:paraId="5BCD459F">
      <w:pPr>
        <w:pStyle w:val="19"/>
        <w:spacing w:before="0" w:beforeAutospacing="0" w:after="0" w:afterAutospacing="0" w:line="480" w:lineRule="exact"/>
        <w:ind w:firstLine="480" w:firstLineChars="200"/>
        <w:rPr>
          <w:rFonts w:cs="宋体"/>
          <w:bCs/>
          <w:color w:val="000000" w:themeColor="text1"/>
          <w:szCs w:val="24"/>
          <w:highlight w:val="none"/>
        </w:rPr>
      </w:pPr>
      <w:r>
        <w:rPr>
          <w:rFonts w:hint="eastAsia" w:cs="宋体"/>
          <w:bCs/>
          <w:color w:val="000000" w:themeColor="text1"/>
          <w:szCs w:val="24"/>
          <w:highlight w:val="none"/>
        </w:rPr>
        <w:t xml:space="preserve">地点（网址）：政采云平台线上获取 </w:t>
      </w:r>
    </w:p>
    <w:p w14:paraId="510A27A4">
      <w:pPr>
        <w:pStyle w:val="19"/>
        <w:spacing w:before="0" w:beforeAutospacing="0" w:after="0" w:afterAutospacing="0" w:line="480" w:lineRule="exact"/>
        <w:ind w:firstLine="480" w:firstLineChars="200"/>
        <w:rPr>
          <w:rFonts w:cs="宋体"/>
          <w:bCs/>
          <w:color w:val="000000" w:themeColor="text1"/>
          <w:szCs w:val="24"/>
          <w:highlight w:val="none"/>
        </w:rPr>
      </w:pPr>
      <w:r>
        <w:rPr>
          <w:rFonts w:hint="eastAsia" w:cs="宋体"/>
          <w:bCs/>
          <w:color w:val="000000" w:themeColor="text1"/>
          <w:szCs w:val="24"/>
          <w:highlight w:val="none"/>
        </w:rPr>
        <w:t xml:space="preserve">方式：供应商登录政采云平台https://www.zcygov.cn/在线申请获取采购文件（进入“项目采购”应用，在获取采购文件菜单中选择项目，申请获取采购文件） </w:t>
      </w:r>
    </w:p>
    <w:p w14:paraId="6DB21A63">
      <w:pPr>
        <w:snapToGrid w:val="0"/>
        <w:spacing w:line="480" w:lineRule="exact"/>
        <w:ind w:firstLine="480" w:firstLineChars="200"/>
        <w:rPr>
          <w:rFonts w:ascii="宋体" w:hAnsi="宋体" w:cs="宋体"/>
          <w:bCs/>
          <w:color w:val="000000" w:themeColor="text1"/>
          <w:kern w:val="0"/>
          <w:sz w:val="24"/>
          <w:szCs w:val="24"/>
          <w:highlight w:val="none"/>
        </w:rPr>
      </w:pPr>
      <w:r>
        <w:rPr>
          <w:rFonts w:hint="eastAsia" w:ascii="宋体" w:hAnsi="宋体" w:cs="宋体"/>
          <w:bCs/>
          <w:color w:val="000000" w:themeColor="text1"/>
          <w:kern w:val="0"/>
          <w:sz w:val="24"/>
          <w:szCs w:val="24"/>
          <w:highlight w:val="none"/>
        </w:rPr>
        <w:t xml:space="preserve">售价（元）：0 </w:t>
      </w:r>
      <w:bookmarkStart w:id="3" w:name="_Toc35393794"/>
      <w:bookmarkStart w:id="4" w:name="_Toc28359007"/>
      <w:bookmarkStart w:id="5" w:name="_Toc35393625"/>
      <w:bookmarkStart w:id="6" w:name="_Toc28359084"/>
    </w:p>
    <w:p w14:paraId="275E4139">
      <w:pPr>
        <w:snapToGrid w:val="0"/>
        <w:spacing w:line="480" w:lineRule="exact"/>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四、提交投标文件截止时间、开标时间和地点</w:t>
      </w:r>
    </w:p>
    <w:p w14:paraId="37E2C48C">
      <w:pPr>
        <w:spacing w:line="480" w:lineRule="exact"/>
        <w:ind w:firstLine="480" w:firstLineChars="200"/>
        <w:jc w:val="left"/>
        <w:rPr>
          <w:rFonts w:ascii="宋体" w:hAnsi="宋体" w:cs="宋体"/>
          <w:color w:val="000000" w:themeColor="text1"/>
          <w:sz w:val="24"/>
          <w:szCs w:val="24"/>
          <w:highlight w:val="none"/>
          <w:lang w:val="zh-CN"/>
        </w:rPr>
      </w:pPr>
      <w:r>
        <w:rPr>
          <w:rFonts w:hint="eastAsia" w:ascii="宋体" w:hAnsi="宋体" w:cs="宋体"/>
          <w:color w:val="000000" w:themeColor="text1"/>
          <w:sz w:val="24"/>
          <w:szCs w:val="24"/>
          <w:highlight w:val="none"/>
          <w:lang w:val="zh-CN"/>
        </w:rPr>
        <w:t>提交投标文件截止时间：202</w:t>
      </w:r>
      <w:r>
        <w:rPr>
          <w:rFonts w:hint="eastAsia" w:ascii="宋体" w:hAnsi="宋体" w:cs="宋体"/>
          <w:color w:val="000000" w:themeColor="text1"/>
          <w:sz w:val="24"/>
          <w:szCs w:val="24"/>
          <w:highlight w:val="none"/>
        </w:rPr>
        <w:t>4</w:t>
      </w:r>
      <w:r>
        <w:rPr>
          <w:rFonts w:hint="eastAsia" w:ascii="宋体" w:hAnsi="宋体" w:cs="宋体"/>
          <w:color w:val="000000" w:themeColor="text1"/>
          <w:sz w:val="24"/>
          <w:szCs w:val="24"/>
          <w:highlight w:val="none"/>
          <w:lang w:val="zh-CN"/>
        </w:rPr>
        <w:t>年</w:t>
      </w:r>
      <w:r>
        <w:rPr>
          <w:rFonts w:hint="eastAsia" w:ascii="宋体" w:hAnsi="宋体" w:cs="宋体"/>
          <w:color w:val="000000" w:themeColor="text1"/>
          <w:sz w:val="24"/>
          <w:szCs w:val="24"/>
          <w:highlight w:val="none"/>
          <w:lang w:val="en-US" w:eastAsia="zh-CN"/>
        </w:rPr>
        <w:t>10</w:t>
      </w:r>
      <w:r>
        <w:rPr>
          <w:rFonts w:hint="eastAsia" w:ascii="宋体" w:hAnsi="宋体" w:cs="宋体"/>
          <w:color w:val="000000" w:themeColor="text1"/>
          <w:sz w:val="24"/>
          <w:szCs w:val="24"/>
          <w:highlight w:val="none"/>
          <w:lang w:val="zh-CN"/>
        </w:rPr>
        <w:t>月</w:t>
      </w:r>
      <w:r>
        <w:rPr>
          <w:rFonts w:hint="eastAsia" w:ascii="宋体" w:hAnsi="宋体" w:cs="宋体"/>
          <w:color w:val="000000" w:themeColor="text1"/>
          <w:sz w:val="24"/>
          <w:szCs w:val="24"/>
          <w:highlight w:val="none"/>
          <w:lang w:val="en-US" w:eastAsia="zh-CN"/>
        </w:rPr>
        <w:t>22</w:t>
      </w:r>
      <w:r>
        <w:rPr>
          <w:rFonts w:hint="eastAsia" w:ascii="宋体" w:hAnsi="宋体" w:cs="宋体"/>
          <w:color w:val="000000" w:themeColor="text1"/>
          <w:sz w:val="24"/>
          <w:szCs w:val="24"/>
          <w:highlight w:val="none"/>
          <w:lang w:val="zh-CN"/>
        </w:rPr>
        <w:t>日</w:t>
      </w:r>
      <w:r>
        <w:rPr>
          <w:rFonts w:hint="eastAsia" w:ascii="宋体" w:hAnsi="宋体" w:cs="宋体"/>
          <w:color w:val="000000" w:themeColor="text1"/>
          <w:sz w:val="24"/>
          <w:szCs w:val="24"/>
          <w:highlight w:val="none"/>
          <w:lang w:val="en-US" w:eastAsia="zh-CN"/>
        </w:rPr>
        <w:t>09</w:t>
      </w:r>
      <w:r>
        <w:rPr>
          <w:rFonts w:hint="eastAsia" w:ascii="宋体" w:hAnsi="宋体" w:cs="宋体"/>
          <w:color w:val="000000" w:themeColor="text1"/>
          <w:sz w:val="24"/>
          <w:szCs w:val="24"/>
          <w:highlight w:val="none"/>
          <w:lang w:val="zh-CN"/>
        </w:rPr>
        <w:t>:</w:t>
      </w:r>
      <w:r>
        <w:rPr>
          <w:rFonts w:hint="eastAsia" w:ascii="宋体" w:hAnsi="宋体" w:cs="宋体"/>
          <w:color w:val="000000" w:themeColor="text1"/>
          <w:sz w:val="24"/>
          <w:szCs w:val="24"/>
          <w:highlight w:val="none"/>
          <w:lang w:val="en-US" w:eastAsia="zh-CN"/>
        </w:rPr>
        <w:t>30</w:t>
      </w:r>
      <w:r>
        <w:rPr>
          <w:rFonts w:hint="eastAsia" w:ascii="宋体" w:hAnsi="宋体" w:cs="宋体"/>
          <w:color w:val="000000" w:themeColor="text1"/>
          <w:sz w:val="24"/>
          <w:szCs w:val="24"/>
          <w:highlight w:val="none"/>
        </w:rPr>
        <w:t>:00</w:t>
      </w:r>
      <w:r>
        <w:rPr>
          <w:rFonts w:hint="eastAsia" w:ascii="宋体" w:hAnsi="宋体" w:cs="宋体"/>
          <w:color w:val="000000" w:themeColor="text1"/>
          <w:sz w:val="24"/>
          <w:szCs w:val="24"/>
          <w:highlight w:val="none"/>
          <w:lang w:val="zh-CN"/>
        </w:rPr>
        <w:t>（北京时间）</w:t>
      </w:r>
    </w:p>
    <w:p w14:paraId="2153ED08">
      <w:pPr>
        <w:spacing w:line="480" w:lineRule="exact"/>
        <w:ind w:firstLine="480" w:firstLineChars="200"/>
        <w:jc w:val="left"/>
        <w:rPr>
          <w:rFonts w:hint="eastAsia" w:ascii="宋体" w:hAnsi="宋体" w:cs="宋体"/>
          <w:b w:val="0"/>
          <w:bCs w:val="0"/>
          <w:color w:val="000000" w:themeColor="text1"/>
          <w:sz w:val="24"/>
          <w:szCs w:val="24"/>
          <w:highlight w:val="none"/>
          <w:lang w:val="zh-CN"/>
        </w:rPr>
      </w:pPr>
      <w:r>
        <w:rPr>
          <w:rFonts w:hint="eastAsia" w:ascii="宋体" w:hAnsi="宋体" w:cs="宋体"/>
          <w:color w:val="000000" w:themeColor="text1"/>
          <w:sz w:val="24"/>
          <w:szCs w:val="24"/>
          <w:highlight w:val="none"/>
          <w:lang w:val="zh-CN"/>
        </w:rPr>
        <w:t>投标地点（网址）：</w:t>
      </w:r>
      <w:r>
        <w:rPr>
          <w:rFonts w:hint="eastAsia" w:ascii="宋体" w:hAnsi="宋体" w:cs="宋体"/>
          <w:b w:val="0"/>
          <w:bCs w:val="0"/>
          <w:color w:val="000000" w:themeColor="text1"/>
          <w:sz w:val="24"/>
          <w:szCs w:val="24"/>
          <w:highlight w:val="none"/>
          <w:lang w:val="zh-CN"/>
        </w:rPr>
        <w:t>请登录政采云投标客户端投标</w:t>
      </w:r>
    </w:p>
    <w:p w14:paraId="3F6F1A3E">
      <w:pPr>
        <w:spacing w:line="480" w:lineRule="exact"/>
        <w:ind w:firstLine="480" w:firstLineChars="200"/>
        <w:jc w:val="left"/>
        <w:rPr>
          <w:rFonts w:ascii="宋体" w:hAnsi="宋体" w:cs="宋体"/>
          <w:color w:val="000000" w:themeColor="text1"/>
          <w:sz w:val="24"/>
          <w:szCs w:val="24"/>
          <w:highlight w:val="none"/>
          <w:lang w:val="zh-CN"/>
        </w:rPr>
      </w:pPr>
      <w:r>
        <w:rPr>
          <w:rFonts w:hint="eastAsia" w:ascii="宋体" w:hAnsi="宋体" w:cs="宋体"/>
          <w:color w:val="000000" w:themeColor="text1"/>
          <w:sz w:val="24"/>
          <w:szCs w:val="24"/>
          <w:highlight w:val="none"/>
          <w:lang w:val="zh-CN"/>
        </w:rPr>
        <w:t>开标时间：202</w:t>
      </w:r>
      <w:r>
        <w:rPr>
          <w:rFonts w:hint="eastAsia" w:ascii="宋体" w:hAnsi="宋体" w:cs="宋体"/>
          <w:color w:val="000000" w:themeColor="text1"/>
          <w:sz w:val="24"/>
          <w:szCs w:val="24"/>
          <w:highlight w:val="none"/>
        </w:rPr>
        <w:t>4</w:t>
      </w:r>
      <w:r>
        <w:rPr>
          <w:rFonts w:hint="eastAsia" w:ascii="宋体" w:hAnsi="宋体" w:cs="宋体"/>
          <w:color w:val="000000" w:themeColor="text1"/>
          <w:sz w:val="24"/>
          <w:szCs w:val="24"/>
          <w:highlight w:val="none"/>
          <w:lang w:val="zh-CN"/>
        </w:rPr>
        <w:t>年</w:t>
      </w:r>
      <w:r>
        <w:rPr>
          <w:rFonts w:hint="eastAsia" w:ascii="宋体" w:hAnsi="宋体" w:cs="宋体"/>
          <w:color w:val="000000" w:themeColor="text1"/>
          <w:sz w:val="24"/>
          <w:szCs w:val="24"/>
          <w:highlight w:val="none"/>
          <w:lang w:val="en-US" w:eastAsia="zh-CN"/>
        </w:rPr>
        <w:t>10</w:t>
      </w:r>
      <w:r>
        <w:rPr>
          <w:rFonts w:hint="eastAsia" w:ascii="宋体" w:hAnsi="宋体" w:cs="宋体"/>
          <w:color w:val="000000" w:themeColor="text1"/>
          <w:sz w:val="24"/>
          <w:szCs w:val="24"/>
          <w:highlight w:val="none"/>
          <w:lang w:val="zh-CN"/>
        </w:rPr>
        <w:t>月</w:t>
      </w:r>
      <w:r>
        <w:rPr>
          <w:rFonts w:hint="eastAsia" w:ascii="宋体" w:hAnsi="宋体" w:cs="宋体"/>
          <w:color w:val="000000" w:themeColor="text1"/>
          <w:sz w:val="24"/>
          <w:szCs w:val="24"/>
          <w:highlight w:val="none"/>
          <w:lang w:val="en-US" w:eastAsia="zh-CN"/>
        </w:rPr>
        <w:t>22</w:t>
      </w:r>
      <w:r>
        <w:rPr>
          <w:rFonts w:hint="eastAsia" w:ascii="宋体" w:hAnsi="宋体" w:cs="宋体"/>
          <w:color w:val="000000" w:themeColor="text1"/>
          <w:sz w:val="24"/>
          <w:szCs w:val="24"/>
          <w:highlight w:val="none"/>
          <w:lang w:val="zh-CN"/>
        </w:rPr>
        <w:t>日</w:t>
      </w:r>
      <w:r>
        <w:rPr>
          <w:rFonts w:hint="eastAsia" w:ascii="宋体" w:hAnsi="宋体" w:cs="宋体"/>
          <w:color w:val="000000" w:themeColor="text1"/>
          <w:sz w:val="24"/>
          <w:szCs w:val="24"/>
          <w:highlight w:val="none"/>
          <w:lang w:val="en-US" w:eastAsia="zh-CN"/>
        </w:rPr>
        <w:t>09</w:t>
      </w:r>
      <w:r>
        <w:rPr>
          <w:rFonts w:hint="eastAsia" w:ascii="宋体" w:hAnsi="宋体" w:cs="宋体"/>
          <w:color w:val="000000" w:themeColor="text1"/>
          <w:sz w:val="24"/>
          <w:szCs w:val="24"/>
          <w:highlight w:val="none"/>
          <w:lang w:val="zh-CN"/>
        </w:rPr>
        <w:t>:</w:t>
      </w:r>
      <w:r>
        <w:rPr>
          <w:rFonts w:hint="eastAsia" w:ascii="宋体" w:hAnsi="宋体" w:cs="宋体"/>
          <w:color w:val="000000" w:themeColor="text1"/>
          <w:sz w:val="24"/>
          <w:szCs w:val="24"/>
          <w:highlight w:val="none"/>
          <w:lang w:val="en-US" w:eastAsia="zh-CN"/>
        </w:rPr>
        <w:t>30</w:t>
      </w:r>
      <w:r>
        <w:rPr>
          <w:rFonts w:hint="eastAsia" w:ascii="宋体" w:hAnsi="宋体" w:cs="宋体"/>
          <w:color w:val="000000" w:themeColor="text1"/>
          <w:sz w:val="24"/>
          <w:szCs w:val="24"/>
          <w:highlight w:val="none"/>
        </w:rPr>
        <w:t>:00</w:t>
      </w:r>
      <w:r>
        <w:rPr>
          <w:rFonts w:hint="eastAsia" w:ascii="宋体" w:hAnsi="宋体" w:cs="宋体"/>
          <w:color w:val="000000" w:themeColor="text1"/>
          <w:sz w:val="24"/>
          <w:szCs w:val="24"/>
          <w:highlight w:val="none"/>
          <w:lang w:val="zh-CN"/>
        </w:rPr>
        <w:t xml:space="preserve">（北京时间） </w:t>
      </w:r>
    </w:p>
    <w:p w14:paraId="6B7CCA32">
      <w:pPr>
        <w:spacing w:line="480" w:lineRule="exact"/>
        <w:ind w:firstLine="480" w:firstLineChars="200"/>
        <w:jc w:val="left"/>
        <w:rPr>
          <w:rFonts w:ascii="宋体" w:hAnsi="宋体" w:cs="宋体"/>
          <w:color w:val="000000" w:themeColor="text1"/>
          <w:sz w:val="24"/>
          <w:szCs w:val="24"/>
          <w:highlight w:val="none"/>
          <w:lang w:val="zh-CN"/>
        </w:rPr>
      </w:pPr>
      <w:r>
        <w:rPr>
          <w:rFonts w:hint="eastAsia" w:ascii="宋体" w:hAnsi="宋体" w:cs="宋体"/>
          <w:color w:val="000000" w:themeColor="text1"/>
          <w:sz w:val="24"/>
          <w:szCs w:val="24"/>
          <w:highlight w:val="none"/>
          <w:lang w:val="zh-CN"/>
        </w:rPr>
        <w:t>开标地点（网址）：</w:t>
      </w:r>
      <w:r>
        <w:rPr>
          <w:rFonts w:hint="eastAsia" w:ascii="宋体" w:hAnsi="宋体" w:cs="宋体"/>
          <w:color w:val="000000" w:themeColor="text1"/>
          <w:sz w:val="24"/>
          <w:szCs w:val="24"/>
          <w:highlight w:val="none"/>
        </w:rPr>
        <w:t xml:space="preserve">衢州智造新城公共资源交易中心（世纪大道767号）九楼开标厅；同步在“政采云远程开标大厅”在线开标。 </w:t>
      </w:r>
    </w:p>
    <w:p w14:paraId="0AA50064">
      <w:pPr>
        <w:snapToGrid w:val="0"/>
        <w:spacing w:line="480" w:lineRule="exact"/>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五、公告期限</w:t>
      </w:r>
      <w:bookmarkEnd w:id="3"/>
      <w:bookmarkEnd w:id="4"/>
      <w:bookmarkEnd w:id="5"/>
      <w:bookmarkEnd w:id="6"/>
    </w:p>
    <w:p w14:paraId="456116FB">
      <w:pPr>
        <w:pStyle w:val="19"/>
        <w:spacing w:before="0" w:beforeAutospacing="0" w:after="0" w:afterAutospacing="0" w:line="480" w:lineRule="exact"/>
        <w:ind w:firstLine="480" w:firstLineChars="200"/>
        <w:rPr>
          <w:rFonts w:cs="宋体"/>
          <w:bCs/>
          <w:color w:val="000000" w:themeColor="text1"/>
          <w:szCs w:val="24"/>
          <w:highlight w:val="none"/>
        </w:rPr>
      </w:pPr>
      <w:r>
        <w:rPr>
          <w:rFonts w:hint="eastAsia" w:cs="宋体"/>
          <w:bCs/>
          <w:color w:val="000000" w:themeColor="text1"/>
          <w:szCs w:val="24"/>
          <w:highlight w:val="none"/>
        </w:rPr>
        <w:t>自本公告发布之日起5个工作日。</w:t>
      </w:r>
    </w:p>
    <w:p w14:paraId="374D1C0D">
      <w:pPr>
        <w:snapToGrid w:val="0"/>
        <w:spacing w:line="480" w:lineRule="exact"/>
        <w:rPr>
          <w:rFonts w:ascii="宋体" w:hAnsi="宋体" w:cs="宋体"/>
          <w:b/>
          <w:bCs/>
          <w:color w:val="000000" w:themeColor="text1"/>
          <w:sz w:val="24"/>
          <w:szCs w:val="24"/>
          <w:highlight w:val="none"/>
        </w:rPr>
      </w:pPr>
      <w:bookmarkStart w:id="7" w:name="_Toc28359082"/>
      <w:bookmarkStart w:id="8" w:name="_Toc35393793"/>
      <w:bookmarkStart w:id="9" w:name="_Toc28359005"/>
      <w:bookmarkStart w:id="10" w:name="_Toc35393624"/>
      <w:r>
        <w:rPr>
          <w:rFonts w:hint="eastAsia" w:ascii="宋体" w:hAnsi="宋体" w:cs="宋体"/>
          <w:b/>
          <w:bCs/>
          <w:color w:val="000000" w:themeColor="text1"/>
          <w:sz w:val="24"/>
          <w:szCs w:val="24"/>
          <w:highlight w:val="none"/>
        </w:rPr>
        <w:t>六、</w:t>
      </w:r>
      <w:bookmarkEnd w:id="7"/>
      <w:bookmarkEnd w:id="8"/>
      <w:bookmarkEnd w:id="9"/>
      <w:bookmarkEnd w:id="10"/>
      <w:r>
        <w:rPr>
          <w:rFonts w:hint="eastAsia" w:ascii="宋体" w:hAnsi="宋体" w:cs="宋体"/>
          <w:b/>
          <w:bCs/>
          <w:color w:val="000000" w:themeColor="text1"/>
          <w:sz w:val="24"/>
          <w:szCs w:val="24"/>
          <w:highlight w:val="none"/>
        </w:rPr>
        <w:t>其他补充事宜</w:t>
      </w:r>
    </w:p>
    <w:p w14:paraId="37762E77">
      <w:pPr>
        <w:autoSpaceDE w:val="0"/>
        <w:autoSpaceDN w:val="0"/>
        <w:adjustRightInd w:val="0"/>
        <w:spacing w:line="48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E391DFB">
      <w:pPr>
        <w:autoSpaceDE w:val="0"/>
        <w:autoSpaceDN w:val="0"/>
        <w:adjustRightInd w:val="0"/>
        <w:spacing w:line="48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920F4F">
      <w:pPr>
        <w:autoSpaceDE w:val="0"/>
        <w:autoSpaceDN w:val="0"/>
        <w:adjustRightInd w:val="0"/>
        <w:spacing w:line="48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CC4E18">
      <w:pPr>
        <w:pStyle w:val="4"/>
        <w:adjustRightInd w:val="0"/>
        <w:snapToGrid w:val="0"/>
        <w:spacing w:line="480" w:lineRule="exact"/>
        <w:ind w:left="0" w:firstLine="0"/>
        <w:rPr>
          <w:rFonts w:ascii="宋体" w:hAnsi="宋体" w:eastAsia="宋体" w:cs="宋体"/>
          <w:bCs/>
          <w:color w:val="000000" w:themeColor="text1"/>
          <w:sz w:val="24"/>
          <w:szCs w:val="24"/>
          <w:highlight w:val="none"/>
        </w:rPr>
      </w:pPr>
      <w:bookmarkStart w:id="11" w:name="_Toc35393796"/>
      <w:bookmarkStart w:id="12" w:name="_Toc28359085"/>
      <w:bookmarkStart w:id="13" w:name="_Toc28359008"/>
      <w:bookmarkStart w:id="14" w:name="_Toc35393627"/>
      <w:r>
        <w:rPr>
          <w:rFonts w:hint="eastAsia" w:ascii="宋体" w:hAnsi="宋体" w:eastAsia="宋体" w:cs="宋体"/>
          <w:bCs/>
          <w:color w:val="000000" w:themeColor="text1"/>
          <w:sz w:val="24"/>
          <w:szCs w:val="24"/>
          <w:highlight w:val="none"/>
        </w:rPr>
        <w:t>七、对本次招标提出询问，请按以下方式联系</w:t>
      </w:r>
      <w:bookmarkEnd w:id="11"/>
      <w:bookmarkEnd w:id="12"/>
      <w:bookmarkEnd w:id="13"/>
      <w:bookmarkEnd w:id="14"/>
    </w:p>
    <w:p w14:paraId="5370D02C">
      <w:pPr>
        <w:spacing w:line="480" w:lineRule="exact"/>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　 </w:t>
      </w: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1.采购人信息</w:t>
      </w:r>
    </w:p>
    <w:p w14:paraId="67220060">
      <w:pPr>
        <w:spacing w:line="480" w:lineRule="exact"/>
        <w:ind w:firstLine="480" w:firstLineChars="200"/>
        <w:jc w:val="left"/>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名</w:t>
      </w: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称：</w:t>
      </w:r>
      <w:r>
        <w:rPr>
          <w:rFonts w:hint="eastAsia" w:ascii="宋体" w:hAnsi="宋体" w:cs="宋体"/>
          <w:color w:val="000000" w:themeColor="text1"/>
          <w:kern w:val="0"/>
          <w:sz w:val="24"/>
          <w:highlight w:val="none"/>
          <w:lang w:eastAsia="zh-CN"/>
        </w:rPr>
        <w:t>衢州智造新城管理委员会</w:t>
      </w:r>
    </w:p>
    <w:p w14:paraId="66202BB7">
      <w:pPr>
        <w:spacing w:line="480" w:lineRule="exact"/>
        <w:ind w:firstLine="480" w:firstLineChars="200"/>
        <w:jc w:val="left"/>
        <w:rPr>
          <w:rFonts w:hint="eastAsia" w:ascii="宋体" w:hAnsi="宋体" w:cs="宋体"/>
          <w:color w:val="000000" w:themeColor="text1"/>
          <w:sz w:val="24"/>
          <w:szCs w:val="24"/>
          <w:highlight w:val="none"/>
        </w:rPr>
      </w:pPr>
      <w:r>
        <w:rPr>
          <w:rFonts w:hint="eastAsia" w:ascii="宋体" w:hAnsi="宋体" w:cs="宋体"/>
          <w:color w:val="000000" w:themeColor="text1"/>
          <w:sz w:val="24"/>
          <w:szCs w:val="24"/>
          <w:highlight w:val="none"/>
        </w:rPr>
        <w:t>地</w:t>
      </w: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址：衢州市世纪大道767号</w:t>
      </w:r>
    </w:p>
    <w:p w14:paraId="4C1B9590">
      <w:pPr>
        <w:spacing w:line="480" w:lineRule="exact"/>
        <w:ind w:firstLine="480" w:firstLineChars="200"/>
        <w:jc w:val="left"/>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项目</w:t>
      </w:r>
      <w:r>
        <w:rPr>
          <w:rFonts w:hint="eastAsia" w:ascii="宋体" w:hAnsi="宋体" w:eastAsia="宋体" w:cs="宋体"/>
          <w:color w:val="000000" w:themeColor="text1"/>
          <w:sz w:val="24"/>
          <w:szCs w:val="24"/>
          <w:highlight w:val="none"/>
          <w:lang w:eastAsia="zh-CN"/>
        </w:rPr>
        <w:t>联系人：</w:t>
      </w:r>
      <w:r>
        <w:rPr>
          <w:rFonts w:hint="eastAsia" w:ascii="宋体" w:hAnsi="宋体" w:cs="宋体"/>
          <w:color w:val="000000" w:themeColor="text1"/>
          <w:sz w:val="24"/>
          <w:szCs w:val="24"/>
          <w:highlight w:val="none"/>
          <w:lang w:val="en-US" w:eastAsia="zh-CN"/>
        </w:rPr>
        <w:t>张女士</w:t>
      </w:r>
    </w:p>
    <w:p w14:paraId="0E75E5A1">
      <w:pPr>
        <w:spacing w:line="480" w:lineRule="exact"/>
        <w:ind w:firstLine="480" w:firstLineChars="200"/>
        <w:jc w:val="left"/>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项目</w:t>
      </w:r>
      <w:r>
        <w:rPr>
          <w:rFonts w:hint="eastAsia" w:ascii="宋体" w:hAnsi="宋体" w:eastAsia="宋体" w:cs="宋体"/>
          <w:color w:val="000000" w:themeColor="text1"/>
          <w:sz w:val="24"/>
          <w:szCs w:val="24"/>
          <w:highlight w:val="none"/>
        </w:rPr>
        <w:t>联系方式：</w:t>
      </w:r>
      <w:bookmarkStart w:id="15" w:name="_Toc28359086"/>
      <w:bookmarkStart w:id="16" w:name="_Toc28359009"/>
      <w:r>
        <w:rPr>
          <w:rFonts w:hint="eastAsia" w:ascii="宋体" w:hAnsi="宋体" w:eastAsia="宋体" w:cs="宋体"/>
          <w:color w:val="000000" w:themeColor="text1"/>
          <w:sz w:val="24"/>
          <w:szCs w:val="24"/>
          <w:highlight w:val="none"/>
        </w:rPr>
        <w:t>0570-8767985</w:t>
      </w:r>
    </w:p>
    <w:p w14:paraId="49C10522">
      <w:pPr>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2.采购代理机构信息</w:t>
      </w:r>
      <w:bookmarkEnd w:id="15"/>
      <w:bookmarkEnd w:id="16"/>
    </w:p>
    <w:p w14:paraId="26A3CD4A">
      <w:pPr>
        <w:widowControl/>
        <w:kinsoku/>
        <w:wordWrap/>
        <w:overflowPunct/>
        <w:topLinePunct w:val="0"/>
        <w:bidi w:val="0"/>
        <w:spacing w:line="470" w:lineRule="exact"/>
        <w:ind w:firstLine="480" w:firstLineChars="200"/>
        <w:contextualSpacing/>
        <w:textAlignment w:val="auto"/>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 xml:space="preserve">名 </w:t>
      </w: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称：</w:t>
      </w:r>
      <w:r>
        <w:rPr>
          <w:rFonts w:hint="eastAsia" w:ascii="宋体" w:hAnsi="宋体" w:cs="宋体"/>
          <w:color w:val="000000" w:themeColor="text1"/>
          <w:kern w:val="0"/>
          <w:sz w:val="24"/>
          <w:highlight w:val="none"/>
        </w:rPr>
        <w:t>浙江欣成工程咨询有限公司</w:t>
      </w:r>
    </w:p>
    <w:p w14:paraId="0C6C2940">
      <w:pPr>
        <w:spacing w:line="48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地　</w:t>
      </w: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址：衢州市柯城区荷五路761号</w:t>
      </w:r>
    </w:p>
    <w:p w14:paraId="359835AA">
      <w:pPr>
        <w:pStyle w:val="13"/>
        <w:spacing w:line="480" w:lineRule="exact"/>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项目联系人：</w:t>
      </w:r>
      <w:r>
        <w:rPr>
          <w:rFonts w:hint="eastAsia" w:hAnsi="宋体" w:cs="宋体"/>
          <w:color w:val="000000" w:themeColor="text1"/>
          <w:sz w:val="24"/>
          <w:szCs w:val="24"/>
          <w:highlight w:val="none"/>
          <w:lang w:val="en-US" w:eastAsia="zh-CN"/>
        </w:rPr>
        <w:t>余</w:t>
      </w:r>
      <w:r>
        <w:rPr>
          <w:rFonts w:hint="eastAsia" w:hAnsi="宋体" w:cs="宋体"/>
          <w:color w:val="000000" w:themeColor="text1"/>
          <w:sz w:val="24"/>
          <w:szCs w:val="24"/>
          <w:highlight w:val="none"/>
        </w:rPr>
        <w:t>女士</w:t>
      </w:r>
    </w:p>
    <w:p w14:paraId="47E61130">
      <w:pPr>
        <w:spacing w:line="48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电　</w:t>
      </w: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话：1826</w:t>
      </w:r>
      <w:r>
        <w:rPr>
          <w:rFonts w:hint="eastAsia" w:ascii="宋体" w:hAnsi="宋体" w:cs="宋体"/>
          <w:color w:val="000000" w:themeColor="text1"/>
          <w:sz w:val="24"/>
          <w:szCs w:val="24"/>
          <w:highlight w:val="none"/>
          <w:lang w:eastAsia="zh-CN"/>
        </w:rPr>
        <w:t>122</w:t>
      </w:r>
      <w:r>
        <w:rPr>
          <w:rFonts w:hint="eastAsia" w:ascii="宋体" w:hAnsi="宋体" w:cs="宋体"/>
          <w:color w:val="000000" w:themeColor="text1"/>
          <w:sz w:val="24"/>
          <w:szCs w:val="24"/>
          <w:highlight w:val="none"/>
        </w:rPr>
        <w:t>65306</w:t>
      </w:r>
    </w:p>
    <w:p w14:paraId="795F4BF6">
      <w:pPr>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3.同级政府采购监督管理部门            </w:t>
      </w:r>
    </w:p>
    <w:p w14:paraId="17072DE3">
      <w:pPr>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名    称：</w:t>
      </w:r>
      <w:r>
        <w:rPr>
          <w:rFonts w:hint="eastAsia" w:ascii="宋体" w:hAnsi="宋体" w:cs="宋体"/>
          <w:color w:val="000000" w:themeColor="text1"/>
          <w:kern w:val="0"/>
          <w:sz w:val="24"/>
          <w:highlight w:val="none"/>
        </w:rPr>
        <w:t>衢州智造新城管理委员会财政</w:t>
      </w:r>
      <w:r>
        <w:rPr>
          <w:rFonts w:hint="eastAsia" w:ascii="宋体" w:hAnsi="宋体" w:cs="宋体"/>
          <w:color w:val="000000" w:themeColor="text1"/>
          <w:kern w:val="0"/>
          <w:sz w:val="24"/>
          <w:highlight w:val="none"/>
          <w:lang w:val="en-US" w:eastAsia="zh-CN"/>
        </w:rPr>
        <w:t>局</w:t>
      </w:r>
      <w:r>
        <w:rPr>
          <w:rFonts w:hint="eastAsia" w:ascii="宋体" w:hAnsi="宋体" w:cs="宋体"/>
          <w:color w:val="000000" w:themeColor="text1"/>
          <w:sz w:val="24"/>
          <w:szCs w:val="24"/>
          <w:highlight w:val="none"/>
        </w:rPr>
        <w:t xml:space="preserve">        </w:t>
      </w:r>
    </w:p>
    <w:p w14:paraId="49A47ABF">
      <w:pPr>
        <w:spacing w:line="480" w:lineRule="exact"/>
        <w:ind w:firstLine="480" w:firstLineChars="200"/>
        <w:jc w:val="left"/>
        <w:rPr>
          <w:rFonts w:hint="eastAsia" w:ascii="宋体" w:hAnsi="宋体" w:cs="宋体"/>
          <w:color w:val="000000" w:themeColor="text1"/>
          <w:sz w:val="24"/>
          <w:szCs w:val="24"/>
          <w:highlight w:val="none"/>
          <w:lang w:eastAsia="zh-CN"/>
        </w:rPr>
      </w:pPr>
      <w:r>
        <w:rPr>
          <w:rFonts w:hint="eastAsia" w:ascii="宋体" w:hAnsi="宋体" w:cs="宋体"/>
          <w:color w:val="000000" w:themeColor="text1"/>
          <w:sz w:val="24"/>
          <w:szCs w:val="24"/>
          <w:highlight w:val="none"/>
          <w:lang w:eastAsia="zh-CN"/>
        </w:rPr>
        <w:t>地    址：</w:t>
      </w:r>
      <w:r>
        <w:rPr>
          <w:rFonts w:hint="eastAsia" w:ascii="宋体" w:hAnsi="宋体" w:cs="宋体"/>
          <w:color w:val="000000" w:themeColor="text1"/>
          <w:kern w:val="0"/>
          <w:sz w:val="24"/>
          <w:highlight w:val="none"/>
        </w:rPr>
        <w:t xml:space="preserve">衢州市世纪大道677号五楼 </w:t>
      </w:r>
      <w:r>
        <w:rPr>
          <w:rFonts w:hint="eastAsia" w:ascii="宋体" w:hAnsi="宋体" w:cs="宋体"/>
          <w:color w:val="000000" w:themeColor="text1"/>
          <w:sz w:val="24"/>
          <w:szCs w:val="24"/>
          <w:highlight w:val="none"/>
          <w:lang w:eastAsia="zh-CN"/>
        </w:rPr>
        <w:t xml:space="preserve">      </w:t>
      </w:r>
    </w:p>
    <w:p w14:paraId="0A0AFDD5">
      <w:pPr>
        <w:spacing w:line="480" w:lineRule="exact"/>
        <w:ind w:firstLine="480" w:firstLineChars="200"/>
        <w:jc w:val="left"/>
        <w:rPr>
          <w:rFonts w:hint="eastAsia"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eastAsia="zh-CN"/>
        </w:rPr>
        <w:t>监督投诉电话：</w:t>
      </w:r>
      <w:r>
        <w:rPr>
          <w:rFonts w:hint="eastAsia" w:ascii="宋体" w:hAnsi="宋体" w:cs="宋体"/>
          <w:color w:val="000000" w:themeColor="text1"/>
          <w:kern w:val="0"/>
          <w:sz w:val="24"/>
          <w:highlight w:val="none"/>
          <w:lang w:eastAsia="zh-CN"/>
        </w:rPr>
        <w:t>0570-3851410</w:t>
      </w:r>
    </w:p>
    <w:p w14:paraId="4A80E8A2">
      <w:pPr>
        <w:widowControl/>
        <w:spacing w:line="480" w:lineRule="exact"/>
        <w:ind w:firstLine="480" w:firstLineChars="200"/>
        <w:jc w:val="left"/>
        <w:rPr>
          <w:rFonts w:ascii="宋体" w:hAnsi="宋体" w:cs="宋体"/>
          <w:color w:val="000000" w:themeColor="text1"/>
          <w:sz w:val="24"/>
          <w:szCs w:val="24"/>
          <w:highlight w:val="none"/>
        </w:rPr>
      </w:pPr>
    </w:p>
    <w:bookmarkEnd w:id="0"/>
    <w:p w14:paraId="2998F5A1">
      <w:pPr>
        <w:pStyle w:val="13"/>
        <w:pageBreakBefore/>
        <w:numPr>
          <w:ilvl w:val="0"/>
          <w:numId w:val="1"/>
        </w:numPr>
        <w:adjustRightInd w:val="0"/>
        <w:snapToGrid w:val="0"/>
        <w:spacing w:line="360" w:lineRule="auto"/>
        <w:jc w:val="center"/>
        <w:outlineLvl w:val="0"/>
        <w:rPr>
          <w:rFonts w:hAnsi="宋体"/>
          <w:b/>
          <w:color w:val="000000" w:themeColor="text1"/>
          <w:sz w:val="32"/>
          <w:szCs w:val="21"/>
          <w:highlight w:val="none"/>
        </w:rPr>
      </w:pPr>
      <w:bookmarkStart w:id="17" w:name="_Toc31506"/>
      <w:bookmarkEnd w:id="17"/>
      <w:bookmarkStart w:id="18" w:name="_Toc225840107"/>
      <w:r>
        <w:rPr>
          <w:rFonts w:hint="eastAsia" w:hAnsi="宋体"/>
          <w:b/>
          <w:color w:val="000000" w:themeColor="text1"/>
          <w:sz w:val="32"/>
          <w:szCs w:val="21"/>
          <w:highlight w:val="none"/>
        </w:rPr>
        <w:t xml:space="preserve"> 投标须知前附表及投标须知</w:t>
      </w:r>
    </w:p>
    <w:p w14:paraId="4587EC89">
      <w:pPr>
        <w:snapToGrid w:val="0"/>
        <w:spacing w:line="360" w:lineRule="auto"/>
        <w:jc w:val="left"/>
        <w:outlineLvl w:val="1"/>
        <w:rPr>
          <w:color w:val="000000" w:themeColor="text1"/>
          <w:sz w:val="24"/>
          <w:szCs w:val="24"/>
          <w:highlight w:val="none"/>
        </w:rPr>
      </w:pPr>
      <w:bookmarkStart w:id="19" w:name="_Toc359856797"/>
      <w:bookmarkStart w:id="20" w:name="_Toc356371431"/>
      <w:r>
        <w:rPr>
          <w:rFonts w:hint="eastAsia" w:ascii="宋体" w:hAnsi="宋体" w:cs="宋体"/>
          <w:b/>
          <w:color w:val="000000" w:themeColor="text1"/>
          <w:sz w:val="24"/>
          <w:szCs w:val="24"/>
          <w:highlight w:val="none"/>
        </w:rPr>
        <w:t>一、投标须知前附表</w:t>
      </w:r>
      <w:bookmarkEnd w:id="19"/>
      <w:bookmarkEnd w:id="20"/>
    </w:p>
    <w:tbl>
      <w:tblPr>
        <w:tblStyle w:val="21"/>
        <w:tblW w:w="924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0"/>
        <w:gridCol w:w="1749"/>
        <w:gridCol w:w="6713"/>
      </w:tblGrid>
      <w:tr w14:paraId="117445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2" w:hRule="atLeast"/>
          <w:tblHeader/>
          <w:jc w:val="center"/>
        </w:trPr>
        <w:tc>
          <w:tcPr>
            <w:tcW w:w="780" w:type="dxa"/>
            <w:tcBorders>
              <w:tl2br w:val="nil"/>
              <w:tr2bl w:val="nil"/>
            </w:tcBorders>
            <w:vAlign w:val="center"/>
          </w:tcPr>
          <w:p w14:paraId="42F08C00">
            <w:pPr>
              <w:spacing w:line="276"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序号</w:t>
            </w:r>
          </w:p>
        </w:tc>
        <w:tc>
          <w:tcPr>
            <w:tcW w:w="1749" w:type="dxa"/>
            <w:tcBorders>
              <w:tl2br w:val="nil"/>
              <w:tr2bl w:val="nil"/>
            </w:tcBorders>
            <w:vAlign w:val="center"/>
          </w:tcPr>
          <w:p w14:paraId="54FDE41D">
            <w:pPr>
              <w:spacing w:line="276"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名称</w:t>
            </w:r>
          </w:p>
        </w:tc>
        <w:tc>
          <w:tcPr>
            <w:tcW w:w="6713" w:type="dxa"/>
            <w:tcBorders>
              <w:tl2br w:val="nil"/>
              <w:tr2bl w:val="nil"/>
            </w:tcBorders>
            <w:vAlign w:val="center"/>
          </w:tcPr>
          <w:p w14:paraId="0663ABB7">
            <w:pPr>
              <w:spacing w:line="276" w:lineRule="auto"/>
              <w:jc w:val="center"/>
              <w:rPr>
                <w:rFonts w:ascii="宋体" w:hAnsi="宋体"/>
                <w:b/>
                <w:color w:val="000000" w:themeColor="text1"/>
                <w:sz w:val="24"/>
                <w:highlight w:val="none"/>
              </w:rPr>
            </w:pPr>
            <w:r>
              <w:rPr>
                <w:rFonts w:hint="eastAsia" w:ascii="宋体" w:hAnsi="宋体" w:cs="宋体"/>
                <w:color w:val="000000" w:themeColor="text1"/>
                <w:sz w:val="24"/>
                <w:szCs w:val="24"/>
                <w:highlight w:val="none"/>
              </w:rPr>
              <w:t>说明与要求</w:t>
            </w:r>
          </w:p>
        </w:tc>
      </w:tr>
      <w:tr w14:paraId="261FF0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2" w:hRule="atLeast"/>
          <w:jc w:val="center"/>
        </w:trPr>
        <w:tc>
          <w:tcPr>
            <w:tcW w:w="780" w:type="dxa"/>
            <w:tcBorders>
              <w:tl2br w:val="nil"/>
              <w:tr2bl w:val="nil"/>
            </w:tcBorders>
            <w:vAlign w:val="center"/>
          </w:tcPr>
          <w:p w14:paraId="49591CFA">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1</w:t>
            </w:r>
          </w:p>
        </w:tc>
        <w:tc>
          <w:tcPr>
            <w:tcW w:w="1749" w:type="dxa"/>
            <w:tcBorders>
              <w:tl2br w:val="nil"/>
              <w:tr2bl w:val="nil"/>
            </w:tcBorders>
            <w:vAlign w:val="center"/>
          </w:tcPr>
          <w:p w14:paraId="6F943455">
            <w:pPr>
              <w:autoSpaceDE w:val="0"/>
              <w:autoSpaceDN w:val="0"/>
              <w:adjustRightInd w:val="0"/>
              <w:spacing w:line="23" w:lineRule="atLeast"/>
              <w:ind w:right="-2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采购人</w:t>
            </w:r>
          </w:p>
        </w:tc>
        <w:tc>
          <w:tcPr>
            <w:tcW w:w="6713" w:type="dxa"/>
            <w:tcBorders>
              <w:tl2br w:val="nil"/>
              <w:tr2bl w:val="nil"/>
            </w:tcBorders>
            <w:vAlign w:val="center"/>
          </w:tcPr>
          <w:p w14:paraId="3F1CD3A9">
            <w:pPr>
              <w:keepNext w:val="0"/>
              <w:keepLines w:val="0"/>
              <w:pageBreakBefore w:val="0"/>
              <w:widowControl w:val="0"/>
              <w:kinsoku/>
              <w:wordWrap/>
              <w:overflowPunct/>
              <w:topLinePunct w:val="0"/>
              <w:bidi w:val="0"/>
              <w:spacing w:line="400" w:lineRule="exact"/>
              <w:jc w:val="left"/>
              <w:textAlignment w:val="auto"/>
              <w:rPr>
                <w:rFonts w:hint="eastAsia" w:ascii="宋体" w:hAnsi="宋体" w:eastAsia="宋体"/>
                <w:color w:val="000000" w:themeColor="text1"/>
                <w:sz w:val="24"/>
                <w:szCs w:val="24"/>
                <w:highlight w:val="none"/>
                <w:lang w:eastAsia="zh-CN"/>
              </w:rPr>
            </w:pPr>
            <w:r>
              <w:rPr>
                <w:rFonts w:hint="eastAsia" w:ascii="宋体" w:hAnsi="宋体" w:cs="宋体"/>
                <w:color w:val="000000" w:themeColor="text1"/>
                <w:sz w:val="24"/>
                <w:szCs w:val="24"/>
                <w:highlight w:val="none"/>
                <w:lang w:eastAsia="zh-CN"/>
              </w:rPr>
              <w:t>衢州智造新城管理委员会</w:t>
            </w:r>
          </w:p>
        </w:tc>
      </w:tr>
      <w:tr w14:paraId="4B7463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tblHeader/>
          <w:jc w:val="center"/>
        </w:trPr>
        <w:tc>
          <w:tcPr>
            <w:tcW w:w="780" w:type="dxa"/>
            <w:tcBorders>
              <w:tl2br w:val="nil"/>
              <w:tr2bl w:val="nil"/>
            </w:tcBorders>
            <w:vAlign w:val="center"/>
          </w:tcPr>
          <w:p w14:paraId="77D2EA60">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2</w:t>
            </w:r>
          </w:p>
        </w:tc>
        <w:tc>
          <w:tcPr>
            <w:tcW w:w="1749" w:type="dxa"/>
            <w:tcBorders>
              <w:tl2br w:val="nil"/>
              <w:tr2bl w:val="nil"/>
            </w:tcBorders>
            <w:vAlign w:val="center"/>
          </w:tcPr>
          <w:p w14:paraId="57778128">
            <w:pPr>
              <w:autoSpaceDE w:val="0"/>
              <w:autoSpaceDN w:val="0"/>
              <w:adjustRightInd w:val="0"/>
              <w:spacing w:line="23" w:lineRule="atLeast"/>
              <w:ind w:right="-2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项目名称</w:t>
            </w:r>
          </w:p>
        </w:tc>
        <w:tc>
          <w:tcPr>
            <w:tcW w:w="6713" w:type="dxa"/>
            <w:tcBorders>
              <w:tl2br w:val="nil"/>
              <w:tr2bl w:val="nil"/>
            </w:tcBorders>
            <w:vAlign w:val="center"/>
          </w:tcPr>
          <w:p w14:paraId="1B2F0A6C">
            <w:pPr>
              <w:keepNext w:val="0"/>
              <w:keepLines w:val="0"/>
              <w:pageBreakBefore w:val="0"/>
              <w:widowControl w:val="0"/>
              <w:kinsoku/>
              <w:wordWrap/>
              <w:overflowPunct/>
              <w:topLinePunct w:val="0"/>
              <w:bidi w:val="0"/>
              <w:spacing w:line="400" w:lineRule="exact"/>
              <w:textAlignment w:val="auto"/>
              <w:rPr>
                <w:rFonts w:hint="eastAsia" w:ascii="宋体" w:hAnsi="宋体" w:eastAsia="宋体"/>
                <w:color w:val="000000" w:themeColor="text1"/>
                <w:spacing w:val="-2"/>
                <w:kern w:val="0"/>
                <w:position w:val="-3"/>
                <w:sz w:val="24"/>
                <w:szCs w:val="24"/>
                <w:highlight w:val="none"/>
                <w:lang w:eastAsia="zh-CN"/>
              </w:rPr>
            </w:pPr>
            <w:r>
              <w:rPr>
                <w:rFonts w:hint="eastAsia" w:ascii="宋体" w:hAnsi="宋体"/>
                <w:color w:val="000000" w:themeColor="text1"/>
                <w:spacing w:val="-2"/>
                <w:kern w:val="0"/>
                <w:position w:val="-3"/>
                <w:sz w:val="24"/>
                <w:szCs w:val="24"/>
                <w:highlight w:val="none"/>
                <w:lang w:eastAsia="zh-CN"/>
              </w:rPr>
              <w:t>衢州国家高新技术产业开发区（高新片区）调蓄功能提升改造及排水管网建设工程-智造新城防涝减灾综合安全智能管控平台项目-绳索救援套装采购</w:t>
            </w:r>
          </w:p>
        </w:tc>
      </w:tr>
      <w:tr w14:paraId="7CDFC3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blHeader/>
          <w:jc w:val="center"/>
        </w:trPr>
        <w:tc>
          <w:tcPr>
            <w:tcW w:w="780" w:type="dxa"/>
            <w:tcBorders>
              <w:tl2br w:val="nil"/>
              <w:tr2bl w:val="nil"/>
            </w:tcBorders>
            <w:vAlign w:val="center"/>
          </w:tcPr>
          <w:p w14:paraId="4D954692">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3</w:t>
            </w:r>
          </w:p>
        </w:tc>
        <w:tc>
          <w:tcPr>
            <w:tcW w:w="1749" w:type="dxa"/>
            <w:tcBorders>
              <w:tl2br w:val="nil"/>
              <w:tr2bl w:val="nil"/>
            </w:tcBorders>
            <w:vAlign w:val="center"/>
          </w:tcPr>
          <w:p w14:paraId="3DBEBFCB">
            <w:pPr>
              <w:autoSpaceDE w:val="0"/>
              <w:autoSpaceDN w:val="0"/>
              <w:adjustRightInd w:val="0"/>
              <w:spacing w:line="23" w:lineRule="atLeast"/>
              <w:ind w:right="-2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采购预算</w:t>
            </w:r>
          </w:p>
        </w:tc>
        <w:tc>
          <w:tcPr>
            <w:tcW w:w="6713" w:type="dxa"/>
            <w:tcBorders>
              <w:tl2br w:val="nil"/>
              <w:tr2bl w:val="nil"/>
            </w:tcBorders>
            <w:vAlign w:val="center"/>
          </w:tcPr>
          <w:p w14:paraId="3FBA71C2">
            <w:pPr>
              <w:keepNext w:val="0"/>
              <w:keepLines w:val="0"/>
              <w:pageBreakBefore w:val="0"/>
              <w:widowControl w:val="0"/>
              <w:kinsoku/>
              <w:wordWrap/>
              <w:overflowPunct/>
              <w:topLinePunct w:val="0"/>
              <w:bidi w:val="0"/>
              <w:spacing w:line="400" w:lineRule="exact"/>
              <w:textAlignment w:val="auto"/>
              <w:rPr>
                <w:rFonts w:ascii="宋体" w:hAnsi="宋体"/>
                <w:color w:val="000000" w:themeColor="text1"/>
                <w:spacing w:val="-2"/>
                <w:kern w:val="0"/>
                <w:position w:val="-3"/>
                <w:sz w:val="24"/>
                <w:szCs w:val="24"/>
                <w:highlight w:val="none"/>
              </w:rPr>
            </w:pPr>
            <w:r>
              <w:rPr>
                <w:rFonts w:hint="eastAsia" w:ascii="宋体" w:hAnsi="宋体"/>
                <w:color w:val="000000" w:themeColor="text1"/>
                <w:spacing w:val="-2"/>
                <w:kern w:val="0"/>
                <w:position w:val="-3"/>
                <w:sz w:val="24"/>
                <w:szCs w:val="24"/>
                <w:highlight w:val="none"/>
                <w:lang w:val="en-US" w:eastAsia="zh-CN"/>
              </w:rPr>
              <w:t>122</w:t>
            </w:r>
            <w:r>
              <w:rPr>
                <w:rFonts w:hint="eastAsia" w:ascii="宋体" w:hAnsi="宋体"/>
                <w:color w:val="000000" w:themeColor="text1"/>
                <w:spacing w:val="-2"/>
                <w:kern w:val="0"/>
                <w:position w:val="-3"/>
                <w:sz w:val="24"/>
                <w:szCs w:val="24"/>
                <w:highlight w:val="none"/>
              </w:rPr>
              <w:t>万元</w:t>
            </w:r>
          </w:p>
        </w:tc>
      </w:tr>
      <w:tr w14:paraId="2B41CD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7" w:hRule="atLeast"/>
          <w:tblHeader/>
          <w:jc w:val="center"/>
        </w:trPr>
        <w:tc>
          <w:tcPr>
            <w:tcW w:w="780" w:type="dxa"/>
            <w:tcBorders>
              <w:tl2br w:val="nil"/>
              <w:tr2bl w:val="nil"/>
            </w:tcBorders>
            <w:vAlign w:val="center"/>
          </w:tcPr>
          <w:p w14:paraId="4A85795C">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4</w:t>
            </w:r>
          </w:p>
        </w:tc>
        <w:tc>
          <w:tcPr>
            <w:tcW w:w="1749" w:type="dxa"/>
            <w:tcBorders>
              <w:tl2br w:val="nil"/>
              <w:tr2bl w:val="nil"/>
            </w:tcBorders>
            <w:vAlign w:val="center"/>
          </w:tcPr>
          <w:p w14:paraId="05F97775">
            <w:pPr>
              <w:autoSpaceDE w:val="0"/>
              <w:autoSpaceDN w:val="0"/>
              <w:adjustRightInd w:val="0"/>
              <w:spacing w:line="23" w:lineRule="atLeast"/>
              <w:ind w:right="-2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投标有效期</w:t>
            </w:r>
          </w:p>
        </w:tc>
        <w:tc>
          <w:tcPr>
            <w:tcW w:w="6713" w:type="dxa"/>
            <w:tcBorders>
              <w:tl2br w:val="nil"/>
              <w:tr2bl w:val="nil"/>
            </w:tcBorders>
            <w:vAlign w:val="center"/>
          </w:tcPr>
          <w:p w14:paraId="4C11388D">
            <w:pPr>
              <w:keepNext w:val="0"/>
              <w:keepLines w:val="0"/>
              <w:pageBreakBefore w:val="0"/>
              <w:widowControl w:val="0"/>
              <w:kinsoku/>
              <w:wordWrap/>
              <w:overflowPunct/>
              <w:topLinePunct w:val="0"/>
              <w:bidi w:val="0"/>
              <w:spacing w:line="400" w:lineRule="exact"/>
              <w:textAlignment w:val="auto"/>
              <w:rPr>
                <w:rFonts w:ascii="宋体" w:hAnsi="宋体"/>
                <w:color w:val="000000" w:themeColor="text1"/>
                <w:sz w:val="24"/>
                <w:szCs w:val="24"/>
                <w:highlight w:val="none"/>
              </w:rPr>
            </w:pPr>
            <w:r>
              <w:rPr>
                <w:rFonts w:hint="eastAsia" w:ascii="宋体" w:hAnsi="宋体" w:cs="宋体"/>
                <w:color w:val="000000" w:themeColor="text1"/>
                <w:sz w:val="24"/>
                <w:szCs w:val="24"/>
                <w:highlight w:val="none"/>
              </w:rPr>
              <w:t>投标文件递交截止之日起90天</w:t>
            </w:r>
          </w:p>
        </w:tc>
      </w:tr>
      <w:tr w14:paraId="5DB4FC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blHeader/>
          <w:jc w:val="center"/>
        </w:trPr>
        <w:tc>
          <w:tcPr>
            <w:tcW w:w="780" w:type="dxa"/>
            <w:tcBorders>
              <w:tl2br w:val="nil"/>
              <w:tr2bl w:val="nil"/>
            </w:tcBorders>
            <w:vAlign w:val="center"/>
          </w:tcPr>
          <w:p w14:paraId="3DAB50AA">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5</w:t>
            </w:r>
          </w:p>
        </w:tc>
        <w:tc>
          <w:tcPr>
            <w:tcW w:w="1749" w:type="dxa"/>
            <w:tcBorders>
              <w:tl2br w:val="nil"/>
              <w:tr2bl w:val="nil"/>
            </w:tcBorders>
            <w:vAlign w:val="center"/>
          </w:tcPr>
          <w:p w14:paraId="102138DB">
            <w:pPr>
              <w:pStyle w:val="13"/>
              <w:snapToGrid w:val="0"/>
              <w:spacing w:line="288" w:lineRule="auto"/>
              <w:jc w:val="center"/>
              <w:rPr>
                <w:rFonts w:hAnsi="宋体" w:cs="宋体"/>
                <w:color w:val="000000" w:themeColor="text1"/>
                <w:sz w:val="24"/>
                <w:highlight w:val="none"/>
              </w:rPr>
            </w:pPr>
            <w:r>
              <w:rPr>
                <w:rFonts w:hint="eastAsia" w:hAnsi="宋体" w:cs="宋体"/>
                <w:color w:val="000000" w:themeColor="text1"/>
                <w:sz w:val="24"/>
                <w:szCs w:val="24"/>
                <w:highlight w:val="none"/>
              </w:rPr>
              <w:t>是否允许分包</w:t>
            </w:r>
          </w:p>
        </w:tc>
        <w:tc>
          <w:tcPr>
            <w:tcW w:w="6713" w:type="dxa"/>
            <w:tcBorders>
              <w:tl2br w:val="nil"/>
              <w:tr2bl w:val="nil"/>
            </w:tcBorders>
            <w:vAlign w:val="center"/>
          </w:tcPr>
          <w:p w14:paraId="53708B2F">
            <w:pPr>
              <w:pStyle w:val="13"/>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不允许</w:t>
            </w:r>
          </w:p>
        </w:tc>
      </w:tr>
      <w:tr w14:paraId="32E930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jc w:val="center"/>
        </w:trPr>
        <w:tc>
          <w:tcPr>
            <w:tcW w:w="780" w:type="dxa"/>
            <w:tcBorders>
              <w:tl2br w:val="nil"/>
              <w:tr2bl w:val="nil"/>
            </w:tcBorders>
            <w:vAlign w:val="center"/>
          </w:tcPr>
          <w:p w14:paraId="30A7CDDA">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6</w:t>
            </w:r>
          </w:p>
        </w:tc>
        <w:tc>
          <w:tcPr>
            <w:tcW w:w="1749" w:type="dxa"/>
            <w:tcBorders>
              <w:tl2br w:val="nil"/>
              <w:tr2bl w:val="nil"/>
            </w:tcBorders>
            <w:vAlign w:val="center"/>
          </w:tcPr>
          <w:p w14:paraId="2CEA7481">
            <w:pPr>
              <w:spacing w:line="23" w:lineRule="atLeas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投标文件递交截止时间及开标时间</w:t>
            </w:r>
          </w:p>
        </w:tc>
        <w:tc>
          <w:tcPr>
            <w:tcW w:w="6713" w:type="dxa"/>
            <w:tcBorders>
              <w:tl2br w:val="nil"/>
              <w:tr2bl w:val="nil"/>
            </w:tcBorders>
            <w:vAlign w:val="center"/>
          </w:tcPr>
          <w:p w14:paraId="712A9E8D">
            <w:pPr>
              <w:keepNext w:val="0"/>
              <w:keepLines w:val="0"/>
              <w:pageBreakBefore w:val="0"/>
              <w:widowControl w:val="0"/>
              <w:kinsoku/>
              <w:wordWrap/>
              <w:overflowPunct/>
              <w:topLinePunct w:val="0"/>
              <w:bidi w:val="0"/>
              <w:spacing w:line="400" w:lineRule="exact"/>
              <w:textAlignment w:val="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2024年</w:t>
            </w:r>
            <w:r>
              <w:rPr>
                <w:rFonts w:hint="eastAsia" w:ascii="宋体" w:hAnsi="宋体" w:cs="宋体"/>
                <w:color w:val="000000" w:themeColor="text1"/>
                <w:sz w:val="24"/>
                <w:szCs w:val="24"/>
                <w:highlight w:val="none"/>
                <w:lang w:val="en-US" w:eastAsia="zh-CN"/>
              </w:rPr>
              <w:t>10</w:t>
            </w:r>
            <w:r>
              <w:rPr>
                <w:rFonts w:hint="eastAsia" w:ascii="宋体" w:hAnsi="宋体" w:cs="宋体"/>
                <w:color w:val="000000" w:themeColor="text1"/>
                <w:sz w:val="24"/>
                <w:szCs w:val="24"/>
                <w:highlight w:val="none"/>
              </w:rPr>
              <w:t>月</w:t>
            </w:r>
            <w:r>
              <w:rPr>
                <w:rFonts w:hint="eastAsia" w:ascii="宋体" w:hAnsi="宋体" w:cs="宋体"/>
                <w:color w:val="000000" w:themeColor="text1"/>
                <w:sz w:val="24"/>
                <w:szCs w:val="24"/>
                <w:highlight w:val="none"/>
                <w:lang w:val="en-US" w:eastAsia="zh-CN"/>
              </w:rPr>
              <w:t>22</w:t>
            </w:r>
            <w:r>
              <w:rPr>
                <w:rFonts w:hint="eastAsia" w:ascii="宋体" w:hAnsi="宋体" w:cs="宋体"/>
                <w:color w:val="000000" w:themeColor="text1"/>
                <w:sz w:val="24"/>
                <w:szCs w:val="24"/>
                <w:highlight w:val="none"/>
              </w:rPr>
              <w:t>日</w:t>
            </w:r>
            <w:r>
              <w:rPr>
                <w:rFonts w:hint="eastAsia" w:ascii="宋体" w:hAnsi="宋体" w:cs="宋体"/>
                <w:color w:val="000000" w:themeColor="text1"/>
                <w:sz w:val="24"/>
                <w:szCs w:val="24"/>
                <w:highlight w:val="none"/>
                <w:lang w:val="en-US" w:eastAsia="zh-CN"/>
              </w:rPr>
              <w:t>09</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30</w:t>
            </w:r>
            <w:r>
              <w:rPr>
                <w:rFonts w:hint="eastAsia" w:ascii="宋体" w:hAnsi="宋体" w:cs="宋体"/>
                <w:color w:val="000000" w:themeColor="text1"/>
                <w:sz w:val="24"/>
                <w:szCs w:val="24"/>
                <w:highlight w:val="none"/>
              </w:rPr>
              <w:t>:00（北京时间）</w:t>
            </w:r>
          </w:p>
        </w:tc>
      </w:tr>
      <w:tr w14:paraId="6CCA82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57F3F2D1">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7</w:t>
            </w:r>
          </w:p>
        </w:tc>
        <w:tc>
          <w:tcPr>
            <w:tcW w:w="1749" w:type="dxa"/>
            <w:tcBorders>
              <w:tl2br w:val="nil"/>
              <w:tr2bl w:val="nil"/>
            </w:tcBorders>
            <w:vAlign w:val="center"/>
          </w:tcPr>
          <w:p w14:paraId="64EBEE90">
            <w:pPr>
              <w:autoSpaceDE w:val="0"/>
              <w:autoSpaceDN w:val="0"/>
              <w:adjustRightInd w:val="0"/>
              <w:spacing w:line="23" w:lineRule="atLeast"/>
              <w:ind w:right="-2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投标文件的组成和编制</w:t>
            </w:r>
          </w:p>
        </w:tc>
        <w:tc>
          <w:tcPr>
            <w:tcW w:w="6713" w:type="dxa"/>
            <w:tcBorders>
              <w:tl2br w:val="nil"/>
              <w:tr2bl w:val="nil"/>
            </w:tcBorders>
            <w:vAlign w:val="center"/>
          </w:tcPr>
          <w:p w14:paraId="4AB3E573">
            <w:pPr>
              <w:keepNext w:val="0"/>
              <w:keepLines w:val="0"/>
              <w:pageBreakBefore w:val="0"/>
              <w:widowControl w:val="0"/>
              <w:kinsoku/>
              <w:wordWrap/>
              <w:overflowPunct/>
              <w:topLinePunct w:val="0"/>
              <w:autoSpaceDE w:val="0"/>
              <w:autoSpaceDN w:val="0"/>
              <w:bidi w:val="0"/>
              <w:adjustRightInd w:val="0"/>
              <w:spacing w:line="400" w:lineRule="exact"/>
              <w:ind w:right="-20"/>
              <w:textAlignment w:val="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本项目完整的《投标文件》由“资格审查文件”、“商务技术文件”和“报价文件”三个部分组成。</w:t>
            </w:r>
          </w:p>
          <w:p w14:paraId="283A2511">
            <w:pPr>
              <w:keepNext w:val="0"/>
              <w:keepLines w:val="0"/>
              <w:pageBreakBefore w:val="0"/>
              <w:widowControl w:val="0"/>
              <w:kinsoku/>
              <w:wordWrap/>
              <w:overflowPunct/>
              <w:topLinePunct w:val="0"/>
              <w:autoSpaceDE w:val="0"/>
              <w:autoSpaceDN w:val="0"/>
              <w:bidi w:val="0"/>
              <w:adjustRightInd w:val="0"/>
              <w:spacing w:line="400" w:lineRule="exact"/>
              <w:ind w:right="-20"/>
              <w:textAlignment w:val="auto"/>
              <w:rPr>
                <w:rFonts w:ascii="宋体" w:hAnsi="宋体"/>
                <w:color w:val="000000" w:themeColor="text1"/>
                <w:sz w:val="24"/>
                <w:szCs w:val="24"/>
                <w:highlight w:val="none"/>
              </w:rPr>
            </w:pPr>
            <w:r>
              <w:rPr>
                <w:rFonts w:hint="eastAsia" w:ascii="宋体" w:hAnsi="宋体" w:cs="宋体"/>
                <w:color w:val="000000" w:themeColor="text1"/>
                <w:sz w:val="24"/>
                <w:szCs w:val="24"/>
                <w:highlight w:val="none"/>
              </w:rPr>
              <w:t>投标人应先安装“政采云电子交易客户端”，并按照本招标文件和“政府采购云平台”的要求，通过“政采云电子交易客户端”编制并加密投标文件。</w:t>
            </w:r>
          </w:p>
        </w:tc>
      </w:tr>
      <w:tr w14:paraId="1469CE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80" w:type="dxa"/>
            <w:tcBorders>
              <w:tl2br w:val="nil"/>
              <w:tr2bl w:val="nil"/>
            </w:tcBorders>
            <w:vAlign w:val="center"/>
          </w:tcPr>
          <w:p w14:paraId="71311FF9">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8</w:t>
            </w:r>
          </w:p>
        </w:tc>
        <w:tc>
          <w:tcPr>
            <w:tcW w:w="1749" w:type="dxa"/>
            <w:tcBorders>
              <w:tl2br w:val="nil"/>
              <w:tr2bl w:val="nil"/>
            </w:tcBorders>
            <w:vAlign w:val="center"/>
          </w:tcPr>
          <w:p w14:paraId="1D1691A9">
            <w:pPr>
              <w:autoSpaceDE w:val="0"/>
              <w:autoSpaceDN w:val="0"/>
              <w:adjustRightInd w:val="0"/>
              <w:spacing w:line="23" w:lineRule="atLeast"/>
              <w:ind w:right="-20"/>
              <w:jc w:val="center"/>
              <w:rPr>
                <w:rFonts w:ascii="宋体" w:hAnsi="宋体"/>
                <w:color w:val="000000" w:themeColor="text1"/>
                <w:kern w:val="0"/>
                <w:sz w:val="24"/>
                <w:highlight w:val="none"/>
              </w:rPr>
            </w:pPr>
            <w:r>
              <w:rPr>
                <w:rFonts w:hint="eastAsia" w:ascii="宋体" w:hAnsi="宋体"/>
                <w:color w:val="000000" w:themeColor="text1"/>
                <w:kern w:val="0"/>
                <w:position w:val="-5"/>
                <w:sz w:val="24"/>
                <w:szCs w:val="22"/>
                <w:highlight w:val="none"/>
              </w:rPr>
              <w:t>投标文件的签章</w:t>
            </w:r>
          </w:p>
        </w:tc>
        <w:tc>
          <w:tcPr>
            <w:tcW w:w="6713" w:type="dxa"/>
            <w:tcBorders>
              <w:tl2br w:val="nil"/>
              <w:tr2bl w:val="nil"/>
            </w:tcBorders>
            <w:vAlign w:val="center"/>
          </w:tcPr>
          <w:p w14:paraId="2B5A703C">
            <w:pPr>
              <w:keepNext w:val="0"/>
              <w:keepLines w:val="0"/>
              <w:pageBreakBefore w:val="0"/>
              <w:widowControl w:val="0"/>
              <w:kinsoku/>
              <w:wordWrap/>
              <w:overflowPunct/>
              <w:topLinePunct w:val="0"/>
              <w:autoSpaceDE w:val="0"/>
              <w:autoSpaceDN w:val="0"/>
              <w:bidi w:val="0"/>
              <w:adjustRightInd w:val="0"/>
              <w:spacing w:line="400" w:lineRule="exact"/>
              <w:ind w:right="-23"/>
              <w:textAlignment w:val="auto"/>
              <w:rPr>
                <w:rFonts w:ascii="宋体" w:hAnsi="宋体"/>
                <w:color w:val="000000" w:themeColor="text1"/>
                <w:kern w:val="0"/>
                <w:sz w:val="24"/>
                <w:szCs w:val="24"/>
                <w:highlight w:val="none"/>
              </w:rPr>
            </w:pPr>
            <w:r>
              <w:rPr>
                <w:rFonts w:hint="eastAsia" w:ascii="宋体" w:hAnsi="宋体" w:cs="宋体"/>
                <w:color w:val="000000" w:themeColor="text1"/>
                <w:sz w:val="24"/>
                <w:szCs w:val="24"/>
                <w:highlight w:val="none"/>
              </w:rPr>
              <w:t>电子签章（公章），其中法定代表人和授权代表签字（或盖章）可书面签订（或盖章）后，扫描至电子投标文件中上传；凡投标格式文件明确有签字盖章处均应符合。</w:t>
            </w:r>
          </w:p>
        </w:tc>
      </w:tr>
      <w:tr w14:paraId="73D18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1B9589B5">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9</w:t>
            </w:r>
          </w:p>
        </w:tc>
        <w:tc>
          <w:tcPr>
            <w:tcW w:w="1749" w:type="dxa"/>
            <w:tcBorders>
              <w:tl2br w:val="nil"/>
              <w:tr2bl w:val="nil"/>
            </w:tcBorders>
            <w:vAlign w:val="center"/>
          </w:tcPr>
          <w:p w14:paraId="30B1C923">
            <w:pPr>
              <w:spacing w:line="23" w:lineRule="atLeast"/>
              <w:jc w:val="center"/>
              <w:rPr>
                <w:rFonts w:ascii="宋体" w:hAnsi="宋体"/>
                <w:color w:val="000000" w:themeColor="text1"/>
                <w:kern w:val="0"/>
                <w:position w:val="-5"/>
                <w:sz w:val="24"/>
                <w:highlight w:val="none"/>
              </w:rPr>
            </w:pPr>
            <w:r>
              <w:rPr>
                <w:rFonts w:hint="eastAsia" w:ascii="宋体" w:hAnsi="宋体"/>
                <w:color w:val="000000" w:themeColor="text1"/>
                <w:kern w:val="0"/>
                <w:position w:val="-5"/>
                <w:sz w:val="24"/>
                <w:highlight w:val="none"/>
              </w:rPr>
              <w:t>投标</w:t>
            </w:r>
            <w:r>
              <w:rPr>
                <w:rFonts w:hint="eastAsia" w:ascii="宋体" w:hAnsi="宋体"/>
                <w:color w:val="000000" w:themeColor="text1"/>
                <w:spacing w:val="-2"/>
                <w:kern w:val="0"/>
                <w:position w:val="-5"/>
                <w:sz w:val="24"/>
                <w:highlight w:val="none"/>
              </w:rPr>
              <w:t>文</w:t>
            </w:r>
            <w:r>
              <w:rPr>
                <w:rFonts w:hint="eastAsia" w:ascii="宋体" w:hAnsi="宋体"/>
                <w:color w:val="000000" w:themeColor="text1"/>
                <w:kern w:val="0"/>
                <w:position w:val="-5"/>
                <w:sz w:val="24"/>
                <w:highlight w:val="none"/>
              </w:rPr>
              <w:t>件</w:t>
            </w:r>
          </w:p>
          <w:p w14:paraId="288AEBCB">
            <w:pPr>
              <w:spacing w:line="23" w:lineRule="atLeast"/>
              <w:jc w:val="center"/>
              <w:rPr>
                <w:rFonts w:ascii="宋体" w:hAnsi="宋体"/>
                <w:color w:val="000000" w:themeColor="text1"/>
                <w:kern w:val="0"/>
                <w:position w:val="-3"/>
                <w:sz w:val="24"/>
                <w:highlight w:val="none"/>
              </w:rPr>
            </w:pPr>
            <w:r>
              <w:rPr>
                <w:rFonts w:hint="eastAsia" w:ascii="宋体" w:hAnsi="宋体"/>
                <w:color w:val="000000" w:themeColor="text1"/>
                <w:spacing w:val="-2"/>
                <w:kern w:val="0"/>
                <w:position w:val="-5"/>
                <w:sz w:val="24"/>
                <w:highlight w:val="none"/>
              </w:rPr>
              <w:t>份</w:t>
            </w:r>
            <w:r>
              <w:rPr>
                <w:rFonts w:hint="eastAsia" w:ascii="宋体" w:hAnsi="宋体"/>
                <w:color w:val="000000" w:themeColor="text1"/>
                <w:kern w:val="0"/>
                <w:position w:val="-5"/>
                <w:sz w:val="24"/>
                <w:highlight w:val="none"/>
              </w:rPr>
              <w:t>数</w:t>
            </w:r>
          </w:p>
        </w:tc>
        <w:tc>
          <w:tcPr>
            <w:tcW w:w="6713" w:type="dxa"/>
            <w:tcBorders>
              <w:tl2br w:val="nil"/>
              <w:tr2bl w:val="nil"/>
            </w:tcBorders>
            <w:vAlign w:val="center"/>
          </w:tcPr>
          <w:p w14:paraId="28CA43A2">
            <w:pPr>
              <w:keepNext w:val="0"/>
              <w:keepLines w:val="0"/>
              <w:pageBreakBefore w:val="0"/>
              <w:widowControl w:val="0"/>
              <w:kinsoku/>
              <w:wordWrap/>
              <w:overflowPunct/>
              <w:topLinePunct w:val="0"/>
              <w:autoSpaceDE w:val="0"/>
              <w:autoSpaceDN w:val="0"/>
              <w:bidi w:val="0"/>
              <w:adjustRightInd w:val="0"/>
              <w:spacing w:line="400" w:lineRule="exact"/>
              <w:ind w:right="-20"/>
              <w:jc w:val="left"/>
              <w:textAlignment w:val="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（1）☑“电子加密投标文件”：在线上传递交、一份。</w:t>
            </w:r>
          </w:p>
          <w:p w14:paraId="35B72AF4">
            <w:pPr>
              <w:keepNext w:val="0"/>
              <w:keepLines w:val="0"/>
              <w:pageBreakBefore w:val="0"/>
              <w:widowControl w:val="0"/>
              <w:kinsoku/>
              <w:wordWrap/>
              <w:overflowPunct/>
              <w:topLinePunct w:val="0"/>
              <w:autoSpaceDE w:val="0"/>
              <w:autoSpaceDN w:val="0"/>
              <w:bidi w:val="0"/>
              <w:adjustRightInd w:val="0"/>
              <w:spacing w:line="400" w:lineRule="exact"/>
              <w:ind w:right="-20"/>
              <w:jc w:val="left"/>
              <w:textAlignment w:val="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（2）☑“备份投标文件”（非强制要求）：密封包装后投标截止时间前递交一份。</w:t>
            </w:r>
          </w:p>
          <w:p w14:paraId="24F0A9BD">
            <w:pPr>
              <w:keepNext w:val="0"/>
              <w:keepLines w:val="0"/>
              <w:pageBreakBefore w:val="0"/>
              <w:widowControl w:val="0"/>
              <w:kinsoku/>
              <w:wordWrap/>
              <w:overflowPunct/>
              <w:topLinePunct w:val="0"/>
              <w:autoSpaceDE w:val="0"/>
              <w:autoSpaceDN w:val="0"/>
              <w:bidi w:val="0"/>
              <w:adjustRightInd w:val="0"/>
              <w:spacing w:line="400" w:lineRule="exact"/>
              <w:ind w:right="-20"/>
              <w:jc w:val="left"/>
              <w:textAlignment w:val="auto"/>
              <w:rPr>
                <w:color w:val="000000" w:themeColor="text1"/>
                <w:sz w:val="24"/>
                <w:szCs w:val="24"/>
                <w:highlight w:val="none"/>
              </w:rPr>
            </w:pPr>
            <w:r>
              <w:rPr>
                <w:rFonts w:hint="eastAsia" w:ascii="宋体" w:hAnsi="宋体" w:cs="宋体"/>
                <w:color w:val="000000" w:themeColor="text1"/>
                <w:sz w:val="24"/>
                <w:szCs w:val="24"/>
                <w:highlight w:val="none"/>
              </w:rPr>
              <w:t>（3）中标公告发布后，中标人应按招标人要求的份数免费提供纸质投标文件。</w:t>
            </w:r>
          </w:p>
        </w:tc>
      </w:tr>
      <w:tr w14:paraId="0DD55D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7893B324">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10</w:t>
            </w:r>
          </w:p>
        </w:tc>
        <w:tc>
          <w:tcPr>
            <w:tcW w:w="1749" w:type="dxa"/>
            <w:tcBorders>
              <w:tl2br w:val="nil"/>
              <w:tr2bl w:val="nil"/>
            </w:tcBorders>
            <w:vAlign w:val="center"/>
          </w:tcPr>
          <w:p w14:paraId="6FF70ACF">
            <w:pPr>
              <w:pStyle w:val="13"/>
              <w:snapToGrid w:val="0"/>
              <w:spacing w:line="288" w:lineRule="auto"/>
              <w:jc w:val="center"/>
              <w:rPr>
                <w:rFonts w:hAnsi="宋体" w:cs="宋体"/>
                <w:color w:val="000000" w:themeColor="text1"/>
                <w:kern w:val="0"/>
                <w:sz w:val="24"/>
                <w:highlight w:val="none"/>
              </w:rPr>
            </w:pPr>
            <w:r>
              <w:rPr>
                <w:rFonts w:hint="eastAsia" w:hAnsi="宋体" w:cs="宋体"/>
                <w:color w:val="000000" w:themeColor="text1"/>
                <w:sz w:val="24"/>
                <w:szCs w:val="24"/>
                <w:highlight w:val="none"/>
              </w:rPr>
              <w:t>备份投标文件要求</w:t>
            </w:r>
          </w:p>
        </w:tc>
        <w:tc>
          <w:tcPr>
            <w:tcW w:w="6713" w:type="dxa"/>
            <w:tcBorders>
              <w:tl2br w:val="nil"/>
              <w:tr2bl w:val="nil"/>
            </w:tcBorders>
            <w:vAlign w:val="center"/>
          </w:tcPr>
          <w:p w14:paraId="7645FFBD">
            <w:pPr>
              <w:pStyle w:val="13"/>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供应商可以（</w:t>
            </w:r>
            <w:r>
              <w:rPr>
                <w:rFonts w:hint="eastAsia" w:hAnsi="宋体" w:cs="宋体"/>
                <w:b/>
                <w:bCs/>
                <w:color w:val="000000" w:themeColor="text1"/>
                <w:sz w:val="24"/>
                <w:szCs w:val="24"/>
                <w:highlight w:val="none"/>
              </w:rPr>
              <w:t>非强制性要求</w:t>
            </w:r>
            <w:r>
              <w:rPr>
                <w:rFonts w:hint="eastAsia" w:hAnsi="宋体" w:cs="宋体"/>
                <w:color w:val="000000" w:themeColor="text1"/>
                <w:sz w:val="24"/>
                <w:szCs w:val="24"/>
                <w:highlight w:val="none"/>
              </w:rPr>
              <w:t>，推荐EMS或顺丰邮寄形式）递交以介质（U盘）存储的数据电文形式的“备份投标文件”（与“电子加密投标文件”同时生成的数据电文形式的电子文件），“备份投标文件”应当密封包装并在包装上标注投标项目名称、投标人名称并加盖公章。</w:t>
            </w:r>
          </w:p>
          <w:p w14:paraId="06E7E660">
            <w:pPr>
              <w:pStyle w:val="13"/>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kern w:val="0"/>
                <w:sz w:val="24"/>
                <w:szCs w:val="24"/>
                <w:highlight w:val="none"/>
              </w:rPr>
            </w:pPr>
            <w:r>
              <w:rPr>
                <w:rFonts w:hint="eastAsia" w:hAnsi="宋体" w:cs="宋体"/>
                <w:color w:val="000000" w:themeColor="text1"/>
                <w:sz w:val="24"/>
                <w:szCs w:val="24"/>
                <w:highlight w:val="none"/>
              </w:rPr>
              <w:t>注：“备份投标文件”接收地址为：</w:t>
            </w:r>
            <w:r>
              <w:rPr>
                <w:rFonts w:hint="eastAsia" w:hAnsi="宋体" w:cs="宋体"/>
                <w:color w:val="000000" w:themeColor="text1"/>
                <w:sz w:val="24"/>
                <w:szCs w:val="24"/>
                <w:highlight w:val="none"/>
                <w:u w:val="single"/>
              </w:rPr>
              <w:t>衢州市柯城区荷五路761号2楼</w:t>
            </w:r>
            <w:r>
              <w:rPr>
                <w:rFonts w:hint="eastAsia" w:hAnsi="宋体" w:cs="宋体"/>
                <w:color w:val="000000" w:themeColor="text1"/>
                <w:sz w:val="24"/>
                <w:szCs w:val="24"/>
                <w:highlight w:val="none"/>
              </w:rPr>
              <w:t>，联系人：</w:t>
            </w:r>
            <w:r>
              <w:rPr>
                <w:rFonts w:hint="eastAsia" w:hAnsi="宋体" w:cs="宋体"/>
                <w:color w:val="000000" w:themeColor="text1"/>
                <w:sz w:val="24"/>
                <w:szCs w:val="24"/>
                <w:highlight w:val="none"/>
                <w:u w:val="single"/>
                <w:lang w:val="en-US" w:eastAsia="zh-CN"/>
              </w:rPr>
              <w:t>余</w:t>
            </w:r>
            <w:r>
              <w:rPr>
                <w:rFonts w:hint="eastAsia" w:hAnsi="宋体" w:cs="宋体"/>
                <w:color w:val="000000" w:themeColor="text1"/>
                <w:sz w:val="24"/>
                <w:szCs w:val="24"/>
                <w:highlight w:val="none"/>
                <w:u w:val="single"/>
              </w:rPr>
              <w:t>女士</w:t>
            </w:r>
            <w:r>
              <w:rPr>
                <w:rFonts w:hint="eastAsia" w:hAnsi="宋体" w:cs="宋体"/>
                <w:color w:val="000000" w:themeColor="text1"/>
                <w:sz w:val="24"/>
                <w:szCs w:val="24"/>
                <w:highlight w:val="none"/>
              </w:rPr>
              <w:t>，联系电话：</w:t>
            </w:r>
            <w:r>
              <w:rPr>
                <w:rFonts w:hint="eastAsia" w:hAnsi="宋体" w:cs="宋体"/>
                <w:color w:val="000000" w:themeColor="text1"/>
                <w:sz w:val="24"/>
                <w:szCs w:val="24"/>
                <w:highlight w:val="none"/>
                <w:u w:val="single"/>
              </w:rPr>
              <w:t>1826</w:t>
            </w:r>
            <w:r>
              <w:rPr>
                <w:rFonts w:hint="eastAsia" w:hAnsi="宋体" w:cs="宋体"/>
                <w:color w:val="000000" w:themeColor="text1"/>
                <w:sz w:val="24"/>
                <w:szCs w:val="24"/>
                <w:highlight w:val="none"/>
                <w:u w:val="single"/>
                <w:lang w:eastAsia="zh-CN"/>
              </w:rPr>
              <w:t>122</w:t>
            </w:r>
            <w:r>
              <w:rPr>
                <w:rFonts w:hint="eastAsia" w:hAnsi="宋体" w:cs="宋体"/>
                <w:color w:val="000000" w:themeColor="text1"/>
                <w:sz w:val="24"/>
                <w:szCs w:val="24"/>
                <w:highlight w:val="none"/>
                <w:u w:val="single"/>
              </w:rPr>
              <w:t>65306</w:t>
            </w:r>
            <w:r>
              <w:rPr>
                <w:rFonts w:hint="eastAsia" w:hAnsi="宋体" w:cs="宋体"/>
                <w:color w:val="000000" w:themeColor="text1"/>
                <w:sz w:val="24"/>
                <w:szCs w:val="24"/>
                <w:highlight w:val="none"/>
              </w:rPr>
              <w:t>，“备份投标文件”递交截止时间为提交投标文件截止时间。供应商邮寄后可将邮件单号发送至代理机构电子邮箱（电子邮箱：</w:t>
            </w:r>
            <w:r>
              <w:rPr>
                <w:rFonts w:hint="eastAsia" w:hAnsi="宋体" w:cs="宋体"/>
                <w:color w:val="000000" w:themeColor="text1"/>
                <w:sz w:val="24"/>
                <w:szCs w:val="24"/>
                <w:highlight w:val="none"/>
                <w:u w:val="single"/>
              </w:rPr>
              <w:t>838382</w:t>
            </w:r>
            <w:r>
              <w:rPr>
                <w:rFonts w:hint="eastAsia" w:hAnsi="宋体" w:cs="宋体"/>
                <w:color w:val="000000" w:themeColor="text1"/>
                <w:sz w:val="24"/>
                <w:szCs w:val="24"/>
                <w:highlight w:val="none"/>
                <w:u w:val="single"/>
                <w:lang w:eastAsia="zh-CN"/>
              </w:rPr>
              <w:t>122</w:t>
            </w:r>
            <w:r>
              <w:rPr>
                <w:rFonts w:hint="eastAsia" w:hAnsi="宋体" w:cs="宋体"/>
                <w:color w:val="000000" w:themeColor="text1"/>
                <w:sz w:val="24"/>
                <w:szCs w:val="24"/>
                <w:highlight w:val="none"/>
                <w:u w:val="single"/>
              </w:rPr>
              <w:t xml:space="preserve">9@qq.com </w:t>
            </w:r>
            <w:r>
              <w:rPr>
                <w:rFonts w:hint="eastAsia" w:hAnsi="宋体" w:cs="宋体"/>
                <w:color w:val="000000" w:themeColor="text1"/>
                <w:sz w:val="24"/>
                <w:szCs w:val="24"/>
                <w:highlight w:val="none"/>
              </w:rPr>
              <w:t>），以便采购代理机构查询物流记录。各供应商应当确保“备份投标文件”的密封包装在邮寄过程保持完好，因邮寄造成“备份投标文件”密封破损而不符合采购文件对“备份投标文件”的密封要求、或邮寄过程中导致“备份投标文件”未按招标公告规定时限前送达的，代理机构将拒绝其“备份投标文件”。各供应商自行考虑邮寄在途时间，“备份投标文件”送达时间以代理机构工作人员实际签收时间为准。</w:t>
            </w:r>
          </w:p>
        </w:tc>
      </w:tr>
      <w:tr w14:paraId="6E45E4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atLeast"/>
          <w:jc w:val="center"/>
        </w:trPr>
        <w:tc>
          <w:tcPr>
            <w:tcW w:w="780" w:type="dxa"/>
            <w:tcBorders>
              <w:tl2br w:val="nil"/>
              <w:tr2bl w:val="nil"/>
            </w:tcBorders>
            <w:vAlign w:val="center"/>
          </w:tcPr>
          <w:p w14:paraId="30388648">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11</w:t>
            </w:r>
          </w:p>
        </w:tc>
        <w:tc>
          <w:tcPr>
            <w:tcW w:w="1749" w:type="dxa"/>
            <w:tcBorders>
              <w:tl2br w:val="nil"/>
              <w:tr2bl w:val="nil"/>
            </w:tcBorders>
            <w:vAlign w:val="center"/>
          </w:tcPr>
          <w:p w14:paraId="302D342E">
            <w:pPr>
              <w:pStyle w:val="13"/>
              <w:snapToGrid w:val="0"/>
              <w:spacing w:line="288" w:lineRule="auto"/>
              <w:jc w:val="center"/>
              <w:rPr>
                <w:rFonts w:hAnsi="宋体" w:cs="宋体"/>
                <w:color w:val="000000" w:themeColor="text1"/>
                <w:sz w:val="24"/>
                <w:szCs w:val="24"/>
                <w:highlight w:val="none"/>
              </w:rPr>
            </w:pPr>
            <w:r>
              <w:rPr>
                <w:rFonts w:hint="eastAsia" w:hAnsi="宋体" w:cs="宋体"/>
                <w:color w:val="000000" w:themeColor="text1"/>
                <w:sz w:val="24"/>
                <w:szCs w:val="24"/>
                <w:highlight w:val="none"/>
              </w:rPr>
              <w:t>投标文件的上传和递交</w:t>
            </w:r>
          </w:p>
        </w:tc>
        <w:tc>
          <w:tcPr>
            <w:tcW w:w="6713" w:type="dxa"/>
            <w:tcBorders>
              <w:tl2br w:val="nil"/>
              <w:tr2bl w:val="nil"/>
            </w:tcBorders>
            <w:vAlign w:val="center"/>
          </w:tcPr>
          <w:p w14:paraId="5EFCB512">
            <w:pPr>
              <w:pStyle w:val="13"/>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b/>
                <w:color w:val="000000" w:themeColor="text1"/>
                <w:sz w:val="24"/>
                <w:szCs w:val="24"/>
                <w:highlight w:val="none"/>
              </w:rPr>
              <w:t>☑</w:t>
            </w:r>
            <w:r>
              <w:rPr>
                <w:rFonts w:hint="eastAsia" w:hAnsi="宋体" w:cs="宋体"/>
                <w:color w:val="000000" w:themeColor="text1"/>
                <w:sz w:val="24"/>
                <w:szCs w:val="24"/>
                <w:highlight w:val="none"/>
              </w:rPr>
              <w:t>（1）“电子加密投标文件”的上传、递交：</w:t>
            </w:r>
          </w:p>
          <w:p w14:paraId="0DED85BC">
            <w:pPr>
              <w:pStyle w:val="13"/>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a.投标供应商应在投标截止时间前将“电子加密投标文件”成功上传递交至“政采云平台”，否则投标无效。</w:t>
            </w:r>
          </w:p>
          <w:p w14:paraId="5ACC9B69">
            <w:pPr>
              <w:pStyle w:val="13"/>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b.“电子加密投标文件”成功上传递交后，供应商可自行打印投标文件接收回执。</w:t>
            </w:r>
          </w:p>
          <w:p w14:paraId="0723D06C">
            <w:pPr>
              <w:pStyle w:val="13"/>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b/>
                <w:color w:val="000000" w:themeColor="text1"/>
                <w:sz w:val="24"/>
                <w:szCs w:val="24"/>
                <w:highlight w:val="none"/>
              </w:rPr>
              <w:t>☑</w:t>
            </w:r>
            <w:r>
              <w:rPr>
                <w:rFonts w:hint="eastAsia" w:hAnsi="宋体" w:cs="宋体"/>
                <w:color w:val="000000" w:themeColor="text1"/>
                <w:sz w:val="24"/>
                <w:szCs w:val="24"/>
                <w:highlight w:val="none"/>
              </w:rPr>
              <w:t>（2）“备份投标文件”递交：</w:t>
            </w:r>
          </w:p>
          <w:p w14:paraId="1B58B3BE">
            <w:pPr>
              <w:pStyle w:val="13"/>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a.“备份投标文件”的递交：</w:t>
            </w:r>
            <w:r>
              <w:rPr>
                <w:color w:val="000000" w:themeColor="text1"/>
                <w:sz w:val="24"/>
                <w:szCs w:val="24"/>
                <w:highlight w:val="none"/>
              </w:rPr>
              <w:fldChar w:fldCharType="begin"/>
            </w:r>
            <w:r>
              <w:rPr>
                <w:color w:val="000000" w:themeColor="text1"/>
                <w:sz w:val="24"/>
                <w:szCs w:val="24"/>
                <w:highlight w:val="none"/>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color w:val="000000" w:themeColor="text1"/>
                <w:sz w:val="24"/>
                <w:szCs w:val="24"/>
                <w:highlight w:val="none"/>
              </w:rPr>
              <w:fldChar w:fldCharType="separate"/>
            </w:r>
            <w:r>
              <w:rPr>
                <w:rFonts w:hint="eastAsia" w:hAnsi="宋体" w:cs="宋体"/>
                <w:color w:val="000000" w:themeColor="text1"/>
                <w:sz w:val="24"/>
                <w:szCs w:val="24"/>
                <w:highlight w:val="none"/>
              </w:rPr>
              <w:t>供应商在系统里上传好加密标书后，可以（</w:t>
            </w:r>
            <w:r>
              <w:rPr>
                <w:rFonts w:hint="eastAsia" w:hAnsi="宋体" w:cs="宋体"/>
                <w:b/>
                <w:bCs/>
                <w:color w:val="000000" w:themeColor="text1"/>
                <w:sz w:val="24"/>
                <w:szCs w:val="24"/>
                <w:highlight w:val="none"/>
                <w:u w:val="single"/>
              </w:rPr>
              <w:t>非强制要求</w:t>
            </w:r>
            <w:r>
              <w:rPr>
                <w:rFonts w:hint="eastAsia" w:hAnsi="宋体" w:cs="宋体"/>
                <w:color w:val="000000" w:themeColor="text1"/>
                <w:sz w:val="24"/>
                <w:szCs w:val="24"/>
                <w:highlight w:val="none"/>
              </w:rPr>
              <w:t>）在投标截止时间前将系统生成的备份标书（后缀格式为.bfbs），备份投标文件要求详见投标须知前附表第10条。</w:t>
            </w:r>
            <w:r>
              <w:rPr>
                <w:rFonts w:hint="eastAsia" w:hAnsi="宋体" w:cs="宋体"/>
                <w:color w:val="000000" w:themeColor="text1"/>
                <w:sz w:val="24"/>
                <w:szCs w:val="24"/>
                <w:highlight w:val="none"/>
              </w:rPr>
              <w:fldChar w:fldCharType="end"/>
            </w:r>
          </w:p>
          <w:p w14:paraId="2832B811">
            <w:pPr>
              <w:pStyle w:val="13"/>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b.通过“政府采购云平台”上传递交的“电子加密投标文件”无法按时解密，投标供应商递交了备份投标文件的，以备份投标文件为依据，否则视为投标文件撤回。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p w14:paraId="2C091B47">
            <w:pPr>
              <w:pStyle w:val="13"/>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供应商需保证上传的电子加密投标文件与提交的备份投标文件必须同时生成且内容完全一致。</w:t>
            </w:r>
          </w:p>
        </w:tc>
      </w:tr>
      <w:tr w14:paraId="1AFA1E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6BBF5222">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12</w:t>
            </w:r>
          </w:p>
        </w:tc>
        <w:tc>
          <w:tcPr>
            <w:tcW w:w="1749" w:type="dxa"/>
            <w:tcBorders>
              <w:tl2br w:val="nil"/>
              <w:tr2bl w:val="nil"/>
            </w:tcBorders>
            <w:vAlign w:val="center"/>
          </w:tcPr>
          <w:p w14:paraId="16FD3E00">
            <w:pPr>
              <w:pStyle w:val="13"/>
              <w:snapToGrid w:val="0"/>
              <w:spacing w:line="288" w:lineRule="auto"/>
              <w:jc w:val="center"/>
              <w:rPr>
                <w:rFonts w:hAnsi="宋体" w:cs="宋体"/>
                <w:color w:val="000000" w:themeColor="text1"/>
                <w:sz w:val="24"/>
                <w:highlight w:val="none"/>
              </w:rPr>
            </w:pPr>
            <w:r>
              <w:rPr>
                <w:rFonts w:hint="eastAsia" w:hAnsi="宋体" w:cs="宋体"/>
                <w:color w:val="000000" w:themeColor="text1"/>
                <w:sz w:val="24"/>
                <w:szCs w:val="24"/>
                <w:highlight w:val="none"/>
              </w:rPr>
              <w:t>电子加密投标文件的解密和异常情况处理</w:t>
            </w:r>
          </w:p>
        </w:tc>
        <w:tc>
          <w:tcPr>
            <w:tcW w:w="6713" w:type="dxa"/>
            <w:tcBorders>
              <w:tl2br w:val="nil"/>
              <w:tr2bl w:val="nil"/>
            </w:tcBorders>
            <w:vAlign w:val="center"/>
          </w:tcPr>
          <w:p w14:paraId="48D20C6A">
            <w:pPr>
              <w:pStyle w:val="13"/>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（1）开标后，采购组织机构将向各投标供应商发出“电子加密投标文件”的解密通知，各投标供应商代表应当在接到解密通知后30分钟内自行完成“电子加密投标文件”的在线解密。</w:t>
            </w:r>
          </w:p>
          <w:p w14:paraId="5B7A9574">
            <w:pPr>
              <w:pStyle w:val="13"/>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14:paraId="6BEC97C3">
            <w:pPr>
              <w:pStyle w:val="13"/>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（3）投标截止时间前，投标供应商仅递交了“备份投标文件”而未将电子加密投标文件上传至“政采云平台”的，投标无效。</w:t>
            </w:r>
          </w:p>
        </w:tc>
      </w:tr>
      <w:tr w14:paraId="11E4F9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6C3D51F4">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13</w:t>
            </w:r>
          </w:p>
        </w:tc>
        <w:tc>
          <w:tcPr>
            <w:tcW w:w="1749" w:type="dxa"/>
            <w:tcBorders>
              <w:tl2br w:val="nil"/>
              <w:tr2bl w:val="nil"/>
            </w:tcBorders>
            <w:vAlign w:val="center"/>
          </w:tcPr>
          <w:p w14:paraId="7ED7BFFF">
            <w:pPr>
              <w:spacing w:line="276" w:lineRule="auto"/>
              <w:jc w:val="center"/>
              <w:rPr>
                <w:rFonts w:hAnsi="宋体"/>
                <w:color w:val="000000" w:themeColor="text1"/>
                <w:sz w:val="24"/>
                <w:szCs w:val="24"/>
                <w:highlight w:val="none"/>
              </w:rPr>
            </w:pPr>
            <w:r>
              <w:rPr>
                <w:rFonts w:hint="eastAsia" w:ascii="宋体" w:hAnsi="宋体"/>
                <w:color w:val="000000" w:themeColor="text1"/>
                <w:sz w:val="24"/>
                <w:highlight w:val="none"/>
              </w:rPr>
              <w:t>中小企业划分标准所属行业</w:t>
            </w:r>
          </w:p>
        </w:tc>
        <w:tc>
          <w:tcPr>
            <w:tcW w:w="6713" w:type="dxa"/>
            <w:tcBorders>
              <w:tl2br w:val="nil"/>
              <w:tr2bl w:val="nil"/>
            </w:tcBorders>
            <w:vAlign w:val="center"/>
          </w:tcPr>
          <w:p w14:paraId="4235D314">
            <w:pPr>
              <w:keepNext w:val="0"/>
              <w:keepLines w:val="0"/>
              <w:pageBreakBefore w:val="0"/>
              <w:widowControl w:val="0"/>
              <w:kinsoku/>
              <w:wordWrap/>
              <w:overflowPunct/>
              <w:topLinePunct w:val="0"/>
              <w:bidi w:val="0"/>
              <w:spacing w:line="400" w:lineRule="exact"/>
              <w:jc w:val="lef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所属行业：属于</w:t>
            </w:r>
            <w:r>
              <w:rPr>
                <w:rFonts w:hint="eastAsia" w:ascii="宋体" w:hAnsi="宋体"/>
                <w:color w:val="000000" w:themeColor="text1"/>
                <w:sz w:val="24"/>
                <w:szCs w:val="24"/>
                <w:highlight w:val="none"/>
                <w:u w:val="single"/>
                <w:lang w:eastAsia="zh-CN"/>
              </w:rPr>
              <w:t>工业</w:t>
            </w:r>
            <w:r>
              <w:rPr>
                <w:rFonts w:hint="eastAsia" w:ascii="宋体" w:hAnsi="宋体"/>
                <w:color w:val="000000" w:themeColor="text1"/>
                <w:sz w:val="24"/>
                <w:szCs w:val="24"/>
                <w:highlight w:val="none"/>
              </w:rPr>
              <w:t>行业。</w:t>
            </w:r>
            <w:r>
              <w:rPr>
                <w:rFonts w:hint="eastAsia" w:ascii="宋体" w:hAnsi="宋体"/>
                <w:color w:val="000000" w:themeColor="text1"/>
                <w:sz w:val="24"/>
                <w:szCs w:val="24"/>
                <w:highlight w:val="none"/>
              </w:rPr>
              <w:br w:type="textWrapping"/>
            </w:r>
            <w:r>
              <w:rPr>
                <w:rFonts w:hint="eastAsia" w:ascii="宋体" w:hAnsi="宋体"/>
                <w:color w:val="000000" w:themeColor="text1"/>
                <w:sz w:val="24"/>
                <w:szCs w:val="24"/>
                <w:highlight w:val="none"/>
              </w:rPr>
              <w:t>中小企业划型标准详见：工信部联企业〔2011〕300号</w:t>
            </w:r>
          </w:p>
        </w:tc>
      </w:tr>
      <w:tr w14:paraId="7CF325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784B4250">
            <w:pPr>
              <w:spacing w:line="276" w:lineRule="auto"/>
              <w:jc w:val="center"/>
              <w:rPr>
                <w:rFonts w:hint="default" w:ascii="宋体" w:hAnsi="宋体" w:eastAsia="宋体"/>
                <w:color w:val="000000" w:themeColor="text1"/>
                <w:sz w:val="24"/>
                <w:highlight w:val="none"/>
                <w:lang w:val="en-US" w:eastAsia="zh-CN"/>
              </w:rPr>
            </w:pPr>
            <w:r>
              <w:rPr>
                <w:rFonts w:hint="eastAsia" w:ascii="宋体" w:hAnsi="宋体"/>
                <w:color w:val="000000" w:themeColor="text1"/>
                <w:sz w:val="24"/>
                <w:highlight w:val="none"/>
                <w:lang w:val="en-US" w:eastAsia="zh-CN"/>
              </w:rPr>
              <w:t>14</w:t>
            </w:r>
          </w:p>
        </w:tc>
        <w:tc>
          <w:tcPr>
            <w:tcW w:w="1749" w:type="dxa"/>
            <w:tcBorders>
              <w:tl2br w:val="nil"/>
              <w:tr2bl w:val="nil"/>
            </w:tcBorders>
            <w:vAlign w:val="center"/>
          </w:tcPr>
          <w:p w14:paraId="7213F526">
            <w:pPr>
              <w:pStyle w:val="13"/>
              <w:snapToGrid w:val="0"/>
              <w:spacing w:line="288"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是否允许采购进口产品</w:t>
            </w:r>
          </w:p>
        </w:tc>
        <w:tc>
          <w:tcPr>
            <w:tcW w:w="6713" w:type="dxa"/>
            <w:tcBorders>
              <w:tl2br w:val="nil"/>
              <w:tr2bl w:val="nil"/>
            </w:tcBorders>
            <w:vAlign w:val="center"/>
          </w:tcPr>
          <w:p w14:paraId="166EC016">
            <w:pPr>
              <w:keepNext w:val="0"/>
              <w:keepLines w:val="0"/>
              <w:pageBreakBefore w:val="0"/>
              <w:widowControl w:val="0"/>
              <w:kinsoku/>
              <w:wordWrap/>
              <w:overflowPunct/>
              <w:topLinePunct w:val="0"/>
              <w:bidi w:val="0"/>
              <w:spacing w:line="400" w:lineRule="exact"/>
              <w:jc w:val="left"/>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Times New Roman"/>
                <w:color w:val="000000" w:themeColor="text1"/>
                <w:sz w:val="24"/>
                <w:szCs w:val="24"/>
                <w:highlight w:val="none"/>
                <w:lang w:val="en-US" w:eastAsia="zh-CN"/>
              </w:rPr>
              <w:t>本项目不允许采购进口产品。</w:t>
            </w:r>
          </w:p>
        </w:tc>
      </w:tr>
      <w:tr w14:paraId="7D98BD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2F429F6E">
            <w:pPr>
              <w:spacing w:line="276" w:lineRule="auto"/>
              <w:jc w:val="center"/>
              <w:rPr>
                <w:rFonts w:hint="eastAsia" w:ascii="宋体" w:hAnsi="宋体" w:eastAsia="宋体"/>
                <w:color w:val="000000" w:themeColor="text1"/>
                <w:sz w:val="24"/>
                <w:highlight w:val="none"/>
                <w:lang w:eastAsia="zh-CN"/>
              </w:rPr>
            </w:pPr>
            <w:r>
              <w:rPr>
                <w:rFonts w:hint="eastAsia" w:ascii="宋体" w:hAnsi="宋体"/>
                <w:color w:val="000000" w:themeColor="text1"/>
                <w:sz w:val="24"/>
                <w:highlight w:val="none"/>
              </w:rPr>
              <w:t>1</w:t>
            </w:r>
            <w:r>
              <w:rPr>
                <w:rFonts w:hint="eastAsia" w:ascii="宋体" w:hAnsi="宋体"/>
                <w:color w:val="000000" w:themeColor="text1"/>
                <w:sz w:val="24"/>
                <w:highlight w:val="none"/>
                <w:lang w:val="en-US" w:eastAsia="zh-CN"/>
              </w:rPr>
              <w:t>5</w:t>
            </w:r>
          </w:p>
        </w:tc>
        <w:tc>
          <w:tcPr>
            <w:tcW w:w="1749" w:type="dxa"/>
            <w:tcBorders>
              <w:tl2br w:val="nil"/>
              <w:tr2bl w:val="nil"/>
            </w:tcBorders>
            <w:vAlign w:val="center"/>
          </w:tcPr>
          <w:p w14:paraId="2F88FC81">
            <w:pPr>
              <w:pStyle w:val="13"/>
              <w:snapToGrid w:val="0"/>
              <w:spacing w:line="288" w:lineRule="auto"/>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签订合同</w:t>
            </w:r>
          </w:p>
        </w:tc>
        <w:tc>
          <w:tcPr>
            <w:tcW w:w="6713" w:type="dxa"/>
            <w:tcBorders>
              <w:tl2br w:val="nil"/>
              <w:tr2bl w:val="nil"/>
            </w:tcBorders>
            <w:vAlign w:val="center"/>
          </w:tcPr>
          <w:p w14:paraId="21ABA2B2">
            <w:pPr>
              <w:pStyle w:val="13"/>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中标通知书发出后30日内，与采购人签订合同。</w:t>
            </w:r>
          </w:p>
        </w:tc>
      </w:tr>
      <w:tr w14:paraId="2C0F96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7" w:hRule="atLeast"/>
          <w:jc w:val="center"/>
        </w:trPr>
        <w:tc>
          <w:tcPr>
            <w:tcW w:w="780" w:type="dxa"/>
            <w:tcBorders>
              <w:tl2br w:val="nil"/>
              <w:tr2bl w:val="nil"/>
            </w:tcBorders>
            <w:vAlign w:val="center"/>
          </w:tcPr>
          <w:p w14:paraId="6659BC1E">
            <w:pPr>
              <w:adjustRightInd w:val="0"/>
              <w:snapToGrid w:val="0"/>
              <w:spacing w:line="440" w:lineRule="exact"/>
              <w:jc w:val="center"/>
              <w:rPr>
                <w:rFonts w:hint="eastAsia" w:ascii="宋体" w:hAnsi="宋体" w:eastAsia="宋体"/>
                <w:b w:val="0"/>
                <w:bCs w:val="0"/>
                <w:color w:val="000000" w:themeColor="text1"/>
                <w:sz w:val="24"/>
                <w:highlight w:val="none"/>
                <w:lang w:val="en-US" w:eastAsia="zh-CN"/>
              </w:rPr>
            </w:pPr>
            <w:r>
              <w:rPr>
                <w:rFonts w:hint="eastAsia" w:ascii="宋体" w:hAnsi="宋体" w:cs="宋体"/>
                <w:b w:val="0"/>
                <w:bCs w:val="0"/>
                <w:color w:val="000000" w:themeColor="text1"/>
                <w:spacing w:val="-6"/>
                <w:sz w:val="24"/>
                <w:highlight w:val="none"/>
              </w:rPr>
              <w:t>1</w:t>
            </w:r>
            <w:r>
              <w:rPr>
                <w:rFonts w:hint="eastAsia" w:ascii="宋体" w:hAnsi="宋体" w:cs="宋体"/>
                <w:b w:val="0"/>
                <w:bCs w:val="0"/>
                <w:color w:val="000000" w:themeColor="text1"/>
                <w:spacing w:val="-6"/>
                <w:sz w:val="24"/>
                <w:highlight w:val="none"/>
                <w:lang w:val="en-US" w:eastAsia="zh-CN"/>
              </w:rPr>
              <w:t>6</w:t>
            </w:r>
          </w:p>
        </w:tc>
        <w:tc>
          <w:tcPr>
            <w:tcW w:w="1749" w:type="dxa"/>
            <w:tcBorders>
              <w:tl2br w:val="nil"/>
              <w:tr2bl w:val="nil"/>
            </w:tcBorders>
            <w:vAlign w:val="center"/>
          </w:tcPr>
          <w:p w14:paraId="78537C93">
            <w:pPr>
              <w:adjustRightInd w:val="0"/>
              <w:snapToGrid w:val="0"/>
              <w:spacing w:line="440" w:lineRule="exact"/>
              <w:jc w:val="center"/>
              <w:rPr>
                <w:rFonts w:hint="eastAsia" w:ascii="宋体" w:hAnsi="宋体" w:cs="宋体"/>
                <w:b w:val="0"/>
                <w:bCs w:val="0"/>
                <w:color w:val="000000" w:themeColor="text1"/>
                <w:spacing w:val="-6"/>
                <w:sz w:val="24"/>
                <w:highlight w:val="none"/>
              </w:rPr>
            </w:pPr>
            <w:r>
              <w:rPr>
                <w:rFonts w:hint="eastAsia" w:ascii="宋体" w:hAnsi="宋体" w:cs="宋体"/>
                <w:b w:val="0"/>
                <w:bCs w:val="0"/>
                <w:color w:val="000000" w:themeColor="text1"/>
                <w:spacing w:val="-6"/>
                <w:sz w:val="24"/>
                <w:highlight w:val="none"/>
              </w:rPr>
              <w:t>环境标志产品</w:t>
            </w:r>
          </w:p>
          <w:p w14:paraId="07622E12">
            <w:pPr>
              <w:adjustRightInd w:val="0"/>
              <w:snapToGrid w:val="0"/>
              <w:spacing w:line="440" w:lineRule="exact"/>
              <w:jc w:val="center"/>
              <w:rPr>
                <w:rFonts w:hint="eastAsia" w:ascii="宋体" w:hAnsi="宋体"/>
                <w:b w:val="0"/>
                <w:bCs w:val="0"/>
                <w:color w:val="000000" w:themeColor="text1"/>
                <w:sz w:val="24"/>
                <w:highlight w:val="none"/>
              </w:rPr>
            </w:pPr>
            <w:r>
              <w:rPr>
                <w:rFonts w:hint="eastAsia" w:ascii="宋体" w:hAnsi="宋体" w:cs="宋体"/>
                <w:b w:val="0"/>
                <w:bCs w:val="0"/>
                <w:color w:val="000000" w:themeColor="text1"/>
                <w:spacing w:val="-6"/>
                <w:sz w:val="24"/>
                <w:highlight w:val="none"/>
              </w:rPr>
              <w:t>节能产品</w:t>
            </w:r>
          </w:p>
        </w:tc>
        <w:tc>
          <w:tcPr>
            <w:tcW w:w="6713" w:type="dxa"/>
            <w:tcBorders>
              <w:tl2br w:val="nil"/>
              <w:tr2bl w:val="nil"/>
            </w:tcBorders>
            <w:vAlign w:val="center"/>
          </w:tcPr>
          <w:p w14:paraId="1BE05302">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（1）严格执行《财政部发展改革委生态环境部市场监管总局关于调整优化节能产品、环境标志产品政府采购执行机制的通知》（财库〔2019〕9号）。</w:t>
            </w:r>
          </w:p>
          <w:p w14:paraId="021250C6">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5518EC85">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▲（3）采购人拟采购的产品属于政府强制采购的节能产品品目清单范围的，供应商未按采购文件要求提供国家确定的认证机构出具的、处于有效期之内的节能产品认证证书，投标无效。</w:t>
            </w:r>
          </w:p>
          <w:p w14:paraId="5B50C6C3">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color w:val="000000" w:themeColor="text1"/>
                <w:sz w:val="24"/>
                <w:szCs w:val="24"/>
                <w:highlight w:val="none"/>
              </w:rPr>
            </w:pPr>
            <w:r>
              <w:rPr>
                <w:rFonts w:hint="eastAsia" w:ascii="宋体" w:hAnsi="宋体" w:eastAsia="宋体" w:cs="Times New Roman"/>
                <w:color w:val="000000" w:themeColor="text1"/>
                <w:sz w:val="24"/>
                <w:szCs w:val="24"/>
                <w:highlight w:val="none"/>
              </w:rPr>
              <w:t>属于政府优先采购产品类别的，须按照要求提供依据国家确定的认证机构出具的、处于有效期之内的节能产品或环境标志产品认证证书，否则不予认定。</w:t>
            </w:r>
          </w:p>
        </w:tc>
      </w:tr>
      <w:tr w14:paraId="74202F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7" w:hRule="atLeast"/>
          <w:jc w:val="center"/>
        </w:trPr>
        <w:tc>
          <w:tcPr>
            <w:tcW w:w="780" w:type="dxa"/>
            <w:vMerge w:val="restart"/>
            <w:tcBorders>
              <w:tl2br w:val="nil"/>
              <w:tr2bl w:val="nil"/>
            </w:tcBorders>
            <w:vAlign w:val="center"/>
          </w:tcPr>
          <w:p w14:paraId="4F489036">
            <w:pPr>
              <w:spacing w:line="276" w:lineRule="auto"/>
              <w:jc w:val="center"/>
              <w:rPr>
                <w:rFonts w:hint="eastAsia" w:ascii="宋体" w:hAnsi="宋体" w:eastAsia="宋体"/>
                <w:color w:val="000000" w:themeColor="text1"/>
                <w:sz w:val="24"/>
                <w:highlight w:val="none"/>
                <w:lang w:eastAsia="zh-CN"/>
              </w:rPr>
            </w:pPr>
            <w:r>
              <w:rPr>
                <w:rFonts w:hint="eastAsia" w:ascii="宋体" w:hAnsi="宋体"/>
                <w:color w:val="000000" w:themeColor="text1"/>
                <w:sz w:val="24"/>
                <w:highlight w:val="none"/>
              </w:rPr>
              <w:t>1</w:t>
            </w:r>
            <w:r>
              <w:rPr>
                <w:rFonts w:hint="eastAsia" w:ascii="宋体" w:hAnsi="宋体"/>
                <w:color w:val="000000" w:themeColor="text1"/>
                <w:sz w:val="24"/>
                <w:highlight w:val="none"/>
                <w:lang w:val="en-US" w:eastAsia="zh-CN"/>
              </w:rPr>
              <w:t>6</w:t>
            </w:r>
          </w:p>
        </w:tc>
        <w:tc>
          <w:tcPr>
            <w:tcW w:w="1749" w:type="dxa"/>
            <w:vMerge w:val="restart"/>
            <w:tcBorders>
              <w:tl2br w:val="nil"/>
              <w:tr2bl w:val="nil"/>
            </w:tcBorders>
            <w:vAlign w:val="center"/>
          </w:tcPr>
          <w:p w14:paraId="34374A04">
            <w:pPr>
              <w:adjustRightInd w:val="0"/>
              <w:snapToGrid w:val="0"/>
              <w:spacing w:line="23" w:lineRule="atLeast"/>
              <w:jc w:val="center"/>
              <w:rPr>
                <w:rFonts w:ascii="宋体" w:hAnsi="宋体"/>
                <w:color w:val="000000" w:themeColor="text1"/>
                <w:sz w:val="24"/>
                <w:highlight w:val="none"/>
              </w:rPr>
            </w:pPr>
            <w:r>
              <w:rPr>
                <w:rFonts w:hint="eastAsia" w:ascii="宋体" w:hAnsi="宋体"/>
                <w:color w:val="000000" w:themeColor="text1"/>
                <w:sz w:val="24"/>
                <w:highlight w:val="none"/>
              </w:rPr>
              <w:t>其他注意事项</w:t>
            </w:r>
          </w:p>
        </w:tc>
        <w:tc>
          <w:tcPr>
            <w:tcW w:w="6713" w:type="dxa"/>
            <w:tcBorders>
              <w:tl2br w:val="nil"/>
              <w:tr2bl w:val="nil"/>
            </w:tcBorders>
            <w:vAlign w:val="center"/>
          </w:tcPr>
          <w:p w14:paraId="07E10835">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14:paraId="0408F9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vMerge w:val="continue"/>
            <w:tcBorders>
              <w:tl2br w:val="nil"/>
              <w:tr2bl w:val="nil"/>
            </w:tcBorders>
            <w:vAlign w:val="center"/>
          </w:tcPr>
          <w:p w14:paraId="5931F8F2">
            <w:pPr>
              <w:spacing w:line="276" w:lineRule="auto"/>
              <w:jc w:val="center"/>
              <w:rPr>
                <w:rFonts w:ascii="宋体" w:hAnsi="宋体"/>
                <w:color w:val="000000" w:themeColor="text1"/>
                <w:sz w:val="24"/>
                <w:highlight w:val="none"/>
              </w:rPr>
            </w:pPr>
          </w:p>
        </w:tc>
        <w:tc>
          <w:tcPr>
            <w:tcW w:w="1749" w:type="dxa"/>
            <w:vMerge w:val="continue"/>
            <w:tcBorders>
              <w:tl2br w:val="nil"/>
              <w:tr2bl w:val="nil"/>
            </w:tcBorders>
            <w:vAlign w:val="center"/>
          </w:tcPr>
          <w:p w14:paraId="618367BC">
            <w:pPr>
              <w:spacing w:line="23" w:lineRule="atLeast"/>
              <w:rPr>
                <w:rFonts w:ascii="宋体" w:hAnsi="宋体"/>
                <w:color w:val="000000" w:themeColor="text1"/>
                <w:sz w:val="24"/>
                <w:highlight w:val="none"/>
              </w:rPr>
            </w:pPr>
          </w:p>
        </w:tc>
        <w:tc>
          <w:tcPr>
            <w:tcW w:w="6713" w:type="dxa"/>
            <w:tcBorders>
              <w:tl2br w:val="nil"/>
              <w:tr2bl w:val="nil"/>
            </w:tcBorders>
            <w:vAlign w:val="center"/>
          </w:tcPr>
          <w:p w14:paraId="1CE94AFE">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www.zjzfcg.gov.cn）/）中小企业信用融资栏目了解相关信息。</w:t>
            </w:r>
          </w:p>
        </w:tc>
      </w:tr>
      <w:tr w14:paraId="1EB6F6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2" w:hRule="atLeast"/>
          <w:jc w:val="center"/>
        </w:trPr>
        <w:tc>
          <w:tcPr>
            <w:tcW w:w="780" w:type="dxa"/>
            <w:vMerge w:val="continue"/>
            <w:tcBorders>
              <w:tl2br w:val="nil"/>
              <w:tr2bl w:val="nil"/>
            </w:tcBorders>
            <w:vAlign w:val="center"/>
          </w:tcPr>
          <w:p w14:paraId="1A3EA36E">
            <w:pPr>
              <w:spacing w:line="276" w:lineRule="auto"/>
              <w:jc w:val="center"/>
              <w:rPr>
                <w:rFonts w:ascii="宋体" w:hAnsi="宋体"/>
                <w:color w:val="000000" w:themeColor="text1"/>
                <w:sz w:val="24"/>
                <w:highlight w:val="none"/>
              </w:rPr>
            </w:pPr>
          </w:p>
        </w:tc>
        <w:tc>
          <w:tcPr>
            <w:tcW w:w="1749" w:type="dxa"/>
            <w:vMerge w:val="continue"/>
            <w:tcBorders>
              <w:tl2br w:val="nil"/>
              <w:tr2bl w:val="nil"/>
            </w:tcBorders>
            <w:vAlign w:val="center"/>
          </w:tcPr>
          <w:p w14:paraId="4C31C9C4">
            <w:pPr>
              <w:spacing w:line="23" w:lineRule="atLeast"/>
              <w:rPr>
                <w:rFonts w:ascii="宋体" w:hAnsi="宋体"/>
                <w:color w:val="000000" w:themeColor="text1"/>
                <w:sz w:val="24"/>
                <w:highlight w:val="none"/>
              </w:rPr>
            </w:pPr>
          </w:p>
        </w:tc>
        <w:tc>
          <w:tcPr>
            <w:tcW w:w="6713" w:type="dxa"/>
            <w:tcBorders>
              <w:tl2br w:val="nil"/>
              <w:tr2bl w:val="nil"/>
            </w:tcBorders>
            <w:vAlign w:val="center"/>
          </w:tcPr>
          <w:p w14:paraId="4B4EDE48">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根据《关于在政府采购活动中查询及使用信用记录有关问题的通知》财库[2016]125号的规定：</w:t>
            </w:r>
          </w:p>
          <w:p w14:paraId="0225053E">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1）采购人或采购代理机构将对本项目投标人的信用记录进行查询。查询渠道为信用中国网站（www.creditchina.gov.cn）、中国政府采购网（www.ccgp.gov.cn）；</w:t>
            </w:r>
          </w:p>
          <w:p w14:paraId="544302FF">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2）截止时点：提交投标文件（响应文件）截止时间前3年内；</w:t>
            </w:r>
          </w:p>
          <w:p w14:paraId="1FE66835">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3）查询记录和证据的留存：信用信息查询记录和证据以网页截图等方式留存。</w:t>
            </w:r>
          </w:p>
          <w:p w14:paraId="5EE70D15">
            <w:pPr>
              <w:keepNext w:val="0"/>
              <w:keepLines w:val="0"/>
              <w:pageBreakBefore w:val="0"/>
              <w:widowControl w:val="0"/>
              <w:kinsoku/>
              <w:wordWrap/>
              <w:overflowPunct/>
              <w:topLinePunct w:val="0"/>
              <w:bidi w:val="0"/>
              <w:spacing w:line="400" w:lineRule="exac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4）使用规则：被列入失信被执行人、重大税收违法案件当事人名单、政府采购严重违法失信行为记录名单及其它不符合《中华人民共和国政府采购法》第二十二条规定条件的，其投标将被拒绝。</w:t>
            </w:r>
          </w:p>
        </w:tc>
      </w:tr>
      <w:tr w14:paraId="756EAA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jc w:val="center"/>
        </w:trPr>
        <w:tc>
          <w:tcPr>
            <w:tcW w:w="780" w:type="dxa"/>
            <w:vMerge w:val="continue"/>
            <w:tcBorders>
              <w:tl2br w:val="nil"/>
              <w:tr2bl w:val="nil"/>
            </w:tcBorders>
            <w:vAlign w:val="center"/>
          </w:tcPr>
          <w:p w14:paraId="2C380DA7">
            <w:pPr>
              <w:spacing w:line="276" w:lineRule="auto"/>
              <w:jc w:val="center"/>
              <w:rPr>
                <w:rFonts w:ascii="宋体" w:hAnsi="宋体"/>
                <w:color w:val="000000" w:themeColor="text1"/>
                <w:sz w:val="24"/>
                <w:highlight w:val="none"/>
              </w:rPr>
            </w:pPr>
            <w:bookmarkStart w:id="21" w:name="_Toc226521904"/>
            <w:bookmarkStart w:id="22" w:name="_Toc225840109"/>
            <w:bookmarkStart w:id="23" w:name="_Toc226106467"/>
            <w:bookmarkStart w:id="24" w:name="_Toc226106516"/>
          </w:p>
        </w:tc>
        <w:tc>
          <w:tcPr>
            <w:tcW w:w="1749" w:type="dxa"/>
            <w:vMerge w:val="continue"/>
            <w:tcBorders>
              <w:tl2br w:val="nil"/>
              <w:tr2bl w:val="nil"/>
            </w:tcBorders>
            <w:vAlign w:val="center"/>
          </w:tcPr>
          <w:p w14:paraId="5048F8AD">
            <w:pPr>
              <w:spacing w:line="23" w:lineRule="atLeast"/>
              <w:rPr>
                <w:rFonts w:ascii="宋体" w:hAnsi="宋体"/>
                <w:color w:val="000000" w:themeColor="text1"/>
                <w:sz w:val="24"/>
                <w:highlight w:val="none"/>
              </w:rPr>
            </w:pPr>
          </w:p>
        </w:tc>
        <w:tc>
          <w:tcPr>
            <w:tcW w:w="6713" w:type="dxa"/>
            <w:tcBorders>
              <w:tl2br w:val="nil"/>
              <w:tr2bl w:val="nil"/>
            </w:tcBorders>
            <w:vAlign w:val="center"/>
          </w:tcPr>
          <w:p w14:paraId="30CF78C8">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olor w:val="000000" w:themeColor="text1"/>
                <w:sz w:val="24"/>
                <w:szCs w:val="24"/>
                <w:highlight w:val="none"/>
              </w:rPr>
            </w:pPr>
            <w:r>
              <w:rPr>
                <w:rFonts w:hint="eastAsia" w:ascii="宋体" w:hAnsi="宋体" w:eastAsia="宋体" w:cs="Times New Roman"/>
                <w:color w:val="000000" w:themeColor="text1"/>
                <w:sz w:val="24"/>
                <w:szCs w:val="24"/>
                <w:highlight w:val="none"/>
                <w:lang w:val="en-US" w:eastAsia="zh-CN"/>
              </w:rPr>
              <w:t>提供样品的时间：</w:t>
            </w:r>
            <w:r>
              <w:rPr>
                <w:rFonts w:hint="eastAsia" w:ascii="宋体" w:hAnsi="宋体" w:cs="宋体"/>
                <w:color w:val="000000" w:themeColor="text1"/>
                <w:sz w:val="24"/>
                <w:szCs w:val="24"/>
                <w:highlight w:val="none"/>
              </w:rPr>
              <w:t>2024年</w:t>
            </w:r>
            <w:r>
              <w:rPr>
                <w:rFonts w:hint="eastAsia" w:ascii="宋体" w:hAnsi="宋体" w:cs="宋体"/>
                <w:color w:val="000000" w:themeColor="text1"/>
                <w:sz w:val="24"/>
                <w:szCs w:val="24"/>
                <w:highlight w:val="none"/>
                <w:lang w:val="en-US" w:eastAsia="zh-CN"/>
              </w:rPr>
              <w:t>10</w:t>
            </w:r>
            <w:r>
              <w:rPr>
                <w:rFonts w:hint="eastAsia" w:ascii="宋体" w:hAnsi="宋体" w:cs="宋体"/>
                <w:color w:val="000000" w:themeColor="text1"/>
                <w:sz w:val="24"/>
                <w:szCs w:val="24"/>
                <w:highlight w:val="none"/>
              </w:rPr>
              <w:t>月</w:t>
            </w:r>
            <w:r>
              <w:rPr>
                <w:rFonts w:hint="eastAsia" w:ascii="宋体" w:hAnsi="宋体" w:cs="宋体"/>
                <w:color w:val="000000" w:themeColor="text1"/>
                <w:sz w:val="24"/>
                <w:szCs w:val="24"/>
                <w:highlight w:val="none"/>
                <w:lang w:val="en-US" w:eastAsia="zh-CN"/>
              </w:rPr>
              <w:t>22</w:t>
            </w:r>
            <w:r>
              <w:rPr>
                <w:rFonts w:hint="eastAsia" w:ascii="宋体" w:hAnsi="宋体" w:cs="宋体"/>
                <w:color w:val="000000" w:themeColor="text1"/>
                <w:sz w:val="24"/>
                <w:szCs w:val="24"/>
                <w:highlight w:val="none"/>
              </w:rPr>
              <w:t>日</w:t>
            </w:r>
            <w:r>
              <w:rPr>
                <w:rFonts w:hint="eastAsia" w:ascii="宋体" w:hAnsi="宋体" w:cs="宋体"/>
                <w:color w:val="000000" w:themeColor="text1"/>
                <w:sz w:val="24"/>
                <w:szCs w:val="24"/>
                <w:highlight w:val="none"/>
                <w:lang w:val="en-US" w:eastAsia="zh-CN"/>
              </w:rPr>
              <w:t>09</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30</w:t>
            </w:r>
            <w:r>
              <w:rPr>
                <w:rFonts w:hint="eastAsia" w:ascii="宋体" w:hAnsi="宋体" w:cs="宋体"/>
                <w:color w:val="000000" w:themeColor="text1"/>
                <w:sz w:val="24"/>
                <w:szCs w:val="24"/>
                <w:highlight w:val="none"/>
              </w:rPr>
              <w:t>:00</w:t>
            </w:r>
            <w:r>
              <w:rPr>
                <w:rFonts w:hint="eastAsia" w:ascii="宋体" w:hAnsi="宋体" w:cs="宋体"/>
                <w:color w:val="000000" w:themeColor="text1"/>
                <w:sz w:val="24"/>
                <w:szCs w:val="24"/>
                <w:highlight w:val="none"/>
                <w:lang w:val="en-US" w:eastAsia="zh-CN"/>
              </w:rPr>
              <w:t>前</w:t>
            </w:r>
            <w:r>
              <w:rPr>
                <w:rFonts w:hint="eastAsia" w:ascii="宋体" w:hAnsi="宋体" w:cs="宋体"/>
                <w:color w:val="000000" w:themeColor="text1"/>
                <w:sz w:val="24"/>
                <w:szCs w:val="24"/>
                <w:highlight w:val="none"/>
              </w:rPr>
              <w:t>（北京时间）</w:t>
            </w:r>
            <w:r>
              <w:rPr>
                <w:rFonts w:hint="eastAsia" w:ascii="宋体" w:hAnsi="宋体" w:eastAsia="宋体" w:cs="Times New Roman"/>
                <w:color w:val="000000" w:themeColor="text1"/>
                <w:sz w:val="24"/>
                <w:szCs w:val="24"/>
                <w:highlight w:val="none"/>
                <w:lang w:val="en-US" w:eastAsia="zh-CN"/>
              </w:rPr>
              <w:t>；地点：衢州智造新城公共资源交易中心（世纪大道767号）九楼开标厅；联系人：余女士，联系电话：18268065306。超过截止时间的，采购人或采购代理机构将不予接收。</w:t>
            </w:r>
          </w:p>
        </w:tc>
      </w:tr>
      <w:bookmarkEnd w:id="18"/>
    </w:tbl>
    <w:p w14:paraId="718E6904">
      <w:pPr>
        <w:keepNext w:val="0"/>
        <w:keepLines w:val="0"/>
        <w:pageBreakBefore w:val="0"/>
        <w:kinsoku/>
        <w:wordWrap/>
        <w:overflowPunct/>
        <w:topLinePunct w:val="0"/>
        <w:autoSpaceDE/>
        <w:autoSpaceDN/>
        <w:bidi w:val="0"/>
        <w:snapToGrid w:val="0"/>
        <w:spacing w:line="480" w:lineRule="exact"/>
        <w:textAlignment w:val="auto"/>
        <w:outlineLvl w:val="1"/>
        <w:rPr>
          <w:rFonts w:hint="eastAsia" w:ascii="宋体" w:hAnsi="宋体" w:eastAsia="宋体" w:cs="宋体"/>
          <w:b/>
          <w:color w:val="000000" w:themeColor="text1"/>
          <w:sz w:val="24"/>
          <w:szCs w:val="24"/>
          <w:highlight w:val="none"/>
        </w:rPr>
      </w:pPr>
      <w:bookmarkStart w:id="25" w:name="_Hlt74714665"/>
      <w:bookmarkEnd w:id="25"/>
      <w:bookmarkStart w:id="26" w:name="_Hlt74730295"/>
      <w:bookmarkEnd w:id="26"/>
      <w:r>
        <w:rPr>
          <w:rFonts w:hint="eastAsia" w:ascii="宋体" w:hAnsi="宋体" w:eastAsia="宋体" w:cs="宋体"/>
          <w:b/>
          <w:color w:val="000000" w:themeColor="text1"/>
          <w:sz w:val="24"/>
          <w:szCs w:val="24"/>
          <w:highlight w:val="none"/>
        </w:rPr>
        <w:t>二、投标须知</w:t>
      </w:r>
    </w:p>
    <w:p w14:paraId="0D886F72">
      <w:pPr>
        <w:pStyle w:val="13"/>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1.适用范围</w:t>
      </w:r>
    </w:p>
    <w:p w14:paraId="73E847B5">
      <w:pPr>
        <w:pStyle w:val="13"/>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本招标文件仅适用于本次采购项目的招标、投标、评标、定标、验收、合同履约、付款等行为。</w:t>
      </w:r>
    </w:p>
    <w:p w14:paraId="23E2F1DE">
      <w:pPr>
        <w:pStyle w:val="13"/>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2.定义</w:t>
      </w:r>
    </w:p>
    <w:p w14:paraId="0C168666">
      <w:pPr>
        <w:pStyle w:val="13"/>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2.1“</w:t>
      </w:r>
      <w:r>
        <w:rPr>
          <w:rFonts w:hint="eastAsia" w:ascii="宋体" w:hAnsi="宋体" w:eastAsia="宋体" w:cs="宋体"/>
          <w:color w:val="000000" w:themeColor="text1"/>
          <w:sz w:val="24"/>
          <w:szCs w:val="24"/>
          <w:highlight w:val="none"/>
        </w:rPr>
        <w:t>采购人（招标人）</w:t>
      </w:r>
      <w:r>
        <w:rPr>
          <w:rFonts w:hint="eastAsia" w:ascii="宋体" w:hAnsi="宋体" w:eastAsia="宋体" w:cs="宋体"/>
          <w:bCs/>
          <w:color w:val="000000" w:themeColor="text1"/>
          <w:sz w:val="24"/>
          <w:highlight w:val="none"/>
        </w:rPr>
        <w:t>”</w:t>
      </w:r>
      <w:r>
        <w:rPr>
          <w:rFonts w:hint="eastAsia" w:ascii="宋体" w:hAnsi="宋体" w:eastAsia="宋体" w:cs="宋体"/>
          <w:bCs/>
          <w:color w:val="000000" w:themeColor="text1"/>
          <w:sz w:val="24"/>
          <w:szCs w:val="24"/>
          <w:highlight w:val="none"/>
        </w:rPr>
        <w:t>是指依法进行政府采购的国家机关、事业单位、团体组织，见本项目“招标公告”。</w:t>
      </w:r>
    </w:p>
    <w:p w14:paraId="71E4D0CC">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2.2“招标（采购）代理机构：指受招标人委托，在委托的范围内办理政府采购事宜并组织招标活动的机构，见本项目“招标公告”。</w:t>
      </w:r>
    </w:p>
    <w:p w14:paraId="654196A4">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2.3“供应商、投标人”：系指响应本次招标，参加本次投标的独立法人。</w:t>
      </w:r>
    </w:p>
    <w:p w14:paraId="5860B835">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2.4“货物”：指供方按采购文件规定，须向采购人提供的一切设备、保险、税金、备品备件、工具、手册及其它有关技术资料和材料。</w:t>
      </w:r>
    </w:p>
    <w:p w14:paraId="7B243014">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2.5“服务”：指采购文件或合同规定投标人须承担的服务以及其他类似的义务。。</w:t>
      </w:r>
    </w:p>
    <w:p w14:paraId="261E92FD">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2.6“▲”系指实质性要求条款。</w:t>
      </w:r>
    </w:p>
    <w:p w14:paraId="757E5D50">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3.投标费用</w:t>
      </w:r>
    </w:p>
    <w:p w14:paraId="13EBECD2">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不论投标结果如何，投标人均应自行承担所有与投标有关的全部费用。</w:t>
      </w:r>
    </w:p>
    <w:p w14:paraId="48E66BF6">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4.招标方式</w:t>
      </w:r>
    </w:p>
    <w:p w14:paraId="24D53DE2">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本次招标采用公开招标方式进行。</w:t>
      </w:r>
    </w:p>
    <w:p w14:paraId="10969ED4">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5.联合体投标</w:t>
      </w:r>
    </w:p>
    <w:p w14:paraId="3961313C">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本项目不接受联合体投标。</w:t>
      </w:r>
    </w:p>
    <w:p w14:paraId="3AE9D906">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6.转包与分包</w:t>
      </w:r>
    </w:p>
    <w:p w14:paraId="15E8D66E">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本项目不允许转包与分包。</w:t>
      </w:r>
    </w:p>
    <w:p w14:paraId="2668194F">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7.支持中小企业发展</w:t>
      </w:r>
    </w:p>
    <w:p w14:paraId="39FFE63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7.1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2B087342">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符合中小企业划分标准；</w:t>
      </w:r>
    </w:p>
    <w:p w14:paraId="748DEFBC">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提供本企业制造的货物、承担的工程或者服务，或者提供其他中小企业制造的货物。本项所称货物不包括使用大型企业注册商标的货物。</w:t>
      </w:r>
    </w:p>
    <w:p w14:paraId="22368D6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本办法所称中小企业划分标准，是指国务院有关部门根据企业从业人员、营业收入、资产总额等指标制定的中小企业划型标准。</w:t>
      </w:r>
    </w:p>
    <w:p w14:paraId="1C8351CB">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小型、微型企业提供中型企业制造的货物的，视同为中型企业。</w:t>
      </w:r>
    </w:p>
    <w:p w14:paraId="65AC39D7">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7</w:t>
      </w:r>
      <w:r>
        <w:rPr>
          <w:rFonts w:hint="eastAsia" w:ascii="宋体" w:hAnsi="宋体" w:eastAsia="宋体" w:cs="宋体"/>
          <w:color w:val="000000" w:themeColor="text1"/>
          <w:sz w:val="24"/>
          <w:szCs w:val="24"/>
          <w:highlight w:val="none"/>
        </w:rPr>
        <w:t>.2根据财政部《司法部关于政府采购支持监狱企业发展有关问题》的通知（财库〔2014〕68号）的有关规定，监狱和戒毒企业参与政府采购活动的视同小型、微型企业，享受评审中价格扣除政策。</w:t>
      </w:r>
    </w:p>
    <w:p w14:paraId="77ED689E">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7</w:t>
      </w:r>
      <w:r>
        <w:rPr>
          <w:rFonts w:hint="eastAsia" w:ascii="宋体" w:hAnsi="宋体" w:eastAsia="宋体" w:cs="宋体"/>
          <w:color w:val="000000" w:themeColor="text1"/>
          <w:sz w:val="24"/>
          <w:szCs w:val="24"/>
          <w:highlight w:val="none"/>
        </w:rPr>
        <w:t>.3根据财库[2017]141号的相关规定，在政府采购活动中，残疾人福利性单位视同小型、微型企业，享受评审中价格扣除政策。</w:t>
      </w:r>
    </w:p>
    <w:p w14:paraId="4F7F2759">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7</w:t>
      </w:r>
      <w:r>
        <w:rPr>
          <w:rFonts w:hint="eastAsia" w:ascii="宋体" w:hAnsi="宋体" w:eastAsia="宋体" w:cs="宋体"/>
          <w:color w:val="000000" w:themeColor="text1"/>
          <w:sz w:val="24"/>
          <w:szCs w:val="24"/>
          <w:highlight w:val="none"/>
        </w:rPr>
        <w:t>.4小型、微型企业参加投标时，应提供《中小企业声明函》；监狱和戒毒企业参加投标时应提供由省级以上监狱管理局、戒毒管理局（含新疆生产建设兵团）出具的属于监狱企业的证明文件；残疾人福利性单位参加投标时应提供残疾人福利性单位声明函。不提供以上材料的投标人将不享受评审中价格扣除优惠。（中标供应商为小微企业、残疾人福利性单位、监狱企业的，应当随中标结果同时公告其《中小企业声明函》、《残疾人福利性单位声明函》、《监狱企业声明函》，接受社会监督。）</w:t>
      </w:r>
    </w:p>
    <w:p w14:paraId="4FFC71D5">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因本项目已是专门面向中小企业进行采购，根据文件规定专门面向中小企业采购的项目或者标项，不再执行价格评审优惠的扶持政策。</w:t>
      </w:r>
    </w:p>
    <w:p w14:paraId="76494094">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8.</w:t>
      </w:r>
      <w:r>
        <w:rPr>
          <w:rFonts w:hint="eastAsia" w:ascii="宋体" w:hAnsi="宋体" w:eastAsia="宋体" w:cs="宋体"/>
          <w:color w:val="000000" w:themeColor="text1"/>
          <w:sz w:val="24"/>
          <w:szCs w:val="24"/>
          <w:highlight w:val="none"/>
        </w:rPr>
        <w:t xml:space="preserve"> 支持绿色发展</w:t>
      </w:r>
    </w:p>
    <w:p w14:paraId="61FF7C2F">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8</w:t>
      </w:r>
      <w:r>
        <w:rPr>
          <w:rFonts w:hint="eastAsia" w:ascii="宋体" w:hAnsi="宋体" w:eastAsia="宋体" w:cs="宋体"/>
          <w:color w:val="000000" w:themeColor="text1"/>
          <w:sz w:val="24"/>
          <w:szCs w:val="24"/>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2095FB9">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b/>
          <w:color w:val="000000" w:themeColor="text1"/>
          <w:sz w:val="24"/>
          <w:highlight w:val="none"/>
        </w:rPr>
      </w:pPr>
      <w:r>
        <w:rPr>
          <w:rFonts w:hint="eastAsia" w:ascii="宋体" w:hAnsi="宋体" w:eastAsia="宋体" w:cs="宋体"/>
          <w:color w:val="000000" w:themeColor="text1"/>
          <w:sz w:val="24"/>
          <w:szCs w:val="24"/>
          <w:highlight w:val="none"/>
          <w:lang w:val="en-US" w:eastAsia="zh-CN"/>
        </w:rPr>
        <w:t>8.2</w:t>
      </w:r>
      <w:r>
        <w:rPr>
          <w:rFonts w:hint="eastAsia" w:ascii="宋体" w:hAnsi="宋体" w:eastAsia="宋体" w:cs="宋体"/>
          <w:color w:val="000000" w:themeColor="text1"/>
          <w:sz w:val="24"/>
          <w:szCs w:val="24"/>
          <w:highlight w:val="none"/>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5E24E0D4">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9</w:t>
      </w:r>
      <w:r>
        <w:rPr>
          <w:rFonts w:hint="eastAsia" w:ascii="宋体" w:hAnsi="宋体" w:eastAsia="宋体" w:cs="宋体"/>
          <w:color w:val="000000" w:themeColor="text1"/>
          <w:sz w:val="24"/>
          <w:szCs w:val="24"/>
          <w:highlight w:val="none"/>
        </w:rPr>
        <w:t>.特别说明：</w:t>
      </w:r>
    </w:p>
    <w:p w14:paraId="54C69FF2">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9</w:t>
      </w:r>
      <w:r>
        <w:rPr>
          <w:rFonts w:hint="eastAsia" w:ascii="宋体" w:hAnsi="宋体" w:eastAsia="宋体" w:cs="宋体"/>
          <w:color w:val="000000" w:themeColor="text1"/>
          <w:sz w:val="24"/>
          <w:szCs w:val="24"/>
          <w:highlight w:val="none"/>
        </w:rPr>
        <w:t>.1投标人投标所使用的资格、信誉、荣誉、业绩与企业认证必须为本法人（负责人）所拥有。</w:t>
      </w:r>
    </w:p>
    <w:p w14:paraId="6B35A052">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9</w:t>
      </w:r>
      <w:r>
        <w:rPr>
          <w:rFonts w:hint="eastAsia" w:ascii="宋体" w:hAnsi="宋体" w:eastAsia="宋体" w:cs="宋体"/>
          <w:color w:val="000000" w:themeColor="text1"/>
          <w:sz w:val="24"/>
          <w:szCs w:val="24"/>
          <w:highlight w:val="none"/>
        </w:rPr>
        <w:t>.2投标人应仔细阅读采购文件的所有内容，按照采购文件的要求提交投标文件，并对所提供的全部资料的真实性承担法律责任。</w:t>
      </w:r>
    </w:p>
    <w:p w14:paraId="19F8873B">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b/>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9</w:t>
      </w:r>
      <w:r>
        <w:rPr>
          <w:rFonts w:hint="eastAsia" w:ascii="宋体" w:hAnsi="宋体" w:eastAsia="宋体" w:cs="宋体"/>
          <w:color w:val="000000" w:themeColor="text1"/>
          <w:sz w:val="24"/>
          <w:szCs w:val="24"/>
          <w:highlight w:val="none"/>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5FE2F1A2">
      <w:pPr>
        <w:keepNext w:val="0"/>
        <w:keepLines w:val="0"/>
        <w:pageBreakBefore w:val="0"/>
        <w:kinsoku/>
        <w:wordWrap/>
        <w:overflowPunct/>
        <w:topLinePunct w:val="0"/>
        <w:autoSpaceDE/>
        <w:autoSpaceDN/>
        <w:bidi w:val="0"/>
        <w:snapToGrid w:val="0"/>
        <w:spacing w:line="480" w:lineRule="exact"/>
        <w:textAlignment w:val="auto"/>
        <w:outlineLvl w:val="1"/>
        <w:rPr>
          <w:rFonts w:hint="eastAsia" w:ascii="宋体" w:hAnsi="宋体" w:eastAsia="宋体" w:cs="宋体"/>
          <w:b/>
          <w:color w:val="000000" w:themeColor="text1"/>
          <w:sz w:val="24"/>
          <w:szCs w:val="24"/>
          <w:highlight w:val="none"/>
        </w:rPr>
      </w:pPr>
      <w:bookmarkStart w:id="27" w:name="_Toc91899880"/>
      <w:bookmarkStart w:id="28" w:name="_Hlt74730307"/>
      <w:r>
        <w:rPr>
          <w:rFonts w:hint="eastAsia" w:ascii="宋体" w:hAnsi="宋体" w:eastAsia="宋体" w:cs="宋体"/>
          <w:b/>
          <w:color w:val="000000" w:themeColor="text1"/>
          <w:sz w:val="24"/>
          <w:szCs w:val="24"/>
          <w:highlight w:val="none"/>
        </w:rPr>
        <w:t>三、招标文件说明</w:t>
      </w:r>
    </w:p>
    <w:p w14:paraId="4E46F500">
      <w:pPr>
        <w:pStyle w:val="13"/>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1.招标文件的</w:t>
      </w:r>
      <w:bookmarkEnd w:id="27"/>
      <w:r>
        <w:rPr>
          <w:rFonts w:hint="eastAsia" w:ascii="宋体" w:hAnsi="宋体" w:eastAsia="宋体" w:cs="宋体"/>
          <w:bCs/>
          <w:color w:val="000000" w:themeColor="text1"/>
          <w:sz w:val="24"/>
          <w:highlight w:val="none"/>
        </w:rPr>
        <w:t>组成</w:t>
      </w:r>
    </w:p>
    <w:bookmarkEnd w:id="28"/>
    <w:p w14:paraId="6F357CEF">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1.1 招标公告</w:t>
      </w:r>
    </w:p>
    <w:p w14:paraId="1D8DA4F6">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1.2 投标须知前附表及投标须知</w:t>
      </w:r>
    </w:p>
    <w:p w14:paraId="45B26E25">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1.3 采购内容及要求</w:t>
      </w:r>
    </w:p>
    <w:p w14:paraId="473CCA20">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1.4 合同文本</w:t>
      </w:r>
    </w:p>
    <w:p w14:paraId="5B9B1856">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1.5 应提交的有关格式范例</w:t>
      </w:r>
    </w:p>
    <w:p w14:paraId="442D4F66">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1.6 评标办法及开评标程序</w:t>
      </w:r>
    </w:p>
    <w:p w14:paraId="296C40BA">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补充文件（如果有，包括相关的补充、更正、澄清公告和文件）</w:t>
      </w:r>
    </w:p>
    <w:p w14:paraId="320A981E">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其他附件（如果有，如图纸等）</w:t>
      </w:r>
    </w:p>
    <w:p w14:paraId="10B661C0">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2.投标人应认真审阅上述招标文件组成中所有的内容。如果投标人编制的投标文件没有从实质上响应招标文件的要求，其投标文件将被拒绝。</w:t>
      </w:r>
    </w:p>
    <w:p w14:paraId="6A67455E">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3.采购文件的澄清</w:t>
      </w:r>
    </w:p>
    <w:p w14:paraId="7C877C1F">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3.1供应商在获取采购文件后，若有问题需要澄清或认为有必要与采购人进行技术交流，应于投标截止时间前，将问题发电子邮件至838382</w:t>
      </w:r>
      <w:r>
        <w:rPr>
          <w:rFonts w:hint="eastAsia" w:ascii="宋体" w:hAnsi="宋体" w:cs="宋体"/>
          <w:color w:val="000000" w:themeColor="text1"/>
          <w:sz w:val="24"/>
          <w:highlight w:val="none"/>
          <w:lang w:eastAsia="zh-CN"/>
        </w:rPr>
        <w:t>122</w:t>
      </w:r>
      <w:r>
        <w:rPr>
          <w:rFonts w:hint="eastAsia" w:ascii="宋体" w:hAnsi="宋体" w:eastAsia="宋体" w:cs="宋体"/>
          <w:color w:val="000000" w:themeColor="text1"/>
          <w:sz w:val="24"/>
          <w:highlight w:val="none"/>
        </w:rPr>
        <w:t>9@qq.com （电子邮件与书面文件有不一致的，以书面文件为准）。截止期后的疑问将不予受理、答复。</w:t>
      </w:r>
    </w:p>
    <w:p w14:paraId="27D17F61">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3.2供应商要求解释或澄清的问题应以书面形式送达，并加盖公章、写明日期。</w:t>
      </w:r>
    </w:p>
    <w:p w14:paraId="0A19350B">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3.3所有要求解释或澄清的问题都予以解答，答疑内容与补充内容以更正（澄清）公告形式告知所有获取采购文件的供应商。</w:t>
      </w:r>
    </w:p>
    <w:p w14:paraId="32BAF510">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4.采购文件的修改</w:t>
      </w:r>
    </w:p>
    <w:p w14:paraId="58358514">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供应商；不足15日的，采购人或者采购代理机构应当顺延提交投标文件的截止时间。</w:t>
      </w:r>
    </w:p>
    <w:p w14:paraId="1225D6C3">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4.2采购文件的修改将以更正（澄清）公告通知所有获取采购文件的供应商，并对其具有约束力。供应商应及时关注浙江政府采购网上该项目的公告信息。</w:t>
      </w:r>
    </w:p>
    <w:p w14:paraId="5699205A">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4.3在更正（澄清）公告发布后，如果供应商认为编制投标文件的时间不充分的，必须在公告发布之日的24小时内通知采购人和采购代理机构。否则，视同供应商有充足时间编制投标文件。</w:t>
      </w:r>
    </w:p>
    <w:p w14:paraId="3D4709EF">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4.4采购文件澄清、答复、修改、补充的内容为采购文件的组成部分。当采购文件与采购文件的答复、澄清、修改、补充通知就同一内容的表述不一致时，以最后发出的更正（澄清）公告为准。</w:t>
      </w:r>
    </w:p>
    <w:p w14:paraId="1D59FBF2">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4.5采购文件的澄清、答复、修改或补充都应该通过本代理机构以法定形式发布，除此以外的发布不属于采购文件的组成部分。</w:t>
      </w:r>
    </w:p>
    <w:p w14:paraId="4081B25D">
      <w:pPr>
        <w:keepNext w:val="0"/>
        <w:keepLines w:val="0"/>
        <w:pageBreakBefore w:val="0"/>
        <w:kinsoku/>
        <w:wordWrap/>
        <w:overflowPunct/>
        <w:topLinePunct w:val="0"/>
        <w:autoSpaceDE/>
        <w:autoSpaceDN/>
        <w:bidi w:val="0"/>
        <w:snapToGrid w:val="0"/>
        <w:spacing w:line="480" w:lineRule="exact"/>
        <w:ind w:left="142"/>
        <w:textAlignment w:val="auto"/>
        <w:outlineLvl w:val="1"/>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四、</w:t>
      </w:r>
      <w:bookmarkStart w:id="29" w:name="_Toc356371435"/>
      <w:bookmarkStart w:id="30" w:name="_Toc359856800"/>
      <w:r>
        <w:rPr>
          <w:rFonts w:hint="eastAsia" w:ascii="宋体" w:hAnsi="宋体" w:eastAsia="宋体" w:cs="宋体"/>
          <w:b/>
          <w:color w:val="000000" w:themeColor="text1"/>
          <w:sz w:val="24"/>
          <w:szCs w:val="24"/>
          <w:highlight w:val="none"/>
        </w:rPr>
        <w:t>投标文件的编制</w:t>
      </w:r>
      <w:bookmarkEnd w:id="29"/>
      <w:bookmarkEnd w:id="30"/>
    </w:p>
    <w:p w14:paraId="0AE5CBD7">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1.总体要求</w:t>
      </w:r>
    </w:p>
    <w:p w14:paraId="1C9E6537">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供应商应认真阅读采购文件中所有的事项、格式、条款和技术要求等。如果供应商没有按照采购文件要求和规定编制投标文件及提交全部资料，或者投标没有对采购文件中各方面作出实质性响应，其风险应由供应商承担。</w:t>
      </w:r>
    </w:p>
    <w:p w14:paraId="004E1BD1">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人应确保所提供投标文件资料的有效性和真实性，所有文件资料必须是针对本次投标的。如发现投标人在投标活动中提供虚假文件资料，其投标无效，并报监管部门查处；中标后发现的，中标人还须按照《中华人民共和国消费者权益保护法》第49条之规定双倍赔偿采购人，且民事赔偿并不免除违法投标人的行政与刑事责任。</w:t>
      </w:r>
    </w:p>
    <w:p w14:paraId="3CAC2F94">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投标文件及供应商与采购人之间与投标有关的来往通知、函件和文件均应使用简体中文。除签名、盖章、专用名称等特殊情形外，以中文汉语以外的文字表述的投标文件视同未提供。供应商提交的支持文件和印刷的文献可以用另一种语言，但相应内容应附有中文翻译文本，在解释投标文件时以中文翻译文本为准。</w:t>
      </w:r>
    </w:p>
    <w:p w14:paraId="1BFF4AD0">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1.3投标人应按本文件中提供的文件格式、内容和要求制作投标文件。</w:t>
      </w:r>
    </w:p>
    <w:p w14:paraId="271293F1">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2.投标文件的组成及份数</w:t>
      </w:r>
    </w:p>
    <w:p w14:paraId="7F9CA88A">
      <w:pPr>
        <w:keepNext w:val="0"/>
        <w:keepLines w:val="0"/>
        <w:pageBreakBefore w:val="0"/>
        <w:tabs>
          <w:tab w:val="left" w:pos="0"/>
          <w:tab w:val="left" w:pos="900"/>
          <w:tab w:val="left" w:pos="7020"/>
          <w:tab w:val="left" w:pos="8460"/>
        </w:tabs>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w:t>
      </w:r>
      <w:r>
        <w:rPr>
          <w:rFonts w:hint="eastAsia" w:ascii="宋体" w:hAnsi="宋体" w:eastAsia="宋体" w:cs="宋体"/>
          <w:color w:val="000000" w:themeColor="text1"/>
          <w:sz w:val="24"/>
          <w:szCs w:val="24"/>
          <w:highlight w:val="none"/>
        </w:rPr>
        <w:t>投标文件（电子投标文件）应分为【资格审查文件】、【商务技术文件】和【报价文件】。</w:t>
      </w:r>
      <w:r>
        <w:rPr>
          <w:rFonts w:hint="eastAsia" w:ascii="宋体" w:hAnsi="宋体" w:eastAsia="宋体" w:cs="宋体"/>
          <w:b/>
          <w:color w:val="000000" w:themeColor="text1"/>
          <w:sz w:val="24"/>
          <w:szCs w:val="24"/>
          <w:highlight w:val="none"/>
        </w:rPr>
        <w:t>电子投标文件中须加盖公章部分均采用CA签章。</w:t>
      </w:r>
    </w:p>
    <w:p w14:paraId="6F4A0895">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b/>
          <w:color w:val="000000" w:themeColor="text1"/>
          <w:sz w:val="24"/>
          <w:szCs w:val="24"/>
          <w:highlight w:val="none"/>
        </w:rPr>
        <w:t>2.1▲</w:t>
      </w:r>
      <w:r>
        <w:rPr>
          <w:rFonts w:hint="eastAsia" w:ascii="宋体" w:hAnsi="宋体" w:eastAsia="宋体" w:cs="宋体"/>
          <w:color w:val="000000" w:themeColor="text1"/>
          <w:sz w:val="24"/>
          <w:szCs w:val="24"/>
          <w:highlight w:val="none"/>
        </w:rPr>
        <w:t>【资格审查文件】</w:t>
      </w:r>
    </w:p>
    <w:p w14:paraId="69E2E567">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2.1.1 营业执照(或事业法人登记证书)扫描件；（提供原件的扫描件加盖CA签章）； </w:t>
      </w:r>
    </w:p>
    <w:p w14:paraId="00334905">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w:t>
      </w:r>
      <w:r>
        <w:rPr>
          <w:rFonts w:hint="eastAsia" w:ascii="宋体" w:hAnsi="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rPr>
        <w:t>法定代表人身份证明或法定代表人授权书；</w:t>
      </w:r>
    </w:p>
    <w:p w14:paraId="55096B64">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w:t>
      </w:r>
      <w:r>
        <w:rPr>
          <w:rFonts w:hint="eastAsia" w:ascii="宋体" w:hAnsi="宋体" w:cs="宋体"/>
          <w:color w:val="000000" w:themeColor="text1"/>
          <w:sz w:val="24"/>
          <w:szCs w:val="24"/>
          <w:highlight w:val="none"/>
          <w:lang w:val="en-US" w:eastAsia="zh-CN"/>
        </w:rPr>
        <w:t xml:space="preserve">3 </w:t>
      </w:r>
      <w:r>
        <w:rPr>
          <w:rFonts w:hint="eastAsia" w:ascii="宋体" w:hAnsi="宋体" w:eastAsia="宋体" w:cs="宋体"/>
          <w:color w:val="000000" w:themeColor="text1"/>
          <w:sz w:val="24"/>
          <w:szCs w:val="24"/>
          <w:highlight w:val="none"/>
        </w:rPr>
        <w:t>2023年度财务报表(新成立的公司提供情况说明)；（提供原件的扫描件加盖CA签章）</w:t>
      </w:r>
    </w:p>
    <w:p w14:paraId="66F9A1C6">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w:t>
      </w:r>
      <w:r>
        <w:rPr>
          <w:rFonts w:hint="eastAsia" w:ascii="宋体" w:hAnsi="宋体" w:cs="宋体"/>
          <w:color w:val="000000" w:themeColor="text1"/>
          <w:sz w:val="24"/>
          <w:szCs w:val="24"/>
          <w:highlight w:val="none"/>
          <w:lang w:val="en-US" w:eastAsia="zh-CN"/>
        </w:rPr>
        <w:t>4</w:t>
      </w:r>
      <w:r>
        <w:rPr>
          <w:rFonts w:hint="eastAsia" w:ascii="宋体" w:hAnsi="宋体" w:eastAsia="宋体" w:cs="宋体"/>
          <w:color w:val="000000" w:themeColor="text1"/>
          <w:sz w:val="24"/>
          <w:szCs w:val="24"/>
          <w:highlight w:val="none"/>
        </w:rPr>
        <w:t>具有履行合同所必需的专业服务（技术）能力的承诺函；</w:t>
      </w:r>
    </w:p>
    <w:p w14:paraId="03910344">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w:t>
      </w:r>
      <w:r>
        <w:rPr>
          <w:rFonts w:hint="eastAsia" w:ascii="宋体" w:hAnsi="宋体" w:cs="宋体"/>
          <w:color w:val="000000" w:themeColor="text1"/>
          <w:sz w:val="24"/>
          <w:szCs w:val="24"/>
          <w:highlight w:val="none"/>
          <w:lang w:val="en-US" w:eastAsia="zh-CN"/>
        </w:rPr>
        <w:t>5</w:t>
      </w:r>
      <w:r>
        <w:rPr>
          <w:rFonts w:hint="eastAsia" w:ascii="宋体" w:hAnsi="宋体" w:eastAsia="宋体" w:cs="宋体"/>
          <w:color w:val="000000" w:themeColor="text1"/>
          <w:sz w:val="24"/>
          <w:szCs w:val="24"/>
          <w:highlight w:val="none"/>
        </w:rPr>
        <w:t xml:space="preserve"> 依法缴纳税收和社会保障资金的承诺函；</w:t>
      </w:r>
    </w:p>
    <w:p w14:paraId="0F585FB3">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bCs/>
          <w:color w:val="000000" w:themeColor="text1"/>
          <w:sz w:val="24"/>
          <w:szCs w:val="24"/>
          <w:highlight w:val="none"/>
        </w:rPr>
        <w:t>2.1.</w:t>
      </w:r>
      <w:r>
        <w:rPr>
          <w:rFonts w:hint="eastAsia" w:ascii="宋体" w:hAnsi="宋体" w:cs="宋体"/>
          <w:bCs/>
          <w:color w:val="000000" w:themeColor="text1"/>
          <w:sz w:val="24"/>
          <w:szCs w:val="24"/>
          <w:highlight w:val="none"/>
          <w:lang w:val="en-US" w:eastAsia="zh-CN"/>
        </w:rPr>
        <w:t>6</w:t>
      </w:r>
      <w:r>
        <w:rPr>
          <w:rFonts w:hint="eastAsia" w:ascii="宋体" w:hAnsi="宋体" w:eastAsia="宋体" w:cs="宋体"/>
          <w:bCs/>
          <w:color w:val="000000" w:themeColor="text1"/>
          <w:sz w:val="24"/>
          <w:szCs w:val="24"/>
          <w:highlight w:val="none"/>
        </w:rPr>
        <w:t xml:space="preserve"> </w:t>
      </w:r>
      <w:r>
        <w:rPr>
          <w:rFonts w:hint="eastAsia" w:ascii="宋体" w:hAnsi="宋体" w:eastAsia="宋体" w:cs="宋体"/>
          <w:color w:val="000000" w:themeColor="text1"/>
          <w:sz w:val="24"/>
          <w:szCs w:val="24"/>
          <w:highlight w:val="none"/>
        </w:rPr>
        <w:t>没有重大违法记录承诺函；</w:t>
      </w:r>
    </w:p>
    <w:p w14:paraId="501DAB78">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w:t>
      </w:r>
      <w:r>
        <w:rPr>
          <w:rFonts w:hint="eastAsia" w:ascii="宋体" w:hAnsi="宋体" w:cs="宋体"/>
          <w:color w:val="000000" w:themeColor="text1"/>
          <w:sz w:val="24"/>
          <w:szCs w:val="24"/>
          <w:highlight w:val="none"/>
          <w:lang w:val="en-US" w:eastAsia="zh-CN"/>
        </w:rPr>
        <w:t>7</w:t>
      </w:r>
      <w:r>
        <w:rPr>
          <w:rFonts w:hint="eastAsia" w:ascii="宋体" w:hAnsi="宋体" w:eastAsia="宋体" w:cs="宋体"/>
          <w:bCs/>
          <w:color w:val="000000" w:themeColor="text1"/>
          <w:sz w:val="24"/>
          <w:szCs w:val="24"/>
          <w:highlight w:val="none"/>
        </w:rPr>
        <w:t xml:space="preserve"> 与其他供应商无利害关系的声明函；</w:t>
      </w:r>
    </w:p>
    <w:p w14:paraId="13BF9F8D">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rPr>
        <w:t>2.1.</w:t>
      </w:r>
      <w:r>
        <w:rPr>
          <w:rFonts w:hint="eastAsia" w:ascii="宋体" w:hAnsi="宋体" w:cs="宋体"/>
          <w:color w:val="000000" w:themeColor="text1"/>
          <w:sz w:val="24"/>
          <w:szCs w:val="24"/>
          <w:highlight w:val="none"/>
          <w:lang w:val="en-US" w:eastAsia="zh-CN"/>
        </w:rPr>
        <w:t>8</w:t>
      </w:r>
      <w:r>
        <w:rPr>
          <w:rFonts w:hint="eastAsia" w:ascii="宋体" w:hAnsi="宋体" w:eastAsia="宋体" w:cs="宋体"/>
          <w:color w:val="000000" w:themeColor="text1"/>
          <w:sz w:val="24"/>
          <w:szCs w:val="24"/>
          <w:highlight w:val="none"/>
        </w:rPr>
        <w:t xml:space="preserve"> 服务承诺书</w:t>
      </w:r>
      <w:r>
        <w:rPr>
          <w:rFonts w:hint="eastAsia" w:ascii="宋体" w:hAnsi="宋体" w:cs="宋体"/>
          <w:color w:val="000000" w:themeColor="text1"/>
          <w:sz w:val="24"/>
          <w:szCs w:val="24"/>
          <w:highlight w:val="none"/>
          <w:lang w:eastAsia="zh-CN"/>
        </w:rPr>
        <w:t>；</w:t>
      </w:r>
    </w:p>
    <w:p w14:paraId="2AF4C398">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w:t>
      </w:r>
      <w:r>
        <w:rPr>
          <w:rFonts w:hint="eastAsia" w:ascii="宋体" w:hAnsi="宋体" w:cs="宋体"/>
          <w:color w:val="000000" w:themeColor="text1"/>
          <w:sz w:val="24"/>
          <w:szCs w:val="24"/>
          <w:highlight w:val="none"/>
          <w:lang w:val="en-US" w:eastAsia="zh-CN"/>
        </w:rPr>
        <w:t xml:space="preserve">9 </w:t>
      </w:r>
      <w:r>
        <w:rPr>
          <w:rFonts w:hint="eastAsia" w:ascii="宋体" w:hAnsi="宋体" w:eastAsia="宋体" w:cs="宋体"/>
          <w:color w:val="000000" w:themeColor="text1"/>
          <w:sz w:val="24"/>
          <w:szCs w:val="24"/>
          <w:highlight w:val="none"/>
        </w:rPr>
        <w:t>中小企业声明函；</w:t>
      </w:r>
    </w:p>
    <w:p w14:paraId="79868F32">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2.1.10</w:t>
      </w:r>
      <w:r>
        <w:rPr>
          <w:rFonts w:hint="eastAsia" w:ascii="宋体" w:hAnsi="宋体" w:eastAsia="宋体" w:cs="宋体"/>
          <w:color w:val="000000" w:themeColor="text1"/>
          <w:sz w:val="24"/>
          <w:szCs w:val="24"/>
          <w:highlight w:val="none"/>
        </w:rPr>
        <w:t>投标人认为需要提供的其它资料（如有）。</w:t>
      </w:r>
    </w:p>
    <w:p w14:paraId="47371F26">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2.2【商务技术文件】</w:t>
      </w:r>
    </w:p>
    <w:p w14:paraId="7FED4980">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2.2.1 自评分表；</w:t>
      </w:r>
    </w:p>
    <w:p w14:paraId="2002D774">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2.2.2 投标声明函；</w:t>
      </w:r>
    </w:p>
    <w:p w14:paraId="65F498E7">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2.2.3 投标人认为需要提供的其它资料（具体要求见评分办法）</w:t>
      </w:r>
    </w:p>
    <w:p w14:paraId="6EFB3233">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2.3【报价文件】</w:t>
      </w:r>
    </w:p>
    <w:p w14:paraId="3D86DE92">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2.3.1▲报价一览表；  </w:t>
      </w:r>
    </w:p>
    <w:p w14:paraId="1885D157">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2.3.</w:t>
      </w:r>
      <w:r>
        <w:rPr>
          <w:rFonts w:hint="eastAsia" w:ascii="宋体" w:hAnsi="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rPr>
        <w:t>投标人认为需要提供的其它资料（如有）。</w:t>
      </w:r>
    </w:p>
    <w:p w14:paraId="1C545CE7">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3.投标报价</w:t>
      </w:r>
    </w:p>
    <w:p w14:paraId="1C943BD3">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3.1投标报价应按招标文件中相关附表格式填写</w:t>
      </w:r>
    </w:p>
    <w:p w14:paraId="199D7EBB">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3.2本项目预算最高限价：</w:t>
      </w:r>
      <w:r>
        <w:rPr>
          <w:rFonts w:hint="eastAsia" w:ascii="宋体" w:hAnsi="宋体" w:cs="宋体"/>
          <w:color w:val="000000" w:themeColor="text1"/>
          <w:sz w:val="24"/>
          <w:szCs w:val="24"/>
          <w:highlight w:val="none"/>
          <w:lang w:val="en-US" w:eastAsia="zh-CN"/>
        </w:rPr>
        <w:t>1220000</w:t>
      </w:r>
      <w:r>
        <w:rPr>
          <w:rFonts w:hint="eastAsia" w:ascii="宋体" w:hAnsi="宋体" w:eastAsia="宋体" w:cs="宋体"/>
          <w:color w:val="000000" w:themeColor="text1"/>
          <w:sz w:val="24"/>
          <w:szCs w:val="24"/>
          <w:highlight w:val="none"/>
        </w:rPr>
        <w:t>元。投标人报价超过最高限价的作无效报价处理，取消其投标资格。</w:t>
      </w:r>
    </w:p>
    <w:p w14:paraId="261D306A">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3.3本项目报价采用人民币报价形式，投标人的报价应低于最高限价，否则其投标无效。签约合同价包含本项目招标内容及要求及合同约定所有货物/服务内容所需所有的人工工资（含社会保险费、公积金、超时补贴、绩效考核经费、伙食费、劳保用品、员工住宿交通差旅费用等）、规费、税费、企业管理费、利润以及合同包含的所有风险、责任等各项应有费用。在合同期间内不得违反国家相关政策规定。（说明：如发生不可抗力及突发性事件，中标供应商要无条件听从采购人指挥，配合采购人。费用已包括在投标报价内，采购人不再另行支付其他费用。）如有漏项，视同已包含在其中，在不改变产品参数及数量的前提下，合同单价不做调整。</w:t>
      </w:r>
      <w:r>
        <w:rPr>
          <w:rFonts w:hint="eastAsia" w:ascii="宋体" w:hAnsi="宋体" w:eastAsia="宋体" w:cs="宋体"/>
          <w:color w:val="000000" w:themeColor="text1"/>
          <w:sz w:val="24"/>
          <w:szCs w:val="24"/>
          <w:highlight w:val="none"/>
          <w:lang w:val="en-US" w:eastAsia="zh-CN"/>
        </w:rPr>
        <w:t>投标人</w:t>
      </w:r>
      <w:r>
        <w:rPr>
          <w:rFonts w:hint="eastAsia" w:ascii="宋体" w:hAnsi="宋体" w:eastAsia="宋体" w:cs="宋体"/>
          <w:color w:val="000000" w:themeColor="text1"/>
          <w:sz w:val="24"/>
          <w:szCs w:val="24"/>
          <w:highlight w:val="none"/>
        </w:rPr>
        <w:t>承担一切风险责任。</w:t>
      </w:r>
    </w:p>
    <w:p w14:paraId="73801589">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3.4本项目只允许一次报价，不允许以开标后调整的报价作为评标的依据（但按本采购文件投标须知投标文件错误的修正并经评标委员会认定或经供应商确认同意的除外）。</w:t>
      </w:r>
    </w:p>
    <w:p w14:paraId="285BC3C3">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4.投标有效期</w:t>
      </w:r>
    </w:p>
    <w:p w14:paraId="3596DA06">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rPr>
        <w:t>4.1▲投标文件从投标文件递交截止之日起，有效期为90天</w:t>
      </w:r>
      <w:r>
        <w:rPr>
          <w:rFonts w:hint="eastAsia" w:ascii="宋体" w:hAnsi="宋体" w:cs="宋体"/>
          <w:color w:val="000000" w:themeColor="text1"/>
          <w:sz w:val="24"/>
          <w:szCs w:val="24"/>
          <w:highlight w:val="none"/>
          <w:lang w:eastAsia="zh-CN"/>
        </w:rPr>
        <w:t>。</w:t>
      </w:r>
    </w:p>
    <w:p w14:paraId="1FD2A83D">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14:paraId="731E27D8">
      <w:pPr>
        <w:keepNext w:val="0"/>
        <w:keepLines w:val="0"/>
        <w:pageBreakBefore w:val="0"/>
        <w:kinsoku/>
        <w:wordWrap/>
        <w:overflowPunct/>
        <w:topLinePunct w:val="0"/>
        <w:autoSpaceDE/>
        <w:autoSpaceDN/>
        <w:bidi w:val="0"/>
        <w:snapToGrid w:val="0"/>
        <w:spacing w:line="480" w:lineRule="exact"/>
        <w:textAlignment w:val="auto"/>
        <w:outlineLvl w:val="1"/>
        <w:rPr>
          <w:rFonts w:hint="eastAsia" w:ascii="宋体" w:hAnsi="宋体" w:eastAsia="宋体" w:cs="宋体"/>
          <w:b/>
          <w:color w:val="000000" w:themeColor="text1"/>
          <w:sz w:val="24"/>
          <w:szCs w:val="24"/>
          <w:highlight w:val="none"/>
        </w:rPr>
      </w:pPr>
      <w:bookmarkStart w:id="31" w:name="_Toc12522"/>
      <w:bookmarkStart w:id="32" w:name="_Toc356371436"/>
      <w:bookmarkStart w:id="33" w:name="_Toc359856801"/>
      <w:r>
        <w:rPr>
          <w:rFonts w:hint="eastAsia" w:ascii="宋体" w:hAnsi="宋体" w:eastAsia="宋体" w:cs="宋体"/>
          <w:b/>
          <w:color w:val="000000" w:themeColor="text1"/>
          <w:sz w:val="24"/>
          <w:szCs w:val="24"/>
          <w:highlight w:val="none"/>
        </w:rPr>
        <w:t>五、投标保证金</w:t>
      </w:r>
      <w:bookmarkEnd w:id="31"/>
      <w:bookmarkEnd w:id="32"/>
      <w:bookmarkEnd w:id="33"/>
    </w:p>
    <w:p w14:paraId="0FC399DD">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本项目不收取投标保证金。</w:t>
      </w:r>
    </w:p>
    <w:p w14:paraId="011C6CFF">
      <w:pPr>
        <w:keepNext w:val="0"/>
        <w:keepLines w:val="0"/>
        <w:pageBreakBefore w:val="0"/>
        <w:kinsoku/>
        <w:wordWrap/>
        <w:overflowPunct/>
        <w:topLinePunct w:val="0"/>
        <w:autoSpaceDE/>
        <w:autoSpaceDN/>
        <w:bidi w:val="0"/>
        <w:snapToGrid w:val="0"/>
        <w:spacing w:line="480" w:lineRule="exact"/>
        <w:textAlignment w:val="auto"/>
        <w:outlineLvl w:val="1"/>
        <w:rPr>
          <w:rFonts w:hint="eastAsia" w:ascii="宋体" w:hAnsi="宋体" w:eastAsia="宋体" w:cs="宋体"/>
          <w:b/>
          <w:color w:val="000000" w:themeColor="text1"/>
          <w:sz w:val="24"/>
          <w:szCs w:val="24"/>
          <w:highlight w:val="none"/>
        </w:rPr>
      </w:pPr>
      <w:bookmarkStart w:id="34" w:name="_Toc359856802"/>
      <w:bookmarkStart w:id="35" w:name="_Toc11923"/>
      <w:r>
        <w:rPr>
          <w:rFonts w:hint="eastAsia" w:ascii="宋体" w:hAnsi="宋体" w:eastAsia="宋体" w:cs="宋体"/>
          <w:b/>
          <w:color w:val="000000" w:themeColor="text1"/>
          <w:sz w:val="24"/>
          <w:szCs w:val="24"/>
          <w:highlight w:val="none"/>
        </w:rPr>
        <w:t>六、投标文件的签署及</w:t>
      </w:r>
      <w:bookmarkEnd w:id="34"/>
      <w:bookmarkEnd w:id="35"/>
      <w:r>
        <w:rPr>
          <w:rFonts w:hint="eastAsia" w:ascii="宋体" w:hAnsi="宋体" w:eastAsia="宋体" w:cs="宋体"/>
          <w:b/>
          <w:color w:val="000000" w:themeColor="text1"/>
          <w:sz w:val="24"/>
          <w:szCs w:val="24"/>
          <w:highlight w:val="none"/>
        </w:rPr>
        <w:t>盖章</w:t>
      </w:r>
    </w:p>
    <w:p w14:paraId="1FED814D">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bookmarkStart w:id="36" w:name="_Toc359856803"/>
      <w:bookmarkStart w:id="37" w:name="_Toc22308"/>
      <w:bookmarkStart w:id="38" w:name="_Toc356371437"/>
      <w:r>
        <w:rPr>
          <w:rFonts w:hint="eastAsia" w:ascii="宋体" w:hAnsi="宋体" w:eastAsia="宋体" w:cs="宋体"/>
          <w:color w:val="000000" w:themeColor="text1"/>
          <w:sz w:val="24"/>
          <w:szCs w:val="24"/>
          <w:highlight w:val="none"/>
        </w:rPr>
        <w:t>1.1投标文件按照采购文件第五章格式要求进行签署、盖章。供应商的投标文件未按照招标文件要求签署、盖章的，其投标无效。</w:t>
      </w:r>
    </w:p>
    <w:p w14:paraId="71DDB705">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1.2为确保网上操作合法、有效和安全，供应商应当在投标截止时间前完成在“政府采购云平台”的身份认证，确保在电子投标过程中能够对相关数据电文进行加密和使用电子签名。</w:t>
      </w:r>
    </w:p>
    <w:p w14:paraId="23DB9017">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1.3投标人应按本招标文件规定的格式和顺序编制、装订投标文件并标注页码，投标文件内容不完整、编排混乱导致投标文件被误读、漏读或者查找不到相关内容的，是投标人的责任。</w:t>
      </w:r>
    </w:p>
    <w:p w14:paraId="58840DDB">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1.4本项目通过“政采云平台（www.zcygov.cn）”实行在线投标响应（电子投标）。供应商应通过“政采云电子交易客户端”，并按照本招标文件和“政采云平台”的要求编制并加密投标文件。</w:t>
      </w:r>
    </w:p>
    <w:p w14:paraId="375F246A">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1.5投标人应当按照“投标文件组成”规定的内容及顺序在“政采云电子交易客户端”编制投标文件。其中《资格审查文件》和《商务技术文件》中不得出现本项目投标报价，如因投标人原因提前泄露投标报价，是投标人的责任。</w:t>
      </w:r>
    </w:p>
    <w:p w14:paraId="4242E0B0">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1.6投标文件需做好“标书关联”（即设置关联点），未设置关联点而导致失分或无效投标处理的风险由投标人承担。</w:t>
      </w:r>
    </w:p>
    <w:p w14:paraId="3748D6D6">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1.7投标文件应按招标文件中投标格式文件所示列要求由投标人的法定代表人或其授权的代理人签字、盖单位公章。投标人的法定代表人授权代理人签字的，投标文件应附由法定代表人签署的授权委托书。</w:t>
      </w:r>
    </w:p>
    <w:p w14:paraId="511A7925">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1.8投标文件不得涂改，若有修改和增删处，必须加盖单位公章或法定代表人或授权委托人签字或盖章。投标文件字迹模糊、潦草或在关键的技术、商务条款上表述不清所引起的后果由投标人负责。</w:t>
      </w:r>
    </w:p>
    <w:p w14:paraId="712E790C">
      <w:pPr>
        <w:keepNext w:val="0"/>
        <w:keepLines w:val="0"/>
        <w:pageBreakBefore w:val="0"/>
        <w:kinsoku/>
        <w:wordWrap/>
        <w:overflowPunct/>
        <w:topLinePunct w:val="0"/>
        <w:autoSpaceDE/>
        <w:autoSpaceDN/>
        <w:bidi w:val="0"/>
        <w:snapToGrid w:val="0"/>
        <w:spacing w:line="480" w:lineRule="exact"/>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七、投标文件的递交</w:t>
      </w:r>
      <w:bookmarkEnd w:id="36"/>
      <w:bookmarkEnd w:id="37"/>
      <w:bookmarkEnd w:id="38"/>
    </w:p>
    <w:p w14:paraId="5174A078">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1.递交投标文件截止期</w:t>
      </w:r>
    </w:p>
    <w:p w14:paraId="3CF4E66A">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投标文件，将被拒收。</w:t>
      </w:r>
    </w:p>
    <w:p w14:paraId="0DC48BAB">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1.2投标截止时间后，供应商登录政采云平台，用“项目采购-开标评标”功能对电子投标文件进行在线解密。在线解密电子投标文件时间为开标时间起30分钟内。</w:t>
      </w:r>
    </w:p>
    <w:p w14:paraId="439FBE9A">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2.备份投标文件</w:t>
      </w:r>
    </w:p>
    <w:p w14:paraId="4AA8F6D3">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投供应商在电子交易平台传输递交投标文件后，还可以按投标须知前附表规定（非强制性要求，推荐EMS或顺丰邮寄形式）递交“备份投标文件”1份，但采购人、代理机构不强制或变相强制供应商提交“备份投标文件”。</w:t>
      </w:r>
    </w:p>
    <w:p w14:paraId="55B979EF">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2.2“备份投标文件”须在“政采云投标客户端”制作生成，并储存在U盘中。“备份投标文件”应当密封包装并在包装上加盖公章并注明投标项目名称，供应商名称。</w:t>
      </w:r>
    </w:p>
    <w:p w14:paraId="1E8D9540">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▲不符合上述制作、存储、密封规定的“备份投标文件”将被视为无效或者被拒绝接收。</w:t>
      </w:r>
    </w:p>
    <w:p w14:paraId="038DEC08">
      <w:pPr>
        <w:keepNext w:val="0"/>
        <w:keepLines w:val="0"/>
        <w:pageBreakBefore w:val="0"/>
        <w:kinsoku/>
        <w:wordWrap/>
        <w:overflowPunct/>
        <w:topLinePunct w:val="0"/>
        <w:autoSpaceDE/>
        <w:autoSpaceDN/>
        <w:bidi w:val="0"/>
        <w:snapToGrid w:val="0"/>
        <w:spacing w:line="480" w:lineRule="exact"/>
        <w:textAlignment w:val="auto"/>
        <w:outlineLvl w:val="1"/>
        <w:rPr>
          <w:rFonts w:hint="eastAsia" w:ascii="宋体" w:hAnsi="宋体" w:eastAsia="宋体" w:cs="宋体"/>
          <w:b/>
          <w:color w:val="000000" w:themeColor="text1"/>
          <w:sz w:val="24"/>
          <w:szCs w:val="24"/>
          <w:highlight w:val="none"/>
        </w:rPr>
      </w:pPr>
      <w:bookmarkStart w:id="39" w:name="_Toc359856806"/>
      <w:bookmarkStart w:id="40" w:name="_Toc30209"/>
      <w:bookmarkStart w:id="41" w:name="_Toc91899887"/>
      <w:r>
        <w:rPr>
          <w:rFonts w:hint="eastAsia" w:ascii="宋体" w:hAnsi="宋体" w:eastAsia="宋体" w:cs="宋体"/>
          <w:b/>
          <w:color w:val="000000" w:themeColor="text1"/>
          <w:sz w:val="24"/>
          <w:szCs w:val="24"/>
          <w:highlight w:val="none"/>
        </w:rPr>
        <w:t>八、开标和评标</w:t>
      </w:r>
      <w:bookmarkEnd w:id="39"/>
      <w:bookmarkEnd w:id="40"/>
    </w:p>
    <w:p w14:paraId="7A5BC996">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1.开标</w:t>
      </w:r>
    </w:p>
    <w:p w14:paraId="18EAD124">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1.1采购人将于前附表规定的时间和地点公开开标。若采购人修改采购文件更改了开标时间和地点的，以后者为准，供应商不足3家的，不得开标。</w:t>
      </w:r>
    </w:p>
    <w:p w14:paraId="4F9157C4">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1.2开标时，电子交易平台按开标时间自动提取所有投标文件。代理机构依托电子交易平台发起开始解密指令，供应商按照平台提示和招标文件的规定在半小时内完成在线解密。</w:t>
      </w:r>
    </w:p>
    <w:p w14:paraId="3A01D4B6">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1.3投标文件未按时解密，供应商提供了“备份投标文件”的，以“备份投标文件”作为依据，否则视为投标文件撤回。投标文件已按时解密的，“备份投标文件”自动失效。</w:t>
      </w:r>
    </w:p>
    <w:p w14:paraId="1187FE62">
      <w:pPr>
        <w:keepNext w:val="0"/>
        <w:keepLines w:val="0"/>
        <w:pageBreakBefore w:val="0"/>
        <w:numPr>
          <w:ilvl w:val="0"/>
          <w:numId w:val="2"/>
        </w:numPr>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资格审查</w:t>
      </w:r>
    </w:p>
    <w:p w14:paraId="6CE0FCFB">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2.1开标后，采购人或代理机构将依法对供应商的资格进行审查。</w:t>
      </w:r>
    </w:p>
    <w:p w14:paraId="7A88F685">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2.2采购人或代理机构依据法律法规和采购文件的规定，对供应商的基本资格条件、特定资格条件进行审查。</w:t>
      </w:r>
    </w:p>
    <w:p w14:paraId="0C49B691">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2.3供应商未按照采购文件要求提供与资格条件相应的有效资格证明材料的，视为供应商不具备采购文件中规定的资格要求，其投标无效。</w:t>
      </w:r>
    </w:p>
    <w:p w14:paraId="1E3396B2">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2.4对未通过资格审查的供应商，采购人或代理机构告知其未通过的原因。</w:t>
      </w:r>
    </w:p>
    <w:p w14:paraId="4ACD8097">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2.5合格供应商不足3家的，不再评标。</w:t>
      </w:r>
    </w:p>
    <w:p w14:paraId="5D968060">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3.信用信息查询</w:t>
      </w:r>
    </w:p>
    <w:p w14:paraId="0A50FA30">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3.1信用信息查询渠道及截止时间：代理机构将通过“信用中国”网站(www.creditchina.gov.cn)、中国政府采购网(www.ccgp.gov.cn)渠道查询供应商投标截止时间当天前三年内的信用记录。</w:t>
      </w:r>
    </w:p>
    <w:p w14:paraId="790D2BE8">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3.2信用信息查询记录和证据留存的具体方式：现场查询的供应商的信用记录、查询结果经确认后将与采购文件一起存档。</w:t>
      </w:r>
    </w:p>
    <w:p w14:paraId="1410A983">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3.3信用信息的使用规则：经查询列入被列入失信被执行人、重大税收违法案件当事人名单、政府采购严重违法失信行为记录名单或浙江政府采购网曝光台中尚在行政处罚期内及其它不符合《中华人民共和国政府采购法》第二十二条规定条件的情形的供应商将被拒绝参与政府采购活动。</w:t>
      </w:r>
    </w:p>
    <w:p w14:paraId="729B931A">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本项目不适用）</w:t>
      </w:r>
    </w:p>
    <w:p w14:paraId="60351797">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bookmarkStart w:id="42" w:name="_Toc356371440"/>
      <w:bookmarkStart w:id="43" w:name="_Toc8418"/>
      <w:bookmarkStart w:id="44" w:name="_Toc359856807"/>
      <w:r>
        <w:rPr>
          <w:rFonts w:hint="eastAsia" w:ascii="宋体" w:hAnsi="宋体" w:eastAsia="宋体" w:cs="宋体"/>
          <w:color w:val="000000" w:themeColor="text1"/>
          <w:sz w:val="24"/>
          <w:szCs w:val="24"/>
          <w:highlight w:val="none"/>
        </w:rPr>
        <w:t>4.评标程序</w:t>
      </w:r>
    </w:p>
    <w:p w14:paraId="6708131D">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color w:val="000000" w:themeColor="text1"/>
          <w:sz w:val="24"/>
          <w:szCs w:val="24"/>
          <w:highlight w:val="none"/>
        </w:rPr>
        <w:t>4.1符合性审查：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供应商的竞争地位产生不公正的影响。评标委员会决定投标文件的响应性只根据投标文件本身的内容，而不寻求外部证据。如果投标文件实质不响应招标文件的各项要求，评标委员会将予以拒绝，并且不允许供应商通过修改或撤销其不符合要求的差异或保留，使之成为</w:t>
      </w:r>
      <w:r>
        <w:rPr>
          <w:rFonts w:hint="eastAsia" w:ascii="宋体" w:hAnsi="宋体" w:eastAsia="宋体" w:cs="宋体"/>
          <w:snapToGrid w:val="0"/>
          <w:color w:val="000000" w:themeColor="text1"/>
          <w:kern w:val="0"/>
          <w:sz w:val="24"/>
          <w:szCs w:val="24"/>
          <w:highlight w:val="none"/>
        </w:rPr>
        <w:t>具有实质性响应的投标。符合投标无效情形的，投标无效。</w:t>
      </w:r>
    </w:p>
    <w:p w14:paraId="3ED6F906">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在符合性审查时，如发现下列情形之一的，投标文件将被视为无效投标：</w:t>
      </w:r>
    </w:p>
    <w:p w14:paraId="6FD5A732">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单位负责人为同一人或者存在直接控股、管理关系的不同供应商参加同一合同项下的政府采购活动的（均无效）；</w:t>
      </w:r>
    </w:p>
    <w:p w14:paraId="7A7FB79F">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为采购项目提供整体设计、规范编制或者项目管理、监理、检测等服务的</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再参加该采购项目的其他采购活动的；</w:t>
      </w:r>
    </w:p>
    <w:p w14:paraId="4C6C253E">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如以联合体形式参加政府采购活动的，联合体协议不符合采购文件规定的联合体协议要求的；</w:t>
      </w:r>
    </w:p>
    <w:p w14:paraId="31E0DBB3">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投标文件未按规定的格式编制的；</w:t>
      </w:r>
    </w:p>
    <w:p w14:paraId="55B8124C">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投标文件未按采购文件的澄清、修改的内容编制，又不符合实质性要求的；</w:t>
      </w:r>
    </w:p>
    <w:p w14:paraId="2D304F76">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投标文件组成漏项，内容不全或内容字迹模糊辨认不清的；</w:t>
      </w:r>
    </w:p>
    <w:p w14:paraId="638775E0">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《报价一览表》填写不完整或字迹不能辨认或有漏项的；</w:t>
      </w:r>
    </w:p>
    <w:p w14:paraId="6B990A4C">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投标文件未按照招标文件要求签署、盖章的；</w:t>
      </w:r>
    </w:p>
    <w:p w14:paraId="713BB608">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采购人拟采购的产品属于政府强制采购的节能产品品目清单范围的，投标人相应的投标产品未获得国家确定的认证机构出具的、处于有效期之内的节能产品认证证书的；</w:t>
      </w:r>
    </w:p>
    <w:p w14:paraId="598A2AC2">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投标文件含有采购人不能接受的附加条件的；</w:t>
      </w:r>
    </w:p>
    <w:p w14:paraId="17EAFC40">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投标文件中承诺的投标有效期少于招标文件中载明的投标有效期的；</w:t>
      </w:r>
    </w:p>
    <w:p w14:paraId="691646A0">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投标文件出现不是唯一的、有选择性投标报价的；</w:t>
      </w:r>
    </w:p>
    <w:p w14:paraId="5A56B9A8">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投标报价超过招标文件中规定的预算金额或者最高限价的；</w:t>
      </w:r>
    </w:p>
    <w:p w14:paraId="3E6A10A0">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报价明显低于其他通过符合性审查投标人的报价，有可能影响产品质量或者不能诚信履约的，未能按要求提供书面说明或者提交相关证明材料，不能证明其报价合理性的；</w:t>
      </w:r>
    </w:p>
    <w:p w14:paraId="273FC601">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投标人对根据修正原则修正后的报价不确认的；</w:t>
      </w:r>
    </w:p>
    <w:p w14:paraId="5F557120">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投标人仅提交备份投标文件，未在电子交易平台传输递交投标文件的，投标无效；</w:t>
      </w:r>
    </w:p>
    <w:p w14:paraId="559CE461">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对一个标项存在一个或一个以上备选（替代）投标方案的；</w:t>
      </w:r>
    </w:p>
    <w:p w14:paraId="5AC23C4F">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未采用人民币报价或者未按照招标文件标明的币种报价的；</w:t>
      </w:r>
    </w:p>
    <w:p w14:paraId="25167AFA">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投标文件没有对本采购文件作出实质性响应的，或不满足（不响应）本采购文件中标注“▲”的实质性要求条款的，或存在采购文件中明确规定的其他无效响应文件情形的；</w:t>
      </w:r>
    </w:p>
    <w:p w14:paraId="57284BAC">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供应商提供虚假材料响应的（包括但不限于以下情节）；</w:t>
      </w:r>
    </w:p>
    <w:p w14:paraId="3EA3C9B5">
      <w:pPr>
        <w:pStyle w:val="20"/>
        <w:keepNext w:val="0"/>
        <w:keepLines w:val="0"/>
        <w:pageBreakBefore w:val="0"/>
        <w:kinsoku/>
        <w:wordWrap/>
        <w:overflowPunct/>
        <w:topLinePunct w:val="0"/>
        <w:autoSpaceDE/>
        <w:autoSpaceDN/>
        <w:bidi w:val="0"/>
        <w:spacing w:after="0" w:line="48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1）使用伪造、变造的许可证件；</w:t>
      </w:r>
    </w:p>
    <w:p w14:paraId="74BDAC6F">
      <w:pPr>
        <w:pStyle w:val="20"/>
        <w:keepNext w:val="0"/>
        <w:keepLines w:val="0"/>
        <w:pageBreakBefore w:val="0"/>
        <w:kinsoku/>
        <w:wordWrap/>
        <w:overflowPunct/>
        <w:topLinePunct w:val="0"/>
        <w:autoSpaceDE/>
        <w:autoSpaceDN/>
        <w:bidi w:val="0"/>
        <w:spacing w:after="0" w:line="48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2）提供虚假的财务状况或者业绩；</w:t>
      </w:r>
    </w:p>
    <w:p w14:paraId="4C23D9C0">
      <w:pPr>
        <w:pStyle w:val="20"/>
        <w:keepNext w:val="0"/>
        <w:keepLines w:val="0"/>
        <w:pageBreakBefore w:val="0"/>
        <w:kinsoku/>
        <w:wordWrap/>
        <w:overflowPunct/>
        <w:topLinePunct w:val="0"/>
        <w:autoSpaceDE/>
        <w:autoSpaceDN/>
        <w:bidi w:val="0"/>
        <w:spacing w:after="0" w:line="48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3）提供虚假的项目负责人或者主要技术人员简历、劳动关系证明；</w:t>
      </w:r>
    </w:p>
    <w:p w14:paraId="7D3240BF">
      <w:pPr>
        <w:pStyle w:val="20"/>
        <w:keepNext w:val="0"/>
        <w:keepLines w:val="0"/>
        <w:pageBreakBefore w:val="0"/>
        <w:kinsoku/>
        <w:wordWrap/>
        <w:overflowPunct/>
        <w:topLinePunct w:val="0"/>
        <w:autoSpaceDE/>
        <w:autoSpaceDN/>
        <w:bidi w:val="0"/>
        <w:spacing w:after="0" w:line="48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4）提供虚假的信用状况；</w:t>
      </w:r>
    </w:p>
    <w:p w14:paraId="3A394001">
      <w:pPr>
        <w:pStyle w:val="20"/>
        <w:keepNext w:val="0"/>
        <w:keepLines w:val="0"/>
        <w:pageBreakBefore w:val="0"/>
        <w:kinsoku/>
        <w:wordWrap/>
        <w:overflowPunct/>
        <w:topLinePunct w:val="0"/>
        <w:autoSpaceDE/>
        <w:autoSpaceDN/>
        <w:bidi w:val="0"/>
        <w:spacing w:after="0" w:line="48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5）其他弄虚作假的行为。</w:t>
      </w:r>
    </w:p>
    <w:p w14:paraId="3A26D81C">
      <w:pPr>
        <w:pStyle w:val="20"/>
        <w:keepNext w:val="0"/>
        <w:keepLines w:val="0"/>
        <w:pageBreakBefore w:val="0"/>
        <w:kinsoku/>
        <w:wordWrap/>
        <w:overflowPunct/>
        <w:topLinePunct w:val="0"/>
        <w:autoSpaceDE/>
        <w:autoSpaceDN/>
        <w:bidi w:val="0"/>
        <w:spacing w:after="0" w:line="48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（21）供应商有恶意串通、妨碍其他供应商的竞争行为、损害采购人或者其他供应商的合法权益情形的，有下列情形之一的，属于或视为恶意串通，其响应无效：</w:t>
      </w:r>
    </w:p>
    <w:p w14:paraId="2B3AEC67">
      <w:pPr>
        <w:pStyle w:val="20"/>
        <w:keepNext w:val="0"/>
        <w:keepLines w:val="0"/>
        <w:pageBreakBefore w:val="0"/>
        <w:kinsoku/>
        <w:wordWrap/>
        <w:overflowPunct/>
        <w:topLinePunct w:val="0"/>
        <w:autoSpaceDE/>
        <w:autoSpaceDN/>
        <w:bidi w:val="0"/>
        <w:spacing w:after="0" w:line="48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1）供应商直接或者间接从采购人或者采购代理机构处获得其他供应商的相关情况并修改其投标文件；</w:t>
      </w:r>
    </w:p>
    <w:p w14:paraId="0A8251C5">
      <w:pPr>
        <w:pStyle w:val="20"/>
        <w:keepNext w:val="0"/>
        <w:keepLines w:val="0"/>
        <w:pageBreakBefore w:val="0"/>
        <w:kinsoku/>
        <w:wordWrap/>
        <w:overflowPunct/>
        <w:topLinePunct w:val="0"/>
        <w:autoSpaceDE/>
        <w:autoSpaceDN/>
        <w:bidi w:val="0"/>
        <w:spacing w:after="0" w:line="48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2）供应商按照采购人或者采购代理机构的授意撤换、修改投标文件或者响应文件；</w:t>
      </w:r>
    </w:p>
    <w:p w14:paraId="4B696BF1">
      <w:pPr>
        <w:pStyle w:val="20"/>
        <w:keepNext w:val="0"/>
        <w:keepLines w:val="0"/>
        <w:pageBreakBefore w:val="0"/>
        <w:kinsoku/>
        <w:wordWrap/>
        <w:overflowPunct/>
        <w:topLinePunct w:val="0"/>
        <w:autoSpaceDE/>
        <w:autoSpaceDN/>
        <w:bidi w:val="0"/>
        <w:spacing w:after="0" w:line="48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3）供应商之间协商报价、技术方案等投标文件或者响应文件的实质性内容；</w:t>
      </w:r>
    </w:p>
    <w:p w14:paraId="014436DF">
      <w:pPr>
        <w:pStyle w:val="20"/>
        <w:keepNext w:val="0"/>
        <w:keepLines w:val="0"/>
        <w:pageBreakBefore w:val="0"/>
        <w:kinsoku/>
        <w:wordWrap/>
        <w:overflowPunct/>
        <w:topLinePunct w:val="0"/>
        <w:autoSpaceDE/>
        <w:autoSpaceDN/>
        <w:bidi w:val="0"/>
        <w:spacing w:after="0" w:line="48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4）属于同一集团、协会、商会等组织成员的供应商按照该组织要求协同参加政府采购活动；</w:t>
      </w:r>
    </w:p>
    <w:p w14:paraId="3CA617E4">
      <w:pPr>
        <w:pStyle w:val="20"/>
        <w:keepNext w:val="0"/>
        <w:keepLines w:val="0"/>
        <w:pageBreakBefore w:val="0"/>
        <w:kinsoku/>
        <w:wordWrap/>
        <w:overflowPunct/>
        <w:topLinePunct w:val="0"/>
        <w:autoSpaceDE/>
        <w:autoSpaceDN/>
        <w:bidi w:val="0"/>
        <w:spacing w:after="0" w:line="48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5）供应商之间事先约定由某一特定供应商中标、成交；</w:t>
      </w:r>
    </w:p>
    <w:p w14:paraId="48F4DEC1">
      <w:pPr>
        <w:pStyle w:val="20"/>
        <w:keepNext w:val="0"/>
        <w:keepLines w:val="0"/>
        <w:pageBreakBefore w:val="0"/>
        <w:kinsoku/>
        <w:wordWrap/>
        <w:overflowPunct/>
        <w:topLinePunct w:val="0"/>
        <w:autoSpaceDE/>
        <w:autoSpaceDN/>
        <w:bidi w:val="0"/>
        <w:spacing w:after="0" w:line="48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6）供应商之间商定部分供应商放弃参加政府采购活动或者放弃中标、成交；</w:t>
      </w:r>
    </w:p>
    <w:p w14:paraId="76A3E47F">
      <w:pPr>
        <w:pStyle w:val="20"/>
        <w:keepNext w:val="0"/>
        <w:keepLines w:val="0"/>
        <w:pageBreakBefore w:val="0"/>
        <w:kinsoku/>
        <w:wordWrap/>
        <w:overflowPunct/>
        <w:topLinePunct w:val="0"/>
        <w:autoSpaceDE/>
        <w:autoSpaceDN/>
        <w:bidi w:val="0"/>
        <w:spacing w:after="0" w:line="48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7）供应商与采购人或者采购代理机构之间、供应商相互之间，为谋求特定供应商中标、成交或者排斥其他供应商的其他串通行为。</w:t>
      </w:r>
    </w:p>
    <w:p w14:paraId="051AB8E2">
      <w:pPr>
        <w:pStyle w:val="20"/>
        <w:keepNext w:val="0"/>
        <w:keepLines w:val="0"/>
        <w:pageBreakBefore w:val="0"/>
        <w:kinsoku/>
        <w:wordWrap/>
        <w:overflowPunct/>
        <w:topLinePunct w:val="0"/>
        <w:autoSpaceDE/>
        <w:autoSpaceDN/>
        <w:bidi w:val="0"/>
        <w:spacing w:after="0" w:line="48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8）不同供应商的响应文件由同一单位或者个人编制；</w:t>
      </w:r>
    </w:p>
    <w:p w14:paraId="2912E75C">
      <w:pPr>
        <w:pStyle w:val="20"/>
        <w:keepNext w:val="0"/>
        <w:keepLines w:val="0"/>
        <w:pageBreakBefore w:val="0"/>
        <w:kinsoku/>
        <w:wordWrap/>
        <w:overflowPunct/>
        <w:topLinePunct w:val="0"/>
        <w:autoSpaceDE/>
        <w:autoSpaceDN/>
        <w:bidi w:val="0"/>
        <w:spacing w:after="0" w:line="48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9）不同供应商委托同一单位或者个人办理响应事宜；</w:t>
      </w:r>
    </w:p>
    <w:p w14:paraId="637BC3BB">
      <w:pPr>
        <w:pStyle w:val="20"/>
        <w:keepNext w:val="0"/>
        <w:keepLines w:val="0"/>
        <w:pageBreakBefore w:val="0"/>
        <w:kinsoku/>
        <w:wordWrap/>
        <w:overflowPunct/>
        <w:topLinePunct w:val="0"/>
        <w:autoSpaceDE/>
        <w:autoSpaceDN/>
        <w:bidi w:val="0"/>
        <w:spacing w:after="0" w:line="48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10）不同供应商的响应文件载明的项目管理成员或者联系人员为同一人；</w:t>
      </w:r>
    </w:p>
    <w:p w14:paraId="62206EE5">
      <w:pPr>
        <w:pStyle w:val="20"/>
        <w:keepNext w:val="0"/>
        <w:keepLines w:val="0"/>
        <w:pageBreakBefore w:val="0"/>
        <w:kinsoku/>
        <w:wordWrap/>
        <w:overflowPunct/>
        <w:topLinePunct w:val="0"/>
        <w:autoSpaceDE/>
        <w:autoSpaceDN/>
        <w:bidi w:val="0"/>
        <w:spacing w:after="0" w:line="48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11）不同供应商的响应文件异常一致或者最后报价呈规律性差异；</w:t>
      </w:r>
    </w:p>
    <w:p w14:paraId="31AD10B3">
      <w:pPr>
        <w:pStyle w:val="20"/>
        <w:keepNext w:val="0"/>
        <w:keepLines w:val="0"/>
        <w:pageBreakBefore w:val="0"/>
        <w:kinsoku/>
        <w:wordWrap/>
        <w:overflowPunct/>
        <w:topLinePunct w:val="0"/>
        <w:autoSpaceDE/>
        <w:autoSpaceDN/>
        <w:bidi w:val="0"/>
        <w:spacing w:after="0" w:line="48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12）不同供应商的响应文件相互混装</w:t>
      </w:r>
    </w:p>
    <w:p w14:paraId="6217556E">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rPr>
        <w:t>（22）法律、法规、规章（适用本市的）及省级以上规范性文件（适用本市的）规定的其他无效情形；</w:t>
      </w:r>
    </w:p>
    <w:p w14:paraId="397C3B12">
      <w:pPr>
        <w:pStyle w:val="29"/>
        <w:keepNext w:val="0"/>
        <w:keepLines w:val="0"/>
        <w:pageBreakBefore w:val="0"/>
        <w:kinsoku/>
        <w:wordWrap/>
        <w:overflowPunct/>
        <w:topLinePunct w:val="0"/>
        <w:autoSpaceDE/>
        <w:autoSpaceDN/>
        <w:bidi w:val="0"/>
        <w:spacing w:before="0" w:line="480" w:lineRule="exact"/>
        <w:ind w:firstLine="549" w:firstLineChars="228"/>
        <w:textAlignment w:val="auto"/>
        <w:rPr>
          <w:rFonts w:hint="eastAsia" w:ascii="宋体" w:hAnsi="宋体" w:eastAsia="宋体" w:cs="宋体"/>
          <w:snapToGrid w:val="0"/>
          <w:color w:val="000000" w:themeColor="text1"/>
          <w:kern w:val="0"/>
          <w:szCs w:val="24"/>
          <w:highlight w:val="none"/>
        </w:rPr>
      </w:pPr>
      <w:r>
        <w:rPr>
          <w:rFonts w:hint="eastAsia" w:ascii="宋体" w:hAnsi="宋体" w:eastAsia="宋体" w:cs="宋体"/>
          <w:b/>
          <w:bCs/>
          <w:snapToGrid w:val="0"/>
          <w:color w:val="000000" w:themeColor="text1"/>
          <w:kern w:val="0"/>
          <w:szCs w:val="24"/>
          <w:highlight w:val="none"/>
        </w:rPr>
        <w:t>4.2投标人澄清、说明或者补正：</w:t>
      </w:r>
      <w:r>
        <w:rPr>
          <w:rFonts w:hint="eastAsia" w:ascii="宋体" w:hAnsi="宋体" w:eastAsia="宋体" w:cs="宋体"/>
          <w:snapToGrid w:val="0"/>
          <w:color w:val="000000" w:themeColor="text1"/>
          <w:kern w:val="0"/>
          <w:szCs w:val="24"/>
          <w:highlight w:val="none"/>
        </w:rPr>
        <w:t>对于投标文件中含义不明确、同类问题表述不一致或者有明显文字和计算错误的内容需要投标人作出必要的澄清、说明或者补正的，评标委员会和</w:t>
      </w:r>
      <w:r>
        <w:rPr>
          <w:rFonts w:hint="eastAsia" w:ascii="宋体" w:hAnsi="宋体" w:eastAsia="宋体" w:cs="宋体"/>
          <w:color w:val="000000" w:themeColor="text1"/>
          <w:szCs w:val="24"/>
          <w:highlight w:val="none"/>
        </w:rPr>
        <w:t>供应商</w:t>
      </w:r>
      <w:r>
        <w:rPr>
          <w:rFonts w:hint="eastAsia" w:ascii="宋体" w:hAnsi="宋体" w:eastAsia="宋体" w:cs="宋体"/>
          <w:snapToGrid w:val="0"/>
          <w:color w:val="000000" w:themeColor="text1"/>
          <w:kern w:val="0"/>
          <w:szCs w:val="24"/>
          <w:highlight w:val="none"/>
        </w:rPr>
        <w:t>通过电子交易平台交换数据电文，</w:t>
      </w:r>
      <w:r>
        <w:rPr>
          <w:rFonts w:hint="eastAsia" w:ascii="宋体" w:hAnsi="宋体" w:eastAsia="宋体" w:cs="宋体"/>
          <w:color w:val="000000" w:themeColor="text1"/>
          <w:szCs w:val="24"/>
          <w:highlight w:val="none"/>
        </w:rPr>
        <w:t>供应商</w:t>
      </w:r>
      <w:r>
        <w:rPr>
          <w:rFonts w:hint="eastAsia" w:ascii="宋体" w:hAnsi="宋体" w:eastAsia="宋体" w:cs="宋体"/>
          <w:snapToGrid w:val="0"/>
          <w:color w:val="000000" w:themeColor="text1"/>
          <w:kern w:val="0"/>
          <w:szCs w:val="24"/>
          <w:highlight w:val="none"/>
        </w:rPr>
        <w:t>提交使用电子签名的相关数据电文或通过平台上传加盖公章的扫描件。给予</w:t>
      </w:r>
      <w:r>
        <w:rPr>
          <w:rFonts w:hint="eastAsia" w:ascii="宋体" w:hAnsi="宋体" w:eastAsia="宋体" w:cs="宋体"/>
          <w:color w:val="000000" w:themeColor="text1"/>
          <w:szCs w:val="24"/>
          <w:highlight w:val="none"/>
        </w:rPr>
        <w:t>供应商</w:t>
      </w:r>
      <w:r>
        <w:rPr>
          <w:rFonts w:hint="eastAsia" w:ascii="宋体" w:hAnsi="宋体" w:eastAsia="宋体" w:cs="宋体"/>
          <w:snapToGrid w:val="0"/>
          <w:color w:val="000000" w:themeColor="text1"/>
          <w:kern w:val="0"/>
          <w:szCs w:val="24"/>
          <w:highlight w:val="none"/>
        </w:rPr>
        <w:t>提交澄清、说明或补正的时间不得少于半小时，</w:t>
      </w:r>
      <w:r>
        <w:rPr>
          <w:rFonts w:hint="eastAsia" w:ascii="宋体" w:hAnsi="宋体" w:eastAsia="宋体" w:cs="宋体"/>
          <w:color w:val="000000" w:themeColor="text1"/>
          <w:szCs w:val="24"/>
          <w:highlight w:val="none"/>
        </w:rPr>
        <w:t>供应商</w:t>
      </w:r>
      <w:r>
        <w:rPr>
          <w:rFonts w:hint="eastAsia" w:ascii="宋体" w:hAnsi="宋体" w:eastAsia="宋体" w:cs="宋体"/>
          <w:snapToGrid w:val="0"/>
          <w:color w:val="000000" w:themeColor="text1"/>
          <w:kern w:val="0"/>
          <w:szCs w:val="24"/>
          <w:highlight w:val="none"/>
        </w:rPr>
        <w:t>已经明确表示澄清说明或补正完毕的除外。</w:t>
      </w:r>
      <w:r>
        <w:rPr>
          <w:rFonts w:hint="eastAsia" w:ascii="宋体" w:hAnsi="宋体" w:eastAsia="宋体" w:cs="宋体"/>
          <w:color w:val="000000" w:themeColor="text1"/>
          <w:szCs w:val="24"/>
          <w:highlight w:val="none"/>
        </w:rPr>
        <w:t>供应商</w:t>
      </w:r>
      <w:r>
        <w:rPr>
          <w:rFonts w:hint="eastAsia" w:ascii="宋体" w:hAnsi="宋体" w:eastAsia="宋体" w:cs="宋体"/>
          <w:snapToGrid w:val="0"/>
          <w:color w:val="000000" w:themeColor="text1"/>
          <w:kern w:val="0"/>
          <w:szCs w:val="24"/>
          <w:highlight w:val="none"/>
        </w:rPr>
        <w:t>的澄清、说明或者补正不得超出投标文件的范围或者改变投标文件的实质性内容。</w:t>
      </w:r>
    </w:p>
    <w:p w14:paraId="73BBFE92">
      <w:pPr>
        <w:pStyle w:val="29"/>
        <w:keepNext w:val="0"/>
        <w:keepLines w:val="0"/>
        <w:pageBreakBefore w:val="0"/>
        <w:kinsoku/>
        <w:wordWrap/>
        <w:overflowPunct/>
        <w:topLinePunct w:val="0"/>
        <w:autoSpaceDE/>
        <w:autoSpaceDN/>
        <w:bidi w:val="0"/>
        <w:spacing w:before="0" w:line="480" w:lineRule="exact"/>
        <w:ind w:firstLine="602" w:firstLineChars="250"/>
        <w:textAlignment w:val="auto"/>
        <w:rPr>
          <w:rFonts w:hint="eastAsia" w:ascii="宋体" w:hAnsi="宋体" w:eastAsia="宋体" w:cs="宋体"/>
          <w:color w:val="000000" w:themeColor="text1"/>
          <w:kern w:val="0"/>
          <w:szCs w:val="24"/>
          <w:highlight w:val="none"/>
        </w:rPr>
      </w:pPr>
      <w:r>
        <w:rPr>
          <w:rFonts w:hint="eastAsia" w:ascii="宋体" w:hAnsi="宋体" w:eastAsia="宋体" w:cs="宋体"/>
          <w:b/>
          <w:bCs/>
          <w:snapToGrid w:val="0"/>
          <w:color w:val="000000" w:themeColor="text1"/>
          <w:kern w:val="0"/>
          <w:szCs w:val="24"/>
          <w:highlight w:val="none"/>
        </w:rPr>
        <w:t>4.3比较与评价：</w:t>
      </w:r>
      <w:r>
        <w:rPr>
          <w:rFonts w:hint="eastAsia" w:ascii="宋体" w:hAnsi="宋体" w:eastAsia="宋体" w:cs="宋体"/>
          <w:snapToGrid w:val="0"/>
          <w:color w:val="000000" w:themeColor="text1"/>
          <w:kern w:val="0"/>
          <w:szCs w:val="24"/>
          <w:highlight w:val="none"/>
        </w:rPr>
        <w:t>评标委员会应当按照评标标准，对符合性审查合格的投标文件进行商务和技术评估，综合比较与评价。</w:t>
      </w:r>
    </w:p>
    <w:p w14:paraId="57863DF6">
      <w:pPr>
        <w:pStyle w:val="29"/>
        <w:keepNext w:val="0"/>
        <w:keepLines w:val="0"/>
        <w:pageBreakBefore w:val="0"/>
        <w:kinsoku/>
        <w:wordWrap/>
        <w:overflowPunct/>
        <w:topLinePunct w:val="0"/>
        <w:autoSpaceDE/>
        <w:autoSpaceDN/>
        <w:bidi w:val="0"/>
        <w:spacing w:before="0" w:line="480" w:lineRule="exact"/>
        <w:ind w:firstLine="602" w:firstLineChars="250"/>
        <w:textAlignment w:val="auto"/>
        <w:rPr>
          <w:rFonts w:hint="eastAsia" w:ascii="宋体" w:hAnsi="宋体" w:eastAsia="宋体" w:cs="宋体"/>
          <w:color w:val="000000" w:themeColor="text1"/>
          <w:kern w:val="0"/>
          <w:szCs w:val="24"/>
          <w:highlight w:val="none"/>
        </w:rPr>
      </w:pPr>
      <w:r>
        <w:rPr>
          <w:rFonts w:hint="eastAsia" w:ascii="宋体" w:hAnsi="宋体" w:eastAsia="宋体" w:cs="宋体"/>
          <w:b/>
          <w:bCs/>
          <w:snapToGrid w:val="0"/>
          <w:color w:val="000000" w:themeColor="text1"/>
          <w:kern w:val="0"/>
          <w:szCs w:val="24"/>
          <w:highlight w:val="none"/>
        </w:rPr>
        <w:t>4.4汇总（商务技术得分情况）：</w:t>
      </w:r>
      <w:r>
        <w:rPr>
          <w:rFonts w:hint="eastAsia" w:ascii="宋体" w:hAnsi="宋体" w:eastAsia="宋体" w:cs="宋体"/>
          <w:snapToGrid w:val="0"/>
          <w:color w:val="000000" w:themeColor="text1"/>
          <w:kern w:val="0"/>
          <w:szCs w:val="24"/>
          <w:highlight w:val="none"/>
        </w:rPr>
        <w:t>评标委员会各成员应当独立对每个</w:t>
      </w:r>
      <w:r>
        <w:rPr>
          <w:rFonts w:hint="eastAsia" w:ascii="宋体" w:hAnsi="宋体" w:eastAsia="宋体" w:cs="宋体"/>
          <w:color w:val="000000" w:themeColor="text1"/>
          <w:szCs w:val="24"/>
          <w:highlight w:val="none"/>
        </w:rPr>
        <w:t>供应商</w:t>
      </w:r>
      <w:r>
        <w:rPr>
          <w:rFonts w:hint="eastAsia" w:ascii="宋体" w:hAnsi="宋体" w:eastAsia="宋体" w:cs="宋体"/>
          <w:snapToGrid w:val="0"/>
          <w:color w:val="000000" w:themeColor="text1"/>
          <w:kern w:val="0"/>
          <w:szCs w:val="24"/>
          <w:highlight w:val="none"/>
        </w:rPr>
        <w:t>的商务和技术文件进行评价，并汇总商务技术得分情况。</w:t>
      </w:r>
    </w:p>
    <w:p w14:paraId="6FC14A35">
      <w:pPr>
        <w:pStyle w:val="29"/>
        <w:keepNext w:val="0"/>
        <w:keepLines w:val="0"/>
        <w:pageBreakBefore w:val="0"/>
        <w:kinsoku/>
        <w:wordWrap/>
        <w:overflowPunct/>
        <w:topLinePunct w:val="0"/>
        <w:autoSpaceDE/>
        <w:autoSpaceDN/>
        <w:bidi w:val="0"/>
        <w:spacing w:before="0" w:line="480" w:lineRule="exact"/>
        <w:ind w:firstLine="602" w:firstLineChars="250"/>
        <w:textAlignment w:val="auto"/>
        <w:rPr>
          <w:rFonts w:hint="eastAsia" w:ascii="宋体" w:hAnsi="宋体" w:eastAsia="宋体" w:cs="宋体"/>
          <w:b/>
          <w:bCs/>
          <w:snapToGrid w:val="0"/>
          <w:color w:val="000000" w:themeColor="text1"/>
          <w:kern w:val="0"/>
          <w:szCs w:val="24"/>
          <w:highlight w:val="none"/>
        </w:rPr>
      </w:pPr>
      <w:r>
        <w:rPr>
          <w:rFonts w:hint="eastAsia" w:ascii="宋体" w:hAnsi="宋体" w:eastAsia="宋体" w:cs="宋体"/>
          <w:b/>
          <w:bCs/>
          <w:snapToGrid w:val="0"/>
          <w:color w:val="000000" w:themeColor="text1"/>
          <w:kern w:val="0"/>
          <w:szCs w:val="24"/>
          <w:highlight w:val="none"/>
        </w:rPr>
        <w:t>4.5报价审核：</w:t>
      </w:r>
      <w:r>
        <w:rPr>
          <w:rFonts w:hint="eastAsia" w:ascii="宋体" w:hAnsi="宋体" w:eastAsia="宋体" w:cs="宋体"/>
          <w:snapToGrid w:val="0"/>
          <w:color w:val="000000" w:themeColor="text1"/>
          <w:kern w:val="0"/>
          <w:szCs w:val="24"/>
          <w:highlight w:val="none"/>
        </w:rPr>
        <w:t>对经商务和技术评审符合采购需求的</w:t>
      </w:r>
      <w:r>
        <w:rPr>
          <w:rFonts w:hint="eastAsia" w:ascii="宋体" w:hAnsi="宋体" w:eastAsia="宋体" w:cs="宋体"/>
          <w:color w:val="000000" w:themeColor="text1"/>
          <w:szCs w:val="24"/>
          <w:highlight w:val="none"/>
        </w:rPr>
        <w:t>供应商</w:t>
      </w:r>
      <w:r>
        <w:rPr>
          <w:rFonts w:hint="eastAsia" w:ascii="宋体" w:hAnsi="宋体" w:eastAsia="宋体" w:cs="宋体"/>
          <w:snapToGrid w:val="0"/>
          <w:color w:val="000000" w:themeColor="text1"/>
          <w:kern w:val="0"/>
          <w:szCs w:val="24"/>
          <w:highlight w:val="none"/>
        </w:rPr>
        <w:t>的报价的合理性、准确性等进行审查核实。</w:t>
      </w:r>
    </w:p>
    <w:p w14:paraId="18AB4104">
      <w:pPr>
        <w:pStyle w:val="29"/>
        <w:keepNext w:val="0"/>
        <w:keepLines w:val="0"/>
        <w:pageBreakBefore w:val="0"/>
        <w:kinsoku/>
        <w:wordWrap/>
        <w:overflowPunct/>
        <w:topLinePunct w:val="0"/>
        <w:autoSpaceDE/>
        <w:autoSpaceDN/>
        <w:bidi w:val="0"/>
        <w:spacing w:before="0" w:line="480" w:lineRule="exact"/>
        <w:ind w:firstLine="547" w:firstLineChars="228"/>
        <w:textAlignment w:val="auto"/>
        <w:rPr>
          <w:rFonts w:hint="eastAsia" w:ascii="宋体" w:hAnsi="宋体" w:eastAsia="宋体" w:cs="宋体"/>
          <w:snapToGrid w:val="0"/>
          <w:color w:val="000000" w:themeColor="text1"/>
          <w:kern w:val="0"/>
          <w:szCs w:val="24"/>
          <w:highlight w:val="none"/>
        </w:rPr>
      </w:pPr>
      <w:r>
        <w:rPr>
          <w:rFonts w:hint="eastAsia" w:ascii="宋体" w:hAnsi="宋体" w:eastAsia="宋体" w:cs="宋体"/>
          <w:snapToGrid w:val="0"/>
          <w:color w:val="000000" w:themeColor="text1"/>
          <w:kern w:val="0"/>
          <w:szCs w:val="24"/>
          <w:highlight w:val="none"/>
        </w:rPr>
        <w:t>4.5.1评标委员会认为</w:t>
      </w:r>
      <w:r>
        <w:rPr>
          <w:rFonts w:hint="eastAsia" w:ascii="宋体" w:hAnsi="宋体" w:eastAsia="宋体" w:cs="宋体"/>
          <w:color w:val="000000" w:themeColor="text1"/>
          <w:szCs w:val="24"/>
          <w:highlight w:val="none"/>
        </w:rPr>
        <w:t>供应商</w:t>
      </w:r>
      <w:r>
        <w:rPr>
          <w:rFonts w:hint="eastAsia" w:ascii="宋体" w:hAnsi="宋体" w:eastAsia="宋体" w:cs="宋体"/>
          <w:snapToGrid w:val="0"/>
          <w:color w:val="000000" w:themeColor="text1"/>
          <w:kern w:val="0"/>
          <w:szCs w:val="24"/>
          <w:highlight w:val="none"/>
        </w:rPr>
        <w:t>的报价明显低于其他通过符合性审查</w:t>
      </w:r>
      <w:r>
        <w:rPr>
          <w:rFonts w:hint="eastAsia" w:ascii="宋体" w:hAnsi="宋体" w:eastAsia="宋体" w:cs="宋体"/>
          <w:color w:val="000000" w:themeColor="text1"/>
          <w:szCs w:val="24"/>
          <w:highlight w:val="none"/>
        </w:rPr>
        <w:t>供应商</w:t>
      </w:r>
      <w:r>
        <w:rPr>
          <w:rFonts w:hint="eastAsia" w:ascii="宋体" w:hAnsi="宋体" w:eastAsia="宋体" w:cs="宋体"/>
          <w:snapToGrid w:val="0"/>
          <w:color w:val="000000" w:themeColor="text1"/>
          <w:kern w:val="0"/>
          <w:szCs w:val="24"/>
          <w:highlight w:val="none"/>
        </w:rPr>
        <w:t>的报价，有可能影响产品质量或者不能诚信履约的，应当要求其在合理的时间内提供书面说明，必要时提交相关证明材料。</w:t>
      </w:r>
    </w:p>
    <w:p w14:paraId="4ED4DAAC">
      <w:pPr>
        <w:pStyle w:val="29"/>
        <w:keepNext w:val="0"/>
        <w:keepLines w:val="0"/>
        <w:pageBreakBefore w:val="0"/>
        <w:kinsoku/>
        <w:wordWrap/>
        <w:overflowPunct/>
        <w:topLinePunct w:val="0"/>
        <w:autoSpaceDE/>
        <w:autoSpaceDN/>
        <w:bidi w:val="0"/>
        <w:spacing w:before="0" w:line="480" w:lineRule="exact"/>
        <w:ind w:firstLine="547" w:firstLineChars="228"/>
        <w:textAlignment w:val="auto"/>
        <w:rPr>
          <w:rFonts w:hint="eastAsia" w:ascii="宋体" w:hAnsi="宋体" w:eastAsia="宋体" w:cs="宋体"/>
          <w:snapToGrid w:val="0"/>
          <w:color w:val="000000" w:themeColor="text1"/>
          <w:kern w:val="0"/>
          <w:szCs w:val="24"/>
          <w:highlight w:val="none"/>
        </w:rPr>
      </w:pPr>
      <w:r>
        <w:rPr>
          <w:rFonts w:hint="eastAsia" w:ascii="宋体" w:hAnsi="宋体" w:eastAsia="宋体" w:cs="宋体"/>
          <w:snapToGrid w:val="0"/>
          <w:color w:val="000000" w:themeColor="text1"/>
          <w:kern w:val="0"/>
          <w:szCs w:val="24"/>
          <w:highlight w:val="none"/>
        </w:rPr>
        <w:t>4.5.2投标价格的修正原则。投标文件报价出现前后不一致的，按照下列规定修正：</w:t>
      </w:r>
    </w:p>
    <w:p w14:paraId="303209D4">
      <w:pPr>
        <w:pStyle w:val="29"/>
        <w:keepNext w:val="0"/>
        <w:keepLines w:val="0"/>
        <w:pageBreakBefore w:val="0"/>
        <w:kinsoku/>
        <w:wordWrap/>
        <w:overflowPunct/>
        <w:topLinePunct w:val="0"/>
        <w:autoSpaceDE/>
        <w:autoSpaceDN/>
        <w:bidi w:val="0"/>
        <w:spacing w:before="0" w:line="480" w:lineRule="exact"/>
        <w:ind w:firstLine="547" w:firstLineChars="228"/>
        <w:textAlignment w:val="auto"/>
        <w:rPr>
          <w:rFonts w:hint="eastAsia" w:ascii="宋体" w:hAnsi="宋体" w:eastAsia="宋体" w:cs="宋体"/>
          <w:snapToGrid w:val="0"/>
          <w:color w:val="000000" w:themeColor="text1"/>
          <w:kern w:val="0"/>
          <w:szCs w:val="24"/>
          <w:highlight w:val="none"/>
        </w:rPr>
      </w:pPr>
      <w:r>
        <w:rPr>
          <w:rFonts w:hint="eastAsia" w:ascii="宋体" w:hAnsi="宋体" w:eastAsia="宋体" w:cs="宋体"/>
          <w:snapToGrid w:val="0"/>
          <w:color w:val="000000" w:themeColor="text1"/>
          <w:kern w:val="0"/>
          <w:szCs w:val="24"/>
          <w:highlight w:val="none"/>
        </w:rPr>
        <w:t>4.5.2.1投标文件中报价一览表内容与投标文件中相应内容不一致的，以报价一览表为准；</w:t>
      </w:r>
    </w:p>
    <w:p w14:paraId="72055456">
      <w:pPr>
        <w:pStyle w:val="29"/>
        <w:keepNext w:val="0"/>
        <w:keepLines w:val="0"/>
        <w:pageBreakBefore w:val="0"/>
        <w:kinsoku/>
        <w:wordWrap/>
        <w:overflowPunct/>
        <w:topLinePunct w:val="0"/>
        <w:autoSpaceDE/>
        <w:autoSpaceDN/>
        <w:bidi w:val="0"/>
        <w:spacing w:before="0" w:line="480" w:lineRule="exact"/>
        <w:ind w:firstLine="547" w:firstLineChars="228"/>
        <w:textAlignment w:val="auto"/>
        <w:rPr>
          <w:rFonts w:hint="eastAsia" w:ascii="宋体" w:hAnsi="宋体" w:eastAsia="宋体" w:cs="宋体"/>
          <w:snapToGrid w:val="0"/>
          <w:color w:val="000000" w:themeColor="text1"/>
          <w:kern w:val="0"/>
          <w:szCs w:val="24"/>
          <w:highlight w:val="none"/>
        </w:rPr>
      </w:pPr>
      <w:r>
        <w:rPr>
          <w:rFonts w:hint="eastAsia" w:ascii="宋体" w:hAnsi="宋体" w:eastAsia="宋体" w:cs="宋体"/>
          <w:snapToGrid w:val="0"/>
          <w:color w:val="000000" w:themeColor="text1"/>
          <w:kern w:val="0"/>
          <w:szCs w:val="24"/>
          <w:highlight w:val="none"/>
        </w:rPr>
        <w:t>4.5.2.2大写金额和小写金额不一致的，以大写金额为准；</w:t>
      </w:r>
    </w:p>
    <w:p w14:paraId="5FC0DE5D">
      <w:pPr>
        <w:pStyle w:val="29"/>
        <w:keepNext w:val="0"/>
        <w:keepLines w:val="0"/>
        <w:pageBreakBefore w:val="0"/>
        <w:kinsoku/>
        <w:wordWrap/>
        <w:overflowPunct/>
        <w:topLinePunct w:val="0"/>
        <w:autoSpaceDE/>
        <w:autoSpaceDN/>
        <w:bidi w:val="0"/>
        <w:spacing w:before="0" w:line="480" w:lineRule="exact"/>
        <w:ind w:firstLine="547" w:firstLineChars="228"/>
        <w:textAlignment w:val="auto"/>
        <w:rPr>
          <w:rFonts w:hint="eastAsia" w:ascii="宋体" w:hAnsi="宋体" w:eastAsia="宋体" w:cs="宋体"/>
          <w:snapToGrid w:val="0"/>
          <w:color w:val="000000" w:themeColor="text1"/>
          <w:kern w:val="0"/>
          <w:szCs w:val="24"/>
          <w:highlight w:val="none"/>
        </w:rPr>
      </w:pPr>
      <w:r>
        <w:rPr>
          <w:rFonts w:hint="eastAsia" w:ascii="宋体" w:hAnsi="宋体" w:eastAsia="宋体" w:cs="宋体"/>
          <w:snapToGrid w:val="0"/>
          <w:color w:val="000000" w:themeColor="text1"/>
          <w:kern w:val="0"/>
          <w:szCs w:val="24"/>
          <w:highlight w:val="none"/>
        </w:rPr>
        <w:t>4.5.2.3单价金额小数点或者百分比有明显错位的，以报价一览表的总价为准，并修改单价；</w:t>
      </w:r>
    </w:p>
    <w:p w14:paraId="4D6DE146">
      <w:pPr>
        <w:pStyle w:val="29"/>
        <w:keepNext w:val="0"/>
        <w:keepLines w:val="0"/>
        <w:pageBreakBefore w:val="0"/>
        <w:kinsoku/>
        <w:wordWrap/>
        <w:overflowPunct/>
        <w:topLinePunct w:val="0"/>
        <w:autoSpaceDE/>
        <w:autoSpaceDN/>
        <w:bidi w:val="0"/>
        <w:spacing w:before="0" w:line="480" w:lineRule="exact"/>
        <w:ind w:firstLine="547" w:firstLineChars="228"/>
        <w:textAlignment w:val="auto"/>
        <w:rPr>
          <w:rFonts w:hint="eastAsia" w:ascii="宋体" w:hAnsi="宋体" w:eastAsia="宋体" w:cs="宋体"/>
          <w:snapToGrid w:val="0"/>
          <w:color w:val="000000" w:themeColor="text1"/>
          <w:kern w:val="0"/>
          <w:szCs w:val="24"/>
          <w:highlight w:val="none"/>
        </w:rPr>
      </w:pPr>
      <w:r>
        <w:rPr>
          <w:rFonts w:hint="eastAsia" w:ascii="宋体" w:hAnsi="宋体" w:eastAsia="宋体" w:cs="宋体"/>
          <w:snapToGrid w:val="0"/>
          <w:color w:val="000000" w:themeColor="text1"/>
          <w:kern w:val="0"/>
          <w:szCs w:val="24"/>
          <w:highlight w:val="none"/>
        </w:rPr>
        <w:t>4.5.2.4总价金额与按单价汇总金额不一致的，以单价金额计算结果为准。</w:t>
      </w:r>
    </w:p>
    <w:p w14:paraId="0387D902">
      <w:pPr>
        <w:pStyle w:val="29"/>
        <w:keepNext w:val="0"/>
        <w:keepLines w:val="0"/>
        <w:pageBreakBefore w:val="0"/>
        <w:kinsoku/>
        <w:wordWrap/>
        <w:overflowPunct/>
        <w:topLinePunct w:val="0"/>
        <w:autoSpaceDE/>
        <w:autoSpaceDN/>
        <w:bidi w:val="0"/>
        <w:spacing w:before="0" w:line="480" w:lineRule="exact"/>
        <w:ind w:firstLine="547" w:firstLineChars="228"/>
        <w:textAlignment w:val="auto"/>
        <w:rPr>
          <w:rFonts w:hint="eastAsia" w:ascii="宋体" w:hAnsi="宋体" w:eastAsia="宋体" w:cs="宋体"/>
          <w:snapToGrid w:val="0"/>
          <w:color w:val="000000" w:themeColor="text1"/>
          <w:kern w:val="0"/>
          <w:szCs w:val="24"/>
          <w:highlight w:val="none"/>
        </w:rPr>
      </w:pPr>
      <w:r>
        <w:rPr>
          <w:rFonts w:hint="eastAsia" w:ascii="宋体" w:hAnsi="宋体" w:eastAsia="宋体" w:cs="宋体"/>
          <w:snapToGrid w:val="0"/>
          <w:color w:val="000000" w:themeColor="text1"/>
          <w:kern w:val="0"/>
          <w:szCs w:val="24"/>
          <w:highlight w:val="none"/>
        </w:rPr>
        <w:t>4.5.3同时出现两种以上不一致的，按照前款规定的顺序修正。修正后的报价按照财政部第87号令《政府采购货物和服务招标投标管理办法》第五十一条第二款的规定经</w:t>
      </w:r>
      <w:r>
        <w:rPr>
          <w:rFonts w:hint="eastAsia" w:ascii="宋体" w:hAnsi="宋体" w:eastAsia="宋体" w:cs="宋体"/>
          <w:color w:val="000000" w:themeColor="text1"/>
          <w:szCs w:val="24"/>
          <w:highlight w:val="none"/>
        </w:rPr>
        <w:t>供应商</w:t>
      </w:r>
      <w:r>
        <w:rPr>
          <w:rFonts w:hint="eastAsia" w:ascii="宋体" w:hAnsi="宋体" w:eastAsia="宋体" w:cs="宋体"/>
          <w:snapToGrid w:val="0"/>
          <w:color w:val="000000" w:themeColor="text1"/>
          <w:kern w:val="0"/>
          <w:szCs w:val="24"/>
          <w:highlight w:val="none"/>
        </w:rPr>
        <w:t>确认后产生约束力。</w:t>
      </w:r>
    </w:p>
    <w:p w14:paraId="05521D52">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b/>
          <w:bCs/>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w:t>
      </w:r>
      <w:r>
        <w:rPr>
          <w:rFonts w:hint="eastAsia" w:ascii="宋体" w:hAnsi="宋体" w:eastAsia="宋体" w:cs="宋体"/>
          <w:b/>
          <w:bCs/>
          <w:snapToGrid w:val="0"/>
          <w:color w:val="000000" w:themeColor="text1"/>
          <w:kern w:val="0"/>
          <w:sz w:val="24"/>
          <w:szCs w:val="24"/>
          <w:highlight w:val="none"/>
        </w:rPr>
        <w:t>供应商对根据修正原则修正后的报价不确认的，投标无效。采购人将以合同形式有偿取得货物或服务，不接受供应商给予的赠品、回扣或者与采购无关的其他商品、服务。</w:t>
      </w:r>
    </w:p>
    <w:p w14:paraId="429B3F75">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4.6汇总得分：评标委员会各成员应当独立对每个</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的投标文件进行评价，并汇总每个</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的得分。</w:t>
      </w:r>
    </w:p>
    <w:p w14:paraId="7856AA8F">
      <w:pPr>
        <w:keepNext w:val="0"/>
        <w:keepLines w:val="0"/>
        <w:pageBreakBefore w:val="0"/>
        <w:kinsoku/>
        <w:wordWrap/>
        <w:overflowPunct/>
        <w:topLinePunct w:val="0"/>
        <w:autoSpaceDE/>
        <w:autoSpaceDN/>
        <w:bidi w:val="0"/>
        <w:spacing w:line="480" w:lineRule="exact"/>
        <w:ind w:firstLine="482" w:firstLineChars="20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b/>
          <w:bCs/>
          <w:snapToGrid w:val="0"/>
          <w:color w:val="000000" w:themeColor="text1"/>
          <w:kern w:val="0"/>
          <w:sz w:val="24"/>
          <w:szCs w:val="24"/>
          <w:highlight w:val="none"/>
        </w:rPr>
        <w:t>5.顺序排列与中标候选推荐</w:t>
      </w:r>
    </w:p>
    <w:p w14:paraId="005EA032">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5.1评标结果按评审后得分由高到低顺序排列，确定综合得分最高的供应商为第一中标人。如出现综合得分相同时，投标报价低的优先；如综合得分和投标报价均相同，则现场抽签确定。</w:t>
      </w:r>
    </w:p>
    <w:p w14:paraId="00336A10">
      <w:pPr>
        <w:pStyle w:val="13"/>
        <w:keepNext w:val="0"/>
        <w:keepLines w:val="0"/>
        <w:pageBreakBefore w:val="0"/>
        <w:kinsoku/>
        <w:wordWrap/>
        <w:overflowPunct/>
        <w:topLinePunct w:val="0"/>
        <w:autoSpaceDE/>
        <w:autoSpaceDN/>
        <w:bidi w:val="0"/>
        <w:spacing w:line="480" w:lineRule="exact"/>
        <w:ind w:firstLine="482" w:firstLineChars="200"/>
        <w:textAlignment w:val="auto"/>
        <w:rPr>
          <w:rFonts w:hint="eastAsia" w:ascii="宋体" w:hAnsi="宋体" w:eastAsia="宋体" w:cs="宋体"/>
          <w:b/>
          <w:bCs/>
          <w:snapToGrid w:val="0"/>
          <w:color w:val="000000" w:themeColor="text1"/>
          <w:kern w:val="0"/>
          <w:sz w:val="24"/>
          <w:szCs w:val="24"/>
          <w:highlight w:val="none"/>
        </w:rPr>
      </w:pPr>
      <w:r>
        <w:rPr>
          <w:rFonts w:hint="eastAsia" w:ascii="宋体" w:hAnsi="宋体" w:eastAsia="宋体" w:cs="宋体"/>
          <w:b/>
          <w:bCs/>
          <w:snapToGrid w:val="0"/>
          <w:color w:val="000000" w:themeColor="text1"/>
          <w:kern w:val="0"/>
          <w:sz w:val="24"/>
          <w:szCs w:val="24"/>
          <w:highlight w:val="none"/>
        </w:rPr>
        <w:t>6.在招标采购中，出现下列情形之一的，应予废标：</w:t>
      </w:r>
    </w:p>
    <w:p w14:paraId="0B8165D4">
      <w:pPr>
        <w:pStyle w:val="13"/>
        <w:keepNext w:val="0"/>
        <w:keepLines w:val="0"/>
        <w:pageBreakBefore w:val="0"/>
        <w:kinsoku/>
        <w:wordWrap/>
        <w:overflowPunct/>
        <w:topLinePunct w:val="0"/>
        <w:autoSpaceDE/>
        <w:autoSpaceDN/>
        <w:bidi w:val="0"/>
        <w:spacing w:line="48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根据《中华人民共和国政府采购法》第三十六条之规定，在采购中，出现下列情形之一的，应予废标：</w:t>
      </w:r>
    </w:p>
    <w:p w14:paraId="3959D24B">
      <w:pPr>
        <w:pStyle w:val="13"/>
        <w:keepNext w:val="0"/>
        <w:keepLines w:val="0"/>
        <w:pageBreakBefore w:val="0"/>
        <w:kinsoku/>
        <w:wordWrap/>
        <w:overflowPunct/>
        <w:topLinePunct w:val="0"/>
        <w:autoSpaceDE/>
        <w:autoSpaceDN/>
        <w:bidi w:val="0"/>
        <w:spacing w:line="48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6.1符合专业条件的供应商或者对招标文件作实质响应的供应商不足3家的；</w:t>
      </w:r>
    </w:p>
    <w:p w14:paraId="27DCF8AE">
      <w:pPr>
        <w:pStyle w:val="13"/>
        <w:keepNext w:val="0"/>
        <w:keepLines w:val="0"/>
        <w:pageBreakBefore w:val="0"/>
        <w:kinsoku/>
        <w:wordWrap/>
        <w:overflowPunct/>
        <w:topLinePunct w:val="0"/>
        <w:autoSpaceDE/>
        <w:autoSpaceDN/>
        <w:bidi w:val="0"/>
        <w:spacing w:line="48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6.2出现影响采购公正的违法、违规行为的；</w:t>
      </w:r>
    </w:p>
    <w:p w14:paraId="765726F3">
      <w:pPr>
        <w:pStyle w:val="13"/>
        <w:keepNext w:val="0"/>
        <w:keepLines w:val="0"/>
        <w:pageBreakBefore w:val="0"/>
        <w:kinsoku/>
        <w:wordWrap/>
        <w:overflowPunct/>
        <w:topLinePunct w:val="0"/>
        <w:autoSpaceDE/>
        <w:autoSpaceDN/>
        <w:bidi w:val="0"/>
        <w:spacing w:line="48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6.3供应商的报价均超过了采购预算，采购人不能支付的；</w:t>
      </w:r>
    </w:p>
    <w:p w14:paraId="208600B2">
      <w:pPr>
        <w:pStyle w:val="13"/>
        <w:keepNext w:val="0"/>
        <w:keepLines w:val="0"/>
        <w:pageBreakBefore w:val="0"/>
        <w:kinsoku/>
        <w:wordWrap/>
        <w:overflowPunct/>
        <w:topLinePunct w:val="0"/>
        <w:autoSpaceDE/>
        <w:autoSpaceDN/>
        <w:bidi w:val="0"/>
        <w:spacing w:line="48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6.4因重大变故，采购任务取消的。</w:t>
      </w:r>
    </w:p>
    <w:p w14:paraId="33884B3B">
      <w:pPr>
        <w:pStyle w:val="13"/>
        <w:keepNext w:val="0"/>
        <w:keepLines w:val="0"/>
        <w:pageBreakBefore w:val="0"/>
        <w:kinsoku/>
        <w:wordWrap/>
        <w:overflowPunct/>
        <w:topLinePunct w:val="0"/>
        <w:autoSpaceDE/>
        <w:autoSpaceDN/>
        <w:bidi w:val="0"/>
        <w:spacing w:line="48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废标后，代理机构应当将废标理由通知所有供应商。</w:t>
      </w:r>
    </w:p>
    <w:p w14:paraId="2E40620C">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bCs/>
          <w:color w:val="000000" w:themeColor="text1"/>
          <w:sz w:val="24"/>
          <w:szCs w:val="24"/>
          <w:highlight w:val="none"/>
        </w:rPr>
        <w:t>7.</w:t>
      </w:r>
      <w:r>
        <w:rPr>
          <w:rFonts w:hint="eastAsia" w:ascii="宋体" w:hAnsi="宋体" w:eastAsia="宋体" w:cs="宋体"/>
          <w:b/>
          <w:color w:val="000000" w:themeColor="text1"/>
          <w:sz w:val="24"/>
          <w:szCs w:val="24"/>
          <w:highlight w:val="none"/>
        </w:rPr>
        <w:t>重新组织采购</w:t>
      </w:r>
    </w:p>
    <w:p w14:paraId="5332EBB6">
      <w:pPr>
        <w:pStyle w:val="9"/>
        <w:keepNext w:val="0"/>
        <w:keepLines w:val="0"/>
        <w:pageBreakBefore w:val="0"/>
        <w:kinsoku/>
        <w:wordWrap/>
        <w:overflowPunct/>
        <w:topLinePunct w:val="0"/>
        <w:autoSpaceDE/>
        <w:autoSpaceDN/>
        <w:bidi w:val="0"/>
        <w:snapToGrid w:val="0"/>
        <w:spacing w:after="0" w:line="480" w:lineRule="exact"/>
        <w:ind w:left="0" w:leftChars="0" w:firstLine="482"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b/>
          <w:color w:val="000000" w:themeColor="text1"/>
          <w:sz w:val="24"/>
          <w:szCs w:val="24"/>
          <w:highlight w:val="none"/>
        </w:rPr>
        <w:t>7.1修改招标文件，重新组织采购活动。</w:t>
      </w:r>
      <w:r>
        <w:rPr>
          <w:rFonts w:hint="eastAsia" w:ascii="宋体" w:hAnsi="宋体" w:eastAsia="宋体" w:cs="宋体"/>
          <w:color w:val="000000" w:themeColor="text1"/>
          <w:sz w:val="24"/>
          <w:szCs w:val="24"/>
          <w:highlight w:val="none"/>
        </w:rPr>
        <w:t>评标委员会发现采购文件存在歧义、重大缺陷导致评标工作无法进行，或者采购文件内容违反国家有关强制性规定的，将停止评标工作，并与采购人、代理机构沟通并作书面记录。采购人、代理机构确认后，将修改采购文件，重新组织采购活动。</w:t>
      </w:r>
    </w:p>
    <w:p w14:paraId="70B6CFED">
      <w:pPr>
        <w:pStyle w:val="13"/>
        <w:keepNext w:val="0"/>
        <w:keepLines w:val="0"/>
        <w:pageBreakBefore w:val="0"/>
        <w:kinsoku/>
        <w:wordWrap/>
        <w:overflowPunct/>
        <w:topLinePunct w:val="0"/>
        <w:autoSpaceDE/>
        <w:autoSpaceDN/>
        <w:bidi w:val="0"/>
        <w:spacing w:line="480" w:lineRule="exact"/>
        <w:ind w:firstLine="361"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b/>
          <w:color w:val="000000" w:themeColor="text1"/>
          <w:kern w:val="0"/>
          <w:sz w:val="24"/>
          <w:szCs w:val="24"/>
          <w:highlight w:val="none"/>
        </w:rPr>
        <w:t>7.2重新开展采购。</w:t>
      </w:r>
      <w:r>
        <w:rPr>
          <w:rFonts w:hint="eastAsia" w:ascii="宋体" w:hAnsi="宋体" w:eastAsia="宋体" w:cs="宋体"/>
          <w:color w:val="000000" w:themeColor="text1"/>
          <w:sz w:val="24"/>
          <w:szCs w:val="24"/>
          <w:highlight w:val="none"/>
        </w:rPr>
        <w:t>有政府采购法第七十一条、第七十二条规定的违法行为之一，影响或者可能影响中标、</w:t>
      </w:r>
      <w:r>
        <w:rPr>
          <w:rFonts w:hint="eastAsia" w:ascii="宋体" w:hAnsi="宋体" w:eastAsia="宋体" w:cs="宋体"/>
          <w:snapToGrid w:val="0"/>
          <w:color w:val="000000" w:themeColor="text1"/>
          <w:kern w:val="0"/>
          <w:sz w:val="24"/>
          <w:szCs w:val="24"/>
          <w:highlight w:val="none"/>
        </w:rPr>
        <w:t>成交结果的，依照下列规定处理：</w:t>
      </w:r>
    </w:p>
    <w:p w14:paraId="41A51257">
      <w:pPr>
        <w:pStyle w:val="13"/>
        <w:keepNext w:val="0"/>
        <w:keepLines w:val="0"/>
        <w:pageBreakBefore w:val="0"/>
        <w:kinsoku/>
        <w:wordWrap/>
        <w:overflowPunct/>
        <w:topLinePunct w:val="0"/>
        <w:autoSpaceDE/>
        <w:autoSpaceDN/>
        <w:bidi w:val="0"/>
        <w:spacing w:line="48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7.2.1未确定中标或者中标供应商的，终止本次政府采购活动，重新开展政府采购活动。</w:t>
      </w:r>
    </w:p>
    <w:p w14:paraId="52BEEA21">
      <w:pPr>
        <w:pStyle w:val="13"/>
        <w:keepNext w:val="0"/>
        <w:keepLines w:val="0"/>
        <w:pageBreakBefore w:val="0"/>
        <w:kinsoku/>
        <w:wordWrap/>
        <w:overflowPunct/>
        <w:topLinePunct w:val="0"/>
        <w:autoSpaceDE/>
        <w:autoSpaceDN/>
        <w:bidi w:val="0"/>
        <w:spacing w:line="48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7.2.2已确定中标或者中标供应商但尚未签订政府采购合同的，中标或者成交结果无效，从合格的中标或者成交候选人中另行确定中标或者中标供应商；没有合格的中标或者成交候选人的，重新开展政府采购活动。</w:t>
      </w:r>
    </w:p>
    <w:p w14:paraId="515561A4">
      <w:pPr>
        <w:pStyle w:val="13"/>
        <w:keepNext w:val="0"/>
        <w:keepLines w:val="0"/>
        <w:pageBreakBefore w:val="0"/>
        <w:kinsoku/>
        <w:wordWrap/>
        <w:overflowPunct/>
        <w:topLinePunct w:val="0"/>
        <w:autoSpaceDE/>
        <w:autoSpaceDN/>
        <w:bidi w:val="0"/>
        <w:spacing w:line="48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7.2.3政府采购合同已签订但尚未履行的，撤销合同，从合格的中标或者成交候选人中另行确定中标或者中标供应商；没有合格的中标或者成交候选人的，重新开展政府采购活动。</w:t>
      </w:r>
    </w:p>
    <w:p w14:paraId="3DB0709E">
      <w:pPr>
        <w:pStyle w:val="13"/>
        <w:keepNext w:val="0"/>
        <w:keepLines w:val="0"/>
        <w:pageBreakBefore w:val="0"/>
        <w:kinsoku/>
        <w:wordWrap/>
        <w:overflowPunct/>
        <w:topLinePunct w:val="0"/>
        <w:autoSpaceDE/>
        <w:autoSpaceDN/>
        <w:bidi w:val="0"/>
        <w:spacing w:line="48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7.2.4政府采购合同已经履行，给采购人、供应商造成损失的，由责任人承担赔偿责任。</w:t>
      </w:r>
    </w:p>
    <w:p w14:paraId="0B8C2DAB">
      <w:pPr>
        <w:pStyle w:val="13"/>
        <w:keepNext w:val="0"/>
        <w:keepLines w:val="0"/>
        <w:pageBreakBefore w:val="0"/>
        <w:kinsoku/>
        <w:wordWrap/>
        <w:overflowPunct/>
        <w:topLinePunct w:val="0"/>
        <w:autoSpaceDE/>
        <w:autoSpaceDN/>
        <w:bidi w:val="0"/>
        <w:spacing w:line="480" w:lineRule="exact"/>
        <w:ind w:firstLine="360" w:firstLineChars="150"/>
        <w:textAlignment w:val="auto"/>
        <w:rPr>
          <w:rFonts w:hint="eastAsia" w:ascii="宋体" w:hAnsi="宋体" w:eastAsia="宋体" w:cs="宋体"/>
          <w:b/>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7.2.5政府采购当事人有其他违反政府采购法或者本条例规定的行为，经改正后仍然影响或者可能影响中标</w:t>
      </w:r>
      <w:r>
        <w:rPr>
          <w:rFonts w:hint="eastAsia" w:ascii="宋体" w:hAnsi="宋体" w:eastAsia="宋体" w:cs="宋体"/>
          <w:color w:val="000000" w:themeColor="text1"/>
          <w:sz w:val="24"/>
          <w:szCs w:val="24"/>
          <w:highlight w:val="none"/>
        </w:rPr>
        <w:t>、成交结果或者依法被认定为中标、成交无效的，依照7.2.1-7.2.4规定处理。</w:t>
      </w:r>
    </w:p>
    <w:p w14:paraId="64C1657D">
      <w:pPr>
        <w:keepNext w:val="0"/>
        <w:keepLines w:val="0"/>
        <w:pageBreakBefore w:val="0"/>
        <w:kinsoku/>
        <w:wordWrap/>
        <w:overflowPunct/>
        <w:topLinePunct w:val="0"/>
        <w:autoSpaceDE/>
        <w:autoSpaceDN/>
        <w:bidi w:val="0"/>
        <w:snapToGrid w:val="0"/>
        <w:spacing w:line="480" w:lineRule="exact"/>
        <w:textAlignment w:val="auto"/>
        <w:outlineLvl w:val="1"/>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九、</w:t>
      </w:r>
      <w:bookmarkEnd w:id="42"/>
      <w:bookmarkEnd w:id="43"/>
      <w:bookmarkEnd w:id="44"/>
      <w:r>
        <w:rPr>
          <w:rFonts w:hint="eastAsia" w:ascii="宋体" w:hAnsi="宋体" w:eastAsia="宋体" w:cs="宋体"/>
          <w:b/>
          <w:color w:val="000000" w:themeColor="text1"/>
          <w:sz w:val="24"/>
          <w:szCs w:val="24"/>
          <w:highlight w:val="none"/>
        </w:rPr>
        <w:t>确定中标供应商及授予合同</w:t>
      </w:r>
    </w:p>
    <w:p w14:paraId="7897FADB">
      <w:pPr>
        <w:pStyle w:val="9"/>
        <w:keepNext w:val="0"/>
        <w:keepLines w:val="0"/>
        <w:pageBreakBefore w:val="0"/>
        <w:kinsoku/>
        <w:wordWrap/>
        <w:overflowPunct/>
        <w:topLinePunct w:val="0"/>
        <w:autoSpaceDE/>
        <w:autoSpaceDN/>
        <w:bidi w:val="0"/>
        <w:snapToGrid w:val="0"/>
        <w:spacing w:after="0" w:line="480" w:lineRule="exact"/>
        <w:ind w:left="0" w:leftChars="0"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1.中标供应商的确定</w:t>
      </w:r>
    </w:p>
    <w:p w14:paraId="16C1B895">
      <w:pPr>
        <w:pStyle w:val="9"/>
        <w:keepNext w:val="0"/>
        <w:keepLines w:val="0"/>
        <w:pageBreakBefore w:val="0"/>
        <w:kinsoku/>
        <w:wordWrap/>
        <w:overflowPunct/>
        <w:topLinePunct w:val="0"/>
        <w:autoSpaceDE/>
        <w:autoSpaceDN/>
        <w:bidi w:val="0"/>
        <w:snapToGrid w:val="0"/>
        <w:spacing w:after="0" w:line="480" w:lineRule="exact"/>
        <w:ind w:left="0" w:leftChars="0"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1.1采购代理机构应当自评审结束之日起2个工作日内将评审报告送交采购人。</w:t>
      </w:r>
    </w:p>
    <w:p w14:paraId="7AC69B06">
      <w:pPr>
        <w:pStyle w:val="9"/>
        <w:keepNext w:val="0"/>
        <w:keepLines w:val="0"/>
        <w:pageBreakBefore w:val="0"/>
        <w:kinsoku/>
        <w:wordWrap/>
        <w:overflowPunct/>
        <w:topLinePunct w:val="0"/>
        <w:autoSpaceDE/>
        <w:autoSpaceDN/>
        <w:bidi w:val="0"/>
        <w:snapToGrid w:val="0"/>
        <w:spacing w:after="0" w:line="480" w:lineRule="exact"/>
        <w:ind w:left="0" w:leftChars="0"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采购人应当自收到评标报告之日起５个工作日内，在评标报告确定的中标候选人名单中按顺序确定中标供应商。中标候选人并列的，由采购人或者采购人委托评标委员会按照采购文件规定的方式确定中标供应商；采购文件未规定的，采取随机抽取的方式确定。</w:t>
      </w:r>
    </w:p>
    <w:p w14:paraId="5D1D5DFD">
      <w:pPr>
        <w:pStyle w:val="9"/>
        <w:keepNext w:val="0"/>
        <w:keepLines w:val="0"/>
        <w:pageBreakBefore w:val="0"/>
        <w:kinsoku/>
        <w:wordWrap/>
        <w:overflowPunct/>
        <w:topLinePunct w:val="0"/>
        <w:autoSpaceDE/>
        <w:autoSpaceDN/>
        <w:bidi w:val="0"/>
        <w:snapToGrid w:val="0"/>
        <w:spacing w:after="0" w:line="480" w:lineRule="exact"/>
        <w:ind w:left="0" w:leftChars="0"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采购人在收到评标报告5个工作日内未按评标报告推荐的中标候选人顺序确定中标供应商，又不能说明合法理由的，视同按评标报告推荐的顺序确定排名第一的中标候选人为中标供应商。</w:t>
      </w:r>
    </w:p>
    <w:p w14:paraId="7F9A8036">
      <w:pPr>
        <w:pStyle w:val="9"/>
        <w:keepNext w:val="0"/>
        <w:keepLines w:val="0"/>
        <w:pageBreakBefore w:val="0"/>
        <w:kinsoku/>
        <w:wordWrap/>
        <w:overflowPunct/>
        <w:topLinePunct w:val="0"/>
        <w:autoSpaceDE/>
        <w:autoSpaceDN/>
        <w:bidi w:val="0"/>
        <w:snapToGrid w:val="0"/>
        <w:spacing w:after="0" w:line="480" w:lineRule="exact"/>
        <w:ind w:left="0" w:leftChars="0" w:firstLine="480" w:firstLineChars="20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color w:val="000000" w:themeColor="text1"/>
          <w:sz w:val="24"/>
          <w:szCs w:val="24"/>
          <w:highlight w:val="none"/>
        </w:rPr>
        <w:t>采购人或者</w:t>
      </w:r>
      <w:r>
        <w:rPr>
          <w:rFonts w:hint="eastAsia" w:ascii="宋体" w:hAnsi="宋体" w:eastAsia="宋体" w:cs="宋体"/>
          <w:snapToGrid w:val="0"/>
          <w:color w:val="000000" w:themeColor="text1"/>
          <w:kern w:val="0"/>
          <w:sz w:val="24"/>
          <w:szCs w:val="24"/>
          <w:highlight w:val="none"/>
        </w:rPr>
        <w:t>采购代理机构应当自中标候选人确定之日起2个工作日内，在原招标公告发布媒体上公告中标结果，采购文件应当随中标结果同时公告。</w:t>
      </w:r>
    </w:p>
    <w:p w14:paraId="048C5614">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公告期限为1个工作日。</w:t>
      </w:r>
    </w:p>
    <w:p w14:paraId="58201758">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1.2除国务院财政部门规定的情形外，采购人、采购代理机构不得以任何理由组织重新评审。采购人、采购代理机构按照国务院财政部门的规定组织重新评审的，应当书面报告本级人民政府财政部门。</w:t>
      </w:r>
    </w:p>
    <w:p w14:paraId="7BF8139D">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1.3中标通知书发出后，采购人不得违法改变中标结果，中标</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无正当理由不得放弃中标。</w:t>
      </w:r>
    </w:p>
    <w:p w14:paraId="141758D9">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2.合同授予</w:t>
      </w:r>
    </w:p>
    <w:p w14:paraId="2BA379B5">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bCs/>
          <w:snapToGrid w:val="0"/>
          <w:color w:val="000000" w:themeColor="text1"/>
          <w:kern w:val="0"/>
          <w:sz w:val="24"/>
          <w:szCs w:val="24"/>
          <w:highlight w:val="none"/>
        </w:rPr>
      </w:pPr>
      <w:r>
        <w:rPr>
          <w:rFonts w:hint="eastAsia" w:ascii="宋体" w:hAnsi="宋体" w:eastAsia="宋体" w:cs="宋体"/>
          <w:bCs/>
          <w:snapToGrid w:val="0"/>
          <w:color w:val="000000" w:themeColor="text1"/>
          <w:kern w:val="0"/>
          <w:sz w:val="24"/>
          <w:szCs w:val="24"/>
          <w:highlight w:val="none"/>
        </w:rPr>
        <w:t>2.1本项目的合同将授予按本须知所确定的中标</w:t>
      </w:r>
      <w:r>
        <w:rPr>
          <w:rFonts w:hint="eastAsia" w:ascii="宋体" w:hAnsi="宋体" w:eastAsia="宋体" w:cs="宋体"/>
          <w:bCs/>
          <w:color w:val="000000" w:themeColor="text1"/>
          <w:sz w:val="24"/>
          <w:szCs w:val="24"/>
          <w:highlight w:val="none"/>
        </w:rPr>
        <w:t>供应商</w:t>
      </w:r>
      <w:r>
        <w:rPr>
          <w:rFonts w:hint="eastAsia" w:ascii="宋体" w:hAnsi="宋体" w:eastAsia="宋体" w:cs="宋体"/>
          <w:bCs/>
          <w:snapToGrid w:val="0"/>
          <w:color w:val="000000" w:themeColor="text1"/>
          <w:kern w:val="0"/>
          <w:sz w:val="24"/>
          <w:szCs w:val="24"/>
          <w:highlight w:val="none"/>
        </w:rPr>
        <w:t>。</w:t>
      </w:r>
    </w:p>
    <w:p w14:paraId="1E275422">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bCs/>
          <w:snapToGrid w:val="0"/>
          <w:color w:val="000000" w:themeColor="text1"/>
          <w:kern w:val="0"/>
          <w:sz w:val="24"/>
          <w:szCs w:val="24"/>
          <w:highlight w:val="none"/>
        </w:rPr>
      </w:pPr>
      <w:r>
        <w:rPr>
          <w:rFonts w:hint="eastAsia" w:ascii="宋体" w:hAnsi="宋体" w:eastAsia="宋体" w:cs="宋体"/>
          <w:bCs/>
          <w:snapToGrid w:val="0"/>
          <w:color w:val="000000" w:themeColor="text1"/>
          <w:kern w:val="0"/>
          <w:sz w:val="24"/>
          <w:szCs w:val="24"/>
          <w:highlight w:val="none"/>
        </w:rPr>
        <w:t>2.2中标或者中标供应商拒绝与采购人签订合同的，采购人可以重新开展政府采购活动。</w:t>
      </w:r>
    </w:p>
    <w:p w14:paraId="363B22EA">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3.签订合同</w:t>
      </w:r>
    </w:p>
    <w:p w14:paraId="6897AD2C">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3.1中标</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应按中标通知书规定的时间与采购人签订合同。中标</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在领取中标通知书时须向采购人提供一份关于本项目在实施过程中的相关人员的通讯录作为合同附件。</w:t>
      </w:r>
    </w:p>
    <w:p w14:paraId="2FE542B1">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3.2中标</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如不遵守采购文件或投标文件各项条款的邀约与要约，或在接到中标通知书后借故拖延，拒签合同的，采购人将依据国家和采购文件有关规定要求中标</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予以赔偿，同时采购人可重新开展政府采购活动；</w:t>
      </w:r>
    </w:p>
    <w:p w14:paraId="11209C07">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3.3采购文件、中标</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的投标文件及投标修改文件、评标过程中有关澄清文件及经投标人法定代表人或授权代表签字确认的询标回复和承诺及中标通知书均作为合同组成部分。</w:t>
      </w:r>
    </w:p>
    <w:p w14:paraId="36B0C62C">
      <w:pPr>
        <w:keepNext w:val="0"/>
        <w:keepLines w:val="0"/>
        <w:pageBreakBefore w:val="0"/>
        <w:kinsoku/>
        <w:wordWrap/>
        <w:overflowPunct/>
        <w:topLinePunct w:val="0"/>
        <w:autoSpaceDE/>
        <w:autoSpaceDN/>
        <w:bidi w:val="0"/>
        <w:snapToGrid w:val="0"/>
        <w:spacing w:line="480" w:lineRule="exact"/>
        <w:textAlignment w:val="auto"/>
        <w:outlineLvl w:val="1"/>
        <w:rPr>
          <w:rFonts w:hint="eastAsia" w:ascii="宋体" w:hAnsi="宋体" w:eastAsia="宋体" w:cs="宋体"/>
          <w:b/>
          <w:color w:val="000000" w:themeColor="text1"/>
          <w:sz w:val="24"/>
          <w:szCs w:val="24"/>
          <w:highlight w:val="none"/>
        </w:rPr>
      </w:pPr>
      <w:bookmarkStart w:id="45" w:name="质疑与投诉"/>
      <w:bookmarkStart w:id="46" w:name="_Toc12385"/>
      <w:bookmarkStart w:id="47" w:name="_Toc356371441"/>
      <w:bookmarkStart w:id="48" w:name="_Toc359856808"/>
      <w:r>
        <w:rPr>
          <w:rFonts w:hint="eastAsia" w:ascii="宋体" w:hAnsi="宋体" w:eastAsia="宋体" w:cs="宋体"/>
          <w:b/>
          <w:color w:val="000000" w:themeColor="text1"/>
          <w:sz w:val="24"/>
          <w:szCs w:val="24"/>
          <w:highlight w:val="none"/>
        </w:rPr>
        <w:t>十、质疑与投诉</w:t>
      </w:r>
      <w:bookmarkEnd w:id="45"/>
      <w:bookmarkEnd w:id="46"/>
    </w:p>
    <w:p w14:paraId="5727B751">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14:paraId="443102AD">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质疑函范本、投诉书范本请到浙江政府采购网下载专区下载。</w:t>
      </w:r>
    </w:p>
    <w:p w14:paraId="4898C1C3">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1.投标人询问</w:t>
      </w:r>
    </w:p>
    <w:p w14:paraId="60448CC7">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供应商对政府采购活动事项有疑问的，可以向采购机构提出询问，采购人或者采购代理机构应当在3个工作日内对供应商依法提出的询问作出答复，但答复的内容不得涉及商业秘密。</w:t>
      </w:r>
    </w:p>
    <w:p w14:paraId="1D211283">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2.投标人质疑</w:t>
      </w:r>
    </w:p>
    <w:p w14:paraId="1492546B">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2.1</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认为采购文件、采购过程、中标或者成交结果使自己的权益受到损害的，可以在知道或者应知其权益受到损害之日起7个工作日内，以书面形式向采购人、采购代理机构提出质疑。</w:t>
      </w:r>
    </w:p>
    <w:p w14:paraId="173A2DAB">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本项目要求</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在法定质疑期内一次性提出针对同一采购程序环节的质疑。</w:t>
      </w:r>
    </w:p>
    <w:p w14:paraId="67EF561F">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2.2提出质疑的</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（以下简称质疑人）应当是参与所质疑项目采购活动的</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w:t>
      </w:r>
    </w:p>
    <w:p w14:paraId="73338B35">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潜在</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已依法获取其可质疑的采购文件的，可以对该文件提出质疑。对采购文件提出质疑的，应当在获取采购文件或者采购文件公告期限届满之日起7个工作日内提出。</w:t>
      </w:r>
    </w:p>
    <w:p w14:paraId="2638E21D">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2.3</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提出质疑应当提交质疑函和必要的证明材料。质疑函应当包括下列内容：</w:t>
      </w:r>
    </w:p>
    <w:p w14:paraId="015352EF">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（一）</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的姓名或者名称、地址、邮编、联系人及联系电话；</w:t>
      </w:r>
    </w:p>
    <w:p w14:paraId="72284F47">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（二）质疑项目的名称、编号；</w:t>
      </w:r>
    </w:p>
    <w:p w14:paraId="6A890E07">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（三）具体、明确的质疑事项和与质疑事项相关的请求；</w:t>
      </w:r>
    </w:p>
    <w:p w14:paraId="78DC1FCE">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（四）事实依据；</w:t>
      </w:r>
    </w:p>
    <w:p w14:paraId="26716E1A">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（五）必要的法律依据；</w:t>
      </w:r>
    </w:p>
    <w:p w14:paraId="6DBCB7FD">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（六）提出质疑的日期。</w:t>
      </w:r>
    </w:p>
    <w:p w14:paraId="371329A4">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为自然人的，应当由本人签字；</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为法人或者其他组织的，应当由法定代表人、主要负责人，或者其授权代表签字或者盖章，并加盖公章。</w:t>
      </w:r>
    </w:p>
    <w:p w14:paraId="442819AA">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2.4采购人、采购代理机构在收到法定质疑期内发出的质疑函后7个工作日内作出答复，并以书面形式通知质疑人和其他有关</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。质疑答复的内容不得涉及商业秘密。</w:t>
      </w:r>
    </w:p>
    <w:p w14:paraId="35BFE116">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3.投标人投诉</w:t>
      </w:r>
    </w:p>
    <w:p w14:paraId="5E7F30E2">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质疑投标人对采购机构的答复不满意或者采购机构未在规定的时间内作出答复的，可以在答复期满后十五个工作日内向同级政府采购监督管理部门提出投诉。</w:t>
      </w:r>
    </w:p>
    <w:p w14:paraId="7B6D417F">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4.采购结束</w:t>
      </w:r>
    </w:p>
    <w:p w14:paraId="4387BEC8">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4.1中标供应商与采购人签订合同生效后即为采购结束。</w:t>
      </w:r>
    </w:p>
    <w:p w14:paraId="1C092A64">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4.2本项目的投标文件（包括“备份投标文件”）不予退回。</w:t>
      </w:r>
    </w:p>
    <w:bookmarkEnd w:id="47"/>
    <w:bookmarkEnd w:id="48"/>
    <w:p w14:paraId="649254FB">
      <w:pPr>
        <w:keepNext w:val="0"/>
        <w:keepLines w:val="0"/>
        <w:pageBreakBefore w:val="0"/>
        <w:kinsoku/>
        <w:wordWrap/>
        <w:overflowPunct/>
        <w:topLinePunct w:val="0"/>
        <w:autoSpaceDE/>
        <w:autoSpaceDN/>
        <w:bidi w:val="0"/>
        <w:snapToGrid w:val="0"/>
        <w:spacing w:line="480" w:lineRule="exact"/>
        <w:jc w:val="left"/>
        <w:textAlignment w:val="auto"/>
        <w:rPr>
          <w:rFonts w:hint="eastAsia" w:ascii="宋体" w:hAnsi="宋体" w:eastAsia="宋体" w:cs="宋体"/>
          <w:b/>
          <w:bCs/>
          <w:color w:val="000000" w:themeColor="text1"/>
          <w:sz w:val="24"/>
          <w:szCs w:val="24"/>
          <w:highlight w:val="none"/>
        </w:rPr>
      </w:pPr>
      <w:bookmarkStart w:id="49" w:name="_Toc2441"/>
      <w:bookmarkStart w:id="50" w:name="_Toc359856809"/>
      <w:bookmarkStart w:id="51" w:name="_Toc356371442"/>
      <w:r>
        <w:rPr>
          <w:rFonts w:hint="eastAsia" w:ascii="宋体" w:hAnsi="宋体" w:eastAsia="宋体" w:cs="宋体"/>
          <w:b/>
          <w:bCs/>
          <w:color w:val="000000" w:themeColor="text1"/>
          <w:sz w:val="24"/>
          <w:szCs w:val="24"/>
          <w:highlight w:val="none"/>
        </w:rPr>
        <w:t>十一、其他</w:t>
      </w:r>
      <w:bookmarkEnd w:id="49"/>
      <w:bookmarkEnd w:id="50"/>
      <w:bookmarkEnd w:id="51"/>
    </w:p>
    <w:p w14:paraId="724744DF">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本招标文件是参照《中华人民共和国政府采购法》、《中华人民共和国政府采购法实施条例》（中华人民共和国国务院令第658号）、《政府采购货物和服务招标投标管理办法》（中华人民共和国财政部令第87号）及有关规定编制的，解释权属采购人。</w:t>
      </w:r>
    </w:p>
    <w:p w14:paraId="1B667AB0">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2.联系方式：所有与招标有关的函电请按下面联系</w:t>
      </w:r>
    </w:p>
    <w:p w14:paraId="1C49C845">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通讯地址：衢州市柯城区荷五路761号2楼  </w:t>
      </w:r>
    </w:p>
    <w:p w14:paraId="03931A6D">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邮编：324000</w:t>
      </w:r>
    </w:p>
    <w:p w14:paraId="32DFFD51">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联系人：</w:t>
      </w:r>
      <w:r>
        <w:rPr>
          <w:rFonts w:hint="eastAsia" w:ascii="宋体" w:hAnsi="宋体" w:eastAsia="宋体" w:cs="宋体"/>
          <w:color w:val="000000" w:themeColor="text1"/>
          <w:sz w:val="24"/>
          <w:szCs w:val="24"/>
          <w:highlight w:val="none"/>
          <w:lang w:val="en-US" w:eastAsia="zh-CN"/>
        </w:rPr>
        <w:t>余</w:t>
      </w:r>
      <w:r>
        <w:rPr>
          <w:rFonts w:hint="eastAsia" w:ascii="宋体" w:hAnsi="宋体" w:eastAsia="宋体" w:cs="宋体"/>
          <w:color w:val="000000" w:themeColor="text1"/>
          <w:sz w:val="24"/>
          <w:szCs w:val="24"/>
          <w:highlight w:val="none"/>
        </w:rPr>
        <w:t>女士</w:t>
      </w:r>
    </w:p>
    <w:p w14:paraId="75B73794">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答疑咨询电话：1826</w:t>
      </w:r>
      <w:r>
        <w:rPr>
          <w:rFonts w:hint="eastAsia" w:ascii="宋体" w:hAnsi="宋体" w:cs="宋体"/>
          <w:color w:val="000000" w:themeColor="text1"/>
          <w:sz w:val="24"/>
          <w:szCs w:val="24"/>
          <w:highlight w:val="none"/>
          <w:lang w:eastAsia="zh-CN"/>
        </w:rPr>
        <w:t>122</w:t>
      </w:r>
      <w:r>
        <w:rPr>
          <w:rFonts w:hint="eastAsia" w:ascii="宋体" w:hAnsi="宋体" w:eastAsia="宋体" w:cs="宋体"/>
          <w:color w:val="000000" w:themeColor="text1"/>
          <w:sz w:val="24"/>
          <w:szCs w:val="24"/>
          <w:highlight w:val="none"/>
        </w:rPr>
        <w:t>65306</w:t>
      </w:r>
    </w:p>
    <w:p w14:paraId="56B543FF">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3.采购代理服务费</w:t>
      </w:r>
    </w:p>
    <w:bookmarkEnd w:id="41"/>
    <w:p w14:paraId="1A79FA66">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3.1本次采购，采购代理服务费按计价格[2002]1980号规定</w:t>
      </w:r>
      <w:bookmarkStart w:id="79" w:name="_GoBack"/>
      <w:bookmarkEnd w:id="79"/>
      <w:r>
        <w:rPr>
          <w:rFonts w:hint="eastAsia" w:ascii="宋体" w:hAnsi="宋体" w:eastAsia="宋体" w:cs="宋体"/>
          <w:color w:val="000000" w:themeColor="text1"/>
          <w:sz w:val="24"/>
          <w:szCs w:val="24"/>
          <w:highlight w:val="none"/>
        </w:rPr>
        <w:t>计取，以项目中标价作为计费基数，不足2000元按2000元计取。评委费按实结算。</w:t>
      </w:r>
    </w:p>
    <w:tbl>
      <w:tblPr>
        <w:tblStyle w:val="21"/>
        <w:tblpPr w:leftFromText="180" w:rightFromText="180" w:vertAnchor="text" w:horzAnchor="page" w:tblpXSpec="center" w:tblpY="188"/>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311"/>
        <w:gridCol w:w="2311"/>
        <w:gridCol w:w="2000"/>
      </w:tblGrid>
      <w:tr w14:paraId="3234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900" w:type="dxa"/>
            <w:gridSpan w:val="4"/>
            <w:tcBorders>
              <w:top w:val="nil"/>
              <w:left w:val="nil"/>
              <w:bottom w:val="single" w:color="auto" w:sz="4" w:space="0"/>
              <w:right w:val="nil"/>
            </w:tcBorders>
          </w:tcPr>
          <w:p w14:paraId="26924AA5">
            <w:pPr>
              <w:widowControl/>
              <w:snapToGrid w:val="0"/>
              <w:spacing w:line="420" w:lineRule="exact"/>
              <w:ind w:left="-263" w:leftChars="-94" w:firstLine="463" w:firstLineChars="193"/>
              <w:jc w:val="center"/>
              <w:rPr>
                <w:rFonts w:ascii="宋体" w:hAnsi="宋体" w:cs="宋体"/>
                <w:b/>
                <w:bCs/>
                <w:color w:val="000000" w:themeColor="text1"/>
                <w:kern w:val="0"/>
                <w:sz w:val="24"/>
                <w:szCs w:val="24"/>
                <w:highlight w:val="none"/>
              </w:rPr>
            </w:pPr>
            <w:r>
              <w:rPr>
                <w:rFonts w:hint="eastAsia" w:ascii="宋体" w:hAnsi="宋体" w:cs="宋体"/>
                <w:bCs/>
                <w:color w:val="000000" w:themeColor="text1"/>
                <w:sz w:val="24"/>
                <w:szCs w:val="24"/>
                <w:highlight w:val="none"/>
              </w:rPr>
              <w:t>招标代理费收费标准</w:t>
            </w:r>
          </w:p>
        </w:tc>
      </w:tr>
      <w:tr w14:paraId="614E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278" w:type="dxa"/>
            <w:tcBorders>
              <w:top w:val="single" w:color="auto" w:sz="4" w:space="0"/>
            </w:tcBorders>
            <w:vAlign w:val="center"/>
          </w:tcPr>
          <w:p w14:paraId="4C505E4F">
            <w:pPr>
              <w:widowControl/>
              <w:snapToGrid w:val="0"/>
              <w:spacing w:line="420" w:lineRule="exact"/>
              <w:ind w:left="-263" w:leftChars="-94" w:firstLine="463" w:firstLineChars="193"/>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中标金额</w:t>
            </w:r>
          </w:p>
          <w:p w14:paraId="5458526F">
            <w:pPr>
              <w:widowControl/>
              <w:snapToGrid w:val="0"/>
              <w:spacing w:line="420" w:lineRule="exact"/>
              <w:ind w:left="-263" w:leftChars="-94" w:firstLine="463" w:firstLineChars="193"/>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（万元）</w:t>
            </w:r>
          </w:p>
        </w:tc>
        <w:tc>
          <w:tcPr>
            <w:tcW w:w="2311" w:type="dxa"/>
            <w:tcBorders>
              <w:top w:val="single" w:color="auto" w:sz="4" w:space="0"/>
            </w:tcBorders>
            <w:vAlign w:val="center"/>
          </w:tcPr>
          <w:p w14:paraId="7D18DA28">
            <w:pPr>
              <w:widowControl/>
              <w:snapToGrid w:val="0"/>
              <w:spacing w:line="420" w:lineRule="exact"/>
              <w:ind w:left="-263" w:leftChars="-94" w:firstLine="463" w:firstLineChars="193"/>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货物招标</w:t>
            </w:r>
          </w:p>
        </w:tc>
        <w:tc>
          <w:tcPr>
            <w:tcW w:w="2311" w:type="dxa"/>
            <w:tcBorders>
              <w:top w:val="single" w:color="auto" w:sz="4" w:space="0"/>
            </w:tcBorders>
            <w:vAlign w:val="center"/>
          </w:tcPr>
          <w:p w14:paraId="7DA2800B">
            <w:pPr>
              <w:widowControl/>
              <w:snapToGrid w:val="0"/>
              <w:spacing w:line="420" w:lineRule="exact"/>
              <w:ind w:left="-263" w:leftChars="-94" w:firstLine="463" w:firstLineChars="193"/>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服务招标</w:t>
            </w:r>
          </w:p>
        </w:tc>
        <w:tc>
          <w:tcPr>
            <w:tcW w:w="2000" w:type="dxa"/>
            <w:tcBorders>
              <w:top w:val="single" w:color="auto" w:sz="4" w:space="0"/>
            </w:tcBorders>
            <w:vAlign w:val="center"/>
          </w:tcPr>
          <w:p w14:paraId="467DD1A6">
            <w:pPr>
              <w:widowControl/>
              <w:snapToGrid w:val="0"/>
              <w:spacing w:line="420" w:lineRule="exact"/>
              <w:ind w:left="-263" w:leftChars="-94" w:firstLine="463" w:firstLineChars="193"/>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工程招标</w:t>
            </w:r>
          </w:p>
        </w:tc>
      </w:tr>
      <w:tr w14:paraId="2228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278" w:type="dxa"/>
            <w:vAlign w:val="center"/>
          </w:tcPr>
          <w:p w14:paraId="0E764F59">
            <w:pPr>
              <w:widowControl/>
              <w:snapToGrid w:val="0"/>
              <w:spacing w:line="420" w:lineRule="exact"/>
              <w:ind w:left="-263" w:leftChars="-94" w:firstLine="463" w:firstLineChars="193"/>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100以下</w:t>
            </w:r>
          </w:p>
        </w:tc>
        <w:tc>
          <w:tcPr>
            <w:tcW w:w="2311" w:type="dxa"/>
            <w:vAlign w:val="center"/>
          </w:tcPr>
          <w:p w14:paraId="086C3C7F">
            <w:pPr>
              <w:widowControl/>
              <w:snapToGrid w:val="0"/>
              <w:spacing w:line="420" w:lineRule="exact"/>
              <w:ind w:left="-263" w:leftChars="-94" w:firstLine="463" w:firstLineChars="193"/>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1.50%</w:t>
            </w:r>
          </w:p>
        </w:tc>
        <w:tc>
          <w:tcPr>
            <w:tcW w:w="2311" w:type="dxa"/>
            <w:vAlign w:val="center"/>
          </w:tcPr>
          <w:p w14:paraId="0F3FEDD3">
            <w:pPr>
              <w:widowControl/>
              <w:snapToGrid w:val="0"/>
              <w:spacing w:line="420" w:lineRule="exact"/>
              <w:ind w:left="-263" w:leftChars="-94" w:firstLine="463" w:firstLineChars="193"/>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1.5%</w:t>
            </w:r>
          </w:p>
        </w:tc>
        <w:tc>
          <w:tcPr>
            <w:tcW w:w="2000" w:type="dxa"/>
            <w:vAlign w:val="center"/>
          </w:tcPr>
          <w:p w14:paraId="460697CB">
            <w:pPr>
              <w:widowControl/>
              <w:snapToGrid w:val="0"/>
              <w:spacing w:line="420" w:lineRule="exact"/>
              <w:ind w:left="-263" w:leftChars="-94" w:firstLine="463" w:firstLineChars="193"/>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1.0%</w:t>
            </w:r>
          </w:p>
        </w:tc>
      </w:tr>
      <w:tr w14:paraId="0334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278" w:type="dxa"/>
            <w:vAlign w:val="center"/>
          </w:tcPr>
          <w:p w14:paraId="2D8A88A4">
            <w:pPr>
              <w:widowControl/>
              <w:snapToGrid w:val="0"/>
              <w:spacing w:line="420" w:lineRule="exact"/>
              <w:ind w:left="-263" w:leftChars="-94" w:firstLine="463" w:firstLineChars="193"/>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100-500</w:t>
            </w:r>
          </w:p>
        </w:tc>
        <w:tc>
          <w:tcPr>
            <w:tcW w:w="2311" w:type="dxa"/>
            <w:vAlign w:val="center"/>
          </w:tcPr>
          <w:p w14:paraId="5EA2DE49">
            <w:pPr>
              <w:widowControl/>
              <w:snapToGrid w:val="0"/>
              <w:spacing w:line="420" w:lineRule="exact"/>
              <w:ind w:left="-263" w:leftChars="-94" w:firstLine="463" w:firstLineChars="193"/>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1.10%</w:t>
            </w:r>
          </w:p>
        </w:tc>
        <w:tc>
          <w:tcPr>
            <w:tcW w:w="2311" w:type="dxa"/>
            <w:vAlign w:val="center"/>
          </w:tcPr>
          <w:p w14:paraId="4C9F8800">
            <w:pPr>
              <w:widowControl/>
              <w:snapToGrid w:val="0"/>
              <w:spacing w:line="420" w:lineRule="exact"/>
              <w:ind w:left="-263" w:leftChars="-94" w:firstLine="463" w:firstLineChars="193"/>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0.8%</w:t>
            </w:r>
          </w:p>
        </w:tc>
        <w:tc>
          <w:tcPr>
            <w:tcW w:w="2000" w:type="dxa"/>
            <w:vAlign w:val="center"/>
          </w:tcPr>
          <w:p w14:paraId="6174D3E7">
            <w:pPr>
              <w:widowControl/>
              <w:snapToGrid w:val="0"/>
              <w:spacing w:line="420" w:lineRule="exact"/>
              <w:ind w:left="-263" w:leftChars="-94" w:firstLine="463" w:firstLineChars="193"/>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0.7%</w:t>
            </w:r>
          </w:p>
        </w:tc>
      </w:tr>
      <w:tr w14:paraId="0674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278" w:type="dxa"/>
            <w:vAlign w:val="center"/>
          </w:tcPr>
          <w:p w14:paraId="4F885517">
            <w:pPr>
              <w:widowControl/>
              <w:snapToGrid w:val="0"/>
              <w:spacing w:line="420" w:lineRule="exact"/>
              <w:ind w:left="-263" w:leftChars="-94" w:firstLine="463" w:firstLineChars="193"/>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500-1000</w:t>
            </w:r>
          </w:p>
        </w:tc>
        <w:tc>
          <w:tcPr>
            <w:tcW w:w="2311" w:type="dxa"/>
            <w:vAlign w:val="center"/>
          </w:tcPr>
          <w:p w14:paraId="53D57D05">
            <w:pPr>
              <w:widowControl/>
              <w:snapToGrid w:val="0"/>
              <w:spacing w:line="420" w:lineRule="exact"/>
              <w:ind w:left="-263" w:leftChars="-94" w:firstLine="463" w:firstLineChars="193"/>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0.80%</w:t>
            </w:r>
          </w:p>
        </w:tc>
        <w:tc>
          <w:tcPr>
            <w:tcW w:w="2311" w:type="dxa"/>
            <w:vAlign w:val="center"/>
          </w:tcPr>
          <w:p w14:paraId="6643447D">
            <w:pPr>
              <w:widowControl/>
              <w:snapToGrid w:val="0"/>
              <w:spacing w:line="420" w:lineRule="exact"/>
              <w:ind w:left="-263" w:leftChars="-94" w:firstLine="463" w:firstLineChars="193"/>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0.45%</w:t>
            </w:r>
          </w:p>
        </w:tc>
        <w:tc>
          <w:tcPr>
            <w:tcW w:w="2000" w:type="dxa"/>
            <w:vAlign w:val="center"/>
          </w:tcPr>
          <w:p w14:paraId="6604CC89">
            <w:pPr>
              <w:widowControl/>
              <w:snapToGrid w:val="0"/>
              <w:spacing w:line="420" w:lineRule="exact"/>
              <w:ind w:left="-263" w:leftChars="-94" w:firstLine="463" w:firstLineChars="193"/>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0.55%</w:t>
            </w:r>
          </w:p>
        </w:tc>
      </w:tr>
      <w:tr w14:paraId="6F18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278" w:type="dxa"/>
            <w:vAlign w:val="center"/>
          </w:tcPr>
          <w:p w14:paraId="14FADA9B">
            <w:pPr>
              <w:widowControl/>
              <w:snapToGrid w:val="0"/>
              <w:spacing w:line="420" w:lineRule="exact"/>
              <w:ind w:left="-263" w:leftChars="-94" w:firstLine="463" w:firstLineChars="193"/>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1000-5000</w:t>
            </w:r>
          </w:p>
        </w:tc>
        <w:tc>
          <w:tcPr>
            <w:tcW w:w="2311" w:type="dxa"/>
            <w:vAlign w:val="center"/>
          </w:tcPr>
          <w:p w14:paraId="126BF4FD">
            <w:pPr>
              <w:widowControl/>
              <w:snapToGrid w:val="0"/>
              <w:spacing w:line="420" w:lineRule="exact"/>
              <w:ind w:left="-263" w:leftChars="-94" w:firstLine="463" w:firstLineChars="193"/>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0.50%</w:t>
            </w:r>
          </w:p>
        </w:tc>
        <w:tc>
          <w:tcPr>
            <w:tcW w:w="2311" w:type="dxa"/>
            <w:vAlign w:val="center"/>
          </w:tcPr>
          <w:p w14:paraId="7836979F">
            <w:pPr>
              <w:widowControl/>
              <w:snapToGrid w:val="0"/>
              <w:spacing w:line="420" w:lineRule="exact"/>
              <w:ind w:left="-263" w:leftChars="-94" w:firstLine="463" w:firstLineChars="193"/>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0.25%</w:t>
            </w:r>
          </w:p>
        </w:tc>
        <w:tc>
          <w:tcPr>
            <w:tcW w:w="2000" w:type="dxa"/>
            <w:vAlign w:val="center"/>
          </w:tcPr>
          <w:p w14:paraId="3F409822">
            <w:pPr>
              <w:widowControl/>
              <w:snapToGrid w:val="0"/>
              <w:spacing w:line="420" w:lineRule="exact"/>
              <w:ind w:left="-263" w:leftChars="-94" w:firstLine="463" w:firstLineChars="193"/>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0.35%</w:t>
            </w:r>
          </w:p>
        </w:tc>
      </w:tr>
      <w:tr w14:paraId="6BDA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278" w:type="dxa"/>
            <w:vAlign w:val="center"/>
          </w:tcPr>
          <w:p w14:paraId="4A28DF2C">
            <w:pPr>
              <w:widowControl/>
              <w:snapToGrid w:val="0"/>
              <w:spacing w:line="420" w:lineRule="exact"/>
              <w:ind w:left="-263" w:leftChars="-94" w:firstLine="463" w:firstLineChars="193"/>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5000-10000</w:t>
            </w:r>
          </w:p>
        </w:tc>
        <w:tc>
          <w:tcPr>
            <w:tcW w:w="2311" w:type="dxa"/>
            <w:vAlign w:val="center"/>
          </w:tcPr>
          <w:p w14:paraId="5887F7C3">
            <w:pPr>
              <w:widowControl/>
              <w:snapToGrid w:val="0"/>
              <w:spacing w:line="420" w:lineRule="exact"/>
              <w:ind w:left="-263" w:leftChars="-94" w:firstLine="463" w:firstLineChars="193"/>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0.25%</w:t>
            </w:r>
          </w:p>
        </w:tc>
        <w:tc>
          <w:tcPr>
            <w:tcW w:w="2311" w:type="dxa"/>
            <w:vAlign w:val="center"/>
          </w:tcPr>
          <w:p w14:paraId="2AF07D4A">
            <w:pPr>
              <w:widowControl/>
              <w:snapToGrid w:val="0"/>
              <w:spacing w:line="420" w:lineRule="exact"/>
              <w:ind w:left="-263" w:leftChars="-94" w:firstLine="463" w:firstLineChars="193"/>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0.1%</w:t>
            </w:r>
          </w:p>
        </w:tc>
        <w:tc>
          <w:tcPr>
            <w:tcW w:w="2000" w:type="dxa"/>
            <w:vAlign w:val="center"/>
          </w:tcPr>
          <w:p w14:paraId="76E0462F">
            <w:pPr>
              <w:widowControl/>
              <w:snapToGrid w:val="0"/>
              <w:spacing w:line="420" w:lineRule="exact"/>
              <w:ind w:left="-263" w:leftChars="-94" w:firstLine="463" w:firstLineChars="193"/>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0.2%</w:t>
            </w:r>
          </w:p>
        </w:tc>
      </w:tr>
    </w:tbl>
    <w:p w14:paraId="5BC3D882">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3.2以上费用均不在报价中单列，请投标人在报价中予以考虑。</w:t>
      </w:r>
    </w:p>
    <w:p w14:paraId="55C95F71">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highlight w:val="none"/>
        </w:rPr>
        <w:sectPr>
          <w:headerReference r:id="rId10" w:type="first"/>
          <w:footerReference r:id="rId13" w:type="first"/>
          <w:headerReference r:id="rId9" w:type="default"/>
          <w:footerReference r:id="rId11" w:type="default"/>
          <w:footerReference r:id="rId12" w:type="even"/>
          <w:pgSz w:w="11906" w:h="16838"/>
          <w:pgMar w:top="1440" w:right="1587" w:bottom="1440" w:left="1587" w:header="851" w:footer="850" w:gutter="0"/>
          <w:pgBorders>
            <w:top w:val="none" w:sz="0" w:space="0"/>
            <w:left w:val="none" w:sz="0" w:space="0"/>
            <w:bottom w:val="none" w:sz="0" w:space="0"/>
            <w:right w:val="none" w:sz="0" w:space="0"/>
          </w:pgBorders>
          <w:pgNumType w:start="1"/>
          <w:cols w:space="0" w:num="1"/>
          <w:titlePg/>
          <w:docGrid w:linePitch="381" w:charSpace="0"/>
        </w:sectPr>
      </w:pPr>
      <w:r>
        <w:rPr>
          <w:rFonts w:hint="eastAsia" w:ascii="宋体" w:hAnsi="宋体" w:eastAsia="宋体" w:cs="宋体"/>
          <w:color w:val="000000" w:themeColor="text1"/>
          <w:sz w:val="24"/>
          <w:szCs w:val="24"/>
          <w:highlight w:val="none"/>
        </w:rPr>
        <w:t>3.3由中标投标人在领取中标通知书时支付给采购代理单位。</w:t>
      </w:r>
    </w:p>
    <w:p w14:paraId="19FC4CDF">
      <w:pPr>
        <w:pStyle w:val="29"/>
        <w:numPr>
          <w:ilvl w:val="0"/>
          <w:numId w:val="1"/>
        </w:numPr>
        <w:spacing w:before="0" w:afterLines="50" w:line="276" w:lineRule="auto"/>
        <w:ind w:left="0" w:leftChars="0" w:firstLine="0" w:firstLineChars="0"/>
        <w:jc w:val="center"/>
        <w:outlineLvl w:val="0"/>
        <w:rPr>
          <w:rFonts w:hint="eastAsia" w:ascii="宋体" w:hAnsi="宋体"/>
          <w:b/>
          <w:color w:val="000000" w:themeColor="text1"/>
          <w:sz w:val="32"/>
          <w:szCs w:val="21"/>
          <w:highlight w:val="none"/>
        </w:rPr>
      </w:pPr>
      <w:r>
        <w:rPr>
          <w:rFonts w:hint="eastAsia" w:ascii="宋体" w:hAnsi="宋体"/>
          <w:b/>
          <w:color w:val="000000" w:themeColor="text1"/>
          <w:sz w:val="32"/>
          <w:szCs w:val="21"/>
          <w:highlight w:val="none"/>
        </w:rPr>
        <w:t>采购内容及要求</w:t>
      </w:r>
      <w:bookmarkStart w:id="52" w:name="_Toc233618986"/>
      <w:bookmarkStart w:id="53" w:name="_Toc86217003"/>
    </w:p>
    <w:p w14:paraId="070E7563">
      <w:pPr>
        <w:pStyle w:val="29"/>
        <w:keepNext w:val="0"/>
        <w:keepLines w:val="0"/>
        <w:pageBreakBefore w:val="0"/>
        <w:widowControl w:val="0"/>
        <w:numPr>
          <w:ilvl w:val="0"/>
          <w:numId w:val="0"/>
        </w:numPr>
        <w:kinsoku/>
        <w:wordWrap/>
        <w:overflowPunct/>
        <w:topLinePunct w:val="0"/>
        <w:autoSpaceDE/>
        <w:autoSpaceDN/>
        <w:bidi w:val="0"/>
        <w:adjustRightInd/>
        <w:snapToGrid/>
        <w:spacing w:before="0" w:line="276" w:lineRule="auto"/>
        <w:ind w:leftChars="0"/>
        <w:jc w:val="both"/>
        <w:textAlignment w:val="auto"/>
        <w:outlineLvl w:val="0"/>
        <w:rPr>
          <w:rFonts w:hint="eastAsia" w:ascii="宋体" w:hAnsi="宋体" w:eastAsia="宋体" w:cs="宋体"/>
          <w:b/>
          <w:color w:val="000000" w:themeColor="text1"/>
          <w:sz w:val="24"/>
          <w:szCs w:val="24"/>
          <w:highlight w:val="none"/>
          <w:vertAlign w:val="baseline"/>
        </w:rPr>
      </w:pPr>
      <w:r>
        <w:rPr>
          <w:rFonts w:hint="eastAsia" w:ascii="宋体" w:hAnsi="宋体" w:eastAsia="宋体" w:cs="宋体"/>
          <w:b/>
          <w:color w:val="000000" w:themeColor="text1"/>
          <w:sz w:val="24"/>
          <w:szCs w:val="24"/>
          <w:highlight w:val="none"/>
          <w:lang w:val="en-US" w:eastAsia="zh-CN"/>
        </w:rPr>
        <w:t>一、技术参数及要求</w:t>
      </w:r>
    </w:p>
    <w:tbl>
      <w:tblPr>
        <w:tblStyle w:val="2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300"/>
        <w:gridCol w:w="5880"/>
      </w:tblGrid>
      <w:tr w14:paraId="5D56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7B3D365B">
            <w:pPr>
              <w:keepNext w:val="0"/>
              <w:keepLines w:val="0"/>
              <w:widowControl/>
              <w:suppressLineNumbers w:val="0"/>
              <w:jc w:val="center"/>
              <w:textAlignment w:val="center"/>
              <w:rPr>
                <w:rFonts w:hint="eastAsia" w:ascii="宋体" w:hAnsi="宋体" w:eastAsia="宋体" w:cs="宋体"/>
                <w:b/>
                <w:bCs/>
                <w:color w:val="000000" w:themeColor="text1"/>
                <w:sz w:val="24"/>
                <w:szCs w:val="24"/>
                <w:highlight w:val="none"/>
                <w:vertAlign w:val="baseline"/>
              </w:rPr>
            </w:pPr>
            <w:r>
              <w:rPr>
                <w:rFonts w:hint="eastAsia" w:ascii="宋体" w:hAnsi="宋体" w:eastAsia="宋体" w:cs="宋体"/>
                <w:b/>
                <w:bCs/>
                <w:i w:val="0"/>
                <w:iCs w:val="0"/>
                <w:color w:val="000000" w:themeColor="text1"/>
                <w:kern w:val="0"/>
                <w:sz w:val="24"/>
                <w:szCs w:val="24"/>
                <w:highlight w:val="none"/>
                <w:u w:val="none"/>
                <w:lang w:val="en-US" w:eastAsia="zh-CN" w:bidi="ar"/>
              </w:rPr>
              <w:t>序号</w:t>
            </w:r>
          </w:p>
        </w:tc>
        <w:tc>
          <w:tcPr>
            <w:tcW w:w="2300" w:type="dxa"/>
            <w:vAlign w:val="center"/>
          </w:tcPr>
          <w:p w14:paraId="230694A0">
            <w:pPr>
              <w:keepNext w:val="0"/>
              <w:keepLines w:val="0"/>
              <w:widowControl/>
              <w:suppressLineNumbers w:val="0"/>
              <w:jc w:val="center"/>
              <w:textAlignment w:val="center"/>
              <w:rPr>
                <w:rFonts w:hint="eastAsia" w:ascii="宋体" w:hAnsi="宋体" w:eastAsia="宋体" w:cs="宋体"/>
                <w:b/>
                <w:bCs/>
                <w:color w:val="000000" w:themeColor="text1"/>
                <w:sz w:val="24"/>
                <w:szCs w:val="24"/>
                <w:highlight w:val="none"/>
                <w:vertAlign w:val="baseline"/>
              </w:rPr>
            </w:pPr>
            <w:r>
              <w:rPr>
                <w:rFonts w:hint="eastAsia" w:ascii="宋体" w:hAnsi="宋体" w:eastAsia="宋体" w:cs="宋体"/>
                <w:b/>
                <w:bCs/>
                <w:i w:val="0"/>
                <w:iCs w:val="0"/>
                <w:color w:val="000000" w:themeColor="text1"/>
                <w:kern w:val="0"/>
                <w:sz w:val="24"/>
                <w:szCs w:val="24"/>
                <w:highlight w:val="none"/>
                <w:u w:val="none"/>
                <w:lang w:val="en-US" w:eastAsia="zh-CN" w:bidi="ar"/>
              </w:rPr>
              <w:t>装备名称</w:t>
            </w:r>
          </w:p>
        </w:tc>
        <w:tc>
          <w:tcPr>
            <w:tcW w:w="5880" w:type="dxa"/>
            <w:vAlign w:val="center"/>
          </w:tcPr>
          <w:p w14:paraId="513071D8">
            <w:pPr>
              <w:keepNext w:val="0"/>
              <w:keepLines w:val="0"/>
              <w:widowControl/>
              <w:suppressLineNumbers w:val="0"/>
              <w:jc w:val="center"/>
              <w:textAlignment w:val="center"/>
              <w:rPr>
                <w:rFonts w:hint="eastAsia" w:ascii="宋体" w:hAnsi="宋体" w:eastAsia="宋体" w:cs="宋体"/>
                <w:b/>
                <w:bCs/>
                <w:color w:val="000000" w:themeColor="text1"/>
                <w:sz w:val="24"/>
                <w:szCs w:val="24"/>
                <w:highlight w:val="none"/>
                <w:vertAlign w:val="baseline"/>
              </w:rPr>
            </w:pPr>
            <w:r>
              <w:rPr>
                <w:rFonts w:hint="eastAsia" w:ascii="宋体" w:hAnsi="宋体" w:eastAsia="宋体" w:cs="宋体"/>
                <w:b/>
                <w:bCs/>
                <w:i w:val="0"/>
                <w:iCs w:val="0"/>
                <w:color w:val="000000" w:themeColor="text1"/>
                <w:kern w:val="0"/>
                <w:sz w:val="24"/>
                <w:szCs w:val="24"/>
                <w:highlight w:val="none"/>
                <w:u w:val="none"/>
                <w:lang w:val="en-US" w:eastAsia="zh-CN" w:bidi="ar"/>
              </w:rPr>
              <w:t>主要参数</w:t>
            </w:r>
          </w:p>
        </w:tc>
      </w:tr>
      <w:tr w14:paraId="5B45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63814832">
            <w:pPr>
              <w:keepNext w:val="0"/>
              <w:keepLines w:val="0"/>
              <w:pageBreakBefore w:val="0"/>
              <w:widowControl/>
              <w:suppressLineNumbers w:val="0"/>
              <w:kinsoku/>
              <w:wordWrap/>
              <w:overflowPunct/>
              <w:topLinePunct w:val="0"/>
              <w:autoSpaceDE/>
              <w:autoSpaceDN/>
              <w:bidi w:val="0"/>
              <w:adjustRightInd/>
              <w:snapToGrid/>
              <w:spacing w:afterAutospacing="0" w:line="360" w:lineRule="exact"/>
              <w:jc w:val="center"/>
              <w:textAlignment w:val="center"/>
              <w:rPr>
                <w:rStyle w:val="51"/>
                <w:rFonts w:hint="default" w:ascii="宋体" w:hAnsi="宋体" w:cs="宋体"/>
                <w:i w:val="0"/>
                <w:iCs w:val="0"/>
                <w:color w:val="000000" w:themeColor="text1"/>
                <w:highlight w:val="none"/>
                <w:lang w:val="en-US" w:eastAsia="zh-CN" w:bidi="ar"/>
              </w:rPr>
            </w:pPr>
            <w:r>
              <w:rPr>
                <w:rStyle w:val="51"/>
                <w:rFonts w:hint="eastAsia" w:ascii="宋体" w:hAnsi="宋体" w:cs="宋体"/>
                <w:i w:val="0"/>
                <w:iCs w:val="0"/>
                <w:color w:val="000000" w:themeColor="text1"/>
                <w:highlight w:val="none"/>
                <w:lang w:val="en-US" w:eastAsia="zh-CN" w:bidi="ar"/>
              </w:rPr>
              <w:t>1</w:t>
            </w:r>
          </w:p>
        </w:tc>
        <w:tc>
          <w:tcPr>
            <w:tcW w:w="2300" w:type="dxa"/>
            <w:vAlign w:val="center"/>
          </w:tcPr>
          <w:p w14:paraId="40A8EEEE">
            <w:pPr>
              <w:keepNext w:val="0"/>
              <w:keepLines w:val="0"/>
              <w:widowControl/>
              <w:suppressLineNumbers w:val="0"/>
              <w:jc w:val="left"/>
              <w:textAlignment w:val="center"/>
              <w:rPr>
                <w:rStyle w:val="51"/>
                <w:rFonts w:hint="eastAsia" w:ascii="宋体" w:hAnsi="宋体" w:cs="宋体"/>
                <w:i w:val="0"/>
                <w:iCs w:val="0"/>
                <w:color w:val="000000" w:themeColor="text1"/>
                <w:highlight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绳索救援套装（个人装备）</w:t>
            </w:r>
            <w:r>
              <w:rPr>
                <w:rFonts w:hint="eastAsia" w:ascii="宋体" w:hAnsi="宋体" w:cs="宋体"/>
                <w:i w:val="0"/>
                <w:iCs w:val="0"/>
                <w:color w:val="000000" w:themeColor="text1"/>
                <w:kern w:val="0"/>
                <w:sz w:val="24"/>
                <w:szCs w:val="24"/>
                <w:highlight w:val="none"/>
                <w:u w:val="none"/>
                <w:lang w:val="en-US" w:eastAsia="zh-CN" w:bidi="ar"/>
              </w:rPr>
              <w:t>（4套）</w:t>
            </w:r>
          </w:p>
        </w:tc>
        <w:tc>
          <w:tcPr>
            <w:tcW w:w="5880" w:type="dxa"/>
            <w:vAlign w:val="center"/>
          </w:tcPr>
          <w:p w14:paraId="540F306A">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绳索救援专业个人装备套装满足XF494-2023标准，需提供套装第三方检测报告。</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1.手套（2双）：</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轻薄的小牛皮作业手套，在易磨损处进行了加固；（2）手掌和手指采用结实的皮革，且食指和小指上的皮革加固；手背和手腕部采用四向弹性拉伸材料，带来最佳的贴合；（3）手腕通过魔术贴轻松拉开或固定，织带上有连接环用于锁扣悬挂；（4）防紫外线；（5）手掌：100%皮革， 手背：98%聚酯，2%弹性纤维；（6）提供尺码：XS/S/M/L/XL。</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2.头盔（2顶）：</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材质：聚丙烯、ABS、聚苯⼄烯(EPS)</w:t>
            </w:r>
          </w:p>
          <w:p w14:paraId="078785D8">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头围：51-62cm</w:t>
            </w:r>
          </w:p>
          <w:p w14:paraId="4FEA8CBA">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重量≤450g</w:t>
            </w:r>
          </w:p>
          <w:p w14:paraId="035E296F">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下颚带卡扣双色设计，采用警醒红色，提醒用户佩戴好下颚带，安全使用。</w:t>
            </w:r>
          </w:p>
          <w:p w14:paraId="0B17C034">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符合EN 12492-2012标准；</w:t>
            </w:r>
          </w:p>
          <w:p w14:paraId="5CAD270F">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用于高空作业及山岳救援时，对救援人员头部的防护。</w:t>
            </w:r>
          </w:p>
          <w:p w14:paraId="4B597B56">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头盔四向有反光标；顶部有多个透气孔；有多个外置卡扣，装置有头灯，防晒帽檐。</w:t>
            </w:r>
          </w:p>
          <w:p w14:paraId="6975ACF2">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两侧预留有护目镜专用孔位及防噪音耳机孔。</w:t>
            </w:r>
          </w:p>
          <w:p w14:paraId="6E07D83B">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头盔后部有轮式调节系统，可调节头围⼤⼩，两侧调节扣可调节头盔的前后左右，确保佩戴的稳定性和舒适性。</w:t>
            </w:r>
          </w:p>
          <w:p w14:paraId="0F63B831">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多色选择，可满足团队不同岗位⼈员的区分需求。</w:t>
            </w:r>
          </w:p>
          <w:p w14:paraId="3B0C935B">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3.头灯（2个）：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性能：用于救援中照明使用，可悬挂于头盔上，分远光和泛光，需配2块原装电池；（2）重量97克（不含电池），单块电池续航时间（泛光）=300h，远光工作时间≥20h，高亮22小时，中亮42小时，低亮97小时；（3）远光照射距离≥80m；高亮101米，极亮163米，防尘防水等级ip68（水下2米）。</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4.可分身全身吊带（2套）：</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8挂点全可调带衬垫全身安全带，肩带可完全拆除，将安全带转换为坐式安全带；</w:t>
            </w:r>
          </w:p>
          <w:p w14:paraId="48260D9D">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腰带和肩带有反光条；同时肩带具有快插扣方便穿脱。</w:t>
            </w:r>
          </w:p>
          <w:p w14:paraId="35462C48">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卡扣强度≥18kN，腹部钢制挂点≥24KN，胸式上升器可自由安装；</w:t>
            </w:r>
          </w:p>
          <w:p w14:paraId="23E5007C">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不少于4个承重5kg的装备环；额外的环承重≥5kg，腰部≥8个，腿部≥4个</w:t>
            </w:r>
          </w:p>
          <w:p w14:paraId="68036EED">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肩部的简单连接点用于受限空间救援；</w:t>
            </w:r>
          </w:p>
          <w:p w14:paraId="3E6D35AB">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配有识别标签；</w:t>
            </w:r>
          </w:p>
          <w:p w14:paraId="5B1BA042">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适用身高：150-205 cm；</w:t>
            </w:r>
          </w:p>
          <w:p w14:paraId="418C71F4">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（8）</w:t>
            </w:r>
            <w:r>
              <w:rPr>
                <w:rFonts w:hint="eastAsia" w:ascii="宋体" w:hAnsi="宋体" w:eastAsia="宋体" w:cs="宋体"/>
                <w:i w:val="0"/>
                <w:iCs w:val="0"/>
                <w:color w:val="000000" w:themeColor="text1"/>
                <w:kern w:val="0"/>
                <w:sz w:val="22"/>
                <w:szCs w:val="22"/>
                <w:highlight w:val="none"/>
                <w:u w:val="none"/>
                <w:lang w:val="en-US" w:eastAsia="zh-CN" w:bidi="ar"/>
              </w:rPr>
              <w:t>重量≤2600g；</w:t>
            </w:r>
          </w:p>
          <w:p w14:paraId="74796B8A">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（9）</w:t>
            </w:r>
            <w:r>
              <w:rPr>
                <w:rFonts w:hint="eastAsia" w:ascii="宋体" w:hAnsi="宋体" w:eastAsia="宋体" w:cs="宋体"/>
                <w:i w:val="0"/>
                <w:iCs w:val="0"/>
                <w:color w:val="000000" w:themeColor="text1"/>
                <w:kern w:val="0"/>
                <w:sz w:val="22"/>
                <w:szCs w:val="22"/>
                <w:highlight w:val="none"/>
                <w:u w:val="none"/>
                <w:lang w:val="en-US" w:eastAsia="zh-CN" w:bidi="ar"/>
              </w:rPr>
              <w:t>符合国家 XF494《消防用防坠落装备》标准，提供符合国家认可的第三方检测机构出具的检测报告复印件或扫描件。</w:t>
            </w:r>
          </w:p>
          <w:p w14:paraId="25E26FC8">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（10）</w:t>
            </w:r>
            <w:r>
              <w:rPr>
                <w:rFonts w:hint="eastAsia" w:ascii="宋体" w:hAnsi="宋体" w:eastAsia="宋体" w:cs="宋体"/>
                <w:i w:val="0"/>
                <w:iCs w:val="0"/>
                <w:color w:val="000000" w:themeColor="text1"/>
                <w:kern w:val="0"/>
                <w:sz w:val="22"/>
                <w:szCs w:val="22"/>
                <w:highlight w:val="none"/>
                <w:u w:val="none"/>
                <w:lang w:val="en-US" w:eastAsia="zh-CN" w:bidi="ar"/>
              </w:rPr>
              <w:t>投标时提供样品</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5.防恐慌自动下降器（3个）：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可以控制下降；带有防装反标记，不锈钢耐磨板抗磨损，有防恐慌功能；（2）重量≤600g，兼容绳索直径≥10~11.5mm，最大下降≥250kg物体；（3）材质：铝合金，钢，尼龙；（4）★工作负荷≥6KN；（5）满足XF494-2023标准，提供第三方出具的检测报告，符合EN 341，EN 12841，EN 15151-1, ANSI Z359.4, NFPA 1983。★</w:t>
            </w: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产品重量≤600g，工作负荷≥240kg，绳索适用范围10.5mm-11.5mm。</w:t>
            </w:r>
          </w:p>
          <w:p w14:paraId="7CC743F3">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试样经GB/T 10125-1997规定的48h中性盐雾试验后，外观应符合GB/T6461-2002外观等级评定轻微级的要求，并应保持原有性能。</w:t>
            </w:r>
          </w:p>
          <w:p w14:paraId="3564EC34">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（8）</w:t>
            </w:r>
            <w:r>
              <w:rPr>
                <w:rFonts w:hint="eastAsia" w:ascii="宋体" w:hAnsi="宋体" w:eastAsia="宋体" w:cs="宋体"/>
                <w:i w:val="0"/>
                <w:iCs w:val="0"/>
                <w:color w:val="000000" w:themeColor="text1"/>
                <w:kern w:val="0"/>
                <w:sz w:val="22"/>
                <w:szCs w:val="22"/>
                <w:highlight w:val="none"/>
                <w:u w:val="none"/>
                <w:lang w:val="en-US" w:eastAsia="zh-CN" w:bidi="ar"/>
              </w:rPr>
              <w:t>下降器应能承受不小于13.5kN的试验负荷且无故障，下降器应能承受不小于22kN的试验负荷且无故障</w:t>
            </w:r>
          </w:p>
          <w:p w14:paraId="14C94646">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6.小型自动下降器（2个）：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适用有经验使用者，带有防装反标记，不锈钢耐磨板抗磨损；（2）重量≤400g，兼容绳索直径≥10~11.5mm，最大下降≥200kg物体；（3）材质：铝合金，钢，尼龙；（4）★工作负荷≥6KN；（5）满足XF494-2023标准，提供第三方出具的检测报告。符合EN 12841， EN 341。</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7.手持上升器（2个）：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（1）人体工学设计，使用轻巧便捷；（2）适用绳索直径≥8-13mm；（3）重量≥165g；（4）★工作负荷≥6KN；</w:t>
            </w:r>
          </w:p>
          <w:p w14:paraId="6AA86379">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符合EN 567, EN 12841</w:t>
            </w: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破断强度≥9500N</w:t>
            </w: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适合绳径:8-13mm</w:t>
            </w:r>
          </w:p>
          <w:p w14:paraId="66628DD3">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（8）</w:t>
            </w:r>
            <w:r>
              <w:rPr>
                <w:rFonts w:hint="eastAsia" w:ascii="宋体" w:hAnsi="宋体" w:eastAsia="宋体" w:cs="宋体"/>
                <w:i w:val="0"/>
                <w:iCs w:val="0"/>
                <w:color w:val="000000" w:themeColor="text1"/>
                <w:kern w:val="0"/>
                <w:sz w:val="22"/>
                <w:szCs w:val="22"/>
                <w:highlight w:val="none"/>
                <w:u w:val="none"/>
                <w:lang w:val="en-US" w:eastAsia="zh-CN" w:bidi="ar"/>
              </w:rPr>
              <w:t>符合国家 XF494《消防用防坠落装备》标准，提供符合国家认可的第三方检测机构出具的检测报告复印件或扫描件。</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8.胸式上升器（2个）：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（1）专门用于绳索上升和救援；（2）材料：铝、不锈钢和尼龙；（3）可兼容8-13mm绳索，最大负重140公斤，★工作负荷≥6KN；（4）重量≥140g；（5）满足XF494-2023标准，提供第三方出具的检测报告，符合EN 567, EN 12841。</w:t>
            </w: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不锈钢凸轮，提供了高耐腐蚀性，适用于任何环境（冰冻或脏污的绳索）</w:t>
            </w:r>
          </w:p>
          <w:p w14:paraId="31327606">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材料 :外壳 采用不弱于轻合金的材料，凸轮采用不弱于不锈钢的材料，</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9.O型锁扣（40个）：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（1）轻型O型锁扣椭圆外形，方便抓握；（2）二段自动扣设计；（3）铝合金制，开口尺寸≥20mm， 纵向拉力≥25KN， 横向拉力≥8KN，开口拉力≥7KN；（4） 重量为≤75克；（5）认证：CE EN 362，满足XF494-2023标准，提供第三方出具的检测报告。★6、经48h中性盐雾试验后，外观符合 GB/T6461-2002外观等级评定轻微级的要求。提供符合国家认可的第三方检测机构出具的检测报告复印件或扫描件。</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10.可调节脚踏带（2根）：</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（1)可调脚踏圈配合手式上升器用于上升；(2)可调节长度；</w:t>
            </w: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做单人使用，工作范围：70-115cm；</w:t>
            </w:r>
          </w:p>
          <w:p w14:paraId="19DFB32D">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材质：铝合金、尼龙，重量≤144g；破断强度≥21kN；产品符合XF494-2023《消防用防坠落装备》标准，需提供特种安全防护产品质量监督检验中心或国家消防装备质量监督检验中心检测报告。</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11</w:t>
            </w:r>
            <w:r>
              <w:rPr>
                <w:rFonts w:hint="eastAsia" w:ascii="宋体" w:hAnsi="宋体" w:cs="宋体"/>
                <w:i w:val="0"/>
                <w:iCs w:val="0"/>
                <w:color w:val="000000" w:themeColor="text1"/>
                <w:kern w:val="0"/>
                <w:sz w:val="22"/>
                <w:szCs w:val="22"/>
                <w:highlight w:val="none"/>
                <w:u w:val="none"/>
                <w:lang w:val="en-US" w:eastAsia="zh-CN" w:bidi="ar"/>
              </w:rPr>
              <w:t>.</w:t>
            </w:r>
            <w:r>
              <w:rPr>
                <w:rFonts w:hint="eastAsia" w:ascii="宋体" w:hAnsi="宋体" w:eastAsia="宋体" w:cs="宋体"/>
                <w:i w:val="0"/>
                <w:iCs w:val="0"/>
                <w:color w:val="000000" w:themeColor="text1"/>
                <w:kern w:val="0"/>
                <w:sz w:val="22"/>
                <w:szCs w:val="22"/>
                <w:highlight w:val="none"/>
                <w:u w:val="none"/>
                <w:lang w:val="en-US" w:eastAsia="zh-CN" w:bidi="ar"/>
              </w:rPr>
              <w:t>四阶阶梯，可与上升器或锚点配合使用。</w:t>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脚底带耐磨性；（2）材质：尼龙；重量≤145g。</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12.脚式上升器（2个）：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（1）可以配合其他上升器一起使用；（2） 不锈钢凸轮结构，具有更好的抗腐蚀能力，迪尼玛织带更轻，更抗磨；（3）适用绳索直径≤8-13mm，重量≤85g；（4）★工作负荷≥6KN，材料：铝，不锈钢，迪尼玛，满足XF494-2023标准，提供第三方出具的检测报告。</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13.可调节牛尾（2根）：</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（1）可调节长短的挽索，配有一把O型自动主锁，以及全新的抓绳器。在负重情况下挽索长度也能进行长短调节；</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（2）绳索直径≥10.5mm， 长度可调范围≥20cm-120cm，断裂强度15kN，重量≥300g；（3）认证：EN358。</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14.装备包（2个）：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（1）尺寸：32*23*65cm；（2）容量≥45L；（3）重量≤1600g；（4）设有包盖，包身备有多个挂点，可吊运可提拉。</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15.万向分立立板式挂环滑轮（2个）：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★同时具有锁扣，滑轮和万向节的功能的三孔分立板，锁扣是三动设计，横向拉力不低于 30KN。满足XF494-2023标准，提供第三方出具的检测报告。提供样品。</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16.割绳刀（2把）：</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（1）备有锁扣连接孔的高品质不锈钢绳刀，带锯齿的刀刃。刀上有锁孔方便用主锁将绳刀与安全带或背包相连，金属盒包装；（2）重量≥47g；（3）展开长度≥18cm，刃长≥7.5cm。</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17.移动止坠器（3个）：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带有上锁功能的可跟随式游走止坠器，具有止坠锁定或差速功能，无需辅助操作即可在绳索上下自由移动，发生坠落时可以触发止坠锁止。</w:t>
            </w:r>
          </w:p>
          <w:p w14:paraId="05C61DBC">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适合10 - 13 mm 绳索。</w:t>
            </w:r>
          </w:p>
          <w:p w14:paraId="721B322B">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符合XF 494-2004《消防用防坠落装备》，并提供符合国家认可的第三方检测机构出具的检测报告复印件或扫描件。</w:t>
            </w:r>
          </w:p>
          <w:p w14:paraId="1EE915D7">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承载用刚性部件的材料应为经锻造、压铸、压延或冲制的金属。</w:t>
            </w:r>
          </w:p>
          <w:p w14:paraId="6A44B0D4">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工作负荷≥5kN，无永久性损伤、明显变形或绳体的损伤。</w:t>
            </w:r>
          </w:p>
          <w:p w14:paraId="158CF399">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经GB/T 10125-1997规定的48h中性盐雾试验后 ， 外观应符合GB/T6461-2002外观等级评定轻微级的要求，并应保持原有性能</w:t>
            </w:r>
          </w:p>
          <w:p w14:paraId="469E9BD8">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18.缓冲包（3个）：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配合用于移动止坠器，可双人救援使用</w:t>
            </w:r>
          </w:p>
          <w:p w14:paraId="5D044BCB">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配有撕裂式扁带，装于拉链式包内，可视化管理，便于安全检查，遇冲坠时势能吸收器通过织带撕裂吸收对使用者的冲击力。</w:t>
            </w:r>
          </w:p>
          <w:p w14:paraId="7591BCBE">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两端配有织带保护器，用于将连接器固定到位并保护织带免受磨损。</w:t>
            </w:r>
          </w:p>
          <w:p w14:paraId="4B18F25B">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长度≥40cm，重量≤205g</w:t>
            </w:r>
          </w:p>
          <w:p w14:paraId="3901D518">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最大负荷≥250kg</w:t>
            </w:r>
          </w:p>
          <w:p w14:paraId="38C01CBA">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符合GB/T24538-2009《坠落防护缓冲器》认证标准，并提供符合国家认可的第三方检测机构出具的检测报告复印件或扫描件。</w:t>
            </w:r>
          </w:p>
          <w:p w14:paraId="4A45FD03">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制动力不应大于6kN，永久变形不应大于1.8m</w:t>
            </w:r>
          </w:p>
          <w:p w14:paraId="1498F933">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（8）</w:t>
            </w:r>
            <w:r>
              <w:rPr>
                <w:rFonts w:hint="eastAsia" w:ascii="宋体" w:hAnsi="宋体" w:eastAsia="宋体" w:cs="宋体"/>
                <w:i w:val="0"/>
                <w:iCs w:val="0"/>
                <w:color w:val="000000" w:themeColor="text1"/>
                <w:kern w:val="0"/>
                <w:sz w:val="22"/>
                <w:szCs w:val="22"/>
                <w:highlight w:val="none"/>
                <w:u w:val="none"/>
                <w:lang w:val="en-US" w:eastAsia="zh-CN" w:bidi="ar"/>
              </w:rPr>
              <w:t>高温环境下，制动力≤6kN，永久变形≤1.8m，并提供符合国家认可的第三方检测机构出具的检测报告复印件或扫描件。</w:t>
            </w:r>
          </w:p>
          <w:p w14:paraId="0DD6BFA2">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（9）</w:t>
            </w:r>
            <w:r>
              <w:rPr>
                <w:rFonts w:hint="eastAsia" w:ascii="宋体" w:hAnsi="宋体" w:eastAsia="宋体" w:cs="宋体"/>
                <w:i w:val="0"/>
                <w:iCs w:val="0"/>
                <w:color w:val="000000" w:themeColor="text1"/>
                <w:kern w:val="0"/>
                <w:sz w:val="22"/>
                <w:szCs w:val="22"/>
                <w:highlight w:val="none"/>
                <w:u w:val="none"/>
                <w:lang w:val="en-US" w:eastAsia="zh-CN" w:bidi="ar"/>
              </w:rPr>
              <w:t>低温环境下，制动力≤6kN，永久变形≤1.8m，并提供符合国家认可的第三方检测机构出具的检测报告复印件或扫描件。</w:t>
            </w:r>
          </w:p>
          <w:p w14:paraId="01629A25">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19.可开启万向节（2个）：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（1）轻量化的小巧的滚珠轴承万向节，可以根据需要经常打开或关闭；（2）12mm开合宽度，开口向外，便于安装绳索扁带和金属部件；（3）采用滚珠轴承，即使在负重下也能旋转；（4）重量≥105g，开口宽度≥12 mm，破断强度≥20kN，尺寸≥95 x 50 x 28 mm， 内径：25 mm。</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20.锁扣滑轮（2个）: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内置锁扣的滑轮。在受力下也能保证效率；（2）采用滑块锁门，效率≥86%；（3）重量≥68g；（4）锁门类型：滑块门；（5）尺寸≥100*65mm；（6）锁门宽度≥15mm，主轴强度≥22kN，开门主轴强度≥7kN，横轴强度≥8kN，认证EN12275, EN 362。</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21.装备包（2个）: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材质：聚氯乙烯（pvc）夹网布；（2）容量≥55L，重量≥2900g；（3）内置5个拉链分装袋，6个通铺隔断式网袋，9个*2主锁挂点，3条绳索固定扣带，浅色内衬找装备更清晰，顶包有头盔固定链接，实现模块化分装；（4）执行标准： QB/T1333-2018  GB/2912.1-2009 。</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22.腿包（2个）: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（1）材质：锦纶（可提拉）规格：26*26*5cm 容量：20米8mm静力绳用于绳索操作使用， 可装滑轮系统，短绳等；（2）主袋可分左右两侧单独使用3、包背防滑绑腿带有效解决行走滑动问题，可高低、宽窄调节。执行标准： QB/T 1333-2018。</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23.10米绳（10根）：</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绳皮由不少于40股组成、特耐磨绳皮，直径：10.5 mm</w:t>
            </w:r>
          </w:p>
          <w:p w14:paraId="7F373BBE">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承受拉力≥30 kN；打结拉力≥19.5 kN；缝合点拉力≥27KN.</w:t>
            </w:r>
          </w:p>
          <w:p w14:paraId="1C1BEC73">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静态延展率≤3.4%，绳皮滑动率：0%；缩水率1.1%</w:t>
            </w:r>
          </w:p>
          <w:p w14:paraId="5BCDC2CF">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极限冲坠次数＞15，首次冲击力≥5.6kN</w:t>
            </w:r>
          </w:p>
          <w:p w14:paraId="2ED0494E">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长度≥10米；每米重量≤75g</w:t>
            </w:r>
          </w:p>
          <w:p w14:paraId="5B411F94">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绳皮占比≥36%</w:t>
            </w:r>
          </w:p>
          <w:p w14:paraId="746BAE95">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经204℃土5℃的耐高温性能试验后，安全绳不应出现融熔、焦化现象。</w:t>
            </w:r>
          </w:p>
          <w:p w14:paraId="6E5405CC">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（8）</w:t>
            </w:r>
            <w:r>
              <w:rPr>
                <w:rFonts w:hint="eastAsia" w:ascii="宋体" w:hAnsi="宋体" w:eastAsia="宋体" w:cs="宋体"/>
                <w:i w:val="0"/>
                <w:iCs w:val="0"/>
                <w:color w:val="000000" w:themeColor="text1"/>
                <w:kern w:val="0"/>
                <w:sz w:val="22"/>
                <w:szCs w:val="22"/>
                <w:highlight w:val="none"/>
                <w:u w:val="none"/>
                <w:lang w:val="en-US" w:eastAsia="zh-CN" w:bidi="ar"/>
              </w:rPr>
              <w:t>产品符合XF494-2004《消防用防坠落装备》标准，并提供符合国家认可的第三方检测机构出具的检测报告复印件或扫描件。</w:t>
            </w:r>
          </w:p>
          <w:p w14:paraId="4D2FB707">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（9）</w:t>
            </w:r>
            <w:r>
              <w:rPr>
                <w:rFonts w:hint="eastAsia" w:ascii="宋体" w:hAnsi="宋体" w:eastAsia="宋体" w:cs="宋体"/>
                <w:i w:val="0"/>
                <w:iCs w:val="0"/>
                <w:color w:val="000000" w:themeColor="text1"/>
                <w:kern w:val="0"/>
                <w:sz w:val="22"/>
                <w:szCs w:val="22"/>
                <w:highlight w:val="none"/>
                <w:u w:val="none"/>
                <w:lang w:val="en-US" w:eastAsia="zh-CN" w:bidi="ar"/>
              </w:rPr>
              <w:t>符合CCCF-CPRZ-27:2019《消防类产品认证实施规则消防装备产品消防员个人防护装备产品》标准，并提供符合国家认可的第三方检测机构出具的检测报告。</w:t>
            </w:r>
          </w:p>
          <w:p w14:paraId="73F3A3A4">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24.30米绳（6根）：</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绳皮由不少于40股组成、特耐磨绳皮，直径：10.5 mm</w:t>
            </w:r>
          </w:p>
          <w:p w14:paraId="4B3BEBCA">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承受拉力≥30 kN；打结拉力≥19.5 kN；缝合点拉力≥27KN.</w:t>
            </w:r>
          </w:p>
          <w:p w14:paraId="4684FD40">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静态延展率≤3.4%，绳皮滑动率：0%；缩水率1.1%</w:t>
            </w:r>
          </w:p>
          <w:p w14:paraId="14BBFC38">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极限冲坠次数＞15，首次冲击力≥5.6kN</w:t>
            </w:r>
          </w:p>
          <w:p w14:paraId="71F436AF">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长度≥10米；每米重量≤75g</w:t>
            </w:r>
          </w:p>
          <w:p w14:paraId="67D5DE84">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绳皮占比≥36%</w:t>
            </w:r>
          </w:p>
          <w:p w14:paraId="06945257">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经204℃土5℃的耐高温性能试验后，安全绳不应出现融熔、焦化现象。</w:t>
            </w:r>
          </w:p>
          <w:p w14:paraId="2945F388">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（8）</w:t>
            </w:r>
            <w:r>
              <w:rPr>
                <w:rFonts w:hint="eastAsia" w:ascii="宋体" w:hAnsi="宋体" w:eastAsia="宋体" w:cs="宋体"/>
                <w:i w:val="0"/>
                <w:iCs w:val="0"/>
                <w:color w:val="000000" w:themeColor="text1"/>
                <w:kern w:val="0"/>
                <w:sz w:val="22"/>
                <w:szCs w:val="22"/>
                <w:highlight w:val="none"/>
                <w:u w:val="none"/>
                <w:lang w:val="en-US" w:eastAsia="zh-CN" w:bidi="ar"/>
              </w:rPr>
              <w:t>产品符合XF494-2004《消防用防坠落装备》标准，并提供符合国家认可的第三方检测机构出具的检测报告复印件或扫描件。</w:t>
            </w:r>
          </w:p>
          <w:p w14:paraId="19A413A8">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（9）</w:t>
            </w:r>
            <w:r>
              <w:rPr>
                <w:rFonts w:hint="eastAsia" w:ascii="宋体" w:hAnsi="宋体" w:eastAsia="宋体" w:cs="宋体"/>
                <w:i w:val="0"/>
                <w:iCs w:val="0"/>
                <w:color w:val="000000" w:themeColor="text1"/>
                <w:kern w:val="0"/>
                <w:sz w:val="22"/>
                <w:szCs w:val="22"/>
                <w:highlight w:val="none"/>
                <w:u w:val="none"/>
                <w:lang w:val="en-US" w:eastAsia="zh-CN" w:bidi="ar"/>
              </w:rPr>
              <w:t>符合CCCF-CPRZ-27:2019《消防类产品认证实施规则消防装备产品消防员个人防护装备产品》标准，并提供符合国家认可的第三方检测机构出具的检测报告。</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25.50米绳（6根）：</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绳皮由不少于40股组成、特耐磨绳皮，直径：10.5 mm</w:t>
            </w:r>
          </w:p>
          <w:p w14:paraId="534AEE20">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承受拉力≥30 kN；打结拉力≥19.5 kN；缝合点拉力≥27KN.</w:t>
            </w:r>
          </w:p>
          <w:p w14:paraId="6F4D8BB2">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静态延展率≤3.4%，绳皮滑动率：0%；缩水率1.1%</w:t>
            </w:r>
          </w:p>
          <w:p w14:paraId="4D5BD965">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极限冲坠次数＞15，首次冲击力≥5.6kN</w:t>
            </w:r>
          </w:p>
          <w:p w14:paraId="53F04151">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长度≥10米；每米重量≤75g</w:t>
            </w:r>
          </w:p>
          <w:p w14:paraId="1A50309D">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绳皮占比≥36%</w:t>
            </w:r>
          </w:p>
          <w:p w14:paraId="4F5EFB61">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经204℃土5℃的耐高温性能试验后，安全绳不应出现融熔、焦化现象。</w:t>
            </w:r>
          </w:p>
          <w:p w14:paraId="0D5BB50A">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（8）</w:t>
            </w:r>
            <w:r>
              <w:rPr>
                <w:rFonts w:hint="eastAsia" w:ascii="宋体" w:hAnsi="宋体" w:eastAsia="宋体" w:cs="宋体"/>
                <w:i w:val="0"/>
                <w:iCs w:val="0"/>
                <w:color w:val="000000" w:themeColor="text1"/>
                <w:kern w:val="0"/>
                <w:sz w:val="22"/>
                <w:szCs w:val="22"/>
                <w:highlight w:val="none"/>
                <w:u w:val="none"/>
                <w:lang w:val="en-US" w:eastAsia="zh-CN" w:bidi="ar"/>
              </w:rPr>
              <w:t>产品符合XF494-2004《消防用防坠落装备》标准，并提供符合国家认可的第三方检测机构出具的检测报告复印件或扫描件。</w:t>
            </w:r>
          </w:p>
          <w:p w14:paraId="5F54F956">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符合CCCF-CPRZ-27:2019《消防类产品认证实施规则消防装备产品消防员个人防护装备产品》标准，并提供符合国家认可的第三方检测机构出具的检测报告。</w:t>
            </w:r>
          </w:p>
          <w:p w14:paraId="6BB09FF7">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26.100米绳（4根）：</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绳皮由不少于40股组成、特耐磨绳皮，直径：10.5 mm</w:t>
            </w:r>
          </w:p>
          <w:p w14:paraId="6C61E2E0">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承受拉力≥30 kN；打结拉力≥19.5 kN；缝合点拉力≥27KN.</w:t>
            </w:r>
          </w:p>
          <w:p w14:paraId="09F496D2">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静态延展率≤3.4%，绳皮滑动率：0%；缩水率1.1%</w:t>
            </w:r>
          </w:p>
          <w:p w14:paraId="4F0CC2AA">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极限冲坠次数＞15，首次冲击力≥5.6kN</w:t>
            </w:r>
          </w:p>
          <w:p w14:paraId="299D2FE1">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长度≥10米；每米重量≤75g</w:t>
            </w:r>
          </w:p>
          <w:p w14:paraId="0F02E209">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绳皮占比≥36%</w:t>
            </w:r>
          </w:p>
          <w:p w14:paraId="1C4F417F">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经204℃土5℃的耐高温性能试验后，安全绳不应出现融熔、焦化现象。</w:t>
            </w:r>
          </w:p>
          <w:p w14:paraId="292BBD68">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（8）</w:t>
            </w:r>
            <w:r>
              <w:rPr>
                <w:rFonts w:hint="eastAsia" w:ascii="宋体" w:hAnsi="宋体" w:eastAsia="宋体" w:cs="宋体"/>
                <w:i w:val="0"/>
                <w:iCs w:val="0"/>
                <w:color w:val="000000" w:themeColor="text1"/>
                <w:kern w:val="0"/>
                <w:sz w:val="22"/>
                <w:szCs w:val="22"/>
                <w:highlight w:val="none"/>
                <w:u w:val="none"/>
                <w:lang w:val="en-US" w:eastAsia="zh-CN" w:bidi="ar"/>
              </w:rPr>
              <w:t>产品符合XF494-2004《消防用防坠落装备》标准，并提供符合国家认可的第三方检测机构出具的检测报告复印件或扫描件。</w:t>
            </w:r>
          </w:p>
          <w:p w14:paraId="2ACD79AA">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（9）</w:t>
            </w:r>
            <w:r>
              <w:rPr>
                <w:rFonts w:hint="eastAsia" w:ascii="宋体" w:hAnsi="宋体" w:eastAsia="宋体" w:cs="宋体"/>
                <w:i w:val="0"/>
                <w:iCs w:val="0"/>
                <w:color w:val="000000" w:themeColor="text1"/>
                <w:kern w:val="0"/>
                <w:sz w:val="22"/>
                <w:szCs w:val="22"/>
                <w:highlight w:val="none"/>
                <w:u w:val="none"/>
                <w:lang w:val="en-US" w:eastAsia="zh-CN" w:bidi="ar"/>
              </w:rPr>
              <w:t>符合CCCF-CPRZ-27:2019《消防类产品认证实施规则消防装备产品消防员个人防护装备产品》标准，并提供符合国家认可的第三方检测机构出具的检测报告。</w:t>
            </w:r>
          </w:p>
          <w:p w14:paraId="49E699DC">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27.绳包（2个）：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背包背部采用高透气性网格材料,配上加厚垫肩双肩带，极大的增强了背负舒适度,大容量主袋（可放置安全带及绳子），前面附有放置绳子或装备的护绳垫（铺在地面），可直接折叠收回，里层有可对工具或装备进行分割设置的功能；具有防潮湿、耐磨损。容量≥50L,重量≤2100g,材质：牛津布。</w:t>
            </w:r>
          </w:p>
          <w:p w14:paraId="568559C7">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产品需提供特种安全防护产品质量监督检验中心或国家消防装备质量监督检验中心检测报告。</w:t>
            </w:r>
          </w:p>
          <w:p w14:paraId="17192CDB">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28.多孔分力板（1个）：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材质：铝合⾦</w:t>
            </w:r>
          </w:p>
          <w:p w14:paraId="48192708">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尺⼨≤240×130×10mm</w:t>
            </w:r>
          </w:p>
          <w:p w14:paraId="37173398">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最⼩破断强度≥50kN</w:t>
            </w:r>
          </w:p>
          <w:p w14:paraId="07652050">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重量≤380g</w:t>
            </w:r>
          </w:p>
          <w:p w14:paraId="0D21D3DE">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⽤于架设锚点时增加锚点挂载空间，实现锚点多向受⼒的功能。</w:t>
            </w:r>
          </w:p>
          <w:p w14:paraId="4A8681B7">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连接孔位数≥15个，可同时使⽤≥12把主锁连接。</w:t>
            </w:r>
          </w:p>
          <w:p w14:paraId="023CC360">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孔径≥20mm。</w:t>
            </w:r>
          </w:p>
          <w:p w14:paraId="1029CC9D">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（8）</w:t>
            </w:r>
            <w:r>
              <w:rPr>
                <w:rFonts w:hint="eastAsia" w:ascii="宋体" w:hAnsi="宋体" w:eastAsia="宋体" w:cs="宋体"/>
                <w:i w:val="0"/>
                <w:iCs w:val="0"/>
                <w:color w:val="000000" w:themeColor="text1"/>
                <w:kern w:val="0"/>
                <w:sz w:val="22"/>
                <w:szCs w:val="22"/>
                <w:highlight w:val="none"/>
                <w:u w:val="none"/>
                <w:lang w:val="en-US" w:eastAsia="zh-CN" w:bidi="ar"/>
              </w:rPr>
              <w:t>符合XF 494-2004《消防用防坠落装备》，并提供符合国家认可的第三方检测机构出具的检测报告复印件或扫描件。提供样品。</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29.镜像滑轮（1个）: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专门为技术救援活动设计的下降器，内置制动器和单向滑轮，采用大直径的密封滚珠轴承，保证提拉时的高效率；可以在不用手柄时自动锁住绳索，一旦锁住，不需触动手柄即可收绳；（2）兼容10.5mm~11.5mm的绳索；（3）最多可操作≥250kg重物；（4）重量≥1100g；（6）满足XF494-2023标准，提供第三方出具的检测报告。</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30.RD2（1个）：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（1）负载：最小载荷≥30kg，最大载荷≥150kg；（2）最大下降速度≥2 m/s；（3）使用符合EN1891 A类静态绳索；（4）绳索直径≥Ф11mm，4、最大下降距离≥100m；（5）重量≤790g。</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31.机械抓结（2个）：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 xml:space="preserve">小型多用途抓绳器，含棘齿抓绳器，可用于上升或建立提拉系统 </w:t>
            </w:r>
          </w:p>
          <w:p w14:paraId="5B4D7B45">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产品符合XF494-2004《消防用防坠落装备》标准，并提供符合国家认可的第三方检测机构出具的检测报告复印件或扫描件。</w:t>
            </w:r>
          </w:p>
          <w:p w14:paraId="3D0018B5">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承载用刚性部件的材料应为经锻造、压铸、压延或冲制的金属，提供符合国家认可的第三方检测机构出具的检测报告复印件或扫描件。</w:t>
            </w:r>
          </w:p>
          <w:p w14:paraId="48D73CC9">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工作负荷≥5kN，无永久性损伤、明显变形或绳体的损伤。提供符合国家认可的第三方检测机构出具的检测报告复印件或扫描件。</w:t>
            </w:r>
          </w:p>
          <w:p w14:paraId="20B279FE">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经GB/T 10125-1997规定的48h中性盐雾试验后 ， 外观应符合GB/T6461-2002外观等级评定轻微级的要求，并应保持原有性能。</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32.万向单滑轮（1个）：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default" w:ascii="宋体" w:hAnsi="宋体" w:eastAsia="宋体" w:cs="宋体"/>
                <w:i w:val="0"/>
                <w:iCs w:val="0"/>
                <w:color w:val="000000" w:themeColor="text1"/>
                <w:kern w:val="0"/>
                <w:sz w:val="22"/>
                <w:szCs w:val="22"/>
                <w:highlight w:val="none"/>
                <w:u w:val="none"/>
                <w:lang w:val="en-US" w:eastAsia="zh-CN" w:bidi="ar"/>
              </w:rPr>
              <w:t>材质：铝合⾦、不锈钢</w:t>
            </w:r>
          </w:p>
          <w:p w14:paraId="7AE30EC4">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default" w:ascii="宋体" w:hAnsi="宋体" w:eastAsia="宋体" w:cs="宋体"/>
                <w:i w:val="0"/>
                <w:iCs w:val="0"/>
                <w:color w:val="000000" w:themeColor="text1"/>
                <w:kern w:val="0"/>
                <w:sz w:val="22"/>
                <w:szCs w:val="22"/>
                <w:highlight w:val="none"/>
                <w:u w:val="none"/>
                <w:lang w:val="en-US" w:eastAsia="zh-CN" w:bidi="ar"/>
              </w:rPr>
              <w:t>滑轮中心直径≥38</w:t>
            </w:r>
            <w:r>
              <w:rPr>
                <w:rFonts w:hint="eastAsia" w:ascii="宋体" w:hAnsi="宋体" w:eastAsia="宋体" w:cs="宋体"/>
                <w:i w:val="0"/>
                <w:iCs w:val="0"/>
                <w:color w:val="000000" w:themeColor="text1"/>
                <w:kern w:val="0"/>
                <w:sz w:val="22"/>
                <w:szCs w:val="22"/>
                <w:highlight w:val="none"/>
                <w:u w:val="none"/>
                <w:lang w:val="en-US" w:eastAsia="zh-CN" w:bidi="ar"/>
              </w:rPr>
              <w:t>mm</w:t>
            </w:r>
          </w:p>
          <w:p w14:paraId="1CBBE1FD">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default" w:ascii="宋体" w:hAnsi="宋体" w:eastAsia="宋体" w:cs="宋体"/>
                <w:i w:val="0"/>
                <w:iCs w:val="0"/>
                <w:color w:val="000000" w:themeColor="text1"/>
                <w:kern w:val="0"/>
                <w:sz w:val="22"/>
                <w:szCs w:val="22"/>
                <w:highlight w:val="none"/>
                <w:u w:val="none"/>
                <w:lang w:val="en-US" w:eastAsia="zh-CN" w:bidi="ar"/>
              </w:rPr>
              <w:t>极限负荷≥36</w:t>
            </w:r>
            <w:r>
              <w:rPr>
                <w:rFonts w:hint="eastAsia" w:ascii="宋体" w:hAnsi="宋体" w:eastAsia="宋体" w:cs="宋体"/>
                <w:i w:val="0"/>
                <w:iCs w:val="0"/>
                <w:color w:val="000000" w:themeColor="text1"/>
                <w:kern w:val="0"/>
                <w:sz w:val="22"/>
                <w:szCs w:val="22"/>
                <w:highlight w:val="none"/>
                <w:u w:val="none"/>
                <w:lang w:val="en-US" w:eastAsia="zh-CN" w:bidi="ar"/>
              </w:rPr>
              <w:t>kN</w:t>
            </w:r>
          </w:p>
          <w:p w14:paraId="1CB69555">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default" w:ascii="宋体" w:hAnsi="宋体" w:eastAsia="宋体" w:cs="宋体"/>
                <w:i w:val="0"/>
                <w:iCs w:val="0"/>
                <w:color w:val="000000" w:themeColor="text1"/>
                <w:kern w:val="0"/>
                <w:sz w:val="22"/>
                <w:szCs w:val="22"/>
                <w:highlight w:val="none"/>
                <w:u w:val="none"/>
                <w:lang w:val="en-US" w:eastAsia="zh-CN" w:bidi="ar"/>
              </w:rPr>
              <w:t>工作负荷≥22</w:t>
            </w:r>
            <w:r>
              <w:rPr>
                <w:rFonts w:hint="eastAsia" w:ascii="宋体" w:hAnsi="宋体" w:eastAsia="宋体" w:cs="宋体"/>
                <w:i w:val="0"/>
                <w:iCs w:val="0"/>
                <w:color w:val="000000" w:themeColor="text1"/>
                <w:kern w:val="0"/>
                <w:sz w:val="22"/>
                <w:szCs w:val="22"/>
                <w:highlight w:val="none"/>
                <w:u w:val="none"/>
                <w:lang w:val="en-US" w:eastAsia="zh-CN" w:bidi="ar"/>
              </w:rPr>
              <w:t>kN</w:t>
            </w:r>
          </w:p>
          <w:p w14:paraId="5FD5A6FE">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default" w:ascii="宋体" w:hAnsi="宋体" w:eastAsia="宋体" w:cs="宋体"/>
                <w:i w:val="0"/>
                <w:iCs w:val="0"/>
                <w:color w:val="000000" w:themeColor="text1"/>
                <w:kern w:val="0"/>
                <w:sz w:val="22"/>
                <w:szCs w:val="22"/>
                <w:highlight w:val="none"/>
                <w:u w:val="none"/>
                <w:lang w:val="en-US" w:eastAsia="zh-CN" w:bidi="ar"/>
              </w:rPr>
              <w:t>滑轮效率≥95%</w:t>
            </w:r>
          </w:p>
          <w:p w14:paraId="4008CCCB">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default" w:ascii="宋体" w:hAnsi="宋体" w:eastAsia="宋体" w:cs="宋体"/>
                <w:i w:val="0"/>
                <w:iCs w:val="0"/>
                <w:color w:val="000000" w:themeColor="text1"/>
                <w:kern w:val="0"/>
                <w:sz w:val="22"/>
                <w:szCs w:val="22"/>
                <w:highlight w:val="none"/>
                <w:u w:val="none"/>
                <w:lang w:val="en-US" w:eastAsia="zh-CN" w:bidi="ar"/>
              </w:rPr>
              <w:t>适⽤绳径4-13</w:t>
            </w:r>
            <w:r>
              <w:rPr>
                <w:rFonts w:hint="eastAsia" w:ascii="宋体" w:hAnsi="宋体" w:eastAsia="宋体" w:cs="宋体"/>
                <w:i w:val="0"/>
                <w:iCs w:val="0"/>
                <w:color w:val="000000" w:themeColor="text1"/>
                <w:kern w:val="0"/>
                <w:sz w:val="22"/>
                <w:szCs w:val="22"/>
                <w:highlight w:val="none"/>
                <w:u w:val="none"/>
                <w:lang w:val="en-US" w:eastAsia="zh-CN" w:bidi="ar"/>
              </w:rPr>
              <w:t>mm</w:t>
            </w:r>
          </w:p>
          <w:p w14:paraId="342C0334">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default" w:ascii="宋体" w:hAnsi="宋体" w:eastAsia="宋体" w:cs="宋体"/>
                <w:i w:val="0"/>
                <w:iCs w:val="0"/>
                <w:color w:val="000000" w:themeColor="text1"/>
                <w:kern w:val="0"/>
                <w:sz w:val="22"/>
                <w:szCs w:val="22"/>
                <w:highlight w:val="none"/>
                <w:u w:val="none"/>
                <w:lang w:val="en-US" w:eastAsia="zh-CN" w:bidi="ar"/>
              </w:rPr>
              <w:t>重量≤270g</w:t>
            </w:r>
          </w:p>
          <w:p w14:paraId="2705AB2A">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default" w:ascii="宋体" w:hAnsi="宋体" w:eastAsia="宋体" w:cs="宋体"/>
                <w:i w:val="0"/>
                <w:iCs w:val="0"/>
                <w:color w:val="000000" w:themeColor="text1"/>
                <w:kern w:val="0"/>
                <w:sz w:val="22"/>
                <w:szCs w:val="22"/>
                <w:highlight w:val="none"/>
                <w:u w:val="none"/>
                <w:lang w:val="en-US" w:eastAsia="zh-CN" w:bidi="ar"/>
              </w:rPr>
              <w:t>执⾏标准：XF494-2004</w:t>
            </w:r>
          </w:p>
          <w:p w14:paraId="6E98681C">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default" w:ascii="宋体" w:hAnsi="宋体" w:eastAsia="宋体" w:cs="宋体"/>
                <w:i w:val="0"/>
                <w:iCs w:val="0"/>
                <w:color w:val="000000" w:themeColor="text1"/>
                <w:kern w:val="0"/>
                <w:sz w:val="22"/>
                <w:szCs w:val="22"/>
                <w:highlight w:val="none"/>
                <w:u w:val="none"/>
                <w:lang w:val="en-US" w:eastAsia="zh-CN" w:bidi="ar"/>
              </w:rPr>
              <w:t>绳索救援系统⽤⾼效单滑轮。单⾯活动侧板，具有侧板防误开设计，防⽌误操作。滑轮顶端⾃带万向结吊环，可随⼒的⽅向变化⾃⾏调整滑轮受⼒⻆ 度，吊环尺⼨50.5×52</w:t>
            </w:r>
            <w:r>
              <w:rPr>
                <w:rFonts w:hint="eastAsia" w:ascii="宋体" w:hAnsi="宋体" w:eastAsia="宋体" w:cs="宋体"/>
                <w:i w:val="0"/>
                <w:iCs w:val="0"/>
                <w:color w:val="000000" w:themeColor="text1"/>
                <w:kern w:val="0"/>
                <w:sz w:val="22"/>
                <w:szCs w:val="22"/>
                <w:highlight w:val="none"/>
                <w:u w:val="none"/>
                <w:lang w:val="en-US" w:eastAsia="zh-CN" w:bidi="ar"/>
              </w:rPr>
              <w:t>mm</w:t>
            </w:r>
            <w:r>
              <w:rPr>
                <w:rFonts w:hint="default" w:ascii="宋体" w:hAnsi="宋体" w:eastAsia="宋体" w:cs="宋体"/>
                <w:i w:val="0"/>
                <w:iCs w:val="0"/>
                <w:color w:val="000000" w:themeColor="text1"/>
                <w:kern w:val="0"/>
                <w:sz w:val="22"/>
                <w:szCs w:val="22"/>
                <w:highlight w:val="none"/>
                <w:u w:val="none"/>
                <w:lang w:val="en-US" w:eastAsia="zh-CN" w:bidi="ar"/>
              </w:rPr>
              <w:t>。内置吊环防脱销。平底可辅助使⽤普鲁式抓结。</w:t>
            </w:r>
          </w:p>
          <w:p w14:paraId="558965DA">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33.万向双滑轮（1个）：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default" w:ascii="宋体" w:hAnsi="宋体" w:eastAsia="宋体" w:cs="宋体"/>
                <w:i w:val="0"/>
                <w:iCs w:val="0"/>
                <w:color w:val="000000" w:themeColor="text1"/>
                <w:kern w:val="0"/>
                <w:sz w:val="22"/>
                <w:szCs w:val="22"/>
                <w:highlight w:val="none"/>
                <w:u w:val="none"/>
                <w:lang w:val="en-US" w:eastAsia="zh-CN" w:bidi="ar"/>
              </w:rPr>
              <w:t>材质：铝合⾦、不锈钢</w:t>
            </w:r>
          </w:p>
          <w:p w14:paraId="56FBA6AA">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default" w:ascii="宋体" w:hAnsi="宋体" w:eastAsia="宋体" w:cs="宋体"/>
                <w:i w:val="0"/>
                <w:iCs w:val="0"/>
                <w:color w:val="000000" w:themeColor="text1"/>
                <w:kern w:val="0"/>
                <w:sz w:val="22"/>
                <w:szCs w:val="22"/>
                <w:highlight w:val="none"/>
                <w:u w:val="none"/>
                <w:lang w:val="en-US" w:eastAsia="zh-CN" w:bidi="ar"/>
              </w:rPr>
              <w:t>滑轮中心直径≥38</w:t>
            </w:r>
            <w:r>
              <w:rPr>
                <w:rFonts w:hint="eastAsia" w:ascii="宋体" w:hAnsi="宋体" w:eastAsia="宋体" w:cs="宋体"/>
                <w:i w:val="0"/>
                <w:iCs w:val="0"/>
                <w:color w:val="000000" w:themeColor="text1"/>
                <w:kern w:val="0"/>
                <w:sz w:val="22"/>
                <w:szCs w:val="22"/>
                <w:highlight w:val="none"/>
                <w:u w:val="none"/>
                <w:lang w:val="en-US" w:eastAsia="zh-CN" w:bidi="ar"/>
              </w:rPr>
              <w:t>mm</w:t>
            </w:r>
          </w:p>
          <w:p w14:paraId="69F12FED">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default" w:ascii="宋体" w:hAnsi="宋体" w:eastAsia="宋体" w:cs="宋体"/>
                <w:i w:val="0"/>
                <w:iCs w:val="0"/>
                <w:color w:val="000000" w:themeColor="text1"/>
                <w:kern w:val="0"/>
                <w:sz w:val="22"/>
                <w:szCs w:val="22"/>
                <w:highlight w:val="none"/>
                <w:u w:val="none"/>
                <w:lang w:val="en-US" w:eastAsia="zh-CN" w:bidi="ar"/>
              </w:rPr>
              <w:t>极限负荷≥40</w:t>
            </w:r>
            <w:r>
              <w:rPr>
                <w:rFonts w:hint="eastAsia" w:ascii="宋体" w:hAnsi="宋体" w:eastAsia="宋体" w:cs="宋体"/>
                <w:i w:val="0"/>
                <w:iCs w:val="0"/>
                <w:color w:val="000000" w:themeColor="text1"/>
                <w:kern w:val="0"/>
                <w:sz w:val="22"/>
                <w:szCs w:val="22"/>
                <w:highlight w:val="none"/>
                <w:u w:val="none"/>
                <w:lang w:val="en-US" w:eastAsia="zh-CN" w:bidi="ar"/>
              </w:rPr>
              <w:t>kN</w:t>
            </w:r>
          </w:p>
          <w:p w14:paraId="0915D53D">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default" w:ascii="宋体" w:hAnsi="宋体" w:eastAsia="宋体" w:cs="宋体"/>
                <w:i w:val="0"/>
                <w:iCs w:val="0"/>
                <w:color w:val="000000" w:themeColor="text1"/>
                <w:kern w:val="0"/>
                <w:sz w:val="22"/>
                <w:szCs w:val="22"/>
                <w:highlight w:val="none"/>
                <w:u w:val="none"/>
                <w:lang w:val="en-US" w:eastAsia="zh-CN" w:bidi="ar"/>
              </w:rPr>
              <w:t>工作负荷≥22</w:t>
            </w:r>
            <w:r>
              <w:rPr>
                <w:rFonts w:hint="eastAsia" w:ascii="宋体" w:hAnsi="宋体" w:eastAsia="宋体" w:cs="宋体"/>
                <w:i w:val="0"/>
                <w:iCs w:val="0"/>
                <w:color w:val="000000" w:themeColor="text1"/>
                <w:kern w:val="0"/>
                <w:sz w:val="22"/>
                <w:szCs w:val="22"/>
                <w:highlight w:val="none"/>
                <w:u w:val="none"/>
                <w:lang w:val="en-US" w:eastAsia="zh-CN" w:bidi="ar"/>
              </w:rPr>
              <w:t>kN</w:t>
            </w:r>
          </w:p>
          <w:p w14:paraId="31DB28F2">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default" w:ascii="宋体" w:hAnsi="宋体" w:eastAsia="宋体" w:cs="宋体"/>
                <w:i w:val="0"/>
                <w:iCs w:val="0"/>
                <w:color w:val="000000" w:themeColor="text1"/>
                <w:kern w:val="0"/>
                <w:sz w:val="22"/>
                <w:szCs w:val="22"/>
                <w:highlight w:val="none"/>
                <w:u w:val="none"/>
                <w:lang w:val="en-US" w:eastAsia="zh-CN" w:bidi="ar"/>
              </w:rPr>
              <w:t>滑轮效率≥95%</w:t>
            </w:r>
          </w:p>
          <w:p w14:paraId="390DC645">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default" w:ascii="宋体" w:hAnsi="宋体" w:eastAsia="宋体" w:cs="宋体"/>
                <w:i w:val="0"/>
                <w:iCs w:val="0"/>
                <w:color w:val="000000" w:themeColor="text1"/>
                <w:kern w:val="0"/>
                <w:sz w:val="22"/>
                <w:szCs w:val="22"/>
                <w:highlight w:val="none"/>
                <w:u w:val="none"/>
                <w:lang w:val="en-US" w:eastAsia="zh-CN" w:bidi="ar"/>
              </w:rPr>
              <w:t>适⽤绳径：4-13</w:t>
            </w:r>
            <w:r>
              <w:rPr>
                <w:rFonts w:hint="eastAsia" w:ascii="宋体" w:hAnsi="宋体" w:eastAsia="宋体" w:cs="宋体"/>
                <w:i w:val="0"/>
                <w:iCs w:val="0"/>
                <w:color w:val="000000" w:themeColor="text1"/>
                <w:kern w:val="0"/>
                <w:sz w:val="22"/>
                <w:szCs w:val="22"/>
                <w:highlight w:val="none"/>
                <w:u w:val="none"/>
                <w:lang w:val="en-US" w:eastAsia="zh-CN" w:bidi="ar"/>
              </w:rPr>
              <w:t>mm</w:t>
            </w:r>
          </w:p>
          <w:p w14:paraId="0EF6114A">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default" w:ascii="宋体" w:hAnsi="宋体" w:eastAsia="宋体" w:cs="宋体"/>
                <w:i w:val="0"/>
                <w:iCs w:val="0"/>
                <w:color w:val="000000" w:themeColor="text1"/>
                <w:kern w:val="0"/>
                <w:sz w:val="22"/>
                <w:szCs w:val="22"/>
                <w:highlight w:val="none"/>
                <w:u w:val="none"/>
                <w:lang w:val="en-US" w:eastAsia="zh-CN" w:bidi="ar"/>
              </w:rPr>
              <w:t>重量≤446g</w:t>
            </w:r>
          </w:p>
          <w:p w14:paraId="075E4563">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default" w:ascii="宋体" w:hAnsi="宋体" w:eastAsia="宋体" w:cs="宋体"/>
                <w:i w:val="0"/>
                <w:iCs w:val="0"/>
                <w:color w:val="000000" w:themeColor="text1"/>
                <w:kern w:val="0"/>
                <w:sz w:val="22"/>
                <w:szCs w:val="22"/>
                <w:highlight w:val="none"/>
                <w:u w:val="none"/>
                <w:lang w:val="en-US" w:eastAsia="zh-CN" w:bidi="ar"/>
              </w:rPr>
              <w:t>执⾏标准：XF494-2004</w:t>
            </w:r>
          </w:p>
          <w:p w14:paraId="5BF4AFDB">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default" w:ascii="宋体" w:hAnsi="宋体" w:eastAsia="宋体" w:cs="宋体"/>
                <w:i w:val="0"/>
                <w:iCs w:val="0"/>
                <w:color w:val="000000" w:themeColor="text1"/>
                <w:kern w:val="0"/>
                <w:sz w:val="22"/>
                <w:szCs w:val="22"/>
                <w:highlight w:val="none"/>
                <w:u w:val="none"/>
                <w:lang w:val="en-US" w:eastAsia="zh-CN" w:bidi="ar"/>
              </w:rPr>
              <w:t>绳索救援系统⽤⾼效单滑轮。双⾯活动侧板，具有侧板防误开设计，防⽌误操作。滑轮顶端⾃带万向结吊环，可随⼒的⽅向变化⾃⾏调整滑轮受⼒⻆度，吊环尺⼨：50.5×52</w:t>
            </w:r>
            <w:r>
              <w:rPr>
                <w:rFonts w:hint="eastAsia" w:ascii="宋体" w:hAnsi="宋体" w:eastAsia="宋体" w:cs="宋体"/>
                <w:i w:val="0"/>
                <w:iCs w:val="0"/>
                <w:color w:val="000000" w:themeColor="text1"/>
                <w:kern w:val="0"/>
                <w:sz w:val="22"/>
                <w:szCs w:val="22"/>
                <w:highlight w:val="none"/>
                <w:u w:val="none"/>
                <w:lang w:val="en-US" w:eastAsia="zh-CN" w:bidi="ar"/>
              </w:rPr>
              <w:t>mm</w:t>
            </w:r>
            <w:r>
              <w:rPr>
                <w:rFonts w:hint="default" w:ascii="宋体" w:hAnsi="宋体" w:eastAsia="宋体" w:cs="宋体"/>
                <w:i w:val="0"/>
                <w:iCs w:val="0"/>
                <w:color w:val="000000" w:themeColor="text1"/>
                <w:kern w:val="0"/>
                <w:sz w:val="22"/>
                <w:szCs w:val="22"/>
                <w:highlight w:val="none"/>
                <w:u w:val="none"/>
                <w:lang w:val="en-US" w:eastAsia="zh-CN" w:bidi="ar"/>
              </w:rPr>
              <w:t>。内置吊环防脱销</w:t>
            </w:r>
            <w:r>
              <w:rPr>
                <w:rFonts w:hint="eastAsia" w:ascii="宋体" w:hAnsi="宋体" w:eastAsia="宋体" w:cs="宋体"/>
                <w:i w:val="0"/>
                <w:iCs w:val="0"/>
                <w:color w:val="000000" w:themeColor="text1"/>
                <w:kern w:val="0"/>
                <w:sz w:val="22"/>
                <w:szCs w:val="22"/>
                <w:highlight w:val="none"/>
                <w:u w:val="none"/>
                <w:lang w:val="en-US" w:eastAsia="zh-CN" w:bidi="ar"/>
              </w:rPr>
              <w:t>；</w:t>
            </w:r>
            <w:r>
              <w:rPr>
                <w:rFonts w:hint="default" w:ascii="宋体" w:hAnsi="宋体" w:eastAsia="宋体" w:cs="宋体"/>
                <w:i w:val="0"/>
                <w:iCs w:val="0"/>
                <w:color w:val="000000" w:themeColor="text1"/>
                <w:kern w:val="0"/>
                <w:sz w:val="22"/>
                <w:szCs w:val="22"/>
                <w:highlight w:val="none"/>
                <w:u w:val="none"/>
                <w:lang w:val="en-US" w:eastAsia="zh-CN" w:bidi="ar"/>
              </w:rPr>
              <w:t>底部有中⼼挂点</w:t>
            </w:r>
            <w:r>
              <w:rPr>
                <w:rFonts w:hint="eastAsia" w:ascii="宋体" w:hAnsi="宋体" w:eastAsia="宋体" w:cs="宋体"/>
                <w:i w:val="0"/>
                <w:iCs w:val="0"/>
                <w:color w:val="000000" w:themeColor="text1"/>
                <w:kern w:val="0"/>
                <w:sz w:val="22"/>
                <w:szCs w:val="22"/>
                <w:highlight w:val="none"/>
                <w:u w:val="none"/>
                <w:lang w:val="en-US" w:eastAsia="zh-CN" w:bidi="ar"/>
              </w:rPr>
              <w:t>；</w:t>
            </w:r>
            <w:r>
              <w:rPr>
                <w:rFonts w:hint="default" w:ascii="宋体" w:hAnsi="宋体" w:eastAsia="宋体" w:cs="宋体"/>
                <w:i w:val="0"/>
                <w:iCs w:val="0"/>
                <w:color w:val="000000" w:themeColor="text1"/>
                <w:kern w:val="0"/>
                <w:sz w:val="22"/>
                <w:szCs w:val="22"/>
                <w:highlight w:val="none"/>
                <w:u w:val="none"/>
                <w:lang w:val="en-US" w:eastAsia="zh-CN" w:bidi="ar"/>
              </w:rPr>
              <w:t>平底可辅助使⽤普鲁式抓结。</w:t>
            </w:r>
          </w:p>
          <w:p w14:paraId="42C61758">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34.绳索保护板（1个）：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（1）由高性能PVC材质制成，保护绳索并降低摩擦；（2）采用小板设计；（3）护绳板槽数：4个；（4）尺寸：≦45x25cm.5、重量≦800g。</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35.转角防磨器（1个）：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（1）304不锈钢支架，7075合金滚轮；（2）装有滚动轴承；（3）侧板开孔可穿主锁或梅隆锁；（4）有效承重≥350KG；（5）底座有固定孔，适合固定安装；（6）尺寸≤20×10×6.8cm X2；（7）重量≤1520g。</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36.防磨垫（1个）：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材质：100%棉，尺寸≤143*83，重量≤1083g，用于救援时，铺垫于地面，有效隔离器材与地面的直接磨擦；（2）6个不锈钢孔径气眼，可直接挂主锁固定，实现快速多个拼接；（3）保护面积大，适合不规则的环境使用，GB/T 411-2017，GB 18401-2010。</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37.大容量装备包(1个)：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材质:聚氯乙烯（pvc）夹网布+织物，容量：120L，重量≥2290g；（2）YKK拉链，大开口主仓，包盖内设有拉链网袋，有独立仓，两侧提手，可两人抬行；设有拆装背包带，可变背包；有ID卡片窗；（3）执行标准： QB/T 1333-2018。</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38.45L绳包(1个)：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（1）PVC夹网材质；（2）卷式包口，防水；（3）低吸水背负加厚腰带；（4）设有包盖，加强防水性能；（5）包身备有多个挂点，可吊运可提拉；（6）容量：45L；（7）重量≥1600g。</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39.挂片（10个）：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多方向受力挂片，使用AISI316钢制造。有直径10mm。强度：15-25KN。</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40.车修（10个）：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10×90mm的316不锈钢膨胀栓，用于所有类型和硬度的岩石。钻孔直径8毫米，钻孔深度95毫米。</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41.梅陇锁（4个）：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（1）镀锌钢制O型梅龙锁Ø ≥7 mm，开口≥16mm；（2）强度≥ 25KN。</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42.多孔万向节（2个）：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（1）可开启万向转环≥ 6 个孔，可避免物品转动时绳索缠绕；滚珠轴承保证了其良好的性能和高度可靠性,专为单人负载而设计；（2）断裂负荷≥40kN，提供样品。</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43.钢锁（8个）：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default" w:ascii="宋体" w:hAnsi="宋体" w:eastAsia="宋体" w:cs="宋体"/>
                <w:i w:val="0"/>
                <w:iCs w:val="0"/>
                <w:color w:val="000000" w:themeColor="text1"/>
                <w:kern w:val="0"/>
                <w:sz w:val="22"/>
                <w:szCs w:val="22"/>
                <w:highlight w:val="none"/>
                <w:u w:val="none"/>
                <w:lang w:val="en-US" w:eastAsia="zh-CN" w:bidi="ar"/>
              </w:rPr>
              <w:t>钢制螺纹O型锁扣。螺纹丝扣锁确保钩环有效锁紧。很牢固，K-lock防钩挂系统确保锁扣有效锁紧且不挂绳，具有独立的唯一识别编码。主轴强度≥28k</w:t>
            </w:r>
            <w:r>
              <w:rPr>
                <w:rFonts w:hint="eastAsia" w:ascii="宋体" w:hAnsi="宋体" w:eastAsia="宋体" w:cs="宋体"/>
                <w:i w:val="0"/>
                <w:iCs w:val="0"/>
                <w:color w:val="000000" w:themeColor="text1"/>
                <w:kern w:val="0"/>
                <w:sz w:val="22"/>
                <w:szCs w:val="22"/>
                <w:highlight w:val="none"/>
                <w:u w:val="none"/>
                <w:lang w:val="en-US" w:eastAsia="zh-CN" w:bidi="ar"/>
              </w:rPr>
              <w:t>N</w:t>
            </w:r>
            <w:r>
              <w:rPr>
                <w:rFonts w:hint="default" w:ascii="宋体" w:hAnsi="宋体" w:eastAsia="宋体" w:cs="宋体"/>
                <w:i w:val="0"/>
                <w:iCs w:val="0"/>
                <w:color w:val="000000" w:themeColor="text1"/>
                <w:kern w:val="0"/>
                <w:sz w:val="22"/>
                <w:szCs w:val="22"/>
                <w:highlight w:val="none"/>
                <w:u w:val="none"/>
                <w:lang w:val="en-US" w:eastAsia="zh-CN" w:bidi="ar"/>
              </w:rPr>
              <w:t>，副轴强度≥18k</w:t>
            </w:r>
            <w:r>
              <w:rPr>
                <w:rFonts w:hint="eastAsia" w:ascii="宋体" w:hAnsi="宋体" w:eastAsia="宋体" w:cs="宋体"/>
                <w:i w:val="0"/>
                <w:iCs w:val="0"/>
                <w:color w:val="000000" w:themeColor="text1"/>
                <w:kern w:val="0"/>
                <w:sz w:val="22"/>
                <w:szCs w:val="22"/>
                <w:highlight w:val="none"/>
                <w:u w:val="none"/>
                <w:lang w:val="en-US" w:eastAsia="zh-CN" w:bidi="ar"/>
              </w:rPr>
              <w:t>N</w:t>
            </w:r>
            <w:r>
              <w:rPr>
                <w:rFonts w:hint="default" w:ascii="宋体" w:hAnsi="宋体" w:eastAsia="宋体" w:cs="宋体"/>
                <w:i w:val="0"/>
                <w:iCs w:val="0"/>
                <w:color w:val="000000" w:themeColor="text1"/>
                <w:kern w:val="0"/>
                <w:sz w:val="22"/>
                <w:szCs w:val="22"/>
                <w:highlight w:val="none"/>
                <w:u w:val="none"/>
                <w:lang w:val="en-US" w:eastAsia="zh-CN" w:bidi="ar"/>
              </w:rPr>
              <w:t>，开口强度≥10k</w:t>
            </w:r>
            <w:r>
              <w:rPr>
                <w:rFonts w:hint="eastAsia" w:ascii="宋体" w:hAnsi="宋体" w:eastAsia="宋体" w:cs="宋体"/>
                <w:i w:val="0"/>
                <w:iCs w:val="0"/>
                <w:color w:val="000000" w:themeColor="text1"/>
                <w:kern w:val="0"/>
                <w:sz w:val="22"/>
                <w:szCs w:val="22"/>
                <w:highlight w:val="none"/>
                <w:u w:val="none"/>
                <w:lang w:val="en-US" w:eastAsia="zh-CN" w:bidi="ar"/>
              </w:rPr>
              <w:t>N</w:t>
            </w:r>
            <w:r>
              <w:rPr>
                <w:rFonts w:hint="default" w:ascii="宋体" w:hAnsi="宋体" w:eastAsia="宋体" w:cs="宋体"/>
                <w:i w:val="0"/>
                <w:iCs w:val="0"/>
                <w:color w:val="000000" w:themeColor="text1"/>
                <w:kern w:val="0"/>
                <w:sz w:val="22"/>
                <w:szCs w:val="22"/>
                <w:highlight w:val="none"/>
                <w:u w:val="none"/>
                <w:lang w:val="en-US" w:eastAsia="zh-CN" w:bidi="ar"/>
              </w:rPr>
              <w:t>，开口尺寸≤18mm；CE认证EN 12275, EN 362标准；重量≤172g</w:t>
            </w:r>
            <w:r>
              <w:rPr>
                <w:rFonts w:hint="eastAsia" w:ascii="宋体" w:hAnsi="宋体" w:eastAsia="宋体" w:cs="宋体"/>
                <w:i w:val="0"/>
                <w:iCs w:val="0"/>
                <w:color w:val="000000" w:themeColor="text1"/>
                <w:kern w:val="0"/>
                <w:sz w:val="22"/>
                <w:szCs w:val="22"/>
                <w:highlight w:val="none"/>
                <w:u w:val="none"/>
                <w:lang w:val="en-US" w:eastAsia="zh-CN" w:bidi="ar"/>
              </w:rPr>
              <w:t>。</w:t>
            </w:r>
          </w:p>
          <w:p w14:paraId="3B96468E">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44.扁带（40根）：</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采用高强度耐用耐磨聚酯制造的扁带环，内置磨损指示标识，扁带宽16mm；（2）长度：60cm，重量≥45g，破断强度≥23kN，认证：EN566；长度：120cm，重量≥86g，破断强度≥23kN，长度：240cm，重量≥169g，破断强度≥23kN，认证：EN566。</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45.定位挽索（1个）：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（1）采用12mm夹芯绳的可调节挽索，配有护绳套和O型三段铝锁；（2）长度≥4米，绳索直径≥12mm，重量≥900g，断裂强度≥15kN；（3）认证：符合EN 358 标准。</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46.大拉力扁带（3根）：</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（1）20mm聚氨酯材质大拉力锚点扁带，管状外皮和内芯结构承重；（2）拉力≥100KN，长度:120cm；（3） EN795/B-EN354。</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47.钢缆锚点（2个）：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（1）钢丝绳锚点，超高强度；（2）采用直径≤6.5毫米镀锌钢，耐切割和磨损；配有两个不同尺寸的终端；（3）长度≤150cm，断裂负荷≥23kN，重量≥520g。</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48.Y型双挂钩（1个）：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（1）配有双大钩挽索；（2）末端带势能吸收包；（3）两个挂钩≥23KN；（4）伸缩长度：80CM；（5）重量≤2100g。</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49.绳索保护器（1个）：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（1）材质：侧板/轴筒铝合金滚珠轴心，重量≤935g，有4条滚动轴承；（2）链条式设计（可级联），4角设置有系辅绳固定用挂点；（3）有效承重≥350KG，执行标准：GB/T228.1-2010。</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50.垂直提升吊带辅助工具（1个）：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（1）适用于在狭窄的缝隙空间内提升或下放人员，保证人员身体垂直，避免磕碰造成的伤害；（2）重量≥907g，开口宽≥38厘米，提供样品。</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51.全方位分配器（1个）：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材质：铝合⾦</w:t>
            </w:r>
          </w:p>
          <w:p w14:paraId="4F7FF6D7">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 xml:space="preserve"> 尺⼨：≥125×125×12mm</w:t>
            </w:r>
          </w:p>
          <w:p w14:paraId="4C86B8DC">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 xml:space="preserve"> 最⼩破断强度：36kN</w:t>
            </w:r>
          </w:p>
          <w:p w14:paraId="3E7257F9">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 xml:space="preserve">重量：≤235g </w:t>
            </w:r>
          </w:p>
          <w:p w14:paraId="156D118F">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执⾏标准： XF494-2004</w:t>
            </w:r>
          </w:p>
          <w:p w14:paraId="3187452A">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⽤于架设锚点时增加锚点挂载空间，实现锚点多向受⼒的功能。</w:t>
            </w:r>
          </w:p>
          <w:p w14:paraId="7A2CEFF5">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孔位数≥7个，单个孔位能装入2把主锁。</w:t>
            </w:r>
          </w:p>
          <w:p w14:paraId="71619FC2">
            <w:pPr>
              <w:keepNext w:val="0"/>
              <w:keepLines w:val="0"/>
              <w:widowControl/>
              <w:suppressLineNumbers w:val="0"/>
              <w:jc w:val="left"/>
              <w:textAlignment w:val="top"/>
              <w:rPr>
                <w:rStyle w:val="51"/>
                <w:rFonts w:hint="eastAsia" w:ascii="宋体" w:hAnsi="宋体" w:eastAsia="宋体" w:cs="宋体"/>
                <w:i w:val="0"/>
                <w:iCs w:val="0"/>
                <w:color w:val="000000" w:themeColor="text1"/>
                <w:sz w:val="22"/>
                <w:szCs w:val="22"/>
                <w:highlight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52.自锁铝制D型环（40个）：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（1）开口≥24mm,纵向拉力≤27KN，横向拉力≥8KN，开口拉力≥7KN；（2）CE EN 362, 满足XF494-2023标准，提供第三方出具的检测报告。</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53.墙角护轮（1个）：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（1）用于墙角与粗糙环境保护绳索，可正反使用；（2）多个连接孔可用不同方式连接；（3）允许多模块连接以适应不同作业情况的现场；（4）重量≤500g。</w:t>
            </w:r>
          </w:p>
        </w:tc>
      </w:tr>
      <w:tr w14:paraId="1B47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6F9EEACB">
            <w:pPr>
              <w:keepNext w:val="0"/>
              <w:keepLines w:val="0"/>
              <w:pageBreakBefore w:val="0"/>
              <w:widowControl/>
              <w:suppressLineNumbers w:val="0"/>
              <w:kinsoku/>
              <w:wordWrap/>
              <w:overflowPunct/>
              <w:topLinePunct w:val="0"/>
              <w:autoSpaceDE/>
              <w:autoSpaceDN/>
              <w:bidi w:val="0"/>
              <w:adjustRightInd/>
              <w:snapToGrid/>
              <w:spacing w:afterAutospacing="0" w:line="360" w:lineRule="exact"/>
              <w:jc w:val="center"/>
              <w:textAlignment w:val="center"/>
              <w:rPr>
                <w:rStyle w:val="51"/>
                <w:rFonts w:hint="eastAsia" w:ascii="宋体" w:hAnsi="宋体" w:cs="宋体"/>
                <w:i w:val="0"/>
                <w:iCs w:val="0"/>
                <w:color w:val="000000" w:themeColor="text1"/>
                <w:highlight w:val="none"/>
                <w:lang w:val="en-US" w:eastAsia="zh-CN" w:bidi="ar"/>
              </w:rPr>
            </w:pPr>
            <w:r>
              <w:rPr>
                <w:rStyle w:val="51"/>
                <w:rFonts w:hint="eastAsia" w:ascii="宋体" w:hAnsi="宋体" w:cs="宋体"/>
                <w:i w:val="0"/>
                <w:iCs w:val="0"/>
                <w:color w:val="000000" w:themeColor="text1"/>
                <w:highlight w:val="none"/>
                <w:lang w:val="en-US" w:eastAsia="zh-CN" w:bidi="ar"/>
              </w:rPr>
              <w:t>2</w:t>
            </w:r>
          </w:p>
        </w:tc>
        <w:tc>
          <w:tcPr>
            <w:tcW w:w="2300" w:type="dxa"/>
            <w:vAlign w:val="center"/>
          </w:tcPr>
          <w:p w14:paraId="4AD8FCB6">
            <w:pPr>
              <w:keepNext w:val="0"/>
              <w:keepLines w:val="0"/>
              <w:widowControl/>
              <w:suppressLineNumbers w:val="0"/>
              <w:jc w:val="left"/>
              <w:textAlignment w:val="center"/>
              <w:rPr>
                <w:rStyle w:val="51"/>
                <w:rFonts w:hint="eastAsia" w:ascii="宋体" w:hAnsi="宋体" w:cs="宋体"/>
                <w:i w:val="0"/>
                <w:iCs w:val="0"/>
                <w:color w:val="000000" w:themeColor="text1"/>
                <w:highlight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绳索救援套装（团体装备）</w:t>
            </w:r>
            <w:r>
              <w:rPr>
                <w:rFonts w:hint="eastAsia" w:ascii="宋体" w:hAnsi="宋体" w:cs="宋体"/>
                <w:i w:val="0"/>
                <w:iCs w:val="0"/>
                <w:color w:val="000000" w:themeColor="text1"/>
                <w:kern w:val="0"/>
                <w:sz w:val="24"/>
                <w:szCs w:val="24"/>
                <w:highlight w:val="none"/>
                <w:u w:val="none"/>
                <w:lang w:val="en-US" w:eastAsia="zh-CN" w:bidi="ar"/>
              </w:rPr>
              <w:t>（2套）</w:t>
            </w:r>
          </w:p>
        </w:tc>
        <w:tc>
          <w:tcPr>
            <w:tcW w:w="5880" w:type="dxa"/>
            <w:vAlign w:val="center"/>
          </w:tcPr>
          <w:p w14:paraId="3AB886FF">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山岳救援专业团体装备套装满足XF494-2023标准，需提供套装第三方检测报告。★需在报告中体现，并提供厂家授权书，如果厂家参与则提供承诺函。</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1.200米绳（2根）：</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绳皮由不少于40股组成、特耐磨绳皮，直径：10.5 mm</w:t>
            </w:r>
          </w:p>
          <w:p w14:paraId="4E89F72D">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承受拉力≥30 kN；打结拉力≥19.5 kN；缝合点拉力≥27KN.</w:t>
            </w:r>
          </w:p>
          <w:p w14:paraId="302AFBD4">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静态延展率≤3.4%，绳皮滑动率：0%；缩水率1.1%</w:t>
            </w:r>
          </w:p>
          <w:p w14:paraId="66629097">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极限冲坠次数＞15，首次冲击力≥5.6kN</w:t>
            </w:r>
          </w:p>
          <w:p w14:paraId="151D2CF2">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长度≥10米；每米重量≤75g</w:t>
            </w:r>
          </w:p>
          <w:p w14:paraId="0CFEE58E">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绳皮占比≥36%</w:t>
            </w:r>
          </w:p>
          <w:p w14:paraId="3C0242DB">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经204℃土5℃的耐高温性能试验后，安全绳不应出现融熔、焦化现象。</w:t>
            </w:r>
          </w:p>
          <w:p w14:paraId="3574BC68">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（8）</w:t>
            </w:r>
            <w:r>
              <w:rPr>
                <w:rFonts w:hint="eastAsia" w:ascii="宋体" w:hAnsi="宋体" w:eastAsia="宋体" w:cs="宋体"/>
                <w:i w:val="0"/>
                <w:iCs w:val="0"/>
                <w:color w:val="000000" w:themeColor="text1"/>
                <w:kern w:val="0"/>
                <w:sz w:val="22"/>
                <w:szCs w:val="22"/>
                <w:highlight w:val="none"/>
                <w:u w:val="none"/>
                <w:lang w:val="en-US" w:eastAsia="zh-CN" w:bidi="ar"/>
              </w:rPr>
              <w:t>产品符合XF494-2004《消防用防坠落装备》标准，并提供符合国家认可的第三方检测机构出具的检测报告复印件或扫描件。</w:t>
            </w:r>
          </w:p>
          <w:p w14:paraId="5E3055C5">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符合CCCF-CPRZ-27:2019《消防类产品认证实施规则消防装备产品消防员个人防护装备产品》标准，并提供符合国家认可的第三方检测机构出具的检测报告。</w:t>
            </w:r>
          </w:p>
          <w:p w14:paraId="6173BBEB">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2.抛投绳（1根）：</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（1）材质：大力马纤维、16股普编；（2）规格≥2mm；（3）长度≥100米。</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3.投掷袋（1个）：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双层结构使投掷袋更耐用，不锈钢环。流线型便于在树枝间穿梭。重≥300克。</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4.过结滑轮（1个）：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（1）通过NFPA1983认证测试；（2）最小断裂强度≥40kN；（3）侧板顶端和滑轮之间的空间能容许绳结通过。滑轮上设置上锁栓，可作固定点使用；（4）大直径滑轮尺寸≥55x60mm；（5）重量≥1300g。</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5.提拉套装（1套）：（1）体积狭小，方便携带，万向节结构避免缠绕，带有拉升或释放手柄；（2）内置芯片，便于设备管理；（3）断裂负荷:&gt;22kn，锁定状态下:&gt;6kn，重量≤580g（3）满足XF494-2023标准，提供第三方出具的检测报告。4、使用了4:1滑轮组和高效的密封滚珠轴承，提拉套装可用于提拉受困者、设置可释放锚点或架设一个紧绷绳索系统。</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6.电锤（1个）：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能够与攀岩车修挂片适配配套使用。</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7.船型担架（1个）：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（1）钛合金材质，额定负载限制≥12kN，额定载荷≥400kg，垂直断裂强度≥20kN，水平断裂强度≥12kN ；（2）尺寸≥212*60*19cm。</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8.索道滑轮（1个）：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（1）钢缆滑轮；（2）兼容钢缆直径：钢缆≤ 55 mm；（3）滑轮直径：55 mm；（4）最大工作负荷≥5 kN；（5）重量≥1400 g；（6）认证：CE EN 1909。</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9.救生三脚架（1套）：1、多功能救援支架可自由组合三脚架、两脚架、独脚架，两个头可单独形成A形架、桅杆或者这两者的组合。救援支架可用于多种场合，包括山区和狭窄空间救援以及绳索操作。有多种配套扩充功能；（2）认证：CE；（3）高度≥2.7-3.7米；重量≥33公斤；（4）含3平脚3尖脚；最小破断力≥36kN。满足XF494-2023标准，提供第三方出具的检测报告。</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10.便携式越野担架（全地形救援）（1套）：</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无框架半个长度&lt;100 cm，安装好整体后长度&gt;150cm,带框架半个长度&lt;100cm,安装好整体后长度&gt;200cm.,宽度&lt;50cm，高度&lt;15cm，半个重量(含完整背部框架)&lt;5kg，安装后整体重量≤10kg，担架整体背负载重≥50kg，担架载重≥150kg;使用温度范围:-50℃~100℃;</w:t>
            </w:r>
          </w:p>
          <w:p w14:paraId="4004500A">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材质:轻合金;肩带和臀部均用安全带固定，带储物袋的后网，两条黑色负载/患者固定带，带有安全销和易于打开的联轴器，耦合保护盖，重型塑料滑动面，注意:直升机运输时时速≤80k/h，且需要用 50 米的防转绳+钢锁连接:加长支架(背负支架)(1对)加宽支架(1对):眼镜蛇插扣固定带(4个):用来固定患者。由两根扁带，一个卡扣可组成，扁带一端带有固定环，用来做连接。眼镜蛇插扣可快速操作，且强度大，作扁带环使用时强度&gt;20kN，在担架上使用时强度&gt;10kN。承重扁带宽度&gt;35m。可移动提手(6个)，头部防护置:重量&lt;2kg，不可调，推车扶手(2个):重量&lt;3kg，通过卡在担架上，可单独拖拉使用，可与，系统搭配使用。</w:t>
            </w:r>
          </w:p>
          <w:p w14:paraId="14C01566">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单双轮系统可卡在担架上,包含不少于:支撑架两个，长轴1根，短轴1根，辅助轴绿色1根，两个轮胎，充气轮胎直径&gt;40x10cm，双轮系统重量&lt;10kg，也可通过短轴转换为单轮使用，单轮重量≤5kg;</w:t>
            </w:r>
          </w:p>
          <w:p w14:paraId="699E78D1">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提供第三方检测报告复印件或扫描件。</w:t>
            </w:r>
          </w:p>
          <w:p w14:paraId="0303A6CA">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投标提供样品</w:t>
            </w:r>
          </w:p>
          <w:p w14:paraId="3F0D8B91">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11.担架套装（1套）：</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带有碳纤维条半硬担架： 高分子材料制成，并配有≥9条碳纤维条。</w:t>
            </w:r>
          </w:p>
          <w:p w14:paraId="3FCC2F8A">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平铺尺寸：≥90*240cm，收卷尺寸：≤高90cm*直径25cm，</w:t>
            </w:r>
          </w:p>
          <w:p w14:paraId="7BD9D52A">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重量≤8kg，厚度≤2mm，承重≥300Kg</w:t>
            </w:r>
          </w:p>
          <w:p w14:paraId="027D33DA">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配件：配有不少于4条自锁扣固定带，8个提手，2条单肩背带，1个脚部固定带，1条担架收纳绑带</w:t>
            </w:r>
          </w:p>
          <w:p w14:paraId="0BB3330E">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担架包：⽤于收纳担架主体以及担架配件等 ，展开后是一个方形的包垫，搭配有≥4个提手，可将伤员放在包垫上，手动提起包垫四端的提手，放置于担架上，作为衬垫使⽤，减轻伤员的不适感。通过将包垫卷绕及魔术贴粘合起来就形成了一个担架包，用于运输和携带担架等物资。</w:t>
            </w:r>
          </w:p>
          <w:p w14:paraId="55CFF067">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需要提供第三方检测报告复印件或扫描件</w:t>
            </w:r>
          </w:p>
          <w:p w14:paraId="585FBC69">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（8）</w:t>
            </w:r>
            <w:r>
              <w:rPr>
                <w:rFonts w:hint="eastAsia" w:ascii="宋体" w:hAnsi="宋体" w:eastAsia="宋体" w:cs="宋体"/>
                <w:i w:val="0"/>
                <w:iCs w:val="0"/>
                <w:color w:val="000000" w:themeColor="text1"/>
                <w:kern w:val="0"/>
                <w:sz w:val="22"/>
                <w:szCs w:val="22"/>
                <w:highlight w:val="none"/>
                <w:u w:val="none"/>
                <w:lang w:val="en-US" w:eastAsia="zh-CN" w:bidi="ar"/>
              </w:rPr>
              <w:t>投标时提供样品</w:t>
            </w:r>
          </w:p>
          <w:p w14:paraId="6D4E4FCA">
            <w:pPr>
              <w:keepNext w:val="0"/>
              <w:keepLines w:val="0"/>
              <w:widowControl/>
              <w:suppressLineNumbers w:val="0"/>
              <w:jc w:val="left"/>
              <w:textAlignment w:val="top"/>
              <w:rPr>
                <w:rStyle w:val="51"/>
                <w:rFonts w:hint="eastAsia" w:ascii="宋体" w:hAnsi="宋体" w:eastAsia="宋体" w:cs="宋体"/>
                <w:i w:val="0"/>
                <w:iCs w:val="0"/>
                <w:color w:val="000000" w:themeColor="text1"/>
                <w:sz w:val="22"/>
                <w:szCs w:val="22"/>
                <w:highlight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12.三角吊带（1个）：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default" w:ascii="宋体" w:hAnsi="宋体" w:eastAsia="宋体" w:cs="宋体"/>
                <w:i w:val="0"/>
                <w:iCs w:val="0"/>
                <w:color w:val="000000" w:themeColor="text1"/>
                <w:kern w:val="0"/>
                <w:sz w:val="22"/>
                <w:szCs w:val="22"/>
                <w:highlight w:val="none"/>
                <w:u w:val="none"/>
                <w:lang w:val="en-US" w:eastAsia="zh-CN" w:bidi="ar"/>
              </w:rPr>
              <w:t>带肩带的疏散三角吊带，为人员疏散而设计。三角形是由弹性材料制成，保证了疏散人员的舒适、安全，增加每个撤离者的安全感，可用于儿童及成年人</w:t>
            </w:r>
            <w:r>
              <w:rPr>
                <w:rFonts w:hint="eastAsia" w:ascii="宋体" w:hAnsi="宋体" w:eastAsia="宋体" w:cs="宋体"/>
                <w:i w:val="0"/>
                <w:iCs w:val="0"/>
                <w:color w:val="000000" w:themeColor="text1"/>
                <w:kern w:val="0"/>
                <w:sz w:val="22"/>
                <w:szCs w:val="22"/>
                <w:highlight w:val="none"/>
                <w:u w:val="none"/>
                <w:lang w:val="en-US" w:eastAsia="zh-CN" w:bidi="ar"/>
              </w:rPr>
              <w:t>，可通过使用</w:t>
            </w:r>
            <w:r>
              <w:rPr>
                <w:rFonts w:hint="default" w:ascii="宋体" w:hAnsi="宋体" w:eastAsia="宋体" w:cs="宋体"/>
                <w:i w:val="0"/>
                <w:iCs w:val="0"/>
                <w:color w:val="000000" w:themeColor="text1"/>
                <w:kern w:val="0"/>
                <w:sz w:val="22"/>
                <w:szCs w:val="22"/>
                <w:highlight w:val="none"/>
                <w:u w:val="none"/>
                <w:lang w:val="en-US" w:eastAsia="zh-CN" w:bidi="ar"/>
              </w:rPr>
              <w:t>不同的连接环颜色</w:t>
            </w:r>
            <w:r>
              <w:rPr>
                <w:rFonts w:hint="eastAsia" w:ascii="宋体" w:hAnsi="宋体" w:eastAsia="宋体" w:cs="宋体"/>
                <w:i w:val="0"/>
                <w:iCs w:val="0"/>
                <w:color w:val="000000" w:themeColor="text1"/>
                <w:kern w:val="0"/>
                <w:sz w:val="22"/>
                <w:szCs w:val="22"/>
                <w:highlight w:val="none"/>
                <w:u w:val="none"/>
                <w:lang w:val="en-US" w:eastAsia="zh-CN" w:bidi="ar"/>
              </w:rPr>
              <w:t>来确定不同的尺寸以适应各种体型的被救援者</w:t>
            </w:r>
            <w:r>
              <w:rPr>
                <w:rFonts w:hint="default" w:ascii="宋体" w:hAnsi="宋体" w:eastAsia="宋体" w:cs="宋体"/>
                <w:i w:val="0"/>
                <w:iCs w:val="0"/>
                <w:color w:val="000000" w:themeColor="text1"/>
                <w:kern w:val="0"/>
                <w:sz w:val="22"/>
                <w:szCs w:val="22"/>
                <w:highlight w:val="none"/>
                <w:u w:val="none"/>
                <w:lang w:val="en-US" w:eastAsia="zh-CN" w:bidi="ar"/>
              </w:rPr>
              <w:t>，配有可调肩带。小巧且携带方便，可以很容易地装进吊带自有口袋里，即使在低温下也能轻松处理，仅供救援使用。</w:t>
            </w:r>
            <w:r>
              <w:rPr>
                <w:rFonts w:hint="eastAsia" w:ascii="宋体" w:hAnsi="宋体" w:eastAsia="宋体" w:cs="宋体"/>
                <w:i w:val="0"/>
                <w:iCs w:val="0"/>
                <w:color w:val="000000" w:themeColor="text1"/>
                <w:kern w:val="0"/>
                <w:sz w:val="22"/>
                <w:szCs w:val="22"/>
                <w:highlight w:val="none"/>
                <w:u w:val="none"/>
                <w:lang w:val="en-US" w:eastAsia="zh-CN" w:bidi="ar"/>
              </w:rPr>
              <w:t>★</w:t>
            </w:r>
            <w:r>
              <w:rPr>
                <w:rFonts w:hint="default" w:ascii="宋体" w:hAnsi="宋体" w:eastAsia="宋体" w:cs="宋体"/>
                <w:i w:val="0"/>
                <w:iCs w:val="0"/>
                <w:color w:val="000000" w:themeColor="text1"/>
                <w:kern w:val="0"/>
                <w:sz w:val="22"/>
                <w:szCs w:val="22"/>
                <w:highlight w:val="none"/>
                <w:u w:val="none"/>
                <w:lang w:val="en-US" w:eastAsia="zh-CN" w:bidi="ar"/>
              </w:rPr>
              <w:t>最大负载≥150公斤，认证 CEEN 1497，EN1498标准，均码，重量≤870g</w:t>
            </w:r>
            <w:r>
              <w:rPr>
                <w:rFonts w:hint="eastAsia" w:ascii="宋体" w:hAnsi="宋体" w:eastAsia="宋体" w:cs="宋体"/>
                <w:i w:val="0"/>
                <w:iCs w:val="0"/>
                <w:color w:val="000000" w:themeColor="text1"/>
                <w:kern w:val="0"/>
                <w:sz w:val="22"/>
                <w:szCs w:val="22"/>
                <w:highlight w:val="none"/>
                <w:u w:val="none"/>
                <w:lang w:val="en-US" w:eastAsia="zh-CN" w:bidi="ar"/>
              </w:rPr>
              <w:t>。</w:t>
            </w:r>
          </w:p>
        </w:tc>
      </w:tr>
    </w:tbl>
    <w:p w14:paraId="1073D66F">
      <w:pPr>
        <w:keepNext w:val="0"/>
        <w:keepLines w:val="0"/>
        <w:pageBreakBefore w:val="0"/>
        <w:widowControl w:val="0"/>
        <w:kinsoku/>
        <w:wordWrap/>
        <w:overflowPunct/>
        <w:topLinePunct w:val="0"/>
        <w:autoSpaceDE/>
        <w:autoSpaceDN/>
        <w:bidi w:val="0"/>
        <w:adjustRightInd/>
        <w:snapToGrid/>
        <w:spacing w:line="480" w:lineRule="exact"/>
        <w:textAlignment w:val="auto"/>
        <w:rPr>
          <w:rStyle w:val="51"/>
          <w:rFonts w:hint="eastAsia" w:ascii="宋体" w:hAnsi="宋体" w:eastAsia="宋体" w:cs="宋体"/>
          <w:b/>
          <w:bCs/>
          <w:i w:val="0"/>
          <w:iCs w:val="0"/>
          <w:color w:val="000000" w:themeColor="text1"/>
          <w:sz w:val="24"/>
          <w:szCs w:val="24"/>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注：1.标有“▲”的为实质性参数，不可偏离；“★”的为重要性参数指标或要求。</w:t>
      </w:r>
    </w:p>
    <w:p w14:paraId="048CE50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Style w:val="51"/>
          <w:rFonts w:hint="eastAsia" w:ascii="宋体" w:hAnsi="宋体" w:eastAsia="宋体" w:cs="宋体"/>
          <w:b/>
          <w:bCs/>
          <w:i w:val="0"/>
          <w:iCs w:val="0"/>
          <w:color w:val="000000" w:themeColor="text1"/>
          <w:sz w:val="24"/>
          <w:szCs w:val="24"/>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2.对列入强制性认证产品目录中的产品须提供强制性认证证书（CCC证书）；对强制性认证产品目录以外的产品，有国家标准或行业标准的须提供具有法定资质的国家级检验机构出具的符合国家标准或行业标准的型式试验报告或自愿性认证证书；对未制定国家标准、行业标准的，必须符合保障人体健康和人身、财产安全的要求。若投标时暂未取得认证证书（CCC证书），允许提供承诺书【承诺在交</w:t>
      </w:r>
      <w:r>
        <w:rPr>
          <w:rStyle w:val="51"/>
          <w:rFonts w:hint="eastAsia" w:ascii="宋体" w:hAnsi="宋体" w:cs="宋体"/>
          <w:b/>
          <w:bCs/>
          <w:i w:val="0"/>
          <w:iCs w:val="0"/>
          <w:color w:val="000000" w:themeColor="text1"/>
          <w:sz w:val="24"/>
          <w:szCs w:val="24"/>
          <w:highlight w:val="none"/>
          <w:lang w:val="en-US" w:eastAsia="zh-CN" w:bidi="ar"/>
        </w:rPr>
        <w:t>货</w:t>
      </w:r>
      <w:r>
        <w:rPr>
          <w:rStyle w:val="51"/>
          <w:rFonts w:hint="eastAsia" w:ascii="宋体" w:hAnsi="宋体" w:eastAsia="宋体" w:cs="宋体"/>
          <w:b/>
          <w:bCs/>
          <w:i w:val="0"/>
          <w:iCs w:val="0"/>
          <w:color w:val="000000" w:themeColor="text1"/>
          <w:sz w:val="24"/>
          <w:szCs w:val="24"/>
          <w:highlight w:val="none"/>
          <w:lang w:val="en-US" w:eastAsia="zh-CN" w:bidi="ar"/>
        </w:rPr>
        <w:t>时提供所投产品的CCC证书】，未提供的，视为无效投标。</w:t>
      </w:r>
    </w:p>
    <w:p w14:paraId="16F3DC0A">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textAlignment w:val="baseline"/>
        <w:rPr>
          <w:rFonts w:hint="eastAsia" w:ascii="宋体" w:hAnsi="宋体" w:eastAsia="宋体" w:cs="宋体"/>
          <w:b/>
          <w:bCs/>
          <w:color w:val="000000" w:themeColor="text1"/>
          <w:sz w:val="24"/>
          <w:szCs w:val="24"/>
          <w:highlight w:val="none"/>
          <w:lang w:val="en-US" w:eastAsia="zh-CN"/>
        </w:rPr>
      </w:pPr>
      <w:r>
        <w:rPr>
          <w:rFonts w:hint="eastAsia" w:ascii="宋体" w:hAnsi="宋体" w:eastAsia="宋体" w:cs="宋体"/>
          <w:b/>
          <w:bCs/>
          <w:color w:val="000000" w:themeColor="text1"/>
          <w:sz w:val="24"/>
          <w:szCs w:val="24"/>
          <w:highlight w:val="none"/>
          <w:lang w:val="en-US" w:eastAsia="zh-CN"/>
        </w:rPr>
        <w:t>二、供货要求</w:t>
      </w:r>
    </w:p>
    <w:p w14:paraId="08AB9352">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17" w:leftChars="6" w:right="0" w:rightChars="0" w:firstLine="542" w:firstLineChars="226"/>
        <w:textAlignment w:val="baseline"/>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1.所有设备须符合国家规范要求，供应商投标提供的设备必须是厂商原装的、全新的，型号、性能及指标符合国家及招标文件提出的有关技术、质量、安全标准，响应单位应保证其提供的货物在正确安装、正常使用和保养条件下，在规定的使用寿命期内具有满意的性能。</w:t>
      </w:r>
    </w:p>
    <w:p w14:paraId="55688061">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17" w:leftChars="6" w:right="0" w:rightChars="0" w:firstLine="542" w:firstLineChars="226"/>
        <w:textAlignment w:val="baseline"/>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2.缺陷保修：如果设备交付使用后，缺陷多次反复出现，供应商必须提出分析报告和解决方案，直到最后纠正缺陷、供应商提供的售后服务期从纠正之日起重新计算。</w:t>
      </w:r>
    </w:p>
    <w:p w14:paraId="78076C17">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17" w:leftChars="6" w:right="0" w:rightChars="0" w:firstLine="542" w:firstLineChars="226"/>
        <w:textAlignment w:val="baseline"/>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3.如果是超出供应商责任范围的疏忽、误操作等情况而导致的更换修正，应由供应商进行修理，其额外费用由采购人及供应商协商承担。</w:t>
      </w:r>
    </w:p>
    <w:p w14:paraId="5DD7B2FA">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 xml:space="preserve">     4.所供货物不会侵犯任何第三方知识产权。</w:t>
      </w:r>
    </w:p>
    <w:p w14:paraId="4940CD6F">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textAlignment w:val="baseline"/>
        <w:rPr>
          <w:rFonts w:hint="eastAsia" w:ascii="宋体" w:hAnsi="宋体" w:eastAsia="宋体" w:cs="宋体"/>
          <w:b/>
          <w:bCs/>
          <w:color w:val="000000" w:themeColor="text1"/>
          <w:sz w:val="24"/>
          <w:szCs w:val="24"/>
          <w:highlight w:val="none"/>
          <w:lang w:val="en-US" w:eastAsia="zh-CN"/>
        </w:rPr>
      </w:pPr>
      <w:r>
        <w:rPr>
          <w:rFonts w:hint="eastAsia" w:ascii="宋体" w:hAnsi="宋体" w:cs="宋体"/>
          <w:b/>
          <w:bCs/>
          <w:color w:val="000000" w:themeColor="text1"/>
          <w:sz w:val="24"/>
          <w:szCs w:val="24"/>
          <w:highlight w:val="none"/>
          <w:lang w:val="en-US" w:eastAsia="zh-CN"/>
        </w:rPr>
        <w:t>三、</w:t>
      </w:r>
      <w:r>
        <w:rPr>
          <w:rFonts w:hint="eastAsia" w:ascii="宋体" w:hAnsi="宋体" w:eastAsia="宋体" w:cs="宋体"/>
          <w:b/>
          <w:bCs/>
          <w:color w:val="000000" w:themeColor="text1"/>
          <w:sz w:val="24"/>
          <w:szCs w:val="24"/>
          <w:highlight w:val="none"/>
          <w:lang w:val="en-US" w:eastAsia="zh-CN"/>
        </w:rPr>
        <w:t>交货期和质保期要求</w:t>
      </w:r>
    </w:p>
    <w:p w14:paraId="42471B9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1.交货及安装要求:在合同签订后</w:t>
      </w:r>
      <w:r>
        <w:rPr>
          <w:rFonts w:hint="eastAsia" w:ascii="宋体" w:hAnsi="宋体" w:cs="宋体"/>
          <w:b w:val="0"/>
          <w:bCs w:val="0"/>
          <w:color w:val="000000" w:themeColor="text1"/>
          <w:sz w:val="24"/>
          <w:szCs w:val="24"/>
          <w:highlight w:val="none"/>
          <w:lang w:val="en-US" w:eastAsia="zh-CN"/>
        </w:rPr>
        <w:t>60日历天</w:t>
      </w:r>
      <w:r>
        <w:rPr>
          <w:rFonts w:hint="eastAsia" w:ascii="宋体" w:hAnsi="宋体" w:eastAsia="宋体" w:cs="宋体"/>
          <w:b w:val="0"/>
          <w:bCs w:val="0"/>
          <w:color w:val="000000" w:themeColor="text1"/>
          <w:sz w:val="24"/>
          <w:szCs w:val="24"/>
          <w:highlight w:val="none"/>
          <w:lang w:val="en-US" w:eastAsia="zh-CN"/>
        </w:rPr>
        <w:t>内交货并安装调试完毕(供应商应根据自身实力条件报交货时间，但不得超过上述时间)。</w:t>
      </w:r>
    </w:p>
    <w:p w14:paraId="03AC7C1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2.质保期:提供项目整体至少2年的原厂质保服务。质保期从安装调试完毕、最终验收合格之日开始计算。除非采购人另有要求，质保期内的服务均为免费上门服务。</w:t>
      </w:r>
    </w:p>
    <w:p w14:paraId="77771FB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 w:val="0"/>
          <w:bCs w:val="0"/>
          <w:color w:val="000000" w:themeColor="text1"/>
          <w:sz w:val="24"/>
          <w:szCs w:val="24"/>
          <w:highlight w:val="none"/>
          <w:lang w:val="en-US" w:eastAsia="zh-CN"/>
        </w:rPr>
      </w:pPr>
      <w:r>
        <w:rPr>
          <w:rFonts w:hint="eastAsia" w:ascii="宋体" w:hAnsi="宋体" w:cs="宋体"/>
          <w:b w:val="0"/>
          <w:bCs w:val="0"/>
          <w:color w:val="000000" w:themeColor="text1"/>
          <w:sz w:val="24"/>
          <w:szCs w:val="24"/>
          <w:highlight w:val="none"/>
          <w:lang w:val="en-US" w:eastAsia="zh-CN"/>
        </w:rPr>
        <w:t>3</w:t>
      </w:r>
      <w:r>
        <w:rPr>
          <w:rFonts w:hint="eastAsia" w:ascii="宋体" w:hAnsi="宋体" w:eastAsia="宋体" w:cs="宋体"/>
          <w:b w:val="0"/>
          <w:bCs w:val="0"/>
          <w:color w:val="000000" w:themeColor="text1"/>
          <w:sz w:val="24"/>
          <w:szCs w:val="24"/>
          <w:highlight w:val="none"/>
          <w:lang w:val="en-US" w:eastAsia="zh-CN"/>
        </w:rPr>
        <w:t>.</w:t>
      </w:r>
      <w:r>
        <w:rPr>
          <w:rFonts w:hint="eastAsia" w:ascii="宋体" w:hAnsi="宋体" w:cs="宋体"/>
          <w:b w:val="0"/>
          <w:bCs w:val="0"/>
          <w:color w:val="000000" w:themeColor="text1"/>
          <w:sz w:val="24"/>
          <w:szCs w:val="24"/>
          <w:highlight w:val="none"/>
          <w:lang w:val="en-US" w:eastAsia="zh-CN"/>
        </w:rPr>
        <w:t>供应商</w:t>
      </w:r>
      <w:r>
        <w:rPr>
          <w:rFonts w:hint="eastAsia" w:ascii="宋体" w:hAnsi="宋体" w:eastAsia="宋体" w:cs="宋体"/>
          <w:b w:val="0"/>
          <w:bCs w:val="0"/>
          <w:color w:val="000000" w:themeColor="text1"/>
          <w:sz w:val="24"/>
          <w:szCs w:val="24"/>
          <w:highlight w:val="none"/>
          <w:lang w:val="en-US" w:eastAsia="zh-CN"/>
        </w:rPr>
        <w:t>在产品保质期内，每年不少于2次定期上门对设备进行全面维护保养，保障设备正常运行。</w:t>
      </w:r>
    </w:p>
    <w:p w14:paraId="50535305">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b/>
          <w:bCs/>
          <w:color w:val="000000" w:themeColor="text1"/>
          <w:kern w:val="0"/>
          <w:sz w:val="24"/>
          <w:highlight w:val="none"/>
          <w:lang w:val="en-US" w:eastAsia="zh-CN" w:bidi="ar"/>
        </w:rPr>
      </w:pPr>
      <w:r>
        <w:rPr>
          <w:rFonts w:hint="eastAsia" w:ascii="宋体" w:hAnsi="宋体" w:cs="宋体"/>
          <w:b/>
          <w:bCs/>
          <w:color w:val="000000" w:themeColor="text1"/>
          <w:kern w:val="0"/>
          <w:sz w:val="24"/>
          <w:highlight w:val="none"/>
          <w:lang w:val="en-US" w:eastAsia="zh-CN" w:bidi="ar"/>
        </w:rPr>
        <w:t>四</w:t>
      </w:r>
      <w:r>
        <w:rPr>
          <w:rFonts w:hint="eastAsia" w:ascii="宋体" w:hAnsi="宋体" w:eastAsia="宋体" w:cs="宋体"/>
          <w:b/>
          <w:bCs/>
          <w:color w:val="000000" w:themeColor="text1"/>
          <w:kern w:val="0"/>
          <w:sz w:val="24"/>
          <w:highlight w:val="none"/>
          <w:lang w:eastAsia="zh-CN" w:bidi="ar"/>
        </w:rPr>
        <w:t>、</w:t>
      </w:r>
      <w:r>
        <w:rPr>
          <w:rFonts w:hint="eastAsia" w:ascii="宋体" w:hAnsi="宋体" w:eastAsia="宋体" w:cs="宋体"/>
          <w:b/>
          <w:bCs/>
          <w:color w:val="000000" w:themeColor="text1"/>
          <w:kern w:val="0"/>
          <w:sz w:val="24"/>
          <w:highlight w:val="none"/>
          <w:lang w:val="en-US" w:eastAsia="zh-CN" w:bidi="ar"/>
        </w:rPr>
        <w:t>其他要求</w:t>
      </w:r>
    </w:p>
    <w:p w14:paraId="22BE6C83">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bidi="ar"/>
        </w:rPr>
      </w:pPr>
      <w:r>
        <w:rPr>
          <w:rFonts w:hint="eastAsia" w:ascii="宋体" w:hAnsi="宋体" w:eastAsia="宋体" w:cs="宋体"/>
          <w:b w:val="0"/>
          <w:bCs w:val="0"/>
          <w:color w:val="000000" w:themeColor="text1"/>
          <w:kern w:val="0"/>
          <w:sz w:val="24"/>
          <w:highlight w:val="none"/>
          <w:lang w:bidi="ar"/>
        </w:rPr>
        <w:t>1</w:t>
      </w:r>
      <w:r>
        <w:rPr>
          <w:rFonts w:hint="eastAsia" w:ascii="宋体" w:hAnsi="宋体" w:eastAsia="宋体" w:cs="宋体"/>
          <w:b w:val="0"/>
          <w:bCs w:val="0"/>
          <w:color w:val="000000" w:themeColor="text1"/>
          <w:kern w:val="0"/>
          <w:sz w:val="24"/>
          <w:highlight w:val="none"/>
          <w:lang w:eastAsia="zh-CN" w:bidi="ar"/>
        </w:rPr>
        <w:t>.</w:t>
      </w:r>
      <w:r>
        <w:rPr>
          <w:rFonts w:hint="eastAsia" w:ascii="宋体" w:hAnsi="宋体" w:cs="宋体"/>
          <w:b w:val="0"/>
          <w:bCs w:val="0"/>
          <w:color w:val="000000" w:themeColor="text1"/>
          <w:kern w:val="0"/>
          <w:sz w:val="24"/>
          <w:highlight w:val="none"/>
          <w:lang w:eastAsia="zh-CN" w:bidi="ar"/>
        </w:rPr>
        <w:t>供应商</w:t>
      </w:r>
      <w:r>
        <w:rPr>
          <w:rFonts w:hint="eastAsia" w:ascii="宋体" w:hAnsi="宋体" w:eastAsia="宋体" w:cs="宋体"/>
          <w:b w:val="0"/>
          <w:bCs w:val="0"/>
          <w:color w:val="000000" w:themeColor="text1"/>
          <w:kern w:val="0"/>
          <w:sz w:val="24"/>
          <w:highlight w:val="none"/>
          <w:lang w:bidi="ar"/>
        </w:rPr>
        <w:t>在签定合同前，先提供器材装备清单（以招标参数为准）及售后服务承诺，并确认好所购车辆的部分细节设计（若需要调整）。</w:t>
      </w:r>
    </w:p>
    <w:p w14:paraId="0723676C">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cs="宋体"/>
          <w:b w:val="0"/>
          <w:bCs w:val="0"/>
          <w:color w:val="000000" w:themeColor="text1"/>
          <w:kern w:val="0"/>
          <w:sz w:val="24"/>
          <w:highlight w:val="none"/>
          <w:lang w:val="en-US" w:eastAsia="zh-CN" w:bidi="ar"/>
        </w:rPr>
        <w:t>2</w:t>
      </w:r>
      <w:r>
        <w:rPr>
          <w:rFonts w:hint="eastAsia" w:ascii="宋体" w:hAnsi="宋体" w:eastAsia="宋体" w:cs="宋体"/>
          <w:b w:val="0"/>
          <w:bCs w:val="0"/>
          <w:color w:val="000000" w:themeColor="text1"/>
          <w:kern w:val="0"/>
          <w:sz w:val="24"/>
          <w:highlight w:val="none"/>
          <w:lang w:val="en-US" w:eastAsia="zh-CN" w:bidi="ar"/>
        </w:rPr>
        <w:t>.验收标准：采购人</w:t>
      </w:r>
      <w:r>
        <w:rPr>
          <w:rFonts w:hint="eastAsia" w:ascii="宋体" w:hAnsi="宋体" w:cs="宋体"/>
          <w:b w:val="0"/>
          <w:bCs w:val="0"/>
          <w:color w:val="000000" w:themeColor="text1"/>
          <w:kern w:val="0"/>
          <w:sz w:val="24"/>
          <w:highlight w:val="none"/>
          <w:lang w:val="en-US" w:eastAsia="zh-CN" w:bidi="ar"/>
        </w:rPr>
        <w:t>及其使用方</w:t>
      </w:r>
      <w:r>
        <w:rPr>
          <w:rFonts w:hint="eastAsia" w:ascii="宋体" w:hAnsi="宋体" w:eastAsia="宋体" w:cs="宋体"/>
          <w:b w:val="0"/>
          <w:bCs w:val="0"/>
          <w:color w:val="000000" w:themeColor="text1"/>
          <w:kern w:val="0"/>
          <w:sz w:val="24"/>
          <w:highlight w:val="none"/>
          <w:lang w:val="en-US" w:eastAsia="zh-CN" w:bidi="ar"/>
        </w:rPr>
        <w:t>组织进行验收，如果设备的质量和规格与合同不符，或在规定的质量保证期内证实设备具有缺陷的，包括潜在缺陷或使用不符合要求的材料，有权向</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提出索赔。经验收合格，供应商须向采购人提供整套设备质保书、说明书、保修证明等书面资料，并按国家制造和安装的标准要求检测验收。</w:t>
      </w:r>
    </w:p>
    <w:p w14:paraId="0C858C80">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cs="宋体"/>
          <w:b w:val="0"/>
          <w:bCs w:val="0"/>
          <w:color w:val="000000" w:themeColor="text1"/>
          <w:kern w:val="0"/>
          <w:sz w:val="24"/>
          <w:highlight w:val="none"/>
          <w:lang w:val="en-US" w:eastAsia="zh-CN" w:bidi="ar"/>
        </w:rPr>
        <w:t>3</w:t>
      </w:r>
      <w:r>
        <w:rPr>
          <w:rFonts w:hint="eastAsia" w:ascii="宋体" w:hAnsi="宋体" w:eastAsia="宋体" w:cs="宋体"/>
          <w:b w:val="0"/>
          <w:bCs w:val="0"/>
          <w:color w:val="000000" w:themeColor="text1"/>
          <w:kern w:val="0"/>
          <w:sz w:val="24"/>
          <w:highlight w:val="none"/>
          <w:lang w:val="en-US" w:eastAsia="zh-CN" w:bidi="ar"/>
        </w:rPr>
        <w:t>.验收方法：1）</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自检：安装完毕后，要求</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自行对所有设备进行检验，检验结果必须符合验收标准的要求。采购人有权对设备组装前进行检验或测试，以确认所投产品的制造工艺、原材料、质量等是否符合招标文件和报价时提供的样式要求，但不能作为最终验收。</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应为采购人检验和测试提供各种方便，并承担相应费用，如果检验或测试的产品不能满足采购要求，采购人可以拒绝接受，</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应更换被拒绝的货物，并承担给采购人造成的经济损失。</w:t>
      </w:r>
    </w:p>
    <w:p w14:paraId="25A3C23D">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eastAsia="宋体" w:cs="宋体"/>
          <w:b w:val="0"/>
          <w:bCs w:val="0"/>
          <w:color w:val="000000" w:themeColor="text1"/>
          <w:kern w:val="0"/>
          <w:sz w:val="24"/>
          <w:highlight w:val="none"/>
          <w:lang w:val="en-US" w:eastAsia="zh-CN" w:bidi="ar"/>
        </w:rPr>
        <w:t>2）最终验收：采购人按招标文件、投标文件、合同款以及国家及行业相关标准进行验收。设备应完全符合招标及投标要求，在此期间，如果发现质量有问题，或者与投标设备存在差异，采购人有权拒收并</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方承担全部责任及费用，并应无条件免费更换直至验收合格；采购人保留邀请第三方检测机构或相关技术专家参与验收的权利。参与验收的第三方机构的意见作为验收书的参考资料一并存档。</w:t>
      </w:r>
    </w:p>
    <w:p w14:paraId="3D7DE3BD">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cs="宋体"/>
          <w:b w:val="0"/>
          <w:bCs w:val="0"/>
          <w:color w:val="000000" w:themeColor="text1"/>
          <w:kern w:val="0"/>
          <w:sz w:val="24"/>
          <w:highlight w:val="none"/>
          <w:lang w:val="en-US" w:eastAsia="zh-CN" w:bidi="ar"/>
        </w:rPr>
        <w:t>4</w:t>
      </w:r>
      <w:r>
        <w:rPr>
          <w:rFonts w:hint="eastAsia" w:ascii="宋体" w:hAnsi="宋体" w:eastAsia="宋体" w:cs="宋体"/>
          <w:b w:val="0"/>
          <w:bCs w:val="0"/>
          <w:color w:val="000000" w:themeColor="text1"/>
          <w:kern w:val="0"/>
          <w:sz w:val="24"/>
          <w:highlight w:val="none"/>
          <w:lang w:val="en-US" w:eastAsia="zh-CN" w:bidi="ar"/>
        </w:rPr>
        <w:t>.验收完毕由</w:t>
      </w:r>
      <w:r>
        <w:rPr>
          <w:rFonts w:hint="eastAsia" w:ascii="宋体" w:hAnsi="宋体" w:cs="宋体"/>
          <w:b w:val="0"/>
          <w:bCs w:val="0"/>
          <w:color w:val="000000" w:themeColor="text1"/>
          <w:kern w:val="0"/>
          <w:sz w:val="24"/>
          <w:highlight w:val="none"/>
          <w:lang w:val="en-US" w:eastAsia="zh-CN" w:bidi="ar"/>
        </w:rPr>
        <w:t>采购人</w:t>
      </w:r>
      <w:r>
        <w:rPr>
          <w:rFonts w:hint="eastAsia" w:ascii="宋体" w:hAnsi="宋体" w:eastAsia="宋体" w:cs="宋体"/>
          <w:b w:val="0"/>
          <w:bCs w:val="0"/>
          <w:color w:val="000000" w:themeColor="text1"/>
          <w:kern w:val="0"/>
          <w:sz w:val="24"/>
          <w:highlight w:val="none"/>
          <w:lang w:val="en-US" w:eastAsia="zh-CN" w:bidi="ar"/>
        </w:rPr>
        <w:t>及</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在验收报告上签名。</w:t>
      </w:r>
    </w:p>
    <w:p w14:paraId="5AB9D3D0">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eastAsia="宋体" w:cs="宋体"/>
          <w:color w:val="000000" w:themeColor="text1"/>
          <w:kern w:val="0"/>
          <w:sz w:val="24"/>
          <w:highlight w:val="none"/>
          <w:lang w:val="en-US" w:eastAsia="zh-CN" w:bidi="ar"/>
        </w:rPr>
        <w:t xml:space="preserve">   </w:t>
      </w:r>
      <w:r>
        <w:rPr>
          <w:rFonts w:hint="eastAsia" w:ascii="宋体" w:hAnsi="宋体" w:eastAsia="宋体" w:cs="宋体"/>
          <w:b w:val="0"/>
          <w:bCs w:val="0"/>
          <w:color w:val="000000" w:themeColor="text1"/>
          <w:kern w:val="0"/>
          <w:sz w:val="24"/>
          <w:highlight w:val="none"/>
          <w:lang w:val="en-US" w:eastAsia="zh-CN" w:bidi="ar"/>
        </w:rPr>
        <w:t xml:space="preserve"> </w:t>
      </w:r>
      <w:r>
        <w:rPr>
          <w:rFonts w:hint="eastAsia" w:ascii="宋体" w:hAnsi="宋体" w:cs="宋体"/>
          <w:b w:val="0"/>
          <w:bCs w:val="0"/>
          <w:color w:val="000000" w:themeColor="text1"/>
          <w:kern w:val="0"/>
          <w:sz w:val="24"/>
          <w:highlight w:val="none"/>
          <w:lang w:val="en-US" w:eastAsia="zh-CN" w:bidi="ar"/>
        </w:rPr>
        <w:t>5</w:t>
      </w:r>
      <w:r>
        <w:rPr>
          <w:rFonts w:hint="eastAsia" w:ascii="宋体" w:hAnsi="宋体" w:eastAsia="宋体" w:cs="宋体"/>
          <w:b w:val="0"/>
          <w:bCs w:val="0"/>
          <w:color w:val="000000" w:themeColor="text1"/>
          <w:kern w:val="0"/>
          <w:sz w:val="24"/>
          <w:highlight w:val="none"/>
          <w:lang w:val="en-US" w:eastAsia="zh-CN" w:bidi="ar"/>
        </w:rPr>
        <w:t>.包装及运输要求：1）供应商提供的货物必须具有可靠的安全保护、保险措施，以防止误操作或意外事故致使货物受损。产品包装应符合国家或专业（部）标准规定；随机的零部件、备品备件等散件应包装完好。</w:t>
      </w:r>
    </w:p>
    <w:p w14:paraId="6C87C58F">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eastAsia="宋体" w:cs="宋体"/>
          <w:b w:val="0"/>
          <w:bCs w:val="0"/>
          <w:color w:val="000000" w:themeColor="text1"/>
          <w:kern w:val="0"/>
          <w:sz w:val="24"/>
          <w:highlight w:val="none"/>
          <w:lang w:val="en-US" w:eastAsia="zh-CN" w:bidi="ar"/>
        </w:rPr>
        <w:t>2）由</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将货物直接免费送至采购方指定的地点。如在运输、搬运、安装过程中造成货物损坏，采购人有权不签收并由</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承担相应经济损失。</w:t>
      </w:r>
    </w:p>
    <w:p w14:paraId="15547BF6">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eastAsia="宋体" w:cs="宋体"/>
          <w:b w:val="0"/>
          <w:bCs w:val="0"/>
          <w:color w:val="000000" w:themeColor="text1"/>
          <w:kern w:val="0"/>
          <w:sz w:val="24"/>
          <w:highlight w:val="none"/>
          <w:lang w:val="en-US" w:eastAsia="zh-CN" w:bidi="ar"/>
        </w:rPr>
        <w:t>3）设备外观清洁，标记编号以及盘面显示等字体清晰，明确。铭牌、使用指示、警告指示应以中文或英文及易懂的通用符号来表示;应准确无误地表明设备之型号、规格、制造厂及生产或出厂日期。</w:t>
      </w:r>
    </w:p>
    <w:p w14:paraId="72B719B7">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eastAsia="宋体" w:cs="宋体"/>
          <w:b w:val="0"/>
          <w:bCs w:val="0"/>
          <w:color w:val="000000" w:themeColor="text1"/>
          <w:kern w:val="0"/>
          <w:sz w:val="24"/>
          <w:highlight w:val="none"/>
          <w:lang w:val="en-US" w:eastAsia="zh-CN" w:bidi="ar"/>
        </w:rPr>
        <w:t>4）技术培训：</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需负责对采购人的技术人员进行培训（提供完整的技术培训，使采购人今后能自行操作、维护）。</w:t>
      </w:r>
    </w:p>
    <w:p w14:paraId="3DA92A97">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bidi="ar"/>
        </w:rPr>
      </w:pPr>
      <w:r>
        <w:rPr>
          <w:rFonts w:hint="eastAsia" w:ascii="宋体" w:hAnsi="宋体" w:cs="宋体"/>
          <w:b w:val="0"/>
          <w:bCs w:val="0"/>
          <w:color w:val="000000" w:themeColor="text1"/>
          <w:kern w:val="0"/>
          <w:sz w:val="24"/>
          <w:highlight w:val="none"/>
          <w:lang w:val="en-US" w:eastAsia="zh-CN" w:bidi="ar"/>
        </w:rPr>
        <w:t>6</w:t>
      </w:r>
      <w:r>
        <w:rPr>
          <w:rFonts w:hint="eastAsia" w:ascii="宋体" w:hAnsi="宋体" w:eastAsia="宋体" w:cs="宋体"/>
          <w:b w:val="0"/>
          <w:bCs w:val="0"/>
          <w:color w:val="000000" w:themeColor="text1"/>
          <w:kern w:val="0"/>
          <w:sz w:val="24"/>
          <w:highlight w:val="none"/>
          <w:lang w:eastAsia="zh-CN" w:bidi="ar"/>
        </w:rPr>
        <w:t>.</w:t>
      </w:r>
      <w:r>
        <w:rPr>
          <w:rFonts w:hint="eastAsia" w:ascii="宋体" w:hAnsi="宋体" w:eastAsia="宋体" w:cs="宋体"/>
          <w:b w:val="0"/>
          <w:bCs w:val="0"/>
          <w:color w:val="000000" w:themeColor="text1"/>
          <w:kern w:val="0"/>
          <w:sz w:val="24"/>
          <w:highlight w:val="none"/>
          <w:lang w:bidi="ar"/>
        </w:rPr>
        <w:t>质保期内出现的质量问题，供应商必须在接到采购人通知后2小时内响应，12小时内派人到现场解决问题，24小时内给出完整解决方案，48小时内解决问题</w:t>
      </w:r>
      <w:r>
        <w:rPr>
          <w:rFonts w:hint="eastAsia" w:ascii="宋体" w:hAnsi="宋体" w:cs="宋体"/>
          <w:b w:val="0"/>
          <w:bCs w:val="0"/>
          <w:color w:val="000000" w:themeColor="text1"/>
          <w:kern w:val="0"/>
          <w:sz w:val="24"/>
          <w:highlight w:val="none"/>
          <w:lang w:eastAsia="zh-CN" w:bidi="ar"/>
        </w:rPr>
        <w:t>；</w:t>
      </w:r>
      <w:r>
        <w:rPr>
          <w:rFonts w:hint="eastAsia" w:ascii="宋体" w:hAnsi="宋体" w:eastAsia="宋体" w:cs="宋体"/>
          <w:b w:val="0"/>
          <w:bCs w:val="0"/>
          <w:color w:val="000000" w:themeColor="text1"/>
          <w:kern w:val="0"/>
          <w:sz w:val="24"/>
          <w:highlight w:val="none"/>
          <w:lang w:bidi="ar"/>
        </w:rPr>
        <w:t>如在48小时之内仍不能排除故障的，供应商应提供与原设备相同或不低于原设备档次的备用设备。故障排除后供应商应出具书面故障诊断报告备案。</w:t>
      </w:r>
    </w:p>
    <w:p w14:paraId="2198B428">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bidi="ar"/>
        </w:rPr>
      </w:pPr>
      <w:r>
        <w:rPr>
          <w:rFonts w:hint="eastAsia" w:ascii="宋体" w:hAnsi="宋体" w:cs="宋体"/>
          <w:b w:val="0"/>
          <w:bCs w:val="0"/>
          <w:color w:val="000000" w:themeColor="text1"/>
          <w:kern w:val="0"/>
          <w:sz w:val="24"/>
          <w:highlight w:val="none"/>
          <w:lang w:val="en-US" w:eastAsia="zh-CN" w:bidi="ar"/>
        </w:rPr>
        <w:t>7</w:t>
      </w:r>
      <w:r>
        <w:rPr>
          <w:rFonts w:hint="eastAsia" w:ascii="宋体" w:hAnsi="宋体" w:eastAsia="宋体" w:cs="宋体"/>
          <w:b w:val="0"/>
          <w:bCs w:val="0"/>
          <w:color w:val="000000" w:themeColor="text1"/>
          <w:kern w:val="0"/>
          <w:sz w:val="24"/>
          <w:highlight w:val="none"/>
          <w:lang w:bidi="ar"/>
        </w:rPr>
        <w:t>.出现故障后，供应商如未按上述要求进行响应，采购人可以采取必要的补救措施，由此产生的风险和费用全部由供应商承担。</w:t>
      </w:r>
    </w:p>
    <w:p w14:paraId="53AF7A5E">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bidi="ar"/>
        </w:rPr>
      </w:pPr>
      <w:r>
        <w:rPr>
          <w:rFonts w:hint="eastAsia" w:ascii="宋体" w:hAnsi="宋体" w:cs="宋体"/>
          <w:b w:val="0"/>
          <w:bCs w:val="0"/>
          <w:color w:val="000000" w:themeColor="text1"/>
          <w:kern w:val="0"/>
          <w:sz w:val="24"/>
          <w:highlight w:val="none"/>
          <w:lang w:val="en-US" w:eastAsia="zh-CN" w:bidi="ar"/>
        </w:rPr>
        <w:t>8</w:t>
      </w:r>
      <w:r>
        <w:rPr>
          <w:rFonts w:hint="eastAsia" w:ascii="宋体" w:hAnsi="宋体" w:eastAsia="宋体" w:cs="宋体"/>
          <w:b w:val="0"/>
          <w:bCs w:val="0"/>
          <w:color w:val="000000" w:themeColor="text1"/>
          <w:kern w:val="0"/>
          <w:sz w:val="24"/>
          <w:highlight w:val="none"/>
          <w:lang w:bidi="ar"/>
        </w:rPr>
        <w:t>.质保期内，除人为损坏和不可抗力外，期间所产生的任何维护或维修及更换配件的费用均由供应商承担。</w:t>
      </w:r>
    </w:p>
    <w:p w14:paraId="41B04E85">
      <w:pPr>
        <w:keepNext w:val="0"/>
        <w:keepLines w:val="0"/>
        <w:pageBreakBefore w:val="0"/>
        <w:widowControl w:val="0"/>
        <w:kinsoku/>
        <w:wordWrap/>
        <w:overflowPunct/>
        <w:topLinePunct w:val="0"/>
        <w:autoSpaceDE/>
        <w:autoSpaceDN/>
        <w:bidi w:val="0"/>
        <w:adjustRightInd/>
        <w:spacing w:line="480" w:lineRule="exact"/>
        <w:rPr>
          <w:rFonts w:hint="eastAsia" w:ascii="宋体" w:hAnsi="宋体" w:cs="宋体"/>
          <w:b/>
          <w:bCs/>
          <w:color w:val="000000" w:themeColor="text1"/>
          <w:kern w:val="0"/>
          <w:sz w:val="24"/>
          <w:highlight w:val="none"/>
          <w:lang w:val="en-US" w:eastAsia="zh-CN" w:bidi="ar"/>
        </w:rPr>
      </w:pPr>
      <w:r>
        <w:rPr>
          <w:rFonts w:hint="eastAsia" w:ascii="宋体" w:hAnsi="宋体" w:cs="宋体"/>
          <w:b/>
          <w:bCs/>
          <w:color w:val="000000" w:themeColor="text1"/>
          <w:kern w:val="0"/>
          <w:sz w:val="24"/>
          <w:highlight w:val="none"/>
          <w:lang w:val="en-US" w:eastAsia="zh-CN" w:bidi="ar"/>
        </w:rPr>
        <w:t>五、供应商需注意的其他事项</w:t>
      </w:r>
    </w:p>
    <w:p w14:paraId="6D461AB9">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bidi="ar"/>
        </w:rPr>
      </w:pPr>
      <w:r>
        <w:rPr>
          <w:rFonts w:hint="eastAsia" w:ascii="宋体" w:hAnsi="宋体" w:eastAsia="宋体" w:cs="宋体"/>
          <w:b w:val="0"/>
          <w:bCs w:val="0"/>
          <w:color w:val="000000" w:themeColor="text1"/>
          <w:kern w:val="0"/>
          <w:sz w:val="24"/>
          <w:highlight w:val="none"/>
          <w:lang w:bidi="ar"/>
        </w:rPr>
        <w:t>1.供应商需文明安装，保证安全，如在安装过程中发生事故，一切责任由供应商承担。</w:t>
      </w:r>
    </w:p>
    <w:p w14:paraId="0EF32A80">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bidi="ar"/>
        </w:rPr>
      </w:pPr>
      <w:r>
        <w:rPr>
          <w:rFonts w:hint="eastAsia" w:ascii="宋体" w:hAnsi="宋体" w:eastAsia="宋体" w:cs="宋体"/>
          <w:b w:val="0"/>
          <w:bCs w:val="0"/>
          <w:color w:val="000000" w:themeColor="text1"/>
          <w:kern w:val="0"/>
          <w:sz w:val="24"/>
          <w:highlight w:val="none"/>
          <w:lang w:bidi="ar"/>
        </w:rPr>
        <w:t>2.设备安装期间，供应商应妥善保管各种材料和器材，如有被盗和其它损失的，采购人不承担任何责任。</w:t>
      </w:r>
    </w:p>
    <w:p w14:paraId="72D50503">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bidi="ar"/>
        </w:rPr>
      </w:pPr>
      <w:r>
        <w:rPr>
          <w:rFonts w:hint="eastAsia" w:ascii="宋体" w:hAnsi="宋体" w:eastAsia="宋体" w:cs="宋体"/>
          <w:b w:val="0"/>
          <w:bCs w:val="0"/>
          <w:color w:val="000000" w:themeColor="text1"/>
          <w:kern w:val="0"/>
          <w:sz w:val="24"/>
          <w:highlight w:val="none"/>
          <w:lang w:bidi="ar"/>
        </w:rPr>
        <w:t>3.在设备安装过程中如对采购人的设施设备造成损坏的，供应商须负责赔偿或免费修复。</w:t>
      </w:r>
    </w:p>
    <w:p w14:paraId="26E1A790">
      <w:pPr>
        <w:keepNext w:val="0"/>
        <w:keepLines w:val="0"/>
        <w:pageBreakBefore w:val="0"/>
        <w:widowControl w:val="0"/>
        <w:kinsoku/>
        <w:wordWrap/>
        <w:overflowPunct/>
        <w:topLinePunct w:val="0"/>
        <w:autoSpaceDE/>
        <w:autoSpaceDN/>
        <w:bidi w:val="0"/>
        <w:adjustRightInd/>
        <w:spacing w:line="500" w:lineRule="exact"/>
        <w:ind w:firstLine="480" w:firstLineChars="200"/>
        <w:rPr>
          <w:rFonts w:hint="eastAsia" w:ascii="宋体" w:hAnsi="宋体" w:eastAsia="宋体" w:cs="宋体"/>
          <w:b w:val="0"/>
          <w:bCs w:val="0"/>
          <w:color w:val="000000" w:themeColor="text1"/>
          <w:kern w:val="0"/>
          <w:sz w:val="24"/>
          <w:highlight w:val="none"/>
          <w:lang w:bidi="ar"/>
        </w:rPr>
      </w:pPr>
    </w:p>
    <w:p w14:paraId="601B8C8B">
      <w:pPr>
        <w:keepNext w:val="0"/>
        <w:keepLines w:val="0"/>
        <w:pageBreakBefore w:val="0"/>
        <w:widowControl w:val="0"/>
        <w:kinsoku/>
        <w:wordWrap/>
        <w:overflowPunct/>
        <w:topLinePunct w:val="0"/>
        <w:autoSpaceDE/>
        <w:autoSpaceDN/>
        <w:bidi w:val="0"/>
        <w:adjustRightInd/>
        <w:spacing w:line="46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p>
    <w:p w14:paraId="1207D293">
      <w:pPr>
        <w:rPr>
          <w:rFonts w:hint="eastAsia" w:ascii="宋体" w:hAnsi="宋体"/>
          <w:b/>
          <w:color w:val="000000" w:themeColor="text1"/>
          <w:sz w:val="32"/>
          <w:szCs w:val="21"/>
          <w:highlight w:val="none"/>
        </w:rPr>
      </w:pPr>
    </w:p>
    <w:p w14:paraId="170D34A3">
      <w:pPr>
        <w:rPr>
          <w:rFonts w:hint="eastAsia" w:ascii="宋体" w:hAnsi="宋体"/>
          <w:b/>
          <w:color w:val="000000" w:themeColor="text1"/>
          <w:sz w:val="32"/>
          <w:szCs w:val="21"/>
          <w:highlight w:val="none"/>
        </w:rPr>
      </w:pPr>
      <w:r>
        <w:rPr>
          <w:rFonts w:hint="eastAsia" w:ascii="宋体" w:hAnsi="宋体"/>
          <w:b/>
          <w:color w:val="000000" w:themeColor="text1"/>
          <w:sz w:val="32"/>
          <w:szCs w:val="21"/>
          <w:highlight w:val="none"/>
        </w:rPr>
        <w:br w:type="page"/>
      </w:r>
    </w:p>
    <w:p w14:paraId="4F033021">
      <w:pPr>
        <w:pStyle w:val="29"/>
        <w:spacing w:before="0" w:line="276" w:lineRule="auto"/>
        <w:ind w:firstLine="0" w:firstLineChars="0"/>
        <w:jc w:val="center"/>
        <w:outlineLvl w:val="0"/>
        <w:rPr>
          <w:rFonts w:ascii="宋体" w:hAnsi="宋体"/>
          <w:b/>
          <w:color w:val="000000" w:themeColor="text1"/>
          <w:sz w:val="32"/>
          <w:szCs w:val="21"/>
          <w:highlight w:val="none"/>
        </w:rPr>
      </w:pPr>
      <w:r>
        <w:rPr>
          <w:rFonts w:hint="eastAsia" w:ascii="宋体" w:hAnsi="宋体"/>
          <w:b/>
          <w:color w:val="000000" w:themeColor="text1"/>
          <w:sz w:val="32"/>
          <w:szCs w:val="21"/>
          <w:highlight w:val="none"/>
        </w:rPr>
        <w:t>第四部分 合同文本</w:t>
      </w:r>
    </w:p>
    <w:p w14:paraId="33C75746">
      <w:pPr>
        <w:pStyle w:val="13"/>
        <w:snapToGrid w:val="0"/>
        <w:spacing w:line="480" w:lineRule="exact"/>
        <w:ind w:firstLine="480"/>
        <w:rPr>
          <w:rFonts w:hAnsi="宋体" w:cs="宋体"/>
          <w:color w:val="000000" w:themeColor="text1"/>
          <w:sz w:val="24"/>
          <w:highlight w:val="none"/>
        </w:rPr>
      </w:pPr>
      <w:r>
        <w:rPr>
          <w:rFonts w:hint="eastAsia" w:hAnsi="宋体" w:cs="宋体"/>
          <w:color w:val="000000" w:themeColor="text1"/>
          <w:sz w:val="24"/>
          <w:highlight w:val="none"/>
        </w:rPr>
        <w:t>项目名称：</w:t>
      </w:r>
    </w:p>
    <w:p w14:paraId="1C36ECF1">
      <w:pPr>
        <w:spacing w:line="48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项目编号：</w:t>
      </w:r>
    </w:p>
    <w:p w14:paraId="7EF1ABE8">
      <w:pPr>
        <w:widowControl/>
        <w:snapToGrid w:val="0"/>
        <w:spacing w:line="48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甲方（采购人）： </w:t>
      </w:r>
    </w:p>
    <w:p w14:paraId="12ABA4BE">
      <w:pPr>
        <w:widowControl/>
        <w:snapToGrid w:val="0"/>
        <w:spacing w:line="48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乙方（供应商）： </w:t>
      </w:r>
    </w:p>
    <w:p w14:paraId="395FD86C">
      <w:pPr>
        <w:pStyle w:val="19"/>
        <w:shd w:val="clear" w:color="auto" w:fill="FFFFFF"/>
        <w:spacing w:before="0" w:beforeAutospacing="0" w:after="0" w:afterAutospacing="0" w:line="480" w:lineRule="exact"/>
        <w:ind w:firstLine="480"/>
        <w:rPr>
          <w:rFonts w:cs="宋体"/>
          <w:color w:val="000000" w:themeColor="text1"/>
          <w:kern w:val="2"/>
          <w:highlight w:val="none"/>
        </w:rPr>
      </w:pPr>
      <w:r>
        <w:rPr>
          <w:rFonts w:hint="eastAsia" w:cs="宋体"/>
          <w:color w:val="000000" w:themeColor="text1"/>
          <w:kern w:val="2"/>
          <w:highlight w:val="none"/>
        </w:rPr>
        <w:t>根据</w:t>
      </w:r>
      <w:r>
        <w:rPr>
          <w:rFonts w:hint="eastAsia" w:cs="宋体"/>
          <w:color w:val="000000" w:themeColor="text1"/>
          <w:szCs w:val="24"/>
          <w:highlight w:val="none"/>
          <w:u w:val="single"/>
          <w:lang w:val="en-US" w:eastAsia="zh-CN"/>
        </w:rPr>
        <w:t xml:space="preserve">                </w:t>
      </w:r>
      <w:r>
        <w:rPr>
          <w:rFonts w:hint="eastAsia" w:cs="宋体"/>
          <w:color w:val="000000" w:themeColor="text1"/>
          <w:kern w:val="2"/>
          <w:highlight w:val="none"/>
        </w:rPr>
        <w:t>采购项目的采购结果，经双方协商一致，就</w:t>
      </w:r>
      <w:r>
        <w:rPr>
          <w:rFonts w:hint="eastAsia" w:cs="宋体"/>
          <w:color w:val="000000" w:themeColor="text1"/>
          <w:szCs w:val="24"/>
          <w:highlight w:val="none"/>
          <w:u w:val="single"/>
          <w:lang w:val="en-US" w:eastAsia="zh-CN"/>
        </w:rPr>
        <w:t xml:space="preserve">        </w:t>
      </w:r>
      <w:r>
        <w:rPr>
          <w:rFonts w:hint="eastAsia" w:cs="宋体"/>
          <w:color w:val="000000" w:themeColor="text1"/>
          <w:kern w:val="2"/>
          <w:highlight w:val="none"/>
        </w:rPr>
        <w:t>事宜达成以下条款：</w:t>
      </w:r>
    </w:p>
    <w:p w14:paraId="32D263F1">
      <w:pPr>
        <w:widowControl/>
        <w:snapToGrid w:val="0"/>
        <w:spacing w:line="480" w:lineRule="exact"/>
        <w:outlineLvl w:val="1"/>
        <w:rPr>
          <w:rFonts w:ascii="华文中宋" w:hAnsi="华文中宋" w:eastAsia="华文中宋" w:cs="华文中宋"/>
          <w:b/>
          <w:bCs/>
          <w:color w:val="000000" w:themeColor="text1"/>
          <w:kern w:val="0"/>
          <w:sz w:val="24"/>
          <w:szCs w:val="24"/>
          <w:highlight w:val="none"/>
        </w:rPr>
      </w:pPr>
      <w:r>
        <w:rPr>
          <w:rFonts w:hint="eastAsia" w:ascii="华文中宋" w:hAnsi="华文中宋" w:eastAsia="华文中宋" w:cs="华文中宋"/>
          <w:b/>
          <w:bCs/>
          <w:color w:val="000000" w:themeColor="text1"/>
          <w:kern w:val="0"/>
          <w:sz w:val="24"/>
          <w:szCs w:val="24"/>
          <w:highlight w:val="none"/>
        </w:rPr>
        <w:t>一、详细清单及参数要求</w:t>
      </w:r>
    </w:p>
    <w:tbl>
      <w:tblPr>
        <w:tblStyle w:val="21"/>
        <w:tblW w:w="9298" w:type="dxa"/>
        <w:tblInd w:w="0" w:type="dxa"/>
        <w:tblLayout w:type="fixed"/>
        <w:tblCellMar>
          <w:top w:w="0" w:type="dxa"/>
          <w:left w:w="108" w:type="dxa"/>
          <w:bottom w:w="0" w:type="dxa"/>
          <w:right w:w="108" w:type="dxa"/>
        </w:tblCellMar>
      </w:tblPr>
      <w:tblGrid>
        <w:gridCol w:w="690"/>
        <w:gridCol w:w="1187"/>
        <w:gridCol w:w="5158"/>
        <w:gridCol w:w="719"/>
        <w:gridCol w:w="772"/>
        <w:gridCol w:w="772"/>
      </w:tblGrid>
      <w:tr w14:paraId="60C9D037">
        <w:tblPrEx>
          <w:tblCellMar>
            <w:top w:w="0" w:type="dxa"/>
            <w:left w:w="108" w:type="dxa"/>
            <w:bottom w:w="0" w:type="dxa"/>
            <w:right w:w="108" w:type="dxa"/>
          </w:tblCellMar>
        </w:tblPrEx>
        <w:trPr>
          <w:trHeight w:val="409"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14:paraId="24C9ADAA">
            <w:pPr>
              <w:widowControl/>
              <w:jc w:val="center"/>
              <w:rPr>
                <w:rFonts w:ascii="宋体" w:hAnsi="宋体" w:cs="宋体"/>
                <w:color w:val="000000" w:themeColor="text1"/>
                <w:sz w:val="22"/>
                <w:szCs w:val="22"/>
                <w:highlight w:val="none"/>
              </w:rPr>
            </w:pPr>
            <w:r>
              <w:rPr>
                <w:rFonts w:hint="eastAsia" w:ascii="宋体" w:hAnsi="宋体" w:cs="宋体"/>
                <w:b/>
                <w:bCs/>
                <w:color w:val="000000" w:themeColor="text1"/>
                <w:sz w:val="22"/>
                <w:szCs w:val="22"/>
                <w:highlight w:val="none"/>
              </w:rPr>
              <w:t>序号</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5C58970B">
            <w:pPr>
              <w:widowControl/>
              <w:jc w:val="center"/>
              <w:rPr>
                <w:rFonts w:ascii="宋体" w:hAnsi="宋体" w:cs="宋体"/>
                <w:color w:val="000000" w:themeColor="text1"/>
                <w:sz w:val="22"/>
                <w:szCs w:val="22"/>
                <w:highlight w:val="none"/>
              </w:rPr>
            </w:pPr>
            <w:r>
              <w:rPr>
                <w:rFonts w:hint="eastAsia" w:ascii="宋体" w:hAnsi="宋体" w:cs="宋体"/>
                <w:b/>
                <w:bCs/>
                <w:color w:val="000000" w:themeColor="text1"/>
                <w:sz w:val="22"/>
                <w:szCs w:val="22"/>
                <w:highlight w:val="none"/>
                <w:lang w:val="en-US" w:eastAsia="zh-CN"/>
              </w:rPr>
              <w:t>装备</w:t>
            </w:r>
            <w:r>
              <w:rPr>
                <w:rFonts w:hint="eastAsia" w:ascii="宋体" w:hAnsi="宋体" w:cs="宋体"/>
                <w:b/>
                <w:bCs/>
                <w:color w:val="000000" w:themeColor="text1"/>
                <w:sz w:val="22"/>
                <w:szCs w:val="22"/>
                <w:highlight w:val="none"/>
              </w:rPr>
              <w:t>名称</w:t>
            </w:r>
          </w:p>
        </w:tc>
        <w:tc>
          <w:tcPr>
            <w:tcW w:w="5158" w:type="dxa"/>
            <w:tcBorders>
              <w:top w:val="single" w:color="000000" w:sz="4" w:space="0"/>
              <w:left w:val="single" w:color="000000" w:sz="4" w:space="0"/>
              <w:bottom w:val="single" w:color="000000" w:sz="4" w:space="0"/>
              <w:right w:val="single" w:color="000000" w:sz="4" w:space="0"/>
            </w:tcBorders>
            <w:noWrap/>
            <w:vAlign w:val="center"/>
          </w:tcPr>
          <w:p w14:paraId="1B6971BD">
            <w:pPr>
              <w:widowControl/>
              <w:jc w:val="center"/>
              <w:rPr>
                <w:rFonts w:hint="eastAsia" w:ascii="宋体" w:hAnsi="宋体" w:eastAsia="宋体" w:cs="宋体"/>
                <w:color w:val="000000" w:themeColor="text1"/>
                <w:sz w:val="22"/>
                <w:szCs w:val="22"/>
                <w:highlight w:val="none"/>
                <w:lang w:eastAsia="zh-CN"/>
              </w:rPr>
            </w:pPr>
            <w:r>
              <w:rPr>
                <w:rFonts w:hint="eastAsia" w:ascii="宋体" w:hAnsi="宋体" w:cs="宋体"/>
                <w:b/>
                <w:bCs/>
                <w:color w:val="000000" w:themeColor="text1"/>
                <w:sz w:val="22"/>
                <w:szCs w:val="22"/>
                <w:highlight w:val="none"/>
                <w:lang w:val="en-US" w:eastAsia="zh-CN"/>
              </w:rPr>
              <w:t>主要参数</w:t>
            </w:r>
          </w:p>
        </w:tc>
        <w:tc>
          <w:tcPr>
            <w:tcW w:w="719" w:type="dxa"/>
            <w:tcBorders>
              <w:top w:val="single" w:color="000000" w:sz="4" w:space="0"/>
              <w:left w:val="single" w:color="000000" w:sz="4" w:space="0"/>
              <w:bottom w:val="single" w:color="000000" w:sz="4" w:space="0"/>
              <w:right w:val="single" w:color="000000" w:sz="4" w:space="0"/>
            </w:tcBorders>
            <w:noWrap/>
            <w:vAlign w:val="center"/>
          </w:tcPr>
          <w:p w14:paraId="772DCACB">
            <w:pPr>
              <w:widowControl/>
              <w:jc w:val="center"/>
              <w:rPr>
                <w:rFonts w:ascii="宋体" w:hAnsi="宋体" w:cs="宋体"/>
                <w:color w:val="000000" w:themeColor="text1"/>
                <w:sz w:val="22"/>
                <w:szCs w:val="22"/>
                <w:highlight w:val="none"/>
              </w:rPr>
            </w:pPr>
            <w:r>
              <w:rPr>
                <w:rFonts w:hint="eastAsia" w:ascii="宋体" w:hAnsi="宋体" w:cs="宋体"/>
                <w:b/>
                <w:bCs/>
                <w:color w:val="000000" w:themeColor="text1"/>
                <w:sz w:val="22"/>
                <w:szCs w:val="22"/>
                <w:highlight w:val="none"/>
              </w:rPr>
              <w:t>数量</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44A3F204">
            <w:pPr>
              <w:widowControl/>
              <w:jc w:val="center"/>
              <w:rPr>
                <w:rFonts w:ascii="宋体" w:hAnsi="宋体" w:cs="宋体"/>
                <w:color w:val="000000" w:themeColor="text1"/>
                <w:sz w:val="22"/>
                <w:szCs w:val="22"/>
                <w:highlight w:val="none"/>
              </w:rPr>
            </w:pPr>
            <w:r>
              <w:rPr>
                <w:rFonts w:hint="eastAsia" w:ascii="宋体" w:hAnsi="宋体" w:cs="宋体"/>
                <w:b/>
                <w:bCs/>
                <w:color w:val="000000" w:themeColor="text1"/>
                <w:sz w:val="22"/>
                <w:szCs w:val="22"/>
                <w:highlight w:val="none"/>
              </w:rPr>
              <w:t>单位</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2394B0BB">
            <w:pPr>
              <w:widowControl/>
              <w:jc w:val="center"/>
              <w:textAlignment w:val="center"/>
              <w:rPr>
                <w:rFonts w:ascii="宋体" w:hAnsi="宋体" w:cs="宋体"/>
                <w:color w:val="000000" w:themeColor="text1"/>
                <w:kern w:val="0"/>
                <w:sz w:val="22"/>
                <w:szCs w:val="22"/>
                <w:highlight w:val="none"/>
              </w:rPr>
            </w:pPr>
            <w:r>
              <w:rPr>
                <w:rFonts w:hint="eastAsia" w:ascii="宋体" w:hAnsi="宋体" w:cs="宋体"/>
                <w:b/>
                <w:bCs/>
                <w:color w:val="000000" w:themeColor="text1"/>
                <w:sz w:val="22"/>
                <w:szCs w:val="22"/>
                <w:highlight w:val="none"/>
              </w:rPr>
              <w:t>价格</w:t>
            </w:r>
          </w:p>
        </w:tc>
      </w:tr>
      <w:tr w14:paraId="7FED39B9">
        <w:tblPrEx>
          <w:tblCellMar>
            <w:top w:w="0" w:type="dxa"/>
            <w:left w:w="108" w:type="dxa"/>
            <w:bottom w:w="0" w:type="dxa"/>
            <w:right w:w="108" w:type="dxa"/>
          </w:tblCellMar>
        </w:tblPrEx>
        <w:trPr>
          <w:trHeight w:val="92"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14:paraId="71BC29BD">
            <w:pPr>
              <w:keepNext w:val="0"/>
              <w:keepLines w:val="0"/>
              <w:pageBreakBefore w:val="0"/>
              <w:widowControl/>
              <w:suppressLineNumbers w:val="0"/>
              <w:kinsoku/>
              <w:wordWrap/>
              <w:overflowPunct/>
              <w:topLinePunct w:val="0"/>
              <w:autoSpaceDE/>
              <w:autoSpaceDN/>
              <w:bidi w:val="0"/>
              <w:adjustRightInd/>
              <w:snapToGrid/>
              <w:spacing w:afterAutospacing="0" w:line="360" w:lineRule="exact"/>
              <w:jc w:val="center"/>
              <w:textAlignment w:val="center"/>
              <w:rPr>
                <w:rFonts w:hint="eastAsia" w:ascii="宋体" w:hAnsi="宋体" w:eastAsia="宋体" w:cs="宋体"/>
                <w:color w:val="000000" w:themeColor="text1"/>
                <w:sz w:val="22"/>
                <w:szCs w:val="22"/>
                <w:highlight w:val="none"/>
                <w:lang w:val="en-US" w:eastAsia="zh-CN"/>
              </w:rPr>
            </w:pPr>
            <w:r>
              <w:rPr>
                <w:rStyle w:val="51"/>
                <w:rFonts w:hint="eastAsia" w:ascii="宋体" w:hAnsi="宋体" w:cs="宋体"/>
                <w:i w:val="0"/>
                <w:iCs w:val="0"/>
                <w:color w:val="000000" w:themeColor="text1"/>
                <w:highlight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5A1E4C84">
            <w:pPr>
              <w:keepNext w:val="0"/>
              <w:keepLines w:val="0"/>
              <w:widowControl/>
              <w:suppressLineNumbers w:val="0"/>
              <w:jc w:val="left"/>
              <w:textAlignment w:val="center"/>
              <w:rPr>
                <w:rFonts w:hint="eastAsia" w:ascii="宋体" w:hAnsi="宋体" w:eastAsia="宋体" w:cs="宋体"/>
                <w:color w:val="000000" w:themeColor="text1"/>
                <w:sz w:val="22"/>
                <w:szCs w:val="22"/>
                <w:highlight w:val="none"/>
                <w:lang w:eastAsia="zh-CN"/>
              </w:rPr>
            </w:pPr>
            <w:r>
              <w:rPr>
                <w:rFonts w:hint="eastAsia" w:ascii="宋体" w:hAnsi="宋体" w:eastAsia="宋体" w:cs="宋体"/>
                <w:i w:val="0"/>
                <w:iCs w:val="0"/>
                <w:color w:val="000000" w:themeColor="text1"/>
                <w:kern w:val="0"/>
                <w:sz w:val="24"/>
                <w:szCs w:val="24"/>
                <w:highlight w:val="none"/>
                <w:u w:val="none"/>
                <w:lang w:val="en-US" w:eastAsia="zh-CN" w:bidi="ar"/>
              </w:rPr>
              <w:t>绳索救援套装（个人装备）</w:t>
            </w:r>
          </w:p>
        </w:tc>
        <w:tc>
          <w:tcPr>
            <w:tcW w:w="5158" w:type="dxa"/>
            <w:tcBorders>
              <w:top w:val="single" w:color="000000" w:sz="4" w:space="0"/>
              <w:left w:val="single" w:color="000000" w:sz="4" w:space="0"/>
              <w:bottom w:val="single" w:color="000000" w:sz="4" w:space="0"/>
              <w:right w:val="single" w:color="000000" w:sz="4" w:space="0"/>
            </w:tcBorders>
            <w:noWrap/>
            <w:vAlign w:val="center"/>
          </w:tcPr>
          <w:p w14:paraId="55215A04">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绳索救援专业个人装备套装满足XF494-2023标准，需提供套装第三方检测报告。</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1.手套（2双）：</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轻薄的小牛皮作业手套，在易磨损处进行了加固；（2）手掌和手指采用结实的皮革，且食指和小指上的皮革加固；手背和手腕部采用四向弹性拉伸材料，带来最佳的贴合；（3）手腕通过魔术贴轻松拉开或固定，织带上有连接环用于锁扣悬挂；（4）防紫外线；（5）手掌：100%皮革， 手背：98%聚酯，2%弹性纤维；（6）提供尺码：XS/S/M/L/XL。</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2.头盔（2顶）：</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材质：聚丙烯、ABS、聚苯⼄烯(EPS)</w:t>
            </w:r>
          </w:p>
          <w:p w14:paraId="2B290307">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头围：51-62cm</w:t>
            </w:r>
          </w:p>
          <w:p w14:paraId="49EB4687">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重量≤450g</w:t>
            </w:r>
          </w:p>
          <w:p w14:paraId="15965AF1">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下颚带卡扣双色设计，采用警醒红色，提醒用户佩戴好下颚带，安全使用。</w:t>
            </w:r>
          </w:p>
          <w:p w14:paraId="2E0016EF">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符合EN 12492-2012标准；</w:t>
            </w:r>
          </w:p>
          <w:p w14:paraId="6C318B74">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用于高空作业及山岳救援时，对救援人员头部的防护。</w:t>
            </w:r>
          </w:p>
          <w:p w14:paraId="5ECF2DB8">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头盔四向有反光标；顶部有多个透气孔；有多个外置卡扣，装置有头灯，防晒帽檐。</w:t>
            </w:r>
          </w:p>
          <w:p w14:paraId="5EA829A7">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两侧预留有护目镜专用孔位及防噪音耳机孔。</w:t>
            </w:r>
          </w:p>
          <w:p w14:paraId="2FEDAD83">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头盔后部有轮式调节系统，可调节头围⼤⼩，两侧调节扣可调节头盔的前后左右，确保佩戴的稳定性和舒适性。</w:t>
            </w:r>
          </w:p>
          <w:p w14:paraId="1664FA7D">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多色选择，可满足团队不同岗位⼈员的区分需求。</w:t>
            </w:r>
          </w:p>
          <w:p w14:paraId="5E372C98">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3.头灯（2个）：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性能：用于救援中照明使用，可悬挂于头盔上，分远光和泛光，需配2块原装电池；（2）重量97克（不含电池），单块电池续航时间（泛光）=300h，远光工作时间≥20h，高亮22小时，中亮42小时，低亮97小时；（3）远光照射距离≥80m；高亮101米，极亮163米，防尘防水等级ip68（水下2米）。</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4.可分身全身吊带（2套）：</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8挂点全可调带衬垫全身安全带，肩带可完全拆除，将安全带转换为坐式安全带；</w:t>
            </w:r>
          </w:p>
          <w:p w14:paraId="3F29BA88">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腰带和肩带有反光条；同时肩带具有快插扣方便穿脱。</w:t>
            </w:r>
          </w:p>
          <w:p w14:paraId="08275F29">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卡扣强度≥18kN，腹部钢制挂点≥24KN，胸式上升器可自由安装；</w:t>
            </w:r>
          </w:p>
          <w:p w14:paraId="66CC5F85">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不少于4个承重5kg的装备环；额外的环承重≥5kg，腰部≥8个，腿部≥4个</w:t>
            </w:r>
          </w:p>
          <w:p w14:paraId="2AB30F5D">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肩部的简单连接点用于受限空间救援；</w:t>
            </w:r>
          </w:p>
          <w:p w14:paraId="7E47E03F">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配有识别标签；</w:t>
            </w:r>
          </w:p>
          <w:p w14:paraId="433A6327">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适用身高：150-205 cm；</w:t>
            </w:r>
          </w:p>
          <w:p w14:paraId="1E29B72F">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（8）</w:t>
            </w:r>
            <w:r>
              <w:rPr>
                <w:rFonts w:hint="eastAsia" w:ascii="宋体" w:hAnsi="宋体" w:eastAsia="宋体" w:cs="宋体"/>
                <w:i w:val="0"/>
                <w:iCs w:val="0"/>
                <w:color w:val="000000" w:themeColor="text1"/>
                <w:kern w:val="0"/>
                <w:sz w:val="22"/>
                <w:szCs w:val="22"/>
                <w:highlight w:val="none"/>
                <w:u w:val="none"/>
                <w:lang w:val="en-US" w:eastAsia="zh-CN" w:bidi="ar"/>
              </w:rPr>
              <w:t>重量≤2600g；</w:t>
            </w:r>
          </w:p>
          <w:p w14:paraId="6E1DF2E1">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（9）</w:t>
            </w:r>
            <w:r>
              <w:rPr>
                <w:rFonts w:hint="eastAsia" w:ascii="宋体" w:hAnsi="宋体" w:eastAsia="宋体" w:cs="宋体"/>
                <w:i w:val="0"/>
                <w:iCs w:val="0"/>
                <w:color w:val="000000" w:themeColor="text1"/>
                <w:kern w:val="0"/>
                <w:sz w:val="22"/>
                <w:szCs w:val="22"/>
                <w:highlight w:val="none"/>
                <w:u w:val="none"/>
                <w:lang w:val="en-US" w:eastAsia="zh-CN" w:bidi="ar"/>
              </w:rPr>
              <w:t>符合国家 XF494《消防用防坠落装备》标准，提供符合国家认可的第三方检测机构出具的检测报告复印件或扫描件。</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5.防恐慌自动下降器（3个）：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可以控制下降；带有防装反标记，不锈钢耐磨板抗磨损，有防恐慌功能；（2）重量≤600g，兼容绳索直径≥10~11.5mm，最大下降≥250kg物体；（3）材质：铝合金，钢，尼龙；（4）★工作负荷≥6KN；（5）满足XF494-2023标准，提供第三方出具的检测报告，符合EN 341，EN 12841，EN 15151-1, ANSI Z359.4, NFPA 1983。★</w:t>
            </w: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产品重量≤600g，工作负荷≥240kg，绳索适用范围10.5mm-11.5mm。</w:t>
            </w:r>
          </w:p>
          <w:p w14:paraId="74818651">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试样经GB/T 10125-1997规定的48h中性盐雾试验后，外观应符合GB/T6461-2002外观等级评定轻微级的要求，并应保持原有性能。</w:t>
            </w:r>
          </w:p>
          <w:p w14:paraId="706FBE39">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（8）</w:t>
            </w:r>
            <w:r>
              <w:rPr>
                <w:rFonts w:hint="eastAsia" w:ascii="宋体" w:hAnsi="宋体" w:eastAsia="宋体" w:cs="宋体"/>
                <w:i w:val="0"/>
                <w:iCs w:val="0"/>
                <w:color w:val="000000" w:themeColor="text1"/>
                <w:kern w:val="0"/>
                <w:sz w:val="22"/>
                <w:szCs w:val="22"/>
                <w:highlight w:val="none"/>
                <w:u w:val="none"/>
                <w:lang w:val="en-US" w:eastAsia="zh-CN" w:bidi="ar"/>
              </w:rPr>
              <w:t>下降器应能承受不小于13.5kN的试验负荷且无故障，下降器应能承受不小于22kN的试验负荷且无故障</w:t>
            </w:r>
          </w:p>
          <w:p w14:paraId="0AC9554D">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6.小型自动下降器（2个）：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适用有经验使用者，带有防装反标记，不锈钢耐磨板抗磨损；（2）重量≤400g，兼容绳索直径≥10~11.5mm，最大下降≥200kg物体；（3）材质：铝合金，钢，尼龙；（4）★工作负荷≥6KN；（5）满足XF494-2023标准，提供第三方出具的检测报告。符合EN 12841， EN 341。</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7.手持上升器（2个）：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（1）人体工学设计，使用轻巧便捷；（2）适用绳索直径≥8-13mm；（3）重量≥165g；（4）★工作负荷≥6KN；</w:t>
            </w:r>
          </w:p>
          <w:p w14:paraId="4CF4C157">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符合EN 567, EN 12841</w:t>
            </w: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破断强度≥9500N</w:t>
            </w: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适合绳径:8-13mm</w:t>
            </w:r>
          </w:p>
          <w:p w14:paraId="24D13354">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（8）</w:t>
            </w:r>
            <w:r>
              <w:rPr>
                <w:rFonts w:hint="eastAsia" w:ascii="宋体" w:hAnsi="宋体" w:eastAsia="宋体" w:cs="宋体"/>
                <w:i w:val="0"/>
                <w:iCs w:val="0"/>
                <w:color w:val="000000" w:themeColor="text1"/>
                <w:kern w:val="0"/>
                <w:sz w:val="22"/>
                <w:szCs w:val="22"/>
                <w:highlight w:val="none"/>
                <w:u w:val="none"/>
                <w:lang w:val="en-US" w:eastAsia="zh-CN" w:bidi="ar"/>
              </w:rPr>
              <w:t>符合国家 XF494《消防用防坠落装备》标准，提供符合国家认可的第三方检测机构出具的检测报告复印件或扫描件。</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8.胸式上升器（2个）：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（1）专门用于绳索上升和救援；（2）材料：铝、不锈钢和尼龙；（3）可兼容8-13mm绳索，最大负重140公斤，★工作负荷≥6KN；（4）重量≥140g；（5）满足XF494-2023标准，提供第三方出具的检测报告，符合EN 567, EN 12841。</w:t>
            </w: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不锈钢凸轮，提供了高耐腐蚀性，适用于任何环境（冰冻或脏污的绳索）</w:t>
            </w:r>
          </w:p>
          <w:p w14:paraId="7C71DF48">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材料 :外壳 采用不弱于轻合金的材料，凸轮采用不弱于不锈钢的材料，</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9.O型锁扣（40个）：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（1）轻型O型锁扣椭圆外形，方便抓握；（2）二段自动扣设计；（3）铝合金制，开口尺寸≥20mm， 纵向拉力≥25KN， 横向拉力≥8KN，开口拉力≥7KN；（4） 重量为≤75克；（5）认证：CE EN 362，满足XF494-2023标准，提供第三方出具的检测报告。★6、经48h中性盐雾试验后，外观符合 GB/T6461-2002外观等级评定轻微级的要求。提供符合国家认可的第三方检测机构出具的检测报告复印件或扫描件。</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10.可调节脚踏带（2根）：</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（1)可调脚踏圈配合手式上升器用于上升；(2)可调节长度；</w:t>
            </w: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做单人使用，工作范围：70-115cm；</w:t>
            </w:r>
          </w:p>
          <w:p w14:paraId="4E48F01D">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材质：铝合金、尼龙，重量≤144g；破断强度≥21kN；产品符合XF494-2023《消防用防坠落装备》标准，需提供特种安全防护产品质量监督检验中心或国家消防装备质量监督检验中心检测报告。</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11</w:t>
            </w:r>
            <w:r>
              <w:rPr>
                <w:rFonts w:hint="eastAsia" w:ascii="宋体" w:hAnsi="宋体" w:cs="宋体"/>
                <w:i w:val="0"/>
                <w:iCs w:val="0"/>
                <w:color w:val="000000" w:themeColor="text1"/>
                <w:kern w:val="0"/>
                <w:sz w:val="22"/>
                <w:szCs w:val="22"/>
                <w:highlight w:val="none"/>
                <w:u w:val="none"/>
                <w:lang w:val="en-US" w:eastAsia="zh-CN" w:bidi="ar"/>
              </w:rPr>
              <w:t>.</w:t>
            </w:r>
            <w:r>
              <w:rPr>
                <w:rFonts w:hint="eastAsia" w:ascii="宋体" w:hAnsi="宋体" w:eastAsia="宋体" w:cs="宋体"/>
                <w:i w:val="0"/>
                <w:iCs w:val="0"/>
                <w:color w:val="000000" w:themeColor="text1"/>
                <w:kern w:val="0"/>
                <w:sz w:val="22"/>
                <w:szCs w:val="22"/>
                <w:highlight w:val="none"/>
                <w:u w:val="none"/>
                <w:lang w:val="en-US" w:eastAsia="zh-CN" w:bidi="ar"/>
              </w:rPr>
              <w:t>四阶阶梯，可与上升器或锚点配合使用。</w:t>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脚底带耐磨性；（2）材质：尼龙；重量≤145g。</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12.脚式上升器（2个）：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（1）可以配合其他上升器一起使用；（2） 不锈钢凸轮结构，具有更好的抗腐蚀能力，迪尼玛织带更轻，更抗磨；（3）适用绳索直径≤8-13mm，重量≤85g；（4）★工作负荷≥6KN，材料：铝，不锈钢，迪尼玛，满足XF494-2023标准，提供第三方出具的检测报告。</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13.可调节牛尾（2根）：</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（1）可调节长短的挽索，配有一把O型自动主锁，以及全新的抓绳器。在负重情况下挽索长度也能进行长短调节；</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（2）绳索直径≥10.5mm， 长度可调范围≥20cm-120cm，断裂强度15kN，重量≥300g；（3）认证：EN358。</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14.装备包（2个）：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（1）尺寸：32*23*65cm；（2）容量≥45L；（3）重量≤1600g；（4）设有包盖，包身备有多个挂点，可吊运可提拉。</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15.万向分立立板式挂环滑轮（2个）：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★同时具有锁扣，滑轮和万向节的功能的三孔分立板，锁扣是三动设计，横向拉力不低于 30KN。满足XF494-2023标准，提供第三方出具的检测报告。</w:t>
            </w:r>
          </w:p>
          <w:p w14:paraId="3C03983D">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16.割绳刀（2把）：</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（1）备有锁扣连接孔的高品质不锈钢绳刀，带锯齿的刀刃。刀上有锁孔方便用主锁将绳刀与安全带或背包相连，金属盒包装；（2）重量≥47g；（3）展开长度≥18cm，刃长≥7.5cm。</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17.移动止坠器（3个）：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带有上锁功能的可跟随式游走止坠器，具有止坠锁定或差速功能，无需辅助操作即可在绳索上下自由移动，发生坠落时可以触发止坠锁止。</w:t>
            </w:r>
          </w:p>
          <w:p w14:paraId="7285B0DE">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适合10 - 13 mm 绳索。</w:t>
            </w:r>
          </w:p>
          <w:p w14:paraId="59C5EFE8">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符合XF 494-2004《消防用防坠落装备》，并提供符合国家认可的第三方检测机构出具的检测报告复印件或扫描件。</w:t>
            </w:r>
          </w:p>
          <w:p w14:paraId="53011C35">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承载用刚性部件的材料应为经锻造、压铸、压延或冲制的金属。</w:t>
            </w:r>
          </w:p>
          <w:p w14:paraId="6C4E2803">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工作负荷≥5kN，无永久性损伤、明显变形或绳体的损伤。</w:t>
            </w:r>
          </w:p>
          <w:p w14:paraId="5B9BBC76">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经GB/T 10125-1997规定的48h中性盐雾试验后 ， 外观应符合GB/T6461-2002外观等级评定轻微级的要求，并应保持原有性能</w:t>
            </w:r>
          </w:p>
          <w:p w14:paraId="5BE629B4">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18.缓冲包（3个）：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配合用于移动止坠器，可双人救援使用</w:t>
            </w:r>
          </w:p>
          <w:p w14:paraId="2118EE90">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配有撕裂式扁带，装于拉链式包内，可视化管理，便于安全检查，遇冲坠时势能吸收器通过织带撕裂吸收对使用者的冲击力。</w:t>
            </w:r>
          </w:p>
          <w:p w14:paraId="640E3C58">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两端配有织带保护器，用于将连接器固定到位并保护织带免受磨损。</w:t>
            </w:r>
          </w:p>
          <w:p w14:paraId="65948B7B">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长度≥40cm，重量≤205g</w:t>
            </w:r>
          </w:p>
          <w:p w14:paraId="7E6B7DDA">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最大负荷≥250kg</w:t>
            </w:r>
          </w:p>
          <w:p w14:paraId="3176A699">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符合GB/T24538-2009《坠落防护缓冲器》认证标准，并提供符合国家认可的第三方检测机构出具的检测报告复印件或扫描件。</w:t>
            </w:r>
          </w:p>
          <w:p w14:paraId="3A28328C">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制动力不应大于6kN，永久变形不应大于1.8m</w:t>
            </w:r>
          </w:p>
          <w:p w14:paraId="77720BC9">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（8）</w:t>
            </w:r>
            <w:r>
              <w:rPr>
                <w:rFonts w:hint="eastAsia" w:ascii="宋体" w:hAnsi="宋体" w:eastAsia="宋体" w:cs="宋体"/>
                <w:i w:val="0"/>
                <w:iCs w:val="0"/>
                <w:color w:val="000000" w:themeColor="text1"/>
                <w:kern w:val="0"/>
                <w:sz w:val="22"/>
                <w:szCs w:val="22"/>
                <w:highlight w:val="none"/>
                <w:u w:val="none"/>
                <w:lang w:val="en-US" w:eastAsia="zh-CN" w:bidi="ar"/>
              </w:rPr>
              <w:t>高温环境下，制动力≤6kN，永久变形≤1.8m，并提供符合国家认可的第三方检测机构出具的检测报告复印件或扫描件。</w:t>
            </w:r>
          </w:p>
          <w:p w14:paraId="36BD9C9D">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（9）</w:t>
            </w:r>
            <w:r>
              <w:rPr>
                <w:rFonts w:hint="eastAsia" w:ascii="宋体" w:hAnsi="宋体" w:eastAsia="宋体" w:cs="宋体"/>
                <w:i w:val="0"/>
                <w:iCs w:val="0"/>
                <w:color w:val="000000" w:themeColor="text1"/>
                <w:kern w:val="0"/>
                <w:sz w:val="22"/>
                <w:szCs w:val="22"/>
                <w:highlight w:val="none"/>
                <w:u w:val="none"/>
                <w:lang w:val="en-US" w:eastAsia="zh-CN" w:bidi="ar"/>
              </w:rPr>
              <w:t>低温环境下，制动力≤6kN，永久变形≤1.8m，并提供符合国家认可的第三方检测机构出具的检测报告复印件或扫描件。</w:t>
            </w:r>
          </w:p>
          <w:p w14:paraId="3FE7EEA7">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19.可开启万向节（2个）：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（1）轻量化的小巧的滚珠轴承万向节，可以根据需要经常打开或关闭；（2）12mm开合宽度，开口向外，便于安装绳索扁带和金属部件；（3）采用滚珠轴承，即使在负重下也能旋转；（4）重量≥105g，开口宽度≥12 mm，破断强度≥20kN，尺寸≥95 x 50 x 28 mm， 内径：25 mm。</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20.锁扣滑轮（2个）: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内置锁扣的滑轮。在受力下也能保证效率；（2）采用滑块锁门，效率≥86%；（3）重量≥68g；（4）锁门类型：滑块门；（5）尺寸≥100*65mm；（6）锁门宽度≥15mm，主轴强度≥22kN，开门主轴强度≥7kN，横轴强度≥8kN，认证EN12275, EN 362。</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21.装备包（2个）: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材质：聚氯乙烯（pvc）夹网布；（2）容量≥55L，重量≥2900g；（3）内置5个拉链分装袋，6个通铺隔断式网袋，9个*2主锁挂点，3条绳索固定扣带，浅色内衬找装备更清晰，顶包有头盔固定链接，实现模块化分装；（4）执行标准： QB/T1333-2018  GB/2912.1-2009 。</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22.腿包（2个）: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（1）材质：锦纶（可提拉）规格：26*26*5cm 容量：20米8mm静力绳用于绳索操作使用， 可装滑轮系统，短绳等；（2）主袋可分左右两侧单独使用3、包背防滑绑腿带有效解决行走滑动问题，可高低、宽窄调节。执行标准： QB/T 1333-2018。</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23.10米绳（10根）：</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绳皮由不少于40股组成、特耐磨绳皮，直径：10.5 mm</w:t>
            </w:r>
          </w:p>
          <w:p w14:paraId="266C16BC">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承受拉力≥30 kN；打结拉力≥19.5 kN；缝合点拉力≥27KN.</w:t>
            </w:r>
          </w:p>
          <w:p w14:paraId="31246CF0">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静态延展率≤3.4%，绳皮滑动率：0%；缩水率1.1%</w:t>
            </w:r>
          </w:p>
          <w:p w14:paraId="0A580C81">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极限冲坠次数＞15，首次冲击力≥5.6kN</w:t>
            </w:r>
          </w:p>
          <w:p w14:paraId="3144A2DF">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长度≥10米；每米重量≤75g</w:t>
            </w:r>
          </w:p>
          <w:p w14:paraId="3C26AE8A">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绳皮占比≥36%</w:t>
            </w:r>
          </w:p>
          <w:p w14:paraId="56FE86CD">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经204℃土5℃的耐高温性能试验后，安全绳不应出现融熔、焦化现象。</w:t>
            </w:r>
          </w:p>
          <w:p w14:paraId="5B6EE9F9">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（8）</w:t>
            </w:r>
            <w:r>
              <w:rPr>
                <w:rFonts w:hint="eastAsia" w:ascii="宋体" w:hAnsi="宋体" w:eastAsia="宋体" w:cs="宋体"/>
                <w:i w:val="0"/>
                <w:iCs w:val="0"/>
                <w:color w:val="000000" w:themeColor="text1"/>
                <w:kern w:val="0"/>
                <w:sz w:val="22"/>
                <w:szCs w:val="22"/>
                <w:highlight w:val="none"/>
                <w:u w:val="none"/>
                <w:lang w:val="en-US" w:eastAsia="zh-CN" w:bidi="ar"/>
              </w:rPr>
              <w:t>产品符合XF494-2004《消防用防坠落装备》标准，并提供符合国家认可的第三方检测机构出具的检测报告复印件或扫描件。</w:t>
            </w:r>
          </w:p>
          <w:p w14:paraId="6AC4C4EF">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（9）</w:t>
            </w:r>
            <w:r>
              <w:rPr>
                <w:rFonts w:hint="eastAsia" w:ascii="宋体" w:hAnsi="宋体" w:eastAsia="宋体" w:cs="宋体"/>
                <w:i w:val="0"/>
                <w:iCs w:val="0"/>
                <w:color w:val="000000" w:themeColor="text1"/>
                <w:kern w:val="0"/>
                <w:sz w:val="22"/>
                <w:szCs w:val="22"/>
                <w:highlight w:val="none"/>
                <w:u w:val="none"/>
                <w:lang w:val="en-US" w:eastAsia="zh-CN" w:bidi="ar"/>
              </w:rPr>
              <w:t>符合CCCF-CPRZ-27:2019《消防类产品认证实施规则消防装备产品消防员个人防护装备产品》标准，并提供符合国家认可的第三方检测机构出具的检测报告。</w:t>
            </w:r>
          </w:p>
          <w:p w14:paraId="76EEC9EB">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24.30米绳（6根）：</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绳皮由不少于40股组成、特耐磨绳皮，直径：10.5 mm</w:t>
            </w:r>
          </w:p>
          <w:p w14:paraId="43309631">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承受拉力≥30 kN；打结拉力≥19.5 kN；缝合点拉力≥27KN.</w:t>
            </w:r>
          </w:p>
          <w:p w14:paraId="6BBB7EDC">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静态延展率≤3.4%，绳皮滑动率：0%；缩水率1.1%</w:t>
            </w:r>
          </w:p>
          <w:p w14:paraId="2BA25290">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极限冲坠次数＞15，首次冲击力≥5.6kN</w:t>
            </w:r>
          </w:p>
          <w:p w14:paraId="08D79A2C">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长度≥10米；每米重量≤75g</w:t>
            </w:r>
          </w:p>
          <w:p w14:paraId="49974D8B">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绳皮占比≥36%</w:t>
            </w:r>
          </w:p>
          <w:p w14:paraId="4086A3C5">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经204℃土5℃的耐高温性能试验后，安全绳不应出现融熔、焦化现象。</w:t>
            </w:r>
          </w:p>
          <w:p w14:paraId="142257BC">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（8）</w:t>
            </w:r>
            <w:r>
              <w:rPr>
                <w:rFonts w:hint="eastAsia" w:ascii="宋体" w:hAnsi="宋体" w:eastAsia="宋体" w:cs="宋体"/>
                <w:i w:val="0"/>
                <w:iCs w:val="0"/>
                <w:color w:val="000000" w:themeColor="text1"/>
                <w:kern w:val="0"/>
                <w:sz w:val="22"/>
                <w:szCs w:val="22"/>
                <w:highlight w:val="none"/>
                <w:u w:val="none"/>
                <w:lang w:val="en-US" w:eastAsia="zh-CN" w:bidi="ar"/>
              </w:rPr>
              <w:t>产品符合XF494-2004《消防用防坠落装备》标准，并提供符合国家认可的第三方检测机构出具的检测报告复印件或扫描件。</w:t>
            </w:r>
          </w:p>
          <w:p w14:paraId="2015EBF2">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（9）</w:t>
            </w:r>
            <w:r>
              <w:rPr>
                <w:rFonts w:hint="eastAsia" w:ascii="宋体" w:hAnsi="宋体" w:eastAsia="宋体" w:cs="宋体"/>
                <w:i w:val="0"/>
                <w:iCs w:val="0"/>
                <w:color w:val="000000" w:themeColor="text1"/>
                <w:kern w:val="0"/>
                <w:sz w:val="22"/>
                <w:szCs w:val="22"/>
                <w:highlight w:val="none"/>
                <w:u w:val="none"/>
                <w:lang w:val="en-US" w:eastAsia="zh-CN" w:bidi="ar"/>
              </w:rPr>
              <w:t>符合CCCF-CPRZ-27:2019《消防类产品认证实施规则消防装备产品消防员个人防护装备产品》标准，并提供符合国家认可的第三方检测机构出具的检测报告。</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25.50米绳（6根）：</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绳皮由不少于40股组成、特耐磨绳皮，直径：10.5 mm</w:t>
            </w:r>
          </w:p>
          <w:p w14:paraId="64691CD2">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承受拉力≥30 kN；打结拉力≥19.5 kN；缝合点拉力≥27KN.</w:t>
            </w:r>
          </w:p>
          <w:p w14:paraId="60E6D83E">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静态延展率≤3.4%，绳皮滑动率：0%；缩水率1.1%</w:t>
            </w:r>
          </w:p>
          <w:p w14:paraId="6B1E3802">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极限冲坠次数＞15，首次冲击力≥5.6kN</w:t>
            </w:r>
          </w:p>
          <w:p w14:paraId="37C194CD">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长度≥10米；每米重量≤75g</w:t>
            </w:r>
          </w:p>
          <w:p w14:paraId="7E3DD432">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绳皮占比≥36%</w:t>
            </w:r>
          </w:p>
          <w:p w14:paraId="03F2E4FF">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经204℃土5℃的耐高温性能试验后，安全绳不应出现融熔、焦化现象。</w:t>
            </w:r>
          </w:p>
          <w:p w14:paraId="07538136">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（8）</w:t>
            </w:r>
            <w:r>
              <w:rPr>
                <w:rFonts w:hint="eastAsia" w:ascii="宋体" w:hAnsi="宋体" w:eastAsia="宋体" w:cs="宋体"/>
                <w:i w:val="0"/>
                <w:iCs w:val="0"/>
                <w:color w:val="000000" w:themeColor="text1"/>
                <w:kern w:val="0"/>
                <w:sz w:val="22"/>
                <w:szCs w:val="22"/>
                <w:highlight w:val="none"/>
                <w:u w:val="none"/>
                <w:lang w:val="en-US" w:eastAsia="zh-CN" w:bidi="ar"/>
              </w:rPr>
              <w:t>产品符合XF494-2004《消防用防坠落装备》标准，并提供符合国家认可的第三方检测机构出具的检测报告复印件或扫描件。</w:t>
            </w:r>
          </w:p>
          <w:p w14:paraId="745A608D">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符合CCCF-CPRZ-27:2019《消防类产品认证实施规则消防装备产品消防员个人防护装备产品》标准，并提供符合国家认可的第三方检测机构出具的检测报告。</w:t>
            </w:r>
          </w:p>
          <w:p w14:paraId="72FB77C4">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26.100米绳（4根）：</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绳皮由不少于40股组成、特耐磨绳皮，直径：10.5 mm</w:t>
            </w:r>
          </w:p>
          <w:p w14:paraId="12EE413F">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承受拉力≥30 kN；打结拉力≥19.5 kN；缝合点拉力≥27KN.</w:t>
            </w:r>
          </w:p>
          <w:p w14:paraId="433564DD">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静态延展率≤3.4%，绳皮滑动率：0%；缩水率1.1%</w:t>
            </w:r>
          </w:p>
          <w:p w14:paraId="6AC61EBE">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极限冲坠次数＞15，首次冲击力≥5.6kN</w:t>
            </w:r>
          </w:p>
          <w:p w14:paraId="66CE17DC">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长度≥10米；每米重量≤75g</w:t>
            </w:r>
          </w:p>
          <w:p w14:paraId="719265B4">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绳皮占比≥36%</w:t>
            </w:r>
          </w:p>
          <w:p w14:paraId="626EFA55">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经204℃土5℃的耐高温性能试验后，安全绳不应出现融熔、焦化现象。</w:t>
            </w:r>
          </w:p>
          <w:p w14:paraId="1E9139D4">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（8）</w:t>
            </w:r>
            <w:r>
              <w:rPr>
                <w:rFonts w:hint="eastAsia" w:ascii="宋体" w:hAnsi="宋体" w:eastAsia="宋体" w:cs="宋体"/>
                <w:i w:val="0"/>
                <w:iCs w:val="0"/>
                <w:color w:val="000000" w:themeColor="text1"/>
                <w:kern w:val="0"/>
                <w:sz w:val="22"/>
                <w:szCs w:val="22"/>
                <w:highlight w:val="none"/>
                <w:u w:val="none"/>
                <w:lang w:val="en-US" w:eastAsia="zh-CN" w:bidi="ar"/>
              </w:rPr>
              <w:t>产品符合XF494-2004《消防用防坠落装备》标准，并提供符合国家认可的第三方检测机构出具的检测报告复印件或扫描件。</w:t>
            </w:r>
          </w:p>
          <w:p w14:paraId="2F115079">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（9）</w:t>
            </w:r>
            <w:r>
              <w:rPr>
                <w:rFonts w:hint="eastAsia" w:ascii="宋体" w:hAnsi="宋体" w:eastAsia="宋体" w:cs="宋体"/>
                <w:i w:val="0"/>
                <w:iCs w:val="0"/>
                <w:color w:val="000000" w:themeColor="text1"/>
                <w:kern w:val="0"/>
                <w:sz w:val="22"/>
                <w:szCs w:val="22"/>
                <w:highlight w:val="none"/>
                <w:u w:val="none"/>
                <w:lang w:val="en-US" w:eastAsia="zh-CN" w:bidi="ar"/>
              </w:rPr>
              <w:t>符合CCCF-CPRZ-27:2019《消防类产品认证实施规则消防装备产品消防员个人防护装备产品》标准，并提供符合国家认可的第三方检测机构出具的检测报告。</w:t>
            </w:r>
          </w:p>
          <w:p w14:paraId="573E1A1E">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27.绳包（2个）：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背包背部采用高透气性网格材料,配上加厚垫肩双肩带，极大的增强了背负舒适度,大容量主袋（可放置安全带及绳子），前面附有放置绳子或装备的护绳垫（铺在地面），可直接折叠收回，里层有可对工具或装备进行分割设置的功能；具有防潮湿、耐磨损。容量≥50L,重量≤2100g,材质：牛津布。</w:t>
            </w:r>
          </w:p>
          <w:p w14:paraId="11E8DC85">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产品需提供特种安全防护产品质量监督检验中心或国家消防装备质量监督检验中心检测报告。</w:t>
            </w:r>
          </w:p>
          <w:p w14:paraId="3284FBF5">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28.多孔分力板（1个）：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材质：铝合⾦</w:t>
            </w:r>
          </w:p>
          <w:p w14:paraId="3819E71E">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尺⼨≤240×130×10mm</w:t>
            </w:r>
          </w:p>
          <w:p w14:paraId="4E76C452">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最⼩破断强度≥50kN</w:t>
            </w:r>
          </w:p>
          <w:p w14:paraId="2CEAC727">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重量≤380g</w:t>
            </w:r>
          </w:p>
          <w:p w14:paraId="30F97863">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⽤于架设锚点时增加锚点挂载空间，实现锚点多向受⼒的功能。</w:t>
            </w:r>
          </w:p>
          <w:p w14:paraId="66F1A81C">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连接孔位数≥15个，可同时使⽤≥12把主锁连接。</w:t>
            </w:r>
          </w:p>
          <w:p w14:paraId="71A67B05">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孔径≥20mm。</w:t>
            </w:r>
          </w:p>
          <w:p w14:paraId="6B88DD62">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（8）</w:t>
            </w:r>
            <w:r>
              <w:rPr>
                <w:rFonts w:hint="eastAsia" w:ascii="宋体" w:hAnsi="宋体" w:eastAsia="宋体" w:cs="宋体"/>
                <w:i w:val="0"/>
                <w:iCs w:val="0"/>
                <w:color w:val="000000" w:themeColor="text1"/>
                <w:kern w:val="0"/>
                <w:sz w:val="22"/>
                <w:szCs w:val="22"/>
                <w:highlight w:val="none"/>
                <w:u w:val="none"/>
                <w:lang w:val="en-US" w:eastAsia="zh-CN" w:bidi="ar"/>
              </w:rPr>
              <w:t>符合XF 494-2004《消防用防坠落装备》，并提供符合国家认可的第三方检测机构出具的检测报告复印件或扫描件。</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29.镜像滑轮（1个）: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专门为技术救援活动设计的下降器，内置制动器和单向滑轮，采用大直径的密封滚珠轴承，保证提拉时的高效率；可以在不用手柄时自动锁住绳索，一旦锁住，不需触动手柄即可收绳；（2）兼容10.5mm~11.5mm的绳索；（3）最多可操作≥250kg重物；（4）重量≥1100g；（6）满足XF494-2023标准，提供第三方出具的检测报告。</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30.RD2（1个）：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（1）负载：最小载荷≥30kg，最大载荷≥150kg；（2）最大下降速度≥2 m/s；（3）使用符合EN1891 A类静态绳索；（4）绳索直径≥Ф11mm，4、最大下降距离≥100m；（5）重量≤790g。</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31.机械抓结（2个）：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 xml:space="preserve">小型多用途抓绳器，含棘齿抓绳器，可用于上升或建立提拉系统 </w:t>
            </w:r>
          </w:p>
          <w:p w14:paraId="4B269602">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产品符合XF494-2004《消防用防坠落装备》标准，并提供符合国家认可的第三方检测机构出具的检测报告复印件或扫描件。</w:t>
            </w:r>
          </w:p>
          <w:p w14:paraId="220793D3">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承载用刚性部件的材料应为经锻造、压铸、压延或冲制的金属，提供符合国家认可的第三方检测机构出具的检测报告复印件或扫描件。</w:t>
            </w:r>
          </w:p>
          <w:p w14:paraId="5E05FD6D">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工作负荷≥5kN，无永久性损伤、明显变形或绳体的损伤。提供符合国家认可的第三方检测机构出具的检测报告复印件或扫描件。</w:t>
            </w:r>
          </w:p>
          <w:p w14:paraId="25CDC70C">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经GB/T 10125-1997规定的48h中性盐雾试验后 ， 外观应符合GB/T6461-2002外观等级评定轻微级的要求，并应保持原有性能。</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32.万向单滑轮（1个）：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default" w:ascii="宋体" w:hAnsi="宋体" w:eastAsia="宋体" w:cs="宋体"/>
                <w:i w:val="0"/>
                <w:iCs w:val="0"/>
                <w:color w:val="000000" w:themeColor="text1"/>
                <w:kern w:val="0"/>
                <w:sz w:val="22"/>
                <w:szCs w:val="22"/>
                <w:highlight w:val="none"/>
                <w:u w:val="none"/>
                <w:lang w:val="en-US" w:eastAsia="zh-CN" w:bidi="ar"/>
              </w:rPr>
              <w:t>材质：铝合⾦、不锈钢</w:t>
            </w:r>
          </w:p>
          <w:p w14:paraId="658B5900">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default" w:ascii="宋体" w:hAnsi="宋体" w:eastAsia="宋体" w:cs="宋体"/>
                <w:i w:val="0"/>
                <w:iCs w:val="0"/>
                <w:color w:val="000000" w:themeColor="text1"/>
                <w:kern w:val="0"/>
                <w:sz w:val="22"/>
                <w:szCs w:val="22"/>
                <w:highlight w:val="none"/>
                <w:u w:val="none"/>
                <w:lang w:val="en-US" w:eastAsia="zh-CN" w:bidi="ar"/>
              </w:rPr>
              <w:t>滑轮中心直径≥38</w:t>
            </w:r>
            <w:r>
              <w:rPr>
                <w:rFonts w:hint="eastAsia" w:ascii="宋体" w:hAnsi="宋体" w:eastAsia="宋体" w:cs="宋体"/>
                <w:i w:val="0"/>
                <w:iCs w:val="0"/>
                <w:color w:val="000000" w:themeColor="text1"/>
                <w:kern w:val="0"/>
                <w:sz w:val="22"/>
                <w:szCs w:val="22"/>
                <w:highlight w:val="none"/>
                <w:u w:val="none"/>
                <w:lang w:val="en-US" w:eastAsia="zh-CN" w:bidi="ar"/>
              </w:rPr>
              <w:t>mm</w:t>
            </w:r>
          </w:p>
          <w:p w14:paraId="4D16C598">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default" w:ascii="宋体" w:hAnsi="宋体" w:eastAsia="宋体" w:cs="宋体"/>
                <w:i w:val="0"/>
                <w:iCs w:val="0"/>
                <w:color w:val="000000" w:themeColor="text1"/>
                <w:kern w:val="0"/>
                <w:sz w:val="22"/>
                <w:szCs w:val="22"/>
                <w:highlight w:val="none"/>
                <w:u w:val="none"/>
                <w:lang w:val="en-US" w:eastAsia="zh-CN" w:bidi="ar"/>
              </w:rPr>
              <w:t>极限负荷≥36</w:t>
            </w:r>
            <w:r>
              <w:rPr>
                <w:rFonts w:hint="eastAsia" w:ascii="宋体" w:hAnsi="宋体" w:eastAsia="宋体" w:cs="宋体"/>
                <w:i w:val="0"/>
                <w:iCs w:val="0"/>
                <w:color w:val="000000" w:themeColor="text1"/>
                <w:kern w:val="0"/>
                <w:sz w:val="22"/>
                <w:szCs w:val="22"/>
                <w:highlight w:val="none"/>
                <w:u w:val="none"/>
                <w:lang w:val="en-US" w:eastAsia="zh-CN" w:bidi="ar"/>
              </w:rPr>
              <w:t>kN</w:t>
            </w:r>
          </w:p>
          <w:p w14:paraId="7B98B139">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default" w:ascii="宋体" w:hAnsi="宋体" w:eastAsia="宋体" w:cs="宋体"/>
                <w:i w:val="0"/>
                <w:iCs w:val="0"/>
                <w:color w:val="000000" w:themeColor="text1"/>
                <w:kern w:val="0"/>
                <w:sz w:val="22"/>
                <w:szCs w:val="22"/>
                <w:highlight w:val="none"/>
                <w:u w:val="none"/>
                <w:lang w:val="en-US" w:eastAsia="zh-CN" w:bidi="ar"/>
              </w:rPr>
              <w:t>工作负荷≥22</w:t>
            </w:r>
            <w:r>
              <w:rPr>
                <w:rFonts w:hint="eastAsia" w:ascii="宋体" w:hAnsi="宋体" w:eastAsia="宋体" w:cs="宋体"/>
                <w:i w:val="0"/>
                <w:iCs w:val="0"/>
                <w:color w:val="000000" w:themeColor="text1"/>
                <w:kern w:val="0"/>
                <w:sz w:val="22"/>
                <w:szCs w:val="22"/>
                <w:highlight w:val="none"/>
                <w:u w:val="none"/>
                <w:lang w:val="en-US" w:eastAsia="zh-CN" w:bidi="ar"/>
              </w:rPr>
              <w:t>kN</w:t>
            </w:r>
          </w:p>
          <w:p w14:paraId="35517C81">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default" w:ascii="宋体" w:hAnsi="宋体" w:eastAsia="宋体" w:cs="宋体"/>
                <w:i w:val="0"/>
                <w:iCs w:val="0"/>
                <w:color w:val="000000" w:themeColor="text1"/>
                <w:kern w:val="0"/>
                <w:sz w:val="22"/>
                <w:szCs w:val="22"/>
                <w:highlight w:val="none"/>
                <w:u w:val="none"/>
                <w:lang w:val="en-US" w:eastAsia="zh-CN" w:bidi="ar"/>
              </w:rPr>
              <w:t>滑轮效率≥95%</w:t>
            </w:r>
          </w:p>
          <w:p w14:paraId="30544690">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default" w:ascii="宋体" w:hAnsi="宋体" w:eastAsia="宋体" w:cs="宋体"/>
                <w:i w:val="0"/>
                <w:iCs w:val="0"/>
                <w:color w:val="000000" w:themeColor="text1"/>
                <w:kern w:val="0"/>
                <w:sz w:val="22"/>
                <w:szCs w:val="22"/>
                <w:highlight w:val="none"/>
                <w:u w:val="none"/>
                <w:lang w:val="en-US" w:eastAsia="zh-CN" w:bidi="ar"/>
              </w:rPr>
              <w:t>适⽤绳径4-13</w:t>
            </w:r>
            <w:r>
              <w:rPr>
                <w:rFonts w:hint="eastAsia" w:ascii="宋体" w:hAnsi="宋体" w:eastAsia="宋体" w:cs="宋体"/>
                <w:i w:val="0"/>
                <w:iCs w:val="0"/>
                <w:color w:val="000000" w:themeColor="text1"/>
                <w:kern w:val="0"/>
                <w:sz w:val="22"/>
                <w:szCs w:val="22"/>
                <w:highlight w:val="none"/>
                <w:u w:val="none"/>
                <w:lang w:val="en-US" w:eastAsia="zh-CN" w:bidi="ar"/>
              </w:rPr>
              <w:t>mm</w:t>
            </w:r>
          </w:p>
          <w:p w14:paraId="6E725FCF">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default" w:ascii="宋体" w:hAnsi="宋体" w:eastAsia="宋体" w:cs="宋体"/>
                <w:i w:val="0"/>
                <w:iCs w:val="0"/>
                <w:color w:val="000000" w:themeColor="text1"/>
                <w:kern w:val="0"/>
                <w:sz w:val="22"/>
                <w:szCs w:val="22"/>
                <w:highlight w:val="none"/>
                <w:u w:val="none"/>
                <w:lang w:val="en-US" w:eastAsia="zh-CN" w:bidi="ar"/>
              </w:rPr>
              <w:t>重量≤270g</w:t>
            </w:r>
          </w:p>
          <w:p w14:paraId="45EDF7D9">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default" w:ascii="宋体" w:hAnsi="宋体" w:eastAsia="宋体" w:cs="宋体"/>
                <w:i w:val="0"/>
                <w:iCs w:val="0"/>
                <w:color w:val="000000" w:themeColor="text1"/>
                <w:kern w:val="0"/>
                <w:sz w:val="22"/>
                <w:szCs w:val="22"/>
                <w:highlight w:val="none"/>
                <w:u w:val="none"/>
                <w:lang w:val="en-US" w:eastAsia="zh-CN" w:bidi="ar"/>
              </w:rPr>
              <w:t>执⾏标准：XF494-2004</w:t>
            </w:r>
          </w:p>
          <w:p w14:paraId="72FD2ABF">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default" w:ascii="宋体" w:hAnsi="宋体" w:eastAsia="宋体" w:cs="宋体"/>
                <w:i w:val="0"/>
                <w:iCs w:val="0"/>
                <w:color w:val="000000" w:themeColor="text1"/>
                <w:kern w:val="0"/>
                <w:sz w:val="22"/>
                <w:szCs w:val="22"/>
                <w:highlight w:val="none"/>
                <w:u w:val="none"/>
                <w:lang w:val="en-US" w:eastAsia="zh-CN" w:bidi="ar"/>
              </w:rPr>
              <w:t>绳索救援系统⽤⾼效单滑轮。单⾯活动侧板，具有侧板防误开设计，防⽌误操作。滑轮顶端⾃带万向结吊环，可随⼒的⽅向变化⾃⾏调整滑轮受⼒⻆ 度，吊环尺⼨50.5×52</w:t>
            </w:r>
            <w:r>
              <w:rPr>
                <w:rFonts w:hint="eastAsia" w:ascii="宋体" w:hAnsi="宋体" w:eastAsia="宋体" w:cs="宋体"/>
                <w:i w:val="0"/>
                <w:iCs w:val="0"/>
                <w:color w:val="000000" w:themeColor="text1"/>
                <w:kern w:val="0"/>
                <w:sz w:val="22"/>
                <w:szCs w:val="22"/>
                <w:highlight w:val="none"/>
                <w:u w:val="none"/>
                <w:lang w:val="en-US" w:eastAsia="zh-CN" w:bidi="ar"/>
              </w:rPr>
              <w:t>mm</w:t>
            </w:r>
            <w:r>
              <w:rPr>
                <w:rFonts w:hint="default" w:ascii="宋体" w:hAnsi="宋体" w:eastAsia="宋体" w:cs="宋体"/>
                <w:i w:val="0"/>
                <w:iCs w:val="0"/>
                <w:color w:val="000000" w:themeColor="text1"/>
                <w:kern w:val="0"/>
                <w:sz w:val="22"/>
                <w:szCs w:val="22"/>
                <w:highlight w:val="none"/>
                <w:u w:val="none"/>
                <w:lang w:val="en-US" w:eastAsia="zh-CN" w:bidi="ar"/>
              </w:rPr>
              <w:t>。内置吊环防脱销。平底可辅助使⽤普鲁式抓结。</w:t>
            </w:r>
          </w:p>
          <w:p w14:paraId="72313182">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33.万向双滑轮（1个）：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default" w:ascii="宋体" w:hAnsi="宋体" w:eastAsia="宋体" w:cs="宋体"/>
                <w:i w:val="0"/>
                <w:iCs w:val="0"/>
                <w:color w:val="000000" w:themeColor="text1"/>
                <w:kern w:val="0"/>
                <w:sz w:val="22"/>
                <w:szCs w:val="22"/>
                <w:highlight w:val="none"/>
                <w:u w:val="none"/>
                <w:lang w:val="en-US" w:eastAsia="zh-CN" w:bidi="ar"/>
              </w:rPr>
              <w:t>材质：铝合⾦、不锈钢</w:t>
            </w:r>
          </w:p>
          <w:p w14:paraId="39D4A7DC">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default" w:ascii="宋体" w:hAnsi="宋体" w:eastAsia="宋体" w:cs="宋体"/>
                <w:i w:val="0"/>
                <w:iCs w:val="0"/>
                <w:color w:val="000000" w:themeColor="text1"/>
                <w:kern w:val="0"/>
                <w:sz w:val="22"/>
                <w:szCs w:val="22"/>
                <w:highlight w:val="none"/>
                <w:u w:val="none"/>
                <w:lang w:val="en-US" w:eastAsia="zh-CN" w:bidi="ar"/>
              </w:rPr>
              <w:t>滑轮中心直径≥38</w:t>
            </w:r>
            <w:r>
              <w:rPr>
                <w:rFonts w:hint="eastAsia" w:ascii="宋体" w:hAnsi="宋体" w:eastAsia="宋体" w:cs="宋体"/>
                <w:i w:val="0"/>
                <w:iCs w:val="0"/>
                <w:color w:val="000000" w:themeColor="text1"/>
                <w:kern w:val="0"/>
                <w:sz w:val="22"/>
                <w:szCs w:val="22"/>
                <w:highlight w:val="none"/>
                <w:u w:val="none"/>
                <w:lang w:val="en-US" w:eastAsia="zh-CN" w:bidi="ar"/>
              </w:rPr>
              <w:t>mm</w:t>
            </w:r>
          </w:p>
          <w:p w14:paraId="2BAF8B42">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default" w:ascii="宋体" w:hAnsi="宋体" w:eastAsia="宋体" w:cs="宋体"/>
                <w:i w:val="0"/>
                <w:iCs w:val="0"/>
                <w:color w:val="000000" w:themeColor="text1"/>
                <w:kern w:val="0"/>
                <w:sz w:val="22"/>
                <w:szCs w:val="22"/>
                <w:highlight w:val="none"/>
                <w:u w:val="none"/>
                <w:lang w:val="en-US" w:eastAsia="zh-CN" w:bidi="ar"/>
              </w:rPr>
              <w:t>极限负荷≥40</w:t>
            </w:r>
            <w:r>
              <w:rPr>
                <w:rFonts w:hint="eastAsia" w:ascii="宋体" w:hAnsi="宋体" w:eastAsia="宋体" w:cs="宋体"/>
                <w:i w:val="0"/>
                <w:iCs w:val="0"/>
                <w:color w:val="000000" w:themeColor="text1"/>
                <w:kern w:val="0"/>
                <w:sz w:val="22"/>
                <w:szCs w:val="22"/>
                <w:highlight w:val="none"/>
                <w:u w:val="none"/>
                <w:lang w:val="en-US" w:eastAsia="zh-CN" w:bidi="ar"/>
              </w:rPr>
              <w:t>kN</w:t>
            </w:r>
          </w:p>
          <w:p w14:paraId="37331C47">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default" w:ascii="宋体" w:hAnsi="宋体" w:eastAsia="宋体" w:cs="宋体"/>
                <w:i w:val="0"/>
                <w:iCs w:val="0"/>
                <w:color w:val="000000" w:themeColor="text1"/>
                <w:kern w:val="0"/>
                <w:sz w:val="22"/>
                <w:szCs w:val="22"/>
                <w:highlight w:val="none"/>
                <w:u w:val="none"/>
                <w:lang w:val="en-US" w:eastAsia="zh-CN" w:bidi="ar"/>
              </w:rPr>
              <w:t>工作负荷≥22</w:t>
            </w:r>
            <w:r>
              <w:rPr>
                <w:rFonts w:hint="eastAsia" w:ascii="宋体" w:hAnsi="宋体" w:eastAsia="宋体" w:cs="宋体"/>
                <w:i w:val="0"/>
                <w:iCs w:val="0"/>
                <w:color w:val="000000" w:themeColor="text1"/>
                <w:kern w:val="0"/>
                <w:sz w:val="22"/>
                <w:szCs w:val="22"/>
                <w:highlight w:val="none"/>
                <w:u w:val="none"/>
                <w:lang w:val="en-US" w:eastAsia="zh-CN" w:bidi="ar"/>
              </w:rPr>
              <w:t>kN</w:t>
            </w:r>
          </w:p>
          <w:p w14:paraId="06302A83">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default" w:ascii="宋体" w:hAnsi="宋体" w:eastAsia="宋体" w:cs="宋体"/>
                <w:i w:val="0"/>
                <w:iCs w:val="0"/>
                <w:color w:val="000000" w:themeColor="text1"/>
                <w:kern w:val="0"/>
                <w:sz w:val="22"/>
                <w:szCs w:val="22"/>
                <w:highlight w:val="none"/>
                <w:u w:val="none"/>
                <w:lang w:val="en-US" w:eastAsia="zh-CN" w:bidi="ar"/>
              </w:rPr>
              <w:t>滑轮效率≥95%</w:t>
            </w:r>
          </w:p>
          <w:p w14:paraId="5EE63FFB">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default" w:ascii="宋体" w:hAnsi="宋体" w:eastAsia="宋体" w:cs="宋体"/>
                <w:i w:val="0"/>
                <w:iCs w:val="0"/>
                <w:color w:val="000000" w:themeColor="text1"/>
                <w:kern w:val="0"/>
                <w:sz w:val="22"/>
                <w:szCs w:val="22"/>
                <w:highlight w:val="none"/>
                <w:u w:val="none"/>
                <w:lang w:val="en-US" w:eastAsia="zh-CN" w:bidi="ar"/>
              </w:rPr>
              <w:t>适⽤绳径：4-13</w:t>
            </w:r>
            <w:r>
              <w:rPr>
                <w:rFonts w:hint="eastAsia" w:ascii="宋体" w:hAnsi="宋体" w:eastAsia="宋体" w:cs="宋体"/>
                <w:i w:val="0"/>
                <w:iCs w:val="0"/>
                <w:color w:val="000000" w:themeColor="text1"/>
                <w:kern w:val="0"/>
                <w:sz w:val="22"/>
                <w:szCs w:val="22"/>
                <w:highlight w:val="none"/>
                <w:u w:val="none"/>
                <w:lang w:val="en-US" w:eastAsia="zh-CN" w:bidi="ar"/>
              </w:rPr>
              <w:t>mm</w:t>
            </w:r>
          </w:p>
          <w:p w14:paraId="133FDB7C">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default" w:ascii="宋体" w:hAnsi="宋体" w:eastAsia="宋体" w:cs="宋体"/>
                <w:i w:val="0"/>
                <w:iCs w:val="0"/>
                <w:color w:val="000000" w:themeColor="text1"/>
                <w:kern w:val="0"/>
                <w:sz w:val="22"/>
                <w:szCs w:val="22"/>
                <w:highlight w:val="none"/>
                <w:u w:val="none"/>
                <w:lang w:val="en-US" w:eastAsia="zh-CN" w:bidi="ar"/>
              </w:rPr>
              <w:t>重量≤446g</w:t>
            </w:r>
          </w:p>
          <w:p w14:paraId="3B6AF1E0">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default" w:ascii="宋体" w:hAnsi="宋体" w:eastAsia="宋体" w:cs="宋体"/>
                <w:i w:val="0"/>
                <w:iCs w:val="0"/>
                <w:color w:val="000000" w:themeColor="text1"/>
                <w:kern w:val="0"/>
                <w:sz w:val="22"/>
                <w:szCs w:val="22"/>
                <w:highlight w:val="none"/>
                <w:u w:val="none"/>
                <w:lang w:val="en-US" w:eastAsia="zh-CN" w:bidi="ar"/>
              </w:rPr>
              <w:t>执⾏标准：XF494-2004</w:t>
            </w:r>
          </w:p>
          <w:p w14:paraId="405B0523">
            <w:pPr>
              <w:keepNext w:val="0"/>
              <w:keepLines w:val="0"/>
              <w:widowControl/>
              <w:suppressLineNumbers w:val="0"/>
              <w:jc w:val="left"/>
              <w:textAlignment w:val="top"/>
              <w:rPr>
                <w:rFonts w:hint="default" w:ascii="宋体" w:hAnsi="宋体" w:eastAsia="宋体" w:cs="宋体"/>
                <w:i w:val="0"/>
                <w:iCs w:val="0"/>
                <w:color w:val="000000" w:themeColor="text1"/>
                <w:kern w:val="0"/>
                <w:sz w:val="22"/>
                <w:szCs w:val="22"/>
                <w:highlight w:val="none"/>
                <w:u w:val="none"/>
                <w:lang w:val="en-US" w:eastAsia="zh-CN" w:bidi="ar"/>
              </w:rPr>
            </w:pPr>
            <w:r>
              <w:rPr>
                <w:rFonts w:hint="default" w:ascii="宋体" w:hAnsi="宋体" w:eastAsia="宋体" w:cs="宋体"/>
                <w:i w:val="0"/>
                <w:iCs w:val="0"/>
                <w:color w:val="000000" w:themeColor="text1"/>
                <w:kern w:val="0"/>
                <w:sz w:val="22"/>
                <w:szCs w:val="22"/>
                <w:highlight w:val="none"/>
                <w:u w:val="none"/>
                <w:lang w:val="en-US" w:eastAsia="zh-CN" w:bidi="ar"/>
              </w:rPr>
              <w:t>绳索救援系统⽤⾼效单滑轮。双⾯活动侧板，具有侧板防误开设计，防⽌误操作。滑轮顶端⾃带万向结吊环，可随⼒的⽅向变化⾃⾏调整滑轮受⼒⻆度，吊环尺⼨：50.5×52</w:t>
            </w:r>
            <w:r>
              <w:rPr>
                <w:rFonts w:hint="eastAsia" w:ascii="宋体" w:hAnsi="宋体" w:eastAsia="宋体" w:cs="宋体"/>
                <w:i w:val="0"/>
                <w:iCs w:val="0"/>
                <w:color w:val="000000" w:themeColor="text1"/>
                <w:kern w:val="0"/>
                <w:sz w:val="22"/>
                <w:szCs w:val="22"/>
                <w:highlight w:val="none"/>
                <w:u w:val="none"/>
                <w:lang w:val="en-US" w:eastAsia="zh-CN" w:bidi="ar"/>
              </w:rPr>
              <w:t>mm</w:t>
            </w:r>
            <w:r>
              <w:rPr>
                <w:rFonts w:hint="default" w:ascii="宋体" w:hAnsi="宋体" w:eastAsia="宋体" w:cs="宋体"/>
                <w:i w:val="0"/>
                <w:iCs w:val="0"/>
                <w:color w:val="000000" w:themeColor="text1"/>
                <w:kern w:val="0"/>
                <w:sz w:val="22"/>
                <w:szCs w:val="22"/>
                <w:highlight w:val="none"/>
                <w:u w:val="none"/>
                <w:lang w:val="en-US" w:eastAsia="zh-CN" w:bidi="ar"/>
              </w:rPr>
              <w:t>。内置吊环防脱销</w:t>
            </w:r>
            <w:r>
              <w:rPr>
                <w:rFonts w:hint="eastAsia" w:ascii="宋体" w:hAnsi="宋体" w:eastAsia="宋体" w:cs="宋体"/>
                <w:i w:val="0"/>
                <w:iCs w:val="0"/>
                <w:color w:val="000000" w:themeColor="text1"/>
                <w:kern w:val="0"/>
                <w:sz w:val="22"/>
                <w:szCs w:val="22"/>
                <w:highlight w:val="none"/>
                <w:u w:val="none"/>
                <w:lang w:val="en-US" w:eastAsia="zh-CN" w:bidi="ar"/>
              </w:rPr>
              <w:t>；</w:t>
            </w:r>
            <w:r>
              <w:rPr>
                <w:rFonts w:hint="default" w:ascii="宋体" w:hAnsi="宋体" w:eastAsia="宋体" w:cs="宋体"/>
                <w:i w:val="0"/>
                <w:iCs w:val="0"/>
                <w:color w:val="000000" w:themeColor="text1"/>
                <w:kern w:val="0"/>
                <w:sz w:val="22"/>
                <w:szCs w:val="22"/>
                <w:highlight w:val="none"/>
                <w:u w:val="none"/>
                <w:lang w:val="en-US" w:eastAsia="zh-CN" w:bidi="ar"/>
              </w:rPr>
              <w:t>底部有中⼼挂点</w:t>
            </w:r>
            <w:r>
              <w:rPr>
                <w:rFonts w:hint="eastAsia" w:ascii="宋体" w:hAnsi="宋体" w:eastAsia="宋体" w:cs="宋体"/>
                <w:i w:val="0"/>
                <w:iCs w:val="0"/>
                <w:color w:val="000000" w:themeColor="text1"/>
                <w:kern w:val="0"/>
                <w:sz w:val="22"/>
                <w:szCs w:val="22"/>
                <w:highlight w:val="none"/>
                <w:u w:val="none"/>
                <w:lang w:val="en-US" w:eastAsia="zh-CN" w:bidi="ar"/>
              </w:rPr>
              <w:t>；</w:t>
            </w:r>
            <w:r>
              <w:rPr>
                <w:rFonts w:hint="default" w:ascii="宋体" w:hAnsi="宋体" w:eastAsia="宋体" w:cs="宋体"/>
                <w:i w:val="0"/>
                <w:iCs w:val="0"/>
                <w:color w:val="000000" w:themeColor="text1"/>
                <w:kern w:val="0"/>
                <w:sz w:val="22"/>
                <w:szCs w:val="22"/>
                <w:highlight w:val="none"/>
                <w:u w:val="none"/>
                <w:lang w:val="en-US" w:eastAsia="zh-CN" w:bidi="ar"/>
              </w:rPr>
              <w:t>平底可辅助使⽤普鲁式抓结。</w:t>
            </w:r>
          </w:p>
          <w:p w14:paraId="33C2BCA5">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34.绳索保护板（1个）：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（1）由高性能PVC材质制成，保护绳索并降低摩擦；（2）采用小板设计；（3）护绳板槽数：4个；（4）尺寸：≦45x25cm.5、重量≦800g。</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35.转角防磨器（1个）：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（1）304不锈钢支架，7075合金滚轮；（2）装有滚动轴承；（3）侧板开孔可穿主锁或梅隆锁；（4）有效承重≥350KG；（5）底座有固定孔，适合固定安装；（6）尺寸≤20×10×6.8cm X2；（7）重量≤1520g。</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36.防磨垫（1个）：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材质：100%棉，尺寸≤143*83，重量≤1083g，用于救援时，铺垫于地面，有效隔离器材与地面的直接磨擦；（2）6个不锈钢孔径气眼，可直接挂主锁固定，实现快速多个拼接；（3）保护面积大，适合不规则的环境使用，GB/T 411-2017，GB 18401-2010。</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37.大容量装备包(1个)：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材质:聚氯乙烯（pvc）夹网布+织物，容量：120L，重量≥2290g；（2）YKK拉链，大开口主仓，包盖内设有拉链网袋，有独立仓，两侧提手，可两人抬行；设有拆装背包带，可变背包；有ID卡片窗；（3）执行标准： QB/T 1333-2018。</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38.45L绳包(1个)：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（1）PVC夹网材质；（2）卷式包口，防水；（3）低吸水背负加厚腰带；（4）设有包盖，加强防水性能；（5）包身备有多个挂点，可吊运可提拉；（6）容量：45L；（7）重量≥1600g。</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39.挂片（10个）：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多方向受力挂片，使用AISI316钢制造。有直径10mm。强度：15-25KN。</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40.车修（10个）：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10×90mm的316不锈钢膨胀栓，用于所有类型和硬度的岩石。钻孔直径8毫米，钻孔深度95毫米。</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41.梅陇锁（4个）：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（1）镀锌钢制O型梅龙锁Ø ≥7 mm，开口≥16mm；（2）强度≥ 25KN。</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42.多孔万向节（2个）：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（1）可开启万向转环≥ 6 个孔，可避免物品转动时绳索缠绕；滚珠轴承保证了其良好的性能和高度可靠性,专为单人负载而设计；（2）断裂负荷≥40kN。</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43.钢锁（8个）：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default" w:ascii="宋体" w:hAnsi="宋体" w:eastAsia="宋体" w:cs="宋体"/>
                <w:i w:val="0"/>
                <w:iCs w:val="0"/>
                <w:color w:val="000000" w:themeColor="text1"/>
                <w:kern w:val="0"/>
                <w:sz w:val="22"/>
                <w:szCs w:val="22"/>
                <w:highlight w:val="none"/>
                <w:u w:val="none"/>
                <w:lang w:val="en-US" w:eastAsia="zh-CN" w:bidi="ar"/>
              </w:rPr>
              <w:t>钢制螺纹O型锁扣。螺纹丝扣锁确保钩环有效锁紧。很牢固，K-lock防钩挂系统确保锁扣有效锁紧且不挂绳，具有独立的唯一识别编码。主轴强度≥28k</w:t>
            </w:r>
            <w:r>
              <w:rPr>
                <w:rFonts w:hint="eastAsia" w:ascii="宋体" w:hAnsi="宋体" w:eastAsia="宋体" w:cs="宋体"/>
                <w:i w:val="0"/>
                <w:iCs w:val="0"/>
                <w:color w:val="000000" w:themeColor="text1"/>
                <w:kern w:val="0"/>
                <w:sz w:val="22"/>
                <w:szCs w:val="22"/>
                <w:highlight w:val="none"/>
                <w:u w:val="none"/>
                <w:lang w:val="en-US" w:eastAsia="zh-CN" w:bidi="ar"/>
              </w:rPr>
              <w:t>N</w:t>
            </w:r>
            <w:r>
              <w:rPr>
                <w:rFonts w:hint="default" w:ascii="宋体" w:hAnsi="宋体" w:eastAsia="宋体" w:cs="宋体"/>
                <w:i w:val="0"/>
                <w:iCs w:val="0"/>
                <w:color w:val="000000" w:themeColor="text1"/>
                <w:kern w:val="0"/>
                <w:sz w:val="22"/>
                <w:szCs w:val="22"/>
                <w:highlight w:val="none"/>
                <w:u w:val="none"/>
                <w:lang w:val="en-US" w:eastAsia="zh-CN" w:bidi="ar"/>
              </w:rPr>
              <w:t>，副轴强度≥18k</w:t>
            </w:r>
            <w:r>
              <w:rPr>
                <w:rFonts w:hint="eastAsia" w:ascii="宋体" w:hAnsi="宋体" w:eastAsia="宋体" w:cs="宋体"/>
                <w:i w:val="0"/>
                <w:iCs w:val="0"/>
                <w:color w:val="000000" w:themeColor="text1"/>
                <w:kern w:val="0"/>
                <w:sz w:val="22"/>
                <w:szCs w:val="22"/>
                <w:highlight w:val="none"/>
                <w:u w:val="none"/>
                <w:lang w:val="en-US" w:eastAsia="zh-CN" w:bidi="ar"/>
              </w:rPr>
              <w:t>N</w:t>
            </w:r>
            <w:r>
              <w:rPr>
                <w:rFonts w:hint="default" w:ascii="宋体" w:hAnsi="宋体" w:eastAsia="宋体" w:cs="宋体"/>
                <w:i w:val="0"/>
                <w:iCs w:val="0"/>
                <w:color w:val="000000" w:themeColor="text1"/>
                <w:kern w:val="0"/>
                <w:sz w:val="22"/>
                <w:szCs w:val="22"/>
                <w:highlight w:val="none"/>
                <w:u w:val="none"/>
                <w:lang w:val="en-US" w:eastAsia="zh-CN" w:bidi="ar"/>
              </w:rPr>
              <w:t>，开口强度≥10k</w:t>
            </w:r>
            <w:r>
              <w:rPr>
                <w:rFonts w:hint="eastAsia" w:ascii="宋体" w:hAnsi="宋体" w:eastAsia="宋体" w:cs="宋体"/>
                <w:i w:val="0"/>
                <w:iCs w:val="0"/>
                <w:color w:val="000000" w:themeColor="text1"/>
                <w:kern w:val="0"/>
                <w:sz w:val="22"/>
                <w:szCs w:val="22"/>
                <w:highlight w:val="none"/>
                <w:u w:val="none"/>
                <w:lang w:val="en-US" w:eastAsia="zh-CN" w:bidi="ar"/>
              </w:rPr>
              <w:t>N</w:t>
            </w:r>
            <w:r>
              <w:rPr>
                <w:rFonts w:hint="default" w:ascii="宋体" w:hAnsi="宋体" w:eastAsia="宋体" w:cs="宋体"/>
                <w:i w:val="0"/>
                <w:iCs w:val="0"/>
                <w:color w:val="000000" w:themeColor="text1"/>
                <w:kern w:val="0"/>
                <w:sz w:val="22"/>
                <w:szCs w:val="22"/>
                <w:highlight w:val="none"/>
                <w:u w:val="none"/>
                <w:lang w:val="en-US" w:eastAsia="zh-CN" w:bidi="ar"/>
              </w:rPr>
              <w:t>，开口尺寸≤18mm；CE认证EN 12275, EN 362标准；重量≤172g</w:t>
            </w:r>
            <w:r>
              <w:rPr>
                <w:rFonts w:hint="eastAsia" w:ascii="宋体" w:hAnsi="宋体" w:eastAsia="宋体" w:cs="宋体"/>
                <w:i w:val="0"/>
                <w:iCs w:val="0"/>
                <w:color w:val="000000" w:themeColor="text1"/>
                <w:kern w:val="0"/>
                <w:sz w:val="22"/>
                <w:szCs w:val="22"/>
                <w:highlight w:val="none"/>
                <w:u w:val="none"/>
                <w:lang w:val="en-US" w:eastAsia="zh-CN" w:bidi="ar"/>
              </w:rPr>
              <w:t>。</w:t>
            </w:r>
          </w:p>
          <w:p w14:paraId="4DE4ECFF">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44.扁带（40根）：</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采用高强度耐用耐磨聚酯制造的扁带环，内置磨损指示标识，扁带宽16mm；（2）长度：60cm，重量≥45g，破断强度≥23kN，认证：EN566；长度：120cm，重量≥86g，破断强度≥23kN，长度：240cm，重量≥169g，破断强度≥23kN，认证：EN566。</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45.定位挽索（1个）：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（1）采用12mm夹芯绳的可调节挽索，配有护绳套和O型三段铝锁；（2）长度≥4米，绳索直径≥12mm，重量≥900g，断裂强度≥15kN；（3）认证：符合EN 358 标准。</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46.大拉力扁带（3根）：</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（1）20mm聚氨酯材质大拉力锚点扁带，管状外皮和内芯结构承重；（2）拉力≥100KN，长度:120cm；（3） EN795/B-EN354。</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47.钢缆锚点（2个）：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（1）钢丝绳锚点，超高强度；（2）采用直径≤6.5毫米镀锌钢，耐切割和磨损；配有两个不同尺寸的终端；（3）长度≤150cm，断裂负荷≥23kN，重量≥520g。</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48.Y型双挂钩（1个）：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（1）配有双大钩挽索；（2）末端带势能吸收包；（3）两个挂钩≥23KN；（4）伸缩长度：80CM；（5）重量≤2100g。</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49.绳索保护器（1个）：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（1）材质：侧板/轴筒铝合金滚珠轴心，重量≤935g，有4条滚动轴承；（2）链条式设计（可级联），4角设置有系辅绳固定用挂点；（3）有效承重≥350KG，执行标准：GB/T228.1-2010。</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50.垂直提升吊带辅助工具（1个）：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（1）适用于在狭窄的缝隙空间内提升或下放人员，保证人员身体垂直，避免磕碰造成的伤害；（2）重量≥907g，开口宽≥38厘米。</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51.全方位分配器（1个）：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材质：铝合⾦</w:t>
            </w:r>
          </w:p>
          <w:p w14:paraId="47555011">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 xml:space="preserve"> 尺⼨：≥125×125×12mm</w:t>
            </w:r>
          </w:p>
          <w:p w14:paraId="3CA4F595">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 xml:space="preserve"> 最⼩破断强度：36kN</w:t>
            </w:r>
          </w:p>
          <w:p w14:paraId="1EFD2132">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 xml:space="preserve">重量：≤235g </w:t>
            </w:r>
          </w:p>
          <w:p w14:paraId="7E47A229">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执⾏标准： XF494-2004</w:t>
            </w:r>
          </w:p>
          <w:p w14:paraId="0B94EAF9">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⽤于架设锚点时增加锚点挂载空间，实现锚点多向受⼒的功能。</w:t>
            </w:r>
          </w:p>
          <w:p w14:paraId="09C55527">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孔位数≥7个，单个孔位能装入2把主锁。</w:t>
            </w:r>
          </w:p>
          <w:p w14:paraId="72545D20">
            <w:pPr>
              <w:keepNext w:val="0"/>
              <w:keepLines w:val="0"/>
              <w:widowControl/>
              <w:suppressLineNumbers w:val="0"/>
              <w:jc w:val="left"/>
              <w:textAlignment w:val="top"/>
              <w:rPr>
                <w:rFonts w:ascii="宋体" w:hAnsi="宋体" w:cs="宋体"/>
                <w:color w:val="000000" w:themeColor="text1"/>
                <w:sz w:val="22"/>
                <w:szCs w:val="22"/>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52.自锁铝制D型环（40个）：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（1）开口≥24mm,纵向拉力≤27KN，横向拉力≥8KN，开口拉力≥7KN；（2）CE EN 362, 满足XF494-2023标准，提供第三方出具的检测报告。</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53.墙角护轮（1个）：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（1）用于墙角与粗糙环境保护绳索，可正反使用；（2）多个连接孔可用不同方式连接；（3）允许多模块连接以适应不同作业情况的现场；（4）重量≤500g。</w:t>
            </w:r>
          </w:p>
        </w:tc>
        <w:tc>
          <w:tcPr>
            <w:tcW w:w="719" w:type="dxa"/>
            <w:tcBorders>
              <w:top w:val="single" w:color="000000" w:sz="4" w:space="0"/>
              <w:left w:val="single" w:color="000000" w:sz="4" w:space="0"/>
              <w:bottom w:val="single" w:color="000000" w:sz="4" w:space="0"/>
              <w:right w:val="single" w:color="000000" w:sz="4" w:space="0"/>
            </w:tcBorders>
            <w:noWrap/>
            <w:vAlign w:val="center"/>
          </w:tcPr>
          <w:p w14:paraId="4073F7ED">
            <w:pPr>
              <w:widowControl/>
              <w:jc w:val="center"/>
              <w:textAlignment w:val="center"/>
              <w:rPr>
                <w:rFonts w:hint="default" w:ascii="宋体" w:hAnsi="宋体" w:eastAsia="宋体" w:cs="宋体"/>
                <w:color w:val="000000" w:themeColor="text1"/>
                <w:sz w:val="22"/>
                <w:szCs w:val="22"/>
                <w:highlight w:val="none"/>
                <w:lang w:val="en-US" w:eastAsia="zh-CN"/>
              </w:rPr>
            </w:pPr>
            <w:r>
              <w:rPr>
                <w:rFonts w:hint="eastAsia" w:ascii="宋体" w:hAnsi="宋体" w:cs="宋体"/>
                <w:color w:val="000000" w:themeColor="text1"/>
                <w:sz w:val="22"/>
                <w:szCs w:val="22"/>
                <w:highlight w:val="none"/>
                <w:lang w:val="en-US" w:eastAsia="zh-CN"/>
              </w:rPr>
              <w:t>4</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51BEA081">
            <w:pPr>
              <w:widowControl/>
              <w:jc w:val="center"/>
              <w:textAlignment w:val="center"/>
              <w:rPr>
                <w:rFonts w:hint="default" w:ascii="宋体" w:hAnsi="宋体" w:eastAsia="宋体" w:cs="宋体"/>
                <w:color w:val="000000" w:themeColor="text1"/>
                <w:sz w:val="22"/>
                <w:szCs w:val="22"/>
                <w:highlight w:val="none"/>
                <w:lang w:val="en-US" w:eastAsia="zh-CN"/>
              </w:rPr>
            </w:pPr>
            <w:r>
              <w:rPr>
                <w:rFonts w:hint="eastAsia" w:ascii="宋体" w:hAnsi="宋体" w:cs="宋体"/>
                <w:color w:val="000000" w:themeColor="text1"/>
                <w:sz w:val="22"/>
                <w:szCs w:val="22"/>
                <w:highlight w:val="none"/>
                <w:lang w:val="en-US" w:eastAsia="zh-CN"/>
              </w:rPr>
              <w:t>套</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439E2849">
            <w:pPr>
              <w:widowControl/>
              <w:jc w:val="center"/>
              <w:textAlignment w:val="center"/>
              <w:rPr>
                <w:rFonts w:ascii="宋体" w:hAnsi="宋体" w:cs="宋体"/>
                <w:color w:val="000000" w:themeColor="text1"/>
                <w:kern w:val="0"/>
                <w:sz w:val="22"/>
                <w:szCs w:val="22"/>
                <w:highlight w:val="none"/>
              </w:rPr>
            </w:pPr>
          </w:p>
        </w:tc>
      </w:tr>
      <w:tr w14:paraId="20327E65">
        <w:tblPrEx>
          <w:tblCellMar>
            <w:top w:w="0" w:type="dxa"/>
            <w:left w:w="108" w:type="dxa"/>
            <w:bottom w:w="0" w:type="dxa"/>
            <w:right w:w="108" w:type="dxa"/>
          </w:tblCellMar>
        </w:tblPrEx>
        <w:trPr>
          <w:trHeight w:val="92"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14:paraId="311AA542">
            <w:pPr>
              <w:keepNext w:val="0"/>
              <w:keepLines w:val="0"/>
              <w:pageBreakBefore w:val="0"/>
              <w:widowControl/>
              <w:suppressLineNumbers w:val="0"/>
              <w:kinsoku/>
              <w:wordWrap/>
              <w:overflowPunct/>
              <w:topLinePunct w:val="0"/>
              <w:autoSpaceDE/>
              <w:autoSpaceDN/>
              <w:bidi w:val="0"/>
              <w:adjustRightInd/>
              <w:snapToGrid/>
              <w:spacing w:afterAutospacing="0" w:line="360" w:lineRule="exact"/>
              <w:jc w:val="center"/>
              <w:textAlignment w:val="center"/>
              <w:rPr>
                <w:rFonts w:hint="eastAsia" w:ascii="宋体" w:hAnsi="宋体" w:eastAsia="宋体" w:cs="宋体"/>
                <w:color w:val="000000" w:themeColor="text1"/>
                <w:sz w:val="22"/>
                <w:szCs w:val="22"/>
                <w:highlight w:val="none"/>
                <w:lang w:val="en-US" w:eastAsia="zh-CN"/>
              </w:rPr>
            </w:pPr>
            <w:r>
              <w:rPr>
                <w:rStyle w:val="51"/>
                <w:rFonts w:hint="eastAsia" w:ascii="宋体" w:hAnsi="宋体" w:cs="宋体"/>
                <w:i w:val="0"/>
                <w:iCs w:val="0"/>
                <w:color w:val="000000" w:themeColor="text1"/>
                <w:highlight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11659430">
            <w:pPr>
              <w:keepNext w:val="0"/>
              <w:keepLines w:val="0"/>
              <w:widowControl/>
              <w:suppressLineNumbers w:val="0"/>
              <w:jc w:val="left"/>
              <w:textAlignment w:val="center"/>
              <w:rPr>
                <w:rFonts w:hint="eastAsia" w:ascii="宋体" w:hAnsi="宋体" w:eastAsia="宋体" w:cs="宋体"/>
                <w:color w:val="000000" w:themeColor="text1"/>
                <w:sz w:val="22"/>
                <w:szCs w:val="22"/>
                <w:highlight w:val="none"/>
                <w:lang w:eastAsia="zh-CN"/>
              </w:rPr>
            </w:pPr>
            <w:r>
              <w:rPr>
                <w:rFonts w:hint="eastAsia" w:ascii="宋体" w:hAnsi="宋体" w:eastAsia="宋体" w:cs="宋体"/>
                <w:i w:val="0"/>
                <w:iCs w:val="0"/>
                <w:color w:val="000000" w:themeColor="text1"/>
                <w:kern w:val="0"/>
                <w:sz w:val="24"/>
                <w:szCs w:val="24"/>
                <w:highlight w:val="none"/>
                <w:u w:val="none"/>
                <w:lang w:val="en-US" w:eastAsia="zh-CN" w:bidi="ar"/>
              </w:rPr>
              <w:t>绳索救援套装（团体装备）</w:t>
            </w:r>
          </w:p>
        </w:tc>
        <w:tc>
          <w:tcPr>
            <w:tcW w:w="5158" w:type="dxa"/>
            <w:tcBorders>
              <w:top w:val="single" w:color="000000" w:sz="4" w:space="0"/>
              <w:left w:val="single" w:color="000000" w:sz="4" w:space="0"/>
              <w:bottom w:val="single" w:color="000000" w:sz="4" w:space="0"/>
              <w:right w:val="single" w:color="000000" w:sz="4" w:space="0"/>
            </w:tcBorders>
            <w:noWrap/>
            <w:vAlign w:val="center"/>
          </w:tcPr>
          <w:p w14:paraId="5E715C75">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山岳救援专业团体装备套装满足XF494-2023标准，需提供套装第三方检测报告。★需在报告中体现，并提供厂家授权书，如果厂家参与则提供承诺函。</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1.200米绳（2根）：</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绳皮由不少于40股组成、特耐磨绳皮，直径：10.5 mm</w:t>
            </w:r>
          </w:p>
          <w:p w14:paraId="6A256A03">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承受拉力≥30 kN；打结拉力≥19.5 kN；缝合点拉力≥27KN.</w:t>
            </w:r>
          </w:p>
          <w:p w14:paraId="1695A480">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静态延展率≤3.4%，绳皮滑动率：0%；缩水率1.1%</w:t>
            </w:r>
          </w:p>
          <w:p w14:paraId="4594BA28">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极限冲坠次数＞15，首次冲击力≥5.6kN</w:t>
            </w:r>
          </w:p>
          <w:p w14:paraId="42ED944B">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长度≥10米；每米重量≤75g</w:t>
            </w:r>
          </w:p>
          <w:p w14:paraId="6057D8E6">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（6）</w:t>
            </w:r>
            <w:r>
              <w:rPr>
                <w:rFonts w:hint="eastAsia" w:ascii="宋体" w:hAnsi="宋体" w:eastAsia="宋体" w:cs="宋体"/>
                <w:i w:val="0"/>
                <w:iCs w:val="0"/>
                <w:color w:val="000000" w:themeColor="text1"/>
                <w:kern w:val="0"/>
                <w:sz w:val="22"/>
                <w:szCs w:val="22"/>
                <w:highlight w:val="none"/>
                <w:u w:val="none"/>
                <w:lang w:val="en-US" w:eastAsia="zh-CN" w:bidi="ar"/>
              </w:rPr>
              <w:t>绳皮占比≥36%</w:t>
            </w:r>
          </w:p>
          <w:p w14:paraId="531F79DC">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经204℃土5℃的耐高温性能试验后，安全绳不应出现融熔、焦化现象。</w:t>
            </w:r>
          </w:p>
          <w:p w14:paraId="2F89631A">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rPr>
              <w:t>（8）</w:t>
            </w:r>
            <w:r>
              <w:rPr>
                <w:rFonts w:hint="eastAsia" w:ascii="宋体" w:hAnsi="宋体" w:eastAsia="宋体" w:cs="宋体"/>
                <w:i w:val="0"/>
                <w:iCs w:val="0"/>
                <w:color w:val="000000" w:themeColor="text1"/>
                <w:kern w:val="0"/>
                <w:sz w:val="22"/>
                <w:szCs w:val="22"/>
                <w:highlight w:val="none"/>
                <w:u w:val="none"/>
                <w:lang w:val="en-US" w:eastAsia="zh-CN" w:bidi="ar"/>
              </w:rPr>
              <w:t>产品符合XF494-2004《消防用防坠落装备》标准，并提供符合国家认可的第三方检测机构出具的检测报告复印件或扫描件。</w:t>
            </w:r>
          </w:p>
          <w:p w14:paraId="64B82FE8">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符合CCCF-CPRZ-27:2019《消防类产品认证实施规则消防装备产品消防员个人防护装备产品》标准，并提供符合国家认可的第三方检测机构出具的检测报告。</w:t>
            </w:r>
          </w:p>
          <w:p w14:paraId="37FC02C4">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2.抛投绳（1根）：</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（1）材质：大力马纤维、16股普编；（2）规格≥2mm；（3）长度≥100米。</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3.投掷袋（1个）：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双层结构使投掷袋更耐用，不锈钢环。流线型便于在树枝间穿梭。重≥300克。</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4.过结滑轮（1个）：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（1）通过NFPA1983认证测试；（2）最小断裂强度≥40kN；（3）侧板顶端和滑轮之间的空间能容许绳结通过。滑轮上设置上锁栓，可作固定点使用；（4）大直径滑轮尺寸≥55x60mm；（5）重量≥1300g。</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5.提拉套装（1套）：（1）体积狭小，方便携带，万向节结构避免缠绕，带有拉升或释放手柄；（2）内置芯片，便于设备管理；（3）断裂负荷:&gt;22kn，锁定状态下:&gt;6kn，重量≤580g（3）满足XF494-2023标准，提供第三方出具的检测报告。4、使用了4:1滑轮组和高效的密封滚珠轴承，提拉套装可用于提拉受困者、设置可释放锚点或架设一个紧绷绳索系统。</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6.电锤（1个）：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能够与攀岩车修挂片适配配套使用。</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7.船型担架（1个）：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（1）钛合金材质，额定负载限制≥12kN，额定载荷≥400kg，垂直断裂强度≥20kN，水平断裂强度≥12kN ；（2）尺寸≥212*60*19cm。</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8.索道滑轮（1个）：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（1）钢缆滑轮；（2）兼容钢缆直径：钢缆≤ 55 mm；（3）滑轮直径：55 mm；（4）最大工作负荷≥5 kN；（5）重量≥1400 g；（6）认证：CE EN 1909。</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9.救生三脚架（1套）：1、多功能救援支架可自由组合三脚架、两脚架、独脚架，两个头可单独形成A形架、桅杆或者这两者的组合。救援支架可用于多种场合，包括山区和狭窄空间救援以及绳索操作。有多种配套扩充功能；（2）认证：CE；（3）高度≥2.7-3.7米；重量≥33公斤；（4）含3平脚3尖脚；最小破断力≥36kN。满足XF494-2023标准，提供第三方出具的检测报告。</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eastAsia="宋体" w:cs="宋体"/>
                <w:i w:val="0"/>
                <w:iCs w:val="0"/>
                <w:color w:val="000000" w:themeColor="text1"/>
                <w:kern w:val="0"/>
                <w:sz w:val="22"/>
                <w:szCs w:val="22"/>
                <w:highlight w:val="none"/>
                <w:u w:val="none"/>
                <w:lang w:val="en-US" w:eastAsia="zh-CN" w:bidi="ar"/>
              </w:rPr>
              <w:t>10.便携式越野担架（全地形救援）（1套）：</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无框架半个长度&lt;100 cm，安装好整体后长度&gt;150cm,带框架半个长度&lt;100cm,安装好整体后长度&gt;200cm.,宽度&lt;50cm，高度&lt;15cm，半个重量(含完整背部框架)&lt;5kg，安装后整体重量≤10kg，担架整体背负载重≥50kg，担架载重≥150kg;使用温度范围:-50℃~100℃;</w:t>
            </w:r>
          </w:p>
          <w:p w14:paraId="3C3D0670">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材质:轻合金;肩带和臀部均用安全带固定，带储物袋的后网，两条黑色负载/患者固定带，带有安全销和易于打开的联轴器，耦合保护盖，重型塑料滑动面，注意:直升机运输时时速≤80k/h，且需要用 50 米的防转绳+钢锁连接:加长支架(背负支架)(1对)加宽支架(1对):眼镜蛇插扣固定带(4个):用来固定患者。由两根扁带，一个卡扣可组成，扁带一端带有固定环，用来做连接。眼镜蛇插扣可快速操作，且强度大，作扁带环使用时强度&gt;20kN，在担架上使用时强度&gt;10kN。承重扁带宽度&gt;35m。可移动提手(6个)，头部防护置:重量&lt;2kg，不可调，推车扶手(2个):重量&lt;3kg，通过卡在担架上，可单独拖拉使用，可与，系统搭配使用。</w:t>
            </w:r>
          </w:p>
          <w:p w14:paraId="12AF8743">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单双轮系统可卡在担架上,包含不少于:支撑架两个，长轴1根，短轴1根，辅助轴绿色1根，两个轮胎，充气轮胎直径&gt;40x10cm，双轮系统重量&lt;10kg，也可通过短轴转换为单轮使用，单轮重量≤5kg;</w:t>
            </w:r>
          </w:p>
          <w:p w14:paraId="0157B8B4">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提供第三方检测报告复印件或扫描件。</w:t>
            </w:r>
          </w:p>
          <w:p w14:paraId="259B0619">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rPr>
              <w:t>11.担架套装（1套）：</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eastAsia" w:ascii="宋体" w:hAnsi="宋体" w:cs="宋体"/>
                <w:i w:val="0"/>
                <w:iCs w:val="0"/>
                <w:color w:val="000000" w:themeColor="text1"/>
                <w:kern w:val="0"/>
                <w:sz w:val="22"/>
                <w:szCs w:val="22"/>
                <w:highlight w:val="none"/>
                <w:u w:val="none"/>
                <w:lang w:val="en-US" w:eastAsia="zh-CN" w:bidi="ar"/>
              </w:rPr>
              <w:t>（1）</w:t>
            </w:r>
            <w:r>
              <w:rPr>
                <w:rFonts w:hint="eastAsia" w:ascii="宋体" w:hAnsi="宋体" w:eastAsia="宋体" w:cs="宋体"/>
                <w:i w:val="0"/>
                <w:iCs w:val="0"/>
                <w:color w:val="000000" w:themeColor="text1"/>
                <w:kern w:val="0"/>
                <w:sz w:val="22"/>
                <w:szCs w:val="22"/>
                <w:highlight w:val="none"/>
                <w:u w:val="none"/>
                <w:lang w:val="en-US" w:eastAsia="zh-CN" w:bidi="ar"/>
              </w:rPr>
              <w:t>带有碳纤维条半硬担架： 高分子材料制成，并配有≥9条碳纤维条。</w:t>
            </w:r>
          </w:p>
          <w:p w14:paraId="571D3191">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（2）</w:t>
            </w:r>
            <w:r>
              <w:rPr>
                <w:rFonts w:hint="eastAsia" w:ascii="宋体" w:hAnsi="宋体" w:eastAsia="宋体" w:cs="宋体"/>
                <w:i w:val="0"/>
                <w:iCs w:val="0"/>
                <w:color w:val="000000" w:themeColor="text1"/>
                <w:kern w:val="0"/>
                <w:sz w:val="22"/>
                <w:szCs w:val="22"/>
                <w:highlight w:val="none"/>
                <w:u w:val="none"/>
                <w:lang w:val="en-US" w:eastAsia="zh-CN" w:bidi="ar"/>
              </w:rPr>
              <w:t>平铺尺寸：≥90*240cm，收卷尺寸：≤高90cm*直径25cm，</w:t>
            </w:r>
          </w:p>
          <w:p w14:paraId="71B13F11">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（3）</w:t>
            </w:r>
            <w:r>
              <w:rPr>
                <w:rFonts w:hint="eastAsia" w:ascii="宋体" w:hAnsi="宋体" w:eastAsia="宋体" w:cs="宋体"/>
                <w:i w:val="0"/>
                <w:iCs w:val="0"/>
                <w:color w:val="000000" w:themeColor="text1"/>
                <w:kern w:val="0"/>
                <w:sz w:val="22"/>
                <w:szCs w:val="22"/>
                <w:highlight w:val="none"/>
                <w:u w:val="none"/>
                <w:lang w:val="en-US" w:eastAsia="zh-CN" w:bidi="ar"/>
              </w:rPr>
              <w:t>重量≤8kg，厚度≤2mm，承重≥300Kg</w:t>
            </w:r>
          </w:p>
          <w:p w14:paraId="0A45E3AB">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（4）</w:t>
            </w:r>
            <w:r>
              <w:rPr>
                <w:rFonts w:hint="eastAsia" w:ascii="宋体" w:hAnsi="宋体" w:eastAsia="宋体" w:cs="宋体"/>
                <w:i w:val="0"/>
                <w:iCs w:val="0"/>
                <w:color w:val="000000" w:themeColor="text1"/>
                <w:kern w:val="0"/>
                <w:sz w:val="22"/>
                <w:szCs w:val="22"/>
                <w:highlight w:val="none"/>
                <w:u w:val="none"/>
                <w:lang w:val="en-US" w:eastAsia="zh-CN" w:bidi="ar"/>
              </w:rPr>
              <w:t>配件：配有不少于4条自锁扣固定带，8个提手，2条单肩背带，1个脚部固定带，1条担架收纳绑带</w:t>
            </w:r>
          </w:p>
          <w:p w14:paraId="121F9B70">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（5）</w:t>
            </w:r>
            <w:r>
              <w:rPr>
                <w:rFonts w:hint="eastAsia" w:ascii="宋体" w:hAnsi="宋体" w:eastAsia="宋体" w:cs="宋体"/>
                <w:i w:val="0"/>
                <w:iCs w:val="0"/>
                <w:color w:val="000000" w:themeColor="text1"/>
                <w:kern w:val="0"/>
                <w:sz w:val="22"/>
                <w:szCs w:val="22"/>
                <w:highlight w:val="none"/>
                <w:u w:val="none"/>
                <w:lang w:val="en-US" w:eastAsia="zh-CN" w:bidi="ar"/>
              </w:rPr>
              <w:t>担架包：⽤于收纳担架主体以及担架配件等 ，展开后是一个方形的包垫，搭配有≥4个提手，可将伤员放在包垫上，手动提起包垫四端的提手，放置于担架上，作为衬垫使⽤，减轻伤员的不适感。通过将包垫卷绕及魔术贴粘合起来就形成了一个担架包，用于运输和携带担架等物资。</w:t>
            </w:r>
          </w:p>
          <w:p w14:paraId="7254AE55">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highlight w:val="none"/>
                <w:u w:val="none"/>
                <w:lang w:val="en-US" w:eastAsia="zh-CN" w:bidi="ar"/>
              </w:rPr>
            </w:pPr>
            <w:r>
              <w:rPr>
                <w:rFonts w:hint="eastAsia" w:ascii="宋体" w:hAnsi="宋体" w:cs="宋体"/>
                <w:i w:val="0"/>
                <w:iCs w:val="0"/>
                <w:color w:val="000000" w:themeColor="text1"/>
                <w:kern w:val="0"/>
                <w:sz w:val="22"/>
                <w:szCs w:val="22"/>
                <w:highlight w:val="none"/>
                <w:u w:val="none"/>
                <w:lang w:val="en-US" w:eastAsia="zh-CN" w:bidi="ar"/>
              </w:rPr>
              <w:t>（7）</w:t>
            </w:r>
            <w:r>
              <w:rPr>
                <w:rFonts w:hint="eastAsia" w:ascii="宋体" w:hAnsi="宋体" w:eastAsia="宋体" w:cs="宋体"/>
                <w:i w:val="0"/>
                <w:iCs w:val="0"/>
                <w:color w:val="000000" w:themeColor="text1"/>
                <w:kern w:val="0"/>
                <w:sz w:val="22"/>
                <w:szCs w:val="22"/>
                <w:highlight w:val="none"/>
                <w:u w:val="none"/>
                <w:lang w:val="en-US" w:eastAsia="zh-CN" w:bidi="ar"/>
              </w:rPr>
              <w:t>需要提供第三方检测报告复印件或扫描件</w:t>
            </w:r>
          </w:p>
          <w:p w14:paraId="1421023A">
            <w:pPr>
              <w:keepNext w:val="0"/>
              <w:keepLines w:val="0"/>
              <w:widowControl/>
              <w:suppressLineNumbers w:val="0"/>
              <w:jc w:val="left"/>
              <w:textAlignment w:val="top"/>
              <w:rPr>
                <w:rFonts w:ascii="宋体" w:hAnsi="宋体" w:cs="宋体"/>
                <w:color w:val="000000" w:themeColor="text1"/>
                <w:sz w:val="22"/>
                <w:szCs w:val="22"/>
                <w:highlight w:val="none"/>
              </w:rPr>
            </w:pPr>
            <w:r>
              <w:rPr>
                <w:rFonts w:hint="eastAsia" w:ascii="宋体" w:hAnsi="宋体" w:eastAsia="宋体" w:cs="宋体"/>
                <w:i w:val="0"/>
                <w:iCs w:val="0"/>
                <w:color w:val="000000" w:themeColor="text1"/>
                <w:kern w:val="0"/>
                <w:sz w:val="22"/>
                <w:szCs w:val="22"/>
                <w:highlight w:val="none"/>
                <w:u w:val="none"/>
                <w:lang w:val="en-US" w:eastAsia="zh-CN" w:bidi="ar"/>
              </w:rPr>
              <w:t>12.三角吊带（1个）：</w:t>
            </w:r>
            <w:r>
              <w:rPr>
                <w:rFonts w:hint="eastAsia" w:ascii="宋体" w:hAnsi="宋体" w:eastAsia="宋体" w:cs="宋体"/>
                <w:i w:val="0"/>
                <w:iCs w:val="0"/>
                <w:color w:val="000000" w:themeColor="text1"/>
                <w:kern w:val="0"/>
                <w:sz w:val="22"/>
                <w:szCs w:val="22"/>
                <w:highlight w:val="none"/>
                <w:u w:val="none"/>
                <w:lang w:val="en-US" w:eastAsia="zh-CN" w:bidi="ar"/>
              </w:rPr>
              <w:br w:type="textWrapping"/>
            </w:r>
            <w:r>
              <w:rPr>
                <w:rFonts w:hint="default" w:ascii="宋体" w:hAnsi="宋体" w:eastAsia="宋体" w:cs="宋体"/>
                <w:i w:val="0"/>
                <w:iCs w:val="0"/>
                <w:color w:val="000000" w:themeColor="text1"/>
                <w:kern w:val="0"/>
                <w:sz w:val="22"/>
                <w:szCs w:val="22"/>
                <w:highlight w:val="none"/>
                <w:u w:val="none"/>
                <w:lang w:val="en-US" w:eastAsia="zh-CN" w:bidi="ar"/>
              </w:rPr>
              <w:t>带肩带的疏散三角吊带，为人员疏散而设计。三角形是由弹性材料制成，保证了疏散人员的舒适、安全，增加每个撤离者的安全感，可用于儿童及成年人</w:t>
            </w:r>
            <w:r>
              <w:rPr>
                <w:rFonts w:hint="eastAsia" w:ascii="宋体" w:hAnsi="宋体" w:eastAsia="宋体" w:cs="宋体"/>
                <w:i w:val="0"/>
                <w:iCs w:val="0"/>
                <w:color w:val="000000" w:themeColor="text1"/>
                <w:kern w:val="0"/>
                <w:sz w:val="22"/>
                <w:szCs w:val="22"/>
                <w:highlight w:val="none"/>
                <w:u w:val="none"/>
                <w:lang w:val="en-US" w:eastAsia="zh-CN" w:bidi="ar"/>
              </w:rPr>
              <w:t>，可通过使用</w:t>
            </w:r>
            <w:r>
              <w:rPr>
                <w:rFonts w:hint="default" w:ascii="宋体" w:hAnsi="宋体" w:eastAsia="宋体" w:cs="宋体"/>
                <w:i w:val="0"/>
                <w:iCs w:val="0"/>
                <w:color w:val="000000" w:themeColor="text1"/>
                <w:kern w:val="0"/>
                <w:sz w:val="22"/>
                <w:szCs w:val="22"/>
                <w:highlight w:val="none"/>
                <w:u w:val="none"/>
                <w:lang w:val="en-US" w:eastAsia="zh-CN" w:bidi="ar"/>
              </w:rPr>
              <w:t>不同的连接环颜色</w:t>
            </w:r>
            <w:r>
              <w:rPr>
                <w:rFonts w:hint="eastAsia" w:ascii="宋体" w:hAnsi="宋体" w:eastAsia="宋体" w:cs="宋体"/>
                <w:i w:val="0"/>
                <w:iCs w:val="0"/>
                <w:color w:val="000000" w:themeColor="text1"/>
                <w:kern w:val="0"/>
                <w:sz w:val="22"/>
                <w:szCs w:val="22"/>
                <w:highlight w:val="none"/>
                <w:u w:val="none"/>
                <w:lang w:val="en-US" w:eastAsia="zh-CN" w:bidi="ar"/>
              </w:rPr>
              <w:t>来确定不同的尺寸以适应各种体型的被救援者</w:t>
            </w:r>
            <w:r>
              <w:rPr>
                <w:rFonts w:hint="default" w:ascii="宋体" w:hAnsi="宋体" w:eastAsia="宋体" w:cs="宋体"/>
                <w:i w:val="0"/>
                <w:iCs w:val="0"/>
                <w:color w:val="000000" w:themeColor="text1"/>
                <w:kern w:val="0"/>
                <w:sz w:val="22"/>
                <w:szCs w:val="22"/>
                <w:highlight w:val="none"/>
                <w:u w:val="none"/>
                <w:lang w:val="en-US" w:eastAsia="zh-CN" w:bidi="ar"/>
              </w:rPr>
              <w:t>，配有可调肩带。小巧且携带方便，可以很容易地装进吊带自有口袋里，即使在低温下也能轻松处理，仅供救援使用。</w:t>
            </w:r>
            <w:r>
              <w:rPr>
                <w:rFonts w:hint="eastAsia" w:ascii="宋体" w:hAnsi="宋体" w:eastAsia="宋体" w:cs="宋体"/>
                <w:i w:val="0"/>
                <w:iCs w:val="0"/>
                <w:color w:val="000000" w:themeColor="text1"/>
                <w:kern w:val="0"/>
                <w:sz w:val="22"/>
                <w:szCs w:val="22"/>
                <w:highlight w:val="none"/>
                <w:u w:val="none"/>
                <w:lang w:val="en-US" w:eastAsia="zh-CN" w:bidi="ar"/>
              </w:rPr>
              <w:t>★</w:t>
            </w:r>
            <w:r>
              <w:rPr>
                <w:rFonts w:hint="default" w:ascii="宋体" w:hAnsi="宋体" w:eastAsia="宋体" w:cs="宋体"/>
                <w:i w:val="0"/>
                <w:iCs w:val="0"/>
                <w:color w:val="000000" w:themeColor="text1"/>
                <w:kern w:val="0"/>
                <w:sz w:val="22"/>
                <w:szCs w:val="22"/>
                <w:highlight w:val="none"/>
                <w:u w:val="none"/>
                <w:lang w:val="en-US" w:eastAsia="zh-CN" w:bidi="ar"/>
              </w:rPr>
              <w:t>最大负载≥150公斤，认证 CEEN 1497，EN1498标准，均码，重量≤870g</w:t>
            </w:r>
            <w:r>
              <w:rPr>
                <w:rFonts w:hint="eastAsia" w:ascii="宋体" w:hAnsi="宋体" w:eastAsia="宋体" w:cs="宋体"/>
                <w:i w:val="0"/>
                <w:iCs w:val="0"/>
                <w:color w:val="000000" w:themeColor="text1"/>
                <w:kern w:val="0"/>
                <w:sz w:val="22"/>
                <w:szCs w:val="22"/>
                <w:highlight w:val="none"/>
                <w:u w:val="none"/>
                <w:lang w:val="en-US" w:eastAsia="zh-CN" w:bidi="ar"/>
              </w:rPr>
              <w:t>。</w:t>
            </w:r>
          </w:p>
        </w:tc>
        <w:tc>
          <w:tcPr>
            <w:tcW w:w="719" w:type="dxa"/>
            <w:tcBorders>
              <w:top w:val="single" w:color="000000" w:sz="4" w:space="0"/>
              <w:left w:val="single" w:color="000000" w:sz="4" w:space="0"/>
              <w:bottom w:val="single" w:color="000000" w:sz="4" w:space="0"/>
              <w:right w:val="single" w:color="000000" w:sz="4" w:space="0"/>
            </w:tcBorders>
            <w:noWrap/>
            <w:vAlign w:val="center"/>
          </w:tcPr>
          <w:p w14:paraId="57639C88">
            <w:pPr>
              <w:widowControl/>
              <w:jc w:val="center"/>
              <w:textAlignment w:val="center"/>
              <w:rPr>
                <w:rFonts w:hint="eastAsia" w:ascii="宋体" w:hAnsi="宋体" w:eastAsia="宋体" w:cs="宋体"/>
                <w:color w:val="000000" w:themeColor="text1"/>
                <w:sz w:val="22"/>
                <w:szCs w:val="22"/>
                <w:highlight w:val="none"/>
                <w:lang w:val="en-US" w:eastAsia="zh-CN"/>
              </w:rPr>
            </w:pPr>
            <w:r>
              <w:rPr>
                <w:rFonts w:hint="eastAsia" w:ascii="宋体" w:hAnsi="宋体" w:cs="宋体"/>
                <w:color w:val="000000" w:themeColor="text1"/>
                <w:sz w:val="22"/>
                <w:szCs w:val="22"/>
                <w:highlight w:val="none"/>
                <w:lang w:val="en-US" w:eastAsia="zh-CN"/>
              </w:rPr>
              <w:t>2</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6605159C">
            <w:pPr>
              <w:widowControl/>
              <w:jc w:val="center"/>
              <w:textAlignment w:val="center"/>
              <w:rPr>
                <w:rFonts w:hint="eastAsia" w:ascii="宋体" w:hAnsi="宋体" w:eastAsia="宋体" w:cs="宋体"/>
                <w:color w:val="000000" w:themeColor="text1"/>
                <w:sz w:val="22"/>
                <w:szCs w:val="22"/>
                <w:highlight w:val="none"/>
                <w:lang w:val="en-US" w:eastAsia="zh-CN"/>
              </w:rPr>
            </w:pPr>
            <w:r>
              <w:rPr>
                <w:rFonts w:hint="eastAsia" w:ascii="宋体" w:hAnsi="宋体" w:cs="宋体"/>
                <w:color w:val="000000" w:themeColor="text1"/>
                <w:sz w:val="22"/>
                <w:szCs w:val="22"/>
                <w:highlight w:val="none"/>
                <w:lang w:val="en-US" w:eastAsia="zh-CN"/>
              </w:rPr>
              <w:t>套</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7A9BB922">
            <w:pPr>
              <w:widowControl/>
              <w:jc w:val="center"/>
              <w:textAlignment w:val="center"/>
              <w:rPr>
                <w:rFonts w:ascii="宋体" w:hAnsi="宋体" w:cs="宋体"/>
                <w:color w:val="000000" w:themeColor="text1"/>
                <w:kern w:val="0"/>
                <w:sz w:val="22"/>
                <w:szCs w:val="22"/>
                <w:highlight w:val="none"/>
              </w:rPr>
            </w:pPr>
          </w:p>
        </w:tc>
      </w:tr>
      <w:tr w14:paraId="1272377A">
        <w:tblPrEx>
          <w:tblCellMar>
            <w:top w:w="0" w:type="dxa"/>
            <w:left w:w="108" w:type="dxa"/>
            <w:bottom w:w="0" w:type="dxa"/>
            <w:right w:w="108" w:type="dxa"/>
          </w:tblCellMar>
        </w:tblPrEx>
        <w:trPr>
          <w:trHeight w:val="601" w:hRule="atLeast"/>
        </w:trPr>
        <w:tc>
          <w:tcPr>
            <w:tcW w:w="9298" w:type="dxa"/>
            <w:gridSpan w:val="6"/>
            <w:tcBorders>
              <w:top w:val="single" w:color="000000" w:sz="4" w:space="0"/>
              <w:left w:val="single" w:color="000000" w:sz="4" w:space="0"/>
              <w:bottom w:val="single" w:color="000000" w:sz="4" w:space="0"/>
              <w:right w:val="single" w:color="000000" w:sz="4" w:space="0"/>
            </w:tcBorders>
            <w:noWrap/>
            <w:vAlign w:val="center"/>
          </w:tcPr>
          <w:p w14:paraId="444FF119">
            <w:pPr>
              <w:widowControl/>
              <w:ind w:firstLine="720" w:firstLineChars="300"/>
              <w:jc w:val="left"/>
              <w:textAlignment w:val="center"/>
              <w:rPr>
                <w:rFonts w:ascii="宋体" w:hAnsi="宋体" w:cs="宋体"/>
                <w:color w:val="000000" w:themeColor="text1"/>
                <w:kern w:val="0"/>
                <w:sz w:val="22"/>
                <w:szCs w:val="22"/>
                <w:highlight w:val="none"/>
              </w:rPr>
            </w:pPr>
            <w:r>
              <w:rPr>
                <w:rFonts w:hint="eastAsia" w:ascii="宋体" w:hAnsi="宋体" w:cs="宋体"/>
                <w:color w:val="000000" w:themeColor="text1"/>
                <w:sz w:val="24"/>
                <w:szCs w:val="24"/>
                <w:highlight w:val="none"/>
                <w:vertAlign w:val="baseline"/>
              </w:rPr>
              <w:t>备注：详见《</w:t>
            </w:r>
            <w:r>
              <w:rPr>
                <w:rFonts w:hint="eastAsia" w:ascii="宋体" w:hAnsi="宋体" w:cs="宋体"/>
                <w:color w:val="000000" w:themeColor="text1"/>
                <w:sz w:val="24"/>
                <w:szCs w:val="24"/>
                <w:highlight w:val="none"/>
                <w:vertAlign w:val="baseline"/>
                <w:lang w:val="en-US" w:eastAsia="zh-CN"/>
              </w:rPr>
              <w:t>报价</w:t>
            </w:r>
            <w:r>
              <w:rPr>
                <w:rFonts w:hint="eastAsia" w:ascii="宋体" w:hAnsi="宋体" w:cs="宋体"/>
                <w:color w:val="000000" w:themeColor="text1"/>
                <w:sz w:val="24"/>
                <w:szCs w:val="24"/>
                <w:highlight w:val="none"/>
                <w:vertAlign w:val="baseline"/>
              </w:rPr>
              <w:t>一览表》</w:t>
            </w:r>
          </w:p>
        </w:tc>
      </w:tr>
    </w:tbl>
    <w:p w14:paraId="2397A6B2">
      <w:pPr>
        <w:widowControl/>
        <w:snapToGrid w:val="0"/>
        <w:spacing w:line="480" w:lineRule="exact"/>
        <w:outlineLvl w:val="1"/>
        <w:rPr>
          <w:rFonts w:ascii="华文中宋" w:hAnsi="华文中宋" w:eastAsia="华文中宋" w:cs="华文中宋"/>
          <w:b/>
          <w:bCs/>
          <w:color w:val="000000" w:themeColor="text1"/>
          <w:kern w:val="0"/>
          <w:sz w:val="24"/>
          <w:szCs w:val="24"/>
          <w:highlight w:val="none"/>
        </w:rPr>
      </w:pPr>
    </w:p>
    <w:p w14:paraId="03A1A11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i/>
          <w:iCs/>
          <w:color w:val="000000" w:themeColor="text1"/>
          <w:sz w:val="24"/>
          <w:szCs w:val="24"/>
          <w:highlight w:val="none"/>
        </w:rPr>
      </w:pPr>
      <w:r>
        <w:rPr>
          <w:rFonts w:hint="eastAsia" w:ascii="宋体" w:hAnsi="宋体" w:eastAsia="宋体" w:cs="宋体"/>
          <w:i/>
          <w:iCs/>
          <w:color w:val="000000" w:themeColor="text1"/>
          <w:sz w:val="24"/>
          <w:szCs w:val="24"/>
          <w:highlight w:val="none"/>
        </w:rPr>
        <w:t>注：以上金额为完成合同所需的一切本身和不可或缺的所有工作开支及合同包含的所有风险、责任等各项全部费用并承担一切风险责任。</w:t>
      </w:r>
    </w:p>
    <w:p w14:paraId="10BBB908">
      <w:pPr>
        <w:pStyle w:val="13"/>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二、合同金额</w:t>
      </w:r>
    </w:p>
    <w:p w14:paraId="085364BA">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本合同金额为（大写）：</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rPr>
        <w:t>元整（￥</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rPr>
        <w:t>元）人民币。</w:t>
      </w:r>
    </w:p>
    <w:p w14:paraId="3DD6B4A9">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合同价格包括所有设备、安装所需辅材以及设备的运输、安装、搬楼、调试、配合费等所有费用。</w:t>
      </w:r>
    </w:p>
    <w:p w14:paraId="3D2233FA">
      <w:pPr>
        <w:pStyle w:val="13"/>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三、技术资料</w:t>
      </w:r>
    </w:p>
    <w:p w14:paraId="3876C34C">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1、乙方应按招标文件规定的时间向甲方提供使用货物的有关技术资料。</w:t>
      </w:r>
    </w:p>
    <w:p w14:paraId="1642EB15">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2、没有甲方事先书面同意，乙方不得将由甲方提供的规格、样品或资料提供给与履行本合同无关的任何其他人。即使向履行本合同有关的人员提供，也应注意保密并限于履行合同的必需范围。</w:t>
      </w:r>
    </w:p>
    <w:p w14:paraId="2D6CFFA9">
      <w:pPr>
        <w:pStyle w:val="13"/>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四、知识产权</w:t>
      </w:r>
    </w:p>
    <w:p w14:paraId="49CED1CB">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乙方应保证所提供的货物或其任何一部分均不会侵犯任何第三方的知识产权。</w:t>
      </w:r>
    </w:p>
    <w:p w14:paraId="5DDFE1C5">
      <w:pPr>
        <w:pStyle w:val="13"/>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五、产权担保</w:t>
      </w:r>
    </w:p>
    <w:p w14:paraId="62D9DE5D">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乙方保证所交付的货物的所有权完全属于乙方且无任何抵押、查封等产权瑕疵。</w:t>
      </w:r>
    </w:p>
    <w:p w14:paraId="4088BF0D">
      <w:pPr>
        <w:pStyle w:val="13"/>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六、转包或分包</w:t>
      </w:r>
    </w:p>
    <w:p w14:paraId="640FD792">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1、本合同范围的货物，应由乙方直接供应，不得转让他人供应。</w:t>
      </w:r>
    </w:p>
    <w:p w14:paraId="5248F841">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2、除非得到甲方的书面同意，乙方不得将本合同范围的货物全部或部分分包给他人供应。</w:t>
      </w:r>
    </w:p>
    <w:p w14:paraId="61C85C60">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3、如有转让和未经甲方同意的分包行为，甲方有权解除合同并追究乙方的违约责任。</w:t>
      </w:r>
    </w:p>
    <w:p w14:paraId="0C823637">
      <w:pPr>
        <w:pStyle w:val="13"/>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七</w:t>
      </w:r>
      <w:r>
        <w:rPr>
          <w:rFonts w:hint="eastAsia" w:ascii="宋体" w:hAnsi="宋体" w:eastAsia="宋体" w:cs="宋体"/>
          <w:b/>
          <w:bCs/>
          <w:color w:val="000000" w:themeColor="text1"/>
          <w:sz w:val="24"/>
          <w:szCs w:val="24"/>
          <w:highlight w:val="none"/>
        </w:rPr>
        <w:t>、交货期、交货方式及交货地点</w:t>
      </w:r>
    </w:p>
    <w:p w14:paraId="689E1CB9">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1、交货期：</w:t>
      </w:r>
    </w:p>
    <w:p w14:paraId="1848D0AB">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2、交货方式：乙方免费送货上门并完成安装调试。</w:t>
      </w:r>
    </w:p>
    <w:p w14:paraId="769AFA02">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rPr>
        <w:t>3、交货地点：</w:t>
      </w:r>
    </w:p>
    <w:p w14:paraId="2A7173E2">
      <w:pPr>
        <w:pStyle w:val="13"/>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八</w:t>
      </w:r>
      <w:r>
        <w:rPr>
          <w:rFonts w:hint="eastAsia" w:ascii="宋体" w:hAnsi="宋体" w:eastAsia="宋体" w:cs="宋体"/>
          <w:b/>
          <w:bCs/>
          <w:color w:val="000000" w:themeColor="text1"/>
          <w:sz w:val="24"/>
          <w:szCs w:val="24"/>
          <w:highlight w:val="none"/>
        </w:rPr>
        <w:t>、货款支付</w:t>
      </w:r>
    </w:p>
    <w:p w14:paraId="1156CC06">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付款方式：合同生效以及具备实施条件后7个工作日内，甲方支付乙方合同总价的40%作为预付款；货物运送至现场检查后，甲方支付乙方合同总价的70%；设备安装、调试完毕，无重大问题发生，且各方面性能均达到合同要求后，甲方向乙方支付至合同总价的100%。</w:t>
      </w:r>
    </w:p>
    <w:p w14:paraId="591CC96C">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（注：货款发票乙方必须开具国家统一正式发票，否则货款不予支付。）</w:t>
      </w:r>
    </w:p>
    <w:p w14:paraId="0C39AE42">
      <w:pPr>
        <w:pStyle w:val="13"/>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九</w:t>
      </w:r>
      <w:r>
        <w:rPr>
          <w:rFonts w:hint="eastAsia" w:ascii="宋体" w:hAnsi="宋体" w:eastAsia="宋体" w:cs="宋体"/>
          <w:b/>
          <w:bCs/>
          <w:color w:val="000000" w:themeColor="text1"/>
          <w:sz w:val="24"/>
          <w:szCs w:val="24"/>
          <w:highlight w:val="none"/>
        </w:rPr>
        <w:t>、税费</w:t>
      </w:r>
    </w:p>
    <w:p w14:paraId="569A7F01">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本合同执行中相关的一切税费均由乙方负担。</w:t>
      </w:r>
    </w:p>
    <w:p w14:paraId="08CC16D6">
      <w:pPr>
        <w:pStyle w:val="13"/>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十、质量保证及售后服务</w:t>
      </w:r>
    </w:p>
    <w:p w14:paraId="4963C0E5">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（一）产品质量保证期</w:t>
      </w:r>
    </w:p>
    <w:p w14:paraId="29C16C9B">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应明确承诺：投标产品质量保证期</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rPr>
        <w:t>年。</w:t>
      </w:r>
    </w:p>
    <w:p w14:paraId="0B3E82D8">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2、投标产品属于国家规定“三包”范围的，其产品质量保证期不得低于“三包”规定。</w:t>
      </w:r>
    </w:p>
    <w:p w14:paraId="42B4B2C8">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的质量保证期承诺优于国家“三包”规定的，按</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实际承诺执行。</w:t>
      </w:r>
    </w:p>
    <w:p w14:paraId="080F8BB4">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4、投标产品由制造商（指产品生产制造商，或其负责销售、售后服务机构，以下同）负责标准售后服务的，应当在投标文件中予以明确说明,并附制造商售后服务承诺。</w:t>
      </w:r>
    </w:p>
    <w:p w14:paraId="25E4573F">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（二）售后服务内容</w:t>
      </w:r>
    </w:p>
    <w:p w14:paraId="67A919FC">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和制造商在质量保证期内应当为</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提供以下技术支持和服务：</w:t>
      </w:r>
    </w:p>
    <w:p w14:paraId="502B4D9F">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（1）电话咨询</w:t>
      </w:r>
    </w:p>
    <w:p w14:paraId="13F1CB3F">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和制造商应当为</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提供技术援助电话，解答</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在使用中遇到的问题，及时为</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提出解决问题的建议。</w:t>
      </w:r>
    </w:p>
    <w:p w14:paraId="6B2E8CFE">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（2）现场响应</w:t>
      </w:r>
    </w:p>
    <w:p w14:paraId="3ED06C93">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b w:val="0"/>
          <w:bCs w:val="0"/>
          <w:color w:val="000000" w:themeColor="text1"/>
          <w:kern w:val="0"/>
          <w:sz w:val="24"/>
          <w:szCs w:val="24"/>
          <w:highlight w:val="none"/>
          <w:lang w:bidi="ar"/>
        </w:rPr>
      </w:pPr>
      <w:r>
        <w:rPr>
          <w:rFonts w:hint="eastAsia" w:ascii="宋体" w:hAnsi="宋体" w:eastAsia="宋体" w:cs="宋体"/>
          <w:b w:val="0"/>
          <w:bCs w:val="0"/>
          <w:color w:val="000000" w:themeColor="text1"/>
          <w:kern w:val="0"/>
          <w:sz w:val="24"/>
          <w:szCs w:val="24"/>
          <w:highlight w:val="none"/>
          <w:lang w:bidi="ar"/>
        </w:rPr>
        <w:t>质保期内出现的质量问题，</w:t>
      </w:r>
      <w:r>
        <w:rPr>
          <w:rFonts w:hint="eastAsia" w:hAnsi="宋体" w:cs="宋体"/>
          <w:b w:val="0"/>
          <w:bCs w:val="0"/>
          <w:color w:val="000000" w:themeColor="text1"/>
          <w:kern w:val="0"/>
          <w:sz w:val="24"/>
          <w:szCs w:val="24"/>
          <w:highlight w:val="none"/>
          <w:lang w:eastAsia="zh-CN" w:bidi="ar"/>
        </w:rPr>
        <w:t>乙方</w:t>
      </w:r>
      <w:r>
        <w:rPr>
          <w:rFonts w:hint="eastAsia" w:ascii="宋体" w:hAnsi="宋体" w:eastAsia="宋体" w:cs="宋体"/>
          <w:b w:val="0"/>
          <w:bCs w:val="0"/>
          <w:color w:val="000000" w:themeColor="text1"/>
          <w:kern w:val="0"/>
          <w:sz w:val="24"/>
          <w:szCs w:val="24"/>
          <w:highlight w:val="none"/>
          <w:lang w:bidi="ar"/>
        </w:rPr>
        <w:t>必须在接到</w:t>
      </w:r>
      <w:r>
        <w:rPr>
          <w:rFonts w:hint="eastAsia" w:hAnsi="宋体" w:cs="宋体"/>
          <w:b w:val="0"/>
          <w:bCs w:val="0"/>
          <w:color w:val="000000" w:themeColor="text1"/>
          <w:kern w:val="0"/>
          <w:sz w:val="24"/>
          <w:szCs w:val="24"/>
          <w:highlight w:val="none"/>
          <w:lang w:eastAsia="zh-CN" w:bidi="ar"/>
        </w:rPr>
        <w:t>甲方</w:t>
      </w:r>
      <w:r>
        <w:rPr>
          <w:rFonts w:hint="eastAsia" w:ascii="宋体" w:hAnsi="宋体" w:eastAsia="宋体" w:cs="宋体"/>
          <w:b w:val="0"/>
          <w:bCs w:val="0"/>
          <w:color w:val="000000" w:themeColor="text1"/>
          <w:kern w:val="0"/>
          <w:sz w:val="24"/>
          <w:szCs w:val="24"/>
          <w:highlight w:val="none"/>
          <w:lang w:bidi="ar"/>
        </w:rPr>
        <w:t>通知后2小时内响应，12小时内派人到现场解决问题，24小时内给出完整解决方案，48小时内解决问题</w:t>
      </w:r>
      <w:r>
        <w:rPr>
          <w:rFonts w:hint="eastAsia" w:ascii="宋体" w:hAnsi="宋体" w:eastAsia="宋体" w:cs="宋体"/>
          <w:b w:val="0"/>
          <w:bCs w:val="0"/>
          <w:color w:val="000000" w:themeColor="text1"/>
          <w:kern w:val="0"/>
          <w:sz w:val="24"/>
          <w:szCs w:val="24"/>
          <w:highlight w:val="none"/>
          <w:lang w:eastAsia="zh-CN" w:bidi="ar"/>
        </w:rPr>
        <w:t>；</w:t>
      </w:r>
      <w:r>
        <w:rPr>
          <w:rFonts w:hint="eastAsia" w:ascii="宋体" w:hAnsi="宋体" w:eastAsia="宋体" w:cs="宋体"/>
          <w:b w:val="0"/>
          <w:bCs w:val="0"/>
          <w:color w:val="000000" w:themeColor="text1"/>
          <w:kern w:val="0"/>
          <w:sz w:val="24"/>
          <w:szCs w:val="24"/>
          <w:highlight w:val="none"/>
          <w:lang w:bidi="ar"/>
        </w:rPr>
        <w:t>如在48小时之内仍不能排除故障的，</w:t>
      </w:r>
      <w:r>
        <w:rPr>
          <w:rFonts w:hint="eastAsia" w:hAnsi="宋体" w:cs="宋体"/>
          <w:b w:val="0"/>
          <w:bCs w:val="0"/>
          <w:color w:val="000000" w:themeColor="text1"/>
          <w:kern w:val="0"/>
          <w:sz w:val="24"/>
          <w:szCs w:val="24"/>
          <w:highlight w:val="none"/>
          <w:lang w:eastAsia="zh-CN" w:bidi="ar"/>
        </w:rPr>
        <w:t>乙方</w:t>
      </w:r>
      <w:r>
        <w:rPr>
          <w:rFonts w:hint="eastAsia" w:ascii="宋体" w:hAnsi="宋体" w:eastAsia="宋体" w:cs="宋体"/>
          <w:b w:val="0"/>
          <w:bCs w:val="0"/>
          <w:color w:val="000000" w:themeColor="text1"/>
          <w:kern w:val="0"/>
          <w:sz w:val="24"/>
          <w:szCs w:val="24"/>
          <w:highlight w:val="none"/>
          <w:lang w:bidi="ar"/>
        </w:rPr>
        <w:t>应提供与原设备相同或不低于原设备档次的备用设备。故障排除后</w:t>
      </w:r>
      <w:r>
        <w:rPr>
          <w:rFonts w:hint="eastAsia" w:hAnsi="宋体" w:cs="宋体"/>
          <w:b w:val="0"/>
          <w:bCs w:val="0"/>
          <w:color w:val="000000" w:themeColor="text1"/>
          <w:kern w:val="0"/>
          <w:sz w:val="24"/>
          <w:szCs w:val="24"/>
          <w:highlight w:val="none"/>
          <w:lang w:eastAsia="zh-CN" w:bidi="ar"/>
        </w:rPr>
        <w:t>乙方</w:t>
      </w:r>
      <w:r>
        <w:rPr>
          <w:rFonts w:hint="eastAsia" w:ascii="宋体" w:hAnsi="宋体" w:eastAsia="宋体" w:cs="宋体"/>
          <w:b w:val="0"/>
          <w:bCs w:val="0"/>
          <w:color w:val="000000" w:themeColor="text1"/>
          <w:kern w:val="0"/>
          <w:sz w:val="24"/>
          <w:szCs w:val="24"/>
          <w:highlight w:val="none"/>
          <w:lang w:bidi="ar"/>
        </w:rPr>
        <w:t>应出具书面故障诊断报告备案。</w:t>
      </w:r>
    </w:p>
    <w:p w14:paraId="408C301C">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（3）技术升级</w:t>
      </w:r>
    </w:p>
    <w:p w14:paraId="6D78D528">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在质保期内，如果</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和制造商的产品技术升级，</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应及时通知</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，如</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有相应要求，</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和制造商应对</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购买的产品进行升级服务。</w:t>
      </w:r>
    </w:p>
    <w:p w14:paraId="5EA8B0EF">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2、质保期外服务要求</w:t>
      </w:r>
    </w:p>
    <w:p w14:paraId="59B86B64">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（1）质量保证期过后，</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和制造商应同样提供免费电话咨询服务，并应承诺提供产品上门维护服务。</w:t>
      </w:r>
    </w:p>
    <w:p w14:paraId="628250C6">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（2）质量保证期过后，</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需要继续由原</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和制造商提供售后服务的，该</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和制造商应以优惠价格提供售后服务。</w:t>
      </w:r>
    </w:p>
    <w:p w14:paraId="6A77B0F1">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（三）备品备件及易损件</w:t>
      </w:r>
    </w:p>
    <w:p w14:paraId="3DA82199">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和制造商售后服务中，维修使用的备品备件及易损件应为原厂配件，未经</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同意不得使用非原厂配件，常用的、容易损坏的备品备件及易损件的价格清单须在投标文件中列出。</w:t>
      </w:r>
    </w:p>
    <w:p w14:paraId="574B8344">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bookmarkStart w:id="54" w:name="_Toc267320053"/>
      <w:bookmarkStart w:id="55" w:name="_Toc1998981"/>
      <w:bookmarkStart w:id="56" w:name="_Toc481507573"/>
      <w:r>
        <w:rPr>
          <w:rFonts w:hint="eastAsia" w:ascii="宋体" w:hAnsi="宋体" w:eastAsia="宋体" w:cs="宋体"/>
          <w:color w:val="000000" w:themeColor="text1"/>
          <w:sz w:val="24"/>
          <w:szCs w:val="24"/>
          <w:highlight w:val="none"/>
        </w:rPr>
        <w:t>3、培训</w:t>
      </w:r>
      <w:bookmarkEnd w:id="54"/>
      <w:bookmarkEnd w:id="55"/>
      <w:bookmarkEnd w:id="56"/>
    </w:p>
    <w:p w14:paraId="6C8E38E8">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对其提供产品的使用和操作应尽培训义务。</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应提供对</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的基本免费培训，使</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使用人员能够正常操作。</w:t>
      </w:r>
    </w:p>
    <w:p w14:paraId="7AF51EAA">
      <w:pPr>
        <w:keepNext w:val="0"/>
        <w:keepLines w:val="0"/>
        <w:pageBreakBefore w:val="0"/>
        <w:widowControl w:val="0"/>
        <w:numPr>
          <w:ilvl w:val="0"/>
          <w:numId w:val="0"/>
        </w:numPr>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十一、</w:t>
      </w:r>
      <w:r>
        <w:rPr>
          <w:rFonts w:hint="eastAsia" w:ascii="宋体" w:hAnsi="宋体" w:eastAsia="宋体" w:cs="宋体"/>
          <w:b/>
          <w:bCs/>
          <w:color w:val="000000" w:themeColor="text1"/>
          <w:sz w:val="24"/>
          <w:szCs w:val="24"/>
          <w:highlight w:val="none"/>
        </w:rPr>
        <w:t>验收标准</w:t>
      </w:r>
    </w:p>
    <w:p w14:paraId="4F96CF4A">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组织进行验收，如果设备的质量和规格与合同不符，或在规定的质量保证期内证实设备具有缺陷的，包括潜在缺陷或使用不符合要求的材料，有权向</w:t>
      </w:r>
      <w:r>
        <w:rPr>
          <w:rFonts w:hint="eastAsia" w:ascii="宋体" w:hAnsi="宋体" w:cs="宋体"/>
          <w:color w:val="000000" w:themeColor="text1"/>
          <w:kern w:val="2"/>
          <w:sz w:val="24"/>
          <w:szCs w:val="24"/>
          <w:highlight w:val="none"/>
          <w:lang w:val="en-US" w:eastAsia="zh-CN" w:bidi="ar-SA"/>
        </w:rPr>
        <w:t>乙方</w:t>
      </w:r>
      <w:r>
        <w:rPr>
          <w:rFonts w:hint="eastAsia" w:ascii="宋体" w:hAnsi="宋体" w:eastAsia="宋体" w:cs="宋体"/>
          <w:color w:val="000000" w:themeColor="text1"/>
          <w:kern w:val="2"/>
          <w:sz w:val="24"/>
          <w:szCs w:val="24"/>
          <w:highlight w:val="none"/>
          <w:lang w:val="en-US" w:eastAsia="zh-CN" w:bidi="ar-SA"/>
        </w:rPr>
        <w:t>提出索赔。经验收合格，</w:t>
      </w:r>
      <w:r>
        <w:rPr>
          <w:rFonts w:hint="eastAsia" w:ascii="宋体" w:hAnsi="宋体" w:cs="宋体"/>
          <w:color w:val="000000" w:themeColor="text1"/>
          <w:kern w:val="2"/>
          <w:sz w:val="24"/>
          <w:szCs w:val="24"/>
          <w:highlight w:val="none"/>
          <w:lang w:val="en-US" w:eastAsia="zh-CN" w:bidi="ar-SA"/>
        </w:rPr>
        <w:t>乙方</w:t>
      </w:r>
      <w:r>
        <w:rPr>
          <w:rFonts w:hint="eastAsia" w:ascii="宋体" w:hAnsi="宋体" w:eastAsia="宋体" w:cs="宋体"/>
          <w:color w:val="000000" w:themeColor="text1"/>
          <w:kern w:val="2"/>
          <w:sz w:val="24"/>
          <w:szCs w:val="24"/>
          <w:highlight w:val="none"/>
          <w:lang w:val="en-US" w:eastAsia="zh-CN" w:bidi="ar-SA"/>
        </w:rPr>
        <w:t>须向</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提供整套设备质保书、说明书、保修证明等书面资料，并按国家制造和安装的标准要求检测验收。</w:t>
      </w:r>
    </w:p>
    <w:p w14:paraId="00AAB13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验收方法：1、</w:t>
      </w:r>
      <w:r>
        <w:rPr>
          <w:rFonts w:hint="eastAsia" w:ascii="宋体" w:hAnsi="宋体" w:cs="宋体"/>
          <w:color w:val="000000" w:themeColor="text1"/>
          <w:kern w:val="2"/>
          <w:sz w:val="24"/>
          <w:szCs w:val="24"/>
          <w:highlight w:val="none"/>
          <w:lang w:val="en-US" w:eastAsia="zh-CN" w:bidi="ar-SA"/>
        </w:rPr>
        <w:t>乙方</w:t>
      </w:r>
      <w:r>
        <w:rPr>
          <w:rFonts w:hint="eastAsia" w:ascii="宋体" w:hAnsi="宋体" w:eastAsia="宋体" w:cs="宋体"/>
          <w:color w:val="000000" w:themeColor="text1"/>
          <w:kern w:val="2"/>
          <w:sz w:val="24"/>
          <w:szCs w:val="24"/>
          <w:highlight w:val="none"/>
          <w:lang w:val="en-US" w:eastAsia="zh-CN" w:bidi="ar-SA"/>
        </w:rPr>
        <w:t>自检：安装完毕后，要求</w:t>
      </w:r>
      <w:r>
        <w:rPr>
          <w:rFonts w:hint="eastAsia" w:ascii="宋体" w:hAnsi="宋体" w:cs="宋体"/>
          <w:color w:val="000000" w:themeColor="text1"/>
          <w:kern w:val="2"/>
          <w:sz w:val="24"/>
          <w:szCs w:val="24"/>
          <w:highlight w:val="none"/>
          <w:lang w:val="en-US" w:eastAsia="zh-CN" w:bidi="ar-SA"/>
        </w:rPr>
        <w:t>乙方</w:t>
      </w:r>
      <w:r>
        <w:rPr>
          <w:rFonts w:hint="eastAsia" w:ascii="宋体" w:hAnsi="宋体" w:eastAsia="宋体" w:cs="宋体"/>
          <w:color w:val="000000" w:themeColor="text1"/>
          <w:kern w:val="2"/>
          <w:sz w:val="24"/>
          <w:szCs w:val="24"/>
          <w:highlight w:val="none"/>
          <w:lang w:val="en-US" w:eastAsia="zh-CN" w:bidi="ar-SA"/>
        </w:rPr>
        <w:t>自行对所有设备进行检验，检验结果必须符合验收标准的要求。</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有权对设备组装前进行检验或测试，以确认所投产品的制造工艺、原材料、质量等是否符合招标文件和报价时提供的样式要求，但不能作为最终验收。</w:t>
      </w:r>
      <w:r>
        <w:rPr>
          <w:rFonts w:hint="eastAsia" w:ascii="宋体" w:hAnsi="宋体" w:cs="宋体"/>
          <w:color w:val="000000" w:themeColor="text1"/>
          <w:kern w:val="2"/>
          <w:sz w:val="24"/>
          <w:szCs w:val="24"/>
          <w:highlight w:val="none"/>
          <w:lang w:val="en-US" w:eastAsia="zh-CN" w:bidi="ar-SA"/>
        </w:rPr>
        <w:t>乙方</w:t>
      </w:r>
      <w:r>
        <w:rPr>
          <w:rFonts w:hint="eastAsia" w:ascii="宋体" w:hAnsi="宋体" w:eastAsia="宋体" w:cs="宋体"/>
          <w:color w:val="000000" w:themeColor="text1"/>
          <w:kern w:val="2"/>
          <w:sz w:val="24"/>
          <w:szCs w:val="24"/>
          <w:highlight w:val="none"/>
          <w:lang w:val="en-US" w:eastAsia="zh-CN" w:bidi="ar-SA"/>
        </w:rPr>
        <w:t>应为</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检验和测试提供各种方便，并承担相应费用，如果检验或测试的产品不能满足采购要求，</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可以拒绝接受，</w:t>
      </w:r>
      <w:r>
        <w:rPr>
          <w:rFonts w:hint="eastAsia" w:ascii="宋体" w:hAnsi="宋体" w:cs="宋体"/>
          <w:color w:val="000000" w:themeColor="text1"/>
          <w:kern w:val="2"/>
          <w:sz w:val="24"/>
          <w:szCs w:val="24"/>
          <w:highlight w:val="none"/>
          <w:lang w:val="en-US" w:eastAsia="zh-CN" w:bidi="ar-SA"/>
        </w:rPr>
        <w:t>乙方</w:t>
      </w:r>
      <w:r>
        <w:rPr>
          <w:rFonts w:hint="eastAsia" w:ascii="宋体" w:hAnsi="宋体" w:eastAsia="宋体" w:cs="宋体"/>
          <w:color w:val="000000" w:themeColor="text1"/>
          <w:kern w:val="2"/>
          <w:sz w:val="24"/>
          <w:szCs w:val="24"/>
          <w:highlight w:val="none"/>
          <w:lang w:val="en-US" w:eastAsia="zh-CN" w:bidi="ar-SA"/>
        </w:rPr>
        <w:t>应更换被拒绝的货物，并承担给</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造成的经济损失。</w:t>
      </w:r>
    </w:p>
    <w:p w14:paraId="03A38B9D">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2、最终验收：</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按招标文件、投标文件、合同款以及国家及行业相关标准进行验收。设备应完全符合招标及投标要求，在此期间，如果发现质量有问题，或者与投标设备存在差异，</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有权拒收并</w:t>
      </w:r>
      <w:r>
        <w:rPr>
          <w:rFonts w:hint="eastAsia" w:ascii="宋体" w:hAnsi="宋体" w:cs="宋体"/>
          <w:color w:val="000000" w:themeColor="text1"/>
          <w:kern w:val="2"/>
          <w:sz w:val="24"/>
          <w:szCs w:val="24"/>
          <w:highlight w:val="none"/>
          <w:lang w:val="en-US" w:eastAsia="zh-CN" w:bidi="ar-SA"/>
        </w:rPr>
        <w:t>要求乙</w:t>
      </w:r>
      <w:r>
        <w:rPr>
          <w:rFonts w:hint="eastAsia" w:ascii="宋体" w:hAnsi="宋体" w:eastAsia="宋体" w:cs="宋体"/>
          <w:color w:val="000000" w:themeColor="text1"/>
          <w:kern w:val="2"/>
          <w:sz w:val="24"/>
          <w:szCs w:val="24"/>
          <w:highlight w:val="none"/>
          <w:lang w:val="en-US" w:eastAsia="zh-CN" w:bidi="ar-SA"/>
        </w:rPr>
        <w:t>方承担全部责任及费用，并应无条件免费更换直至验收合格；</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保留邀请第三方检测机构或相关技术专家参与验收的权利。参与验收的第三方机构的意见作为验收书的参考资料一并存档。</w:t>
      </w:r>
    </w:p>
    <w:p w14:paraId="249166B7">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验收完毕由</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及</w:t>
      </w:r>
      <w:r>
        <w:rPr>
          <w:rFonts w:hint="eastAsia" w:ascii="宋体" w:hAnsi="宋体" w:cs="宋体"/>
          <w:color w:val="000000" w:themeColor="text1"/>
          <w:kern w:val="2"/>
          <w:sz w:val="24"/>
          <w:szCs w:val="24"/>
          <w:highlight w:val="none"/>
          <w:lang w:val="en-US" w:eastAsia="zh-CN" w:bidi="ar-SA"/>
        </w:rPr>
        <w:t>乙方</w:t>
      </w:r>
      <w:r>
        <w:rPr>
          <w:rFonts w:hint="eastAsia" w:ascii="宋体" w:hAnsi="宋体" w:eastAsia="宋体" w:cs="宋体"/>
          <w:color w:val="000000" w:themeColor="text1"/>
          <w:kern w:val="2"/>
          <w:sz w:val="24"/>
          <w:szCs w:val="24"/>
          <w:highlight w:val="none"/>
          <w:lang w:val="en-US" w:eastAsia="zh-CN" w:bidi="ar-SA"/>
        </w:rPr>
        <w:t>在验收报告上签名。</w:t>
      </w:r>
    </w:p>
    <w:p w14:paraId="31BA03F8">
      <w:pPr>
        <w:keepNext w:val="0"/>
        <w:keepLines w:val="0"/>
        <w:pageBreakBefore w:val="0"/>
        <w:widowControl w:val="0"/>
        <w:numPr>
          <w:ilvl w:val="0"/>
          <w:numId w:val="4"/>
        </w:numPr>
        <w:kinsoku/>
        <w:wordWrap/>
        <w:overflowPunct/>
        <w:topLinePunct w:val="0"/>
        <w:autoSpaceDE/>
        <w:autoSpaceDN/>
        <w:bidi w:val="0"/>
        <w:spacing w:line="500" w:lineRule="exact"/>
        <w:ind w:left="420" w:leftChars="0"/>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b/>
          <w:bCs/>
          <w:color w:val="000000" w:themeColor="text1"/>
          <w:sz w:val="24"/>
          <w:szCs w:val="24"/>
          <w:highlight w:val="none"/>
        </w:rPr>
        <w:t>包装及运输要求</w:t>
      </w:r>
    </w:p>
    <w:p w14:paraId="0C2C9298">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w:t>
      </w:r>
      <w:r>
        <w:rPr>
          <w:rFonts w:hint="eastAsia" w:ascii="宋体" w:hAnsi="宋体" w:eastAsia="宋体" w:cs="宋体"/>
          <w:color w:val="000000" w:themeColor="text1"/>
          <w:sz w:val="24"/>
          <w:szCs w:val="24"/>
          <w:highlight w:val="none"/>
          <w:lang w:eastAsia="zh-CN"/>
        </w:rPr>
        <w:t>、</w:t>
      </w:r>
      <w:r>
        <w:rPr>
          <w:rFonts w:hint="eastAsia" w:hAnsi="宋体" w:cs="宋体"/>
          <w:color w:val="000000" w:themeColor="text1"/>
          <w:sz w:val="24"/>
          <w:szCs w:val="24"/>
          <w:highlight w:val="none"/>
          <w:lang w:val="en-US" w:eastAsia="zh-CN"/>
        </w:rPr>
        <w:t>乙方</w:t>
      </w:r>
      <w:r>
        <w:rPr>
          <w:rFonts w:hint="eastAsia" w:ascii="宋体" w:hAnsi="宋体" w:eastAsia="宋体" w:cs="宋体"/>
          <w:color w:val="000000" w:themeColor="text1"/>
          <w:sz w:val="24"/>
          <w:szCs w:val="24"/>
          <w:highlight w:val="none"/>
        </w:rPr>
        <w:t>提供的货物必须具有可靠的安全保护、保险措施，以防止误操作或意外事故致使货物受损。产品包装应符合国家或专业（部）标准规定；随机的零部件、备品备件等散件应包装完好。</w:t>
      </w:r>
    </w:p>
    <w:p w14:paraId="7ADDE2E4">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由</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将货物直接免费送至采购方指定的地点。如在运输、搬运、安装过程中造成货物损坏，</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有权不签收并由</w:t>
      </w:r>
      <w:r>
        <w:rPr>
          <w:rFonts w:hint="eastAsia" w:hAnsi="宋体" w:cs="宋体"/>
          <w:color w:val="000000" w:themeColor="text1"/>
          <w:sz w:val="24"/>
          <w:szCs w:val="24"/>
          <w:highlight w:val="none"/>
          <w:lang w:val="en-US" w:eastAsia="zh-CN"/>
        </w:rPr>
        <w:t>乙方</w:t>
      </w:r>
      <w:r>
        <w:rPr>
          <w:rFonts w:hint="eastAsia" w:ascii="宋体" w:hAnsi="宋体" w:eastAsia="宋体" w:cs="宋体"/>
          <w:color w:val="000000" w:themeColor="text1"/>
          <w:sz w:val="24"/>
          <w:szCs w:val="24"/>
          <w:highlight w:val="none"/>
        </w:rPr>
        <w:t>承担相应经济损失。</w:t>
      </w:r>
    </w:p>
    <w:p w14:paraId="5DB87B2F">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设备外观清洁，标记编号以及盘面显示等字体清晰，明确。铭牌、使用指示、警告指示应以中文或英文及易懂的通用符号来表示;应准确无误地表明设备之型号、规格、制造厂及生产或出厂日期。</w:t>
      </w:r>
    </w:p>
    <w:p w14:paraId="647BC58F">
      <w:pPr>
        <w:pStyle w:val="13"/>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十</w:t>
      </w:r>
      <w:r>
        <w:rPr>
          <w:rFonts w:hint="eastAsia" w:ascii="宋体" w:hAnsi="宋体" w:eastAsia="宋体" w:cs="宋体"/>
          <w:b/>
          <w:bCs/>
          <w:color w:val="000000" w:themeColor="text1"/>
          <w:sz w:val="24"/>
          <w:szCs w:val="24"/>
          <w:highlight w:val="none"/>
          <w:lang w:val="en-US" w:eastAsia="zh-CN"/>
        </w:rPr>
        <w:t>三</w:t>
      </w:r>
      <w:r>
        <w:rPr>
          <w:rFonts w:hint="eastAsia" w:ascii="宋体" w:hAnsi="宋体" w:eastAsia="宋体" w:cs="宋体"/>
          <w:b/>
          <w:bCs/>
          <w:color w:val="000000" w:themeColor="text1"/>
          <w:sz w:val="24"/>
          <w:szCs w:val="24"/>
          <w:highlight w:val="none"/>
        </w:rPr>
        <w:t>、违约责任</w:t>
      </w:r>
    </w:p>
    <w:p w14:paraId="48A28FB8">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w:t>
      </w:r>
      <w:r>
        <w:rPr>
          <w:rFonts w:hint="eastAsia" w:ascii="宋体" w:hAnsi="宋体" w:eastAsia="宋体" w:cs="宋体"/>
          <w:color w:val="000000" w:themeColor="text1"/>
          <w:sz w:val="24"/>
          <w:szCs w:val="24"/>
          <w:highlight w:val="none"/>
        </w:rPr>
        <w:t>、甲方无故逾期验收和办理货款支付手续的,甲方应按逾期付款总额每日万分之五向乙方支付违约金。</w:t>
      </w:r>
    </w:p>
    <w:p w14:paraId="26E84966">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20D8279A">
      <w:pPr>
        <w:pStyle w:val="13"/>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lang w:val="en-US" w:eastAsia="zh-CN"/>
        </w:rPr>
        <w:t>3</w:t>
      </w:r>
      <w:r>
        <w:rPr>
          <w:rFonts w:hint="eastAsia" w:hAnsi="宋体" w:cs="宋体"/>
          <w:color w:val="000000" w:themeColor="text1"/>
          <w:sz w:val="24"/>
          <w:szCs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hAnsi="宋体" w:cs="宋体"/>
          <w:color w:val="000000" w:themeColor="text1"/>
          <w:sz w:val="24"/>
          <w:szCs w:val="24"/>
          <w:highlight w:val="none"/>
          <w:lang w:eastAsia="zh-CN"/>
        </w:rPr>
        <w:t>，</w:t>
      </w:r>
      <w:r>
        <w:rPr>
          <w:rFonts w:hint="eastAsia" w:hAnsi="宋体" w:cs="宋体"/>
          <w:color w:val="000000" w:themeColor="text1"/>
          <w:sz w:val="24"/>
          <w:szCs w:val="24"/>
          <w:highlight w:val="none"/>
          <w:lang w:val="en-US" w:eastAsia="zh-CN"/>
        </w:rPr>
        <w:t>并承担给甲方造成的经济损失</w:t>
      </w:r>
      <w:r>
        <w:rPr>
          <w:rFonts w:hint="eastAsia" w:hAnsi="宋体" w:cs="宋体"/>
          <w:color w:val="000000" w:themeColor="text1"/>
          <w:sz w:val="24"/>
          <w:szCs w:val="24"/>
          <w:highlight w:val="none"/>
        </w:rPr>
        <w:t>。</w:t>
      </w:r>
    </w:p>
    <w:p w14:paraId="65422B5A">
      <w:pPr>
        <w:pStyle w:val="13"/>
        <w:keepNext w:val="0"/>
        <w:keepLines w:val="0"/>
        <w:pageBreakBefore w:val="0"/>
        <w:widowControl w:val="0"/>
        <w:tabs>
          <w:tab w:val="right" w:pos="9637"/>
        </w:tabs>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十</w:t>
      </w:r>
      <w:r>
        <w:rPr>
          <w:rFonts w:hint="eastAsia" w:ascii="宋体" w:hAnsi="宋体" w:eastAsia="宋体" w:cs="宋体"/>
          <w:b/>
          <w:bCs/>
          <w:color w:val="000000" w:themeColor="text1"/>
          <w:sz w:val="24"/>
          <w:szCs w:val="24"/>
          <w:highlight w:val="none"/>
          <w:lang w:val="en-US" w:eastAsia="zh-CN"/>
        </w:rPr>
        <w:t>四</w:t>
      </w:r>
      <w:r>
        <w:rPr>
          <w:rFonts w:hint="eastAsia" w:ascii="宋体" w:hAnsi="宋体" w:eastAsia="宋体" w:cs="宋体"/>
          <w:b/>
          <w:bCs/>
          <w:color w:val="000000" w:themeColor="text1"/>
          <w:sz w:val="24"/>
          <w:szCs w:val="24"/>
          <w:highlight w:val="none"/>
        </w:rPr>
        <w:t>、不可抗力事件处理</w:t>
      </w:r>
      <w:r>
        <w:rPr>
          <w:rFonts w:hint="eastAsia" w:ascii="宋体" w:hAnsi="宋体" w:eastAsia="宋体" w:cs="宋体"/>
          <w:b/>
          <w:bCs/>
          <w:color w:val="000000" w:themeColor="text1"/>
          <w:sz w:val="24"/>
          <w:szCs w:val="24"/>
          <w:highlight w:val="none"/>
        </w:rPr>
        <w:tab/>
      </w:r>
    </w:p>
    <w:p w14:paraId="055106AA">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1、在合同有效期内，任何一方因不可抗力事件导致不能履行合同，则合同履行期可延长，其延长期与不可抗力影响期相同。</w:t>
      </w:r>
    </w:p>
    <w:p w14:paraId="4FB0CAB8">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2、不可抗力事件发生后，应立即通知对方，并寄送有关权威机构出具的证明。</w:t>
      </w:r>
    </w:p>
    <w:p w14:paraId="2C5CC103">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3、不可抗力事件延续120天以上，双方应通过友好协商，确定是否继续履行合同。</w:t>
      </w:r>
    </w:p>
    <w:p w14:paraId="5880BD44">
      <w:pPr>
        <w:pStyle w:val="13"/>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hAnsi="宋体" w:cs="宋体"/>
          <w:b/>
          <w:bCs/>
          <w:color w:val="000000" w:themeColor="text1"/>
          <w:sz w:val="24"/>
          <w:szCs w:val="24"/>
          <w:highlight w:val="none"/>
        </w:rPr>
      </w:pPr>
      <w:r>
        <w:rPr>
          <w:rFonts w:hint="eastAsia" w:hAnsi="宋体" w:cs="宋体"/>
          <w:b/>
          <w:bCs/>
          <w:color w:val="000000" w:themeColor="text1"/>
          <w:sz w:val="24"/>
          <w:szCs w:val="24"/>
          <w:highlight w:val="none"/>
        </w:rPr>
        <w:t>十</w:t>
      </w:r>
      <w:r>
        <w:rPr>
          <w:rFonts w:hint="eastAsia" w:hAnsi="宋体" w:cs="宋体"/>
          <w:b/>
          <w:bCs/>
          <w:color w:val="000000" w:themeColor="text1"/>
          <w:sz w:val="24"/>
          <w:szCs w:val="24"/>
          <w:highlight w:val="none"/>
          <w:lang w:val="en-US" w:eastAsia="zh-CN"/>
        </w:rPr>
        <w:t>五</w:t>
      </w:r>
      <w:r>
        <w:rPr>
          <w:rFonts w:hint="eastAsia" w:hAnsi="宋体" w:cs="宋体"/>
          <w:b/>
          <w:bCs/>
          <w:color w:val="000000" w:themeColor="text1"/>
          <w:sz w:val="24"/>
          <w:szCs w:val="24"/>
          <w:highlight w:val="none"/>
        </w:rPr>
        <w:t>、争议解决</w:t>
      </w:r>
    </w:p>
    <w:p w14:paraId="621694F3">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本合同在履行过程中发生争议的，由双方协商解决，协商不成的</w:t>
      </w:r>
      <w:r>
        <w:rPr>
          <w:rFonts w:hint="eastAsia" w:ascii="宋体" w:hAnsi="宋体" w:eastAsia="宋体" w:cs="宋体"/>
          <w:color w:val="000000" w:themeColor="text1"/>
          <w:sz w:val="24"/>
          <w:szCs w:val="24"/>
          <w:highlight w:val="none"/>
          <w:lang w:val="en-US" w:eastAsia="zh-CN"/>
        </w:rPr>
        <w:t>双方</w:t>
      </w:r>
      <w:r>
        <w:rPr>
          <w:rFonts w:hint="eastAsia" w:ascii="宋体" w:hAnsi="宋体" w:eastAsia="宋体" w:cs="宋体"/>
          <w:color w:val="000000" w:themeColor="text1"/>
          <w:sz w:val="24"/>
          <w:szCs w:val="24"/>
          <w:highlight w:val="none"/>
        </w:rPr>
        <w:t>可</w:t>
      </w:r>
      <w:r>
        <w:rPr>
          <w:rFonts w:hint="eastAsia" w:ascii="宋体" w:hAnsi="宋体" w:eastAsia="宋体" w:cs="宋体"/>
          <w:color w:val="000000" w:themeColor="text1"/>
          <w:sz w:val="24"/>
          <w:szCs w:val="24"/>
          <w:highlight w:val="none"/>
          <w:lang w:val="en-US" w:eastAsia="zh-CN"/>
        </w:rPr>
        <w:t>选择以下第</w:t>
      </w:r>
      <w:r>
        <w:rPr>
          <w:rFonts w:hint="eastAsia" w:ascii="宋体" w:hAnsi="宋体" w:eastAsia="宋体" w:cs="宋体"/>
          <w:color w:val="000000" w:themeColor="text1"/>
          <w:sz w:val="24"/>
          <w:szCs w:val="24"/>
          <w:highlight w:val="none"/>
          <w:u w:val="single"/>
          <w:lang w:val="en-US" w:eastAsia="zh-CN"/>
        </w:rPr>
        <w:t xml:space="preserve"> 1 </w:t>
      </w:r>
      <w:r>
        <w:rPr>
          <w:rFonts w:hint="eastAsia" w:ascii="宋体" w:hAnsi="宋体" w:eastAsia="宋体" w:cs="宋体"/>
          <w:color w:val="000000" w:themeColor="text1"/>
          <w:sz w:val="24"/>
          <w:szCs w:val="24"/>
          <w:highlight w:val="none"/>
          <w:lang w:val="en-US" w:eastAsia="zh-CN"/>
        </w:rPr>
        <w:t>种方式</w:t>
      </w:r>
      <w:r>
        <w:rPr>
          <w:rFonts w:hint="eastAsia" w:ascii="宋体" w:hAnsi="宋体" w:eastAsia="宋体" w:cs="宋体"/>
          <w:color w:val="000000" w:themeColor="text1"/>
          <w:sz w:val="24"/>
          <w:szCs w:val="24"/>
          <w:highlight w:val="none"/>
        </w:rPr>
        <w:t>解决：</w:t>
      </w:r>
    </w:p>
    <w:p w14:paraId="3917C68D">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(1)向</w:t>
      </w:r>
      <w:r>
        <w:rPr>
          <w:rFonts w:hint="eastAsia" w:ascii="宋体" w:hAnsi="宋体" w:eastAsia="宋体" w:cs="宋体"/>
          <w:color w:val="000000" w:themeColor="text1"/>
          <w:sz w:val="24"/>
          <w:szCs w:val="24"/>
          <w:highlight w:val="none"/>
          <w:u w:val="single"/>
          <w:lang w:val="en-US" w:eastAsia="zh-CN"/>
        </w:rPr>
        <w:t xml:space="preserve"> 衢州 </w:t>
      </w:r>
      <w:r>
        <w:rPr>
          <w:rFonts w:hint="eastAsia" w:ascii="宋体" w:hAnsi="宋体" w:eastAsia="宋体" w:cs="宋体"/>
          <w:color w:val="000000" w:themeColor="text1"/>
          <w:sz w:val="24"/>
          <w:szCs w:val="24"/>
          <w:highlight w:val="none"/>
          <w:u w:val="none"/>
          <w:lang w:val="en-US" w:eastAsia="zh-CN"/>
        </w:rPr>
        <w:t>仲裁委员会申请</w:t>
      </w:r>
      <w:r>
        <w:rPr>
          <w:rFonts w:hint="eastAsia" w:ascii="宋体" w:hAnsi="宋体" w:eastAsia="宋体" w:cs="宋体"/>
          <w:color w:val="000000" w:themeColor="text1"/>
          <w:sz w:val="24"/>
          <w:szCs w:val="24"/>
          <w:highlight w:val="none"/>
        </w:rPr>
        <w:t>仲裁；</w:t>
      </w:r>
    </w:p>
    <w:p w14:paraId="34F626F9">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(2)向</w:t>
      </w:r>
      <w:r>
        <w:rPr>
          <w:rFonts w:hint="eastAsia" w:ascii="宋体" w:hAnsi="宋体" w:eastAsia="宋体" w:cs="宋体"/>
          <w:color w:val="000000" w:themeColor="text1"/>
          <w:sz w:val="24"/>
          <w:szCs w:val="24"/>
          <w:highlight w:val="none"/>
          <w:u w:val="single"/>
        </w:rPr>
        <w:t>甲方所在地</w:t>
      </w:r>
      <w:r>
        <w:rPr>
          <w:rFonts w:hint="eastAsia" w:ascii="宋体" w:hAnsi="宋体" w:eastAsia="宋体" w:cs="宋体"/>
          <w:color w:val="000000" w:themeColor="text1"/>
          <w:sz w:val="24"/>
          <w:szCs w:val="24"/>
          <w:highlight w:val="none"/>
        </w:rPr>
        <w:t>人民法院提起诉讼。</w:t>
      </w:r>
    </w:p>
    <w:p w14:paraId="3E110A03">
      <w:pPr>
        <w:pStyle w:val="13"/>
        <w:keepNext w:val="0"/>
        <w:keepLines w:val="0"/>
        <w:pageBreakBefore w:val="0"/>
        <w:widowControl w:val="0"/>
        <w:kinsoku/>
        <w:wordWrap/>
        <w:overflowPunct/>
        <w:topLinePunct w:val="0"/>
        <w:autoSpaceDE/>
        <w:autoSpaceDN/>
        <w:bidi w:val="0"/>
        <w:snapToGrid w:val="0"/>
        <w:spacing w:line="500" w:lineRule="exact"/>
        <w:ind w:firstLine="482" w:firstLineChars="200"/>
        <w:textAlignment w:val="auto"/>
        <w:rPr>
          <w:rFonts w:hint="eastAsia" w:hAnsi="宋体" w:cs="宋体"/>
          <w:b/>
          <w:bCs/>
          <w:color w:val="000000" w:themeColor="text1"/>
          <w:sz w:val="24"/>
          <w:szCs w:val="24"/>
          <w:highlight w:val="none"/>
        </w:rPr>
      </w:pPr>
      <w:r>
        <w:rPr>
          <w:rFonts w:hint="eastAsia" w:hAnsi="宋体" w:cs="宋体"/>
          <w:b/>
          <w:bCs/>
          <w:color w:val="000000" w:themeColor="text1"/>
          <w:sz w:val="24"/>
          <w:szCs w:val="24"/>
          <w:highlight w:val="none"/>
        </w:rPr>
        <w:t>十</w:t>
      </w:r>
      <w:r>
        <w:rPr>
          <w:rFonts w:hint="eastAsia" w:hAnsi="宋体" w:cs="宋体"/>
          <w:b/>
          <w:bCs/>
          <w:color w:val="000000" w:themeColor="text1"/>
          <w:sz w:val="24"/>
          <w:szCs w:val="24"/>
          <w:highlight w:val="none"/>
          <w:lang w:val="en-US" w:eastAsia="zh-CN"/>
        </w:rPr>
        <w:t>六</w:t>
      </w:r>
      <w:r>
        <w:rPr>
          <w:rFonts w:hint="eastAsia" w:hAnsi="宋体" w:cs="宋体"/>
          <w:b/>
          <w:bCs/>
          <w:color w:val="000000" w:themeColor="text1"/>
          <w:sz w:val="24"/>
          <w:szCs w:val="24"/>
          <w:highlight w:val="none"/>
        </w:rPr>
        <w:t>、</w:t>
      </w:r>
      <w:r>
        <w:rPr>
          <w:rFonts w:hint="eastAsia" w:hAnsi="宋体" w:cs="宋体"/>
          <w:b/>
          <w:bCs/>
          <w:color w:val="000000" w:themeColor="text1"/>
          <w:sz w:val="24"/>
          <w:szCs w:val="24"/>
          <w:highlight w:val="none"/>
          <w:lang w:val="en-US" w:eastAsia="zh-CN"/>
        </w:rPr>
        <w:t>合同生效及</w:t>
      </w:r>
      <w:r>
        <w:rPr>
          <w:rFonts w:hint="eastAsia" w:hAnsi="宋体" w:cs="宋体"/>
          <w:b/>
          <w:bCs/>
          <w:color w:val="000000" w:themeColor="text1"/>
          <w:sz w:val="24"/>
          <w:szCs w:val="24"/>
          <w:highlight w:val="none"/>
        </w:rPr>
        <w:t>其他</w:t>
      </w:r>
    </w:p>
    <w:p w14:paraId="47A9C311">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1、合同经双方法定代表人签字或盖章并加盖公章后生效。</w:t>
      </w:r>
    </w:p>
    <w:p w14:paraId="708A679E">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rPr>
        <w:t>、未尽事宜由双方协商，协商达成一致的由双方另行签订补充协议。</w:t>
      </w:r>
    </w:p>
    <w:p w14:paraId="3866F2F0">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3</w:t>
      </w:r>
      <w:r>
        <w:rPr>
          <w:rFonts w:hint="eastAsia" w:ascii="宋体" w:hAnsi="宋体" w:eastAsia="宋体" w:cs="宋体"/>
          <w:color w:val="000000" w:themeColor="text1"/>
          <w:sz w:val="24"/>
          <w:szCs w:val="24"/>
          <w:highlight w:val="none"/>
        </w:rPr>
        <w:t>、合同一式捌份，甲方执肆份、乙方执肆份。</w:t>
      </w:r>
    </w:p>
    <w:p w14:paraId="12502E89">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hAnsi="宋体" w:cs="宋体"/>
          <w:color w:val="000000" w:themeColor="text1"/>
          <w:sz w:val="24"/>
          <w:szCs w:val="24"/>
          <w:highlight w:val="none"/>
        </w:rPr>
      </w:pPr>
    </w:p>
    <w:p w14:paraId="31D3908B">
      <w:pPr>
        <w:pStyle w:val="13"/>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hAnsi="宋体" w:cs="宋体"/>
          <w:color w:val="000000" w:themeColor="text1"/>
          <w:sz w:val="24"/>
          <w:szCs w:val="24"/>
          <w:highlight w:val="none"/>
        </w:rPr>
      </w:pPr>
    </w:p>
    <w:p w14:paraId="56BA9A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甲方：（</w:t>
      </w:r>
      <w:r>
        <w:rPr>
          <w:rFonts w:hint="eastAsia" w:ascii="宋体" w:hAnsi="宋体" w:eastAsia="宋体" w:cs="宋体"/>
          <w:color w:val="000000" w:themeColor="text1"/>
          <w:sz w:val="24"/>
          <w:szCs w:val="24"/>
          <w:highlight w:val="none"/>
          <w:lang w:val="en-US" w:eastAsia="zh-CN"/>
        </w:rPr>
        <w:t>公章</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 xml:space="preserve"> </w:t>
      </w:r>
      <w:r>
        <w:rPr>
          <w:rFonts w:hint="eastAsia" w:ascii="宋体" w:hAnsi="宋体" w:eastAsia="宋体" w:cs="宋体"/>
          <w:color w:val="000000" w:themeColor="text1"/>
          <w:sz w:val="24"/>
          <w:szCs w:val="24"/>
          <w:highlight w:val="none"/>
        </w:rPr>
        <w:t xml:space="preserve">    </w:t>
      </w:r>
      <w:r>
        <w:rPr>
          <w:rFonts w:hint="eastAsia" w:ascii="宋体" w:hAnsi="宋体" w:eastAsia="宋体" w:cs="宋体"/>
          <w:color w:val="000000" w:themeColor="text1"/>
          <w:sz w:val="24"/>
          <w:szCs w:val="24"/>
          <w:highlight w:val="none"/>
          <w:lang w:val="en-US" w:eastAsia="zh-CN"/>
        </w:rPr>
        <w:t xml:space="preserve">            </w:t>
      </w:r>
      <w:r>
        <w:rPr>
          <w:rFonts w:hint="eastAsia" w:ascii="宋体" w:hAnsi="宋体" w:eastAsia="宋体" w:cs="宋体"/>
          <w:color w:val="000000" w:themeColor="text1"/>
          <w:sz w:val="24"/>
          <w:szCs w:val="24"/>
          <w:highlight w:val="none"/>
        </w:rPr>
        <w:t xml:space="preserve">    </w:t>
      </w:r>
      <w:r>
        <w:rPr>
          <w:rFonts w:hint="eastAsia" w:ascii="宋体" w:hAnsi="宋体" w:eastAsia="宋体" w:cs="宋体"/>
          <w:color w:val="000000" w:themeColor="text1"/>
          <w:sz w:val="24"/>
          <w:szCs w:val="24"/>
          <w:highlight w:val="none"/>
          <w:lang w:val="en-US" w:eastAsia="zh-CN"/>
        </w:rPr>
        <w:t xml:space="preserve">    </w:t>
      </w:r>
      <w:r>
        <w:rPr>
          <w:rFonts w:hint="eastAsia" w:ascii="宋体" w:hAnsi="宋体" w:eastAsia="宋体" w:cs="宋体"/>
          <w:color w:val="000000" w:themeColor="text1"/>
          <w:sz w:val="24"/>
          <w:szCs w:val="24"/>
          <w:highlight w:val="none"/>
        </w:rPr>
        <w:t>乙方：（</w:t>
      </w:r>
      <w:r>
        <w:rPr>
          <w:rFonts w:hint="eastAsia" w:ascii="宋体" w:hAnsi="宋体" w:eastAsia="宋体" w:cs="宋体"/>
          <w:color w:val="000000" w:themeColor="text1"/>
          <w:sz w:val="24"/>
          <w:szCs w:val="24"/>
          <w:highlight w:val="none"/>
          <w:lang w:val="en-US" w:eastAsia="zh-CN"/>
        </w:rPr>
        <w:t>公章</w:t>
      </w:r>
      <w:r>
        <w:rPr>
          <w:rFonts w:hint="eastAsia" w:ascii="宋体" w:hAnsi="宋体" w:eastAsia="宋体" w:cs="宋体"/>
          <w:color w:val="000000" w:themeColor="text1"/>
          <w:sz w:val="24"/>
          <w:szCs w:val="24"/>
          <w:highlight w:val="none"/>
        </w:rPr>
        <w:t>）</w:t>
      </w:r>
    </w:p>
    <w:p w14:paraId="593E998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rPr>
        <w:t>法定代表人</w:t>
      </w:r>
      <w:r>
        <w:rPr>
          <w:rFonts w:hint="eastAsia" w:ascii="宋体" w:hAnsi="宋体" w:eastAsia="宋体" w:cs="宋体"/>
          <w:color w:val="000000" w:themeColor="text1"/>
          <w:sz w:val="24"/>
          <w:szCs w:val="24"/>
          <w:highlight w:val="none"/>
          <w:lang w:val="en-US" w:eastAsia="zh-CN"/>
        </w:rPr>
        <w:t xml:space="preserve">                             </w:t>
      </w:r>
      <w:r>
        <w:rPr>
          <w:rFonts w:hint="eastAsia" w:ascii="宋体" w:hAnsi="宋体" w:eastAsia="宋体" w:cs="宋体"/>
          <w:color w:val="000000" w:themeColor="text1"/>
          <w:sz w:val="24"/>
          <w:szCs w:val="24"/>
          <w:highlight w:val="none"/>
        </w:rPr>
        <w:t>法定代表人</w:t>
      </w:r>
    </w:p>
    <w:p w14:paraId="1B901834">
      <w:pPr>
        <w:keepNext w:val="0"/>
        <w:keepLines w:val="0"/>
        <w:pageBreakBefore w:val="0"/>
        <w:widowControl w:val="0"/>
        <w:kinsoku/>
        <w:wordWrap/>
        <w:overflowPunct/>
        <w:topLinePunct w:val="0"/>
        <w:autoSpaceDE/>
        <w:autoSpaceDN/>
        <w:bidi w:val="0"/>
        <w:adjustRightInd/>
        <w:snapToGrid/>
        <w:spacing w:after="192" w:afterLines="50" w:line="240" w:lineRule="auto"/>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或委托代理人</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签名或盖章</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 xml:space="preserve">           </w:t>
      </w:r>
      <w:r>
        <w:rPr>
          <w:rFonts w:hint="eastAsia" w:ascii="宋体" w:hAnsi="宋体" w:eastAsia="宋体" w:cs="宋体"/>
          <w:color w:val="000000" w:themeColor="text1"/>
          <w:sz w:val="24"/>
          <w:szCs w:val="24"/>
          <w:highlight w:val="none"/>
        </w:rPr>
        <w:t>或委托代理人</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签名或盖章</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w:t>
      </w:r>
    </w:p>
    <w:p w14:paraId="09FC6D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val="en-US" w:eastAsia="zh-CN"/>
        </w:rPr>
        <w:t>地址</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 xml:space="preserve">                                 地址</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 xml:space="preserve"> </w:t>
      </w:r>
    </w:p>
    <w:p w14:paraId="68609D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账号</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 xml:space="preserve">                                 账号</w:t>
      </w:r>
      <w:r>
        <w:rPr>
          <w:rFonts w:hint="eastAsia" w:ascii="宋体" w:hAnsi="宋体" w:eastAsia="宋体" w:cs="宋体"/>
          <w:color w:val="000000" w:themeColor="text1"/>
          <w:sz w:val="24"/>
          <w:szCs w:val="24"/>
          <w:highlight w:val="none"/>
        </w:rPr>
        <w:t>：</w:t>
      </w:r>
    </w:p>
    <w:p w14:paraId="5489E7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 xml:space="preserve">税号：                                 税号：   </w:t>
      </w:r>
    </w:p>
    <w:p w14:paraId="1B3FA86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电话：                                 电话：</w:t>
      </w:r>
    </w:p>
    <w:p w14:paraId="641DCF59">
      <w:pPr>
        <w:rPr>
          <w:rFonts w:hint="eastAsia" w:ascii="宋体" w:hAnsi="宋体"/>
          <w:b/>
          <w:color w:val="000000" w:themeColor="text1"/>
          <w:sz w:val="32"/>
          <w:szCs w:val="21"/>
          <w:highlight w:val="none"/>
        </w:rPr>
      </w:pPr>
      <w:r>
        <w:rPr>
          <w:rFonts w:hint="eastAsia" w:ascii="宋体" w:hAnsi="宋体"/>
          <w:b/>
          <w:color w:val="000000" w:themeColor="text1"/>
          <w:sz w:val="32"/>
          <w:szCs w:val="21"/>
          <w:highlight w:val="none"/>
        </w:rPr>
        <w:br w:type="page"/>
      </w:r>
    </w:p>
    <w:p w14:paraId="3E11B94E">
      <w:pPr>
        <w:spacing w:line="276" w:lineRule="auto"/>
        <w:jc w:val="center"/>
        <w:outlineLvl w:val="0"/>
        <w:rPr>
          <w:rFonts w:ascii="宋体" w:hAnsi="宋体"/>
          <w:b/>
          <w:color w:val="000000" w:themeColor="text1"/>
          <w:sz w:val="32"/>
          <w:szCs w:val="21"/>
          <w:highlight w:val="none"/>
        </w:rPr>
      </w:pPr>
      <w:r>
        <w:rPr>
          <w:rFonts w:hint="eastAsia" w:ascii="宋体" w:hAnsi="宋体"/>
          <w:b/>
          <w:color w:val="000000" w:themeColor="text1"/>
          <w:sz w:val="32"/>
          <w:szCs w:val="21"/>
          <w:highlight w:val="none"/>
        </w:rPr>
        <w:t xml:space="preserve">第五部分 </w:t>
      </w:r>
      <w:bookmarkEnd w:id="52"/>
      <w:bookmarkEnd w:id="53"/>
      <w:r>
        <w:rPr>
          <w:rFonts w:hint="eastAsia" w:ascii="宋体" w:hAnsi="宋体"/>
          <w:b/>
          <w:color w:val="000000" w:themeColor="text1"/>
          <w:sz w:val="32"/>
          <w:szCs w:val="21"/>
          <w:highlight w:val="none"/>
        </w:rPr>
        <w:t>应提交的有关格式范例</w:t>
      </w:r>
    </w:p>
    <w:p w14:paraId="30C7B94F">
      <w:pPr>
        <w:snapToGrid w:val="0"/>
        <w:spacing w:line="500" w:lineRule="exact"/>
        <w:jc w:val="center"/>
        <w:outlineLvl w:val="0"/>
        <w:rPr>
          <w:rFonts w:ascii="宋体" w:hAnsi="宋体" w:cs="宋体"/>
          <w:b/>
          <w:color w:val="000000" w:themeColor="text1"/>
          <w:sz w:val="24"/>
          <w:szCs w:val="24"/>
          <w:highlight w:val="none"/>
        </w:rPr>
      </w:pPr>
      <w:bookmarkStart w:id="57" w:name="_Toc522530060"/>
      <w:bookmarkStart w:id="58" w:name="_Toc233618989"/>
      <w:r>
        <w:rPr>
          <w:rStyle w:val="30"/>
          <w:rFonts w:hint="eastAsia" w:eastAsia="宋体" w:cs="宋体"/>
          <w:color w:val="000000" w:themeColor="text1"/>
          <w:sz w:val="28"/>
          <w:szCs w:val="28"/>
          <w:highlight w:val="none"/>
        </w:rPr>
        <w:t>一、 投标文件封面</w:t>
      </w:r>
    </w:p>
    <w:p w14:paraId="5C2E00E9">
      <w:pPr>
        <w:ind w:left="2400" w:leftChars="857"/>
        <w:jc w:val="right"/>
        <w:rPr>
          <w:rFonts w:ascii="宋体" w:hAnsi="宋体" w:cs="宋体"/>
          <w:color w:val="000000" w:themeColor="text1"/>
          <w:sz w:val="24"/>
          <w:szCs w:val="24"/>
          <w:highlight w:val="none"/>
        </w:rPr>
      </w:pPr>
    </w:p>
    <w:p w14:paraId="21C9E2FC">
      <w:pPr>
        <w:rPr>
          <w:rFonts w:ascii="宋体" w:hAnsi="宋体" w:cs="宋体"/>
          <w:color w:val="000000" w:themeColor="text1"/>
          <w:sz w:val="24"/>
          <w:szCs w:val="24"/>
          <w:highlight w:val="none"/>
        </w:rPr>
      </w:pPr>
    </w:p>
    <w:p w14:paraId="19F60837">
      <w:pPr>
        <w:spacing w:line="240" w:lineRule="auto"/>
        <w:jc w:val="center"/>
        <w:rPr>
          <w:rFonts w:hint="eastAsia" w:ascii="宋体" w:hAnsi="宋体"/>
          <w:b/>
          <w:bCs/>
          <w:color w:val="000000" w:themeColor="text1"/>
          <w:sz w:val="36"/>
          <w:szCs w:val="36"/>
          <w:highlight w:val="none"/>
          <w:u w:val="none"/>
          <w:lang w:val="en-US" w:eastAsia="zh-CN"/>
        </w:rPr>
      </w:pPr>
      <w:r>
        <w:rPr>
          <w:rFonts w:hint="eastAsia" w:ascii="宋体" w:hAnsi="宋体"/>
          <w:b/>
          <w:bCs/>
          <w:color w:val="000000" w:themeColor="text1"/>
          <w:sz w:val="36"/>
          <w:szCs w:val="36"/>
          <w:highlight w:val="none"/>
          <w:u w:val="none"/>
          <w:lang w:val="en-US" w:eastAsia="zh-CN"/>
        </w:rPr>
        <w:t>衢州国家高新技术产业开发区（高新片区）调蓄功能提升改造及排水管网建设工程-智造新城防涝减灾综合安全智能管控平台项目-绳索救援套装采购</w:t>
      </w:r>
    </w:p>
    <w:p w14:paraId="44E6F810">
      <w:pPr>
        <w:rPr>
          <w:rFonts w:ascii="宋体" w:hAnsi="宋体" w:cs="宋体"/>
          <w:color w:val="000000" w:themeColor="text1"/>
          <w:sz w:val="24"/>
          <w:szCs w:val="24"/>
          <w:highlight w:val="none"/>
        </w:rPr>
      </w:pPr>
    </w:p>
    <w:p w14:paraId="54176AB4">
      <w:pPr>
        <w:rPr>
          <w:rFonts w:ascii="宋体" w:hAnsi="宋体" w:cs="宋体"/>
          <w:color w:val="000000" w:themeColor="text1"/>
          <w:sz w:val="24"/>
          <w:szCs w:val="24"/>
          <w:highlight w:val="none"/>
        </w:rPr>
      </w:pPr>
    </w:p>
    <w:p w14:paraId="139FF813">
      <w:pPr>
        <w:rPr>
          <w:rFonts w:ascii="宋体" w:hAnsi="宋体" w:cs="宋体"/>
          <w:color w:val="000000" w:themeColor="text1"/>
          <w:sz w:val="24"/>
          <w:szCs w:val="24"/>
          <w:highlight w:val="none"/>
        </w:rPr>
      </w:pPr>
    </w:p>
    <w:p w14:paraId="4E5484FF">
      <w:pPr>
        <w:rPr>
          <w:rFonts w:ascii="宋体" w:hAnsi="宋体" w:cs="宋体"/>
          <w:color w:val="000000" w:themeColor="text1"/>
          <w:sz w:val="24"/>
          <w:szCs w:val="24"/>
          <w:highlight w:val="none"/>
        </w:rPr>
      </w:pPr>
    </w:p>
    <w:p w14:paraId="2306E032">
      <w:pPr>
        <w:rPr>
          <w:rFonts w:ascii="宋体" w:hAnsi="宋体" w:cs="宋体"/>
          <w:color w:val="000000" w:themeColor="text1"/>
          <w:sz w:val="24"/>
          <w:szCs w:val="24"/>
          <w:highlight w:val="none"/>
        </w:rPr>
      </w:pPr>
    </w:p>
    <w:p w14:paraId="0095B5AE">
      <w:pPr>
        <w:snapToGrid w:val="0"/>
        <w:spacing w:line="440" w:lineRule="exact"/>
        <w:jc w:val="center"/>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资格审查文件</w:t>
      </w:r>
      <w:bookmarkStart w:id="59" w:name="_Toc357410801"/>
      <w:r>
        <w:rPr>
          <w:rFonts w:hint="eastAsia" w:ascii="宋体" w:hAnsi="宋体" w:cs="宋体"/>
          <w:color w:val="000000" w:themeColor="text1"/>
          <w:sz w:val="32"/>
          <w:szCs w:val="32"/>
          <w:highlight w:val="none"/>
        </w:rPr>
        <w:t>（或商务技术文件或报价文件）</w:t>
      </w:r>
      <w:bookmarkEnd w:id="59"/>
    </w:p>
    <w:p w14:paraId="0D71D633">
      <w:pPr>
        <w:adjustRightInd w:val="0"/>
        <w:snapToGrid w:val="0"/>
        <w:spacing w:line="600" w:lineRule="auto"/>
        <w:ind w:firstLine="472" w:firstLineChars="147"/>
        <w:rPr>
          <w:rFonts w:hint="eastAsia" w:ascii="宋体" w:hAnsi="宋体" w:eastAsia="宋体" w:cs="宋体"/>
          <w:b/>
          <w:i w:val="0"/>
          <w:iCs w:val="0"/>
          <w:caps w:val="0"/>
          <w:color w:val="000000" w:themeColor="text1"/>
          <w:spacing w:val="0"/>
          <w:sz w:val="32"/>
          <w:szCs w:val="32"/>
          <w:highlight w:val="none"/>
        </w:rPr>
      </w:pPr>
    </w:p>
    <w:p w14:paraId="5B92C11A">
      <w:pPr>
        <w:pStyle w:val="2"/>
        <w:rPr>
          <w:rFonts w:hint="eastAsia" w:ascii="宋体" w:hAnsi="宋体" w:eastAsia="宋体" w:cs="宋体"/>
          <w:b/>
          <w:i w:val="0"/>
          <w:iCs w:val="0"/>
          <w:caps w:val="0"/>
          <w:color w:val="000000" w:themeColor="text1"/>
          <w:spacing w:val="0"/>
          <w:sz w:val="32"/>
          <w:szCs w:val="32"/>
          <w:highlight w:val="none"/>
        </w:rPr>
      </w:pPr>
    </w:p>
    <w:p w14:paraId="2B983033">
      <w:pPr>
        <w:pStyle w:val="2"/>
        <w:rPr>
          <w:rFonts w:hint="eastAsia" w:ascii="宋体" w:hAnsi="宋体" w:eastAsia="宋体" w:cs="宋体"/>
          <w:b/>
          <w:i w:val="0"/>
          <w:iCs w:val="0"/>
          <w:caps w:val="0"/>
          <w:color w:val="000000" w:themeColor="text1"/>
          <w:spacing w:val="0"/>
          <w:sz w:val="32"/>
          <w:szCs w:val="32"/>
          <w:highlight w:val="none"/>
        </w:rPr>
      </w:pPr>
    </w:p>
    <w:p w14:paraId="3C756AF5">
      <w:pPr>
        <w:pStyle w:val="2"/>
        <w:rPr>
          <w:rFonts w:hint="eastAsia" w:ascii="宋体" w:hAnsi="宋体" w:eastAsia="宋体" w:cs="宋体"/>
          <w:b/>
          <w:i w:val="0"/>
          <w:iCs w:val="0"/>
          <w:caps w:val="0"/>
          <w:color w:val="000000" w:themeColor="text1"/>
          <w:spacing w:val="0"/>
          <w:sz w:val="32"/>
          <w:szCs w:val="32"/>
          <w:highlight w:val="none"/>
        </w:rPr>
      </w:pPr>
    </w:p>
    <w:p w14:paraId="00DBFA53">
      <w:pPr>
        <w:pStyle w:val="2"/>
        <w:rPr>
          <w:color w:val="000000" w:themeColor="text1"/>
          <w:highlight w:val="none"/>
        </w:rPr>
      </w:pPr>
    </w:p>
    <w:p w14:paraId="42C064EF">
      <w:pPr>
        <w:adjustRightInd w:val="0"/>
        <w:snapToGrid w:val="0"/>
        <w:spacing w:line="600" w:lineRule="auto"/>
        <w:ind w:firstLine="472" w:firstLineChars="147"/>
        <w:rPr>
          <w:rFonts w:hint="eastAsia" w:ascii="宋体" w:hAnsi="宋体" w:eastAsia="宋体" w:cs="宋体"/>
          <w:b/>
          <w:i w:val="0"/>
          <w:iCs w:val="0"/>
          <w:caps w:val="0"/>
          <w:color w:val="000000" w:themeColor="text1"/>
          <w:spacing w:val="0"/>
          <w:sz w:val="32"/>
          <w:szCs w:val="32"/>
          <w:highlight w:val="none"/>
          <w:u w:val="single"/>
        </w:rPr>
      </w:pPr>
      <w:bookmarkStart w:id="60" w:name="_Toc357410802"/>
      <w:r>
        <w:rPr>
          <w:rFonts w:hint="eastAsia" w:ascii="宋体" w:hAnsi="宋体" w:eastAsia="宋体" w:cs="宋体"/>
          <w:b/>
          <w:i w:val="0"/>
          <w:iCs w:val="0"/>
          <w:caps w:val="0"/>
          <w:color w:val="000000" w:themeColor="text1"/>
          <w:spacing w:val="0"/>
          <w:sz w:val="32"/>
          <w:szCs w:val="32"/>
          <w:highlight w:val="none"/>
        </w:rPr>
        <w:t>项目名称：</w:t>
      </w:r>
      <w:bookmarkEnd w:id="60"/>
      <w:r>
        <w:rPr>
          <w:rFonts w:hint="eastAsia" w:ascii="宋体" w:hAnsi="宋体" w:eastAsia="宋体" w:cs="宋体"/>
          <w:b/>
          <w:i w:val="0"/>
          <w:iCs w:val="0"/>
          <w:caps w:val="0"/>
          <w:color w:val="000000" w:themeColor="text1"/>
          <w:spacing w:val="0"/>
          <w:sz w:val="32"/>
          <w:szCs w:val="32"/>
          <w:highlight w:val="none"/>
          <w:u w:val="single"/>
        </w:rPr>
        <w:t xml:space="preserve">                                      </w:t>
      </w:r>
      <w:bookmarkStart w:id="61" w:name="_Toc357410803"/>
    </w:p>
    <w:bookmarkEnd w:id="61"/>
    <w:p w14:paraId="4B89E90A">
      <w:pPr>
        <w:adjustRightInd w:val="0"/>
        <w:snapToGrid w:val="0"/>
        <w:spacing w:line="600" w:lineRule="auto"/>
        <w:ind w:firstLine="472" w:firstLineChars="147"/>
        <w:rPr>
          <w:rFonts w:hint="eastAsia" w:ascii="宋体" w:hAnsi="宋体" w:eastAsia="宋体" w:cs="宋体"/>
          <w:b/>
          <w:i w:val="0"/>
          <w:iCs w:val="0"/>
          <w:caps w:val="0"/>
          <w:color w:val="000000" w:themeColor="text1"/>
          <w:spacing w:val="0"/>
          <w:sz w:val="32"/>
          <w:szCs w:val="32"/>
          <w:highlight w:val="none"/>
          <w:u w:val="single"/>
        </w:rPr>
      </w:pPr>
      <w:bookmarkStart w:id="62" w:name="_Toc357410804"/>
      <w:r>
        <w:rPr>
          <w:rFonts w:hint="eastAsia" w:ascii="宋体" w:hAnsi="宋体" w:eastAsia="宋体" w:cs="宋体"/>
          <w:b/>
          <w:i w:val="0"/>
          <w:iCs w:val="0"/>
          <w:caps w:val="0"/>
          <w:color w:val="000000" w:themeColor="text1"/>
          <w:spacing w:val="0"/>
          <w:sz w:val="32"/>
          <w:szCs w:val="32"/>
          <w:highlight w:val="none"/>
        </w:rPr>
        <w:t>投 标 人：</w:t>
      </w:r>
      <w:r>
        <w:rPr>
          <w:rFonts w:hint="eastAsia" w:ascii="宋体" w:hAnsi="宋体" w:eastAsia="宋体" w:cs="宋体"/>
          <w:b/>
          <w:i w:val="0"/>
          <w:iCs w:val="0"/>
          <w:caps w:val="0"/>
          <w:color w:val="000000" w:themeColor="text1"/>
          <w:spacing w:val="0"/>
          <w:sz w:val="32"/>
          <w:szCs w:val="32"/>
          <w:highlight w:val="none"/>
          <w:u w:val="single"/>
        </w:rPr>
        <w:t xml:space="preserve">                              （盖章）</w:t>
      </w:r>
      <w:bookmarkEnd w:id="62"/>
    </w:p>
    <w:p w14:paraId="4839F8D6">
      <w:pPr>
        <w:adjustRightInd w:val="0"/>
        <w:snapToGrid w:val="0"/>
        <w:spacing w:line="600" w:lineRule="auto"/>
        <w:ind w:firstLine="472" w:firstLineChars="147"/>
        <w:rPr>
          <w:rFonts w:hint="eastAsia" w:ascii="宋体" w:hAnsi="宋体" w:eastAsia="宋体" w:cs="宋体"/>
          <w:b/>
          <w:i w:val="0"/>
          <w:iCs w:val="0"/>
          <w:caps w:val="0"/>
          <w:color w:val="000000" w:themeColor="text1"/>
          <w:spacing w:val="0"/>
          <w:sz w:val="32"/>
          <w:szCs w:val="32"/>
          <w:highlight w:val="none"/>
          <w:u w:val="single"/>
        </w:rPr>
      </w:pPr>
      <w:r>
        <w:rPr>
          <w:rFonts w:hint="eastAsia" w:ascii="宋体" w:hAnsi="宋体" w:eastAsia="宋体" w:cs="宋体"/>
          <w:b/>
          <w:i w:val="0"/>
          <w:iCs w:val="0"/>
          <w:caps w:val="0"/>
          <w:color w:val="000000" w:themeColor="text1"/>
          <w:spacing w:val="0"/>
          <w:sz w:val="32"/>
          <w:szCs w:val="32"/>
          <w:highlight w:val="none"/>
        </w:rPr>
        <w:t>法定代表人：</w:t>
      </w:r>
      <w:r>
        <w:rPr>
          <w:rFonts w:hint="eastAsia" w:ascii="宋体" w:hAnsi="宋体" w:eastAsia="宋体" w:cs="宋体"/>
          <w:b/>
          <w:i w:val="0"/>
          <w:iCs w:val="0"/>
          <w:caps w:val="0"/>
          <w:color w:val="000000" w:themeColor="text1"/>
          <w:spacing w:val="0"/>
          <w:sz w:val="32"/>
          <w:szCs w:val="32"/>
          <w:highlight w:val="none"/>
          <w:u w:val="single"/>
        </w:rPr>
        <w:t xml:space="preserve">                      （签字或盖章）</w:t>
      </w:r>
    </w:p>
    <w:p w14:paraId="324D7D39">
      <w:pPr>
        <w:pStyle w:val="10"/>
        <w:ind w:left="1120" w:hanging="560"/>
        <w:rPr>
          <w:rFonts w:ascii="宋体" w:hAnsi="宋体" w:cs="宋体"/>
          <w:color w:val="000000" w:themeColor="text1"/>
          <w:sz w:val="28"/>
          <w:szCs w:val="28"/>
          <w:highlight w:val="none"/>
          <w:u w:val="single"/>
        </w:rPr>
      </w:pPr>
    </w:p>
    <w:p w14:paraId="668D4EF4">
      <w:pPr>
        <w:pStyle w:val="10"/>
        <w:ind w:left="1120" w:hanging="560"/>
        <w:rPr>
          <w:rFonts w:ascii="宋体" w:hAnsi="宋体" w:cs="宋体"/>
          <w:color w:val="000000" w:themeColor="text1"/>
          <w:sz w:val="28"/>
          <w:szCs w:val="28"/>
          <w:highlight w:val="none"/>
          <w:u w:val="single"/>
        </w:rPr>
      </w:pPr>
    </w:p>
    <w:p w14:paraId="428C1994">
      <w:pPr>
        <w:pStyle w:val="10"/>
        <w:ind w:left="1120" w:hanging="560"/>
        <w:jc w:val="center"/>
        <w:rPr>
          <w:rFonts w:ascii="宋体" w:hAnsi="宋体" w:cs="宋体"/>
          <w:color w:val="000000" w:themeColor="text1"/>
          <w:sz w:val="28"/>
          <w:szCs w:val="28"/>
          <w:highlight w:val="none"/>
          <w:u w:val="single"/>
        </w:rPr>
      </w:pPr>
    </w:p>
    <w:p w14:paraId="4F8170A5">
      <w:pPr>
        <w:snapToGrid w:val="0"/>
        <w:spacing w:line="800" w:lineRule="exact"/>
        <w:jc w:val="center"/>
        <w:rPr>
          <w:rFonts w:ascii="宋体" w:hAnsi="宋体" w:cs="宋体"/>
          <w:b/>
          <w:bCs/>
          <w:color w:val="000000" w:themeColor="text1"/>
          <w:szCs w:val="28"/>
          <w:highlight w:val="none"/>
        </w:rPr>
      </w:pPr>
      <w:bookmarkStart w:id="63" w:name="_Toc357410805"/>
      <w:r>
        <w:rPr>
          <w:rFonts w:hint="eastAsia" w:ascii="宋体" w:hAnsi="宋体" w:cs="宋体"/>
          <w:b/>
          <w:bCs/>
          <w:color w:val="000000" w:themeColor="text1"/>
          <w:szCs w:val="28"/>
          <w:highlight w:val="none"/>
        </w:rPr>
        <w:t>日期：  年  月  日</w:t>
      </w:r>
      <w:bookmarkEnd w:id="63"/>
    </w:p>
    <w:p w14:paraId="22753804">
      <w:pPr>
        <w:pStyle w:val="31"/>
        <w:rPr>
          <w:color w:val="000000" w:themeColor="text1"/>
          <w:highlight w:val="none"/>
        </w:rPr>
      </w:pPr>
    </w:p>
    <w:p w14:paraId="34585058">
      <w:pPr>
        <w:rPr>
          <w:rFonts w:ascii="宋体" w:hAnsi="宋体"/>
          <w:b/>
          <w:color w:val="000000" w:themeColor="text1"/>
          <w:szCs w:val="22"/>
          <w:highlight w:val="none"/>
        </w:rPr>
      </w:pPr>
      <w:r>
        <w:rPr>
          <w:rFonts w:hint="eastAsia" w:ascii="宋体" w:hAnsi="宋体"/>
          <w:b/>
          <w:color w:val="000000" w:themeColor="text1"/>
          <w:szCs w:val="22"/>
          <w:highlight w:val="none"/>
        </w:rPr>
        <w:br w:type="page"/>
      </w:r>
    </w:p>
    <w:p w14:paraId="7275D2E9">
      <w:pPr>
        <w:spacing w:line="440" w:lineRule="exact"/>
        <w:jc w:val="center"/>
        <w:rPr>
          <w:rFonts w:ascii="宋体" w:hAnsi="宋体" w:cs="宋体"/>
          <w:b/>
          <w:color w:val="000000" w:themeColor="text1"/>
          <w:szCs w:val="28"/>
          <w:highlight w:val="none"/>
        </w:rPr>
      </w:pPr>
      <w:r>
        <w:rPr>
          <w:rFonts w:hint="eastAsia" w:ascii="宋体" w:hAnsi="宋体" w:cs="宋体"/>
          <w:b/>
          <w:color w:val="000000" w:themeColor="text1"/>
          <w:szCs w:val="28"/>
          <w:highlight w:val="none"/>
          <w:lang w:val="en-US" w:eastAsia="zh-CN"/>
        </w:rPr>
        <w:t>二</w:t>
      </w:r>
      <w:r>
        <w:rPr>
          <w:rFonts w:hint="eastAsia" w:ascii="宋体" w:hAnsi="宋体" w:cs="宋体"/>
          <w:b/>
          <w:color w:val="000000" w:themeColor="text1"/>
          <w:szCs w:val="28"/>
          <w:highlight w:val="none"/>
        </w:rPr>
        <w:t>、法定代表人身份证明</w:t>
      </w:r>
    </w:p>
    <w:p w14:paraId="4A0060DF">
      <w:pPr>
        <w:spacing w:line="440" w:lineRule="exact"/>
        <w:ind w:firstLine="480" w:firstLineChars="200"/>
        <w:rPr>
          <w:rFonts w:ascii="宋体" w:hAnsi="宋体" w:cs="宋体"/>
          <w:color w:val="000000" w:themeColor="text1"/>
          <w:sz w:val="24"/>
          <w:szCs w:val="24"/>
          <w:highlight w:val="none"/>
        </w:rPr>
      </w:pPr>
    </w:p>
    <w:p w14:paraId="607D3500">
      <w:pPr>
        <w:pStyle w:val="13"/>
        <w:snapToGrid w:val="0"/>
        <w:spacing w:line="440" w:lineRule="exact"/>
        <w:ind w:firstLine="600" w:firstLineChars="250"/>
        <w:rPr>
          <w:rFonts w:hAnsi="宋体" w:cs="宋体"/>
          <w:color w:val="000000" w:themeColor="text1"/>
          <w:sz w:val="24"/>
          <w:szCs w:val="24"/>
          <w:highlight w:val="none"/>
        </w:rPr>
      </w:pPr>
    </w:p>
    <w:p w14:paraId="37DF9830">
      <w:pPr>
        <w:pStyle w:val="13"/>
        <w:snapToGrid w:val="0"/>
        <w:spacing w:line="440" w:lineRule="exact"/>
        <w:ind w:firstLine="600" w:firstLineChars="250"/>
        <w:rPr>
          <w:rFonts w:hAnsi="宋体" w:cs="宋体"/>
          <w:color w:val="000000" w:themeColor="text1"/>
          <w:sz w:val="24"/>
          <w:szCs w:val="24"/>
          <w:highlight w:val="none"/>
        </w:rPr>
      </w:pPr>
      <w:r>
        <w:rPr>
          <w:rFonts w:hint="eastAsia" w:hAnsi="宋体" w:cs="宋体"/>
          <w:color w:val="000000" w:themeColor="text1"/>
          <w:sz w:val="24"/>
          <w:szCs w:val="24"/>
          <w:highlight w:val="none"/>
        </w:rPr>
        <w:t>投标人全称：</w:t>
      </w:r>
    </w:p>
    <w:p w14:paraId="0AF80890">
      <w:pPr>
        <w:pStyle w:val="13"/>
        <w:snapToGrid w:val="0"/>
        <w:spacing w:line="440" w:lineRule="exact"/>
        <w:ind w:firstLine="600" w:firstLineChars="250"/>
        <w:rPr>
          <w:rFonts w:hAnsi="宋体" w:cs="宋体"/>
          <w:color w:val="000000" w:themeColor="text1"/>
          <w:sz w:val="24"/>
          <w:szCs w:val="24"/>
          <w:highlight w:val="none"/>
        </w:rPr>
      </w:pPr>
      <w:r>
        <w:rPr>
          <w:rFonts w:hint="eastAsia" w:hAnsi="宋体" w:cs="宋体"/>
          <w:color w:val="000000" w:themeColor="text1"/>
          <w:sz w:val="24"/>
          <w:szCs w:val="24"/>
          <w:highlight w:val="none"/>
        </w:rPr>
        <w:t>单位性质：</w:t>
      </w:r>
    </w:p>
    <w:p w14:paraId="214C5CBF">
      <w:pPr>
        <w:pStyle w:val="13"/>
        <w:snapToGrid w:val="0"/>
        <w:spacing w:line="440" w:lineRule="exact"/>
        <w:ind w:firstLine="600" w:firstLineChars="250"/>
        <w:rPr>
          <w:rFonts w:hAnsi="宋体" w:cs="宋体"/>
          <w:color w:val="000000" w:themeColor="text1"/>
          <w:sz w:val="24"/>
          <w:szCs w:val="24"/>
          <w:highlight w:val="none"/>
        </w:rPr>
      </w:pPr>
      <w:r>
        <w:rPr>
          <w:rFonts w:hint="eastAsia" w:hAnsi="宋体" w:cs="宋体"/>
          <w:color w:val="000000" w:themeColor="text1"/>
          <w:sz w:val="24"/>
          <w:szCs w:val="24"/>
          <w:highlight w:val="none"/>
        </w:rPr>
        <w:t>地址：</w:t>
      </w:r>
    </w:p>
    <w:p w14:paraId="2ED28C50">
      <w:pPr>
        <w:pStyle w:val="13"/>
        <w:snapToGrid w:val="0"/>
        <w:spacing w:line="440" w:lineRule="exact"/>
        <w:ind w:firstLine="600" w:firstLineChars="250"/>
        <w:rPr>
          <w:rFonts w:hAnsi="宋体" w:cs="宋体"/>
          <w:color w:val="000000" w:themeColor="text1"/>
          <w:sz w:val="24"/>
          <w:szCs w:val="24"/>
          <w:highlight w:val="none"/>
        </w:rPr>
      </w:pPr>
      <w:r>
        <w:rPr>
          <w:rFonts w:hint="eastAsia" w:hAnsi="宋体" w:cs="宋体"/>
          <w:color w:val="000000" w:themeColor="text1"/>
          <w:sz w:val="24"/>
          <w:szCs w:val="24"/>
          <w:highlight w:val="none"/>
        </w:rPr>
        <w:t>成立时间：  年  月   日</w:t>
      </w:r>
    </w:p>
    <w:p w14:paraId="769E8BA0">
      <w:pPr>
        <w:pStyle w:val="13"/>
        <w:snapToGrid w:val="0"/>
        <w:spacing w:line="440" w:lineRule="exact"/>
        <w:ind w:firstLine="600" w:firstLineChars="250"/>
        <w:rPr>
          <w:rFonts w:hAnsi="宋体" w:cs="宋体"/>
          <w:color w:val="000000" w:themeColor="text1"/>
          <w:sz w:val="24"/>
          <w:szCs w:val="24"/>
          <w:highlight w:val="none"/>
        </w:rPr>
      </w:pPr>
      <w:r>
        <w:rPr>
          <w:rFonts w:hint="eastAsia" w:hAnsi="宋体" w:cs="宋体"/>
          <w:color w:val="000000" w:themeColor="text1"/>
          <w:sz w:val="24"/>
          <w:szCs w:val="24"/>
          <w:highlight w:val="none"/>
        </w:rPr>
        <w:t>经营期限：</w:t>
      </w:r>
    </w:p>
    <w:p w14:paraId="54125F8E">
      <w:pPr>
        <w:pStyle w:val="13"/>
        <w:snapToGrid w:val="0"/>
        <w:spacing w:line="440" w:lineRule="exact"/>
        <w:ind w:firstLine="600" w:firstLineChars="250"/>
        <w:rPr>
          <w:rFonts w:hAnsi="宋体" w:cs="宋体"/>
          <w:color w:val="000000" w:themeColor="text1"/>
          <w:sz w:val="24"/>
          <w:szCs w:val="24"/>
          <w:highlight w:val="none"/>
          <w:u w:val="single"/>
        </w:rPr>
      </w:pPr>
      <w:r>
        <w:rPr>
          <w:rFonts w:hint="eastAsia" w:hAnsi="宋体" w:cs="宋体"/>
          <w:color w:val="000000" w:themeColor="text1"/>
          <w:sz w:val="24"/>
          <w:szCs w:val="24"/>
          <w:highlight w:val="none"/>
        </w:rPr>
        <w:t>姓名：    性别：    年龄：   职务：</w:t>
      </w:r>
    </w:p>
    <w:p w14:paraId="74108A82">
      <w:pPr>
        <w:pStyle w:val="13"/>
        <w:snapToGrid w:val="0"/>
        <w:spacing w:line="440" w:lineRule="exact"/>
        <w:ind w:firstLine="600" w:firstLineChars="250"/>
        <w:rPr>
          <w:rFonts w:hAnsi="宋体" w:cs="宋体"/>
          <w:color w:val="000000" w:themeColor="text1"/>
          <w:sz w:val="24"/>
          <w:szCs w:val="24"/>
          <w:highlight w:val="none"/>
        </w:rPr>
      </w:pPr>
      <w:r>
        <w:rPr>
          <w:rFonts w:hint="eastAsia" w:hAnsi="宋体" w:cs="宋体"/>
          <w:color w:val="000000" w:themeColor="text1"/>
          <w:sz w:val="24"/>
          <w:szCs w:val="24"/>
          <w:highlight w:val="none"/>
        </w:rPr>
        <w:t>系 （投标人全称）的法定代表人。</w:t>
      </w:r>
    </w:p>
    <w:p w14:paraId="22557A58">
      <w:pPr>
        <w:pStyle w:val="13"/>
        <w:snapToGrid w:val="0"/>
        <w:spacing w:line="440" w:lineRule="exact"/>
        <w:ind w:firstLine="600" w:firstLineChars="250"/>
        <w:rPr>
          <w:rFonts w:hAnsi="宋体" w:cs="宋体"/>
          <w:color w:val="000000" w:themeColor="text1"/>
          <w:sz w:val="24"/>
          <w:szCs w:val="24"/>
          <w:highlight w:val="none"/>
        </w:rPr>
      </w:pPr>
      <w:r>
        <w:rPr>
          <w:rFonts w:hint="eastAsia" w:hAnsi="宋体" w:cs="宋体"/>
          <w:color w:val="000000" w:themeColor="text1"/>
          <w:sz w:val="24"/>
          <w:szCs w:val="24"/>
          <w:highlight w:val="none"/>
        </w:rPr>
        <w:t>特此证明。</w:t>
      </w:r>
    </w:p>
    <w:p w14:paraId="0BA8F8E6">
      <w:pPr>
        <w:spacing w:line="440" w:lineRule="exact"/>
        <w:ind w:firstLine="480" w:firstLineChars="200"/>
        <w:rPr>
          <w:rFonts w:ascii="宋体" w:hAnsi="宋体" w:cs="宋体"/>
          <w:color w:val="000000" w:themeColor="text1"/>
          <w:sz w:val="24"/>
          <w:szCs w:val="24"/>
          <w:highlight w:val="none"/>
        </w:rPr>
      </w:pPr>
    </w:p>
    <w:p w14:paraId="15BFA56F">
      <w:pPr>
        <w:spacing w:line="440" w:lineRule="exact"/>
        <w:ind w:firstLine="480" w:firstLineChars="200"/>
        <w:rPr>
          <w:rFonts w:ascii="宋体" w:hAnsi="宋体" w:cs="宋体"/>
          <w:color w:val="000000" w:themeColor="text1"/>
          <w:sz w:val="24"/>
          <w:szCs w:val="24"/>
          <w:highlight w:val="none"/>
        </w:rPr>
      </w:pPr>
    </w:p>
    <w:p w14:paraId="517F3224">
      <w:pPr>
        <w:spacing w:line="440" w:lineRule="exact"/>
        <w:ind w:firstLine="480" w:firstLineChars="200"/>
        <w:rPr>
          <w:rFonts w:ascii="宋体" w:hAnsi="宋体" w:cs="宋体"/>
          <w:color w:val="000000" w:themeColor="text1"/>
          <w:sz w:val="24"/>
          <w:szCs w:val="24"/>
          <w:highlight w:val="none"/>
        </w:rPr>
      </w:pPr>
    </w:p>
    <w:p w14:paraId="547EA748">
      <w:pPr>
        <w:spacing w:line="440" w:lineRule="exact"/>
        <w:rPr>
          <w:rFonts w:ascii="宋体" w:hAnsi="宋体" w:cs="宋体"/>
          <w:color w:val="000000" w:themeColor="text1"/>
          <w:sz w:val="24"/>
          <w:szCs w:val="24"/>
          <w:highlight w:val="none"/>
        </w:rPr>
      </w:pPr>
    </w:p>
    <w:p w14:paraId="087F23BB">
      <w:pPr>
        <w:spacing w:line="440" w:lineRule="exact"/>
        <w:ind w:firstLine="2955"/>
        <w:rPr>
          <w:rFonts w:ascii="宋体" w:hAnsi="宋体" w:cs="宋体"/>
          <w:color w:val="000000" w:themeColor="text1"/>
          <w:kern w:val="0"/>
          <w:sz w:val="24"/>
          <w:szCs w:val="24"/>
          <w:highlight w:val="none"/>
        </w:rPr>
      </w:pPr>
      <w:r>
        <w:rPr>
          <w:rFonts w:hint="eastAsia" w:ascii="宋体" w:hAnsi="宋体" w:cs="宋体"/>
          <w:color w:val="000000" w:themeColor="text1"/>
          <w:sz w:val="24"/>
          <w:szCs w:val="24"/>
          <w:highlight w:val="none"/>
        </w:rPr>
        <w:t xml:space="preserve">    投标人全称：  </w:t>
      </w:r>
      <w:r>
        <w:rPr>
          <w:rFonts w:hint="eastAsia" w:ascii="宋体" w:hAnsi="宋体" w:cs="宋体"/>
          <w:color w:val="000000" w:themeColor="text1"/>
          <w:sz w:val="24"/>
          <w:szCs w:val="24"/>
          <w:highlight w:val="none"/>
          <w:u w:val="single"/>
        </w:rPr>
        <w:t xml:space="preserve">（公章）         </w:t>
      </w:r>
    </w:p>
    <w:p w14:paraId="6555FE54">
      <w:pPr>
        <w:spacing w:line="440" w:lineRule="exact"/>
        <w:ind w:firstLine="5160" w:firstLineChars="2150"/>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        年月日</w:t>
      </w:r>
    </w:p>
    <w:p w14:paraId="23147B06">
      <w:pPr>
        <w:spacing w:line="440" w:lineRule="exact"/>
        <w:ind w:firstLine="5160" w:firstLineChars="2150"/>
        <w:rPr>
          <w:rFonts w:ascii="宋体" w:hAnsi="宋体" w:cs="宋体"/>
          <w:color w:val="000000" w:themeColor="text1"/>
          <w:sz w:val="24"/>
          <w:szCs w:val="24"/>
          <w:highlight w:val="none"/>
        </w:rPr>
      </w:pPr>
    </w:p>
    <w:tbl>
      <w:tblPr>
        <w:tblStyle w:val="21"/>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0340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jc w:val="center"/>
        </w:trPr>
        <w:tc>
          <w:tcPr>
            <w:tcW w:w="9242" w:type="dxa"/>
            <w:noWrap/>
            <w:vAlign w:val="center"/>
          </w:tcPr>
          <w:p w14:paraId="46EAE20B">
            <w:pPr>
              <w:adjustRightInd w:val="0"/>
              <w:snapToGrid w:val="0"/>
              <w:spacing w:line="360" w:lineRule="auto"/>
              <w:jc w:val="center"/>
              <w:rPr>
                <w:rFonts w:ascii="宋体" w:hAnsi="宋体"/>
                <w:color w:val="000000" w:themeColor="text1"/>
                <w:highlight w:val="none"/>
              </w:rPr>
            </w:pPr>
            <w:r>
              <w:rPr>
                <w:rFonts w:ascii="宋体" w:hAnsi="宋体"/>
                <w:color w:val="000000" w:themeColor="text1"/>
                <w:highlight w:val="none"/>
              </w:rPr>
              <w:t>法定代表人</w:t>
            </w:r>
            <w:r>
              <w:rPr>
                <w:rFonts w:hint="eastAsia" w:ascii="宋体" w:hAnsi="宋体"/>
                <w:color w:val="000000" w:themeColor="text1"/>
                <w:highlight w:val="none"/>
              </w:rPr>
              <w:t>身份证复印件粘贴处（正、反面）</w:t>
            </w:r>
          </w:p>
        </w:tc>
      </w:tr>
    </w:tbl>
    <w:p w14:paraId="34939F98">
      <w:pPr>
        <w:spacing w:line="440" w:lineRule="exact"/>
        <w:rPr>
          <w:rFonts w:ascii="宋体" w:hAnsi="宋体" w:cs="宋体"/>
          <w:color w:val="000000" w:themeColor="text1"/>
          <w:sz w:val="24"/>
          <w:szCs w:val="24"/>
          <w:highlight w:val="none"/>
        </w:rPr>
      </w:pPr>
    </w:p>
    <w:p w14:paraId="287E8422">
      <w:pPr>
        <w:spacing w:line="440" w:lineRule="exact"/>
        <w:jc w:val="center"/>
        <w:rPr>
          <w:rFonts w:ascii="宋体" w:hAnsi="宋体" w:cs="宋体"/>
          <w:b/>
          <w:color w:val="000000" w:themeColor="text1"/>
          <w:sz w:val="24"/>
          <w:szCs w:val="24"/>
          <w:highlight w:val="none"/>
        </w:rPr>
      </w:pPr>
    </w:p>
    <w:p w14:paraId="59F02DB1">
      <w:pPr>
        <w:spacing w:line="440" w:lineRule="exact"/>
        <w:rPr>
          <w:rFonts w:ascii="宋体" w:hAnsi="宋体" w:cs="宋体"/>
          <w:color w:val="000000" w:themeColor="text1"/>
          <w:sz w:val="24"/>
          <w:szCs w:val="24"/>
          <w:highlight w:val="none"/>
        </w:rPr>
      </w:pPr>
    </w:p>
    <w:p w14:paraId="0E072128">
      <w:pPr>
        <w:spacing w:line="440" w:lineRule="exact"/>
        <w:rPr>
          <w:rFonts w:ascii="宋体" w:hAnsi="宋体" w:cs="宋体"/>
          <w:color w:val="000000" w:themeColor="text1"/>
          <w:sz w:val="24"/>
          <w:szCs w:val="24"/>
          <w:highlight w:val="none"/>
        </w:rPr>
      </w:pPr>
    </w:p>
    <w:p w14:paraId="4B31048E">
      <w:pPr>
        <w:spacing w:line="440" w:lineRule="exact"/>
        <w:jc w:val="center"/>
        <w:rPr>
          <w:rFonts w:ascii="宋体" w:hAnsi="宋体" w:cs="宋体"/>
          <w:b/>
          <w:color w:val="000000" w:themeColor="text1"/>
          <w:sz w:val="24"/>
          <w:szCs w:val="24"/>
          <w:highlight w:val="none"/>
        </w:rPr>
      </w:pPr>
    </w:p>
    <w:p w14:paraId="11A42459">
      <w:pPr>
        <w:spacing w:line="440" w:lineRule="exact"/>
        <w:jc w:val="center"/>
        <w:outlineLvl w:val="1"/>
        <w:rPr>
          <w:rFonts w:ascii="宋体" w:hAnsi="宋体" w:cs="宋体"/>
          <w:b/>
          <w:color w:val="000000" w:themeColor="text1"/>
          <w:sz w:val="24"/>
          <w:szCs w:val="24"/>
          <w:highlight w:val="none"/>
        </w:rPr>
      </w:pPr>
      <w:bookmarkStart w:id="64" w:name="_Toc16321"/>
      <w:r>
        <w:rPr>
          <w:rFonts w:hint="eastAsia" w:ascii="宋体" w:hAnsi="宋体" w:cs="宋体"/>
          <w:b/>
          <w:color w:val="000000" w:themeColor="text1"/>
          <w:sz w:val="24"/>
          <w:szCs w:val="24"/>
          <w:highlight w:val="none"/>
        </w:rPr>
        <w:t>法定代表人授权书</w:t>
      </w:r>
      <w:bookmarkEnd w:id="64"/>
    </w:p>
    <w:p w14:paraId="47604673">
      <w:pPr>
        <w:spacing w:line="440" w:lineRule="exact"/>
        <w:rPr>
          <w:rFonts w:ascii="宋体" w:hAnsi="宋体" w:cs="宋体"/>
          <w:color w:val="000000" w:themeColor="text1"/>
          <w:sz w:val="24"/>
          <w:szCs w:val="24"/>
          <w:highlight w:val="none"/>
        </w:rPr>
      </w:pPr>
    </w:p>
    <w:p w14:paraId="4DBB85D1">
      <w:pPr>
        <w:snapToGrid w:val="0"/>
        <w:spacing w:line="44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eastAsia="zh-CN"/>
        </w:rPr>
        <w:t>衢州智造新城管理委员会</w:t>
      </w:r>
      <w:r>
        <w:rPr>
          <w:rFonts w:hint="eastAsia" w:ascii="宋体" w:hAnsi="宋体" w:cs="宋体"/>
          <w:color w:val="000000" w:themeColor="text1"/>
          <w:sz w:val="24"/>
          <w:szCs w:val="24"/>
          <w:highlight w:val="none"/>
        </w:rPr>
        <w:t>：</w:t>
      </w:r>
    </w:p>
    <w:p w14:paraId="213E96DE">
      <w:pPr>
        <w:spacing w:line="44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eastAsia="zh-CN"/>
        </w:rPr>
        <w:t>浙江欣成工程咨询有限公司</w:t>
      </w:r>
      <w:r>
        <w:rPr>
          <w:rFonts w:hint="eastAsia" w:ascii="宋体" w:hAnsi="宋体" w:cs="宋体"/>
          <w:color w:val="000000" w:themeColor="text1"/>
          <w:sz w:val="24"/>
          <w:szCs w:val="24"/>
          <w:highlight w:val="none"/>
        </w:rPr>
        <w:t>：</w:t>
      </w:r>
    </w:p>
    <w:p w14:paraId="128B0D5A">
      <w:pPr>
        <w:spacing w:line="440" w:lineRule="exact"/>
        <w:rPr>
          <w:rFonts w:ascii="宋体" w:hAnsi="宋体" w:cs="宋体"/>
          <w:color w:val="000000" w:themeColor="text1"/>
          <w:sz w:val="24"/>
          <w:szCs w:val="24"/>
          <w:highlight w:val="none"/>
          <w:u w:val="single"/>
        </w:rPr>
      </w:pPr>
    </w:p>
    <w:p w14:paraId="71258A87">
      <w:pPr>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（投标人全称）法定代表人授权（全权代表姓名）为全权代表，参加贵处组织的（项目名称、编号）的投标活动，全权代表我方处理投标活动中的一切事宜。由此产生的一切法律后果由我方承担。</w:t>
      </w:r>
    </w:p>
    <w:p w14:paraId="08BAE17A">
      <w:pPr>
        <w:spacing w:line="440" w:lineRule="exact"/>
        <w:ind w:firstLine="2955"/>
        <w:rPr>
          <w:rFonts w:ascii="宋体" w:hAnsi="宋体" w:cs="宋体"/>
          <w:color w:val="000000" w:themeColor="text1"/>
          <w:sz w:val="24"/>
          <w:szCs w:val="24"/>
          <w:highlight w:val="none"/>
        </w:rPr>
      </w:pPr>
    </w:p>
    <w:p w14:paraId="1AF1B7D7">
      <w:pPr>
        <w:spacing w:line="440" w:lineRule="exact"/>
        <w:ind w:firstLine="2955"/>
        <w:rPr>
          <w:rFonts w:ascii="宋体" w:hAnsi="宋体" w:cs="宋体"/>
          <w:color w:val="000000" w:themeColor="text1"/>
          <w:sz w:val="24"/>
          <w:szCs w:val="24"/>
          <w:highlight w:val="none"/>
        </w:rPr>
      </w:pPr>
    </w:p>
    <w:p w14:paraId="1482D343">
      <w:pPr>
        <w:spacing w:line="440" w:lineRule="exact"/>
        <w:ind w:firstLine="2955"/>
        <w:rPr>
          <w:rFonts w:ascii="宋体" w:hAnsi="宋体" w:cs="宋体"/>
          <w:color w:val="000000" w:themeColor="text1"/>
          <w:sz w:val="24"/>
          <w:szCs w:val="24"/>
          <w:highlight w:val="none"/>
        </w:rPr>
      </w:pPr>
    </w:p>
    <w:p w14:paraId="73B19280">
      <w:pPr>
        <w:autoSpaceDE w:val="0"/>
        <w:autoSpaceDN w:val="0"/>
        <w:adjustRightInd w:val="0"/>
        <w:spacing w:line="440" w:lineRule="exact"/>
        <w:ind w:firstLine="360" w:firstLineChars="150"/>
        <w:rPr>
          <w:rFonts w:ascii="宋体" w:hAnsi="宋体" w:cs="宋体"/>
          <w:color w:val="000000" w:themeColor="text1"/>
          <w:kern w:val="0"/>
          <w:sz w:val="24"/>
          <w:szCs w:val="24"/>
          <w:highlight w:val="none"/>
        </w:rPr>
      </w:pPr>
      <w:r>
        <w:rPr>
          <w:rFonts w:hint="eastAsia" w:ascii="宋体" w:hAnsi="宋体" w:cs="宋体"/>
          <w:color w:val="000000" w:themeColor="text1"/>
          <w:sz w:val="24"/>
          <w:szCs w:val="24"/>
          <w:highlight w:val="none"/>
        </w:rPr>
        <w:t xml:space="preserve">                                 投标人</w:t>
      </w:r>
      <w:r>
        <w:rPr>
          <w:rFonts w:hint="eastAsia" w:ascii="宋体" w:hAnsi="宋体" w:cs="宋体"/>
          <w:color w:val="000000" w:themeColor="text1"/>
          <w:kern w:val="0"/>
          <w:sz w:val="24"/>
          <w:szCs w:val="24"/>
          <w:highlight w:val="none"/>
        </w:rPr>
        <w:t>全称:</w:t>
      </w:r>
      <w:r>
        <w:rPr>
          <w:rFonts w:hint="eastAsia" w:ascii="宋体" w:hAnsi="宋体" w:cs="宋体"/>
          <w:color w:val="000000" w:themeColor="text1"/>
          <w:kern w:val="0"/>
          <w:sz w:val="24"/>
          <w:szCs w:val="24"/>
          <w:highlight w:val="none"/>
          <w:u w:val="single"/>
        </w:rPr>
        <w:t>（公章）</w:t>
      </w:r>
    </w:p>
    <w:p w14:paraId="45ADE9B5">
      <w:pPr>
        <w:autoSpaceDE w:val="0"/>
        <w:autoSpaceDN w:val="0"/>
        <w:adjustRightInd w:val="0"/>
        <w:spacing w:line="440" w:lineRule="exact"/>
        <w:ind w:firstLine="4320" w:firstLineChars="1800"/>
        <w:rPr>
          <w:rFonts w:ascii="宋体" w:hAnsi="宋体" w:cs="宋体"/>
          <w:color w:val="000000" w:themeColor="text1"/>
          <w:kern w:val="0"/>
          <w:sz w:val="24"/>
          <w:szCs w:val="24"/>
          <w:highlight w:val="none"/>
          <w:u w:val="single"/>
          <w:lang w:val="zh-CN"/>
        </w:rPr>
      </w:pPr>
      <w:r>
        <w:rPr>
          <w:rFonts w:hint="eastAsia" w:ascii="宋体" w:hAnsi="宋体" w:cs="宋体"/>
          <w:color w:val="000000" w:themeColor="text1"/>
          <w:kern w:val="0"/>
          <w:sz w:val="24"/>
          <w:szCs w:val="24"/>
          <w:highlight w:val="none"/>
        </w:rPr>
        <w:t>法定代表人</w:t>
      </w:r>
      <w:r>
        <w:rPr>
          <w:rFonts w:hint="eastAsia" w:ascii="宋体" w:hAnsi="宋体" w:cs="宋体"/>
          <w:color w:val="000000" w:themeColor="text1"/>
          <w:kern w:val="0"/>
          <w:sz w:val="24"/>
          <w:szCs w:val="24"/>
          <w:highlight w:val="none"/>
          <w:lang w:val="zh-CN"/>
        </w:rPr>
        <w:t>：</w:t>
      </w:r>
      <w:r>
        <w:rPr>
          <w:rFonts w:hint="eastAsia" w:ascii="宋体" w:hAnsi="宋体" w:cs="宋体"/>
          <w:color w:val="000000" w:themeColor="text1"/>
          <w:kern w:val="0"/>
          <w:sz w:val="24"/>
          <w:szCs w:val="24"/>
          <w:highlight w:val="none"/>
          <w:u w:val="single"/>
          <w:lang w:val="zh-CN"/>
        </w:rPr>
        <w:t xml:space="preserve">      （签字或盖章）    </w:t>
      </w:r>
    </w:p>
    <w:p w14:paraId="6E3F339A">
      <w:pPr>
        <w:autoSpaceDE w:val="0"/>
        <w:autoSpaceDN w:val="0"/>
        <w:adjustRightInd w:val="0"/>
        <w:spacing w:line="440" w:lineRule="exact"/>
        <w:jc w:val="center"/>
        <w:outlineLvl w:val="1"/>
        <w:rPr>
          <w:rFonts w:ascii="宋体" w:hAnsi="宋体" w:cs="宋体"/>
          <w:color w:val="000000" w:themeColor="text1"/>
          <w:kern w:val="0"/>
          <w:sz w:val="24"/>
          <w:szCs w:val="24"/>
          <w:highlight w:val="none"/>
          <w:lang w:val="zh-CN"/>
        </w:rPr>
      </w:pPr>
      <w:bookmarkStart w:id="65" w:name="_Toc6711"/>
      <w:r>
        <w:rPr>
          <w:rFonts w:hint="eastAsia" w:ascii="宋体" w:hAnsi="宋体" w:cs="宋体"/>
          <w:color w:val="000000" w:themeColor="text1"/>
          <w:kern w:val="0"/>
          <w:sz w:val="24"/>
          <w:szCs w:val="24"/>
          <w:highlight w:val="none"/>
          <w:lang w:val="zh-CN"/>
        </w:rPr>
        <w:t>日期：</w:t>
      </w:r>
      <w:bookmarkEnd w:id="65"/>
    </w:p>
    <w:p w14:paraId="4FF8F569">
      <w:pPr>
        <w:spacing w:line="44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附：</w:t>
      </w:r>
    </w:p>
    <w:p w14:paraId="315CECE7">
      <w:pPr>
        <w:spacing w:line="440" w:lineRule="exact"/>
        <w:ind w:firstLine="240" w:firstLineChars="1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授权代表姓名：</w:t>
      </w:r>
    </w:p>
    <w:p w14:paraId="1FB1E2B7">
      <w:pPr>
        <w:spacing w:line="440" w:lineRule="exact"/>
        <w:ind w:firstLine="240" w:firstLineChars="1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职务：</w:t>
      </w:r>
    </w:p>
    <w:p w14:paraId="6B3D5174">
      <w:pPr>
        <w:spacing w:line="440" w:lineRule="exact"/>
        <w:ind w:firstLine="240" w:firstLineChars="1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详细通讯地址：</w:t>
      </w:r>
    </w:p>
    <w:p w14:paraId="232A5364">
      <w:pPr>
        <w:spacing w:line="440" w:lineRule="exact"/>
        <w:ind w:firstLine="240" w:firstLineChars="1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电话：</w:t>
      </w:r>
    </w:p>
    <w:p w14:paraId="034000BF">
      <w:pPr>
        <w:spacing w:line="440" w:lineRule="exact"/>
        <w:ind w:firstLine="240" w:firstLineChars="1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传真：</w:t>
      </w:r>
    </w:p>
    <w:p w14:paraId="770D788C">
      <w:pPr>
        <w:spacing w:line="440" w:lineRule="exact"/>
        <w:ind w:firstLine="240" w:firstLineChars="1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邮政编码:</w:t>
      </w:r>
    </w:p>
    <w:p w14:paraId="3F4E0E24">
      <w:pPr>
        <w:spacing w:line="440" w:lineRule="exact"/>
        <w:rPr>
          <w:rFonts w:ascii="宋体" w:hAnsi="宋体" w:cs="宋体"/>
          <w:b/>
          <w:color w:val="000000" w:themeColor="text1"/>
          <w:sz w:val="24"/>
          <w:szCs w:val="24"/>
          <w:highlight w:val="none"/>
        </w:rPr>
      </w:pPr>
    </w:p>
    <w:p w14:paraId="2D8FA119">
      <w:pPr>
        <w:spacing w:line="440" w:lineRule="exact"/>
        <w:rPr>
          <w:rFonts w:ascii="宋体" w:hAnsi="宋体" w:cs="宋体"/>
          <w:b/>
          <w:color w:val="000000" w:themeColor="text1"/>
          <w:sz w:val="24"/>
          <w:szCs w:val="24"/>
          <w:highlight w:val="none"/>
        </w:rPr>
      </w:pPr>
    </w:p>
    <w:tbl>
      <w:tblPr>
        <w:tblStyle w:val="21"/>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7AC0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jc w:val="center"/>
        </w:trPr>
        <w:tc>
          <w:tcPr>
            <w:tcW w:w="9242" w:type="dxa"/>
            <w:noWrap/>
            <w:vAlign w:val="center"/>
          </w:tcPr>
          <w:p w14:paraId="6BDCE8A0">
            <w:pPr>
              <w:adjustRightInd w:val="0"/>
              <w:snapToGrid w:val="0"/>
              <w:spacing w:line="360" w:lineRule="auto"/>
              <w:jc w:val="center"/>
              <w:rPr>
                <w:rFonts w:ascii="宋体" w:hAnsi="宋体"/>
                <w:color w:val="000000" w:themeColor="text1"/>
                <w:highlight w:val="none"/>
              </w:rPr>
            </w:pPr>
            <w:r>
              <w:rPr>
                <w:rFonts w:hint="eastAsia" w:ascii="宋体" w:hAnsi="宋体"/>
                <w:color w:val="000000" w:themeColor="text1"/>
                <w:highlight w:val="none"/>
              </w:rPr>
              <w:t>授权代表身份证复印件粘贴处（正、反面）</w:t>
            </w:r>
          </w:p>
        </w:tc>
      </w:tr>
    </w:tbl>
    <w:p w14:paraId="2AC8331A">
      <w:pPr>
        <w:spacing w:line="440" w:lineRule="exact"/>
        <w:jc w:val="center"/>
        <w:rPr>
          <w:rFonts w:ascii="宋体" w:hAnsi="宋体" w:cs="宋体"/>
          <w:b/>
          <w:color w:val="000000" w:themeColor="text1"/>
          <w:szCs w:val="28"/>
          <w:highlight w:val="none"/>
        </w:rPr>
      </w:pPr>
      <w:r>
        <w:rPr>
          <w:rFonts w:hint="eastAsia" w:ascii="宋体" w:hAnsi="宋体" w:cs="宋体"/>
          <w:b/>
          <w:color w:val="000000" w:themeColor="text1"/>
          <w:szCs w:val="28"/>
          <w:highlight w:val="none"/>
          <w:lang w:val="en-US" w:eastAsia="zh-CN"/>
        </w:rPr>
        <w:t>三</w:t>
      </w:r>
      <w:r>
        <w:rPr>
          <w:rFonts w:hint="eastAsia" w:ascii="宋体" w:hAnsi="宋体" w:cs="宋体"/>
          <w:b/>
          <w:color w:val="000000" w:themeColor="text1"/>
          <w:szCs w:val="28"/>
          <w:highlight w:val="none"/>
        </w:rPr>
        <w:t>、具有履行合同所必需的专业服务（技术）能力的承诺函</w:t>
      </w:r>
    </w:p>
    <w:p w14:paraId="1D1144ED">
      <w:pPr>
        <w:pStyle w:val="3"/>
        <w:snapToGrid w:val="0"/>
        <w:spacing w:line="500" w:lineRule="exact"/>
        <w:rPr>
          <w:rFonts w:ascii="宋体" w:hAnsi="宋体" w:cs="宋体"/>
          <w:b w:val="0"/>
          <w:color w:val="000000" w:themeColor="text1"/>
          <w:sz w:val="24"/>
          <w:szCs w:val="24"/>
          <w:highlight w:val="none"/>
        </w:rPr>
      </w:pPr>
    </w:p>
    <w:p w14:paraId="793A598E">
      <w:pPr>
        <w:pStyle w:val="4"/>
        <w:snapToGrid w:val="0"/>
        <w:spacing w:line="500" w:lineRule="exact"/>
        <w:rPr>
          <w:rFonts w:ascii="宋体" w:hAnsi="宋体" w:eastAsia="宋体" w:cs="宋体"/>
          <w:b w:val="0"/>
          <w:color w:val="000000" w:themeColor="text1"/>
          <w:kern w:val="0"/>
          <w:sz w:val="24"/>
          <w:szCs w:val="24"/>
          <w:highlight w:val="none"/>
        </w:rPr>
      </w:pPr>
      <w:bookmarkStart w:id="66" w:name="_Toc12629"/>
      <w:r>
        <w:rPr>
          <w:rFonts w:hint="eastAsia" w:ascii="宋体" w:hAnsi="宋体" w:eastAsia="宋体" w:cs="宋体"/>
          <w:b w:val="0"/>
          <w:color w:val="000000" w:themeColor="text1"/>
          <w:kern w:val="0"/>
          <w:sz w:val="24"/>
          <w:szCs w:val="24"/>
          <w:highlight w:val="none"/>
          <w:u w:val="single"/>
          <w:lang w:eastAsia="zh-CN"/>
        </w:rPr>
        <w:t>衢州智造新城管理委员会</w:t>
      </w:r>
      <w:r>
        <w:rPr>
          <w:rFonts w:hint="eastAsia" w:ascii="宋体" w:hAnsi="宋体" w:eastAsia="宋体" w:cs="宋体"/>
          <w:b w:val="0"/>
          <w:color w:val="000000" w:themeColor="text1"/>
          <w:kern w:val="0"/>
          <w:sz w:val="24"/>
          <w:szCs w:val="24"/>
          <w:highlight w:val="none"/>
        </w:rPr>
        <w:t>：</w:t>
      </w:r>
      <w:bookmarkEnd w:id="66"/>
    </w:p>
    <w:p w14:paraId="3B078F40">
      <w:pPr>
        <w:widowControl/>
        <w:snapToGrid w:val="0"/>
        <w:spacing w:line="5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我方</w:t>
      </w:r>
      <w:r>
        <w:rPr>
          <w:rFonts w:hint="eastAsia" w:ascii="宋体" w:hAnsi="宋体" w:cs="宋体"/>
          <w:color w:val="000000" w:themeColor="text1"/>
          <w:kern w:val="0"/>
          <w:sz w:val="24"/>
          <w:szCs w:val="24"/>
          <w:highlight w:val="none"/>
          <w:u w:val="single"/>
        </w:rPr>
        <w:t xml:space="preserve"> （投标人）</w:t>
      </w:r>
      <w:r>
        <w:rPr>
          <w:rFonts w:hint="eastAsia" w:ascii="宋体" w:hAnsi="宋体" w:cs="宋体"/>
          <w:color w:val="000000" w:themeColor="text1"/>
          <w:kern w:val="0"/>
          <w:sz w:val="24"/>
          <w:szCs w:val="24"/>
          <w:highlight w:val="none"/>
        </w:rPr>
        <w:t>承诺具有履行合同所必需的专业服务（技术）能力的承诺函。如有虚假，招标人可取消我方任何资格（投标/中标/签订合同），我方对此无任何异议。</w:t>
      </w:r>
    </w:p>
    <w:p w14:paraId="02472D3D">
      <w:pPr>
        <w:widowControl/>
        <w:snapToGrid w:val="0"/>
        <w:spacing w:line="500" w:lineRule="exact"/>
        <w:ind w:firstLine="480" w:firstLineChars="200"/>
        <w:jc w:val="left"/>
        <w:rPr>
          <w:rFonts w:ascii="宋体" w:hAnsi="宋体" w:cs="宋体"/>
          <w:color w:val="000000" w:themeColor="text1"/>
          <w:kern w:val="0"/>
          <w:sz w:val="24"/>
          <w:szCs w:val="24"/>
          <w:highlight w:val="none"/>
        </w:rPr>
      </w:pPr>
    </w:p>
    <w:p w14:paraId="64E80A9B">
      <w:pPr>
        <w:widowControl/>
        <w:snapToGrid w:val="0"/>
        <w:spacing w:line="5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特此承诺！</w:t>
      </w:r>
    </w:p>
    <w:p w14:paraId="69EB9615">
      <w:pPr>
        <w:widowControl/>
        <w:snapToGrid w:val="0"/>
        <w:spacing w:line="500" w:lineRule="exact"/>
        <w:ind w:firstLine="480" w:firstLineChars="200"/>
        <w:jc w:val="left"/>
        <w:rPr>
          <w:rFonts w:ascii="宋体" w:hAnsi="宋体" w:cs="宋体"/>
          <w:color w:val="000000" w:themeColor="text1"/>
          <w:kern w:val="0"/>
          <w:sz w:val="24"/>
          <w:szCs w:val="24"/>
          <w:highlight w:val="none"/>
        </w:rPr>
      </w:pPr>
    </w:p>
    <w:p w14:paraId="188ACD55">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投标人（盖单位公章） ：</w:t>
      </w:r>
    </w:p>
    <w:p w14:paraId="717A2571">
      <w:pPr>
        <w:widowControl/>
        <w:adjustRightInd w:val="0"/>
        <w:snapToGrid w:val="0"/>
        <w:spacing w:line="500" w:lineRule="exact"/>
        <w:jc w:val="left"/>
        <w:rPr>
          <w:rFonts w:ascii="宋体" w:hAnsi="宋体"/>
          <w:color w:val="000000" w:themeColor="text1"/>
          <w:kern w:val="0"/>
          <w:sz w:val="24"/>
          <w:highlight w:val="none"/>
        </w:rPr>
      </w:pPr>
      <w:r>
        <w:rPr>
          <w:rFonts w:hint="eastAsia" w:ascii="宋体" w:hAnsi="宋体"/>
          <w:color w:val="000000" w:themeColor="text1"/>
          <w:kern w:val="0"/>
          <w:sz w:val="24"/>
          <w:highlight w:val="none"/>
        </w:rPr>
        <w:t>法定代表人或其授权代表人（签字或盖章）：</w:t>
      </w:r>
    </w:p>
    <w:p w14:paraId="58D1E214">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日期：     年  月  日</w:t>
      </w:r>
    </w:p>
    <w:p w14:paraId="386440FF">
      <w:pPr>
        <w:spacing w:line="360" w:lineRule="auto"/>
        <w:jc w:val="center"/>
        <w:rPr>
          <w:rFonts w:ascii="宋体" w:hAnsi="宋体" w:cs="宋体"/>
          <w:b/>
          <w:color w:val="000000" w:themeColor="text1"/>
          <w:kern w:val="36"/>
          <w:sz w:val="32"/>
          <w:szCs w:val="28"/>
          <w:highlight w:val="none"/>
        </w:rPr>
      </w:pPr>
    </w:p>
    <w:p w14:paraId="1922E69C">
      <w:pPr>
        <w:spacing w:line="360" w:lineRule="auto"/>
        <w:jc w:val="center"/>
        <w:rPr>
          <w:rFonts w:ascii="宋体" w:hAnsi="宋体" w:cs="宋体"/>
          <w:b/>
          <w:color w:val="000000" w:themeColor="text1"/>
          <w:kern w:val="36"/>
          <w:sz w:val="32"/>
          <w:szCs w:val="28"/>
          <w:highlight w:val="none"/>
        </w:rPr>
      </w:pPr>
    </w:p>
    <w:p w14:paraId="7F8602AF">
      <w:pPr>
        <w:spacing w:line="360" w:lineRule="auto"/>
        <w:jc w:val="center"/>
        <w:rPr>
          <w:rFonts w:ascii="宋体" w:hAnsi="宋体"/>
          <w:b/>
          <w:color w:val="000000" w:themeColor="text1"/>
          <w:kern w:val="0"/>
          <w:szCs w:val="28"/>
          <w:highlight w:val="none"/>
        </w:rPr>
      </w:pPr>
      <w:r>
        <w:rPr>
          <w:rFonts w:hint="eastAsia" w:ascii="宋体" w:hAnsi="宋体"/>
          <w:b/>
          <w:color w:val="000000" w:themeColor="text1"/>
          <w:kern w:val="0"/>
          <w:szCs w:val="28"/>
          <w:highlight w:val="none"/>
          <w:lang w:val="en-US" w:eastAsia="zh-CN"/>
        </w:rPr>
        <w:t>四</w:t>
      </w:r>
      <w:r>
        <w:rPr>
          <w:rFonts w:hint="eastAsia" w:ascii="宋体" w:hAnsi="宋体"/>
          <w:b/>
          <w:color w:val="000000" w:themeColor="text1"/>
          <w:kern w:val="0"/>
          <w:szCs w:val="28"/>
          <w:highlight w:val="none"/>
        </w:rPr>
        <w:t>、依法缴纳税收和社会保障资金的承诺函</w:t>
      </w:r>
    </w:p>
    <w:p w14:paraId="52718498">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u w:val="single"/>
          <w:lang w:eastAsia="zh-CN"/>
        </w:rPr>
        <w:t>衢州智造新城管理委员会</w:t>
      </w:r>
      <w:r>
        <w:rPr>
          <w:rFonts w:hint="eastAsia" w:ascii="宋体" w:hAnsi="宋体" w:cs="宋体"/>
          <w:color w:val="000000" w:themeColor="text1"/>
          <w:kern w:val="0"/>
          <w:sz w:val="24"/>
          <w:szCs w:val="24"/>
          <w:highlight w:val="none"/>
        </w:rPr>
        <w:t>：</w:t>
      </w:r>
    </w:p>
    <w:p w14:paraId="64235871">
      <w:pPr>
        <w:widowControl/>
        <w:snapToGrid w:val="0"/>
        <w:spacing w:line="5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我公司郑重声明，我公司严格依法缴纳税收和社会保障资金，本文件中所提供的相关材料均真实有效，不存在虚假、造假行为。如有违反，愿承担一切责任。</w:t>
      </w:r>
    </w:p>
    <w:p w14:paraId="15D5BD25">
      <w:pPr>
        <w:widowControl/>
        <w:snapToGrid w:val="0"/>
        <w:spacing w:line="500" w:lineRule="exact"/>
        <w:ind w:firstLine="480" w:firstLineChars="200"/>
        <w:jc w:val="left"/>
        <w:rPr>
          <w:rFonts w:ascii="宋体" w:hAnsi="宋体" w:cs="宋体"/>
          <w:color w:val="000000" w:themeColor="text1"/>
          <w:kern w:val="0"/>
          <w:sz w:val="24"/>
          <w:szCs w:val="24"/>
          <w:highlight w:val="none"/>
        </w:rPr>
      </w:pPr>
    </w:p>
    <w:p w14:paraId="6FC88D80">
      <w:pPr>
        <w:widowControl/>
        <w:snapToGrid w:val="0"/>
        <w:spacing w:line="5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特此承诺！</w:t>
      </w:r>
    </w:p>
    <w:p w14:paraId="02A93C60">
      <w:pPr>
        <w:widowControl/>
        <w:snapToGrid w:val="0"/>
        <w:spacing w:line="500" w:lineRule="exact"/>
        <w:jc w:val="left"/>
        <w:rPr>
          <w:rFonts w:ascii="宋体" w:hAnsi="宋体" w:cs="宋体"/>
          <w:color w:val="000000" w:themeColor="text1"/>
          <w:kern w:val="0"/>
          <w:sz w:val="24"/>
          <w:szCs w:val="24"/>
          <w:highlight w:val="none"/>
        </w:rPr>
      </w:pPr>
    </w:p>
    <w:p w14:paraId="2CDF2098">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投标人（盖单位公章） ：</w:t>
      </w:r>
    </w:p>
    <w:p w14:paraId="3914CDF0">
      <w:pPr>
        <w:widowControl/>
        <w:adjustRightInd w:val="0"/>
        <w:snapToGrid w:val="0"/>
        <w:spacing w:line="500" w:lineRule="exact"/>
        <w:jc w:val="left"/>
        <w:rPr>
          <w:rFonts w:ascii="宋体" w:hAnsi="宋体"/>
          <w:color w:val="000000" w:themeColor="text1"/>
          <w:kern w:val="0"/>
          <w:sz w:val="24"/>
          <w:highlight w:val="none"/>
        </w:rPr>
      </w:pPr>
      <w:r>
        <w:rPr>
          <w:rFonts w:hint="eastAsia" w:ascii="宋体" w:hAnsi="宋体"/>
          <w:color w:val="000000" w:themeColor="text1"/>
          <w:kern w:val="0"/>
          <w:sz w:val="24"/>
          <w:highlight w:val="none"/>
        </w:rPr>
        <w:t>法定代表人或其授权代表人（签字或盖章）：</w:t>
      </w:r>
    </w:p>
    <w:p w14:paraId="257DFE18">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日期：     年  月  日</w:t>
      </w:r>
    </w:p>
    <w:p w14:paraId="30126FDC">
      <w:pPr>
        <w:pStyle w:val="8"/>
        <w:ind w:firstLine="240"/>
        <w:rPr>
          <w:rFonts w:ascii="宋体" w:hAnsi="宋体" w:cs="宋体"/>
          <w:color w:val="000000" w:themeColor="text1"/>
          <w:kern w:val="0"/>
          <w:sz w:val="24"/>
          <w:szCs w:val="24"/>
          <w:highlight w:val="none"/>
        </w:rPr>
      </w:pPr>
    </w:p>
    <w:p w14:paraId="67FC8ED1">
      <w:pPr>
        <w:rPr>
          <w:rFonts w:ascii="宋体" w:hAnsi="宋体"/>
          <w:b/>
          <w:color w:val="000000" w:themeColor="text1"/>
          <w:szCs w:val="22"/>
          <w:highlight w:val="none"/>
        </w:rPr>
      </w:pPr>
    </w:p>
    <w:p w14:paraId="5563E440">
      <w:pPr>
        <w:rPr>
          <w:rFonts w:ascii="宋体" w:hAnsi="宋体"/>
          <w:b/>
          <w:color w:val="000000" w:themeColor="text1"/>
          <w:szCs w:val="22"/>
          <w:highlight w:val="none"/>
        </w:rPr>
      </w:pPr>
      <w:r>
        <w:rPr>
          <w:rFonts w:hint="eastAsia" w:ascii="宋体" w:hAnsi="宋体"/>
          <w:b/>
          <w:color w:val="000000" w:themeColor="text1"/>
          <w:szCs w:val="22"/>
          <w:highlight w:val="none"/>
        </w:rPr>
        <w:br w:type="page"/>
      </w:r>
    </w:p>
    <w:p w14:paraId="15547EC0">
      <w:pPr>
        <w:spacing w:line="360" w:lineRule="auto"/>
        <w:jc w:val="center"/>
        <w:rPr>
          <w:rFonts w:ascii="宋体" w:hAnsi="宋体"/>
          <w:b/>
          <w:color w:val="000000" w:themeColor="text1"/>
          <w:kern w:val="0"/>
          <w:szCs w:val="28"/>
          <w:highlight w:val="none"/>
        </w:rPr>
      </w:pPr>
      <w:r>
        <w:rPr>
          <w:rFonts w:hint="eastAsia" w:ascii="宋体" w:hAnsi="宋体"/>
          <w:b/>
          <w:color w:val="000000" w:themeColor="text1"/>
          <w:kern w:val="0"/>
          <w:szCs w:val="28"/>
          <w:highlight w:val="none"/>
          <w:lang w:val="en-US" w:eastAsia="zh-CN"/>
        </w:rPr>
        <w:t>五</w:t>
      </w:r>
      <w:r>
        <w:rPr>
          <w:rFonts w:hint="eastAsia" w:ascii="宋体" w:hAnsi="宋体"/>
          <w:b/>
          <w:color w:val="000000" w:themeColor="text1"/>
          <w:kern w:val="0"/>
          <w:szCs w:val="28"/>
          <w:highlight w:val="none"/>
        </w:rPr>
        <w:t>、没有重大违法记录承诺函</w:t>
      </w:r>
    </w:p>
    <w:p w14:paraId="31201FEE">
      <w:pPr>
        <w:shd w:val="clear" w:color="auto" w:fill="FFFFFF"/>
        <w:snapToGrid w:val="0"/>
        <w:spacing w:line="500" w:lineRule="exact"/>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u w:val="single"/>
          <w:lang w:eastAsia="zh-CN"/>
        </w:rPr>
        <w:t>衢州智造新城管理委员会</w:t>
      </w:r>
      <w:r>
        <w:rPr>
          <w:rFonts w:hint="eastAsia" w:ascii="宋体" w:hAnsi="宋体" w:cs="宋体"/>
          <w:color w:val="000000" w:themeColor="text1"/>
          <w:kern w:val="0"/>
          <w:sz w:val="24"/>
          <w:szCs w:val="24"/>
          <w:highlight w:val="none"/>
        </w:rPr>
        <w:t>：</w:t>
      </w:r>
    </w:p>
    <w:p w14:paraId="59356CC2">
      <w:pPr>
        <w:widowControl/>
        <w:snapToGrid w:val="0"/>
        <w:spacing w:line="5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我方</w:t>
      </w:r>
      <w:r>
        <w:rPr>
          <w:rFonts w:hint="eastAsia" w:ascii="宋体" w:hAnsi="宋体" w:cs="宋体"/>
          <w:color w:val="000000" w:themeColor="text1"/>
          <w:kern w:val="0"/>
          <w:sz w:val="24"/>
          <w:szCs w:val="24"/>
          <w:highlight w:val="none"/>
          <w:u w:val="single"/>
        </w:rPr>
        <w:t xml:space="preserve"> （投标人）</w:t>
      </w:r>
      <w:r>
        <w:rPr>
          <w:rFonts w:hint="eastAsia" w:ascii="宋体" w:hAnsi="宋体" w:cs="宋体"/>
          <w:color w:val="000000" w:themeColor="text1"/>
          <w:kern w:val="0"/>
          <w:sz w:val="24"/>
          <w:szCs w:val="24"/>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14:paraId="7B8DB1DB">
      <w:pPr>
        <w:widowControl/>
        <w:snapToGrid w:val="0"/>
        <w:spacing w:line="500" w:lineRule="exact"/>
        <w:ind w:firstLine="480" w:firstLineChars="200"/>
        <w:jc w:val="left"/>
        <w:rPr>
          <w:rFonts w:ascii="宋体" w:hAnsi="宋体" w:cs="宋体"/>
          <w:color w:val="000000" w:themeColor="text1"/>
          <w:kern w:val="0"/>
          <w:sz w:val="24"/>
          <w:szCs w:val="24"/>
          <w:highlight w:val="none"/>
        </w:rPr>
      </w:pPr>
    </w:p>
    <w:p w14:paraId="6C2567BE">
      <w:pPr>
        <w:widowControl/>
        <w:snapToGrid w:val="0"/>
        <w:spacing w:line="5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特此承诺！</w:t>
      </w:r>
    </w:p>
    <w:p w14:paraId="2D12EA23">
      <w:pPr>
        <w:pStyle w:val="27"/>
        <w:ind w:firstLine="280"/>
        <w:rPr>
          <w:color w:val="000000" w:themeColor="text1"/>
          <w:highlight w:val="none"/>
        </w:rPr>
      </w:pPr>
    </w:p>
    <w:p w14:paraId="33AA827F">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投标人（盖单位公章） ：</w:t>
      </w:r>
    </w:p>
    <w:p w14:paraId="397CCEC2">
      <w:pPr>
        <w:widowControl/>
        <w:adjustRightInd w:val="0"/>
        <w:snapToGrid w:val="0"/>
        <w:spacing w:line="500" w:lineRule="exact"/>
        <w:jc w:val="left"/>
        <w:rPr>
          <w:rFonts w:ascii="宋体" w:hAnsi="宋体"/>
          <w:color w:val="000000" w:themeColor="text1"/>
          <w:kern w:val="0"/>
          <w:sz w:val="24"/>
          <w:highlight w:val="none"/>
        </w:rPr>
      </w:pPr>
      <w:r>
        <w:rPr>
          <w:rFonts w:hint="eastAsia" w:ascii="宋体" w:hAnsi="宋体"/>
          <w:color w:val="000000" w:themeColor="text1"/>
          <w:kern w:val="0"/>
          <w:sz w:val="24"/>
          <w:highlight w:val="none"/>
        </w:rPr>
        <w:t>法定代表人或其授权代表人（签字或盖章）：</w:t>
      </w:r>
    </w:p>
    <w:p w14:paraId="435C2CDC">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日期：     年  月  日</w:t>
      </w:r>
    </w:p>
    <w:p w14:paraId="569A4385">
      <w:pPr>
        <w:widowControl/>
        <w:snapToGrid w:val="0"/>
        <w:spacing w:line="500" w:lineRule="exact"/>
        <w:jc w:val="left"/>
        <w:rPr>
          <w:rFonts w:ascii="宋体" w:hAnsi="宋体" w:cs="宋体"/>
          <w:color w:val="000000" w:themeColor="text1"/>
          <w:kern w:val="0"/>
          <w:sz w:val="24"/>
          <w:szCs w:val="24"/>
          <w:highlight w:val="none"/>
        </w:rPr>
      </w:pPr>
    </w:p>
    <w:p w14:paraId="01E35762">
      <w:pPr>
        <w:pStyle w:val="27"/>
        <w:ind w:firstLine="280"/>
        <w:rPr>
          <w:color w:val="000000" w:themeColor="text1"/>
          <w:highlight w:val="none"/>
        </w:rPr>
      </w:pPr>
    </w:p>
    <w:p w14:paraId="553E677D">
      <w:pPr>
        <w:spacing w:line="360" w:lineRule="auto"/>
        <w:jc w:val="center"/>
        <w:rPr>
          <w:rFonts w:ascii="宋体" w:hAnsi="宋体"/>
          <w:b/>
          <w:color w:val="000000" w:themeColor="text1"/>
          <w:kern w:val="0"/>
          <w:szCs w:val="28"/>
          <w:highlight w:val="none"/>
        </w:rPr>
      </w:pPr>
      <w:r>
        <w:rPr>
          <w:rFonts w:hint="eastAsia" w:ascii="宋体" w:hAnsi="宋体"/>
          <w:b/>
          <w:color w:val="000000" w:themeColor="text1"/>
          <w:kern w:val="0"/>
          <w:szCs w:val="28"/>
          <w:highlight w:val="none"/>
          <w:lang w:val="en-US" w:eastAsia="zh-CN"/>
        </w:rPr>
        <w:t>六</w:t>
      </w:r>
      <w:r>
        <w:rPr>
          <w:rFonts w:hint="eastAsia" w:ascii="宋体" w:hAnsi="宋体"/>
          <w:b/>
          <w:color w:val="000000" w:themeColor="text1"/>
          <w:kern w:val="0"/>
          <w:szCs w:val="28"/>
          <w:highlight w:val="none"/>
        </w:rPr>
        <w:t>、与其他供应商无利害关系的声明函</w:t>
      </w:r>
    </w:p>
    <w:p w14:paraId="6A61A715">
      <w:pPr>
        <w:shd w:val="clear" w:color="auto" w:fill="FFFFFF"/>
        <w:snapToGrid w:val="0"/>
        <w:spacing w:line="500" w:lineRule="exact"/>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u w:val="single"/>
          <w:lang w:eastAsia="zh-CN"/>
        </w:rPr>
        <w:t>衢州智造新城管理委员会</w:t>
      </w:r>
      <w:r>
        <w:rPr>
          <w:rFonts w:hint="eastAsia" w:ascii="宋体" w:hAnsi="宋体" w:cs="宋体"/>
          <w:color w:val="000000" w:themeColor="text1"/>
          <w:kern w:val="0"/>
          <w:sz w:val="24"/>
          <w:szCs w:val="24"/>
          <w:highlight w:val="none"/>
        </w:rPr>
        <w:t>：</w:t>
      </w:r>
    </w:p>
    <w:p w14:paraId="5914B8CB">
      <w:pPr>
        <w:spacing w:line="500" w:lineRule="exact"/>
        <w:ind w:firstLine="480" w:firstLineChars="200"/>
        <w:rPr>
          <w:rFonts w:ascii="宋体" w:hAnsi="宋体" w:cs="Arial"/>
          <w:color w:val="000000" w:themeColor="text1"/>
          <w:kern w:val="0"/>
          <w:sz w:val="24"/>
          <w:szCs w:val="24"/>
          <w:highlight w:val="none"/>
        </w:rPr>
      </w:pPr>
      <w:r>
        <w:rPr>
          <w:rFonts w:hint="eastAsia" w:ascii="宋体" w:hAnsi="宋体" w:cs="Arial"/>
          <w:color w:val="000000" w:themeColor="text1"/>
          <w:kern w:val="0"/>
          <w:sz w:val="24"/>
          <w:szCs w:val="24"/>
          <w:highlight w:val="none"/>
        </w:rPr>
        <w:t>我方郑重承诺，我方此次参加</w:t>
      </w:r>
      <w:r>
        <w:rPr>
          <w:rFonts w:hint="eastAsia" w:ascii="宋体" w:hAnsi="宋体" w:cs="宋体"/>
          <w:color w:val="000000" w:themeColor="text1"/>
          <w:sz w:val="24"/>
          <w:szCs w:val="24"/>
          <w:highlight w:val="none"/>
          <w:u w:val="single"/>
        </w:rPr>
        <w:t>（项目名称）</w:t>
      </w:r>
      <w:r>
        <w:rPr>
          <w:rFonts w:hint="eastAsia" w:ascii="宋体" w:hAnsi="宋体" w:cs="Arial"/>
          <w:color w:val="000000" w:themeColor="text1"/>
          <w:kern w:val="0"/>
          <w:sz w:val="24"/>
          <w:szCs w:val="24"/>
          <w:highlight w:val="none"/>
        </w:rPr>
        <w:t>的投标，与参加本次项目同一合同项下政府采购活动的其他投标人不存在单位负责人为同一人或者直接控股、管理关系。如有虚假或隐瞒，愿意承担一切后果。</w:t>
      </w:r>
    </w:p>
    <w:p w14:paraId="789DE4A1">
      <w:pPr>
        <w:shd w:val="clear" w:color="auto" w:fill="FFFFFF"/>
        <w:snapToGrid w:val="0"/>
        <w:spacing w:line="500" w:lineRule="exact"/>
        <w:jc w:val="center"/>
        <w:rPr>
          <w:rFonts w:ascii="宋体" w:hAnsi="宋体" w:cs="宋体"/>
          <w:b/>
          <w:color w:val="000000" w:themeColor="text1"/>
          <w:kern w:val="36"/>
          <w:sz w:val="24"/>
          <w:szCs w:val="24"/>
          <w:highlight w:val="none"/>
        </w:rPr>
      </w:pPr>
    </w:p>
    <w:p w14:paraId="4DA29456">
      <w:pPr>
        <w:widowControl/>
        <w:snapToGrid w:val="0"/>
        <w:spacing w:line="5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特此承诺！</w:t>
      </w:r>
    </w:p>
    <w:p w14:paraId="1EF9798E">
      <w:pPr>
        <w:pStyle w:val="27"/>
        <w:ind w:firstLine="280"/>
        <w:rPr>
          <w:color w:val="000000" w:themeColor="text1"/>
          <w:highlight w:val="none"/>
        </w:rPr>
      </w:pPr>
    </w:p>
    <w:p w14:paraId="2AC07161">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投标人（盖单位公章） ：</w:t>
      </w:r>
    </w:p>
    <w:p w14:paraId="6CC3BB68">
      <w:pPr>
        <w:widowControl/>
        <w:adjustRightInd w:val="0"/>
        <w:snapToGrid w:val="0"/>
        <w:spacing w:line="500" w:lineRule="exact"/>
        <w:jc w:val="left"/>
        <w:rPr>
          <w:rFonts w:ascii="宋体" w:hAnsi="宋体"/>
          <w:color w:val="000000" w:themeColor="text1"/>
          <w:kern w:val="0"/>
          <w:sz w:val="24"/>
          <w:highlight w:val="none"/>
        </w:rPr>
      </w:pPr>
      <w:r>
        <w:rPr>
          <w:rFonts w:hint="eastAsia" w:ascii="宋体" w:hAnsi="宋体"/>
          <w:color w:val="000000" w:themeColor="text1"/>
          <w:kern w:val="0"/>
          <w:sz w:val="24"/>
          <w:highlight w:val="none"/>
        </w:rPr>
        <w:t>法定代表人或其授权代表人（签字或盖章）：</w:t>
      </w:r>
    </w:p>
    <w:p w14:paraId="6EC80A20">
      <w:pPr>
        <w:widowControl/>
        <w:snapToGrid w:val="0"/>
        <w:spacing w:line="500" w:lineRule="exact"/>
        <w:jc w:val="left"/>
        <w:rPr>
          <w:rFonts w:ascii="宋体" w:hAnsi="宋体"/>
          <w:b/>
          <w:color w:val="000000" w:themeColor="text1"/>
          <w:szCs w:val="22"/>
          <w:highlight w:val="none"/>
        </w:rPr>
      </w:pPr>
      <w:r>
        <w:rPr>
          <w:rFonts w:hint="eastAsia" w:ascii="宋体" w:hAnsi="宋体" w:cs="宋体"/>
          <w:color w:val="000000" w:themeColor="text1"/>
          <w:kern w:val="0"/>
          <w:sz w:val="24"/>
          <w:szCs w:val="24"/>
          <w:highlight w:val="none"/>
        </w:rPr>
        <w:t>日期：     年  月  日</w:t>
      </w:r>
    </w:p>
    <w:p w14:paraId="53DF22B7">
      <w:pPr>
        <w:rPr>
          <w:rFonts w:ascii="宋体" w:hAnsi="宋体"/>
          <w:b/>
          <w:color w:val="000000" w:themeColor="text1"/>
          <w:szCs w:val="22"/>
          <w:highlight w:val="none"/>
        </w:rPr>
      </w:pPr>
      <w:r>
        <w:rPr>
          <w:rFonts w:hint="eastAsia" w:ascii="宋体" w:hAnsi="宋体"/>
          <w:b/>
          <w:color w:val="000000" w:themeColor="text1"/>
          <w:szCs w:val="22"/>
          <w:highlight w:val="none"/>
        </w:rPr>
        <w:br w:type="page"/>
      </w:r>
    </w:p>
    <w:p w14:paraId="289E078C">
      <w:pPr>
        <w:spacing w:line="360" w:lineRule="auto"/>
        <w:jc w:val="center"/>
        <w:rPr>
          <w:rFonts w:ascii="宋体" w:hAnsi="宋体"/>
          <w:b/>
          <w:color w:val="000000" w:themeColor="text1"/>
          <w:kern w:val="0"/>
          <w:szCs w:val="28"/>
          <w:highlight w:val="none"/>
        </w:rPr>
      </w:pPr>
      <w:r>
        <w:rPr>
          <w:rFonts w:hint="eastAsia" w:ascii="宋体" w:hAnsi="宋体"/>
          <w:b/>
          <w:color w:val="000000" w:themeColor="text1"/>
          <w:kern w:val="0"/>
          <w:szCs w:val="28"/>
          <w:highlight w:val="none"/>
          <w:lang w:val="en-US" w:eastAsia="zh-CN"/>
        </w:rPr>
        <w:t>七</w:t>
      </w:r>
      <w:r>
        <w:rPr>
          <w:rFonts w:hint="eastAsia" w:ascii="宋体" w:hAnsi="宋体"/>
          <w:b/>
          <w:color w:val="000000" w:themeColor="text1"/>
          <w:kern w:val="0"/>
          <w:szCs w:val="28"/>
          <w:highlight w:val="none"/>
        </w:rPr>
        <w:t>、服务承诺书</w:t>
      </w:r>
    </w:p>
    <w:p w14:paraId="16087015">
      <w:pPr>
        <w:shd w:val="clear" w:color="auto" w:fill="FFFFFF"/>
        <w:snapToGrid w:val="0"/>
        <w:spacing w:line="500" w:lineRule="exact"/>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u w:val="single"/>
          <w:lang w:eastAsia="zh-CN"/>
        </w:rPr>
        <w:t>衢州智造新城管理委员会</w:t>
      </w:r>
      <w:r>
        <w:rPr>
          <w:rFonts w:hint="eastAsia" w:ascii="宋体" w:hAnsi="宋体" w:cs="宋体"/>
          <w:color w:val="000000" w:themeColor="text1"/>
          <w:kern w:val="0"/>
          <w:sz w:val="24"/>
          <w:szCs w:val="24"/>
          <w:highlight w:val="none"/>
        </w:rPr>
        <w:t>：</w:t>
      </w:r>
    </w:p>
    <w:p w14:paraId="6BBAAEBE">
      <w:pPr>
        <w:snapToGrid w:val="0"/>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Arial"/>
          <w:color w:val="000000" w:themeColor="text1"/>
          <w:kern w:val="0"/>
          <w:sz w:val="24"/>
          <w:szCs w:val="24"/>
          <w:highlight w:val="none"/>
        </w:rPr>
        <w:t>我方郑重承诺，</w:t>
      </w:r>
      <w:r>
        <w:rPr>
          <w:rFonts w:hint="eastAsia" w:ascii="宋体" w:hAnsi="宋体" w:cs="宋体"/>
          <w:color w:val="000000" w:themeColor="text1"/>
          <w:sz w:val="24"/>
          <w:szCs w:val="24"/>
          <w:highlight w:val="none"/>
        </w:rPr>
        <w:t>在质保期内，如有质量或设备故障问题，免费更换或维修。质保和维保期内，我方将做到：</w:t>
      </w:r>
    </w:p>
    <w:p w14:paraId="140E6D6C">
      <w:pPr>
        <w:snapToGrid w:val="0"/>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1、每半年对机器巡检一次、每年对设备维护保养一次；</w:t>
      </w:r>
    </w:p>
    <w:p w14:paraId="6240D61E">
      <w:pPr>
        <w:snapToGrid w:val="0"/>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2、在接到维修通知后需在24小时内到达设备现场，提供相关免费维修服务，直至设备正常运行；</w:t>
      </w:r>
    </w:p>
    <w:p w14:paraId="268E81AB">
      <w:pPr>
        <w:snapToGrid w:val="0"/>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3</w:t>
      </w:r>
      <w:r>
        <w:rPr>
          <w:rFonts w:hint="eastAsia" w:ascii="宋体" w:hAnsi="宋体" w:cs="宋体"/>
          <w:color w:val="000000" w:themeColor="text1"/>
          <w:sz w:val="24"/>
          <w:szCs w:val="24"/>
          <w:highlight w:val="none"/>
        </w:rPr>
        <w:t>、负责设备的搬运、安装、调试等工作，直至设备正常运行，期间产生的一切费用由我方负责支付。</w:t>
      </w:r>
    </w:p>
    <w:p w14:paraId="62B339C8">
      <w:pPr>
        <w:snapToGrid w:val="0"/>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4</w:t>
      </w:r>
      <w:r>
        <w:rPr>
          <w:rFonts w:hint="eastAsia" w:ascii="宋体" w:hAnsi="宋体" w:cs="宋体"/>
          <w:color w:val="000000" w:themeColor="text1"/>
          <w:sz w:val="24"/>
          <w:szCs w:val="24"/>
          <w:highlight w:val="none"/>
        </w:rPr>
        <w:t>、我方负责处理出现的质量及安全问题，并承担一切费用。</w:t>
      </w:r>
    </w:p>
    <w:p w14:paraId="784BBDFE">
      <w:pPr>
        <w:snapToGrid w:val="0"/>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5</w:t>
      </w:r>
      <w:r>
        <w:rPr>
          <w:rFonts w:hint="eastAsia" w:ascii="宋体" w:hAnsi="宋体" w:cs="宋体"/>
          <w:color w:val="000000" w:themeColor="text1"/>
          <w:sz w:val="24"/>
          <w:szCs w:val="24"/>
          <w:highlight w:val="none"/>
        </w:rPr>
        <w:t>、如在质保和维保期间因我方原因（如未按时巡查、未按时维保或设备质量问题未及时维修更换等）导致设备不能正常使用的，所造成的一切损失均由我方承担。</w:t>
      </w:r>
    </w:p>
    <w:p w14:paraId="140FD9B0">
      <w:pPr>
        <w:rPr>
          <w:rFonts w:ascii="宋体" w:hAnsi="宋体"/>
          <w:b/>
          <w:color w:val="000000" w:themeColor="text1"/>
          <w:kern w:val="0"/>
          <w:szCs w:val="28"/>
          <w:highlight w:val="none"/>
        </w:rPr>
      </w:pPr>
    </w:p>
    <w:p w14:paraId="1FC3BC4E">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投标人（盖单位公章） ：</w:t>
      </w:r>
    </w:p>
    <w:p w14:paraId="1EE97EBD">
      <w:pPr>
        <w:widowControl/>
        <w:adjustRightInd w:val="0"/>
        <w:snapToGrid w:val="0"/>
        <w:spacing w:line="500" w:lineRule="exact"/>
        <w:jc w:val="left"/>
        <w:rPr>
          <w:rFonts w:ascii="宋体" w:hAnsi="宋体"/>
          <w:color w:val="000000" w:themeColor="text1"/>
          <w:kern w:val="0"/>
          <w:sz w:val="24"/>
          <w:highlight w:val="none"/>
        </w:rPr>
      </w:pPr>
      <w:r>
        <w:rPr>
          <w:rFonts w:hint="eastAsia" w:ascii="宋体" w:hAnsi="宋体"/>
          <w:color w:val="000000" w:themeColor="text1"/>
          <w:kern w:val="0"/>
          <w:sz w:val="24"/>
          <w:highlight w:val="none"/>
        </w:rPr>
        <w:t>法定代表人或其授权代表人（签字或盖章）：</w:t>
      </w:r>
    </w:p>
    <w:p w14:paraId="4E792BA1">
      <w:pPr>
        <w:widowControl/>
        <w:snapToGrid w:val="0"/>
        <w:spacing w:line="500" w:lineRule="exact"/>
        <w:jc w:val="left"/>
        <w:rPr>
          <w:rFonts w:ascii="宋体" w:hAnsi="宋体"/>
          <w:b/>
          <w:color w:val="000000" w:themeColor="text1"/>
          <w:szCs w:val="22"/>
          <w:highlight w:val="none"/>
        </w:rPr>
      </w:pPr>
      <w:r>
        <w:rPr>
          <w:rFonts w:hint="eastAsia" w:ascii="宋体" w:hAnsi="宋体" w:cs="宋体"/>
          <w:color w:val="000000" w:themeColor="text1"/>
          <w:kern w:val="0"/>
          <w:sz w:val="24"/>
          <w:szCs w:val="24"/>
          <w:highlight w:val="none"/>
        </w:rPr>
        <w:t>日期：     年  月  日</w:t>
      </w:r>
    </w:p>
    <w:p w14:paraId="28DF7F7D">
      <w:pPr>
        <w:rPr>
          <w:rFonts w:ascii="宋体" w:hAnsi="宋体"/>
          <w:b/>
          <w:color w:val="000000" w:themeColor="text1"/>
          <w:kern w:val="0"/>
          <w:szCs w:val="28"/>
          <w:highlight w:val="none"/>
        </w:rPr>
      </w:pPr>
    </w:p>
    <w:p w14:paraId="45F6FE52">
      <w:pPr>
        <w:rPr>
          <w:rFonts w:ascii="宋体" w:hAnsi="宋体"/>
          <w:b/>
          <w:color w:val="000000" w:themeColor="text1"/>
          <w:kern w:val="0"/>
          <w:szCs w:val="28"/>
          <w:highlight w:val="none"/>
        </w:rPr>
      </w:pPr>
      <w:r>
        <w:rPr>
          <w:rFonts w:hint="eastAsia" w:ascii="宋体" w:hAnsi="宋体"/>
          <w:b/>
          <w:color w:val="000000" w:themeColor="text1"/>
          <w:kern w:val="0"/>
          <w:szCs w:val="28"/>
          <w:highlight w:val="none"/>
        </w:rPr>
        <w:br w:type="page"/>
      </w:r>
    </w:p>
    <w:p w14:paraId="6F82113E">
      <w:pPr>
        <w:pStyle w:val="32"/>
        <w:spacing w:line="440" w:lineRule="exact"/>
        <w:ind w:firstLine="0" w:firstLineChars="0"/>
        <w:jc w:val="center"/>
        <w:rPr>
          <w:rFonts w:ascii="宋体" w:eastAsia="宋体" w:cs="宋体"/>
          <w:b/>
          <w:color w:val="000000" w:themeColor="text1"/>
          <w:sz w:val="28"/>
          <w:highlight w:val="none"/>
        </w:rPr>
      </w:pPr>
      <w:r>
        <w:rPr>
          <w:rFonts w:hint="eastAsia" w:ascii="宋体" w:eastAsia="宋体" w:cs="宋体"/>
          <w:b/>
          <w:color w:val="000000" w:themeColor="text1"/>
          <w:sz w:val="28"/>
          <w:highlight w:val="none"/>
          <w:lang w:val="en-US" w:eastAsia="zh-CN"/>
        </w:rPr>
        <w:t>八</w:t>
      </w:r>
      <w:r>
        <w:rPr>
          <w:rFonts w:hint="eastAsia" w:ascii="宋体" w:eastAsia="宋体" w:cs="宋体"/>
          <w:b/>
          <w:color w:val="000000" w:themeColor="text1"/>
          <w:sz w:val="28"/>
          <w:highlight w:val="none"/>
        </w:rPr>
        <w:t>、中小企业声明函</w:t>
      </w:r>
    </w:p>
    <w:p w14:paraId="3A8DCA8C">
      <w:pPr>
        <w:pStyle w:val="32"/>
        <w:spacing w:line="440" w:lineRule="exact"/>
        <w:ind w:firstLine="0" w:firstLineChars="0"/>
        <w:rPr>
          <w:rFonts w:ascii="宋体" w:eastAsia="宋体" w:cs="宋体"/>
          <w:b/>
          <w:color w:val="000000" w:themeColor="text1"/>
          <w:sz w:val="28"/>
          <w:highlight w:val="none"/>
        </w:rPr>
      </w:pPr>
    </w:p>
    <w:p w14:paraId="56B55D67">
      <w:pPr>
        <w:ind w:left="720" w:right="67"/>
        <w:jc w:val="center"/>
        <w:rPr>
          <w:b/>
          <w:color w:val="000000" w:themeColor="text1"/>
          <w:szCs w:val="16"/>
          <w:highlight w:val="none"/>
        </w:rPr>
      </w:pPr>
      <w:r>
        <w:rPr>
          <w:b/>
          <w:color w:val="000000" w:themeColor="text1"/>
          <w:szCs w:val="16"/>
          <w:highlight w:val="none"/>
        </w:rPr>
        <w:t>中小企业声明函（货物）</w:t>
      </w:r>
    </w:p>
    <w:p w14:paraId="66BDE4FB">
      <w:pPr>
        <w:pStyle w:val="7"/>
        <w:spacing w:before="6"/>
        <w:rPr>
          <w:rFonts w:ascii="宋体" w:hAnsi="宋体" w:cs="宋体"/>
          <w:b/>
          <w:color w:val="000000" w:themeColor="text1"/>
          <w:sz w:val="24"/>
          <w:szCs w:val="24"/>
          <w:highlight w:val="none"/>
        </w:rPr>
      </w:pPr>
    </w:p>
    <w:p w14:paraId="3356CA5C">
      <w:pPr>
        <w:pStyle w:val="7"/>
        <w:spacing w:after="0" w:line="360"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本公司（联合体）郑重声明，根据《政府采购促进中小企业发展管理办法》（财库﹝2020﹞46 号）的规定，本公司 （联合体）参加</w:t>
      </w:r>
      <w:r>
        <w:rPr>
          <w:rFonts w:hint="eastAsia" w:ascii="宋体" w:hAnsi="宋体" w:cs="宋体"/>
          <w:color w:val="000000" w:themeColor="text1"/>
          <w:sz w:val="24"/>
          <w:szCs w:val="24"/>
          <w:highlight w:val="none"/>
          <w:u w:val="single"/>
        </w:rPr>
        <w:t>（招标单位名称）</w:t>
      </w:r>
      <w:r>
        <w:rPr>
          <w:rFonts w:hint="eastAsia" w:ascii="宋体" w:hAnsi="宋体" w:cs="宋体"/>
          <w:color w:val="000000" w:themeColor="text1"/>
          <w:sz w:val="24"/>
          <w:szCs w:val="24"/>
          <w:highlight w:val="none"/>
        </w:rPr>
        <w:t>的</w:t>
      </w:r>
      <w:r>
        <w:rPr>
          <w:rFonts w:hint="eastAsia" w:ascii="宋体" w:hAnsi="宋体" w:cs="宋体"/>
          <w:color w:val="000000" w:themeColor="text1"/>
          <w:sz w:val="24"/>
          <w:szCs w:val="24"/>
          <w:highlight w:val="none"/>
          <w:u w:val="single"/>
        </w:rPr>
        <w:t>（项目名称）</w:t>
      </w:r>
      <w:r>
        <w:rPr>
          <w:rFonts w:hint="eastAsia" w:ascii="宋体" w:hAnsi="宋体" w:cs="宋体"/>
          <w:color w:val="000000" w:themeColor="text1"/>
          <w:sz w:val="24"/>
          <w:szCs w:val="24"/>
          <w:highlight w:val="none"/>
        </w:rPr>
        <w:t>采购活动，提供的货物全部由符合政策要求的中小企业制造。相关企业 （含联合体中的中小企业、签订分包意向协议的中小企业） 的具体情况如下：</w:t>
      </w:r>
    </w:p>
    <w:p w14:paraId="419ECD69">
      <w:pPr>
        <w:pStyle w:val="7"/>
        <w:spacing w:after="0" w:line="360" w:lineRule="auto"/>
        <w:ind w:right="52"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w:t>
      </w:r>
      <w:r>
        <w:rPr>
          <w:rFonts w:hint="eastAsia" w:ascii="宋体" w:hAnsi="宋体" w:cs="宋体"/>
          <w:color w:val="000000" w:themeColor="text1"/>
          <w:sz w:val="24"/>
          <w:szCs w:val="24"/>
          <w:highlight w:val="none"/>
          <w:u w:val="single"/>
        </w:rPr>
        <w:t>（标的名称）</w:t>
      </w:r>
      <w:r>
        <w:rPr>
          <w:rFonts w:hint="eastAsia" w:ascii="宋体" w:hAnsi="宋体" w:cs="宋体"/>
          <w:color w:val="000000" w:themeColor="text1"/>
          <w:sz w:val="24"/>
          <w:szCs w:val="24"/>
          <w:highlight w:val="none"/>
        </w:rPr>
        <w:t xml:space="preserve"> ，属于</w:t>
      </w:r>
      <w:r>
        <w:rPr>
          <w:rFonts w:hint="eastAsia" w:ascii="宋体" w:hAnsi="宋体" w:cs="宋体"/>
          <w:color w:val="000000" w:themeColor="text1"/>
          <w:sz w:val="24"/>
          <w:szCs w:val="24"/>
          <w:highlight w:val="none"/>
          <w:u w:val="single"/>
        </w:rPr>
        <w:t>（采购文件中明确的所属行业）</w:t>
      </w:r>
      <w:r>
        <w:rPr>
          <w:rFonts w:hint="eastAsia" w:ascii="宋体" w:hAnsi="宋体" w:cs="宋体"/>
          <w:color w:val="000000" w:themeColor="text1"/>
          <w:sz w:val="24"/>
          <w:szCs w:val="24"/>
          <w:highlight w:val="none"/>
        </w:rPr>
        <w:t xml:space="preserve"> 行业；制造商为</w:t>
      </w:r>
      <w:r>
        <w:rPr>
          <w:rFonts w:hint="eastAsia" w:ascii="宋体" w:hAnsi="宋体" w:cs="宋体"/>
          <w:color w:val="000000" w:themeColor="text1"/>
          <w:sz w:val="24"/>
          <w:szCs w:val="24"/>
          <w:highlight w:val="none"/>
          <w:u w:val="single"/>
        </w:rPr>
        <w:t>（企业名称）</w:t>
      </w:r>
      <w:r>
        <w:rPr>
          <w:rFonts w:hint="eastAsia" w:ascii="宋体" w:hAnsi="宋体" w:cs="宋体"/>
          <w:color w:val="000000" w:themeColor="text1"/>
          <w:sz w:val="24"/>
          <w:szCs w:val="24"/>
          <w:highlight w:val="none"/>
        </w:rPr>
        <w:t>， 从业人员</w:t>
      </w:r>
      <w:r>
        <w:rPr>
          <w:rFonts w:hint="eastAsia" w:ascii="宋体" w:hAnsi="宋体" w:cs="宋体"/>
          <w:color w:val="000000" w:themeColor="text1"/>
          <w:sz w:val="24"/>
          <w:szCs w:val="24"/>
          <w:highlight w:val="none"/>
          <w:u w:val="single"/>
        </w:rPr>
        <w:t xml:space="preserve">   </w:t>
      </w:r>
      <w:r>
        <w:rPr>
          <w:rFonts w:hint="eastAsia" w:ascii="宋体" w:hAnsi="宋体" w:cs="宋体"/>
          <w:color w:val="000000" w:themeColor="text1"/>
          <w:sz w:val="24"/>
          <w:szCs w:val="24"/>
          <w:highlight w:val="none"/>
        </w:rPr>
        <w:t>人，营业收入为</w:t>
      </w:r>
      <w:r>
        <w:rPr>
          <w:rFonts w:hint="eastAsia" w:ascii="宋体" w:hAnsi="宋体" w:cs="宋体"/>
          <w:color w:val="000000" w:themeColor="text1"/>
          <w:sz w:val="24"/>
          <w:szCs w:val="24"/>
          <w:highlight w:val="none"/>
          <w:u w:val="single"/>
        </w:rPr>
        <w:t xml:space="preserve">    </w:t>
      </w:r>
      <w:r>
        <w:rPr>
          <w:rFonts w:hint="eastAsia" w:ascii="宋体" w:hAnsi="宋体" w:cs="宋体"/>
          <w:color w:val="000000" w:themeColor="text1"/>
          <w:sz w:val="24"/>
          <w:szCs w:val="24"/>
          <w:highlight w:val="none"/>
        </w:rPr>
        <w:t>万元，资产总额为</w:t>
      </w:r>
      <w:r>
        <w:rPr>
          <w:rFonts w:hint="eastAsia" w:ascii="宋体" w:hAnsi="宋体" w:cs="宋体"/>
          <w:color w:val="000000" w:themeColor="text1"/>
          <w:sz w:val="24"/>
          <w:szCs w:val="24"/>
          <w:highlight w:val="none"/>
          <w:u w:val="single"/>
        </w:rPr>
        <w:t xml:space="preserve">    </w:t>
      </w:r>
      <w:r>
        <w:rPr>
          <w:rFonts w:hint="eastAsia" w:ascii="宋体" w:hAnsi="宋体" w:cs="宋体"/>
          <w:color w:val="000000" w:themeColor="text1"/>
          <w:sz w:val="24"/>
          <w:szCs w:val="24"/>
          <w:highlight w:val="none"/>
        </w:rPr>
        <w:t>万元 ，属于（</w:t>
      </w:r>
      <w:r>
        <w:rPr>
          <w:rFonts w:hint="eastAsia" w:ascii="宋体" w:hAnsi="宋体" w:cs="宋体"/>
          <w:color w:val="000000" w:themeColor="text1"/>
          <w:sz w:val="24"/>
          <w:szCs w:val="24"/>
          <w:highlight w:val="none"/>
          <w:u w:val="single"/>
        </w:rPr>
        <w:t>中型企业、小型企业、微型企业）</w:t>
      </w:r>
      <w:r>
        <w:rPr>
          <w:rFonts w:hint="eastAsia" w:ascii="宋体" w:hAnsi="宋体" w:cs="宋体"/>
          <w:color w:val="000000" w:themeColor="text1"/>
          <w:sz w:val="24"/>
          <w:szCs w:val="24"/>
          <w:highlight w:val="none"/>
        </w:rPr>
        <w:t>；</w:t>
      </w:r>
    </w:p>
    <w:p w14:paraId="646652FD">
      <w:pPr>
        <w:pStyle w:val="7"/>
        <w:spacing w:after="0" w:line="360"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w:t>
      </w:r>
      <w:r>
        <w:rPr>
          <w:rFonts w:hint="eastAsia" w:ascii="宋体" w:hAnsi="宋体" w:cs="宋体"/>
          <w:color w:val="000000" w:themeColor="text1"/>
          <w:sz w:val="24"/>
          <w:szCs w:val="24"/>
          <w:highlight w:val="none"/>
          <w:u w:val="single"/>
        </w:rPr>
        <w:t>（标的名称）</w:t>
      </w:r>
      <w:r>
        <w:rPr>
          <w:rFonts w:hint="eastAsia" w:ascii="宋体" w:hAnsi="宋体" w:cs="宋体"/>
          <w:color w:val="000000" w:themeColor="text1"/>
          <w:sz w:val="24"/>
          <w:szCs w:val="24"/>
          <w:highlight w:val="none"/>
        </w:rPr>
        <w:t xml:space="preserve"> ，属于</w:t>
      </w:r>
      <w:r>
        <w:rPr>
          <w:rFonts w:hint="eastAsia" w:ascii="宋体" w:hAnsi="宋体" w:cs="宋体"/>
          <w:color w:val="000000" w:themeColor="text1"/>
          <w:sz w:val="24"/>
          <w:szCs w:val="24"/>
          <w:highlight w:val="none"/>
          <w:u w:val="single"/>
        </w:rPr>
        <w:t>（采购文件中明确的所属行业）</w:t>
      </w:r>
      <w:r>
        <w:rPr>
          <w:rFonts w:hint="eastAsia" w:ascii="宋体" w:hAnsi="宋体" w:cs="宋体"/>
          <w:color w:val="000000" w:themeColor="text1"/>
          <w:sz w:val="24"/>
          <w:szCs w:val="24"/>
          <w:highlight w:val="none"/>
        </w:rPr>
        <w:t xml:space="preserve"> 行业；制造商为</w:t>
      </w:r>
      <w:r>
        <w:rPr>
          <w:rFonts w:hint="eastAsia" w:ascii="宋体" w:hAnsi="宋体" w:cs="宋体"/>
          <w:color w:val="000000" w:themeColor="text1"/>
          <w:sz w:val="24"/>
          <w:szCs w:val="24"/>
          <w:highlight w:val="none"/>
          <w:u w:val="single"/>
        </w:rPr>
        <w:t>（企业名称）</w:t>
      </w:r>
      <w:r>
        <w:rPr>
          <w:rFonts w:hint="eastAsia" w:ascii="宋体" w:hAnsi="宋体" w:cs="宋体"/>
          <w:color w:val="000000" w:themeColor="text1"/>
          <w:sz w:val="24"/>
          <w:szCs w:val="24"/>
          <w:highlight w:val="none"/>
        </w:rPr>
        <w:t>， 从业人员</w:t>
      </w:r>
      <w:r>
        <w:rPr>
          <w:rFonts w:hint="eastAsia" w:ascii="宋体" w:hAnsi="宋体" w:cs="宋体"/>
          <w:color w:val="000000" w:themeColor="text1"/>
          <w:sz w:val="24"/>
          <w:szCs w:val="24"/>
          <w:highlight w:val="none"/>
          <w:u w:val="single"/>
        </w:rPr>
        <w:t xml:space="preserve">   </w:t>
      </w:r>
      <w:r>
        <w:rPr>
          <w:rFonts w:hint="eastAsia" w:ascii="宋体" w:hAnsi="宋体" w:cs="宋体"/>
          <w:color w:val="000000" w:themeColor="text1"/>
          <w:sz w:val="24"/>
          <w:szCs w:val="24"/>
          <w:highlight w:val="none"/>
        </w:rPr>
        <w:t>人，营业收入为</w:t>
      </w:r>
      <w:r>
        <w:rPr>
          <w:rFonts w:hint="eastAsia" w:ascii="宋体" w:hAnsi="宋体" w:cs="宋体"/>
          <w:color w:val="000000" w:themeColor="text1"/>
          <w:sz w:val="24"/>
          <w:szCs w:val="24"/>
          <w:highlight w:val="none"/>
          <w:u w:val="single"/>
        </w:rPr>
        <w:t xml:space="preserve">    </w:t>
      </w:r>
      <w:r>
        <w:rPr>
          <w:rFonts w:hint="eastAsia" w:ascii="宋体" w:hAnsi="宋体" w:cs="宋体"/>
          <w:color w:val="000000" w:themeColor="text1"/>
          <w:sz w:val="24"/>
          <w:szCs w:val="24"/>
          <w:highlight w:val="none"/>
        </w:rPr>
        <w:t>万元，资产总额为</w:t>
      </w:r>
      <w:r>
        <w:rPr>
          <w:rFonts w:hint="eastAsia" w:ascii="宋体" w:hAnsi="宋体" w:cs="宋体"/>
          <w:color w:val="000000" w:themeColor="text1"/>
          <w:sz w:val="24"/>
          <w:szCs w:val="24"/>
          <w:highlight w:val="none"/>
          <w:u w:val="single"/>
        </w:rPr>
        <w:t xml:space="preserve">    </w:t>
      </w:r>
      <w:r>
        <w:rPr>
          <w:rFonts w:hint="eastAsia" w:ascii="宋体" w:hAnsi="宋体" w:cs="宋体"/>
          <w:color w:val="000000" w:themeColor="text1"/>
          <w:sz w:val="24"/>
          <w:szCs w:val="24"/>
          <w:highlight w:val="none"/>
        </w:rPr>
        <w:t>万元 ，属于（</w:t>
      </w:r>
      <w:r>
        <w:rPr>
          <w:rFonts w:hint="eastAsia" w:ascii="宋体" w:hAnsi="宋体" w:cs="宋体"/>
          <w:color w:val="000000" w:themeColor="text1"/>
          <w:sz w:val="24"/>
          <w:szCs w:val="24"/>
          <w:highlight w:val="none"/>
          <w:u w:val="single"/>
        </w:rPr>
        <w:t>中型企业、小型企业、微型企业）</w:t>
      </w:r>
      <w:r>
        <w:rPr>
          <w:rFonts w:hint="eastAsia" w:ascii="宋体" w:hAnsi="宋体" w:cs="宋体"/>
          <w:color w:val="000000" w:themeColor="text1"/>
          <w:sz w:val="24"/>
          <w:szCs w:val="24"/>
          <w:highlight w:val="none"/>
        </w:rPr>
        <w:t>；</w:t>
      </w:r>
    </w:p>
    <w:p w14:paraId="47ACCA3D">
      <w:pPr>
        <w:pStyle w:val="7"/>
        <w:spacing w:after="0" w:line="360"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w:t>
      </w:r>
    </w:p>
    <w:p w14:paraId="217756AF">
      <w:pPr>
        <w:pStyle w:val="7"/>
        <w:spacing w:after="0" w:line="360" w:lineRule="auto"/>
        <w:ind w:right="52"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以上企业，不属于大企业的分支机构，不存在控股股东 为大企业的情形，也不存在与大企业的负责人为同一人的情形。</w:t>
      </w:r>
    </w:p>
    <w:p w14:paraId="07EF8C46">
      <w:pPr>
        <w:pStyle w:val="7"/>
        <w:spacing w:after="0" w:line="360"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本企业对上述声明内容的真实性负责。如有虚假，将依 法承担相应责任。</w:t>
      </w:r>
    </w:p>
    <w:p w14:paraId="70CD57BF">
      <w:pPr>
        <w:pStyle w:val="7"/>
        <w:rPr>
          <w:rFonts w:ascii="宋体" w:hAnsi="宋体" w:cs="宋体"/>
          <w:color w:val="000000" w:themeColor="text1"/>
          <w:sz w:val="24"/>
          <w:szCs w:val="24"/>
          <w:highlight w:val="none"/>
        </w:rPr>
      </w:pPr>
    </w:p>
    <w:p w14:paraId="1AE0325D">
      <w:pPr>
        <w:pStyle w:val="7"/>
        <w:spacing w:before="5"/>
        <w:rPr>
          <w:rFonts w:ascii="宋体" w:hAnsi="宋体" w:cs="宋体"/>
          <w:color w:val="000000" w:themeColor="text1"/>
          <w:sz w:val="24"/>
          <w:szCs w:val="24"/>
          <w:highlight w:val="none"/>
        </w:rPr>
      </w:pPr>
    </w:p>
    <w:p w14:paraId="456D1B56">
      <w:pPr>
        <w:pStyle w:val="7"/>
        <w:ind w:left="479" w:right="67"/>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企业名称（盖章）：</w:t>
      </w:r>
    </w:p>
    <w:p w14:paraId="5960A3FC">
      <w:pPr>
        <w:pStyle w:val="7"/>
        <w:ind w:left="479" w:right="67"/>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         日   期：</w:t>
      </w:r>
    </w:p>
    <w:p w14:paraId="36AE0132">
      <w:pPr>
        <w:pStyle w:val="7"/>
        <w:rPr>
          <w:color w:val="000000" w:themeColor="text1"/>
          <w:sz w:val="13"/>
          <w:highlight w:val="none"/>
        </w:rPr>
      </w:pPr>
    </w:p>
    <w:p w14:paraId="77B39224">
      <w:pPr>
        <w:widowControl/>
        <w:spacing w:line="288" w:lineRule="auto"/>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1.从业人员、营业收入、资产总额填报上一年度数据，无上一年度数据的新成立企业可不填报。</w:t>
      </w:r>
    </w:p>
    <w:p w14:paraId="0215BE18">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sz w:val="24"/>
          <w:szCs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35DF46">
      <w:pPr>
        <w:widowControl/>
        <w:spacing w:line="288" w:lineRule="auto"/>
        <w:jc w:val="center"/>
        <w:rPr>
          <w:rFonts w:ascii="宋体" w:hAnsi="宋体" w:cs="宋体"/>
          <w:b/>
          <w:bCs/>
          <w:color w:val="000000" w:themeColor="text1"/>
          <w:kern w:val="0"/>
          <w:sz w:val="24"/>
          <w:szCs w:val="24"/>
          <w:highlight w:val="none"/>
        </w:rPr>
      </w:pPr>
    </w:p>
    <w:p w14:paraId="4E16B897">
      <w:pPr>
        <w:rPr>
          <w:rFonts w:ascii="宋体" w:hAnsi="宋体" w:cs="宋体"/>
          <w:b/>
          <w:bCs/>
          <w:color w:val="000000" w:themeColor="text1"/>
          <w:kern w:val="0"/>
          <w:sz w:val="24"/>
          <w:szCs w:val="24"/>
          <w:highlight w:val="none"/>
        </w:rPr>
      </w:pPr>
      <w:r>
        <w:rPr>
          <w:rFonts w:hint="eastAsia" w:ascii="宋体" w:hAnsi="宋体" w:cs="宋体"/>
          <w:b/>
          <w:bCs/>
          <w:color w:val="000000" w:themeColor="text1"/>
          <w:kern w:val="0"/>
          <w:sz w:val="24"/>
          <w:szCs w:val="24"/>
          <w:highlight w:val="none"/>
        </w:rPr>
        <w:br w:type="page"/>
      </w:r>
    </w:p>
    <w:p w14:paraId="454AF684">
      <w:pPr>
        <w:widowControl/>
        <w:spacing w:line="288" w:lineRule="auto"/>
        <w:jc w:val="center"/>
        <w:rPr>
          <w:rFonts w:ascii="宋体" w:hAnsi="宋体" w:cs="宋体"/>
          <w:b/>
          <w:bCs/>
          <w:color w:val="000000" w:themeColor="text1"/>
          <w:kern w:val="0"/>
          <w:sz w:val="24"/>
          <w:szCs w:val="24"/>
          <w:highlight w:val="none"/>
        </w:rPr>
      </w:pPr>
      <w:r>
        <w:rPr>
          <w:rFonts w:hint="eastAsia" w:ascii="宋体" w:hAnsi="宋体" w:cs="宋体"/>
          <w:b/>
          <w:bCs/>
          <w:color w:val="000000" w:themeColor="text1"/>
          <w:kern w:val="0"/>
          <w:sz w:val="24"/>
          <w:szCs w:val="24"/>
          <w:highlight w:val="none"/>
        </w:rPr>
        <w:t>（二）监狱企业声明函【不属于监狱企业，不用提供此函】</w:t>
      </w:r>
    </w:p>
    <w:p w14:paraId="4F957D90">
      <w:pPr>
        <w:pStyle w:val="20"/>
        <w:spacing w:line="288" w:lineRule="auto"/>
        <w:ind w:firstLine="0" w:firstLineChars="0"/>
        <w:jc w:val="center"/>
        <w:rPr>
          <w:rFonts w:ascii="宋体" w:hAnsi="宋体" w:eastAsia="宋体" w:cs="宋体"/>
          <w:b/>
          <w:bCs/>
          <w:color w:val="000000" w:themeColor="text1"/>
          <w:kern w:val="0"/>
          <w:sz w:val="24"/>
          <w:szCs w:val="24"/>
          <w:highlight w:val="none"/>
        </w:rPr>
      </w:pPr>
    </w:p>
    <w:p w14:paraId="52B6BD88">
      <w:pPr>
        <w:pStyle w:val="20"/>
        <w:spacing w:line="288" w:lineRule="auto"/>
        <w:ind w:firstLine="0" w:firstLineChars="0"/>
        <w:jc w:val="center"/>
        <w:rPr>
          <w:rFonts w:ascii="宋体" w:hAnsi="宋体" w:eastAsia="宋体" w:cs="宋体"/>
          <w:color w:val="000000" w:themeColor="text1"/>
          <w:kern w:val="0"/>
          <w:sz w:val="24"/>
          <w:szCs w:val="24"/>
          <w:highlight w:val="none"/>
          <w:u w:val="single"/>
        </w:rPr>
      </w:pPr>
      <w:r>
        <w:rPr>
          <w:rFonts w:hint="eastAsia" w:ascii="宋体" w:hAnsi="宋体" w:eastAsia="宋体" w:cs="宋体"/>
          <w:b/>
          <w:bCs/>
          <w:color w:val="000000" w:themeColor="text1"/>
          <w:kern w:val="0"/>
          <w:sz w:val="24"/>
          <w:szCs w:val="24"/>
          <w:highlight w:val="none"/>
        </w:rPr>
        <w:t>监狱企业声明函</w:t>
      </w:r>
    </w:p>
    <w:p w14:paraId="7881907C">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本企业郑重声明，根据《关于政府采购支持监狱企业发展有关问题的通知》（财库[2014]68号）的规定，本企业为监狱企业。 </w:t>
      </w:r>
    </w:p>
    <w:p w14:paraId="1E836D8B">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根据上述标准，我企业属于监狱企业的理由为：</w:t>
      </w:r>
      <w:r>
        <w:rPr>
          <w:rFonts w:hint="eastAsia" w:ascii="宋体" w:hAnsi="宋体" w:cs="宋体"/>
          <w:color w:val="000000" w:themeColor="text1"/>
          <w:kern w:val="0"/>
          <w:sz w:val="24"/>
          <w:szCs w:val="24"/>
          <w:highlight w:val="none"/>
          <w:u w:val="single"/>
        </w:rPr>
        <w:t xml:space="preserve">                 </w:t>
      </w:r>
      <w:r>
        <w:rPr>
          <w:rFonts w:hint="eastAsia" w:ascii="宋体" w:hAnsi="宋体" w:cs="宋体"/>
          <w:color w:val="000000" w:themeColor="text1"/>
          <w:kern w:val="0"/>
          <w:sz w:val="24"/>
          <w:szCs w:val="24"/>
          <w:highlight w:val="none"/>
        </w:rPr>
        <w:t>。</w:t>
      </w:r>
    </w:p>
    <w:p w14:paraId="7F8F2B46">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本企业为参加</w:t>
      </w:r>
      <w:r>
        <w:rPr>
          <w:rFonts w:hint="eastAsia" w:ascii="宋体" w:hAnsi="宋体" w:cs="宋体"/>
          <w:color w:val="000000" w:themeColor="text1"/>
          <w:kern w:val="0"/>
          <w:sz w:val="24"/>
          <w:szCs w:val="24"/>
          <w:highlight w:val="none"/>
          <w:u w:val="single"/>
        </w:rPr>
        <w:t xml:space="preserve">                  （项目名称）（项目编号:          ）</w:t>
      </w:r>
      <w:r>
        <w:rPr>
          <w:rFonts w:hint="eastAsia" w:ascii="宋体" w:hAnsi="宋体" w:cs="宋体"/>
          <w:color w:val="000000" w:themeColor="text1"/>
          <w:kern w:val="0"/>
          <w:sz w:val="24"/>
          <w:szCs w:val="24"/>
          <w:highlight w:val="none"/>
        </w:rPr>
        <w:t>采购活动并提供本企业的服务。</w:t>
      </w:r>
    </w:p>
    <w:p w14:paraId="6E6A39B8">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或提供其他</w:t>
      </w:r>
      <w:r>
        <w:rPr>
          <w:rFonts w:hint="eastAsia" w:ascii="宋体" w:hAnsi="宋体" w:cs="宋体"/>
          <w:color w:val="000000" w:themeColor="text1"/>
          <w:kern w:val="0"/>
          <w:sz w:val="24"/>
          <w:szCs w:val="24"/>
          <w:highlight w:val="none"/>
          <w:u w:val="single"/>
        </w:rPr>
        <w:t xml:space="preserve">      </w:t>
      </w:r>
      <w:r>
        <w:rPr>
          <w:rFonts w:hint="eastAsia" w:ascii="宋体" w:hAnsi="宋体" w:cs="宋体"/>
          <w:color w:val="000000" w:themeColor="text1"/>
          <w:kern w:val="0"/>
          <w:sz w:val="24"/>
          <w:szCs w:val="24"/>
          <w:highlight w:val="none"/>
        </w:rPr>
        <w:t>（请填写：小型、微型、监狱）企业的服务，该企业为</w:t>
      </w:r>
      <w:r>
        <w:rPr>
          <w:rFonts w:hint="eastAsia" w:ascii="宋体" w:hAnsi="宋体" w:cs="宋体"/>
          <w:color w:val="000000" w:themeColor="text1"/>
          <w:kern w:val="0"/>
          <w:sz w:val="24"/>
          <w:szCs w:val="24"/>
          <w:highlight w:val="none"/>
          <w:u w:val="single"/>
        </w:rPr>
        <w:t xml:space="preserve">     </w:t>
      </w:r>
      <w:r>
        <w:rPr>
          <w:rFonts w:hint="eastAsia" w:ascii="宋体" w:hAnsi="宋体" w:cs="宋体"/>
          <w:color w:val="000000" w:themeColor="text1"/>
          <w:kern w:val="0"/>
          <w:sz w:val="24"/>
          <w:szCs w:val="24"/>
          <w:highlight w:val="none"/>
        </w:rPr>
        <w:t>（请填写：小型、微型、监狱）企业。</w:t>
      </w:r>
    </w:p>
    <w:p w14:paraId="60F1594B">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本企业对上述声明的真实性负责。如有虚假，将依法承担相应责任。 </w:t>
      </w:r>
    </w:p>
    <w:p w14:paraId="2097CACC">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 </w:t>
      </w:r>
    </w:p>
    <w:p w14:paraId="2F15B771">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供应商名称（盖章或电子签章）：                                         </w:t>
      </w:r>
    </w:p>
    <w:p w14:paraId="7841FBCD">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日期：       年     月   日 </w:t>
      </w:r>
    </w:p>
    <w:p w14:paraId="106A3065">
      <w:pPr>
        <w:widowControl/>
        <w:spacing w:line="288" w:lineRule="auto"/>
        <w:ind w:firstLine="480" w:firstLineChars="200"/>
        <w:jc w:val="left"/>
        <w:rPr>
          <w:rFonts w:ascii="宋体" w:hAnsi="宋体" w:cs="宋体"/>
          <w:color w:val="000000" w:themeColor="text1"/>
          <w:kern w:val="0"/>
          <w:sz w:val="24"/>
          <w:szCs w:val="24"/>
          <w:highlight w:val="none"/>
        </w:rPr>
      </w:pPr>
    </w:p>
    <w:p w14:paraId="75DE06D2">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监狱企业参加政府采购活动时，应当提供由省级以上监狱管理局、戒毒管理局（含新疆生产建设兵团）出具的属于监狱企业的证明文件。 </w:t>
      </w:r>
    </w:p>
    <w:p w14:paraId="782FF68C">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09DFE3C">
      <w:pPr>
        <w:widowControl/>
        <w:spacing w:line="288" w:lineRule="auto"/>
        <w:ind w:firstLine="482" w:firstLineChars="200"/>
        <w:jc w:val="left"/>
        <w:rPr>
          <w:rFonts w:ascii="宋体" w:hAnsi="宋体" w:cs="宋体"/>
          <w:b/>
          <w:bCs/>
          <w:color w:val="000000" w:themeColor="text1"/>
          <w:kern w:val="0"/>
          <w:sz w:val="24"/>
          <w:szCs w:val="24"/>
          <w:highlight w:val="none"/>
        </w:rPr>
      </w:pPr>
      <w:r>
        <w:rPr>
          <w:rFonts w:hint="eastAsia" w:ascii="宋体" w:hAnsi="宋体" w:cs="宋体"/>
          <w:b/>
          <w:bCs/>
          <w:color w:val="000000" w:themeColor="text1"/>
          <w:kern w:val="0"/>
          <w:sz w:val="24"/>
          <w:szCs w:val="24"/>
          <w:highlight w:val="none"/>
        </w:rPr>
        <w:t>注：本声明函为监狱企业填写。</w:t>
      </w:r>
    </w:p>
    <w:p w14:paraId="5BDE65D1">
      <w:pPr>
        <w:pStyle w:val="42"/>
        <w:ind w:firstLine="482"/>
        <w:rPr>
          <w:rFonts w:ascii="宋体"/>
          <w:b/>
          <w:bCs/>
          <w:color w:val="000000" w:themeColor="text1"/>
          <w:kern w:val="0"/>
          <w:szCs w:val="24"/>
          <w:highlight w:val="none"/>
        </w:rPr>
      </w:pPr>
    </w:p>
    <w:p w14:paraId="722F700C">
      <w:pPr>
        <w:pStyle w:val="42"/>
        <w:ind w:firstLine="482"/>
        <w:rPr>
          <w:rFonts w:ascii="宋体"/>
          <w:b/>
          <w:bCs/>
          <w:color w:val="000000" w:themeColor="text1"/>
          <w:kern w:val="0"/>
          <w:szCs w:val="24"/>
          <w:highlight w:val="none"/>
        </w:rPr>
      </w:pPr>
    </w:p>
    <w:p w14:paraId="67509027">
      <w:pPr>
        <w:pStyle w:val="42"/>
        <w:ind w:firstLine="482"/>
        <w:rPr>
          <w:rFonts w:ascii="宋体"/>
          <w:b/>
          <w:bCs/>
          <w:color w:val="000000" w:themeColor="text1"/>
          <w:kern w:val="0"/>
          <w:szCs w:val="24"/>
          <w:highlight w:val="none"/>
        </w:rPr>
      </w:pPr>
    </w:p>
    <w:p w14:paraId="56165E4F">
      <w:pPr>
        <w:pStyle w:val="42"/>
        <w:ind w:firstLine="482"/>
        <w:rPr>
          <w:rFonts w:ascii="宋体"/>
          <w:b/>
          <w:bCs/>
          <w:color w:val="000000" w:themeColor="text1"/>
          <w:kern w:val="0"/>
          <w:szCs w:val="24"/>
          <w:highlight w:val="none"/>
        </w:rPr>
      </w:pPr>
    </w:p>
    <w:p w14:paraId="3268658C">
      <w:pPr>
        <w:pStyle w:val="42"/>
        <w:ind w:firstLine="482"/>
        <w:rPr>
          <w:rFonts w:ascii="宋体"/>
          <w:b/>
          <w:bCs/>
          <w:color w:val="000000" w:themeColor="text1"/>
          <w:kern w:val="0"/>
          <w:szCs w:val="24"/>
          <w:highlight w:val="none"/>
        </w:rPr>
      </w:pPr>
    </w:p>
    <w:p w14:paraId="535AB0B4">
      <w:pPr>
        <w:pStyle w:val="42"/>
        <w:ind w:firstLine="482"/>
        <w:rPr>
          <w:rFonts w:ascii="宋体"/>
          <w:b/>
          <w:bCs/>
          <w:color w:val="000000" w:themeColor="text1"/>
          <w:kern w:val="0"/>
          <w:szCs w:val="24"/>
          <w:highlight w:val="none"/>
        </w:rPr>
      </w:pPr>
    </w:p>
    <w:p w14:paraId="3768AC33">
      <w:pPr>
        <w:pStyle w:val="42"/>
        <w:ind w:firstLine="482"/>
        <w:rPr>
          <w:rFonts w:ascii="宋体"/>
          <w:b/>
          <w:bCs/>
          <w:color w:val="000000" w:themeColor="text1"/>
          <w:kern w:val="0"/>
          <w:szCs w:val="24"/>
          <w:highlight w:val="none"/>
        </w:rPr>
      </w:pPr>
    </w:p>
    <w:p w14:paraId="16664059">
      <w:pPr>
        <w:pStyle w:val="42"/>
        <w:ind w:firstLine="482"/>
        <w:rPr>
          <w:rFonts w:ascii="宋体"/>
          <w:b/>
          <w:bCs/>
          <w:color w:val="000000" w:themeColor="text1"/>
          <w:kern w:val="0"/>
          <w:szCs w:val="24"/>
          <w:highlight w:val="none"/>
        </w:rPr>
      </w:pPr>
    </w:p>
    <w:p w14:paraId="51C9ADED">
      <w:pPr>
        <w:pStyle w:val="42"/>
        <w:ind w:firstLine="482"/>
        <w:rPr>
          <w:rFonts w:ascii="宋体"/>
          <w:b/>
          <w:bCs/>
          <w:color w:val="000000" w:themeColor="text1"/>
          <w:kern w:val="0"/>
          <w:szCs w:val="24"/>
          <w:highlight w:val="none"/>
        </w:rPr>
      </w:pPr>
    </w:p>
    <w:p w14:paraId="0CE44C1F">
      <w:pPr>
        <w:pStyle w:val="42"/>
        <w:ind w:firstLine="482"/>
        <w:rPr>
          <w:rFonts w:ascii="宋体"/>
          <w:b/>
          <w:bCs/>
          <w:color w:val="000000" w:themeColor="text1"/>
          <w:kern w:val="0"/>
          <w:szCs w:val="24"/>
          <w:highlight w:val="none"/>
        </w:rPr>
      </w:pPr>
    </w:p>
    <w:p w14:paraId="6B997445">
      <w:pPr>
        <w:pStyle w:val="42"/>
        <w:ind w:firstLine="482"/>
        <w:rPr>
          <w:rFonts w:ascii="宋体"/>
          <w:b/>
          <w:bCs/>
          <w:color w:val="000000" w:themeColor="text1"/>
          <w:kern w:val="0"/>
          <w:szCs w:val="24"/>
          <w:highlight w:val="none"/>
        </w:rPr>
      </w:pPr>
    </w:p>
    <w:p w14:paraId="4B201F13">
      <w:pPr>
        <w:rPr>
          <w:rFonts w:ascii="宋体" w:hAnsi="宋体" w:cs="宋体"/>
          <w:b/>
          <w:bCs/>
          <w:color w:val="000000" w:themeColor="text1"/>
          <w:kern w:val="0"/>
          <w:sz w:val="24"/>
          <w:szCs w:val="24"/>
          <w:highlight w:val="none"/>
        </w:rPr>
      </w:pPr>
      <w:r>
        <w:rPr>
          <w:rFonts w:hint="eastAsia" w:ascii="宋体" w:hAnsi="宋体" w:cs="宋体"/>
          <w:b/>
          <w:bCs/>
          <w:color w:val="000000" w:themeColor="text1"/>
          <w:kern w:val="0"/>
          <w:sz w:val="24"/>
          <w:szCs w:val="24"/>
          <w:highlight w:val="none"/>
        </w:rPr>
        <w:br w:type="page"/>
      </w:r>
    </w:p>
    <w:p w14:paraId="6532D507">
      <w:pPr>
        <w:widowControl/>
        <w:spacing w:line="288" w:lineRule="auto"/>
        <w:rPr>
          <w:rFonts w:ascii="宋体" w:hAnsi="宋体" w:cs="宋体"/>
          <w:b/>
          <w:bCs/>
          <w:color w:val="000000" w:themeColor="text1"/>
          <w:kern w:val="0"/>
          <w:sz w:val="24"/>
          <w:szCs w:val="24"/>
          <w:highlight w:val="none"/>
        </w:rPr>
      </w:pPr>
      <w:r>
        <w:rPr>
          <w:rFonts w:hint="eastAsia" w:ascii="宋体" w:hAnsi="宋体" w:cs="宋体"/>
          <w:b/>
          <w:bCs/>
          <w:color w:val="000000" w:themeColor="text1"/>
          <w:kern w:val="0"/>
          <w:sz w:val="24"/>
          <w:szCs w:val="24"/>
          <w:highlight w:val="none"/>
        </w:rPr>
        <w:t>（三）残疾人福利性单位声明函【不属于残疾人福利性单位，不用提供此函】</w:t>
      </w:r>
    </w:p>
    <w:p w14:paraId="31DFAD5F">
      <w:pPr>
        <w:pStyle w:val="20"/>
        <w:spacing w:line="288" w:lineRule="auto"/>
        <w:ind w:firstLine="0" w:firstLineChars="0"/>
        <w:jc w:val="center"/>
        <w:rPr>
          <w:rFonts w:ascii="宋体" w:hAnsi="宋体" w:eastAsia="宋体" w:cs="宋体"/>
          <w:b/>
          <w:bCs/>
          <w:color w:val="000000" w:themeColor="text1"/>
          <w:kern w:val="0"/>
          <w:sz w:val="24"/>
          <w:szCs w:val="24"/>
          <w:highlight w:val="none"/>
        </w:rPr>
      </w:pPr>
    </w:p>
    <w:p w14:paraId="2C8CC939">
      <w:pPr>
        <w:pStyle w:val="20"/>
        <w:spacing w:line="288" w:lineRule="auto"/>
        <w:ind w:firstLine="0" w:firstLineChars="0"/>
        <w:jc w:val="center"/>
        <w:rPr>
          <w:rFonts w:ascii="宋体" w:hAnsi="宋体" w:eastAsia="宋体" w:cs="宋体"/>
          <w:color w:val="000000" w:themeColor="text1"/>
          <w:kern w:val="0"/>
          <w:sz w:val="24"/>
          <w:szCs w:val="24"/>
          <w:highlight w:val="none"/>
          <w:u w:val="single"/>
        </w:rPr>
      </w:pPr>
      <w:r>
        <w:rPr>
          <w:rFonts w:hint="eastAsia" w:ascii="宋体" w:hAnsi="宋体" w:eastAsia="宋体" w:cs="宋体"/>
          <w:b/>
          <w:bCs/>
          <w:color w:val="000000" w:themeColor="text1"/>
          <w:kern w:val="0"/>
          <w:sz w:val="24"/>
          <w:szCs w:val="24"/>
          <w:highlight w:val="none"/>
        </w:rPr>
        <w:t>残疾人福利性单位声明函</w:t>
      </w:r>
    </w:p>
    <w:p w14:paraId="5BFB9826">
      <w:pPr>
        <w:pStyle w:val="20"/>
        <w:spacing w:line="288" w:lineRule="auto"/>
        <w:ind w:firstLine="0" w:firstLineChars="0"/>
        <w:rPr>
          <w:rFonts w:ascii="宋体" w:hAnsi="宋体" w:eastAsia="宋体" w:cs="宋体"/>
          <w:color w:val="000000" w:themeColor="text1"/>
          <w:kern w:val="0"/>
          <w:sz w:val="24"/>
          <w:szCs w:val="24"/>
          <w:highlight w:val="none"/>
          <w:u w:val="single"/>
        </w:rPr>
      </w:pPr>
      <w:r>
        <w:rPr>
          <w:rFonts w:hint="eastAsia" w:ascii="宋体" w:hAnsi="宋体" w:eastAsia="宋体" w:cs="宋体"/>
          <w:color w:val="000000" w:themeColor="text1"/>
          <w:kern w:val="0"/>
          <w:sz w:val="24"/>
          <w:szCs w:val="24"/>
          <w:highlight w:val="none"/>
          <w:u w:val="single"/>
        </w:rPr>
        <w:t xml:space="preserve">          （采购人）：</w:t>
      </w:r>
    </w:p>
    <w:p w14:paraId="4E6D1D94">
      <w:pPr>
        <w:widowControl/>
        <w:spacing w:line="288" w:lineRule="auto"/>
        <w:jc w:val="left"/>
        <w:rPr>
          <w:rFonts w:ascii="宋体" w:hAnsi="宋体" w:cs="宋体"/>
          <w:color w:val="000000" w:themeColor="text1"/>
          <w:kern w:val="0"/>
          <w:sz w:val="24"/>
          <w:szCs w:val="24"/>
          <w:highlight w:val="none"/>
          <w:u w:val="single"/>
        </w:rPr>
      </w:pPr>
      <w:r>
        <w:rPr>
          <w:rFonts w:hint="eastAsia" w:ascii="宋体" w:hAnsi="宋体" w:cs="宋体"/>
          <w:color w:val="000000" w:themeColor="text1"/>
          <w:kern w:val="0"/>
          <w:sz w:val="24"/>
          <w:szCs w:val="24"/>
          <w:highlight w:val="none"/>
          <w:u w:val="single"/>
        </w:rPr>
        <w:t xml:space="preserve">          （代理单位）：</w:t>
      </w:r>
    </w:p>
    <w:p w14:paraId="2C6119A5">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kern w:val="0"/>
          <w:sz w:val="24"/>
          <w:szCs w:val="24"/>
          <w:highlight w:val="none"/>
          <w:u w:val="single"/>
        </w:rPr>
        <w:t xml:space="preserve">            （采购人）</w:t>
      </w:r>
      <w:r>
        <w:rPr>
          <w:rFonts w:hint="eastAsia" w:ascii="宋体" w:hAnsi="宋体" w:cs="宋体"/>
          <w:color w:val="000000" w:themeColor="text1"/>
          <w:kern w:val="0"/>
          <w:sz w:val="24"/>
          <w:szCs w:val="24"/>
          <w:highlight w:val="none"/>
        </w:rPr>
        <w:t>单位的</w:t>
      </w:r>
      <w:r>
        <w:rPr>
          <w:rFonts w:hint="eastAsia" w:ascii="宋体" w:hAnsi="宋体" w:cs="宋体"/>
          <w:color w:val="000000" w:themeColor="text1"/>
          <w:kern w:val="0"/>
          <w:sz w:val="24"/>
          <w:szCs w:val="24"/>
          <w:highlight w:val="none"/>
          <w:u w:val="single"/>
        </w:rPr>
        <w:t xml:space="preserve">                  （项目名称）（项目编号:          ）</w:t>
      </w:r>
      <w:r>
        <w:rPr>
          <w:rFonts w:hint="eastAsia" w:ascii="宋体" w:hAnsi="宋体" w:cs="宋体"/>
          <w:color w:val="000000" w:themeColor="text1"/>
          <w:kern w:val="0"/>
          <w:sz w:val="24"/>
          <w:szCs w:val="24"/>
          <w:highlight w:val="none"/>
        </w:rPr>
        <w:t>采购活动，由本单位提供本单位的服务，或者提供其他残疾人福利性单位的服务。</w:t>
      </w:r>
    </w:p>
    <w:p w14:paraId="3AB869F0">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本单位对上述声明的真实性负责。如有虚假，将依法承担相应责任。 </w:t>
      </w:r>
    </w:p>
    <w:p w14:paraId="0407B057">
      <w:pPr>
        <w:pStyle w:val="20"/>
        <w:spacing w:line="288" w:lineRule="auto"/>
        <w:ind w:firstLine="0" w:firstLineChars="0"/>
        <w:rPr>
          <w:rFonts w:ascii="宋体" w:hAnsi="宋体" w:eastAsia="宋体" w:cs="宋体"/>
          <w:color w:val="000000" w:themeColor="text1"/>
          <w:kern w:val="0"/>
          <w:sz w:val="24"/>
          <w:szCs w:val="24"/>
          <w:highlight w:val="none"/>
        </w:rPr>
      </w:pPr>
    </w:p>
    <w:p w14:paraId="73047F06">
      <w:pPr>
        <w:tabs>
          <w:tab w:val="left" w:pos="4860"/>
        </w:tabs>
        <w:spacing w:line="288" w:lineRule="auto"/>
        <w:ind w:right="1559"/>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单位名称（盖章或电子签章）：</w:t>
      </w:r>
    </w:p>
    <w:p w14:paraId="1D7F7D2D">
      <w:pPr>
        <w:spacing w:line="288" w:lineRule="auto"/>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日  期：</w:t>
      </w:r>
    </w:p>
    <w:p w14:paraId="597093FA">
      <w:pPr>
        <w:pStyle w:val="20"/>
        <w:spacing w:line="288" w:lineRule="auto"/>
        <w:ind w:firstLine="0" w:firstLineChars="0"/>
        <w:rPr>
          <w:rFonts w:ascii="仿宋" w:hAnsi="仿宋" w:eastAsia="仿宋" w:cs="仿宋"/>
          <w:b/>
          <w:bCs/>
          <w:color w:val="000000" w:themeColor="text1"/>
          <w:sz w:val="24"/>
          <w:szCs w:val="24"/>
          <w:highlight w:val="none"/>
        </w:rPr>
      </w:pPr>
    </w:p>
    <w:p w14:paraId="4298B9B6">
      <w:pPr>
        <w:rPr>
          <w:rFonts w:cs="宋体"/>
          <w:color w:val="000000" w:themeColor="text1"/>
          <w:sz w:val="32"/>
          <w:highlight w:val="none"/>
        </w:rPr>
      </w:pPr>
      <w:r>
        <w:rPr>
          <w:rFonts w:hint="eastAsia" w:cs="宋体"/>
          <w:color w:val="000000" w:themeColor="text1"/>
          <w:sz w:val="32"/>
          <w:highlight w:val="none"/>
        </w:rPr>
        <w:br w:type="page"/>
      </w:r>
    </w:p>
    <w:p w14:paraId="65DB8C60">
      <w:pPr>
        <w:autoSpaceDE w:val="0"/>
        <w:autoSpaceDN w:val="0"/>
        <w:spacing w:before="0" w:after="0" w:line="240" w:lineRule="auto"/>
        <w:ind w:right="0"/>
        <w:jc w:val="center"/>
        <w:rPr>
          <w:rFonts w:ascii="楷体" w:hAnsi="楷体" w:eastAsia="楷体" w:cs="楷体"/>
          <w:b/>
          <w:color w:val="000000" w:themeColor="text1"/>
          <w:kern w:val="0"/>
          <w:sz w:val="36"/>
          <w:szCs w:val="22"/>
          <w:highlight w:val="none"/>
          <w:lang w:val="zh-CN" w:bidi="zh-CN"/>
        </w:rPr>
      </w:pPr>
      <w:r>
        <w:rPr>
          <w:rFonts w:hint="eastAsia" w:ascii="宋体" w:hAnsi="宋体"/>
          <w:b/>
          <w:color w:val="000000" w:themeColor="text1"/>
          <w:kern w:val="0"/>
          <w:szCs w:val="28"/>
          <w:highlight w:val="none"/>
          <w:lang w:val="en-US" w:eastAsia="zh-CN"/>
        </w:rPr>
        <w:t>九、</w:t>
      </w:r>
      <w:r>
        <w:rPr>
          <w:rFonts w:hint="eastAsia" w:ascii="宋体" w:hAnsi="宋体" w:eastAsia="宋体" w:cs="Times New Roman"/>
          <w:b/>
          <w:color w:val="000000" w:themeColor="text1"/>
          <w:kern w:val="0"/>
          <w:szCs w:val="28"/>
          <w:highlight w:val="none"/>
          <w:lang w:val="zh-CN"/>
        </w:rPr>
        <w:t>技术偏离表</w:t>
      </w:r>
    </w:p>
    <w:tbl>
      <w:tblPr>
        <w:tblStyle w:val="21"/>
        <w:tblW w:w="926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75"/>
        <w:gridCol w:w="1382"/>
        <w:gridCol w:w="4118"/>
        <w:gridCol w:w="1998"/>
        <w:gridCol w:w="895"/>
      </w:tblGrid>
      <w:tr w14:paraId="07EEEA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87" w:hRule="atLeast"/>
          <w:jc w:val="center"/>
        </w:trPr>
        <w:tc>
          <w:tcPr>
            <w:tcW w:w="875" w:type="dxa"/>
            <w:tcBorders>
              <w:bottom w:val="single" w:color="000000" w:sz="6" w:space="0"/>
              <w:right w:val="single" w:color="000000" w:sz="6" w:space="0"/>
            </w:tcBorders>
            <w:vAlign w:val="center"/>
          </w:tcPr>
          <w:p w14:paraId="6FA0C5B8">
            <w:pPr>
              <w:snapToGrid w:val="0"/>
              <w:spacing w:line="48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序号</w:t>
            </w:r>
          </w:p>
        </w:tc>
        <w:tc>
          <w:tcPr>
            <w:tcW w:w="1382" w:type="dxa"/>
            <w:tcBorders>
              <w:left w:val="single" w:color="000000" w:sz="6" w:space="0"/>
              <w:bottom w:val="single" w:color="000000" w:sz="6" w:space="0"/>
              <w:right w:val="single" w:color="000000" w:sz="6" w:space="0"/>
            </w:tcBorders>
            <w:vAlign w:val="center"/>
          </w:tcPr>
          <w:p w14:paraId="7D8A60D2">
            <w:pPr>
              <w:snapToGrid w:val="0"/>
              <w:spacing w:line="480" w:lineRule="exact"/>
              <w:jc w:val="center"/>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装备</w:t>
            </w:r>
            <w:r>
              <w:rPr>
                <w:rFonts w:hint="eastAsia" w:ascii="宋体" w:hAnsi="宋体" w:eastAsia="宋体" w:cs="宋体"/>
                <w:color w:val="auto"/>
                <w:sz w:val="24"/>
                <w:szCs w:val="24"/>
                <w:highlight w:val="none"/>
                <w:lang w:val="zh-CN" w:eastAsia="zh-CN"/>
              </w:rPr>
              <w:t>名称</w:t>
            </w:r>
          </w:p>
        </w:tc>
        <w:tc>
          <w:tcPr>
            <w:tcW w:w="4118" w:type="dxa"/>
            <w:tcBorders>
              <w:left w:val="single" w:color="000000" w:sz="6" w:space="0"/>
              <w:bottom w:val="single" w:color="000000" w:sz="6" w:space="0"/>
              <w:right w:val="single" w:color="000000" w:sz="6" w:space="0"/>
            </w:tcBorders>
            <w:vAlign w:val="center"/>
          </w:tcPr>
          <w:p w14:paraId="7ED3D723">
            <w:pPr>
              <w:snapToGrid w:val="0"/>
              <w:spacing w:line="48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主要参数要求</w:t>
            </w:r>
          </w:p>
        </w:tc>
        <w:tc>
          <w:tcPr>
            <w:tcW w:w="1998" w:type="dxa"/>
            <w:tcBorders>
              <w:left w:val="single" w:color="000000" w:sz="6" w:space="0"/>
              <w:bottom w:val="single" w:color="000000" w:sz="6" w:space="0"/>
              <w:right w:val="single" w:color="000000" w:sz="6" w:space="0"/>
            </w:tcBorders>
            <w:vAlign w:val="center"/>
          </w:tcPr>
          <w:p w14:paraId="3A7C1FFE">
            <w:pPr>
              <w:snapToGrid w:val="0"/>
              <w:spacing w:line="48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响应情况</w:t>
            </w:r>
          </w:p>
          <w:p w14:paraId="72C48FBA">
            <w:pPr>
              <w:snapToGrid w:val="0"/>
              <w:spacing w:line="48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（无偏离或正偏离或负偏离）</w:t>
            </w:r>
          </w:p>
        </w:tc>
        <w:tc>
          <w:tcPr>
            <w:tcW w:w="895" w:type="dxa"/>
            <w:tcBorders>
              <w:left w:val="single" w:color="000000" w:sz="6" w:space="0"/>
              <w:bottom w:val="single" w:color="000000" w:sz="6" w:space="0"/>
            </w:tcBorders>
            <w:vAlign w:val="center"/>
          </w:tcPr>
          <w:p w14:paraId="14C78814">
            <w:pPr>
              <w:snapToGrid w:val="0"/>
              <w:spacing w:line="48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说明</w:t>
            </w:r>
          </w:p>
        </w:tc>
      </w:tr>
      <w:tr w14:paraId="7472E1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jc w:val="center"/>
        </w:trPr>
        <w:tc>
          <w:tcPr>
            <w:tcW w:w="875" w:type="dxa"/>
            <w:tcBorders>
              <w:top w:val="single" w:color="000000" w:sz="6" w:space="0"/>
              <w:bottom w:val="single" w:color="000000" w:sz="6" w:space="0"/>
              <w:right w:val="single" w:color="000000" w:sz="6" w:space="0"/>
            </w:tcBorders>
          </w:tcPr>
          <w:p w14:paraId="1DD4CE6A">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bottom w:val="single" w:color="000000" w:sz="6" w:space="0"/>
              <w:right w:val="single" w:color="000000" w:sz="6" w:space="0"/>
            </w:tcBorders>
          </w:tcPr>
          <w:p w14:paraId="7C39B0CF">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bottom w:val="single" w:color="000000" w:sz="6" w:space="0"/>
              <w:right w:val="single" w:color="000000" w:sz="6" w:space="0"/>
            </w:tcBorders>
          </w:tcPr>
          <w:p w14:paraId="78C4C23F">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bottom w:val="single" w:color="000000" w:sz="6" w:space="0"/>
              <w:right w:val="single" w:color="000000" w:sz="6" w:space="0"/>
            </w:tcBorders>
          </w:tcPr>
          <w:p w14:paraId="1EBD0E30">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bottom w:val="single" w:color="000000" w:sz="6" w:space="0"/>
            </w:tcBorders>
          </w:tcPr>
          <w:p w14:paraId="553540E9">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r w14:paraId="663C18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jc w:val="center"/>
        </w:trPr>
        <w:tc>
          <w:tcPr>
            <w:tcW w:w="875" w:type="dxa"/>
            <w:tcBorders>
              <w:top w:val="single" w:color="000000" w:sz="6" w:space="0"/>
              <w:bottom w:val="single" w:color="000000" w:sz="6" w:space="0"/>
              <w:right w:val="single" w:color="000000" w:sz="6" w:space="0"/>
            </w:tcBorders>
          </w:tcPr>
          <w:p w14:paraId="6DFE0898">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bottom w:val="single" w:color="000000" w:sz="6" w:space="0"/>
              <w:right w:val="single" w:color="000000" w:sz="6" w:space="0"/>
            </w:tcBorders>
          </w:tcPr>
          <w:p w14:paraId="2107FACD">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bottom w:val="single" w:color="000000" w:sz="6" w:space="0"/>
              <w:right w:val="single" w:color="000000" w:sz="6" w:space="0"/>
            </w:tcBorders>
          </w:tcPr>
          <w:p w14:paraId="6908EE4A">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bottom w:val="single" w:color="000000" w:sz="6" w:space="0"/>
              <w:right w:val="single" w:color="000000" w:sz="6" w:space="0"/>
            </w:tcBorders>
          </w:tcPr>
          <w:p w14:paraId="70AD4607">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bottom w:val="single" w:color="000000" w:sz="6" w:space="0"/>
            </w:tcBorders>
          </w:tcPr>
          <w:p w14:paraId="48E8A915">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r w14:paraId="545E35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jc w:val="center"/>
        </w:trPr>
        <w:tc>
          <w:tcPr>
            <w:tcW w:w="875" w:type="dxa"/>
            <w:tcBorders>
              <w:top w:val="single" w:color="000000" w:sz="6" w:space="0"/>
              <w:bottom w:val="single" w:color="000000" w:sz="6" w:space="0"/>
              <w:right w:val="single" w:color="000000" w:sz="6" w:space="0"/>
            </w:tcBorders>
          </w:tcPr>
          <w:p w14:paraId="4A24A941">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bottom w:val="single" w:color="000000" w:sz="6" w:space="0"/>
              <w:right w:val="single" w:color="000000" w:sz="6" w:space="0"/>
            </w:tcBorders>
          </w:tcPr>
          <w:p w14:paraId="68D7A911">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bottom w:val="single" w:color="000000" w:sz="6" w:space="0"/>
              <w:right w:val="single" w:color="000000" w:sz="6" w:space="0"/>
            </w:tcBorders>
          </w:tcPr>
          <w:p w14:paraId="7C70C226">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bottom w:val="single" w:color="000000" w:sz="6" w:space="0"/>
              <w:right w:val="single" w:color="000000" w:sz="6" w:space="0"/>
            </w:tcBorders>
          </w:tcPr>
          <w:p w14:paraId="1435FF4E">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bottom w:val="single" w:color="000000" w:sz="6" w:space="0"/>
            </w:tcBorders>
          </w:tcPr>
          <w:p w14:paraId="39CA3758">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r w14:paraId="71325E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2" w:hRule="atLeast"/>
          <w:jc w:val="center"/>
        </w:trPr>
        <w:tc>
          <w:tcPr>
            <w:tcW w:w="875" w:type="dxa"/>
            <w:tcBorders>
              <w:top w:val="single" w:color="000000" w:sz="6" w:space="0"/>
              <w:bottom w:val="single" w:color="000000" w:sz="6" w:space="0"/>
              <w:right w:val="single" w:color="000000" w:sz="6" w:space="0"/>
            </w:tcBorders>
          </w:tcPr>
          <w:p w14:paraId="25D0293F">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bottom w:val="single" w:color="000000" w:sz="6" w:space="0"/>
              <w:right w:val="single" w:color="000000" w:sz="6" w:space="0"/>
            </w:tcBorders>
          </w:tcPr>
          <w:p w14:paraId="6B48039C">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bottom w:val="single" w:color="000000" w:sz="6" w:space="0"/>
              <w:right w:val="single" w:color="000000" w:sz="6" w:space="0"/>
            </w:tcBorders>
          </w:tcPr>
          <w:p w14:paraId="434A6CD8">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bottom w:val="single" w:color="000000" w:sz="6" w:space="0"/>
              <w:right w:val="single" w:color="000000" w:sz="6" w:space="0"/>
            </w:tcBorders>
          </w:tcPr>
          <w:p w14:paraId="1391A1EC">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bottom w:val="single" w:color="000000" w:sz="6" w:space="0"/>
            </w:tcBorders>
          </w:tcPr>
          <w:p w14:paraId="769AD04C">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r w14:paraId="041845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jc w:val="center"/>
        </w:trPr>
        <w:tc>
          <w:tcPr>
            <w:tcW w:w="875" w:type="dxa"/>
            <w:tcBorders>
              <w:top w:val="single" w:color="000000" w:sz="6" w:space="0"/>
              <w:bottom w:val="single" w:color="000000" w:sz="6" w:space="0"/>
              <w:right w:val="single" w:color="000000" w:sz="6" w:space="0"/>
            </w:tcBorders>
          </w:tcPr>
          <w:p w14:paraId="1DA369B7">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bottom w:val="single" w:color="000000" w:sz="6" w:space="0"/>
              <w:right w:val="single" w:color="000000" w:sz="6" w:space="0"/>
            </w:tcBorders>
          </w:tcPr>
          <w:p w14:paraId="246159CF">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bottom w:val="single" w:color="000000" w:sz="6" w:space="0"/>
              <w:right w:val="single" w:color="000000" w:sz="6" w:space="0"/>
            </w:tcBorders>
          </w:tcPr>
          <w:p w14:paraId="2722EB11">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bottom w:val="single" w:color="000000" w:sz="6" w:space="0"/>
              <w:right w:val="single" w:color="000000" w:sz="6" w:space="0"/>
            </w:tcBorders>
          </w:tcPr>
          <w:p w14:paraId="5D0C3AE5">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bottom w:val="single" w:color="000000" w:sz="6" w:space="0"/>
            </w:tcBorders>
          </w:tcPr>
          <w:p w14:paraId="3F72234D">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r w14:paraId="3B065C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jc w:val="center"/>
        </w:trPr>
        <w:tc>
          <w:tcPr>
            <w:tcW w:w="875" w:type="dxa"/>
            <w:tcBorders>
              <w:top w:val="single" w:color="000000" w:sz="6" w:space="0"/>
              <w:bottom w:val="single" w:color="000000" w:sz="6" w:space="0"/>
              <w:right w:val="single" w:color="000000" w:sz="6" w:space="0"/>
            </w:tcBorders>
          </w:tcPr>
          <w:p w14:paraId="258AD426">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bottom w:val="single" w:color="000000" w:sz="6" w:space="0"/>
              <w:right w:val="single" w:color="000000" w:sz="6" w:space="0"/>
            </w:tcBorders>
          </w:tcPr>
          <w:p w14:paraId="418B6307">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bottom w:val="single" w:color="000000" w:sz="6" w:space="0"/>
              <w:right w:val="single" w:color="000000" w:sz="6" w:space="0"/>
            </w:tcBorders>
          </w:tcPr>
          <w:p w14:paraId="5B8E6B1C">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bottom w:val="single" w:color="000000" w:sz="6" w:space="0"/>
              <w:right w:val="single" w:color="000000" w:sz="6" w:space="0"/>
            </w:tcBorders>
          </w:tcPr>
          <w:p w14:paraId="465FA3B9">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bottom w:val="single" w:color="000000" w:sz="6" w:space="0"/>
            </w:tcBorders>
          </w:tcPr>
          <w:p w14:paraId="3E4F441E">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r w14:paraId="483BBC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2" w:hRule="atLeast"/>
          <w:jc w:val="center"/>
        </w:trPr>
        <w:tc>
          <w:tcPr>
            <w:tcW w:w="875" w:type="dxa"/>
            <w:tcBorders>
              <w:top w:val="single" w:color="000000" w:sz="6" w:space="0"/>
              <w:bottom w:val="single" w:color="000000" w:sz="6" w:space="0"/>
              <w:right w:val="single" w:color="000000" w:sz="6" w:space="0"/>
            </w:tcBorders>
          </w:tcPr>
          <w:p w14:paraId="266FC350">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bottom w:val="single" w:color="000000" w:sz="6" w:space="0"/>
              <w:right w:val="single" w:color="000000" w:sz="6" w:space="0"/>
            </w:tcBorders>
          </w:tcPr>
          <w:p w14:paraId="4E2A2360">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bottom w:val="single" w:color="000000" w:sz="6" w:space="0"/>
              <w:right w:val="single" w:color="000000" w:sz="6" w:space="0"/>
            </w:tcBorders>
          </w:tcPr>
          <w:p w14:paraId="06456F71">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bottom w:val="single" w:color="000000" w:sz="6" w:space="0"/>
              <w:right w:val="single" w:color="000000" w:sz="6" w:space="0"/>
            </w:tcBorders>
          </w:tcPr>
          <w:p w14:paraId="6C7A5EE4">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bottom w:val="single" w:color="000000" w:sz="6" w:space="0"/>
            </w:tcBorders>
          </w:tcPr>
          <w:p w14:paraId="40751F69">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r w14:paraId="2F2EF5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9" w:hRule="atLeast"/>
          <w:jc w:val="center"/>
        </w:trPr>
        <w:tc>
          <w:tcPr>
            <w:tcW w:w="875" w:type="dxa"/>
            <w:tcBorders>
              <w:top w:val="single" w:color="000000" w:sz="6" w:space="0"/>
              <w:right w:val="single" w:color="000000" w:sz="6" w:space="0"/>
            </w:tcBorders>
          </w:tcPr>
          <w:p w14:paraId="4A31F928">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right w:val="single" w:color="000000" w:sz="6" w:space="0"/>
            </w:tcBorders>
          </w:tcPr>
          <w:p w14:paraId="72BC3E0F">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right w:val="single" w:color="000000" w:sz="6" w:space="0"/>
            </w:tcBorders>
          </w:tcPr>
          <w:p w14:paraId="66D44E4A">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right w:val="single" w:color="000000" w:sz="6" w:space="0"/>
            </w:tcBorders>
          </w:tcPr>
          <w:p w14:paraId="08DBFF35">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tcBorders>
          </w:tcPr>
          <w:p w14:paraId="4BF01127">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bl>
    <w:p w14:paraId="4679BF15">
      <w:pPr>
        <w:snapToGrid w:val="0"/>
        <w:spacing w:line="480" w:lineRule="exact"/>
        <w:ind w:firstLine="480" w:firstLineChars="200"/>
        <w:jc w:val="left"/>
        <w:rPr>
          <w:rFonts w:hint="eastAsia" w:ascii="宋体" w:hAnsi="宋体" w:eastAsia="宋体" w:cs="宋体"/>
          <w:color w:val="000000" w:themeColor="text1"/>
          <w:sz w:val="24"/>
          <w:szCs w:val="24"/>
          <w:highlight w:val="none"/>
          <w:lang w:val="zh-CN" w:eastAsia="zh-CN"/>
        </w:rPr>
      </w:pPr>
      <w:r>
        <w:rPr>
          <w:rFonts w:hint="eastAsia" w:ascii="宋体" w:hAnsi="宋体" w:eastAsia="宋体" w:cs="宋体"/>
          <w:color w:val="000000" w:themeColor="text1"/>
          <w:sz w:val="24"/>
          <w:szCs w:val="24"/>
          <w:highlight w:val="none"/>
          <w:lang w:val="zh-CN" w:eastAsia="zh-CN"/>
        </w:rPr>
        <w:t>注：1.本表中所采购货物是指投标供应商对应本招标文件</w:t>
      </w:r>
      <w:r>
        <w:rPr>
          <w:rFonts w:hint="eastAsia" w:ascii="宋体" w:hAnsi="宋体" w:eastAsia="宋体" w:cs="宋体"/>
          <w:color w:val="000000" w:themeColor="text1"/>
          <w:sz w:val="24"/>
          <w:szCs w:val="24"/>
          <w:highlight w:val="none"/>
          <w:lang w:val="en-US" w:eastAsia="zh-CN"/>
        </w:rPr>
        <w:t>第三部分</w:t>
      </w:r>
      <w:r>
        <w:rPr>
          <w:rFonts w:hint="eastAsia" w:ascii="宋体" w:hAnsi="宋体" w:eastAsia="宋体" w:cs="宋体"/>
          <w:color w:val="000000" w:themeColor="text1"/>
          <w:sz w:val="24"/>
          <w:szCs w:val="24"/>
          <w:highlight w:val="none"/>
          <w:lang w:val="zh-CN" w:eastAsia="zh-CN"/>
        </w:rPr>
        <w:t>《采购需求及要求》 中“技术要求”所列出的要求逐条应答的说明。</w:t>
      </w:r>
    </w:p>
    <w:p w14:paraId="0B79A8DD">
      <w:pPr>
        <w:snapToGrid w:val="0"/>
        <w:spacing w:line="480" w:lineRule="exact"/>
        <w:ind w:firstLine="480" w:firstLineChars="200"/>
        <w:jc w:val="left"/>
        <w:rPr>
          <w:rFonts w:hint="eastAsia" w:ascii="宋体" w:hAnsi="宋体" w:eastAsia="宋体" w:cs="宋体"/>
          <w:color w:val="000000" w:themeColor="text1"/>
          <w:sz w:val="24"/>
          <w:szCs w:val="24"/>
          <w:highlight w:val="none"/>
          <w:lang w:val="zh-CN" w:eastAsia="zh-CN"/>
        </w:rPr>
      </w:pPr>
      <w:r>
        <w:rPr>
          <w:rFonts w:hint="eastAsia" w:ascii="宋体" w:hAnsi="宋体" w:eastAsia="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lang w:val="zh-CN" w:eastAsia="zh-CN"/>
        </w:rPr>
        <w:t>供应商须根据本表要求进行逐条响应，并说明偏离情况（无偏离、正偏离、负偏离）</w:t>
      </w:r>
      <w:r>
        <w:rPr>
          <w:rFonts w:hint="eastAsia" w:ascii="宋体" w:hAnsi="宋体" w:cs="宋体"/>
          <w:color w:val="000000" w:themeColor="text1"/>
          <w:sz w:val="24"/>
          <w:szCs w:val="24"/>
          <w:highlight w:val="none"/>
          <w:lang w:val="zh-CN" w:eastAsia="zh-CN"/>
        </w:rPr>
        <w:t>。</w:t>
      </w:r>
      <w:r>
        <w:rPr>
          <w:rFonts w:hint="eastAsia" w:ascii="宋体" w:hAnsi="宋体" w:eastAsia="宋体" w:cs="宋体"/>
          <w:color w:val="000000" w:themeColor="text1"/>
          <w:sz w:val="24"/>
          <w:szCs w:val="24"/>
          <w:highlight w:val="none"/>
          <w:lang w:val="zh-CN" w:eastAsia="zh-CN"/>
        </w:rPr>
        <w:t>如未按要求说明的参数视为满足招标文件要求，供应商对本表所应答参数真实性负责，</w:t>
      </w:r>
      <w:r>
        <w:rPr>
          <w:rFonts w:hint="eastAsia" w:ascii="宋体" w:hAnsi="宋体" w:cs="宋体"/>
          <w:color w:val="000000" w:themeColor="text1"/>
          <w:sz w:val="24"/>
          <w:szCs w:val="24"/>
          <w:highlight w:val="none"/>
          <w:lang w:val="en-US" w:eastAsia="zh-CN"/>
        </w:rPr>
        <w:t>自行编制承诺函，承诺</w:t>
      </w:r>
      <w:r>
        <w:rPr>
          <w:rFonts w:hint="eastAsia" w:ascii="宋体" w:hAnsi="宋体" w:eastAsia="宋体" w:cs="宋体"/>
          <w:color w:val="000000" w:themeColor="text1"/>
          <w:sz w:val="24"/>
          <w:szCs w:val="24"/>
          <w:highlight w:val="none"/>
          <w:lang w:val="zh-CN" w:eastAsia="zh-CN"/>
        </w:rPr>
        <w:t>如发现虚假应标情况，按无效投标处理</w:t>
      </w:r>
      <w:r>
        <w:rPr>
          <w:rFonts w:hint="eastAsia" w:ascii="宋体" w:hAnsi="宋体" w:cs="宋体"/>
          <w:color w:val="000000" w:themeColor="text1"/>
          <w:sz w:val="24"/>
          <w:szCs w:val="24"/>
          <w:highlight w:val="none"/>
          <w:lang w:val="en-US" w:eastAsia="zh-CN"/>
        </w:rPr>
        <w:t>并赔偿招标人全部损失</w:t>
      </w:r>
      <w:r>
        <w:rPr>
          <w:rFonts w:hint="eastAsia" w:ascii="宋体" w:hAnsi="宋体" w:eastAsia="宋体" w:cs="宋体"/>
          <w:color w:val="000000" w:themeColor="text1"/>
          <w:sz w:val="24"/>
          <w:szCs w:val="24"/>
          <w:highlight w:val="none"/>
          <w:lang w:val="zh-CN" w:eastAsia="zh-CN"/>
        </w:rPr>
        <w:t>。</w:t>
      </w:r>
    </w:p>
    <w:p w14:paraId="72391B67">
      <w:pPr>
        <w:snapToGrid w:val="0"/>
        <w:spacing w:line="480" w:lineRule="exact"/>
        <w:ind w:firstLine="480" w:firstLineChars="200"/>
        <w:jc w:val="left"/>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en-US" w:eastAsia="zh-CN"/>
        </w:rPr>
        <w:t>3.</w:t>
      </w:r>
      <w:r>
        <w:rPr>
          <w:rFonts w:hint="eastAsia" w:ascii="宋体" w:hAnsi="宋体" w:eastAsia="宋体" w:cs="宋体"/>
          <w:color w:val="000000" w:themeColor="text1"/>
          <w:sz w:val="24"/>
          <w:szCs w:val="24"/>
          <w:highlight w:val="none"/>
          <w:lang w:val="zh-CN" w:eastAsia="zh-CN"/>
        </w:rPr>
        <w:t>供应商可根据实际情况进行增加栏数进行响应。</w:t>
      </w:r>
    </w:p>
    <w:p w14:paraId="5B536DE9">
      <w:pPr>
        <w:widowControl/>
        <w:snapToGrid w:val="0"/>
        <w:spacing w:line="500" w:lineRule="exact"/>
        <w:jc w:val="left"/>
        <w:rPr>
          <w:rFonts w:hint="eastAsia" w:ascii="宋体" w:hAnsi="宋体" w:cs="宋体"/>
          <w:color w:val="000000" w:themeColor="text1"/>
          <w:kern w:val="0"/>
          <w:sz w:val="24"/>
          <w:szCs w:val="24"/>
          <w:highlight w:val="none"/>
        </w:rPr>
      </w:pPr>
    </w:p>
    <w:p w14:paraId="3C44E354">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投标人（盖单位公章） ：</w:t>
      </w:r>
    </w:p>
    <w:p w14:paraId="4B229BE0">
      <w:pPr>
        <w:widowControl/>
        <w:adjustRightInd w:val="0"/>
        <w:snapToGrid w:val="0"/>
        <w:spacing w:line="500" w:lineRule="exact"/>
        <w:jc w:val="left"/>
        <w:rPr>
          <w:rFonts w:ascii="宋体" w:hAnsi="宋体"/>
          <w:color w:val="000000" w:themeColor="text1"/>
          <w:kern w:val="0"/>
          <w:sz w:val="24"/>
          <w:highlight w:val="none"/>
        </w:rPr>
      </w:pPr>
      <w:r>
        <w:rPr>
          <w:rFonts w:hint="eastAsia" w:ascii="宋体" w:hAnsi="宋体"/>
          <w:color w:val="000000" w:themeColor="text1"/>
          <w:kern w:val="0"/>
          <w:sz w:val="24"/>
          <w:highlight w:val="none"/>
        </w:rPr>
        <w:t>法定代表人或其授权代表人（签字或盖章）：</w:t>
      </w:r>
    </w:p>
    <w:p w14:paraId="4BB01083">
      <w:pPr>
        <w:widowControl/>
        <w:snapToGrid w:val="0"/>
        <w:spacing w:line="500" w:lineRule="exact"/>
        <w:jc w:val="left"/>
        <w:rPr>
          <w:rFonts w:ascii="宋体" w:hAnsi="宋体"/>
          <w:b/>
          <w:color w:val="000000" w:themeColor="text1"/>
          <w:szCs w:val="22"/>
          <w:highlight w:val="none"/>
        </w:rPr>
      </w:pPr>
      <w:r>
        <w:rPr>
          <w:rFonts w:hint="eastAsia" w:ascii="宋体" w:hAnsi="宋体" w:cs="宋体"/>
          <w:color w:val="000000" w:themeColor="text1"/>
          <w:kern w:val="0"/>
          <w:sz w:val="24"/>
          <w:szCs w:val="24"/>
          <w:highlight w:val="none"/>
        </w:rPr>
        <w:t>日期：     年  月  日</w:t>
      </w:r>
    </w:p>
    <w:p w14:paraId="12B87B16">
      <w:pPr>
        <w:rPr>
          <w:rFonts w:hint="eastAsia" w:ascii="宋体" w:hAnsi="宋体"/>
          <w:b/>
          <w:color w:val="000000" w:themeColor="text1"/>
          <w:kern w:val="0"/>
          <w:szCs w:val="28"/>
          <w:highlight w:val="none"/>
        </w:rPr>
      </w:pPr>
    </w:p>
    <w:p w14:paraId="68B0DD3A">
      <w:pPr>
        <w:rPr>
          <w:rFonts w:hint="eastAsia" w:ascii="宋体" w:hAnsi="宋体"/>
          <w:b/>
          <w:color w:val="000000" w:themeColor="text1"/>
          <w:kern w:val="0"/>
          <w:szCs w:val="28"/>
          <w:highlight w:val="none"/>
        </w:rPr>
      </w:pPr>
      <w:r>
        <w:rPr>
          <w:rFonts w:hint="eastAsia" w:ascii="宋体" w:hAnsi="宋体"/>
          <w:b/>
          <w:color w:val="000000" w:themeColor="text1"/>
          <w:kern w:val="0"/>
          <w:szCs w:val="28"/>
          <w:highlight w:val="none"/>
        </w:rPr>
        <w:br w:type="page"/>
      </w:r>
    </w:p>
    <w:p w14:paraId="01C2D8FC">
      <w:pPr>
        <w:spacing w:line="360" w:lineRule="auto"/>
        <w:jc w:val="center"/>
        <w:rPr>
          <w:rFonts w:ascii="宋体" w:hAnsi="宋体" w:cs="宋体"/>
          <w:color w:val="000000" w:themeColor="text1"/>
          <w:sz w:val="24"/>
          <w:szCs w:val="24"/>
          <w:highlight w:val="none"/>
        </w:rPr>
      </w:pPr>
      <w:r>
        <w:rPr>
          <w:rFonts w:hint="eastAsia" w:ascii="宋体" w:hAnsi="宋体"/>
          <w:b/>
          <w:color w:val="000000" w:themeColor="text1"/>
          <w:kern w:val="0"/>
          <w:szCs w:val="28"/>
          <w:highlight w:val="none"/>
          <w:lang w:val="en-US" w:eastAsia="zh-CN"/>
        </w:rPr>
        <w:t>十</w:t>
      </w:r>
      <w:r>
        <w:rPr>
          <w:rFonts w:hint="eastAsia" w:ascii="宋体" w:hAnsi="宋体"/>
          <w:b/>
          <w:color w:val="000000" w:themeColor="text1"/>
          <w:kern w:val="0"/>
          <w:szCs w:val="28"/>
          <w:highlight w:val="none"/>
        </w:rPr>
        <w:t>、投标声明函</w:t>
      </w:r>
    </w:p>
    <w:p w14:paraId="1DDCD2D2">
      <w:pPr>
        <w:snapToGrid w:val="0"/>
        <w:spacing w:line="34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致： （招标单位名称）</w:t>
      </w:r>
    </w:p>
    <w:p w14:paraId="25C188A7">
      <w:pPr>
        <w:pStyle w:val="7"/>
        <w:snapToGrid w:val="0"/>
        <w:spacing w:line="340" w:lineRule="exact"/>
        <w:rPr>
          <w:rFonts w:ascii="宋体" w:hAnsi="宋体" w:cs="宋体"/>
          <w:color w:val="000000" w:themeColor="text1"/>
          <w:sz w:val="24"/>
          <w:highlight w:val="none"/>
        </w:rPr>
      </w:pPr>
    </w:p>
    <w:p w14:paraId="6A9C4343">
      <w:pPr>
        <w:pStyle w:val="13"/>
        <w:adjustRightInd w:val="0"/>
        <w:snapToGrid w:val="0"/>
        <w:spacing w:line="340" w:lineRule="exact"/>
        <w:ind w:firstLine="480" w:firstLineChars="200"/>
        <w:rPr>
          <w:rFonts w:hAnsi="宋体"/>
          <w:color w:val="000000" w:themeColor="text1"/>
          <w:sz w:val="24"/>
          <w:highlight w:val="none"/>
        </w:rPr>
      </w:pPr>
      <w:r>
        <w:rPr>
          <w:rFonts w:hint="eastAsia" w:hAnsi="宋体"/>
          <w:color w:val="000000" w:themeColor="text1"/>
          <w:sz w:val="24"/>
          <w:highlight w:val="none"/>
        </w:rPr>
        <w:t>本单位自愿参加</w:t>
      </w:r>
      <w:r>
        <w:rPr>
          <w:rFonts w:hint="eastAsia" w:hAnsi="宋体" w:cs="宋体"/>
          <w:color w:val="000000" w:themeColor="text1"/>
          <w:sz w:val="24"/>
          <w:szCs w:val="24"/>
          <w:highlight w:val="none"/>
          <w:u w:val="single"/>
        </w:rPr>
        <w:t xml:space="preserve">                项目（项目编号：      ）</w:t>
      </w:r>
      <w:r>
        <w:rPr>
          <w:rFonts w:hint="eastAsia" w:hAnsi="宋体"/>
          <w:color w:val="000000" w:themeColor="text1"/>
          <w:sz w:val="24"/>
          <w:highlight w:val="none"/>
        </w:rPr>
        <w:t>的投标，并保证投标文件中所列举的投标文件及相关资料和公司基本情况资料是真实的、合法的，我方：</w:t>
      </w:r>
    </w:p>
    <w:p w14:paraId="31D2A753">
      <w:pPr>
        <w:adjustRightInd w:val="0"/>
        <w:snapToGrid w:val="0"/>
        <w:spacing w:line="340" w:lineRule="exact"/>
        <w:ind w:firstLine="480"/>
        <w:rPr>
          <w:rFonts w:ascii="宋体" w:hAnsi="宋体"/>
          <w:color w:val="000000" w:themeColor="text1"/>
          <w:kern w:val="0"/>
          <w:sz w:val="24"/>
          <w:highlight w:val="none"/>
        </w:rPr>
      </w:pPr>
      <w:r>
        <w:rPr>
          <w:rFonts w:ascii="宋体" w:hAnsi="宋体"/>
          <w:color w:val="000000" w:themeColor="text1"/>
          <w:kern w:val="0"/>
          <w:sz w:val="24"/>
          <w:highlight w:val="none"/>
        </w:rPr>
        <w:t>1</w:t>
      </w:r>
      <w:r>
        <w:rPr>
          <w:rFonts w:hint="eastAsia" w:ascii="宋体" w:hAnsi="宋体"/>
          <w:color w:val="000000" w:themeColor="text1"/>
          <w:kern w:val="0"/>
          <w:sz w:val="24"/>
          <w:highlight w:val="none"/>
        </w:rPr>
        <w:t>、</w:t>
      </w:r>
      <w:r>
        <w:rPr>
          <w:rFonts w:hint="eastAsia" w:ascii="宋体" w:hAnsi="宋体"/>
          <w:color w:val="000000" w:themeColor="text1"/>
          <w:sz w:val="24"/>
          <w:highlight w:val="none"/>
        </w:rPr>
        <w:t>已详细阅读全部采购文件，包括采购文件补充文件（（如果有，包括相关的补充、更正、澄清公告和文件））、参考资料及有关附件，确认无误。我方完全理解并接受采购文件的各项规定和要求。</w:t>
      </w:r>
    </w:p>
    <w:p w14:paraId="3BFAE4C0">
      <w:pPr>
        <w:adjustRightInd w:val="0"/>
        <w:snapToGrid w:val="0"/>
        <w:spacing w:line="340" w:lineRule="exact"/>
        <w:ind w:firstLine="480"/>
        <w:rPr>
          <w:rFonts w:ascii="宋体" w:hAnsi="宋体"/>
          <w:color w:val="000000" w:themeColor="text1"/>
          <w:kern w:val="0"/>
          <w:sz w:val="24"/>
          <w:highlight w:val="none"/>
        </w:rPr>
      </w:pPr>
      <w:r>
        <w:rPr>
          <w:rFonts w:ascii="宋体" w:hAnsi="宋体"/>
          <w:color w:val="000000" w:themeColor="text1"/>
          <w:kern w:val="0"/>
          <w:sz w:val="24"/>
          <w:highlight w:val="none"/>
        </w:rPr>
        <w:t>2</w:t>
      </w:r>
      <w:r>
        <w:rPr>
          <w:rFonts w:hint="eastAsia" w:ascii="宋体" w:hAnsi="宋体"/>
          <w:color w:val="000000" w:themeColor="text1"/>
          <w:kern w:val="0"/>
          <w:sz w:val="24"/>
          <w:highlight w:val="none"/>
        </w:rPr>
        <w:t>、</w:t>
      </w:r>
      <w:r>
        <w:rPr>
          <w:rFonts w:hint="eastAsia" w:ascii="宋体" w:hAnsi="宋体"/>
          <w:color w:val="000000" w:themeColor="text1"/>
          <w:kern w:val="0"/>
          <w:sz w:val="24"/>
          <w:highlight w:val="none"/>
          <w:lang w:val="zh-CN"/>
        </w:rPr>
        <w:t>同意提供按照贵方可能要求的与投标有关的一切数据或资料等。</w:t>
      </w:r>
      <w:r>
        <w:rPr>
          <w:rFonts w:hint="eastAsia" w:ascii="宋体" w:hAnsi="宋体"/>
          <w:color w:val="000000" w:themeColor="text1"/>
          <w:sz w:val="24"/>
          <w:highlight w:val="none"/>
        </w:rPr>
        <w:t>若贵方需要，我方愿意提供我方作出的一切承诺的证明材料。</w:t>
      </w:r>
    </w:p>
    <w:p w14:paraId="414CE71E">
      <w:pPr>
        <w:adjustRightInd w:val="0"/>
        <w:snapToGrid w:val="0"/>
        <w:spacing w:line="340" w:lineRule="exact"/>
        <w:ind w:firstLine="480"/>
        <w:rPr>
          <w:rFonts w:ascii="宋体" w:hAnsi="宋体"/>
          <w:color w:val="000000" w:themeColor="text1"/>
          <w:kern w:val="0"/>
          <w:sz w:val="24"/>
          <w:highlight w:val="none"/>
          <w:lang w:val="zh-CN"/>
        </w:rPr>
      </w:pPr>
      <w:r>
        <w:rPr>
          <w:rFonts w:ascii="宋体" w:hAnsi="宋体"/>
          <w:color w:val="000000" w:themeColor="text1"/>
          <w:kern w:val="0"/>
          <w:sz w:val="24"/>
          <w:highlight w:val="none"/>
        </w:rPr>
        <w:t>3</w:t>
      </w:r>
      <w:r>
        <w:rPr>
          <w:rFonts w:hint="eastAsia" w:ascii="宋体" w:hAnsi="宋体"/>
          <w:color w:val="000000" w:themeColor="text1"/>
          <w:kern w:val="0"/>
          <w:sz w:val="24"/>
          <w:highlight w:val="none"/>
        </w:rPr>
        <w:t>、</w:t>
      </w:r>
      <w:r>
        <w:rPr>
          <w:rFonts w:hint="eastAsia" w:ascii="宋体" w:hAnsi="宋体"/>
          <w:color w:val="000000" w:themeColor="text1"/>
          <w:kern w:val="0"/>
          <w:sz w:val="24"/>
          <w:highlight w:val="none"/>
          <w:lang w:val="zh-CN"/>
        </w:rPr>
        <w:t>如中标，保证按照</w:t>
      </w:r>
      <w:r>
        <w:rPr>
          <w:rFonts w:hint="eastAsia" w:ascii="宋体" w:hAnsi="宋体"/>
          <w:color w:val="000000" w:themeColor="text1"/>
          <w:kern w:val="0"/>
          <w:sz w:val="24"/>
          <w:highlight w:val="none"/>
        </w:rPr>
        <w:t>招标</w:t>
      </w:r>
      <w:r>
        <w:rPr>
          <w:rFonts w:hint="eastAsia" w:ascii="宋体" w:hAnsi="宋体"/>
          <w:color w:val="000000" w:themeColor="text1"/>
          <w:kern w:val="0"/>
          <w:sz w:val="24"/>
          <w:highlight w:val="none"/>
          <w:lang w:val="zh-CN"/>
        </w:rPr>
        <w:t>文件要求及投标文件的承诺与招标人签订合同，保证履行合同条款。</w:t>
      </w:r>
    </w:p>
    <w:p w14:paraId="69585C56">
      <w:pPr>
        <w:adjustRightInd w:val="0"/>
        <w:snapToGrid w:val="0"/>
        <w:spacing w:line="34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4</w:t>
      </w:r>
      <w:r>
        <w:rPr>
          <w:rFonts w:hint="eastAsia" w:ascii="宋体" w:hAnsi="宋体"/>
          <w:color w:val="000000" w:themeColor="text1"/>
          <w:sz w:val="24"/>
          <w:highlight w:val="none"/>
        </w:rPr>
        <w:t>、同意在采购文件中投标人</w:t>
      </w:r>
      <w:r>
        <w:rPr>
          <w:rFonts w:hint="eastAsia" w:ascii="宋体" w:hAnsi="宋体"/>
          <w:color w:val="000000" w:themeColor="text1"/>
          <w:kern w:val="44"/>
          <w:sz w:val="24"/>
          <w:highlight w:val="none"/>
        </w:rPr>
        <w:t>须知</w:t>
      </w:r>
      <w:r>
        <w:rPr>
          <w:rFonts w:hint="eastAsia" w:ascii="宋体" w:hAnsi="宋体"/>
          <w:color w:val="000000" w:themeColor="text1"/>
          <w:sz w:val="24"/>
          <w:highlight w:val="none"/>
        </w:rPr>
        <w:t>规定的开标日期起遵守本投标书中的承诺且在投标有效期满之前均具有约束力。</w:t>
      </w:r>
    </w:p>
    <w:p w14:paraId="129EF717">
      <w:pPr>
        <w:adjustRightInd w:val="0"/>
        <w:snapToGrid w:val="0"/>
        <w:spacing w:line="34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5</w:t>
      </w:r>
      <w:r>
        <w:rPr>
          <w:rFonts w:hint="eastAsia" w:ascii="宋体" w:hAnsi="宋体"/>
          <w:color w:val="000000" w:themeColor="text1"/>
          <w:sz w:val="24"/>
          <w:highlight w:val="none"/>
        </w:rPr>
        <w:t>、完全理解贵方不一定要接受最低价的投标。</w:t>
      </w:r>
    </w:p>
    <w:p w14:paraId="154734E4">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6</w:t>
      </w:r>
      <w:r>
        <w:rPr>
          <w:rFonts w:hint="eastAsia" w:ascii="宋体" w:hAnsi="宋体"/>
          <w:color w:val="000000" w:themeColor="text1"/>
          <w:sz w:val="24"/>
          <w:highlight w:val="none"/>
          <w:lang w:val="zh-CN"/>
        </w:rPr>
        <w:t>、单位、法定代表人、本项目授权代表及本项目负责人在参加本项目前三年内（以法院判决书生效日期为准）均无行贿犯罪记录。</w:t>
      </w:r>
    </w:p>
    <w:p w14:paraId="22F9C1C9">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7、如有下列情形之一的，我方愿意被取消中标资格（如中标），同时继续承担其他一切法律后果，并不再寻求任何旨在减轻或免除法律责任的解释：</w:t>
      </w:r>
    </w:p>
    <w:p w14:paraId="1857B5FE">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(1)提供虚假材料（承诺）谋取中标、成交的；</w:t>
      </w:r>
    </w:p>
    <w:p w14:paraId="50C59540">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(2)采取不正当手段诋毁、排挤其他供应商的；</w:t>
      </w:r>
    </w:p>
    <w:p w14:paraId="60DE755B">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(3)与招标人、其它供应商或者招标代理机构恶意串通的；</w:t>
      </w:r>
    </w:p>
    <w:p w14:paraId="76D7C399">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(4)向招标人、招标代理机构行贿或者提供其他不正当利益的；</w:t>
      </w:r>
    </w:p>
    <w:p w14:paraId="1B8F76B2">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(5)在招标采购过程中与招标人进行协商谈判的；</w:t>
      </w:r>
    </w:p>
    <w:p w14:paraId="10C9B14E">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(6)拒绝有关部门监督检查或提供虚假情况的。</w:t>
      </w:r>
    </w:p>
    <w:p w14:paraId="087B219A">
      <w:pPr>
        <w:adjustRightInd w:val="0"/>
        <w:snapToGrid w:val="0"/>
        <w:spacing w:line="360" w:lineRule="auto"/>
        <w:rPr>
          <w:rFonts w:ascii="宋体" w:hAnsi="宋体"/>
          <w:color w:val="000000" w:themeColor="text1"/>
          <w:kern w:val="0"/>
          <w:sz w:val="24"/>
          <w:highlight w:val="none"/>
          <w:lang w:val="zh-CN"/>
        </w:rPr>
      </w:pPr>
    </w:p>
    <w:p w14:paraId="50AE0D50">
      <w:pPr>
        <w:adjustRightInd w:val="0"/>
        <w:snapToGrid w:val="0"/>
        <w:spacing w:line="360" w:lineRule="auto"/>
        <w:rPr>
          <w:rFonts w:ascii="宋体" w:hAnsi="宋体"/>
          <w:color w:val="000000" w:themeColor="text1"/>
          <w:kern w:val="0"/>
          <w:sz w:val="24"/>
          <w:highlight w:val="none"/>
        </w:rPr>
      </w:pPr>
      <w:r>
        <w:rPr>
          <w:rFonts w:hint="eastAsia" w:ascii="宋体" w:hAnsi="宋体"/>
          <w:color w:val="000000" w:themeColor="text1"/>
          <w:kern w:val="0"/>
          <w:sz w:val="24"/>
          <w:highlight w:val="none"/>
        </w:rPr>
        <w:t>法定代表人或其授权代表人（签字或盖章）</w:t>
      </w:r>
      <w:r>
        <w:rPr>
          <w:rFonts w:hint="eastAsia" w:ascii="宋体" w:hAnsi="宋体"/>
          <w:color w:val="000000" w:themeColor="text1"/>
          <w:kern w:val="0"/>
          <w:sz w:val="24"/>
          <w:highlight w:val="none"/>
          <w:lang w:val="zh-CN"/>
        </w:rPr>
        <w:t>：</w:t>
      </w:r>
    </w:p>
    <w:p w14:paraId="342F1E26">
      <w:pPr>
        <w:adjustRightInd w:val="0"/>
        <w:snapToGrid w:val="0"/>
        <w:spacing w:line="360" w:lineRule="auto"/>
        <w:rPr>
          <w:rFonts w:ascii="宋体" w:hAnsi="宋体"/>
          <w:color w:val="000000" w:themeColor="text1"/>
          <w:kern w:val="0"/>
          <w:sz w:val="24"/>
          <w:highlight w:val="none"/>
          <w:u w:val="single"/>
          <w:lang w:val="zh-CN"/>
        </w:rPr>
      </w:pPr>
      <w:r>
        <w:rPr>
          <w:rFonts w:hint="eastAsia" w:ascii="宋体" w:hAnsi="宋体"/>
          <w:color w:val="000000" w:themeColor="text1"/>
          <w:kern w:val="0"/>
          <w:sz w:val="24"/>
          <w:highlight w:val="none"/>
          <w:lang w:val="zh-CN"/>
        </w:rPr>
        <w:t xml:space="preserve">投标人盖章：  </w:t>
      </w:r>
    </w:p>
    <w:p w14:paraId="403E3557">
      <w:pPr>
        <w:adjustRightInd w:val="0"/>
        <w:snapToGrid w:val="0"/>
        <w:spacing w:line="360" w:lineRule="auto"/>
        <w:rPr>
          <w:rFonts w:ascii="宋体" w:hAnsi="宋体"/>
          <w:color w:val="000000" w:themeColor="text1"/>
          <w:kern w:val="0"/>
          <w:sz w:val="24"/>
          <w:highlight w:val="none"/>
          <w:u w:val="single"/>
          <w:lang w:val="zh-CN"/>
        </w:rPr>
      </w:pPr>
      <w:r>
        <w:rPr>
          <w:rFonts w:hint="eastAsia" w:ascii="宋体" w:hAnsi="宋体"/>
          <w:color w:val="000000" w:themeColor="text1"/>
          <w:kern w:val="0"/>
          <w:sz w:val="24"/>
          <w:highlight w:val="none"/>
          <w:lang w:val="zh-CN"/>
        </w:rPr>
        <w:t xml:space="preserve">联系电话（手机及座机）： </w:t>
      </w:r>
    </w:p>
    <w:p w14:paraId="1CA1DDAA">
      <w:pPr>
        <w:adjustRightInd w:val="0"/>
        <w:snapToGrid w:val="0"/>
        <w:spacing w:line="360" w:lineRule="auto"/>
        <w:rPr>
          <w:rFonts w:ascii="宋体" w:hAnsi="宋体"/>
          <w:color w:val="000000" w:themeColor="text1"/>
          <w:kern w:val="0"/>
          <w:sz w:val="24"/>
          <w:highlight w:val="none"/>
          <w:lang w:val="zh-CN"/>
        </w:rPr>
      </w:pPr>
      <w:r>
        <w:rPr>
          <w:rFonts w:hint="eastAsia" w:ascii="宋体" w:hAnsi="宋体"/>
          <w:color w:val="000000" w:themeColor="text1"/>
          <w:kern w:val="0"/>
          <w:sz w:val="24"/>
          <w:highlight w:val="none"/>
          <w:lang w:val="zh-CN"/>
        </w:rPr>
        <w:t>电子邮件：</w:t>
      </w:r>
    </w:p>
    <w:p w14:paraId="00675AF2">
      <w:pPr>
        <w:adjustRightInd w:val="0"/>
        <w:snapToGrid w:val="0"/>
        <w:spacing w:line="360" w:lineRule="auto"/>
        <w:rPr>
          <w:rFonts w:ascii="宋体" w:hAnsi="宋体"/>
          <w:color w:val="000000" w:themeColor="text1"/>
          <w:kern w:val="0"/>
          <w:sz w:val="24"/>
          <w:highlight w:val="none"/>
          <w:u w:val="single"/>
          <w:lang w:val="zh-CN"/>
        </w:rPr>
      </w:pPr>
      <w:r>
        <w:rPr>
          <w:rFonts w:hint="eastAsia" w:ascii="宋体" w:hAnsi="宋体"/>
          <w:color w:val="000000" w:themeColor="text1"/>
          <w:kern w:val="0"/>
          <w:sz w:val="24"/>
          <w:highlight w:val="none"/>
          <w:lang w:val="zh-CN"/>
        </w:rPr>
        <w:t>纳税人识别号：</w:t>
      </w:r>
    </w:p>
    <w:p w14:paraId="16B9CFC4">
      <w:pPr>
        <w:snapToGrid w:val="0"/>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开户银行：</w:t>
      </w:r>
    </w:p>
    <w:p w14:paraId="4285D9CB">
      <w:pPr>
        <w:snapToGrid w:val="0"/>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银行帐号：</w:t>
      </w:r>
    </w:p>
    <w:p w14:paraId="314654A4">
      <w:pPr>
        <w:adjustRightInd w:val="0"/>
        <w:snapToGrid w:val="0"/>
        <w:spacing w:line="360" w:lineRule="auto"/>
        <w:rPr>
          <w:rFonts w:ascii="宋体" w:hAnsi="宋体"/>
          <w:color w:val="000000" w:themeColor="text1"/>
          <w:kern w:val="0"/>
          <w:sz w:val="24"/>
          <w:highlight w:val="none"/>
        </w:rPr>
      </w:pPr>
      <w:r>
        <w:rPr>
          <w:rFonts w:hint="eastAsia" w:ascii="宋体" w:hAnsi="宋体"/>
          <w:color w:val="000000" w:themeColor="text1"/>
          <w:kern w:val="0"/>
          <w:sz w:val="24"/>
          <w:highlight w:val="none"/>
          <w:lang w:val="zh-CN"/>
        </w:rPr>
        <w:t>联系地址：</w:t>
      </w:r>
    </w:p>
    <w:p w14:paraId="588E4C6B">
      <w:pPr>
        <w:adjustRightInd w:val="0"/>
        <w:snapToGrid w:val="0"/>
        <w:spacing w:line="360" w:lineRule="auto"/>
        <w:rPr>
          <w:rFonts w:ascii="宋体" w:hAnsi="宋体"/>
          <w:color w:val="000000" w:themeColor="text1"/>
          <w:kern w:val="0"/>
          <w:sz w:val="24"/>
          <w:highlight w:val="none"/>
          <w:lang w:val="zh-CN"/>
        </w:rPr>
      </w:pPr>
      <w:r>
        <w:rPr>
          <w:rFonts w:hint="eastAsia" w:ascii="宋体" w:hAnsi="宋体"/>
          <w:color w:val="000000" w:themeColor="text1"/>
          <w:kern w:val="0"/>
          <w:sz w:val="24"/>
          <w:highlight w:val="none"/>
          <w:lang w:val="zh-CN"/>
        </w:rPr>
        <w:t>日期</w:t>
      </w:r>
      <w:r>
        <w:rPr>
          <w:rFonts w:hint="eastAsia" w:ascii="宋体" w:hAnsi="宋体"/>
          <w:color w:val="000000" w:themeColor="text1"/>
          <w:kern w:val="0"/>
          <w:sz w:val="24"/>
          <w:highlight w:val="none"/>
        </w:rPr>
        <w:t xml:space="preserve">：   </w:t>
      </w:r>
      <w:r>
        <w:rPr>
          <w:rFonts w:hint="eastAsia" w:ascii="宋体" w:hAnsi="宋体"/>
          <w:color w:val="000000" w:themeColor="text1"/>
          <w:kern w:val="0"/>
          <w:sz w:val="24"/>
          <w:highlight w:val="none"/>
          <w:lang w:val="zh-CN"/>
        </w:rPr>
        <w:t>年</w:t>
      </w:r>
      <w:r>
        <w:rPr>
          <w:rFonts w:hint="eastAsia" w:ascii="宋体" w:hAnsi="宋体"/>
          <w:color w:val="000000" w:themeColor="text1"/>
          <w:kern w:val="0"/>
          <w:sz w:val="24"/>
          <w:highlight w:val="none"/>
        </w:rPr>
        <w:tab/>
      </w:r>
      <w:r>
        <w:rPr>
          <w:rFonts w:hint="eastAsia" w:ascii="宋体" w:hAnsi="宋体"/>
          <w:color w:val="000000" w:themeColor="text1"/>
          <w:kern w:val="0"/>
          <w:sz w:val="24"/>
          <w:highlight w:val="none"/>
          <w:lang w:val="zh-CN"/>
        </w:rPr>
        <w:t>月    日</w:t>
      </w:r>
    </w:p>
    <w:p w14:paraId="3F0A1CA3">
      <w:pPr>
        <w:spacing w:line="360" w:lineRule="auto"/>
        <w:jc w:val="center"/>
        <w:rPr>
          <w:rFonts w:ascii="宋体" w:hAnsi="宋体"/>
          <w:b/>
          <w:color w:val="000000" w:themeColor="text1"/>
          <w:kern w:val="0"/>
          <w:szCs w:val="28"/>
          <w:highlight w:val="none"/>
        </w:rPr>
      </w:pPr>
      <w:r>
        <w:rPr>
          <w:rFonts w:hint="eastAsia" w:ascii="宋体" w:hAnsi="宋体"/>
          <w:b/>
          <w:color w:val="000000" w:themeColor="text1"/>
          <w:kern w:val="0"/>
          <w:szCs w:val="28"/>
          <w:highlight w:val="none"/>
          <w:lang w:val="en-US" w:eastAsia="zh-CN"/>
        </w:rPr>
        <w:t>十一</w:t>
      </w:r>
      <w:r>
        <w:rPr>
          <w:rFonts w:hint="eastAsia" w:ascii="宋体" w:hAnsi="宋体"/>
          <w:b/>
          <w:color w:val="000000" w:themeColor="text1"/>
          <w:kern w:val="0"/>
          <w:szCs w:val="28"/>
          <w:highlight w:val="none"/>
        </w:rPr>
        <w:t>、报价一览表</w:t>
      </w:r>
    </w:p>
    <w:p w14:paraId="398B800C">
      <w:pPr>
        <w:snapToGrid w:val="0"/>
        <w:spacing w:line="44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                               </w:t>
      </w:r>
    </w:p>
    <w:p w14:paraId="1F9236B9">
      <w:pPr>
        <w:snapToGrid w:val="0"/>
        <w:spacing w:line="44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项目编号：                                    </w:t>
      </w: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 xml:space="preserve"> 金额单位：元</w:t>
      </w:r>
    </w:p>
    <w:tbl>
      <w:tblPr>
        <w:tblStyle w:val="2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609"/>
        <w:gridCol w:w="1478"/>
        <w:gridCol w:w="993"/>
        <w:gridCol w:w="1162"/>
        <w:gridCol w:w="1238"/>
        <w:gridCol w:w="1163"/>
      </w:tblGrid>
      <w:tr w14:paraId="571F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trPr>
        <w:tc>
          <w:tcPr>
            <w:tcW w:w="701" w:type="dxa"/>
            <w:noWrap/>
            <w:vAlign w:val="center"/>
          </w:tcPr>
          <w:p w14:paraId="05772543">
            <w:pPr>
              <w:widowControl/>
              <w:jc w:val="center"/>
              <w:rPr>
                <w:rFonts w:ascii="宋体" w:hAnsi="宋体" w:cs="宋体"/>
                <w:b/>
                <w:color w:val="000000" w:themeColor="text1"/>
                <w:sz w:val="24"/>
                <w:highlight w:val="none"/>
              </w:rPr>
            </w:pPr>
            <w:r>
              <w:rPr>
                <w:rFonts w:hint="eastAsia" w:ascii="宋体" w:hAnsi="宋体" w:cs="宋体"/>
                <w:b/>
                <w:bCs/>
                <w:color w:val="000000" w:themeColor="text1"/>
                <w:sz w:val="22"/>
                <w:szCs w:val="22"/>
                <w:highlight w:val="none"/>
              </w:rPr>
              <w:t>序号</w:t>
            </w:r>
          </w:p>
        </w:tc>
        <w:tc>
          <w:tcPr>
            <w:tcW w:w="4087" w:type="dxa"/>
            <w:gridSpan w:val="2"/>
            <w:noWrap/>
            <w:vAlign w:val="center"/>
          </w:tcPr>
          <w:p w14:paraId="5EE94493">
            <w:pPr>
              <w:widowControl/>
              <w:jc w:val="center"/>
              <w:rPr>
                <w:rFonts w:ascii="宋体" w:hAnsi="宋体" w:cs="宋体"/>
                <w:b/>
                <w:color w:val="000000" w:themeColor="text1"/>
                <w:sz w:val="24"/>
                <w:highlight w:val="none"/>
              </w:rPr>
            </w:pPr>
            <w:r>
              <w:rPr>
                <w:rFonts w:hint="eastAsia" w:ascii="宋体" w:hAnsi="宋体" w:cs="宋体"/>
                <w:b/>
                <w:bCs/>
                <w:color w:val="000000" w:themeColor="text1"/>
                <w:sz w:val="22"/>
                <w:szCs w:val="22"/>
                <w:highlight w:val="none"/>
                <w:lang w:val="en-US" w:eastAsia="zh-CN"/>
              </w:rPr>
              <w:t>装备</w:t>
            </w:r>
            <w:r>
              <w:rPr>
                <w:rFonts w:hint="eastAsia" w:ascii="宋体" w:hAnsi="宋体" w:cs="宋体"/>
                <w:b/>
                <w:bCs/>
                <w:color w:val="000000" w:themeColor="text1"/>
                <w:sz w:val="22"/>
                <w:szCs w:val="22"/>
                <w:highlight w:val="none"/>
              </w:rPr>
              <w:t>名称</w:t>
            </w:r>
          </w:p>
        </w:tc>
        <w:tc>
          <w:tcPr>
            <w:tcW w:w="993" w:type="dxa"/>
            <w:noWrap/>
            <w:vAlign w:val="center"/>
          </w:tcPr>
          <w:p w14:paraId="12FFEA74">
            <w:pPr>
              <w:widowControl/>
              <w:jc w:val="center"/>
              <w:rPr>
                <w:rFonts w:ascii="宋体" w:hAnsi="宋体" w:cs="宋体"/>
                <w:b/>
                <w:color w:val="000000" w:themeColor="text1"/>
                <w:sz w:val="24"/>
                <w:highlight w:val="none"/>
              </w:rPr>
            </w:pPr>
            <w:r>
              <w:rPr>
                <w:rFonts w:hint="eastAsia" w:ascii="宋体" w:hAnsi="宋体" w:cs="宋体"/>
                <w:b/>
                <w:bCs/>
                <w:color w:val="000000" w:themeColor="text1"/>
                <w:sz w:val="22"/>
                <w:szCs w:val="22"/>
                <w:highlight w:val="none"/>
              </w:rPr>
              <w:t>数量</w:t>
            </w:r>
          </w:p>
        </w:tc>
        <w:tc>
          <w:tcPr>
            <w:tcW w:w="1162" w:type="dxa"/>
            <w:noWrap/>
            <w:vAlign w:val="center"/>
          </w:tcPr>
          <w:p w14:paraId="21AD7F62">
            <w:pPr>
              <w:widowControl/>
              <w:jc w:val="center"/>
              <w:rPr>
                <w:rFonts w:hint="default" w:ascii="宋体" w:hAnsi="宋体" w:eastAsia="宋体" w:cs="宋体"/>
                <w:b/>
                <w:color w:val="000000" w:themeColor="text1"/>
                <w:sz w:val="24"/>
                <w:highlight w:val="none"/>
                <w:lang w:val="en-US" w:eastAsia="zh-CN"/>
              </w:rPr>
            </w:pPr>
            <w:r>
              <w:rPr>
                <w:rFonts w:hint="eastAsia" w:ascii="宋体" w:hAnsi="宋体" w:cs="宋体"/>
                <w:b/>
                <w:bCs/>
                <w:color w:val="000000" w:themeColor="text1"/>
                <w:sz w:val="22"/>
                <w:szCs w:val="22"/>
                <w:highlight w:val="none"/>
              </w:rPr>
              <w:t>单位</w:t>
            </w:r>
          </w:p>
        </w:tc>
        <w:tc>
          <w:tcPr>
            <w:tcW w:w="1238" w:type="dxa"/>
            <w:noWrap/>
            <w:vAlign w:val="center"/>
          </w:tcPr>
          <w:p w14:paraId="09258BF7">
            <w:pPr>
              <w:widowControl/>
              <w:jc w:val="center"/>
              <w:textAlignment w:val="center"/>
              <w:rPr>
                <w:rFonts w:hint="eastAsia" w:ascii="宋体" w:hAnsi="宋体" w:eastAsia="宋体" w:cs="宋体"/>
                <w:b/>
                <w:color w:val="000000" w:themeColor="text1"/>
                <w:sz w:val="24"/>
                <w:highlight w:val="none"/>
                <w:lang w:val="en-US" w:eastAsia="zh-CN"/>
              </w:rPr>
            </w:pPr>
            <w:r>
              <w:rPr>
                <w:rFonts w:hint="eastAsia" w:ascii="宋体" w:hAnsi="宋体" w:cs="宋体"/>
                <w:b/>
                <w:bCs/>
                <w:color w:val="000000" w:themeColor="text1"/>
                <w:sz w:val="22"/>
                <w:szCs w:val="22"/>
                <w:highlight w:val="none"/>
                <w:lang w:val="en-US" w:eastAsia="zh-CN"/>
              </w:rPr>
              <w:t>单价（元）</w:t>
            </w:r>
          </w:p>
        </w:tc>
        <w:tc>
          <w:tcPr>
            <w:tcW w:w="1163" w:type="dxa"/>
            <w:noWrap/>
            <w:vAlign w:val="center"/>
          </w:tcPr>
          <w:p w14:paraId="09E484A5">
            <w:pPr>
              <w:widowControl/>
              <w:jc w:val="center"/>
              <w:textAlignment w:val="center"/>
              <w:rPr>
                <w:rFonts w:hint="eastAsia" w:ascii="宋体" w:hAnsi="宋体" w:eastAsia="宋体" w:cs="宋体"/>
                <w:b/>
                <w:color w:val="000000" w:themeColor="text1"/>
                <w:sz w:val="24"/>
                <w:highlight w:val="none"/>
                <w:lang w:eastAsia="zh-CN"/>
              </w:rPr>
            </w:pPr>
            <w:r>
              <w:rPr>
                <w:rFonts w:hint="eastAsia" w:ascii="宋体" w:hAnsi="宋体" w:cs="宋体"/>
                <w:b/>
                <w:bCs/>
                <w:color w:val="000000" w:themeColor="text1"/>
                <w:sz w:val="22"/>
                <w:szCs w:val="22"/>
                <w:highlight w:val="none"/>
                <w:lang w:val="en-US" w:eastAsia="zh-CN"/>
              </w:rPr>
              <w:t>总价（元）</w:t>
            </w:r>
          </w:p>
        </w:tc>
      </w:tr>
      <w:tr w14:paraId="7674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01" w:type="dxa"/>
            <w:noWrap/>
            <w:vAlign w:val="center"/>
          </w:tcPr>
          <w:p w14:paraId="382E4757">
            <w:pPr>
              <w:spacing w:line="340" w:lineRule="exact"/>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1</w:t>
            </w:r>
          </w:p>
        </w:tc>
        <w:tc>
          <w:tcPr>
            <w:tcW w:w="4087" w:type="dxa"/>
            <w:gridSpan w:val="2"/>
            <w:noWrap/>
            <w:vAlign w:val="center"/>
          </w:tcPr>
          <w:p w14:paraId="4E0394D1">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绳索救援套装采购</w:t>
            </w:r>
          </w:p>
        </w:tc>
        <w:tc>
          <w:tcPr>
            <w:tcW w:w="993" w:type="dxa"/>
            <w:noWrap/>
            <w:vAlign w:val="center"/>
          </w:tcPr>
          <w:p w14:paraId="688374A6">
            <w:pPr>
              <w:spacing w:line="340" w:lineRule="exact"/>
              <w:jc w:val="center"/>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1</w:t>
            </w:r>
          </w:p>
        </w:tc>
        <w:tc>
          <w:tcPr>
            <w:tcW w:w="1162" w:type="dxa"/>
            <w:noWrap/>
            <w:vAlign w:val="center"/>
          </w:tcPr>
          <w:p w14:paraId="5F5EC9B9">
            <w:pPr>
              <w:spacing w:line="340" w:lineRule="exact"/>
              <w:jc w:val="center"/>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批</w:t>
            </w:r>
          </w:p>
        </w:tc>
        <w:tc>
          <w:tcPr>
            <w:tcW w:w="1238" w:type="dxa"/>
            <w:noWrap/>
            <w:vAlign w:val="center"/>
          </w:tcPr>
          <w:p w14:paraId="27C4F324">
            <w:pPr>
              <w:spacing w:line="340" w:lineRule="exact"/>
              <w:jc w:val="center"/>
              <w:rPr>
                <w:rFonts w:hint="eastAsia" w:ascii="宋体" w:hAnsi="宋体" w:eastAsia="宋体" w:cs="宋体"/>
                <w:color w:val="000000" w:themeColor="text1"/>
                <w:sz w:val="24"/>
                <w:highlight w:val="none"/>
                <w:lang w:val="en-US" w:eastAsia="zh-CN"/>
              </w:rPr>
            </w:pPr>
          </w:p>
        </w:tc>
        <w:tc>
          <w:tcPr>
            <w:tcW w:w="1163" w:type="dxa"/>
            <w:noWrap/>
            <w:vAlign w:val="center"/>
          </w:tcPr>
          <w:p w14:paraId="697AD9A0">
            <w:pPr>
              <w:spacing w:line="340" w:lineRule="exact"/>
              <w:jc w:val="center"/>
              <w:rPr>
                <w:rFonts w:ascii="宋体" w:hAnsi="宋体" w:cs="宋体"/>
                <w:color w:val="000000" w:themeColor="text1"/>
                <w:sz w:val="24"/>
                <w:highlight w:val="none"/>
              </w:rPr>
            </w:pPr>
          </w:p>
        </w:tc>
      </w:tr>
      <w:tr w14:paraId="7A3C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01" w:type="dxa"/>
            <w:noWrap/>
            <w:vAlign w:val="center"/>
          </w:tcPr>
          <w:p w14:paraId="7EB941E6">
            <w:pPr>
              <w:spacing w:line="340" w:lineRule="exact"/>
              <w:jc w:val="center"/>
              <w:rPr>
                <w:rFonts w:hint="default" w:ascii="宋体" w:hAnsi="宋体" w:eastAsia="宋体" w:cs="宋体"/>
                <w:b w:val="0"/>
                <w:bCs/>
                <w:color w:val="000000" w:themeColor="text1"/>
                <w:sz w:val="24"/>
                <w:highlight w:val="none"/>
                <w:lang w:val="en-US" w:eastAsia="zh-CN"/>
              </w:rPr>
            </w:pPr>
            <w:r>
              <w:rPr>
                <w:rFonts w:hint="eastAsia" w:ascii="宋体" w:hAnsi="宋体" w:cs="宋体"/>
                <w:b w:val="0"/>
                <w:bCs/>
                <w:color w:val="000000" w:themeColor="text1"/>
                <w:sz w:val="24"/>
                <w:highlight w:val="none"/>
                <w:lang w:val="en-US" w:eastAsia="zh-CN"/>
              </w:rPr>
              <w:t>1.1</w:t>
            </w:r>
          </w:p>
        </w:tc>
        <w:tc>
          <w:tcPr>
            <w:tcW w:w="4087" w:type="dxa"/>
            <w:gridSpan w:val="2"/>
            <w:noWrap/>
            <w:vAlign w:val="center"/>
          </w:tcPr>
          <w:p w14:paraId="2CDB76C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绳索救援套装（个人装备）</w:t>
            </w:r>
          </w:p>
        </w:tc>
        <w:tc>
          <w:tcPr>
            <w:tcW w:w="993" w:type="dxa"/>
            <w:noWrap/>
            <w:vAlign w:val="center"/>
          </w:tcPr>
          <w:p w14:paraId="486A8D12">
            <w:pPr>
              <w:widowControl/>
              <w:jc w:val="center"/>
              <w:textAlignment w:val="center"/>
              <w:rPr>
                <w:rFonts w:hint="eastAsia" w:ascii="宋体" w:hAnsi="宋体" w:cs="宋体"/>
                <w:color w:val="000000" w:themeColor="text1"/>
                <w:sz w:val="24"/>
                <w:highlight w:val="none"/>
                <w:lang w:val="en-US" w:eastAsia="zh-CN"/>
              </w:rPr>
            </w:pPr>
            <w:r>
              <w:rPr>
                <w:rFonts w:hint="eastAsia" w:ascii="宋体" w:hAnsi="宋体" w:cs="宋体"/>
                <w:color w:val="000000" w:themeColor="text1"/>
                <w:sz w:val="22"/>
                <w:szCs w:val="22"/>
                <w:highlight w:val="none"/>
                <w:lang w:val="en-US" w:eastAsia="zh-CN"/>
              </w:rPr>
              <w:t>4</w:t>
            </w:r>
          </w:p>
        </w:tc>
        <w:tc>
          <w:tcPr>
            <w:tcW w:w="1162" w:type="dxa"/>
            <w:noWrap/>
            <w:vAlign w:val="center"/>
          </w:tcPr>
          <w:p w14:paraId="0851C78F">
            <w:pPr>
              <w:widowControl/>
              <w:jc w:val="center"/>
              <w:textAlignment w:val="center"/>
              <w:rPr>
                <w:rFonts w:hint="eastAsia" w:ascii="宋体" w:hAnsi="宋体" w:cs="宋体"/>
                <w:color w:val="000000" w:themeColor="text1"/>
                <w:sz w:val="24"/>
                <w:highlight w:val="none"/>
                <w:lang w:val="en-US" w:eastAsia="zh-CN"/>
              </w:rPr>
            </w:pPr>
            <w:r>
              <w:rPr>
                <w:rFonts w:hint="eastAsia" w:ascii="宋体" w:hAnsi="宋体" w:cs="宋体"/>
                <w:color w:val="000000" w:themeColor="text1"/>
                <w:sz w:val="22"/>
                <w:szCs w:val="22"/>
                <w:highlight w:val="none"/>
                <w:lang w:val="en-US" w:eastAsia="zh-CN"/>
              </w:rPr>
              <w:t>套</w:t>
            </w:r>
          </w:p>
        </w:tc>
        <w:tc>
          <w:tcPr>
            <w:tcW w:w="1238" w:type="dxa"/>
            <w:noWrap/>
            <w:vAlign w:val="center"/>
          </w:tcPr>
          <w:p w14:paraId="253D4DCF">
            <w:pPr>
              <w:spacing w:line="340" w:lineRule="exact"/>
              <w:jc w:val="center"/>
              <w:rPr>
                <w:rFonts w:hint="eastAsia" w:ascii="宋体" w:hAnsi="宋体" w:cs="宋体"/>
                <w:color w:val="000000" w:themeColor="text1"/>
                <w:sz w:val="24"/>
                <w:highlight w:val="none"/>
                <w:lang w:val="en-US" w:eastAsia="zh-CN"/>
              </w:rPr>
            </w:pPr>
          </w:p>
        </w:tc>
        <w:tc>
          <w:tcPr>
            <w:tcW w:w="1163" w:type="dxa"/>
            <w:noWrap/>
            <w:vAlign w:val="center"/>
          </w:tcPr>
          <w:p w14:paraId="2B812BEA">
            <w:pPr>
              <w:spacing w:line="340" w:lineRule="exact"/>
              <w:jc w:val="center"/>
              <w:rPr>
                <w:rFonts w:ascii="宋体" w:hAnsi="宋体" w:cs="宋体"/>
                <w:color w:val="000000" w:themeColor="text1"/>
                <w:sz w:val="24"/>
                <w:highlight w:val="none"/>
              </w:rPr>
            </w:pPr>
          </w:p>
        </w:tc>
      </w:tr>
      <w:tr w14:paraId="18AC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01" w:type="dxa"/>
            <w:noWrap/>
            <w:vAlign w:val="center"/>
          </w:tcPr>
          <w:p w14:paraId="6D0127C1">
            <w:pPr>
              <w:spacing w:line="340" w:lineRule="exact"/>
              <w:jc w:val="center"/>
              <w:rPr>
                <w:rFonts w:hint="default" w:ascii="宋体" w:hAnsi="宋体" w:eastAsia="宋体" w:cs="宋体"/>
                <w:b w:val="0"/>
                <w:bCs/>
                <w:color w:val="000000" w:themeColor="text1"/>
                <w:sz w:val="24"/>
                <w:highlight w:val="none"/>
                <w:lang w:val="en-US" w:eastAsia="zh-CN"/>
              </w:rPr>
            </w:pPr>
            <w:r>
              <w:rPr>
                <w:rFonts w:hint="eastAsia" w:ascii="宋体" w:hAnsi="宋体" w:cs="宋体"/>
                <w:b w:val="0"/>
                <w:bCs/>
                <w:color w:val="000000" w:themeColor="text1"/>
                <w:sz w:val="24"/>
                <w:highlight w:val="none"/>
                <w:lang w:val="en-US" w:eastAsia="zh-CN"/>
              </w:rPr>
              <w:t>1.2</w:t>
            </w:r>
          </w:p>
        </w:tc>
        <w:tc>
          <w:tcPr>
            <w:tcW w:w="4087" w:type="dxa"/>
            <w:gridSpan w:val="2"/>
            <w:noWrap/>
            <w:vAlign w:val="center"/>
          </w:tcPr>
          <w:p w14:paraId="36F16559">
            <w:pPr>
              <w:keepNext w:val="0"/>
              <w:keepLines w:val="0"/>
              <w:widowControl/>
              <w:suppressLineNumbers w:val="0"/>
              <w:jc w:val="center"/>
              <w:textAlignment w:val="center"/>
              <w:rPr>
                <w:rStyle w:val="51"/>
                <w:rFonts w:hint="eastAsia" w:ascii="宋体" w:hAnsi="宋体" w:cs="宋体"/>
                <w:i w:val="0"/>
                <w:iCs w:val="0"/>
                <w:color w:val="000000" w:themeColor="text1"/>
                <w:highlight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绳索救援套装（团体装备）</w:t>
            </w:r>
          </w:p>
        </w:tc>
        <w:tc>
          <w:tcPr>
            <w:tcW w:w="993" w:type="dxa"/>
            <w:noWrap/>
            <w:vAlign w:val="center"/>
          </w:tcPr>
          <w:p w14:paraId="785455F6">
            <w:pPr>
              <w:widowControl/>
              <w:jc w:val="center"/>
              <w:textAlignment w:val="center"/>
              <w:rPr>
                <w:rFonts w:hint="eastAsia" w:ascii="宋体" w:hAnsi="宋体" w:cs="宋体"/>
                <w:color w:val="000000" w:themeColor="text1"/>
                <w:sz w:val="24"/>
                <w:highlight w:val="none"/>
                <w:lang w:val="en-US" w:eastAsia="zh-CN"/>
              </w:rPr>
            </w:pPr>
            <w:r>
              <w:rPr>
                <w:rFonts w:hint="eastAsia" w:ascii="宋体" w:hAnsi="宋体" w:cs="宋体"/>
                <w:color w:val="000000" w:themeColor="text1"/>
                <w:sz w:val="22"/>
                <w:szCs w:val="22"/>
                <w:highlight w:val="none"/>
                <w:lang w:val="en-US" w:eastAsia="zh-CN"/>
              </w:rPr>
              <w:t>2</w:t>
            </w:r>
          </w:p>
        </w:tc>
        <w:tc>
          <w:tcPr>
            <w:tcW w:w="1162" w:type="dxa"/>
            <w:noWrap/>
            <w:vAlign w:val="center"/>
          </w:tcPr>
          <w:p w14:paraId="7B39D321">
            <w:pPr>
              <w:widowControl/>
              <w:jc w:val="center"/>
              <w:textAlignment w:val="center"/>
              <w:rPr>
                <w:rFonts w:hint="eastAsia" w:ascii="宋体" w:hAnsi="宋体" w:cs="宋体"/>
                <w:color w:val="000000" w:themeColor="text1"/>
                <w:sz w:val="24"/>
                <w:highlight w:val="none"/>
                <w:lang w:val="en-US" w:eastAsia="zh-CN"/>
              </w:rPr>
            </w:pPr>
            <w:r>
              <w:rPr>
                <w:rFonts w:hint="eastAsia" w:ascii="宋体" w:hAnsi="宋体" w:cs="宋体"/>
                <w:color w:val="000000" w:themeColor="text1"/>
                <w:sz w:val="22"/>
                <w:szCs w:val="22"/>
                <w:highlight w:val="none"/>
                <w:lang w:val="en-US" w:eastAsia="zh-CN"/>
              </w:rPr>
              <w:t>套</w:t>
            </w:r>
          </w:p>
        </w:tc>
        <w:tc>
          <w:tcPr>
            <w:tcW w:w="1238" w:type="dxa"/>
            <w:noWrap/>
            <w:vAlign w:val="center"/>
          </w:tcPr>
          <w:p w14:paraId="61F7D963">
            <w:pPr>
              <w:spacing w:line="340" w:lineRule="exact"/>
              <w:jc w:val="center"/>
              <w:rPr>
                <w:rFonts w:hint="eastAsia" w:ascii="宋体" w:hAnsi="宋体" w:cs="宋体"/>
                <w:color w:val="000000" w:themeColor="text1"/>
                <w:sz w:val="24"/>
                <w:highlight w:val="none"/>
                <w:lang w:val="en-US" w:eastAsia="zh-CN"/>
              </w:rPr>
            </w:pPr>
          </w:p>
        </w:tc>
        <w:tc>
          <w:tcPr>
            <w:tcW w:w="1163" w:type="dxa"/>
            <w:noWrap/>
            <w:vAlign w:val="center"/>
          </w:tcPr>
          <w:p w14:paraId="76D0B397">
            <w:pPr>
              <w:spacing w:line="340" w:lineRule="exact"/>
              <w:jc w:val="center"/>
              <w:rPr>
                <w:rFonts w:ascii="宋体" w:hAnsi="宋体" w:cs="宋体"/>
                <w:color w:val="000000" w:themeColor="text1"/>
                <w:sz w:val="24"/>
                <w:highlight w:val="none"/>
              </w:rPr>
            </w:pPr>
          </w:p>
        </w:tc>
      </w:tr>
      <w:tr w14:paraId="2D3C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310" w:type="dxa"/>
            <w:gridSpan w:val="2"/>
            <w:noWrap/>
            <w:vAlign w:val="center"/>
          </w:tcPr>
          <w:p w14:paraId="4D75D964">
            <w:pPr>
              <w:spacing w:line="340" w:lineRule="exact"/>
              <w:rPr>
                <w:rFonts w:ascii="宋体" w:hAnsi="宋体" w:cs="宋体"/>
                <w:b/>
                <w:color w:val="000000" w:themeColor="text1"/>
                <w:sz w:val="24"/>
                <w:highlight w:val="none"/>
              </w:rPr>
            </w:pPr>
            <w:r>
              <w:rPr>
                <w:rFonts w:hint="eastAsia" w:ascii="宋体" w:hAnsi="宋体" w:cs="宋体"/>
                <w:b/>
                <w:color w:val="000000" w:themeColor="text1"/>
                <w:sz w:val="24"/>
                <w:highlight w:val="none"/>
              </w:rPr>
              <w:t>投标总价 （小写）</w:t>
            </w:r>
          </w:p>
        </w:tc>
        <w:tc>
          <w:tcPr>
            <w:tcW w:w="6034" w:type="dxa"/>
            <w:gridSpan w:val="5"/>
            <w:noWrap/>
            <w:vAlign w:val="center"/>
          </w:tcPr>
          <w:p w14:paraId="0292F812">
            <w:pPr>
              <w:spacing w:line="340" w:lineRule="exact"/>
              <w:ind w:firstLine="3480" w:firstLineChars="1450"/>
              <w:rPr>
                <w:rFonts w:ascii="宋体" w:hAnsi="宋体" w:cs="宋体"/>
                <w:color w:val="000000" w:themeColor="text1"/>
                <w:sz w:val="24"/>
                <w:highlight w:val="none"/>
              </w:rPr>
            </w:pPr>
          </w:p>
        </w:tc>
      </w:tr>
      <w:tr w14:paraId="1837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310" w:type="dxa"/>
            <w:gridSpan w:val="2"/>
            <w:noWrap/>
            <w:vAlign w:val="center"/>
          </w:tcPr>
          <w:p w14:paraId="71F24CC3">
            <w:pPr>
              <w:spacing w:line="340" w:lineRule="exact"/>
              <w:rPr>
                <w:rFonts w:ascii="宋体" w:hAnsi="宋体" w:cs="宋体"/>
                <w:b/>
                <w:color w:val="000000" w:themeColor="text1"/>
                <w:sz w:val="24"/>
                <w:highlight w:val="none"/>
              </w:rPr>
            </w:pPr>
            <w:r>
              <w:rPr>
                <w:rFonts w:hint="eastAsia" w:ascii="宋体" w:hAnsi="宋体" w:cs="宋体"/>
                <w:b/>
                <w:color w:val="000000" w:themeColor="text1"/>
                <w:sz w:val="24"/>
                <w:highlight w:val="none"/>
              </w:rPr>
              <w:t>投标总价 （大写）</w:t>
            </w:r>
          </w:p>
        </w:tc>
        <w:tc>
          <w:tcPr>
            <w:tcW w:w="6034" w:type="dxa"/>
            <w:gridSpan w:val="5"/>
            <w:noWrap/>
            <w:vAlign w:val="center"/>
          </w:tcPr>
          <w:p w14:paraId="20669A56">
            <w:pPr>
              <w:spacing w:line="340" w:lineRule="exact"/>
              <w:ind w:firstLine="3480" w:firstLineChars="1450"/>
              <w:rPr>
                <w:rFonts w:ascii="宋体" w:hAnsi="宋体" w:cs="宋体"/>
                <w:color w:val="000000" w:themeColor="text1"/>
                <w:sz w:val="24"/>
                <w:highlight w:val="none"/>
              </w:rPr>
            </w:pPr>
          </w:p>
        </w:tc>
      </w:tr>
    </w:tbl>
    <w:p w14:paraId="5B6ECAD3">
      <w:pPr>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注：本项目报价为</w:t>
      </w:r>
      <w:r>
        <w:rPr>
          <w:rFonts w:hint="eastAsia" w:ascii="宋体" w:hAnsi="宋体" w:cs="宋体"/>
          <w:color w:val="000000" w:themeColor="text1"/>
          <w:sz w:val="24"/>
          <w:szCs w:val="24"/>
          <w:highlight w:val="none"/>
          <w:lang w:val="en-US" w:eastAsia="zh-CN"/>
        </w:rPr>
        <w:t xml:space="preserve">          项目</w:t>
      </w:r>
      <w:r>
        <w:rPr>
          <w:rFonts w:hint="eastAsia" w:ascii="宋体" w:hAnsi="宋体" w:cs="宋体"/>
          <w:color w:val="000000" w:themeColor="text1"/>
          <w:sz w:val="24"/>
          <w:szCs w:val="24"/>
          <w:highlight w:val="none"/>
        </w:rPr>
        <w:t>含税总价，包括但不限于有关本项目所需的所有货物/服务内容的人工工资（含社会保险费、公积金、超时补贴、绩效考核经费、伙食费、劳保用品、员工住宿交通差旅费用等）、规费、税费、企业管理费、利润以及合同包含的所有风险、责任等各项应有费用。如有漏项，视同已包含在其中，在不改变产品参数及数量的前提下，合同单价不做调整。</w:t>
      </w:r>
      <w:r>
        <w:rPr>
          <w:rFonts w:hint="eastAsia" w:ascii="宋体" w:hAnsi="宋体" w:cs="宋体"/>
          <w:color w:val="000000" w:themeColor="text1"/>
          <w:sz w:val="24"/>
          <w:szCs w:val="24"/>
          <w:highlight w:val="none"/>
          <w:lang w:val="en-US" w:eastAsia="zh-CN"/>
        </w:rPr>
        <w:t>投标人</w:t>
      </w:r>
      <w:r>
        <w:rPr>
          <w:rFonts w:hint="eastAsia" w:ascii="宋体" w:hAnsi="宋体" w:cs="宋体"/>
          <w:color w:val="000000" w:themeColor="text1"/>
          <w:sz w:val="24"/>
          <w:szCs w:val="24"/>
          <w:highlight w:val="none"/>
        </w:rPr>
        <w:t>承担一切风险责任。</w:t>
      </w:r>
    </w:p>
    <w:p w14:paraId="336A0C3C">
      <w:pPr>
        <w:snapToGrid w:val="0"/>
        <w:spacing w:line="440" w:lineRule="exact"/>
        <w:ind w:firstLine="5040" w:firstLineChars="2100"/>
        <w:rPr>
          <w:rFonts w:ascii="宋体" w:hAnsi="宋体" w:cs="宋体"/>
          <w:color w:val="000000" w:themeColor="text1"/>
          <w:sz w:val="24"/>
          <w:szCs w:val="24"/>
          <w:highlight w:val="none"/>
        </w:rPr>
      </w:pPr>
    </w:p>
    <w:p w14:paraId="5E39F304">
      <w:pPr>
        <w:snapToGrid w:val="0"/>
        <w:spacing w:line="440" w:lineRule="exact"/>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投标人（盖章）：</w:t>
      </w:r>
    </w:p>
    <w:p w14:paraId="2AEA16D1">
      <w:pPr>
        <w:snapToGrid w:val="0"/>
        <w:spacing w:line="440" w:lineRule="exact"/>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法定代表人或其授权代表人（签字或盖章）：                                   </w:t>
      </w:r>
    </w:p>
    <w:p w14:paraId="7E9B6CE7">
      <w:pPr>
        <w:snapToGrid w:val="0"/>
        <w:spacing w:line="440" w:lineRule="exact"/>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日期：</w:t>
      </w:r>
    </w:p>
    <w:p w14:paraId="0C03868C">
      <w:pPr>
        <w:rPr>
          <w:rFonts w:ascii="宋体" w:hAnsi="宋体"/>
          <w:b/>
          <w:color w:val="000000" w:themeColor="text1"/>
          <w:szCs w:val="22"/>
          <w:highlight w:val="none"/>
        </w:rPr>
      </w:pPr>
    </w:p>
    <w:p w14:paraId="25393BCF">
      <w:pPr>
        <w:rPr>
          <w:rFonts w:hint="eastAsia" w:ascii="宋体" w:eastAsia="宋体" w:cs="宋体"/>
          <w:b/>
          <w:color w:val="000000" w:themeColor="text1"/>
          <w:sz w:val="28"/>
          <w:highlight w:val="none"/>
          <w:lang w:val="en-US" w:eastAsia="zh-CN"/>
        </w:rPr>
      </w:pPr>
      <w:r>
        <w:rPr>
          <w:rFonts w:hint="eastAsia" w:ascii="宋体" w:eastAsia="宋体" w:cs="宋体"/>
          <w:b/>
          <w:color w:val="000000" w:themeColor="text1"/>
          <w:sz w:val="28"/>
          <w:highlight w:val="none"/>
          <w:lang w:val="en-US" w:eastAsia="zh-CN"/>
        </w:rPr>
        <w:br w:type="page"/>
      </w:r>
    </w:p>
    <w:bookmarkEnd w:id="21"/>
    <w:bookmarkEnd w:id="22"/>
    <w:bookmarkEnd w:id="23"/>
    <w:bookmarkEnd w:id="24"/>
    <w:bookmarkEnd w:id="57"/>
    <w:bookmarkEnd w:id="58"/>
    <w:p w14:paraId="3BAF89FC">
      <w:pPr>
        <w:pStyle w:val="4"/>
        <w:keepNext w:val="0"/>
        <w:keepLines w:val="0"/>
        <w:widowControl/>
        <w:spacing w:line="460" w:lineRule="exact"/>
        <w:jc w:val="center"/>
        <w:rPr>
          <w:rFonts w:eastAsia="宋体" w:cs="宋体"/>
          <w:color w:val="000000" w:themeColor="text1"/>
          <w:sz w:val="32"/>
          <w:highlight w:val="none"/>
        </w:rPr>
      </w:pPr>
      <w:bookmarkStart w:id="67" w:name="_Toc15453"/>
      <w:r>
        <w:rPr>
          <w:rFonts w:hint="eastAsia" w:eastAsia="宋体" w:cs="宋体"/>
          <w:color w:val="000000" w:themeColor="text1"/>
          <w:sz w:val="32"/>
          <w:highlight w:val="none"/>
        </w:rPr>
        <w:t>政府采购活动现场确认声明书</w:t>
      </w:r>
    </w:p>
    <w:p w14:paraId="07609B18">
      <w:pPr>
        <w:pStyle w:val="19"/>
        <w:spacing w:before="0" w:beforeAutospacing="0" w:after="0" w:afterAutospacing="0" w:line="460" w:lineRule="exact"/>
        <w:rPr>
          <w:rFonts w:cs="宋体"/>
          <w:color w:val="000000" w:themeColor="text1"/>
          <w:highlight w:val="none"/>
        </w:rPr>
      </w:pPr>
      <w:r>
        <w:rPr>
          <w:rFonts w:hint="eastAsia" w:cs="宋体"/>
          <w:color w:val="000000" w:themeColor="text1"/>
          <w:highlight w:val="none"/>
          <w:lang w:eastAsia="zh-CN"/>
        </w:rPr>
        <w:t>浙江欣成工程咨询有限公司</w:t>
      </w:r>
      <w:r>
        <w:rPr>
          <w:rFonts w:hint="eastAsia" w:cs="宋体"/>
          <w:color w:val="000000" w:themeColor="text1"/>
          <w:highlight w:val="none"/>
        </w:rPr>
        <w:t> :</w:t>
      </w:r>
    </w:p>
    <w:p w14:paraId="24125E61">
      <w:pPr>
        <w:pStyle w:val="19"/>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本人 ____________（授权代表姓名），经由______________________________（单位） ____________ （法定代表人姓名）合法授权参加</w:t>
      </w:r>
      <w:r>
        <w:rPr>
          <w:rFonts w:hint="eastAsia" w:cs="宋体"/>
          <w:color w:val="000000" w:themeColor="text1"/>
          <w:highlight w:val="none"/>
          <w:lang w:eastAsia="zh-CN"/>
        </w:rPr>
        <w:t>智造新城消防救援车辆采购（一）</w:t>
      </w:r>
      <w:r>
        <w:rPr>
          <w:rFonts w:hint="eastAsia" w:cs="宋体"/>
          <w:color w:val="000000" w:themeColor="text1"/>
          <w:highlight w:val="none"/>
        </w:rPr>
        <w:t>（编号：____________ 政府采购活动．经与本单位法人代表（负责人）联系确认，现就有关公平竞争事项郑重声明如下:</w:t>
      </w:r>
    </w:p>
    <w:p w14:paraId="5368B293">
      <w:pPr>
        <w:pStyle w:val="19"/>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一、本单位与采购人之间口不存在利害关系口存在下列利害关系:</w:t>
      </w:r>
    </w:p>
    <w:p w14:paraId="1500BEC9">
      <w:pPr>
        <w:pStyle w:val="19"/>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A．投资关系      B．行政隶属关系      C．业务指导关系</w:t>
      </w:r>
    </w:p>
    <w:p w14:paraId="2FAC26B0">
      <w:pPr>
        <w:pStyle w:val="19"/>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D．其他可能影响采购公正的利害关系（如有，请如实说明）。</w:t>
      </w:r>
    </w:p>
    <w:p w14:paraId="401FFF93">
      <w:pPr>
        <w:pStyle w:val="19"/>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二、现己清楚知道参加本项目采购活动的其他所有供应商名称，本单位 口与其他所有供应商之间均不存在利害关系 口与______________（供应商名称）之间存在下列利害关系:</w:t>
      </w:r>
    </w:p>
    <w:p w14:paraId="27377612">
      <w:pPr>
        <w:pStyle w:val="19"/>
        <w:spacing w:before="0" w:beforeAutospacing="0" w:after="0" w:afterAutospacing="0" w:line="460" w:lineRule="exact"/>
        <w:ind w:left="480"/>
        <w:rPr>
          <w:rFonts w:hint="eastAsia" w:cs="宋体"/>
          <w:color w:val="000000" w:themeColor="text1"/>
          <w:highlight w:val="none"/>
        </w:rPr>
      </w:pPr>
      <w:r>
        <w:rPr>
          <w:rFonts w:hint="eastAsia" w:cs="宋体"/>
          <w:color w:val="000000" w:themeColor="text1"/>
          <w:highlight w:val="none"/>
        </w:rPr>
        <w:t>A．法定代表人或负责人或实际控制人是同一人</w:t>
      </w:r>
      <w:r>
        <w:rPr>
          <w:rFonts w:hint="eastAsia" w:cs="宋体"/>
          <w:color w:val="000000" w:themeColor="text1"/>
          <w:highlight w:val="none"/>
        </w:rPr>
        <w:br w:type="textWrapping"/>
      </w:r>
      <w:r>
        <w:rPr>
          <w:rFonts w:hint="eastAsia" w:cs="宋体"/>
          <w:color w:val="000000" w:themeColor="text1"/>
          <w:highlight w:val="none"/>
        </w:rPr>
        <w:t>B．法定代表人或负责人或实际控制人是夫妻关系</w:t>
      </w:r>
      <w:r>
        <w:rPr>
          <w:rFonts w:hint="eastAsia" w:cs="宋体"/>
          <w:color w:val="000000" w:themeColor="text1"/>
          <w:highlight w:val="none"/>
        </w:rPr>
        <w:br w:type="textWrapping"/>
      </w:r>
      <w:r>
        <w:rPr>
          <w:rFonts w:hint="eastAsia" w:cs="宋体"/>
          <w:color w:val="000000" w:themeColor="text1"/>
          <w:highlight w:val="none"/>
        </w:rPr>
        <w:t>C．法定代表人或负责人或实际控制人是直系血亲关系</w:t>
      </w:r>
      <w:r>
        <w:rPr>
          <w:rFonts w:hint="eastAsia" w:cs="宋体"/>
          <w:color w:val="000000" w:themeColor="text1"/>
          <w:highlight w:val="none"/>
        </w:rPr>
        <w:br w:type="textWrapping"/>
      </w:r>
      <w:r>
        <w:rPr>
          <w:rFonts w:hint="eastAsia" w:cs="宋体"/>
          <w:color w:val="000000" w:themeColor="text1"/>
          <w:highlight w:val="none"/>
        </w:rPr>
        <w:t>D．法定代表人或负责人或实际控制人存在三代以内旁系血亲关系</w:t>
      </w:r>
      <w:r>
        <w:rPr>
          <w:rFonts w:hint="eastAsia" w:cs="宋体"/>
          <w:color w:val="000000" w:themeColor="text1"/>
          <w:highlight w:val="none"/>
        </w:rPr>
        <w:br w:type="textWrapping"/>
      </w:r>
      <w:r>
        <w:rPr>
          <w:rFonts w:hint="eastAsia" w:cs="宋体"/>
          <w:color w:val="000000" w:themeColor="text1"/>
          <w:highlight w:val="none"/>
        </w:rPr>
        <w:t>E．法定代表人或负责人或实际控制人存在近姻亲关系</w:t>
      </w:r>
      <w:r>
        <w:rPr>
          <w:rFonts w:hint="eastAsia" w:cs="宋体"/>
          <w:color w:val="000000" w:themeColor="text1"/>
          <w:highlight w:val="none"/>
        </w:rPr>
        <w:br w:type="textWrapping"/>
      </w:r>
      <w:r>
        <w:rPr>
          <w:rFonts w:hint="eastAsia" w:cs="宋体"/>
          <w:color w:val="000000" w:themeColor="text1"/>
          <w:highlight w:val="none"/>
        </w:rPr>
        <w:t>F．法定代表人或负责人或实际控制人存在股份控制或实际控制关系</w:t>
      </w:r>
      <w:r>
        <w:rPr>
          <w:rFonts w:hint="eastAsia" w:cs="宋体"/>
          <w:color w:val="000000" w:themeColor="text1"/>
          <w:highlight w:val="none"/>
        </w:rPr>
        <w:br w:type="textWrapping"/>
      </w:r>
      <w:r>
        <w:rPr>
          <w:rFonts w:hint="eastAsia" w:cs="宋体"/>
          <w:color w:val="000000" w:themeColor="text1"/>
          <w:highlight w:val="none"/>
        </w:rPr>
        <w:t xml:space="preserve">G．存在共同直接或间接投资设立子公司、联营企业和合营企业情况 </w:t>
      </w:r>
    </w:p>
    <w:p w14:paraId="0FA757E7">
      <w:pPr>
        <w:pStyle w:val="19"/>
        <w:spacing w:before="0" w:beforeAutospacing="0" w:after="0" w:afterAutospacing="0" w:line="460" w:lineRule="exact"/>
        <w:ind w:firstLine="480"/>
        <w:rPr>
          <w:rFonts w:hint="eastAsia" w:cs="宋体"/>
          <w:color w:val="000000" w:themeColor="text1"/>
          <w:highlight w:val="none"/>
        </w:rPr>
      </w:pPr>
      <w:r>
        <w:rPr>
          <w:rFonts w:hint="eastAsia" w:cs="宋体"/>
          <w:color w:val="000000" w:themeColor="text1"/>
          <w:highlight w:val="none"/>
        </w:rPr>
        <w:t>H．存在分级代理或代销关系、同一生产制造商关系、管理关系、重要业务（占主营业务收入 50 ％以上）或重要财务往来关系（如融资）等其他实质性控制关系</w:t>
      </w:r>
    </w:p>
    <w:p w14:paraId="455623C4">
      <w:pPr>
        <w:pStyle w:val="19"/>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I．其他利害关系情况 ________________________________________。</w:t>
      </w:r>
    </w:p>
    <w:p w14:paraId="283BE85F">
      <w:pPr>
        <w:pStyle w:val="19"/>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三、现己清楚知道并严格遵守政府采购法律法规和现场纪律。</w:t>
      </w:r>
    </w:p>
    <w:p w14:paraId="126EA429">
      <w:pPr>
        <w:pStyle w:val="19"/>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四、我发现 ____________________供应商之间存在或可能存在上述第二条第 ____________项利害关系。</w:t>
      </w:r>
    </w:p>
    <w:p w14:paraId="3979AD6E">
      <w:pPr>
        <w:pStyle w:val="19"/>
        <w:spacing w:before="0" w:beforeAutospacing="0" w:after="0" w:afterAutospacing="0" w:line="460" w:lineRule="exact"/>
        <w:ind w:firstLine="480"/>
        <w:rPr>
          <w:rFonts w:cs="宋体"/>
          <w:color w:val="000000" w:themeColor="text1"/>
          <w:highlight w:val="none"/>
        </w:rPr>
      </w:pPr>
    </w:p>
    <w:p w14:paraId="69A6FBFA">
      <w:pPr>
        <w:pStyle w:val="19"/>
        <w:spacing w:before="0" w:beforeAutospacing="0" w:after="0" w:afterAutospacing="0" w:line="460" w:lineRule="exact"/>
        <w:jc w:val="right"/>
        <w:rPr>
          <w:rFonts w:cs="宋体"/>
          <w:color w:val="000000" w:themeColor="text1"/>
          <w:highlight w:val="none"/>
        </w:rPr>
      </w:pPr>
      <w:r>
        <w:rPr>
          <w:rFonts w:hint="eastAsia" w:cs="宋体"/>
          <w:color w:val="000000" w:themeColor="text1"/>
          <w:highlight w:val="none"/>
        </w:rPr>
        <w:t>（供应商代表签名）:         </w:t>
      </w:r>
    </w:p>
    <w:p w14:paraId="6740B23E">
      <w:pPr>
        <w:pStyle w:val="19"/>
        <w:spacing w:before="0" w:beforeAutospacing="0" w:after="0" w:afterAutospacing="0" w:line="460" w:lineRule="exact"/>
        <w:jc w:val="right"/>
        <w:rPr>
          <w:rFonts w:cs="宋体"/>
          <w:color w:val="000000" w:themeColor="text1"/>
          <w:highlight w:val="none"/>
        </w:rPr>
      </w:pPr>
      <w:r>
        <w:rPr>
          <w:rFonts w:hint="eastAsia" w:cs="宋体"/>
          <w:color w:val="000000" w:themeColor="text1"/>
          <w:highlight w:val="none"/>
        </w:rPr>
        <w:t>                年   月   日</w:t>
      </w:r>
    </w:p>
    <w:p w14:paraId="51A39E59">
      <w:pPr>
        <w:pStyle w:val="19"/>
        <w:spacing w:before="0" w:beforeAutospacing="0" w:after="0" w:afterAutospacing="0" w:line="460" w:lineRule="exact"/>
        <w:jc w:val="center"/>
        <w:rPr>
          <w:rFonts w:cstheme="minorBidi"/>
          <w:b/>
          <w:color w:val="000000" w:themeColor="text1"/>
          <w:sz w:val="32"/>
          <w:szCs w:val="21"/>
          <w:highlight w:val="none"/>
        </w:rPr>
      </w:pPr>
      <w:r>
        <w:rPr>
          <w:rFonts w:hint="eastAsia" w:cs="宋体"/>
          <w:b/>
          <w:bCs/>
          <w:color w:val="000000" w:themeColor="text1"/>
          <w:highlight w:val="none"/>
        </w:rPr>
        <w:t>（注：供应商在开标后半小时内提供原件扫描件发送至邮箱：838382</w:t>
      </w:r>
      <w:r>
        <w:rPr>
          <w:rFonts w:hint="eastAsia" w:cs="宋体"/>
          <w:b/>
          <w:bCs/>
          <w:color w:val="000000" w:themeColor="text1"/>
          <w:highlight w:val="none"/>
          <w:lang w:eastAsia="zh-CN"/>
        </w:rPr>
        <w:t>122</w:t>
      </w:r>
      <w:r>
        <w:rPr>
          <w:rFonts w:hint="eastAsia" w:cs="宋体"/>
          <w:b/>
          <w:bCs/>
          <w:color w:val="000000" w:themeColor="text1"/>
          <w:highlight w:val="none"/>
        </w:rPr>
        <w:t>9@qq.com）</w:t>
      </w:r>
      <w:r>
        <w:rPr>
          <w:rFonts w:hint="eastAsia" w:cs="宋体"/>
          <w:b/>
          <w:bCs/>
          <w:color w:val="000000" w:themeColor="text1"/>
          <w:sz w:val="32"/>
          <w:szCs w:val="32"/>
          <w:highlight w:val="none"/>
        </w:rPr>
        <w:br w:type="page"/>
      </w:r>
      <w:r>
        <w:rPr>
          <w:rFonts w:hint="eastAsia" w:cstheme="minorBidi"/>
          <w:b/>
          <w:color w:val="000000" w:themeColor="text1"/>
          <w:sz w:val="32"/>
          <w:szCs w:val="21"/>
          <w:highlight w:val="none"/>
        </w:rPr>
        <w:t>第六部分</w:t>
      </w:r>
      <w:bookmarkEnd w:id="67"/>
      <w:r>
        <w:rPr>
          <w:rFonts w:hint="eastAsia" w:cstheme="minorBidi"/>
          <w:b/>
          <w:color w:val="000000" w:themeColor="text1"/>
          <w:sz w:val="32"/>
          <w:szCs w:val="21"/>
          <w:highlight w:val="none"/>
        </w:rPr>
        <w:t xml:space="preserve"> 评标办法及开评标程序</w:t>
      </w:r>
    </w:p>
    <w:p w14:paraId="49C7503B">
      <w:pPr>
        <w:autoSpaceDE w:val="0"/>
        <w:autoSpaceDN w:val="0"/>
        <w:adjustRightInd w:val="0"/>
        <w:snapToGrid w:val="0"/>
        <w:spacing w:line="440" w:lineRule="exact"/>
        <w:ind w:left="425"/>
        <w:outlineLvl w:val="1"/>
        <w:rPr>
          <w:rFonts w:ascii="宋体" w:hAnsi="宋体" w:cs="宋体"/>
          <w:b/>
          <w:bCs/>
          <w:color w:val="000000" w:themeColor="text1"/>
          <w:sz w:val="24"/>
          <w:szCs w:val="24"/>
          <w:highlight w:val="none"/>
          <w:lang w:val="zh-CN"/>
        </w:rPr>
      </w:pPr>
      <w:bookmarkStart w:id="68" w:name="_Toc359856825"/>
      <w:bookmarkStart w:id="69" w:name="_Toc6292"/>
      <w:bookmarkStart w:id="70" w:name="_Toc522530064"/>
      <w:bookmarkStart w:id="71" w:name="_Toc17578"/>
      <w:r>
        <w:rPr>
          <w:rFonts w:hint="eastAsia" w:ascii="宋体" w:hAnsi="宋体" w:cs="宋体"/>
          <w:b/>
          <w:bCs/>
          <w:color w:val="000000" w:themeColor="text1"/>
          <w:sz w:val="24"/>
          <w:szCs w:val="24"/>
          <w:highlight w:val="none"/>
          <w:lang w:val="zh-CN"/>
        </w:rPr>
        <w:t>一、评标委员会的组成</w:t>
      </w:r>
      <w:bookmarkEnd w:id="68"/>
      <w:bookmarkEnd w:id="69"/>
    </w:p>
    <w:p w14:paraId="375BB7E5">
      <w:pPr>
        <w:autoSpaceDE w:val="0"/>
        <w:autoSpaceDN w:val="0"/>
        <w:adjustRightInd w:val="0"/>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1.评标委员会由</w:t>
      </w:r>
      <w:r>
        <w:rPr>
          <w:rFonts w:hint="eastAsia" w:ascii="宋体" w:hAnsi="宋体" w:cs="宋体"/>
          <w:color w:val="000000" w:themeColor="text1"/>
          <w:sz w:val="24"/>
          <w:szCs w:val="24"/>
          <w:highlight w:val="none"/>
          <w:lang w:val="en-US" w:eastAsia="zh-CN"/>
        </w:rPr>
        <w:t>7</w:t>
      </w:r>
      <w:r>
        <w:rPr>
          <w:rFonts w:hint="eastAsia" w:ascii="宋体" w:hAnsi="宋体" w:cs="宋体"/>
          <w:color w:val="000000" w:themeColor="text1"/>
          <w:sz w:val="24"/>
          <w:szCs w:val="24"/>
          <w:highlight w:val="none"/>
        </w:rPr>
        <w:t>人组成，其中采购单位代表</w:t>
      </w:r>
      <w:r>
        <w:rPr>
          <w:rFonts w:hint="eastAsia" w:ascii="宋体" w:hAnsi="宋体" w:cs="宋体"/>
          <w:color w:val="000000" w:themeColor="text1"/>
          <w:sz w:val="24"/>
          <w:szCs w:val="24"/>
          <w:highlight w:val="none"/>
          <w:lang w:val="en-US" w:eastAsia="zh-CN"/>
        </w:rPr>
        <w:t>2</w:t>
      </w:r>
      <w:r>
        <w:rPr>
          <w:rFonts w:hint="eastAsia" w:ascii="宋体" w:hAnsi="宋体" w:cs="宋体"/>
          <w:color w:val="000000" w:themeColor="text1"/>
          <w:sz w:val="24"/>
          <w:szCs w:val="24"/>
          <w:highlight w:val="none"/>
        </w:rPr>
        <w:t>名以及从专家库里随机抽取的专家</w:t>
      </w:r>
      <w:r>
        <w:rPr>
          <w:rFonts w:hint="eastAsia" w:ascii="宋体" w:hAnsi="宋体" w:cs="宋体"/>
          <w:color w:val="000000" w:themeColor="text1"/>
          <w:sz w:val="24"/>
          <w:szCs w:val="24"/>
          <w:highlight w:val="none"/>
          <w:lang w:val="en-US" w:eastAsia="zh-CN"/>
        </w:rPr>
        <w:t>5</w:t>
      </w:r>
      <w:r>
        <w:rPr>
          <w:rFonts w:hint="eastAsia" w:ascii="宋体" w:hAnsi="宋体" w:cs="宋体"/>
          <w:color w:val="000000" w:themeColor="text1"/>
          <w:sz w:val="24"/>
          <w:szCs w:val="24"/>
          <w:highlight w:val="none"/>
        </w:rPr>
        <w:t>名，评标委员会负责对投标文件进行评审。</w:t>
      </w:r>
    </w:p>
    <w:p w14:paraId="59197B76">
      <w:pPr>
        <w:autoSpaceDE w:val="0"/>
        <w:autoSpaceDN w:val="0"/>
        <w:adjustRightInd w:val="0"/>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2.询标期间，工作人员通过政采云系统向投标人发出在线询标内容，投标人法人代表或法人委托人负责解答及上传相关文件。</w:t>
      </w:r>
    </w:p>
    <w:bookmarkEnd w:id="70"/>
    <w:bookmarkEnd w:id="71"/>
    <w:p w14:paraId="01694767">
      <w:pPr>
        <w:autoSpaceDE w:val="0"/>
        <w:autoSpaceDN w:val="0"/>
        <w:adjustRightInd w:val="0"/>
        <w:snapToGrid w:val="0"/>
        <w:spacing w:line="440" w:lineRule="exact"/>
        <w:ind w:left="425"/>
        <w:outlineLvl w:val="1"/>
        <w:rPr>
          <w:rFonts w:ascii="宋体" w:hAnsi="宋体" w:cs="宋体"/>
          <w:b/>
          <w:bCs/>
          <w:color w:val="000000" w:themeColor="text1"/>
          <w:sz w:val="24"/>
          <w:szCs w:val="24"/>
          <w:highlight w:val="none"/>
          <w:lang w:val="zh-CN"/>
        </w:rPr>
      </w:pPr>
      <w:bookmarkStart w:id="72" w:name="_Toc359856826"/>
      <w:bookmarkStart w:id="73" w:name="_Toc5850"/>
      <w:r>
        <w:rPr>
          <w:rFonts w:hint="eastAsia" w:ascii="宋体" w:hAnsi="宋体" w:cs="宋体"/>
          <w:b/>
          <w:bCs/>
          <w:color w:val="000000" w:themeColor="text1"/>
          <w:sz w:val="24"/>
          <w:szCs w:val="24"/>
          <w:highlight w:val="none"/>
          <w:lang w:val="zh-CN"/>
        </w:rPr>
        <w:t>二、评标原则</w:t>
      </w:r>
      <w:bookmarkEnd w:id="72"/>
      <w:bookmarkEnd w:id="73"/>
    </w:p>
    <w:p w14:paraId="6EC8B3AD">
      <w:pPr>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1.投标人得分由商务技术分和报价分合计组成,满分为100分。</w:t>
      </w:r>
    </w:p>
    <w:p w14:paraId="0324AFA3">
      <w:pPr>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2.商务技术分和报价分合计得分最高者为第一中标候选人，总分相同时，价格低者优先，总分相同且价格相同的，商务部分优者为中标人。</w:t>
      </w:r>
    </w:p>
    <w:p w14:paraId="7F897BB2">
      <w:pPr>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3.评标委员会根据招标文件和投标文件，结合商务技术评分细则对各投标人的商务技术部分进行评审。评标委员会各成员所评分值的算术平均值即为各投标人的商务技术分值（计算时四舍五入保留二位小数）。</w:t>
      </w:r>
    </w:p>
    <w:p w14:paraId="06D8DF36">
      <w:pPr>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4.评定结果经采购人确定后，</w:t>
      </w:r>
      <w:r>
        <w:rPr>
          <w:rFonts w:hint="eastAsia" w:ascii="宋体" w:hAnsi="宋体" w:cs="宋体"/>
          <w:color w:val="000000" w:themeColor="text1"/>
          <w:sz w:val="24"/>
          <w:szCs w:val="24"/>
          <w:highlight w:val="none"/>
          <w:lang w:eastAsia="zh-CN"/>
        </w:rPr>
        <w:t>浙江欣成工程咨询有限公司</w:t>
      </w:r>
      <w:r>
        <w:rPr>
          <w:rFonts w:hint="eastAsia" w:ascii="宋体" w:hAnsi="宋体" w:cs="宋体"/>
          <w:color w:val="000000" w:themeColor="text1"/>
          <w:sz w:val="24"/>
          <w:szCs w:val="24"/>
          <w:highlight w:val="none"/>
        </w:rPr>
        <w:t>在中标人确定之日起2个工作日内将以书面形式发出《中标通知书》，并在省级以上人民政府财政部门指定的媒体上公告中标结果。</w:t>
      </w:r>
    </w:p>
    <w:p w14:paraId="3045F1CD">
      <w:pPr>
        <w:autoSpaceDE w:val="0"/>
        <w:autoSpaceDN w:val="0"/>
        <w:adjustRightInd w:val="0"/>
        <w:snapToGrid w:val="0"/>
        <w:spacing w:line="440" w:lineRule="exact"/>
        <w:ind w:left="425"/>
        <w:outlineLvl w:val="1"/>
        <w:rPr>
          <w:rFonts w:ascii="宋体" w:hAnsi="宋体" w:cs="宋体"/>
          <w:b/>
          <w:bCs/>
          <w:color w:val="000000" w:themeColor="text1"/>
          <w:sz w:val="24"/>
          <w:szCs w:val="24"/>
          <w:highlight w:val="none"/>
          <w:lang w:val="zh-CN"/>
        </w:rPr>
      </w:pPr>
      <w:bookmarkStart w:id="74" w:name="_Toc10857"/>
      <w:bookmarkStart w:id="75" w:name="_Toc359856827"/>
      <w:r>
        <w:rPr>
          <w:rFonts w:hint="eastAsia" w:ascii="宋体" w:hAnsi="宋体" w:cs="宋体"/>
          <w:b/>
          <w:bCs/>
          <w:color w:val="000000" w:themeColor="text1"/>
          <w:sz w:val="24"/>
          <w:szCs w:val="24"/>
          <w:highlight w:val="none"/>
          <w:lang w:val="zh-CN"/>
        </w:rPr>
        <w:t>三、注意事项</w:t>
      </w:r>
      <w:bookmarkEnd w:id="74"/>
      <w:bookmarkEnd w:id="75"/>
    </w:p>
    <w:p w14:paraId="3D251FD3">
      <w:pPr>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8540824">
      <w:pPr>
        <w:autoSpaceDE w:val="0"/>
        <w:autoSpaceDN w:val="0"/>
        <w:adjustRightInd w:val="0"/>
        <w:snapToGrid w:val="0"/>
        <w:spacing w:line="440" w:lineRule="exact"/>
        <w:ind w:left="425"/>
        <w:outlineLvl w:val="1"/>
        <w:rPr>
          <w:rFonts w:ascii="宋体" w:hAnsi="宋体" w:cs="宋体"/>
          <w:b/>
          <w:bCs/>
          <w:color w:val="000000" w:themeColor="text1"/>
          <w:sz w:val="24"/>
          <w:szCs w:val="24"/>
          <w:highlight w:val="none"/>
          <w:lang w:val="zh-CN"/>
        </w:rPr>
      </w:pPr>
      <w:bookmarkStart w:id="76" w:name="_Toc359856828"/>
      <w:bookmarkStart w:id="77" w:name="_Toc10247"/>
      <w:r>
        <w:rPr>
          <w:rFonts w:hint="eastAsia" w:ascii="宋体" w:hAnsi="宋体" w:cs="宋体"/>
          <w:b/>
          <w:bCs/>
          <w:color w:val="000000" w:themeColor="text1"/>
          <w:sz w:val="24"/>
          <w:szCs w:val="24"/>
          <w:highlight w:val="none"/>
          <w:lang w:val="zh-CN"/>
        </w:rPr>
        <w:t>四、评分标准</w:t>
      </w:r>
      <w:bookmarkEnd w:id="76"/>
      <w:bookmarkEnd w:id="77"/>
    </w:p>
    <w:tbl>
      <w:tblPr>
        <w:tblStyle w:val="21"/>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202"/>
        <w:gridCol w:w="5833"/>
        <w:gridCol w:w="804"/>
      </w:tblGrid>
      <w:tr w14:paraId="146A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2399" w:type="dxa"/>
            <w:gridSpan w:val="2"/>
            <w:vAlign w:val="center"/>
          </w:tcPr>
          <w:p w14:paraId="0EC9A1A3">
            <w:pPr>
              <w:wordWrap w:val="0"/>
              <w:autoSpaceDE w:val="0"/>
              <w:autoSpaceDN w:val="0"/>
              <w:adjustRightInd w:val="0"/>
              <w:spacing w:line="0" w:lineRule="atLeast"/>
              <w:contextualSpacing/>
              <w:jc w:val="center"/>
              <w:rPr>
                <w:rFonts w:ascii="宋体" w:hAnsi="宋体" w:cs="宋体"/>
                <w:b/>
                <w:bCs/>
                <w:color w:val="000000" w:themeColor="text1"/>
                <w:sz w:val="24"/>
                <w:szCs w:val="24"/>
                <w:highlight w:val="none"/>
                <w:lang w:val="zh-CN"/>
              </w:rPr>
            </w:pPr>
            <w:bookmarkStart w:id="78" w:name="_Toc323"/>
            <w:r>
              <w:rPr>
                <w:rFonts w:hint="eastAsia" w:ascii="宋体" w:hAnsi="宋体" w:cs="宋体"/>
                <w:b/>
                <w:bCs/>
                <w:color w:val="000000" w:themeColor="text1"/>
                <w:sz w:val="24"/>
                <w:szCs w:val="24"/>
                <w:highlight w:val="none"/>
                <w:lang w:val="zh-CN"/>
              </w:rPr>
              <w:t>条款内容</w:t>
            </w:r>
          </w:p>
        </w:tc>
        <w:tc>
          <w:tcPr>
            <w:tcW w:w="6637" w:type="dxa"/>
            <w:gridSpan w:val="2"/>
            <w:vAlign w:val="center"/>
          </w:tcPr>
          <w:p w14:paraId="277014C0">
            <w:pPr>
              <w:wordWrap w:val="0"/>
              <w:autoSpaceDE w:val="0"/>
              <w:autoSpaceDN w:val="0"/>
              <w:adjustRightInd w:val="0"/>
              <w:spacing w:line="0" w:lineRule="atLeast"/>
              <w:contextualSpacing/>
              <w:jc w:val="center"/>
              <w:rPr>
                <w:rFonts w:ascii="宋体" w:hAnsi="宋体" w:cs="宋体"/>
                <w:b/>
                <w:bCs/>
                <w:color w:val="000000" w:themeColor="text1"/>
                <w:sz w:val="24"/>
                <w:szCs w:val="24"/>
                <w:highlight w:val="none"/>
                <w:lang w:val="zh-CN"/>
              </w:rPr>
            </w:pPr>
            <w:r>
              <w:rPr>
                <w:rFonts w:hint="eastAsia" w:ascii="宋体" w:hAnsi="宋体" w:cs="宋体"/>
                <w:b/>
                <w:bCs/>
                <w:color w:val="000000" w:themeColor="text1"/>
                <w:sz w:val="24"/>
                <w:szCs w:val="24"/>
                <w:highlight w:val="none"/>
                <w:lang w:val="zh-CN"/>
              </w:rPr>
              <w:t>编列内容</w:t>
            </w:r>
          </w:p>
        </w:tc>
      </w:tr>
      <w:tr w14:paraId="7944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9" w:type="dxa"/>
            <w:gridSpan w:val="2"/>
            <w:vAlign w:val="center"/>
          </w:tcPr>
          <w:p w14:paraId="0B2D988E">
            <w:pPr>
              <w:wordWrap w:val="0"/>
              <w:spacing w:line="0" w:lineRule="atLeast"/>
              <w:contextualSpacing/>
              <w:jc w:val="center"/>
              <w:rPr>
                <w:rFonts w:ascii="宋体" w:hAnsi="宋体" w:cs="宋体"/>
                <w:b/>
                <w:bCs/>
                <w:color w:val="000000" w:themeColor="text1"/>
                <w:sz w:val="24"/>
                <w:szCs w:val="24"/>
                <w:highlight w:val="none"/>
                <w:lang w:val="zh-CN"/>
              </w:rPr>
            </w:pPr>
            <w:r>
              <w:rPr>
                <w:rFonts w:hint="eastAsia" w:ascii="宋体" w:hAnsi="宋体" w:cs="宋体"/>
                <w:b/>
                <w:bCs/>
                <w:color w:val="000000" w:themeColor="text1"/>
                <w:sz w:val="24"/>
                <w:szCs w:val="24"/>
                <w:highlight w:val="none"/>
                <w:lang w:val="zh-CN"/>
              </w:rPr>
              <w:t>分值构成</w:t>
            </w:r>
          </w:p>
          <w:p w14:paraId="7A3FD9B8">
            <w:pPr>
              <w:wordWrap w:val="0"/>
              <w:spacing w:line="0" w:lineRule="atLeast"/>
              <w:contextualSpacing/>
              <w:jc w:val="center"/>
              <w:rPr>
                <w:rFonts w:ascii="宋体" w:hAnsi="宋体" w:cs="宋体"/>
                <w:b/>
                <w:bCs/>
                <w:color w:val="000000" w:themeColor="text1"/>
                <w:sz w:val="24"/>
                <w:szCs w:val="24"/>
                <w:highlight w:val="none"/>
                <w:lang w:val="zh-CN"/>
              </w:rPr>
            </w:pPr>
            <w:r>
              <w:rPr>
                <w:rFonts w:hint="eastAsia" w:ascii="宋体" w:hAnsi="宋体" w:cs="宋体"/>
                <w:b/>
                <w:bCs/>
                <w:color w:val="000000" w:themeColor="text1"/>
                <w:sz w:val="24"/>
                <w:szCs w:val="24"/>
                <w:highlight w:val="none"/>
                <w:lang w:val="zh-CN"/>
              </w:rPr>
              <w:t>（总分100分）</w:t>
            </w:r>
          </w:p>
        </w:tc>
        <w:tc>
          <w:tcPr>
            <w:tcW w:w="6637" w:type="dxa"/>
            <w:gridSpan w:val="2"/>
            <w:vAlign w:val="center"/>
          </w:tcPr>
          <w:p w14:paraId="530038F5">
            <w:pPr>
              <w:wordWrap w:val="0"/>
              <w:spacing w:line="0" w:lineRule="atLeast"/>
              <w:contextualSpacing/>
              <w:jc w:val="center"/>
              <w:rPr>
                <w:rFonts w:ascii="宋体" w:hAnsi="宋体" w:cs="宋体"/>
                <w:color w:val="000000" w:themeColor="text1"/>
                <w:sz w:val="24"/>
                <w:szCs w:val="24"/>
                <w:highlight w:val="none"/>
                <w:lang w:val="zh-CN"/>
              </w:rPr>
            </w:pPr>
            <w:r>
              <w:rPr>
                <w:rFonts w:hint="eastAsia" w:ascii="宋体" w:hAnsi="宋体" w:cs="宋体"/>
                <w:color w:val="000000" w:themeColor="text1"/>
                <w:sz w:val="24"/>
                <w:szCs w:val="24"/>
                <w:highlight w:val="none"/>
                <w:lang w:val="zh-CN"/>
              </w:rPr>
              <w:t>本次评标采用综合评估法。评审内容满分100分，</w:t>
            </w:r>
            <w:r>
              <w:rPr>
                <w:rFonts w:hint="eastAsia" w:ascii="宋体" w:hAnsi="宋体" w:cs="宋体"/>
                <w:color w:val="000000" w:themeColor="text1"/>
                <w:sz w:val="24"/>
                <w:szCs w:val="24"/>
                <w:highlight w:val="none"/>
                <w:lang w:val="en-US" w:eastAsia="zh-CN"/>
              </w:rPr>
              <w:t>商务</w:t>
            </w:r>
            <w:r>
              <w:rPr>
                <w:rFonts w:hint="eastAsia" w:ascii="宋体" w:hAnsi="宋体" w:cs="宋体"/>
                <w:color w:val="000000" w:themeColor="text1"/>
                <w:sz w:val="24"/>
                <w:szCs w:val="24"/>
                <w:highlight w:val="none"/>
                <w:lang w:val="zh-CN"/>
              </w:rPr>
              <w:t>技术</w:t>
            </w:r>
            <w:r>
              <w:rPr>
                <w:rFonts w:hint="eastAsia" w:ascii="宋体" w:hAnsi="宋体" w:cs="宋体"/>
                <w:color w:val="000000" w:themeColor="text1"/>
                <w:sz w:val="24"/>
                <w:szCs w:val="24"/>
                <w:highlight w:val="none"/>
              </w:rPr>
              <w:t>部分</w:t>
            </w:r>
            <w:r>
              <w:rPr>
                <w:rFonts w:hint="eastAsia" w:ascii="宋体" w:hAnsi="宋体" w:cs="宋体"/>
                <w:color w:val="000000" w:themeColor="text1"/>
                <w:sz w:val="24"/>
                <w:szCs w:val="24"/>
                <w:highlight w:val="none"/>
                <w:lang w:val="en-US" w:eastAsia="zh-CN"/>
              </w:rPr>
              <w:t>6</w:t>
            </w: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zh-CN"/>
              </w:rPr>
              <w:t>分、报价</w:t>
            </w:r>
            <w:r>
              <w:rPr>
                <w:rFonts w:hint="eastAsia" w:ascii="宋体" w:hAnsi="宋体" w:cs="宋体"/>
                <w:color w:val="000000" w:themeColor="text1"/>
                <w:sz w:val="24"/>
                <w:szCs w:val="24"/>
                <w:highlight w:val="none"/>
              </w:rPr>
              <w:t>部分</w:t>
            </w:r>
            <w:r>
              <w:rPr>
                <w:rFonts w:hint="eastAsia" w:ascii="宋体" w:hAnsi="宋体" w:cs="宋体"/>
                <w:color w:val="000000" w:themeColor="text1"/>
                <w:sz w:val="24"/>
                <w:szCs w:val="24"/>
                <w:highlight w:val="none"/>
                <w:lang w:val="en-US" w:eastAsia="zh-CN"/>
              </w:rPr>
              <w:t>4</w:t>
            </w: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zh-CN"/>
              </w:rPr>
              <w:t>分。</w:t>
            </w:r>
          </w:p>
        </w:tc>
      </w:tr>
      <w:tr w14:paraId="6A7C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7" w:type="dxa"/>
            <w:vAlign w:val="center"/>
          </w:tcPr>
          <w:p w14:paraId="05BF4A4A">
            <w:pPr>
              <w:wordWrap w:val="0"/>
              <w:spacing w:line="0" w:lineRule="atLeast"/>
              <w:contextualSpacing/>
              <w:jc w:val="center"/>
              <w:rPr>
                <w:rFonts w:ascii="宋体" w:hAnsi="宋体" w:cs="宋体"/>
                <w:b/>
                <w:bCs/>
                <w:color w:val="000000" w:themeColor="text1"/>
                <w:sz w:val="24"/>
                <w:szCs w:val="24"/>
                <w:highlight w:val="none"/>
                <w:lang w:val="zh-CN"/>
              </w:rPr>
            </w:pPr>
            <w:r>
              <w:rPr>
                <w:rFonts w:hint="eastAsia" w:ascii="宋体" w:hAnsi="宋体" w:cs="宋体"/>
                <w:b/>
                <w:bCs/>
                <w:color w:val="000000" w:themeColor="text1"/>
                <w:sz w:val="24"/>
                <w:szCs w:val="24"/>
                <w:highlight w:val="none"/>
                <w:lang w:val="zh-CN"/>
              </w:rPr>
              <w:t>条款号</w:t>
            </w:r>
          </w:p>
        </w:tc>
        <w:tc>
          <w:tcPr>
            <w:tcW w:w="1202" w:type="dxa"/>
            <w:vAlign w:val="center"/>
          </w:tcPr>
          <w:p w14:paraId="2528304A">
            <w:pPr>
              <w:wordWrap w:val="0"/>
              <w:spacing w:line="0" w:lineRule="atLeast"/>
              <w:contextualSpacing/>
              <w:jc w:val="center"/>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评审因素</w:t>
            </w:r>
          </w:p>
        </w:tc>
        <w:tc>
          <w:tcPr>
            <w:tcW w:w="5833" w:type="dxa"/>
            <w:vAlign w:val="center"/>
          </w:tcPr>
          <w:p w14:paraId="52FE5A93">
            <w:pPr>
              <w:wordWrap w:val="0"/>
              <w:spacing w:line="0" w:lineRule="atLeast"/>
              <w:contextualSpacing/>
              <w:jc w:val="center"/>
              <w:rPr>
                <w:rFonts w:ascii="宋体" w:hAnsi="宋体" w:cs="宋体"/>
                <w:b/>
                <w:bCs/>
                <w:color w:val="000000" w:themeColor="text1"/>
                <w:sz w:val="24"/>
                <w:szCs w:val="24"/>
                <w:highlight w:val="none"/>
                <w:lang w:val="zh-CN"/>
              </w:rPr>
            </w:pPr>
            <w:r>
              <w:rPr>
                <w:rFonts w:hint="eastAsia" w:ascii="宋体" w:hAnsi="宋体" w:cs="宋体"/>
                <w:b/>
                <w:bCs/>
                <w:color w:val="000000" w:themeColor="text1"/>
                <w:sz w:val="24"/>
                <w:szCs w:val="24"/>
                <w:highlight w:val="none"/>
              </w:rPr>
              <w:t>评审标准</w:t>
            </w:r>
          </w:p>
        </w:tc>
        <w:tc>
          <w:tcPr>
            <w:tcW w:w="804" w:type="dxa"/>
            <w:vAlign w:val="center"/>
          </w:tcPr>
          <w:p w14:paraId="7584BAD4">
            <w:pPr>
              <w:wordWrap w:val="0"/>
              <w:spacing w:line="0" w:lineRule="atLeast"/>
              <w:contextualSpacing/>
              <w:jc w:val="center"/>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得分</w:t>
            </w:r>
          </w:p>
        </w:tc>
      </w:tr>
      <w:tr w14:paraId="6E23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Align w:val="center"/>
          </w:tcPr>
          <w:p w14:paraId="04AD43B3">
            <w:pPr>
              <w:wordWrap w:val="0"/>
              <w:spacing w:line="370" w:lineRule="exact"/>
              <w:contextualSpacing/>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报价部分</w:t>
            </w:r>
          </w:p>
          <w:p w14:paraId="57B76AF5">
            <w:pPr>
              <w:wordWrap w:val="0"/>
              <w:spacing w:line="370" w:lineRule="exact"/>
              <w:contextualSpacing/>
              <w:rPr>
                <w:rFonts w:ascii="宋体" w:hAnsi="宋体" w:cs="宋体"/>
                <w:color w:val="000000" w:themeColor="text1"/>
                <w:sz w:val="24"/>
                <w:szCs w:val="24"/>
                <w:highlight w:val="none"/>
                <w:lang w:val="zh-CN"/>
              </w:rPr>
            </w:pP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4</w:t>
            </w:r>
            <w:r>
              <w:rPr>
                <w:rFonts w:hint="eastAsia" w:ascii="宋体" w:hAnsi="宋体" w:cs="宋体"/>
                <w:color w:val="000000" w:themeColor="text1"/>
                <w:sz w:val="24"/>
                <w:szCs w:val="24"/>
                <w:highlight w:val="none"/>
              </w:rPr>
              <w:t>0分）</w:t>
            </w:r>
          </w:p>
        </w:tc>
        <w:tc>
          <w:tcPr>
            <w:tcW w:w="1202" w:type="dxa"/>
            <w:vAlign w:val="center"/>
          </w:tcPr>
          <w:p w14:paraId="3FBEB732">
            <w:pPr>
              <w:wordWrap w:val="0"/>
              <w:spacing w:line="370" w:lineRule="exact"/>
              <w:contextualSpacing/>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投标报价</w:t>
            </w:r>
          </w:p>
        </w:tc>
        <w:tc>
          <w:tcPr>
            <w:tcW w:w="5833" w:type="dxa"/>
            <w:vAlign w:val="center"/>
          </w:tcPr>
          <w:p w14:paraId="2283A9EF">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投标价格分统一采用低价优先法计算，即满足招标文件要求的有效投标人（通过资格审查和符合性审查）中最终评标价格最低的报价为评标基准价，其价格分为满分</w:t>
            </w:r>
            <w:r>
              <w:rPr>
                <w:rFonts w:hint="eastAsia" w:ascii="宋体" w:hAnsi="宋体" w:cs="宋体"/>
                <w:color w:val="000000" w:themeColor="text1"/>
                <w:sz w:val="24"/>
                <w:szCs w:val="24"/>
                <w:highlight w:val="none"/>
                <w:lang w:val="en-US" w:eastAsia="zh-CN"/>
              </w:rPr>
              <w:t>4</w:t>
            </w:r>
            <w:r>
              <w:rPr>
                <w:rFonts w:hint="eastAsia" w:ascii="宋体" w:hAnsi="宋体" w:cs="宋体"/>
                <w:color w:val="000000" w:themeColor="text1"/>
                <w:sz w:val="24"/>
                <w:szCs w:val="24"/>
                <w:highlight w:val="none"/>
              </w:rPr>
              <w:t>0分。</w:t>
            </w:r>
          </w:p>
          <w:p w14:paraId="1A514623">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其他投标人的价格分统一按照下列公式计算：</w:t>
            </w:r>
          </w:p>
          <w:p w14:paraId="2A3D50EF">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投标报价得分=（评标基准价/</w:t>
            </w:r>
            <w:r>
              <w:rPr>
                <w:rFonts w:hint="eastAsia" w:ascii="宋体" w:hAnsi="宋体" w:cs="宋体"/>
                <w:color w:val="000000" w:themeColor="text1"/>
                <w:sz w:val="24"/>
                <w:szCs w:val="24"/>
                <w:highlight w:val="none"/>
                <w:lang w:val="en-US" w:eastAsia="zh-CN"/>
              </w:rPr>
              <w:t>投标报价</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4</w:t>
            </w:r>
            <w:r>
              <w:rPr>
                <w:rFonts w:hint="eastAsia" w:ascii="宋体" w:hAnsi="宋体" w:cs="宋体"/>
                <w:color w:val="000000" w:themeColor="text1"/>
                <w:sz w:val="24"/>
                <w:szCs w:val="24"/>
                <w:highlight w:val="none"/>
              </w:rPr>
              <w:t>0</w:t>
            </w:r>
          </w:p>
          <w:p w14:paraId="7595E4BF">
            <w:pPr>
              <w:spacing w:line="37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最终得分计算保留小数点后两位。</w:t>
            </w:r>
          </w:p>
        </w:tc>
        <w:tc>
          <w:tcPr>
            <w:tcW w:w="804" w:type="dxa"/>
            <w:vAlign w:val="center"/>
          </w:tcPr>
          <w:p w14:paraId="736E0B75">
            <w:pPr>
              <w:wordWrap w:val="0"/>
              <w:spacing w:line="370" w:lineRule="exact"/>
              <w:contextualSpacing/>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en-US" w:eastAsia="zh-CN"/>
              </w:rPr>
              <w:t>4</w:t>
            </w:r>
            <w:r>
              <w:rPr>
                <w:rFonts w:hint="eastAsia" w:ascii="宋体" w:hAnsi="宋体" w:cs="宋体"/>
                <w:color w:val="000000" w:themeColor="text1"/>
                <w:sz w:val="24"/>
                <w:szCs w:val="24"/>
                <w:highlight w:val="none"/>
              </w:rPr>
              <w:t>0</w:t>
            </w:r>
          </w:p>
        </w:tc>
      </w:tr>
      <w:tr w14:paraId="59A4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97" w:type="dxa"/>
            <w:vMerge w:val="restart"/>
            <w:vAlign w:val="center"/>
          </w:tcPr>
          <w:p w14:paraId="4A7911A2">
            <w:pPr>
              <w:wordWrap w:val="0"/>
              <w:spacing w:line="370" w:lineRule="exact"/>
              <w:contextualSpacing/>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商务</w:t>
            </w:r>
            <w:r>
              <w:rPr>
                <w:rFonts w:hint="eastAsia" w:ascii="宋体" w:hAnsi="宋体" w:cs="宋体"/>
                <w:color w:val="000000" w:themeColor="text1"/>
                <w:sz w:val="24"/>
                <w:szCs w:val="24"/>
                <w:highlight w:val="none"/>
              </w:rPr>
              <w:t>技术部分</w:t>
            </w:r>
          </w:p>
          <w:p w14:paraId="390230BD">
            <w:pPr>
              <w:wordWrap w:val="0"/>
              <w:spacing w:line="370" w:lineRule="exact"/>
              <w:contextualSpacing/>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6</w:t>
            </w:r>
            <w:r>
              <w:rPr>
                <w:rFonts w:hint="eastAsia" w:ascii="宋体" w:hAnsi="宋体" w:cs="宋体"/>
                <w:color w:val="000000" w:themeColor="text1"/>
                <w:sz w:val="24"/>
                <w:szCs w:val="24"/>
                <w:highlight w:val="none"/>
              </w:rPr>
              <w:t>0分）</w:t>
            </w:r>
          </w:p>
        </w:tc>
        <w:tc>
          <w:tcPr>
            <w:tcW w:w="1202" w:type="dxa"/>
            <w:vAlign w:val="center"/>
          </w:tcPr>
          <w:p w14:paraId="6D66661A">
            <w:pPr>
              <w:wordWrap w:val="0"/>
              <w:spacing w:line="370" w:lineRule="exact"/>
              <w:contextualSpacing/>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技术指标响应情况</w:t>
            </w:r>
          </w:p>
        </w:tc>
        <w:tc>
          <w:tcPr>
            <w:tcW w:w="5833" w:type="dxa"/>
            <w:vAlign w:val="top"/>
          </w:tcPr>
          <w:p w14:paraId="71CC3600">
            <w:pPr>
              <w:wordWrap w:val="0"/>
              <w:spacing w:line="370" w:lineRule="exact"/>
              <w:contextualSpacing/>
              <w:rPr>
                <w:rFonts w:hint="eastAsia"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根据投标人对招标文件采购需求及要求中“</w:t>
            </w:r>
            <w:r>
              <w:rPr>
                <w:rFonts w:hint="eastAsia" w:ascii="宋体" w:hAnsi="宋体" w:cs="宋体"/>
                <w:color w:val="000000" w:themeColor="text1"/>
                <w:sz w:val="24"/>
                <w:szCs w:val="24"/>
                <w:highlight w:val="none"/>
                <w:lang w:val="en-US" w:eastAsia="zh-CN"/>
              </w:rPr>
              <w:t>主要参数</w:t>
            </w:r>
            <w:r>
              <w:rPr>
                <w:rFonts w:hint="eastAsia" w:ascii="宋体" w:hAnsi="宋体" w:cs="宋体"/>
                <w:color w:val="000000" w:themeColor="text1"/>
                <w:sz w:val="24"/>
                <w:szCs w:val="24"/>
                <w:highlight w:val="none"/>
              </w:rPr>
              <w:t>”逐项响应情况进行评分：每负偏离一项扣</w:t>
            </w:r>
            <w:r>
              <w:rPr>
                <w:rFonts w:hint="eastAsia" w:ascii="宋体" w:hAnsi="宋体" w:cs="宋体"/>
                <w:color w:val="000000" w:themeColor="text1"/>
                <w:sz w:val="24"/>
                <w:szCs w:val="24"/>
                <w:highlight w:val="none"/>
                <w:lang w:val="en-US" w:eastAsia="zh-CN"/>
              </w:rPr>
              <w:t>1</w:t>
            </w:r>
            <w:r>
              <w:rPr>
                <w:rFonts w:hint="eastAsia" w:ascii="宋体" w:hAnsi="宋体" w:cs="宋体"/>
                <w:color w:val="000000" w:themeColor="text1"/>
                <w:sz w:val="24"/>
                <w:szCs w:val="24"/>
                <w:highlight w:val="none"/>
              </w:rPr>
              <w:t>分，扣完为止。</w:t>
            </w:r>
            <w:r>
              <w:rPr>
                <w:rFonts w:hint="eastAsia" w:ascii="宋体" w:hAnsi="宋体" w:cs="宋体"/>
                <w:color w:val="000000" w:themeColor="text1"/>
                <w:sz w:val="24"/>
                <w:szCs w:val="24"/>
                <w:highlight w:val="none"/>
                <w:lang w:val="en-US" w:eastAsia="zh-CN"/>
              </w:rPr>
              <w:t>标注</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号</w:t>
            </w:r>
            <w:r>
              <w:rPr>
                <w:rFonts w:hint="eastAsia" w:ascii="宋体" w:hAnsi="宋体" w:cs="宋体"/>
                <w:color w:val="000000" w:themeColor="text1"/>
                <w:sz w:val="24"/>
                <w:szCs w:val="24"/>
                <w:highlight w:val="none"/>
              </w:rPr>
              <w:t>的为重要参数指标或要求</w:t>
            </w:r>
            <w:r>
              <w:rPr>
                <w:rFonts w:hint="eastAsia" w:ascii="宋体" w:hAnsi="宋体" w:cs="宋体"/>
                <w:color w:val="000000" w:themeColor="text1"/>
                <w:sz w:val="24"/>
                <w:szCs w:val="24"/>
                <w:highlight w:val="none"/>
                <w:lang w:eastAsia="zh-CN"/>
              </w:rPr>
              <w:t>，</w:t>
            </w:r>
            <w:r>
              <w:rPr>
                <w:rFonts w:hint="eastAsia" w:ascii="宋体" w:hAnsi="宋体" w:cs="宋体"/>
                <w:color w:val="000000" w:themeColor="text1"/>
                <w:sz w:val="24"/>
                <w:szCs w:val="24"/>
                <w:highlight w:val="none"/>
              </w:rPr>
              <w:t>每负偏离一项扣</w:t>
            </w:r>
            <w:r>
              <w:rPr>
                <w:rFonts w:hint="eastAsia" w:ascii="宋体" w:hAnsi="宋体" w:cs="宋体"/>
                <w:color w:val="000000" w:themeColor="text1"/>
                <w:sz w:val="24"/>
                <w:szCs w:val="24"/>
                <w:highlight w:val="none"/>
                <w:lang w:val="en-US" w:eastAsia="zh-CN"/>
              </w:rPr>
              <w:t>2</w:t>
            </w:r>
            <w:r>
              <w:rPr>
                <w:rFonts w:hint="eastAsia" w:ascii="宋体" w:hAnsi="宋体" w:cs="宋体"/>
                <w:color w:val="000000" w:themeColor="text1"/>
                <w:sz w:val="24"/>
                <w:szCs w:val="24"/>
                <w:highlight w:val="none"/>
              </w:rPr>
              <w:t>分，扣完为止。</w:t>
            </w:r>
            <w:r>
              <w:rPr>
                <w:rFonts w:hint="eastAsia" w:ascii="宋体" w:hAnsi="宋体" w:cs="宋体"/>
                <w:color w:val="000000" w:themeColor="text1"/>
                <w:sz w:val="24"/>
                <w:szCs w:val="24"/>
                <w:highlight w:val="none"/>
                <w:lang w:val="en-US" w:eastAsia="zh-CN"/>
              </w:rPr>
              <w:t>标注</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号</w:t>
            </w:r>
            <w:r>
              <w:rPr>
                <w:rFonts w:hint="eastAsia" w:ascii="宋体" w:hAnsi="宋体" w:cs="宋体"/>
                <w:color w:val="000000" w:themeColor="text1"/>
                <w:sz w:val="24"/>
                <w:szCs w:val="24"/>
                <w:highlight w:val="none"/>
              </w:rPr>
              <w:t>的不允许负偏离，否则视为未实质性响应招标文件要求，其投标按无效投标处理。</w:t>
            </w:r>
          </w:p>
          <w:p w14:paraId="2C70AB18">
            <w:pPr>
              <w:wordWrap w:val="0"/>
              <w:spacing w:line="370" w:lineRule="exact"/>
              <w:contextualSpacing/>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注：</w:t>
            </w:r>
            <w:r>
              <w:rPr>
                <w:rFonts w:hint="eastAsia" w:ascii="宋体" w:hAnsi="宋体" w:cs="宋体"/>
                <w:color w:val="000000" w:themeColor="text1"/>
                <w:sz w:val="24"/>
                <w:szCs w:val="24"/>
                <w:highlight w:val="none"/>
                <w:lang w:val="en-US" w:eastAsia="zh-CN"/>
              </w:rPr>
              <w:t>投标人根据</w:t>
            </w:r>
            <w:r>
              <w:rPr>
                <w:rFonts w:hint="eastAsia" w:ascii="宋体" w:hAnsi="宋体" w:eastAsia="宋体" w:cs="宋体"/>
                <w:color w:val="000000" w:themeColor="text1"/>
                <w:sz w:val="24"/>
                <w:szCs w:val="24"/>
                <w:highlight w:val="none"/>
                <w:lang w:val="en-US" w:eastAsia="zh-CN"/>
              </w:rPr>
              <w:t>技术偏离表要求进行逐条响应并说明偏离情况（无偏离、正偏离、负偏离）</w:t>
            </w:r>
            <w:r>
              <w:rPr>
                <w:rFonts w:hint="eastAsia" w:ascii="宋体" w:hAnsi="宋体" w:cs="宋体"/>
                <w:color w:val="000000" w:themeColor="text1"/>
                <w:sz w:val="24"/>
                <w:szCs w:val="24"/>
                <w:highlight w:val="none"/>
                <w:lang w:val="en-US" w:eastAsia="zh-CN"/>
              </w:rPr>
              <w:t>，自行编制</w:t>
            </w:r>
            <w:r>
              <w:rPr>
                <w:rFonts w:hint="eastAsia" w:ascii="宋体" w:hAnsi="宋体" w:cs="宋体"/>
                <w:b/>
                <w:bCs/>
                <w:color w:val="000000" w:themeColor="text1"/>
                <w:sz w:val="24"/>
                <w:szCs w:val="24"/>
                <w:highlight w:val="none"/>
                <w:lang w:val="en-US" w:eastAsia="zh-CN"/>
              </w:rPr>
              <w:t>承诺函</w:t>
            </w:r>
            <w:r>
              <w:rPr>
                <w:rFonts w:hint="eastAsia" w:ascii="宋体" w:hAnsi="宋体" w:cs="宋体"/>
                <w:color w:val="000000" w:themeColor="text1"/>
                <w:sz w:val="24"/>
                <w:szCs w:val="24"/>
                <w:highlight w:val="none"/>
                <w:lang w:val="en-US" w:eastAsia="zh-CN"/>
              </w:rPr>
              <w:t>承诺对本表所应答参数真实性负责。</w:t>
            </w:r>
          </w:p>
        </w:tc>
        <w:tc>
          <w:tcPr>
            <w:tcW w:w="804" w:type="dxa"/>
            <w:vAlign w:val="center"/>
          </w:tcPr>
          <w:p w14:paraId="3F66750F">
            <w:pPr>
              <w:wordWrap w:val="0"/>
              <w:spacing w:line="370" w:lineRule="exact"/>
              <w:contextualSpacing/>
              <w:jc w:val="center"/>
              <w:rPr>
                <w:rFonts w:hint="default" w:ascii="宋体" w:hAnsi="宋体" w:cs="宋体"/>
                <w:color w:val="000000" w:themeColor="text1"/>
                <w:sz w:val="24"/>
                <w:szCs w:val="24"/>
                <w:highlight w:val="none"/>
                <w:lang w:val="en-US"/>
              </w:rPr>
            </w:pP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en-US" w:eastAsia="zh-CN"/>
              </w:rPr>
              <w:t>10</w:t>
            </w:r>
          </w:p>
        </w:tc>
      </w:tr>
      <w:tr w14:paraId="66EF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97" w:type="dxa"/>
            <w:vMerge w:val="continue"/>
            <w:vAlign w:val="center"/>
          </w:tcPr>
          <w:p w14:paraId="37BC45B8">
            <w:pPr>
              <w:wordWrap w:val="0"/>
              <w:spacing w:line="370" w:lineRule="exact"/>
              <w:contextualSpacing/>
              <w:jc w:val="center"/>
              <w:rPr>
                <w:rFonts w:hint="eastAsia" w:ascii="宋体" w:hAnsi="宋体" w:cs="宋体"/>
                <w:color w:val="000000" w:themeColor="text1"/>
                <w:sz w:val="24"/>
                <w:szCs w:val="24"/>
                <w:highlight w:val="none"/>
              </w:rPr>
            </w:pPr>
          </w:p>
        </w:tc>
        <w:tc>
          <w:tcPr>
            <w:tcW w:w="1202" w:type="dxa"/>
            <w:vAlign w:val="center"/>
          </w:tcPr>
          <w:p w14:paraId="5A7ADD6D">
            <w:pPr>
              <w:wordWrap w:val="0"/>
              <w:spacing w:line="370" w:lineRule="exact"/>
              <w:contextualSpacing/>
              <w:jc w:val="center"/>
              <w:rPr>
                <w:rFonts w:hint="eastAsia"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样品</w:t>
            </w:r>
          </w:p>
        </w:tc>
        <w:tc>
          <w:tcPr>
            <w:tcW w:w="5833" w:type="dxa"/>
            <w:vAlign w:val="top"/>
          </w:tcPr>
          <w:p w14:paraId="14891E38">
            <w:pPr>
              <w:wordWrap w:val="0"/>
              <w:spacing w:line="370" w:lineRule="exact"/>
              <w:contextualSpacing/>
              <w:rPr>
                <w:rFonts w:hint="default"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根据投标人提供样品与招标文件技术参数要求的一致性，样品材料、质量、工艺、设计等方面由评委综合评分。不提供样品不得分。</w:t>
            </w:r>
          </w:p>
        </w:tc>
        <w:tc>
          <w:tcPr>
            <w:tcW w:w="804" w:type="dxa"/>
            <w:vAlign w:val="center"/>
          </w:tcPr>
          <w:p w14:paraId="4455CBC7">
            <w:pPr>
              <w:wordWrap w:val="0"/>
              <w:spacing w:line="370" w:lineRule="exact"/>
              <w:contextualSpacing/>
              <w:jc w:val="center"/>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en-US" w:eastAsia="zh-CN"/>
              </w:rPr>
              <w:t>15</w:t>
            </w:r>
          </w:p>
        </w:tc>
      </w:tr>
      <w:tr w14:paraId="54B7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197" w:type="dxa"/>
            <w:vMerge w:val="continue"/>
            <w:vAlign w:val="center"/>
          </w:tcPr>
          <w:p w14:paraId="3596CB61">
            <w:pPr>
              <w:wordWrap w:val="0"/>
              <w:spacing w:line="370" w:lineRule="exact"/>
              <w:ind w:firstLine="480" w:firstLineChars="200"/>
              <w:contextualSpacing/>
              <w:jc w:val="center"/>
              <w:rPr>
                <w:rFonts w:ascii="宋体" w:hAnsi="宋体" w:cs="宋体"/>
                <w:color w:val="000000" w:themeColor="text1"/>
                <w:sz w:val="24"/>
                <w:szCs w:val="24"/>
                <w:highlight w:val="none"/>
              </w:rPr>
            </w:pPr>
          </w:p>
        </w:tc>
        <w:tc>
          <w:tcPr>
            <w:tcW w:w="1202" w:type="dxa"/>
            <w:vAlign w:val="center"/>
          </w:tcPr>
          <w:p w14:paraId="4D033FE7">
            <w:pPr>
              <w:wordWrap w:val="0"/>
              <w:spacing w:line="370" w:lineRule="exact"/>
              <w:contextualSpacing/>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类似业绩</w:t>
            </w:r>
          </w:p>
        </w:tc>
        <w:tc>
          <w:tcPr>
            <w:tcW w:w="5833" w:type="dxa"/>
            <w:vAlign w:val="top"/>
          </w:tcPr>
          <w:p w14:paraId="2136DE0E">
            <w:pPr>
              <w:wordWrap w:val="0"/>
              <w:spacing w:line="370" w:lineRule="exact"/>
              <w:contextualSpacing/>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根据投标人提供的2021年</w:t>
            </w:r>
            <w:r>
              <w:rPr>
                <w:rFonts w:hint="eastAsia" w:ascii="宋体" w:hAnsi="宋体" w:cs="宋体"/>
                <w:color w:val="000000" w:themeColor="text1"/>
                <w:sz w:val="24"/>
                <w:szCs w:val="24"/>
                <w:highlight w:val="none"/>
                <w:lang w:val="en-US" w:eastAsia="zh-CN"/>
              </w:rPr>
              <w:t>7</w:t>
            </w:r>
            <w:r>
              <w:rPr>
                <w:rFonts w:hint="eastAsia" w:ascii="宋体" w:hAnsi="宋体" w:eastAsia="宋体" w:cs="宋体"/>
                <w:color w:val="000000" w:themeColor="text1"/>
                <w:sz w:val="24"/>
                <w:szCs w:val="24"/>
                <w:highlight w:val="none"/>
                <w:lang w:val="en-US" w:eastAsia="zh-CN"/>
              </w:rPr>
              <w:t>月1日（以合同签订时间为准）至今，已完成的同类（消防车辆或消防装备）项目的业绩进行打分，每提供一份业绩得</w:t>
            </w:r>
            <w:r>
              <w:rPr>
                <w:rFonts w:hint="eastAsia" w:ascii="宋体" w:hAnsi="宋体" w:cs="宋体"/>
                <w:color w:val="000000" w:themeColor="text1"/>
                <w:sz w:val="24"/>
                <w:szCs w:val="24"/>
                <w:highlight w:val="none"/>
                <w:lang w:val="en-US" w:eastAsia="zh-CN"/>
              </w:rPr>
              <w:t>0.5</w:t>
            </w:r>
            <w:r>
              <w:rPr>
                <w:rFonts w:hint="eastAsia" w:ascii="宋体" w:hAnsi="宋体" w:eastAsia="宋体" w:cs="宋体"/>
                <w:color w:val="000000" w:themeColor="text1"/>
                <w:sz w:val="24"/>
                <w:szCs w:val="24"/>
                <w:highlight w:val="none"/>
                <w:lang w:val="en-US" w:eastAsia="zh-CN"/>
              </w:rPr>
              <w:t>分，最多得</w:t>
            </w:r>
            <w:r>
              <w:rPr>
                <w:rFonts w:hint="eastAsia" w:ascii="宋体" w:hAnsi="宋体" w:cs="宋体"/>
                <w:color w:val="000000" w:themeColor="text1"/>
                <w:sz w:val="24"/>
                <w:szCs w:val="24"/>
                <w:highlight w:val="none"/>
                <w:lang w:val="en-US" w:eastAsia="zh-CN"/>
              </w:rPr>
              <w:t>1</w:t>
            </w:r>
            <w:r>
              <w:rPr>
                <w:rFonts w:hint="eastAsia" w:ascii="宋体" w:hAnsi="宋体" w:eastAsia="宋体" w:cs="宋体"/>
                <w:color w:val="000000" w:themeColor="text1"/>
                <w:sz w:val="24"/>
                <w:szCs w:val="24"/>
                <w:highlight w:val="none"/>
                <w:lang w:val="en-US" w:eastAsia="zh-CN"/>
              </w:rPr>
              <w:t>分，未提供不得分。</w:t>
            </w:r>
          </w:p>
          <w:p w14:paraId="6B234D77">
            <w:pPr>
              <w:wordWrap w:val="0"/>
              <w:spacing w:line="370" w:lineRule="exact"/>
              <w:contextualSpacing/>
              <w:rPr>
                <w:rFonts w:hint="eastAsia" w:ascii="宋体" w:hAnsi="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注：提供完整的合同扫描件（有清楚的采购内容和价格）及中标通知书，未提供不得分。</w:t>
            </w:r>
          </w:p>
        </w:tc>
        <w:tc>
          <w:tcPr>
            <w:tcW w:w="804" w:type="dxa"/>
            <w:vAlign w:val="center"/>
          </w:tcPr>
          <w:p w14:paraId="5E20DC41">
            <w:pPr>
              <w:wordWrap w:val="0"/>
              <w:spacing w:line="370" w:lineRule="exact"/>
              <w:contextualSpacing/>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en-US" w:eastAsia="zh-CN"/>
              </w:rPr>
              <w:t>1</w:t>
            </w:r>
          </w:p>
        </w:tc>
      </w:tr>
      <w:tr w14:paraId="23C6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97" w:type="dxa"/>
            <w:vMerge w:val="continue"/>
            <w:vAlign w:val="center"/>
          </w:tcPr>
          <w:p w14:paraId="440C7552">
            <w:pPr>
              <w:wordWrap w:val="0"/>
              <w:spacing w:line="370" w:lineRule="exact"/>
              <w:ind w:firstLine="480" w:firstLineChars="200"/>
              <w:contextualSpacing/>
              <w:jc w:val="center"/>
              <w:rPr>
                <w:rFonts w:ascii="宋体" w:hAnsi="宋体" w:cs="宋体"/>
                <w:color w:val="000000" w:themeColor="text1"/>
                <w:sz w:val="24"/>
                <w:szCs w:val="24"/>
                <w:highlight w:val="none"/>
              </w:rPr>
            </w:pPr>
          </w:p>
        </w:tc>
        <w:tc>
          <w:tcPr>
            <w:tcW w:w="1202" w:type="dxa"/>
            <w:vAlign w:val="center"/>
          </w:tcPr>
          <w:p w14:paraId="7DA72119">
            <w:pPr>
              <w:wordWrap w:val="0"/>
              <w:spacing w:line="370" w:lineRule="exact"/>
              <w:contextualSpacing/>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供货、运输、安装、调试方案</w:t>
            </w:r>
          </w:p>
        </w:tc>
        <w:tc>
          <w:tcPr>
            <w:tcW w:w="5833" w:type="dxa"/>
            <w:vAlign w:val="top"/>
          </w:tcPr>
          <w:p w14:paraId="4E42D2B6">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根据供货、运输、安装、调试方案进行综合评审：</w:t>
            </w:r>
          </w:p>
          <w:p w14:paraId="25A4831A">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1、实施方案科学合理，项目工作阶段划分、时间明确进度安排合理得</w:t>
            </w:r>
            <w:r>
              <w:rPr>
                <w:rFonts w:hint="eastAsia" w:ascii="宋体" w:hAnsi="宋体" w:cs="宋体"/>
                <w:color w:val="000000" w:themeColor="text1"/>
                <w:sz w:val="24"/>
                <w:szCs w:val="24"/>
                <w:highlight w:val="none"/>
                <w:lang w:val="en-US" w:eastAsia="zh-CN"/>
              </w:rPr>
              <w:t>5.6-8</w:t>
            </w:r>
            <w:r>
              <w:rPr>
                <w:rFonts w:hint="eastAsia" w:ascii="宋体" w:hAnsi="宋体" w:cs="宋体"/>
                <w:color w:val="000000" w:themeColor="text1"/>
                <w:sz w:val="24"/>
                <w:szCs w:val="24"/>
                <w:highlight w:val="none"/>
              </w:rPr>
              <w:t>分；</w:t>
            </w:r>
          </w:p>
          <w:p w14:paraId="29E0EC68">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2、实施方案明确，项目工作计划划分比较合理，时间进度安排可行得</w:t>
            </w:r>
            <w:r>
              <w:rPr>
                <w:rFonts w:hint="eastAsia" w:ascii="宋体" w:hAnsi="宋体" w:cs="宋体"/>
                <w:color w:val="000000" w:themeColor="text1"/>
                <w:sz w:val="24"/>
                <w:szCs w:val="24"/>
                <w:highlight w:val="none"/>
                <w:lang w:val="en-US" w:eastAsia="zh-CN"/>
              </w:rPr>
              <w:t>2.5-5.5</w:t>
            </w:r>
            <w:r>
              <w:rPr>
                <w:rFonts w:hint="eastAsia" w:ascii="宋体" w:hAnsi="宋体" w:cs="宋体"/>
                <w:color w:val="000000" w:themeColor="text1"/>
                <w:sz w:val="24"/>
                <w:szCs w:val="24"/>
                <w:highlight w:val="none"/>
              </w:rPr>
              <w:t>分；</w:t>
            </w:r>
          </w:p>
          <w:p w14:paraId="1FF73C39">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3、实施方案不够明确，时间进度安排可行性一般，得</w:t>
            </w:r>
            <w:r>
              <w:rPr>
                <w:rFonts w:hint="eastAsia" w:ascii="宋体" w:hAnsi="宋体" w:cs="宋体"/>
                <w:color w:val="000000" w:themeColor="text1"/>
                <w:sz w:val="24"/>
                <w:szCs w:val="24"/>
                <w:highlight w:val="none"/>
                <w:lang w:val="en-US" w:eastAsia="zh-CN"/>
              </w:rPr>
              <w:t>0-2.4</w:t>
            </w:r>
            <w:r>
              <w:rPr>
                <w:rFonts w:hint="eastAsia" w:ascii="宋体" w:hAnsi="宋体" w:cs="宋体"/>
                <w:color w:val="000000" w:themeColor="text1"/>
                <w:sz w:val="24"/>
                <w:szCs w:val="24"/>
                <w:highlight w:val="none"/>
              </w:rPr>
              <w:t>分；不提供不得分。</w:t>
            </w:r>
          </w:p>
        </w:tc>
        <w:tc>
          <w:tcPr>
            <w:tcW w:w="804" w:type="dxa"/>
            <w:vAlign w:val="center"/>
          </w:tcPr>
          <w:p w14:paraId="0D4E1F29">
            <w:pPr>
              <w:wordWrap w:val="0"/>
              <w:spacing w:line="370" w:lineRule="exact"/>
              <w:contextualSpacing/>
              <w:jc w:val="center"/>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en-US" w:eastAsia="zh-CN"/>
              </w:rPr>
              <w:t>8</w:t>
            </w:r>
          </w:p>
        </w:tc>
      </w:tr>
      <w:tr w14:paraId="1ED1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97" w:type="dxa"/>
            <w:vMerge w:val="continue"/>
            <w:vAlign w:val="center"/>
          </w:tcPr>
          <w:p w14:paraId="2D76038B">
            <w:pPr>
              <w:wordWrap w:val="0"/>
              <w:spacing w:line="370" w:lineRule="exact"/>
              <w:ind w:firstLine="480" w:firstLineChars="200"/>
              <w:contextualSpacing/>
              <w:jc w:val="center"/>
              <w:rPr>
                <w:rFonts w:ascii="宋体" w:hAnsi="宋体" w:cs="宋体"/>
                <w:color w:val="000000" w:themeColor="text1"/>
                <w:sz w:val="24"/>
                <w:szCs w:val="24"/>
                <w:highlight w:val="none"/>
              </w:rPr>
            </w:pPr>
          </w:p>
        </w:tc>
        <w:tc>
          <w:tcPr>
            <w:tcW w:w="1202" w:type="dxa"/>
            <w:vAlign w:val="center"/>
          </w:tcPr>
          <w:p w14:paraId="23B32297">
            <w:pPr>
              <w:wordWrap w:val="0"/>
              <w:spacing w:line="370" w:lineRule="exact"/>
              <w:contextualSpacing/>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技术</w:t>
            </w:r>
            <w:r>
              <w:rPr>
                <w:rFonts w:hint="eastAsia" w:ascii="宋体" w:hAnsi="宋体" w:eastAsia="宋体" w:cs="宋体"/>
                <w:color w:val="000000" w:themeColor="text1"/>
                <w:sz w:val="24"/>
                <w:szCs w:val="24"/>
                <w:highlight w:val="none"/>
              </w:rPr>
              <w:t>培训方案</w:t>
            </w:r>
          </w:p>
        </w:tc>
        <w:tc>
          <w:tcPr>
            <w:tcW w:w="5833" w:type="dxa"/>
            <w:vAlign w:val="top"/>
          </w:tcPr>
          <w:p w14:paraId="693B3C23">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根据投标人提供的培训方案的科学性、完整性、可操作性；课程内容安排的完整性、合理性；所提供设备的详细操作培训计划以及能否承诺提供原厂培训资料方面进行比较评分：</w:t>
            </w:r>
          </w:p>
          <w:p w14:paraId="30AF12FF">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1.编制完整详细且合理可行，得</w:t>
            </w:r>
            <w:r>
              <w:rPr>
                <w:rFonts w:hint="eastAsia" w:ascii="宋体" w:hAnsi="宋体" w:cs="宋体"/>
                <w:color w:val="000000" w:themeColor="text1"/>
                <w:sz w:val="24"/>
                <w:szCs w:val="24"/>
                <w:highlight w:val="none"/>
                <w:lang w:val="en-US" w:eastAsia="zh-CN"/>
              </w:rPr>
              <w:t>5.6</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8</w:t>
            </w:r>
            <w:r>
              <w:rPr>
                <w:rFonts w:hint="eastAsia" w:ascii="宋体" w:hAnsi="宋体" w:cs="宋体"/>
                <w:color w:val="000000" w:themeColor="text1"/>
                <w:sz w:val="24"/>
                <w:szCs w:val="24"/>
                <w:highlight w:val="none"/>
              </w:rPr>
              <w:t>分；</w:t>
            </w:r>
          </w:p>
          <w:p w14:paraId="0E6FBCEF">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2.编制较完整、较合理可行，得</w:t>
            </w:r>
            <w:r>
              <w:rPr>
                <w:rFonts w:hint="eastAsia" w:ascii="宋体" w:hAnsi="宋体" w:cs="宋体"/>
                <w:color w:val="000000" w:themeColor="text1"/>
                <w:sz w:val="24"/>
                <w:szCs w:val="24"/>
                <w:highlight w:val="none"/>
                <w:lang w:val="en-US" w:eastAsia="zh-CN"/>
              </w:rPr>
              <w:t>2.5</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5.5</w:t>
            </w:r>
            <w:r>
              <w:rPr>
                <w:rFonts w:hint="eastAsia" w:ascii="宋体" w:hAnsi="宋体" w:cs="宋体"/>
                <w:color w:val="000000" w:themeColor="text1"/>
                <w:sz w:val="24"/>
                <w:szCs w:val="24"/>
                <w:highlight w:val="none"/>
              </w:rPr>
              <w:t>分；</w:t>
            </w:r>
          </w:p>
          <w:p w14:paraId="7AFCB489">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3.编制不够完整、不够合理，可行性一般，得0-</w:t>
            </w:r>
            <w:r>
              <w:rPr>
                <w:rFonts w:hint="eastAsia" w:ascii="宋体" w:hAnsi="宋体" w:cs="宋体"/>
                <w:color w:val="000000" w:themeColor="text1"/>
                <w:sz w:val="24"/>
                <w:szCs w:val="24"/>
                <w:highlight w:val="none"/>
                <w:lang w:val="en-US" w:eastAsia="zh-CN"/>
              </w:rPr>
              <w:t>2.4</w:t>
            </w:r>
            <w:r>
              <w:rPr>
                <w:rFonts w:hint="eastAsia" w:ascii="宋体" w:hAnsi="宋体" w:cs="宋体"/>
                <w:color w:val="000000" w:themeColor="text1"/>
                <w:sz w:val="24"/>
                <w:szCs w:val="24"/>
                <w:highlight w:val="none"/>
              </w:rPr>
              <w:t>分。</w:t>
            </w:r>
          </w:p>
          <w:p w14:paraId="469C785D">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无此项内容不得分。</w:t>
            </w:r>
          </w:p>
        </w:tc>
        <w:tc>
          <w:tcPr>
            <w:tcW w:w="804" w:type="dxa"/>
            <w:vAlign w:val="center"/>
          </w:tcPr>
          <w:p w14:paraId="2A7481E7">
            <w:pPr>
              <w:wordWrap w:val="0"/>
              <w:spacing w:line="370" w:lineRule="exact"/>
              <w:contextualSpacing/>
              <w:jc w:val="center"/>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en-US" w:eastAsia="zh-CN"/>
              </w:rPr>
              <w:t>8</w:t>
            </w:r>
          </w:p>
        </w:tc>
      </w:tr>
      <w:tr w14:paraId="59D7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97" w:type="dxa"/>
            <w:vMerge w:val="continue"/>
            <w:vAlign w:val="center"/>
          </w:tcPr>
          <w:p w14:paraId="52384860">
            <w:pPr>
              <w:wordWrap w:val="0"/>
              <w:spacing w:line="370" w:lineRule="exact"/>
              <w:ind w:firstLine="480" w:firstLineChars="200"/>
              <w:contextualSpacing/>
              <w:jc w:val="center"/>
              <w:rPr>
                <w:rFonts w:ascii="宋体" w:hAnsi="宋体" w:cs="宋体"/>
                <w:color w:val="000000" w:themeColor="text1"/>
                <w:sz w:val="24"/>
                <w:szCs w:val="24"/>
                <w:highlight w:val="none"/>
              </w:rPr>
            </w:pPr>
          </w:p>
        </w:tc>
        <w:tc>
          <w:tcPr>
            <w:tcW w:w="1202" w:type="dxa"/>
            <w:vAlign w:val="center"/>
          </w:tcPr>
          <w:p w14:paraId="13D97D26">
            <w:pPr>
              <w:wordWrap w:val="0"/>
              <w:spacing w:line="370" w:lineRule="exact"/>
              <w:contextualSpacing/>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质量保证措施和验收方案</w:t>
            </w:r>
          </w:p>
        </w:tc>
        <w:tc>
          <w:tcPr>
            <w:tcW w:w="5833" w:type="dxa"/>
            <w:vAlign w:val="center"/>
          </w:tcPr>
          <w:p w14:paraId="1FC852C0">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根据质量保证措施、验收检查方案进行综合评分：</w:t>
            </w:r>
          </w:p>
          <w:p w14:paraId="1AAD2794">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1、内容全面、详尽，针对性强、措施合理有效、完全满足项目需求的，得</w:t>
            </w:r>
            <w:r>
              <w:rPr>
                <w:rFonts w:hint="eastAsia" w:ascii="宋体" w:hAnsi="宋体" w:cs="宋体"/>
                <w:color w:val="000000" w:themeColor="text1"/>
                <w:sz w:val="24"/>
                <w:szCs w:val="24"/>
                <w:highlight w:val="none"/>
                <w:lang w:val="en-US" w:eastAsia="zh-CN"/>
              </w:rPr>
              <w:t>5.6</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8</w:t>
            </w:r>
            <w:r>
              <w:rPr>
                <w:rFonts w:hint="eastAsia" w:ascii="宋体" w:hAnsi="宋体" w:cs="宋体"/>
                <w:color w:val="000000" w:themeColor="text1"/>
                <w:sz w:val="24"/>
                <w:szCs w:val="24"/>
                <w:highlight w:val="none"/>
              </w:rPr>
              <w:t>分；</w:t>
            </w:r>
          </w:p>
          <w:p w14:paraId="74D00FAA">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2、内容完善但详尽程度欠佳，针对性一般、措施基本合理有效、满足项目需求的，得</w:t>
            </w:r>
            <w:r>
              <w:rPr>
                <w:rFonts w:hint="eastAsia" w:ascii="宋体" w:hAnsi="宋体" w:cs="宋体"/>
                <w:color w:val="000000" w:themeColor="text1"/>
                <w:sz w:val="24"/>
                <w:szCs w:val="24"/>
                <w:highlight w:val="none"/>
                <w:lang w:val="en-US" w:eastAsia="zh-CN"/>
              </w:rPr>
              <w:t>2.5</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5.5</w:t>
            </w:r>
            <w:r>
              <w:rPr>
                <w:rFonts w:hint="eastAsia" w:ascii="宋体" w:hAnsi="宋体" w:cs="宋体"/>
                <w:color w:val="000000" w:themeColor="text1"/>
                <w:sz w:val="24"/>
                <w:szCs w:val="24"/>
                <w:highlight w:val="none"/>
              </w:rPr>
              <w:t>分；</w:t>
            </w:r>
          </w:p>
          <w:p w14:paraId="75E23FAA">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3、内容不完善、笼统不具体，针对性弱、措施不合理、无法满足项目需求的，得0-</w:t>
            </w:r>
            <w:r>
              <w:rPr>
                <w:rFonts w:hint="eastAsia" w:ascii="宋体" w:hAnsi="宋体" w:cs="宋体"/>
                <w:color w:val="000000" w:themeColor="text1"/>
                <w:sz w:val="24"/>
                <w:szCs w:val="24"/>
                <w:highlight w:val="none"/>
                <w:lang w:val="en-US" w:eastAsia="zh-CN"/>
              </w:rPr>
              <w:t>2.4</w:t>
            </w:r>
            <w:r>
              <w:rPr>
                <w:rFonts w:hint="eastAsia" w:ascii="宋体" w:hAnsi="宋体" w:cs="宋体"/>
                <w:color w:val="000000" w:themeColor="text1"/>
                <w:sz w:val="24"/>
                <w:szCs w:val="24"/>
                <w:highlight w:val="none"/>
              </w:rPr>
              <w:t>分。</w:t>
            </w:r>
          </w:p>
          <w:p w14:paraId="278B55BC">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不提供不得分。</w:t>
            </w:r>
          </w:p>
        </w:tc>
        <w:tc>
          <w:tcPr>
            <w:tcW w:w="804" w:type="dxa"/>
            <w:vAlign w:val="center"/>
          </w:tcPr>
          <w:p w14:paraId="6A984A19">
            <w:pPr>
              <w:wordWrap w:val="0"/>
              <w:spacing w:line="370" w:lineRule="exact"/>
              <w:contextualSpacing/>
              <w:jc w:val="center"/>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en-US" w:eastAsia="zh-CN"/>
              </w:rPr>
              <w:t>8</w:t>
            </w:r>
          </w:p>
        </w:tc>
      </w:tr>
      <w:tr w14:paraId="29BA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97" w:type="dxa"/>
            <w:vMerge w:val="continue"/>
            <w:vAlign w:val="center"/>
          </w:tcPr>
          <w:p w14:paraId="29EE2B80">
            <w:pPr>
              <w:wordWrap w:val="0"/>
              <w:spacing w:line="370" w:lineRule="exact"/>
              <w:ind w:firstLine="480" w:firstLineChars="200"/>
              <w:contextualSpacing/>
              <w:jc w:val="center"/>
              <w:rPr>
                <w:rFonts w:ascii="宋体" w:hAnsi="宋体" w:cs="宋体"/>
                <w:color w:val="000000" w:themeColor="text1"/>
                <w:sz w:val="24"/>
                <w:szCs w:val="24"/>
                <w:highlight w:val="none"/>
              </w:rPr>
            </w:pPr>
          </w:p>
        </w:tc>
        <w:tc>
          <w:tcPr>
            <w:tcW w:w="1202" w:type="dxa"/>
            <w:vAlign w:val="center"/>
          </w:tcPr>
          <w:p w14:paraId="30E985B8">
            <w:pPr>
              <w:wordWrap w:val="0"/>
              <w:spacing w:line="370" w:lineRule="exact"/>
              <w:contextualSpacing/>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售后服务</w:t>
            </w:r>
          </w:p>
          <w:p w14:paraId="2149B860">
            <w:pPr>
              <w:wordWrap w:val="0"/>
              <w:spacing w:line="370" w:lineRule="exact"/>
              <w:contextualSpacing/>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方案</w:t>
            </w:r>
          </w:p>
        </w:tc>
        <w:tc>
          <w:tcPr>
            <w:tcW w:w="5833" w:type="dxa"/>
            <w:vAlign w:val="top"/>
          </w:tcPr>
          <w:p w14:paraId="3839239A">
            <w:pPr>
              <w:wordWrap w:val="0"/>
              <w:spacing w:line="370" w:lineRule="exact"/>
              <w:contextualSpacing/>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1.投标人提供详细完整的售后服务方案：包括技术支持、服务人员、服务响应及故障排除时间、应急响应措施、备品备件、售后服务承诺等内容，根据供应商提供的方案能否满足采购需求，由评审小组综合评分</w:t>
            </w:r>
            <w:r>
              <w:rPr>
                <w:rFonts w:hint="eastAsia" w:ascii="宋体" w:hAnsi="宋体" w:cs="宋体"/>
                <w:color w:val="000000" w:themeColor="text1"/>
                <w:sz w:val="24"/>
                <w:szCs w:val="24"/>
                <w:highlight w:val="none"/>
                <w:lang w:eastAsia="zh-CN"/>
              </w:rPr>
              <w:t>，</w:t>
            </w:r>
            <w:r>
              <w:rPr>
                <w:rFonts w:hint="eastAsia" w:ascii="宋体" w:hAnsi="宋体" w:cs="宋体"/>
                <w:color w:val="000000" w:themeColor="text1"/>
                <w:sz w:val="24"/>
                <w:szCs w:val="24"/>
                <w:highlight w:val="none"/>
                <w:lang w:val="en-US" w:eastAsia="zh-CN"/>
              </w:rPr>
              <w:t>本项最高3分</w:t>
            </w:r>
            <w:r>
              <w:rPr>
                <w:rFonts w:hint="eastAsia" w:ascii="宋体" w:hAnsi="宋体" w:eastAsia="宋体" w:cs="宋体"/>
                <w:color w:val="000000" w:themeColor="text1"/>
                <w:sz w:val="24"/>
                <w:szCs w:val="24"/>
                <w:highlight w:val="none"/>
              </w:rPr>
              <w:t>。</w:t>
            </w:r>
          </w:p>
          <w:p w14:paraId="75F15A9B">
            <w:pPr>
              <w:wordWrap w:val="0"/>
              <w:spacing w:line="370" w:lineRule="exact"/>
              <w:contextualSpacing/>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2.质保期：在满足招标文件规定</w:t>
            </w:r>
            <w:r>
              <w:rPr>
                <w:rFonts w:hint="eastAsia" w:ascii="宋体" w:hAnsi="宋体" w:cs="宋体"/>
                <w:color w:val="000000" w:themeColor="text1"/>
                <w:sz w:val="24"/>
                <w:szCs w:val="24"/>
                <w:highlight w:val="none"/>
                <w:lang w:eastAsia="zh-CN"/>
              </w:rPr>
              <w:t>（</w:t>
            </w:r>
            <w:r>
              <w:rPr>
                <w:rFonts w:hint="eastAsia" w:ascii="宋体" w:hAnsi="宋体" w:eastAsia="宋体" w:cs="宋体"/>
                <w:b w:val="0"/>
                <w:bCs w:val="0"/>
                <w:color w:val="000000" w:themeColor="text1"/>
                <w:sz w:val="24"/>
                <w:szCs w:val="24"/>
                <w:highlight w:val="none"/>
                <w:lang w:val="en-US" w:eastAsia="zh-CN"/>
              </w:rPr>
              <w:t>项目整体至少2年的原厂质保服务</w:t>
            </w:r>
            <w:r>
              <w:rPr>
                <w:rFonts w:hint="eastAsia" w:ascii="宋体" w:hAnsi="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的基础上，每超过半年加1分，最高得2分。</w:t>
            </w:r>
          </w:p>
        </w:tc>
        <w:tc>
          <w:tcPr>
            <w:tcW w:w="804" w:type="dxa"/>
            <w:vAlign w:val="center"/>
          </w:tcPr>
          <w:p w14:paraId="59AD68F5">
            <w:pPr>
              <w:wordWrap w:val="0"/>
              <w:spacing w:line="370" w:lineRule="exact"/>
              <w:contextualSpacing/>
              <w:jc w:val="center"/>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0-5</w:t>
            </w:r>
          </w:p>
        </w:tc>
      </w:tr>
      <w:tr w14:paraId="5699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97" w:type="dxa"/>
            <w:vMerge w:val="continue"/>
            <w:vAlign w:val="center"/>
          </w:tcPr>
          <w:p w14:paraId="58955A98">
            <w:pPr>
              <w:wordWrap w:val="0"/>
              <w:spacing w:line="370" w:lineRule="exact"/>
              <w:ind w:firstLine="480" w:firstLineChars="200"/>
              <w:contextualSpacing/>
              <w:jc w:val="center"/>
              <w:rPr>
                <w:rFonts w:ascii="宋体" w:hAnsi="宋体" w:cs="宋体"/>
                <w:color w:val="000000" w:themeColor="text1"/>
                <w:sz w:val="24"/>
                <w:szCs w:val="24"/>
                <w:highlight w:val="none"/>
              </w:rPr>
            </w:pPr>
          </w:p>
        </w:tc>
        <w:tc>
          <w:tcPr>
            <w:tcW w:w="1202" w:type="dxa"/>
            <w:vAlign w:val="center"/>
          </w:tcPr>
          <w:p w14:paraId="3B6A1145">
            <w:pPr>
              <w:spacing w:line="370" w:lineRule="exact"/>
              <w:jc w:val="center"/>
              <w:rPr>
                <w:rFonts w:hint="eastAsia" w:ascii="宋体" w:hAnsi="宋体" w:cs="宋体"/>
                <w:b/>
                <w:bCs/>
                <w:color w:val="000000" w:themeColor="text1"/>
                <w:sz w:val="24"/>
                <w:highlight w:val="none"/>
              </w:rPr>
            </w:pPr>
            <w:r>
              <w:rPr>
                <w:rFonts w:hint="eastAsia" w:ascii="宋体" w:hAnsi="宋体" w:cs="宋体"/>
                <w:color w:val="000000" w:themeColor="text1"/>
                <w:sz w:val="24"/>
                <w:szCs w:val="24"/>
                <w:highlight w:val="none"/>
                <w:vertAlign w:val="baseline"/>
              </w:rPr>
              <w:t>突发事件应急预案</w:t>
            </w:r>
          </w:p>
        </w:tc>
        <w:tc>
          <w:tcPr>
            <w:tcW w:w="5833" w:type="dxa"/>
            <w:vAlign w:val="center"/>
          </w:tcPr>
          <w:p w14:paraId="42D0C5DE">
            <w:pPr>
              <w:spacing w:line="370" w:lineRule="exact"/>
              <w:jc w:val="left"/>
              <w:rPr>
                <w:rFonts w:hint="eastAsia" w:ascii="宋体" w:hAnsi="宋体" w:eastAsia="宋体" w:cs="宋体"/>
                <w:color w:val="000000" w:themeColor="text1"/>
                <w:sz w:val="24"/>
                <w:szCs w:val="24"/>
                <w:highlight w:val="none"/>
              </w:rPr>
            </w:pPr>
            <w:r>
              <w:rPr>
                <w:rFonts w:hint="eastAsia" w:ascii="宋体" w:hAnsi="宋体" w:cs="宋体"/>
                <w:color w:val="000000" w:themeColor="text1"/>
                <w:sz w:val="24"/>
                <w:szCs w:val="24"/>
                <w:highlight w:val="none"/>
                <w:vertAlign w:val="baseline"/>
              </w:rPr>
              <w:t>根据投标人提供的应急预案，突击保障、突发问题解决、响应速度以及处理方案等是否具有可靠性和周密性 0-</w:t>
            </w:r>
            <w:r>
              <w:rPr>
                <w:rFonts w:hint="eastAsia" w:ascii="宋体" w:hAnsi="宋体" w:cs="宋体"/>
                <w:color w:val="000000" w:themeColor="text1"/>
                <w:sz w:val="24"/>
                <w:szCs w:val="24"/>
                <w:highlight w:val="none"/>
                <w:vertAlign w:val="baseline"/>
                <w:lang w:val="en-US" w:eastAsia="zh-CN"/>
              </w:rPr>
              <w:t>4</w:t>
            </w:r>
            <w:r>
              <w:rPr>
                <w:rFonts w:hint="eastAsia" w:ascii="宋体" w:hAnsi="宋体" w:cs="宋体"/>
                <w:color w:val="000000" w:themeColor="text1"/>
                <w:sz w:val="24"/>
                <w:szCs w:val="24"/>
                <w:highlight w:val="none"/>
                <w:vertAlign w:val="baseline"/>
              </w:rPr>
              <w:t xml:space="preserve"> 分。</w:t>
            </w:r>
          </w:p>
        </w:tc>
        <w:tc>
          <w:tcPr>
            <w:tcW w:w="804" w:type="dxa"/>
            <w:vAlign w:val="center"/>
          </w:tcPr>
          <w:p w14:paraId="443AD312">
            <w:pPr>
              <w:spacing w:line="370" w:lineRule="exact"/>
              <w:jc w:val="center"/>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vertAlign w:val="baseline"/>
              </w:rPr>
              <w:t>0-</w:t>
            </w:r>
            <w:r>
              <w:rPr>
                <w:rFonts w:hint="eastAsia" w:ascii="宋体" w:hAnsi="宋体" w:cs="宋体"/>
                <w:color w:val="000000" w:themeColor="text1"/>
                <w:sz w:val="24"/>
                <w:szCs w:val="24"/>
                <w:highlight w:val="none"/>
                <w:vertAlign w:val="baseline"/>
                <w:lang w:val="en-US" w:eastAsia="zh-CN"/>
              </w:rPr>
              <w:t>4</w:t>
            </w:r>
          </w:p>
        </w:tc>
      </w:tr>
      <w:tr w14:paraId="50DD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97" w:type="dxa"/>
            <w:vMerge w:val="continue"/>
            <w:vAlign w:val="center"/>
          </w:tcPr>
          <w:p w14:paraId="37782496">
            <w:pPr>
              <w:wordWrap w:val="0"/>
              <w:spacing w:line="370" w:lineRule="exact"/>
              <w:ind w:firstLine="480" w:firstLineChars="200"/>
              <w:contextualSpacing/>
              <w:jc w:val="center"/>
              <w:rPr>
                <w:rFonts w:ascii="宋体" w:hAnsi="宋体" w:cs="宋体"/>
                <w:color w:val="000000" w:themeColor="text1"/>
                <w:sz w:val="24"/>
                <w:szCs w:val="24"/>
                <w:highlight w:val="none"/>
              </w:rPr>
            </w:pPr>
          </w:p>
        </w:tc>
        <w:tc>
          <w:tcPr>
            <w:tcW w:w="1202" w:type="dxa"/>
            <w:vAlign w:val="center"/>
          </w:tcPr>
          <w:p w14:paraId="3E5B1ECD">
            <w:pPr>
              <w:wordWrap w:val="0"/>
              <w:spacing w:line="370" w:lineRule="exact"/>
              <w:contextualSpacing/>
              <w:jc w:val="center"/>
              <w:rPr>
                <w:rFonts w:hint="eastAsia" w:ascii="宋体" w:hAnsi="宋体" w:eastAsia="宋体" w:cs="宋体"/>
                <w:color w:val="000000" w:themeColor="text1"/>
                <w:sz w:val="24"/>
                <w:szCs w:val="24"/>
                <w:highlight w:val="none"/>
              </w:rPr>
            </w:pPr>
            <w:r>
              <w:rPr>
                <w:rFonts w:hint="eastAsia" w:ascii="宋体" w:hAnsi="宋体" w:cs="宋体"/>
                <w:b/>
                <w:bCs/>
                <w:color w:val="000000" w:themeColor="text1"/>
                <w:sz w:val="24"/>
                <w:highlight w:val="none"/>
              </w:rPr>
              <w:t>政策分</w:t>
            </w:r>
          </w:p>
        </w:tc>
        <w:tc>
          <w:tcPr>
            <w:tcW w:w="5833" w:type="dxa"/>
          </w:tcPr>
          <w:p w14:paraId="6275CD02">
            <w:pPr>
              <w:wordWrap w:val="0"/>
              <w:spacing w:line="370" w:lineRule="exact"/>
              <w:contextualSpacing/>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投标产品属于《节能产品政府采购品目清单》范围的且具有国家确定的认证机构出具的、处于有效期之内的节能产品认证证书的得</w:t>
            </w:r>
            <w:r>
              <w:rPr>
                <w:rFonts w:hint="eastAsia" w:ascii="宋体" w:hAnsi="宋体" w:cs="宋体"/>
                <w:color w:val="000000" w:themeColor="text1"/>
                <w:sz w:val="24"/>
                <w:szCs w:val="24"/>
                <w:highlight w:val="none"/>
                <w:lang w:val="en-US" w:eastAsia="zh-CN"/>
              </w:rPr>
              <w:t>0.5</w:t>
            </w:r>
            <w:r>
              <w:rPr>
                <w:rFonts w:hint="eastAsia" w:ascii="宋体" w:hAnsi="宋体" w:eastAsia="宋体" w:cs="宋体"/>
                <w:color w:val="000000" w:themeColor="text1"/>
                <w:sz w:val="24"/>
                <w:szCs w:val="24"/>
                <w:highlight w:val="none"/>
              </w:rPr>
              <w:t>分；</w:t>
            </w:r>
          </w:p>
          <w:p w14:paraId="57C0F10E">
            <w:pPr>
              <w:wordWrap w:val="0"/>
              <w:spacing w:line="370" w:lineRule="exact"/>
              <w:contextualSpacing/>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投标产品属于《环境标志产品政府采购品目清单》范围的且具有国家确定的认证机构出具的、处于有效期之内的环境标志产品认证证书的得</w:t>
            </w:r>
            <w:r>
              <w:rPr>
                <w:rFonts w:hint="eastAsia" w:ascii="宋体" w:hAnsi="宋体" w:cs="宋体"/>
                <w:color w:val="000000" w:themeColor="text1"/>
                <w:sz w:val="24"/>
                <w:szCs w:val="24"/>
                <w:highlight w:val="none"/>
                <w:lang w:val="en-US" w:eastAsia="zh-CN"/>
              </w:rPr>
              <w:t>0.5</w:t>
            </w:r>
            <w:r>
              <w:rPr>
                <w:rFonts w:hint="eastAsia" w:ascii="宋体" w:hAnsi="宋体" w:eastAsia="宋体" w:cs="宋体"/>
                <w:color w:val="000000" w:themeColor="text1"/>
                <w:sz w:val="24"/>
                <w:szCs w:val="24"/>
                <w:highlight w:val="none"/>
              </w:rPr>
              <w:t>分。</w:t>
            </w:r>
          </w:p>
          <w:p w14:paraId="24C1418E">
            <w:pPr>
              <w:wordWrap w:val="0"/>
              <w:spacing w:line="370" w:lineRule="exact"/>
              <w:contextualSpacing/>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注：投标文件中必须同时提供以下资料：</w:t>
            </w:r>
          </w:p>
          <w:p w14:paraId="57807405">
            <w:pPr>
              <w:wordWrap w:val="0"/>
              <w:spacing w:line="370" w:lineRule="exact"/>
              <w:contextualSpacing/>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提供政府采购品目清单相关内容页（并对相关内容作圈记），采购品目清单详见《关于印发环境标志产品政府采购品目清单的通知》（财库〔2019〕18号）、《关于印发节能产品政府采购品目清单的通知》（财库〔2019〕19号）。</w:t>
            </w:r>
          </w:p>
          <w:p w14:paraId="14C1C248">
            <w:pPr>
              <w:wordWrap w:val="0"/>
              <w:spacing w:line="370" w:lineRule="exact"/>
              <w:contextualSpacing/>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（2）《市场监管总局关于发布参与实施政府采购节能产品、环境标志产品认证机构名录的公告》中的认证机构出具的、处于有效期之内的节能产品/环境标志产品认证证书复印件并加盖公章。</w:t>
            </w:r>
          </w:p>
        </w:tc>
        <w:tc>
          <w:tcPr>
            <w:tcW w:w="804" w:type="dxa"/>
            <w:vAlign w:val="center"/>
          </w:tcPr>
          <w:p w14:paraId="0FDDCF11">
            <w:pPr>
              <w:wordWrap w:val="0"/>
              <w:spacing w:line="370" w:lineRule="exact"/>
              <w:contextualSpacing/>
              <w:jc w:val="center"/>
              <w:rPr>
                <w:rFonts w:hint="default"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0-1</w:t>
            </w:r>
          </w:p>
        </w:tc>
      </w:tr>
      <w:bookmarkEnd w:id="78"/>
    </w:tbl>
    <w:p w14:paraId="762270A7">
      <w:pPr>
        <w:spacing w:line="370" w:lineRule="exact"/>
        <w:rPr>
          <w:rFonts w:ascii="宋体" w:hAnsi="宋体" w:cs="宋体"/>
          <w:color w:val="000000" w:themeColor="text1"/>
          <w:sz w:val="24"/>
          <w:szCs w:val="24"/>
          <w:highlight w:val="none"/>
        </w:rPr>
      </w:pPr>
    </w:p>
    <w:sectPr>
      <w:headerReference r:id="rId15" w:type="first"/>
      <w:footerReference r:id="rId18" w:type="first"/>
      <w:headerReference r:id="rId14" w:type="default"/>
      <w:footerReference r:id="rId16" w:type="default"/>
      <w:footerReference r:id="rId17" w:type="even"/>
      <w:pgSz w:w="11906" w:h="16838"/>
      <w:pgMar w:top="1440" w:right="1587" w:bottom="1440" w:left="1587" w:header="851" w:footer="850" w:gutter="0"/>
      <w:pgBorders>
        <w:top w:val="none" w:sz="0" w:space="0"/>
        <w:left w:val="none" w:sz="0" w:space="0"/>
        <w:bottom w:val="none" w:sz="0" w:space="0"/>
        <w:right w:val="none" w:sz="0" w:space="0"/>
      </w:pgBorders>
      <w:cols w:space="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楷体_GB2312">
    <w:altName w:val="宋体"/>
    <w:panose1 w:val="00000000000000000000"/>
    <w:charset w:val="00"/>
    <w:family w:val="auto"/>
    <w:pitch w:val="default"/>
    <w:sig w:usb0="00000000" w:usb1="00000000" w:usb2="00000000" w:usb3="00000000" w:csb0="00000000" w:csb1="00000000"/>
  </w:font>
  <w:font w:name="华文中宋">
    <w:altName w:val="宋体"/>
    <w:panose1 w:val="00000000000000000000"/>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19372">
    <w:pPr>
      <w:pStyle w:val="2"/>
      <w:jc w:val="center"/>
    </w:pPr>
    <w:r>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R10KNzgEAAJcDAAAOAAAAAAAAAAEAIAAAAB8BAABkcnMv&#10;ZTJvRG9jLnhtbFBLBQYAAAAABgAGAFkBAABfBQAAAAA=&#10;">
          <v:path/>
          <v:fill on="f" focussize="0,0"/>
          <v:stroke on="f" joinstyle="miter"/>
          <v:imagedata o:title=""/>
          <o:lock v:ext="edit"/>
          <v:textbox inset="0mm,0mm,0mm,0mm" style="mso-fit-shape-to-text:t;">
            <w:txbxContent>
              <w:p w14:paraId="57B83FFC"/>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13624">
    <w:r>
      <w:pict>
        <v:shape id="_x0000_s1028" o:spid="_x0000_s1028"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path/>
          <v:fill on="f" focussize="0,0"/>
          <v:stroke on="f" weight="0.5pt" joinstyle="miter"/>
          <v:imagedata o:title=""/>
          <o:lock v:ext="edit"/>
          <v:textbox inset="0mm,0mm,0mm,0mm" style="mso-fit-shape-to-text:t;">
            <w:txbxContent>
              <w:p w14:paraId="712C886E">
                <w:pPr>
                  <w:pStyle w:val="2"/>
                </w:pPr>
                <w:r>
                  <w:fldChar w:fldCharType="begin"/>
                </w:r>
                <w:r>
                  <w:instrText xml:space="preserve"> PAGE  \* MERGEFORMAT </w:instrText>
                </w:r>
                <w:r>
                  <w:fldChar w:fldCharType="separate"/>
                </w:r>
                <w:r>
                  <w:t>34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B2E27">
    <w:pPr>
      <w:pStyle w:val="2"/>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14:paraId="73F59A0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57C61">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8B693">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9E518">
    <w:pPr>
      <w:pStyle w:val="2"/>
      <w:jc w:val="center"/>
    </w:pPr>
    <w:r>
      <w:pict>
        <v:shape id="_x0000_s1034" o:spid="_x0000_s103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path/>
          <v:fill on="f" focussize="0,0"/>
          <v:stroke on="f" weight="0.5pt" joinstyle="miter"/>
          <v:imagedata o:title=""/>
          <o:lock v:ext="edit"/>
          <v:textbox inset="0mm,0mm,0mm,0mm" style="mso-fit-shape-to-text:t;">
            <w:txbxContent>
              <w:p w14:paraId="68DEFBD4">
                <w:pPr>
                  <w:pStyle w:val="2"/>
                </w:pPr>
                <w:r>
                  <w:fldChar w:fldCharType="begin"/>
                </w:r>
                <w:r>
                  <w:instrText xml:space="preserve"> PAGE  \* MERGEFORMAT </w:instrText>
                </w:r>
                <w:r>
                  <w:fldChar w:fldCharType="separate"/>
                </w:r>
                <w:r>
                  <w:t>22</w:t>
                </w:r>
                <w:r>
                  <w:fldChar w:fldCharType="end"/>
                </w:r>
              </w:p>
            </w:txbxContent>
          </v:textbox>
        </v:shape>
      </w:pict>
    </w:r>
  </w:p>
  <w:p w14:paraId="425FEDC0">
    <w:pPr>
      <w:pStyle w:val="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4474">
    <w:pPr>
      <w:pStyle w:val="2"/>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14:paraId="69A7ED45">
    <w:pPr>
      <w:pStyle w:val="2"/>
    </w:pPr>
  </w:p>
  <w:p w14:paraId="40D5C384"/>
  <w:p w14:paraId="4CDC1FBC"/>
  <w:p w14:paraId="65998E28"/>
  <w:p w14:paraId="1C647609"/>
  <w:p w14:paraId="50B6CE3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06CD">
    <w:pPr>
      <w:pStyle w:val="2"/>
      <w:jc w:val="center"/>
    </w:pPr>
    <w:r>
      <w:pict>
        <v:shape id="_x0000_s1033" o:spid="_x0000_s103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path/>
          <v:fill on="f" focussize="0,0"/>
          <v:stroke on="f" weight="0.5pt" joinstyle="miter"/>
          <v:imagedata o:title=""/>
          <o:lock v:ext="edit"/>
          <v:textbox inset="0mm,0mm,0mm,0mm" style="mso-fit-shape-to-text:t;">
            <w:txbxContent>
              <w:p w14:paraId="386A6536">
                <w:pPr>
                  <w:pStyle w:val="2"/>
                </w:pPr>
                <w:r>
                  <w:fldChar w:fldCharType="begin"/>
                </w:r>
                <w:r>
                  <w:instrText xml:space="preserve"> PAGE  \* MERGEFORMAT </w:instrText>
                </w:r>
                <w:r>
                  <w:fldChar w:fldCharType="separate"/>
                </w:r>
                <w:r>
                  <w:t>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D7AE8">
    <w: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path/>
          <v:fill on="f" focussize="0,0"/>
          <v:stroke on="f" weight="0.5pt" joinstyle="miter"/>
          <v:imagedata o:title=""/>
          <o:lock v:ext="edit"/>
          <v:textbox inset="0mm,0mm,0mm,0mm" style="mso-fit-shape-to-text:t;">
            <w:txbxContent>
              <w:p w14:paraId="031FDCB2">
                <w:pPr>
                  <w:pStyle w:val="2"/>
                </w:pPr>
                <w:r>
                  <w:fldChar w:fldCharType="begin"/>
                </w:r>
                <w:r>
                  <w:instrText xml:space="preserve"> PAGE  \* MERGEFORMAT </w:instrText>
                </w:r>
                <w:r>
                  <w:fldChar w:fldCharType="separate"/>
                </w:r>
                <w:r>
                  <w:t>40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CC2EB">
    <w:r>
      <w:fldChar w:fldCharType="begin"/>
    </w:r>
    <w:r>
      <w:instrText xml:space="preserve">PAGE  </w:instrText>
    </w:r>
    <w:r>
      <w:fldChar w:fldCharType="separate"/>
    </w:r>
    <w:r>
      <w:t>1</w:t>
    </w:r>
    <w:r>
      <w:fldChar w:fldCharType="end"/>
    </w:r>
  </w:p>
  <w:p w14:paraId="324D1E63"/>
  <w:p w14:paraId="2B2BB1C5"/>
  <w:p w14:paraId="00B2F2EE"/>
  <w:p w14:paraId="1978D545"/>
  <w:p w14:paraId="5B74F4CA"/>
  <w:p w14:paraId="74217A9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AE636">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504C9">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965AE">
    <w:pPr>
      <w:pStyle w:val="15"/>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B23C2">
    <w:pPr>
      <w:pStyle w:val="15"/>
      <w:pBdr>
        <w:bottom w:val="none" w:color="auto" w:sz="0"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EF8BE">
    <w:pPr>
      <w:pStyle w:val="1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22A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B1431"/>
    <w:multiLevelType w:val="singleLevel"/>
    <w:tmpl w:val="B93B1431"/>
    <w:lvl w:ilvl="0" w:tentative="0">
      <w:start w:val="2"/>
      <w:numFmt w:val="decimal"/>
      <w:lvlText w:val="%1."/>
      <w:lvlJc w:val="left"/>
      <w:pPr>
        <w:tabs>
          <w:tab w:val="left" w:pos="312"/>
        </w:tabs>
      </w:pPr>
    </w:lvl>
  </w:abstractNum>
  <w:abstractNum w:abstractNumId="1">
    <w:nsid w:val="F6EDD3BE"/>
    <w:multiLevelType w:val="singleLevel"/>
    <w:tmpl w:val="F6EDD3BE"/>
    <w:lvl w:ilvl="0" w:tentative="0">
      <w:start w:val="2"/>
      <w:numFmt w:val="chineseCounting"/>
      <w:suff w:val="space"/>
      <w:lvlText w:val="第%1部分"/>
      <w:lvlJc w:val="left"/>
      <w:rPr>
        <w:rFonts w:hint="eastAsia"/>
      </w:rPr>
    </w:lvl>
  </w:abstractNum>
  <w:abstractNum w:abstractNumId="2">
    <w:nsid w:val="58F93FB8"/>
    <w:multiLevelType w:val="singleLevel"/>
    <w:tmpl w:val="58F93FB8"/>
    <w:lvl w:ilvl="0" w:tentative="0">
      <w:start w:val="12"/>
      <w:numFmt w:val="chineseCounting"/>
      <w:suff w:val="nothing"/>
      <w:lvlText w:val="%1、"/>
      <w:lvlJc w:val="left"/>
      <w:pPr>
        <w:ind w:left="420"/>
      </w:pPr>
      <w:rPr>
        <w:rFonts w:hint="eastAsia"/>
        <w:b/>
        <w:bCs/>
      </w:rPr>
    </w:lvl>
  </w:abstractNum>
  <w:abstractNum w:abstractNumId="3">
    <w:nsid w:val="7D56A236"/>
    <w:multiLevelType w:val="singleLevel"/>
    <w:tmpl w:val="7D56A236"/>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QzZmEzYzUzYTA3ZmFmMTY4OGM1NTc0ZmZhODc0N2YifQ=="/>
  </w:docVars>
  <w:rsids>
    <w:rsidRoot w:val="009F647A"/>
    <w:rsid w:val="004A7657"/>
    <w:rsid w:val="00762555"/>
    <w:rsid w:val="007D1C8E"/>
    <w:rsid w:val="00901C36"/>
    <w:rsid w:val="009545D8"/>
    <w:rsid w:val="009F647A"/>
    <w:rsid w:val="0151302E"/>
    <w:rsid w:val="01AC7AD0"/>
    <w:rsid w:val="029C58B6"/>
    <w:rsid w:val="02C53F1A"/>
    <w:rsid w:val="036019A8"/>
    <w:rsid w:val="03603B9B"/>
    <w:rsid w:val="04CD2BCB"/>
    <w:rsid w:val="053D7457"/>
    <w:rsid w:val="055A5F47"/>
    <w:rsid w:val="05BA6DEC"/>
    <w:rsid w:val="06723893"/>
    <w:rsid w:val="07CF7F63"/>
    <w:rsid w:val="07D2323A"/>
    <w:rsid w:val="080F000C"/>
    <w:rsid w:val="08286131"/>
    <w:rsid w:val="098A642A"/>
    <w:rsid w:val="0A2328C0"/>
    <w:rsid w:val="0B800493"/>
    <w:rsid w:val="0CD52705"/>
    <w:rsid w:val="0D1121B5"/>
    <w:rsid w:val="0EDF5F0E"/>
    <w:rsid w:val="0F970C25"/>
    <w:rsid w:val="10301A11"/>
    <w:rsid w:val="10CE394F"/>
    <w:rsid w:val="11A645C4"/>
    <w:rsid w:val="13B54A2A"/>
    <w:rsid w:val="16433E47"/>
    <w:rsid w:val="1666297E"/>
    <w:rsid w:val="166A3AC3"/>
    <w:rsid w:val="171D42D6"/>
    <w:rsid w:val="17255429"/>
    <w:rsid w:val="17824C23"/>
    <w:rsid w:val="1A9A45D7"/>
    <w:rsid w:val="1B74771B"/>
    <w:rsid w:val="1C7A5F13"/>
    <w:rsid w:val="1CB37755"/>
    <w:rsid w:val="1D275C48"/>
    <w:rsid w:val="1E285DF8"/>
    <w:rsid w:val="1F650C81"/>
    <w:rsid w:val="20586E69"/>
    <w:rsid w:val="206747FF"/>
    <w:rsid w:val="20B21AF2"/>
    <w:rsid w:val="20DB53CD"/>
    <w:rsid w:val="215D113C"/>
    <w:rsid w:val="22FA4207"/>
    <w:rsid w:val="244B445E"/>
    <w:rsid w:val="24B4778E"/>
    <w:rsid w:val="24DA5A2E"/>
    <w:rsid w:val="24EC26E3"/>
    <w:rsid w:val="25D51411"/>
    <w:rsid w:val="25DB5F47"/>
    <w:rsid w:val="26343C96"/>
    <w:rsid w:val="271C1540"/>
    <w:rsid w:val="27B90135"/>
    <w:rsid w:val="280D3855"/>
    <w:rsid w:val="28E25DC1"/>
    <w:rsid w:val="28F46F6F"/>
    <w:rsid w:val="29977B6E"/>
    <w:rsid w:val="299A72DD"/>
    <w:rsid w:val="2A1F18F7"/>
    <w:rsid w:val="2A74112A"/>
    <w:rsid w:val="2AAA26D7"/>
    <w:rsid w:val="2BA7006E"/>
    <w:rsid w:val="2CC63115"/>
    <w:rsid w:val="2D5C609F"/>
    <w:rsid w:val="2D6B679F"/>
    <w:rsid w:val="302C5C1C"/>
    <w:rsid w:val="3125454C"/>
    <w:rsid w:val="32E50EE7"/>
    <w:rsid w:val="3303652C"/>
    <w:rsid w:val="33F4541A"/>
    <w:rsid w:val="341B6B27"/>
    <w:rsid w:val="34B51954"/>
    <w:rsid w:val="34BF08D9"/>
    <w:rsid w:val="34C72FF1"/>
    <w:rsid w:val="36716136"/>
    <w:rsid w:val="37505DFA"/>
    <w:rsid w:val="37C20E88"/>
    <w:rsid w:val="3845097D"/>
    <w:rsid w:val="38A72D6F"/>
    <w:rsid w:val="39BD0E9D"/>
    <w:rsid w:val="3A1E6F07"/>
    <w:rsid w:val="3A5122DD"/>
    <w:rsid w:val="3A921021"/>
    <w:rsid w:val="3B556BD0"/>
    <w:rsid w:val="3BE040AF"/>
    <w:rsid w:val="3D0A35B7"/>
    <w:rsid w:val="3DAD2655"/>
    <w:rsid w:val="3E3371D8"/>
    <w:rsid w:val="3F2411B3"/>
    <w:rsid w:val="3F9609BC"/>
    <w:rsid w:val="3FC52791"/>
    <w:rsid w:val="41126AEB"/>
    <w:rsid w:val="413C0429"/>
    <w:rsid w:val="427C6714"/>
    <w:rsid w:val="43CF6B92"/>
    <w:rsid w:val="43E867D4"/>
    <w:rsid w:val="451F132F"/>
    <w:rsid w:val="46142B7A"/>
    <w:rsid w:val="463907FD"/>
    <w:rsid w:val="46F4181D"/>
    <w:rsid w:val="476B13EB"/>
    <w:rsid w:val="47A74673"/>
    <w:rsid w:val="47C81621"/>
    <w:rsid w:val="48CE566A"/>
    <w:rsid w:val="49384272"/>
    <w:rsid w:val="49CC7DFC"/>
    <w:rsid w:val="4A282B58"/>
    <w:rsid w:val="4B1B51D5"/>
    <w:rsid w:val="4B7E35F0"/>
    <w:rsid w:val="4BE43A5E"/>
    <w:rsid w:val="4C0D4D9D"/>
    <w:rsid w:val="4C107C45"/>
    <w:rsid w:val="4D39175C"/>
    <w:rsid w:val="4D862E91"/>
    <w:rsid w:val="4DCA0676"/>
    <w:rsid w:val="4E1A1798"/>
    <w:rsid w:val="4E1C6B5B"/>
    <w:rsid w:val="4E5A3761"/>
    <w:rsid w:val="4E6353D7"/>
    <w:rsid w:val="4FA34027"/>
    <w:rsid w:val="50243509"/>
    <w:rsid w:val="50D970D6"/>
    <w:rsid w:val="51283F24"/>
    <w:rsid w:val="51622DF4"/>
    <w:rsid w:val="52393882"/>
    <w:rsid w:val="5252120C"/>
    <w:rsid w:val="525A2F1F"/>
    <w:rsid w:val="53336043"/>
    <w:rsid w:val="555B7861"/>
    <w:rsid w:val="55737890"/>
    <w:rsid w:val="562F62A1"/>
    <w:rsid w:val="56571E22"/>
    <w:rsid w:val="57096BCE"/>
    <w:rsid w:val="577D21A7"/>
    <w:rsid w:val="58EC1CC5"/>
    <w:rsid w:val="594C6E7E"/>
    <w:rsid w:val="5ABB218A"/>
    <w:rsid w:val="5B3C3141"/>
    <w:rsid w:val="5B7C7698"/>
    <w:rsid w:val="5C482F7E"/>
    <w:rsid w:val="5C5B47CF"/>
    <w:rsid w:val="5CC27DE8"/>
    <w:rsid w:val="5D331AE8"/>
    <w:rsid w:val="5D395350"/>
    <w:rsid w:val="5F0A5264"/>
    <w:rsid w:val="5F191AF8"/>
    <w:rsid w:val="60453005"/>
    <w:rsid w:val="615C59D3"/>
    <w:rsid w:val="62767AAD"/>
    <w:rsid w:val="62824FB7"/>
    <w:rsid w:val="62EA34C3"/>
    <w:rsid w:val="630E4FA6"/>
    <w:rsid w:val="637F4537"/>
    <w:rsid w:val="64483041"/>
    <w:rsid w:val="655A7D2A"/>
    <w:rsid w:val="6686712D"/>
    <w:rsid w:val="67084CB0"/>
    <w:rsid w:val="676F2889"/>
    <w:rsid w:val="68D5795F"/>
    <w:rsid w:val="696212AE"/>
    <w:rsid w:val="6ABB748F"/>
    <w:rsid w:val="6B0D0E16"/>
    <w:rsid w:val="6C10680D"/>
    <w:rsid w:val="6CEB3CD6"/>
    <w:rsid w:val="6E1B3870"/>
    <w:rsid w:val="6E24489D"/>
    <w:rsid w:val="6E7028A7"/>
    <w:rsid w:val="6EE7452C"/>
    <w:rsid w:val="6F3A5B63"/>
    <w:rsid w:val="6FF837B3"/>
    <w:rsid w:val="701036B1"/>
    <w:rsid w:val="71D14987"/>
    <w:rsid w:val="730E236B"/>
    <w:rsid w:val="73133AF6"/>
    <w:rsid w:val="74B2234C"/>
    <w:rsid w:val="751C4F54"/>
    <w:rsid w:val="7646130B"/>
    <w:rsid w:val="76566296"/>
    <w:rsid w:val="769E28BA"/>
    <w:rsid w:val="77676992"/>
    <w:rsid w:val="79052BC9"/>
    <w:rsid w:val="7A841AF1"/>
    <w:rsid w:val="7AEA5601"/>
    <w:rsid w:val="7BA07EF1"/>
    <w:rsid w:val="7BD55DED"/>
    <w:rsid w:val="7CA97B3E"/>
    <w:rsid w:val="7D0353A9"/>
    <w:rsid w:val="7DDC7906"/>
    <w:rsid w:val="7E720ACD"/>
    <w:rsid w:val="7EEE63D9"/>
    <w:rsid w:val="7EF718AC"/>
    <w:rsid w:val="7F080287"/>
    <w:rsid w:val="7FDB0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autoRedefine/>
    <w:qFormat/>
    <w:uiPriority w:val="9"/>
    <w:pPr>
      <w:keepNext/>
      <w:widowControl/>
      <w:spacing w:line="360" w:lineRule="auto"/>
      <w:jc w:val="center"/>
      <w:outlineLvl w:val="0"/>
    </w:pPr>
    <w:rPr>
      <w:rFonts w:ascii="黑体"/>
      <w:b/>
      <w:kern w:val="0"/>
      <w:sz w:val="32"/>
    </w:rPr>
  </w:style>
  <w:style w:type="paragraph" w:styleId="4">
    <w:name w:val="heading 2"/>
    <w:basedOn w:val="1"/>
    <w:next w:val="1"/>
    <w:link w:val="30"/>
    <w:autoRedefine/>
    <w:qFormat/>
    <w:uiPriority w:val="0"/>
    <w:pPr>
      <w:keepNext/>
      <w:keepLines/>
      <w:tabs>
        <w:tab w:val="left" w:pos="706"/>
        <w:tab w:val="left" w:pos="1110"/>
      </w:tabs>
      <w:spacing w:line="360" w:lineRule="auto"/>
      <w:ind w:left="106" w:firstLine="454"/>
      <w:outlineLvl w:val="1"/>
    </w:pPr>
    <w:rPr>
      <w:rFonts w:eastAsia="黑体"/>
      <w:b/>
      <w:sz w:val="21"/>
    </w:rPr>
  </w:style>
  <w:style w:type="paragraph" w:styleId="5">
    <w:name w:val="heading 4"/>
    <w:basedOn w:val="1"/>
    <w:next w:val="1"/>
    <w:autoRedefine/>
    <w:qFormat/>
    <w:uiPriority w:val="0"/>
    <w:pPr>
      <w:tabs>
        <w:tab w:val="left" w:pos="720"/>
      </w:tabs>
      <w:spacing w:before="280" w:after="290" w:line="372" w:lineRule="auto"/>
      <w:outlineLvl w:val="3"/>
    </w:pPr>
    <w:rPr>
      <w:rFonts w:ascii="Arial" w:hAnsi="Arial" w:eastAsia="黑体"/>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0"/>
    <w:pPr>
      <w:tabs>
        <w:tab w:val="center" w:pos="4153"/>
        <w:tab w:val="right" w:pos="8306"/>
      </w:tabs>
      <w:snapToGrid w:val="0"/>
      <w:jc w:val="left"/>
    </w:pPr>
    <w:rPr>
      <w:sz w:val="18"/>
      <w:szCs w:val="18"/>
    </w:rPr>
  </w:style>
  <w:style w:type="paragraph" w:styleId="6">
    <w:name w:val="Normal Indent"/>
    <w:basedOn w:val="1"/>
    <w:next w:val="1"/>
    <w:autoRedefine/>
    <w:qFormat/>
    <w:uiPriority w:val="99"/>
    <w:pPr>
      <w:spacing w:line="440" w:lineRule="exact"/>
      <w:ind w:firstLine="420" w:firstLineChars="200"/>
    </w:pPr>
    <w:rPr>
      <w:sz w:val="24"/>
    </w:rPr>
  </w:style>
  <w:style w:type="paragraph" w:styleId="7">
    <w:name w:val="Body Text"/>
    <w:basedOn w:val="1"/>
    <w:next w:val="8"/>
    <w:unhideWhenUsed/>
    <w:qFormat/>
    <w:uiPriority w:val="0"/>
    <w:pPr>
      <w:spacing w:after="120"/>
    </w:pPr>
  </w:style>
  <w:style w:type="paragraph" w:styleId="8">
    <w:name w:val="Body Text First Indent"/>
    <w:basedOn w:val="7"/>
    <w:next w:val="1"/>
    <w:autoRedefine/>
    <w:qFormat/>
    <w:uiPriority w:val="0"/>
    <w:pPr>
      <w:ind w:firstLine="420" w:firstLineChars="100"/>
    </w:pPr>
    <w:rPr>
      <w:rFonts w:ascii="等线" w:hAnsi="等线" w:eastAsia="等线" w:cstheme="minorBidi"/>
      <w:sz w:val="21"/>
      <w:szCs w:val="22"/>
    </w:rPr>
  </w:style>
  <w:style w:type="paragraph" w:styleId="9">
    <w:name w:val="Body Text Indent"/>
    <w:basedOn w:val="1"/>
    <w:next w:val="6"/>
    <w:autoRedefine/>
    <w:unhideWhenUsed/>
    <w:qFormat/>
    <w:uiPriority w:val="0"/>
    <w:pPr>
      <w:spacing w:after="120"/>
      <w:ind w:left="420" w:leftChars="200"/>
    </w:pPr>
  </w:style>
  <w:style w:type="paragraph" w:styleId="10">
    <w:name w:val="List 2"/>
    <w:basedOn w:val="11"/>
    <w:autoRedefine/>
    <w:qFormat/>
    <w:uiPriority w:val="0"/>
    <w:pPr>
      <w:ind w:left="100" w:leftChars="200"/>
    </w:pPr>
  </w:style>
  <w:style w:type="paragraph" w:styleId="11">
    <w:name w:val="List"/>
    <w:basedOn w:val="1"/>
    <w:autoRedefine/>
    <w:qFormat/>
    <w:uiPriority w:val="0"/>
    <w:pPr>
      <w:ind w:left="200" w:hanging="200" w:hangingChars="200"/>
    </w:pPr>
    <w:rPr>
      <w:sz w:val="21"/>
    </w:rPr>
  </w:style>
  <w:style w:type="paragraph" w:styleId="12">
    <w:name w:val="toc 3"/>
    <w:basedOn w:val="1"/>
    <w:next w:val="1"/>
    <w:autoRedefine/>
    <w:semiHidden/>
    <w:qFormat/>
    <w:uiPriority w:val="0"/>
    <w:pPr>
      <w:ind w:left="420"/>
      <w:jc w:val="left"/>
    </w:pPr>
    <w:rPr>
      <w:i/>
      <w:iCs/>
      <w:sz w:val="20"/>
    </w:rPr>
  </w:style>
  <w:style w:type="paragraph" w:styleId="13">
    <w:name w:val="Plain Text"/>
    <w:basedOn w:val="1"/>
    <w:next w:val="1"/>
    <w:autoRedefine/>
    <w:qFormat/>
    <w:uiPriority w:val="0"/>
    <w:rPr>
      <w:rFonts w:ascii="宋体" w:hAnsi="Courier New" w:cstheme="minorBidi"/>
      <w:sz w:val="21"/>
      <w:szCs w:val="22"/>
    </w:rPr>
  </w:style>
  <w:style w:type="paragraph" w:styleId="14">
    <w:name w:val="Date"/>
    <w:basedOn w:val="1"/>
    <w:next w:val="1"/>
    <w:autoRedefine/>
    <w:qFormat/>
    <w:uiPriority w:val="0"/>
    <w:pPr>
      <w:adjustRightInd w:val="0"/>
      <w:jc w:val="right"/>
      <w:textAlignment w:val="baseline"/>
    </w:pPr>
    <w:rPr>
      <w:rFonts w:eastAsia="仿宋_GB2312" w:asciiTheme="minorHAnsi" w:hAnsiTheme="minorHAnsi" w:cstheme="minorBidi"/>
      <w:b/>
      <w:szCs w:val="22"/>
    </w:rPr>
  </w:style>
  <w:style w:type="paragraph" w:styleId="15">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tabs>
        <w:tab w:val="right" w:leader="dot" w:pos="8364"/>
      </w:tabs>
      <w:spacing w:before="120" w:after="120" w:line="360" w:lineRule="auto"/>
      <w:jc w:val="left"/>
    </w:pPr>
    <w:rPr>
      <w:b/>
      <w:caps/>
      <w:sz w:val="20"/>
    </w:rPr>
  </w:style>
  <w:style w:type="paragraph" w:styleId="17">
    <w:name w:val="toc 6"/>
    <w:basedOn w:val="1"/>
    <w:next w:val="1"/>
    <w:autoRedefine/>
    <w:qFormat/>
    <w:uiPriority w:val="0"/>
    <w:pPr>
      <w:ind w:left="1400"/>
      <w:jc w:val="left"/>
    </w:pPr>
    <w:rPr>
      <w:sz w:val="18"/>
    </w:rPr>
  </w:style>
  <w:style w:type="paragraph" w:styleId="18">
    <w:name w:val="toc 2"/>
    <w:basedOn w:val="1"/>
    <w:next w:val="1"/>
    <w:autoRedefine/>
    <w:qFormat/>
    <w:uiPriority w:val="39"/>
    <w:pPr>
      <w:tabs>
        <w:tab w:val="right" w:leader="dot" w:pos="8364"/>
      </w:tabs>
      <w:spacing w:line="360" w:lineRule="auto"/>
      <w:ind w:left="280"/>
      <w:jc w:val="left"/>
    </w:pPr>
    <w:rPr>
      <w:rFonts w:ascii="仿宋" w:hAnsi="仿宋" w:eastAsia="仿宋"/>
      <w:b/>
      <w:smallCaps/>
      <w:sz w:val="24"/>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Body Text First Indent 2"/>
    <w:basedOn w:val="9"/>
    <w:next w:val="1"/>
    <w:autoRedefine/>
    <w:qFormat/>
    <w:uiPriority w:val="0"/>
    <w:pPr>
      <w:ind w:firstLine="420" w:firstLineChars="200"/>
    </w:pPr>
    <w:rPr>
      <w:rFonts w:ascii="等线" w:hAnsi="等线" w:eastAsia="等线" w:cstheme="minorBidi"/>
      <w:sz w:val="21"/>
      <w:szCs w:val="22"/>
    </w:rPr>
  </w:style>
  <w:style w:type="table" w:styleId="22">
    <w:name w:val="Table Grid"/>
    <w:basedOn w:val="2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page number"/>
    <w:basedOn w:val="23"/>
    <w:autoRedefine/>
    <w:qFormat/>
    <w:uiPriority w:val="0"/>
  </w:style>
  <w:style w:type="character" w:styleId="25">
    <w:name w:val="Hyperlink"/>
    <w:basedOn w:val="23"/>
    <w:autoRedefine/>
    <w:qFormat/>
    <w:uiPriority w:val="99"/>
    <w:rPr>
      <w:color w:val="0000FF"/>
      <w:u w:val="single"/>
    </w:rPr>
  </w:style>
  <w:style w:type="paragraph" w:customStyle="1" w:styleId="26">
    <w:name w:val="[Normal]"/>
    <w:autoRedefine/>
    <w:qFormat/>
    <w:uiPriority w:val="6"/>
    <w:rPr>
      <w:rFonts w:ascii="宋体" w:hAnsi="宋体" w:eastAsia="宋体" w:cs="Times New Roman"/>
      <w:sz w:val="24"/>
      <w:szCs w:val="22"/>
      <w:lang w:val="zh-CN" w:eastAsia="zh-CN" w:bidi="ar-SA"/>
    </w:rPr>
  </w:style>
  <w:style w:type="paragraph" w:customStyle="1" w:styleId="27">
    <w:name w:val="BodyText1I"/>
    <w:basedOn w:val="1"/>
    <w:autoRedefine/>
    <w:qFormat/>
    <w:uiPriority w:val="0"/>
    <w:pPr>
      <w:spacing w:after="120"/>
      <w:ind w:firstLine="420" w:firstLineChars="100"/>
    </w:pPr>
    <w:rPr>
      <w:rFonts w:ascii="Times New Roman"/>
      <w:szCs w:val="24"/>
    </w:rPr>
  </w:style>
  <w:style w:type="character" w:customStyle="1" w:styleId="28">
    <w:name w:val="无"/>
    <w:autoRedefine/>
    <w:qFormat/>
    <w:uiPriority w:val="0"/>
  </w:style>
  <w:style w:type="paragraph" w:customStyle="1" w:styleId="29">
    <w:name w:val="正文2"/>
    <w:basedOn w:val="1"/>
    <w:autoRedefine/>
    <w:qFormat/>
    <w:uiPriority w:val="0"/>
    <w:pPr>
      <w:spacing w:before="156" w:line="360" w:lineRule="auto"/>
      <w:ind w:firstLine="510" w:firstLineChars="200"/>
    </w:pPr>
    <w:rPr>
      <w:rFonts w:asciiTheme="minorHAnsi" w:hAnsiTheme="minorHAnsi" w:cstheme="minorBidi"/>
      <w:sz w:val="24"/>
      <w:szCs w:val="22"/>
    </w:rPr>
  </w:style>
  <w:style w:type="character" w:customStyle="1" w:styleId="30">
    <w:name w:val="标题 2 Char"/>
    <w:basedOn w:val="23"/>
    <w:link w:val="4"/>
    <w:autoRedefine/>
    <w:qFormat/>
    <w:uiPriority w:val="0"/>
    <w:rPr>
      <w:rFonts w:eastAsia="黑体"/>
      <w:b/>
      <w:sz w:val="21"/>
    </w:rPr>
  </w:style>
  <w:style w:type="paragraph" w:customStyle="1" w:styleId="31">
    <w:name w:val="_Style 3"/>
    <w:autoRedefine/>
    <w:qFormat/>
    <w:uiPriority w:val="0"/>
    <w:rPr>
      <w:rFonts w:ascii="Calibri" w:hAnsi="Calibri" w:eastAsia="宋体" w:cs="Times New Roman"/>
      <w:sz w:val="22"/>
      <w:szCs w:val="22"/>
      <w:lang w:val="en-US" w:eastAsia="zh-CN" w:bidi="ar-SA"/>
    </w:rPr>
  </w:style>
  <w:style w:type="paragraph" w:customStyle="1" w:styleId="3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3">
    <w:name w:val="样式1"/>
    <w:basedOn w:val="3"/>
    <w:next w:val="5"/>
    <w:autoRedefine/>
    <w:qFormat/>
    <w:uiPriority w:val="0"/>
    <w:pPr>
      <w:tabs>
        <w:tab w:val="left" w:pos="-839"/>
      </w:tabs>
      <w:ind w:left="1320" w:hanging="1320"/>
    </w:pPr>
    <w:rPr>
      <w:rFonts w:hAnsiTheme="minorHAnsi" w:eastAsiaTheme="minorEastAsia" w:cstheme="minorBidi"/>
      <w:kern w:val="2"/>
      <w:szCs w:val="22"/>
    </w:rPr>
  </w:style>
  <w:style w:type="paragraph" w:customStyle="1" w:styleId="34">
    <w:name w:val="正文首行缩进 21"/>
    <w:basedOn w:val="35"/>
    <w:autoRedefine/>
    <w:qFormat/>
    <w:uiPriority w:val="0"/>
    <w:pPr>
      <w:spacing w:after="120" w:line="240" w:lineRule="auto"/>
      <w:ind w:left="420" w:leftChars="200" w:firstLine="420" w:firstLineChars="200"/>
    </w:pPr>
    <w:rPr>
      <w:rFonts w:ascii="等线" w:hAnsi="等线" w:eastAsia="等线"/>
      <w:sz w:val="21"/>
    </w:rPr>
  </w:style>
  <w:style w:type="paragraph" w:customStyle="1" w:styleId="35">
    <w:name w:val="正文文本缩进2"/>
    <w:basedOn w:val="1"/>
    <w:autoRedefine/>
    <w:qFormat/>
    <w:uiPriority w:val="0"/>
    <w:pPr>
      <w:spacing w:line="360" w:lineRule="auto"/>
      <w:ind w:firstLine="435"/>
    </w:pPr>
    <w:rPr>
      <w:szCs w:val="24"/>
    </w:rPr>
  </w:style>
  <w:style w:type="paragraph" w:customStyle="1" w:styleId="36">
    <w:name w:val="Heading #2|1"/>
    <w:basedOn w:val="1"/>
    <w:autoRedefine/>
    <w:qFormat/>
    <w:uiPriority w:val="0"/>
    <w:pPr>
      <w:spacing w:after="720" w:line="648" w:lineRule="exact"/>
      <w:ind w:firstLine="310"/>
      <w:jc w:val="center"/>
      <w:outlineLvl w:val="1"/>
    </w:pPr>
    <w:rPr>
      <w:rFonts w:ascii="宋体" w:hAnsi="宋体" w:cs="宋体"/>
      <w:sz w:val="42"/>
      <w:szCs w:val="42"/>
      <w:lang w:val="zh-TW" w:eastAsia="zh-TW" w:bidi="zh-TW"/>
    </w:rPr>
  </w:style>
  <w:style w:type="paragraph" w:customStyle="1" w:styleId="37">
    <w:name w:val="Body text|1"/>
    <w:basedOn w:val="1"/>
    <w:autoRedefine/>
    <w:qFormat/>
    <w:uiPriority w:val="0"/>
    <w:pPr>
      <w:spacing w:line="401" w:lineRule="auto"/>
      <w:ind w:firstLine="400"/>
    </w:pPr>
    <w:rPr>
      <w:rFonts w:ascii="宋体" w:hAnsi="宋体" w:cs="宋体"/>
      <w:sz w:val="30"/>
      <w:szCs w:val="30"/>
      <w:lang w:val="zh-TW" w:eastAsia="zh-TW" w:bidi="zh-TW"/>
    </w:rPr>
  </w:style>
  <w:style w:type="paragraph" w:customStyle="1" w:styleId="38">
    <w:name w:val="Body text|3"/>
    <w:basedOn w:val="1"/>
    <w:autoRedefine/>
    <w:qFormat/>
    <w:uiPriority w:val="0"/>
    <w:rPr>
      <w:rFonts w:ascii="宋体" w:hAnsi="宋体" w:cs="宋体"/>
      <w:sz w:val="17"/>
      <w:szCs w:val="17"/>
      <w:lang w:val="zh-TW" w:eastAsia="zh-TW" w:bidi="zh-TW"/>
    </w:rPr>
  </w:style>
  <w:style w:type="paragraph" w:styleId="39">
    <w:name w:val="List Paragraph"/>
    <w:basedOn w:val="1"/>
    <w:autoRedefine/>
    <w:qFormat/>
    <w:uiPriority w:val="0"/>
    <w:pPr>
      <w:ind w:firstLine="420" w:firstLineChars="200"/>
    </w:pPr>
    <w:rPr>
      <w:rFonts w:eastAsia="仿宋_GB2312"/>
      <w:szCs w:val="22"/>
    </w:rPr>
  </w:style>
  <w:style w:type="character" w:customStyle="1" w:styleId="40">
    <w:name w:val="UserStyle_94"/>
    <w:basedOn w:val="41"/>
    <w:autoRedefine/>
    <w:qFormat/>
    <w:uiPriority w:val="0"/>
    <w:rPr>
      <w:rFonts w:ascii="宋体" w:hAnsi="宋体" w:eastAsia="宋体"/>
      <w:sz w:val="21"/>
      <w:szCs w:val="21"/>
      <w:lang w:val="en-US" w:eastAsia="zh-CN" w:bidi="ar-SA"/>
    </w:rPr>
  </w:style>
  <w:style w:type="character" w:customStyle="1" w:styleId="41">
    <w:name w:val="NormalCharacter"/>
    <w:autoRedefine/>
    <w:unhideWhenUsed/>
    <w:qFormat/>
    <w:uiPriority w:val="0"/>
    <w:rPr>
      <w:rFonts w:hint="default" w:ascii="Times New Roman" w:hAnsi="Times New Roman" w:eastAsia="宋体"/>
      <w:kern w:val="2"/>
      <w:sz w:val="21"/>
    </w:rPr>
  </w:style>
  <w:style w:type="paragraph" w:customStyle="1" w:styleId="42">
    <w:name w:val="首行缩进"/>
    <w:basedOn w:val="1"/>
    <w:autoRedefine/>
    <w:qFormat/>
    <w:uiPriority w:val="0"/>
    <w:pPr>
      <w:spacing w:line="360" w:lineRule="auto"/>
      <w:ind w:firstLine="480" w:firstLineChars="200"/>
    </w:pPr>
    <w:rPr>
      <w:rFonts w:hAnsi="宋体" w:cs="宋体"/>
      <w:sz w:val="24"/>
    </w:rPr>
  </w:style>
  <w:style w:type="paragraph" w:customStyle="1" w:styleId="43">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1"/>
    <w:basedOn w:val="12"/>
    <w:next w:val="45"/>
    <w:autoRedefine/>
    <w:qFormat/>
    <w:uiPriority w:val="0"/>
    <w:pPr>
      <w:widowControl/>
      <w:snapToGrid w:val="0"/>
      <w:spacing w:line="500" w:lineRule="exact"/>
      <w:ind w:firstLine="567"/>
    </w:pPr>
    <w:rPr>
      <w:rFonts w:ascii="楷体_GB2312" w:hAnsi="Times New Roman" w:eastAsia="楷体_GB2312"/>
      <w:kern w:val="0"/>
      <w:sz w:val="28"/>
    </w:rPr>
  </w:style>
  <w:style w:type="paragraph" w:customStyle="1" w:styleId="45">
    <w:name w:val="自动更正"/>
    <w:next w:val="4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xl39"/>
    <w:basedOn w:val="1"/>
    <w:next w:val="47"/>
    <w:autoRedefine/>
    <w:qFormat/>
    <w:uiPriority w:val="0"/>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47">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48">
    <w:name w:val="样式 表格正文 + 两端对齐"/>
    <w:basedOn w:val="1"/>
    <w:next w:val="44"/>
    <w:autoRedefine/>
    <w:qFormat/>
    <w:uiPriority w:val="0"/>
    <w:pPr>
      <w:spacing w:line="300" w:lineRule="auto"/>
    </w:pPr>
    <w:rPr>
      <w:rFonts w:ascii="Times New Roman"/>
    </w:rPr>
  </w:style>
  <w:style w:type="paragraph" w:customStyle="1" w:styleId="49">
    <w:name w:val="Table Paragraph"/>
    <w:basedOn w:val="1"/>
    <w:qFormat/>
    <w:uiPriority w:val="0"/>
  </w:style>
  <w:style w:type="character" w:customStyle="1" w:styleId="50">
    <w:name w:val="font31"/>
    <w:basedOn w:val="23"/>
    <w:autoRedefine/>
    <w:qFormat/>
    <w:uiPriority w:val="0"/>
    <w:rPr>
      <w:rFonts w:hint="default" w:ascii="方正楷体_GB2312" w:hAnsi="方正楷体_GB2312" w:eastAsia="方正楷体_GB2312" w:cs="方正楷体_GB2312"/>
      <w:b/>
      <w:bCs/>
      <w:color w:val="000000"/>
      <w:sz w:val="22"/>
      <w:szCs w:val="22"/>
      <w:u w:val="none"/>
    </w:rPr>
  </w:style>
  <w:style w:type="character" w:customStyle="1" w:styleId="51">
    <w:name w:val="font41"/>
    <w:basedOn w:val="23"/>
    <w:autoRedefine/>
    <w:qFormat/>
    <w:uiPriority w:val="0"/>
    <w:rPr>
      <w:rFonts w:hint="default" w:ascii="方正楷体_GB2312" w:hAnsi="方正楷体_GB2312" w:eastAsia="方正楷体_GB2312" w:cs="方正楷体_GB2312"/>
      <w:color w:val="000000"/>
      <w:sz w:val="22"/>
      <w:szCs w:val="22"/>
      <w:u w:val="none"/>
    </w:rPr>
  </w:style>
  <w:style w:type="character" w:customStyle="1" w:styleId="52">
    <w:name w:val="font51"/>
    <w:basedOn w:val="23"/>
    <w:qFormat/>
    <w:uiPriority w:val="0"/>
    <w:rPr>
      <w:rFonts w:hint="default" w:ascii="方正楷体_GB2312" w:hAnsi="方正楷体_GB2312" w:eastAsia="方正楷体_GB2312" w:cs="方正楷体_GB2312"/>
      <w:color w:val="E54C5E"/>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4"/>
    <customShpInfo spid="_x0000_s1033"/>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45828</Words>
  <Characters>50873</Characters>
  <Lines>231</Lines>
  <Paragraphs>65</Paragraphs>
  <TotalTime>1</TotalTime>
  <ScaleCrop>false</ScaleCrop>
  <LinksUpToDate>false</LinksUpToDate>
  <CharactersWithSpaces>52175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2023-03-13T01:29:00Z</dcterms:created>
  <dc:creator>Administrator.DESKTOP-7ETHMPM</dc:creator>
  <cp:lastModifiedBy>邓璐微</cp:lastModifiedBy>
  <cp:lastPrinted>2024-09-29T06:55:00Z</cp:lastPrinted>
  <dcterms:modified xsi:type="dcterms:W3CDTF">2024-09-30T03:29:05Z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147C96FEC98B4201A97E6EF815269562_13</vt:lpwstr>
  </property>
</Properties>
</file>