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60685">
      <w:pPr>
        <w:jc w:val="center"/>
        <w:rPr>
          <w:rFonts w:ascii="宋体" w:hAnsi="宋体"/>
          <w:b/>
          <w:bCs/>
          <w:color w:val="000000" w:themeColor="text1"/>
          <w:sz w:val="72"/>
          <w:szCs w:val="72"/>
          <w:highlight w:val="none"/>
        </w:rPr>
      </w:pPr>
    </w:p>
    <w:p w14:paraId="4540B248">
      <w:pPr>
        <w:spacing w:line="240" w:lineRule="auto"/>
        <w:jc w:val="center"/>
        <w:rPr>
          <w:rFonts w:hint="eastAsia" w:ascii="宋体" w:hAnsi="宋体"/>
          <w:b/>
          <w:bCs/>
          <w:color w:val="000000" w:themeColor="text1"/>
          <w:sz w:val="36"/>
          <w:szCs w:val="36"/>
          <w:highlight w:val="none"/>
          <w:u w:val="none"/>
          <w:lang w:val="en-US" w:eastAsia="zh-CN"/>
        </w:rPr>
      </w:pPr>
      <w:r>
        <w:rPr>
          <w:rFonts w:hint="eastAsia" w:ascii="宋体" w:hAnsi="宋体"/>
          <w:b/>
          <w:bCs/>
          <w:color w:val="000000" w:themeColor="text1"/>
          <w:sz w:val="36"/>
          <w:szCs w:val="36"/>
          <w:highlight w:val="none"/>
          <w:u w:val="none"/>
          <w:lang w:val="en-US" w:eastAsia="zh-CN"/>
        </w:rPr>
        <w:t>衢州国家高新技术产业开发区（高新片区）调蓄功能提升改造及排水管网建设工程-智造新城防涝减灾综合安全智能管控平台项目-25吨重型水罐排涝泵车采购</w:t>
      </w:r>
    </w:p>
    <w:p w14:paraId="05EA9443">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ascii="宋体" w:hAnsi="宋体" w:cs="宋体"/>
          <w:color w:val="000000" w:themeColor="text1"/>
          <w:kern w:val="0"/>
          <w:sz w:val="24"/>
          <w:szCs w:val="24"/>
          <w:highlight w:val="none"/>
        </w:rPr>
      </w:pPr>
      <w:r>
        <w:rPr>
          <w:rFonts w:hint="eastAsia" w:ascii="宋体" w:hAnsi="宋体" w:cs="宋体"/>
          <w:b/>
          <w:color w:val="000000" w:themeColor="text1"/>
          <w:sz w:val="32"/>
          <w:szCs w:val="32"/>
          <w:highlight w:val="none"/>
        </w:rPr>
        <w:t>（项目编号：ZZCG-202</w:t>
      </w:r>
      <w:r>
        <w:rPr>
          <w:rFonts w:hint="eastAsia" w:ascii="宋体" w:hAnsi="宋体" w:cs="宋体"/>
          <w:b/>
          <w:color w:val="000000" w:themeColor="text1"/>
          <w:sz w:val="32"/>
          <w:szCs w:val="32"/>
          <w:highlight w:val="none"/>
          <w:lang w:val="en-US" w:eastAsia="zh-CN"/>
        </w:rPr>
        <w:t>4</w:t>
      </w:r>
      <w:r>
        <w:rPr>
          <w:rFonts w:hint="eastAsia" w:ascii="宋体" w:hAnsi="宋体" w:cs="宋体"/>
          <w:b/>
          <w:color w:val="000000" w:themeColor="text1"/>
          <w:sz w:val="32"/>
          <w:szCs w:val="32"/>
          <w:highlight w:val="none"/>
        </w:rPr>
        <w:t>-</w:t>
      </w:r>
      <w:r>
        <w:rPr>
          <w:rFonts w:hint="eastAsia" w:ascii="宋体" w:hAnsi="宋体" w:cs="宋体"/>
          <w:b/>
          <w:color w:val="000000" w:themeColor="text1"/>
          <w:sz w:val="32"/>
          <w:szCs w:val="32"/>
          <w:highlight w:val="none"/>
          <w:lang w:val="en-US" w:eastAsia="zh-CN"/>
        </w:rPr>
        <w:t>105</w:t>
      </w:r>
      <w:r>
        <w:rPr>
          <w:rFonts w:hint="eastAsia" w:ascii="宋体" w:hAnsi="宋体" w:cs="宋体"/>
          <w:b/>
          <w:color w:val="000000" w:themeColor="text1"/>
          <w:sz w:val="32"/>
          <w:szCs w:val="32"/>
          <w:highlight w:val="none"/>
        </w:rPr>
        <w:t>）</w:t>
      </w:r>
    </w:p>
    <w:p w14:paraId="681F86BB">
      <w:pPr>
        <w:pStyle w:val="20"/>
        <w:ind w:left="560"/>
        <w:rPr>
          <w:color w:val="000000" w:themeColor="text1"/>
          <w:highlight w:val="none"/>
        </w:rPr>
      </w:pPr>
    </w:p>
    <w:p w14:paraId="4E8A5B4F">
      <w:pPr>
        <w:spacing w:line="460" w:lineRule="exact"/>
        <w:rPr>
          <w:rFonts w:ascii="宋体" w:hAnsi="宋体"/>
          <w:color w:val="000000" w:themeColor="text1"/>
          <w:highlight w:val="none"/>
        </w:rPr>
      </w:pPr>
    </w:p>
    <w:p w14:paraId="13292840">
      <w:pPr>
        <w:pStyle w:val="7"/>
        <w:rPr>
          <w:color w:val="000000" w:themeColor="text1"/>
          <w:highlight w:val="none"/>
        </w:rPr>
      </w:pPr>
    </w:p>
    <w:p w14:paraId="1D148364">
      <w:pPr>
        <w:spacing w:line="460" w:lineRule="exact"/>
        <w:jc w:val="center"/>
        <w:rPr>
          <w:rFonts w:ascii="宋体" w:hAnsi="宋体"/>
          <w:color w:val="000000" w:themeColor="text1"/>
          <w:highlight w:val="none"/>
        </w:rPr>
      </w:pPr>
    </w:p>
    <w:p w14:paraId="1C066851">
      <w:pPr>
        <w:pStyle w:val="7"/>
        <w:rPr>
          <w:color w:val="000000" w:themeColor="text1"/>
          <w:highlight w:val="none"/>
        </w:rPr>
      </w:pPr>
    </w:p>
    <w:p w14:paraId="37D08D13">
      <w:pPr>
        <w:spacing w:line="560" w:lineRule="exact"/>
        <w:jc w:val="center"/>
        <w:rPr>
          <w:rFonts w:ascii="宋体" w:hAnsi="宋体"/>
          <w:color w:val="000000" w:themeColor="text1"/>
          <w:sz w:val="48"/>
          <w:szCs w:val="48"/>
          <w:highlight w:val="none"/>
        </w:rPr>
      </w:pPr>
      <w:r>
        <w:rPr>
          <w:rFonts w:hint="eastAsia" w:ascii="宋体" w:hAnsi="宋体"/>
          <w:color w:val="000000" w:themeColor="text1"/>
          <w:sz w:val="48"/>
          <w:szCs w:val="48"/>
          <w:highlight w:val="none"/>
        </w:rPr>
        <w:t>公开招标采购文件</w:t>
      </w:r>
    </w:p>
    <w:p w14:paraId="1298B327">
      <w:pPr>
        <w:spacing w:line="560" w:lineRule="exact"/>
        <w:jc w:val="center"/>
        <w:rPr>
          <w:rFonts w:ascii="宋体" w:hAnsi="宋体"/>
          <w:b/>
          <w:color w:val="000000" w:themeColor="text1"/>
          <w:w w:val="85"/>
          <w:sz w:val="32"/>
          <w:szCs w:val="32"/>
          <w:highlight w:val="none"/>
        </w:rPr>
      </w:pPr>
      <w:r>
        <w:rPr>
          <w:rFonts w:hint="eastAsia" w:ascii="宋体" w:hAnsi="宋体"/>
          <w:color w:val="000000" w:themeColor="text1"/>
          <w:sz w:val="32"/>
          <w:szCs w:val="32"/>
          <w:highlight w:val="none"/>
        </w:rPr>
        <w:t>（线上电子招投标）</w:t>
      </w:r>
    </w:p>
    <w:p w14:paraId="4548F3AF">
      <w:pPr>
        <w:spacing w:line="460" w:lineRule="exact"/>
        <w:ind w:firstLine="1657" w:firstLineChars="693"/>
        <w:rPr>
          <w:rFonts w:ascii="宋体" w:hAnsi="宋体"/>
          <w:b/>
          <w:color w:val="000000" w:themeColor="text1"/>
          <w:w w:val="85"/>
          <w:szCs w:val="28"/>
          <w:highlight w:val="none"/>
        </w:rPr>
      </w:pPr>
    </w:p>
    <w:p w14:paraId="7739E40F">
      <w:pPr>
        <w:spacing w:line="460" w:lineRule="exact"/>
        <w:rPr>
          <w:rFonts w:ascii="宋体" w:hAnsi="宋体"/>
          <w:color w:val="000000" w:themeColor="text1"/>
          <w:highlight w:val="none"/>
        </w:rPr>
      </w:pPr>
    </w:p>
    <w:p w14:paraId="68400075">
      <w:pPr>
        <w:pStyle w:val="3"/>
        <w:rPr>
          <w:rFonts w:ascii="宋体" w:hAnsi="宋体"/>
          <w:color w:val="000000" w:themeColor="text1"/>
          <w:highlight w:val="none"/>
        </w:rPr>
      </w:pPr>
    </w:p>
    <w:p w14:paraId="549D5D6F">
      <w:pPr>
        <w:spacing w:line="460" w:lineRule="exact"/>
        <w:rPr>
          <w:rFonts w:ascii="宋体" w:hAnsi="宋体"/>
          <w:color w:val="000000" w:themeColor="text1"/>
          <w:highlight w:val="none"/>
        </w:rPr>
      </w:pPr>
    </w:p>
    <w:p w14:paraId="09A819E1">
      <w:pPr>
        <w:rPr>
          <w:rFonts w:ascii="宋体" w:hAnsi="宋体"/>
          <w:color w:val="000000" w:themeColor="text1"/>
          <w:highlight w:val="none"/>
        </w:rPr>
      </w:pPr>
    </w:p>
    <w:p w14:paraId="0E279AF5">
      <w:pPr>
        <w:rPr>
          <w:rFonts w:ascii="宋体" w:hAnsi="宋体"/>
          <w:color w:val="000000" w:themeColor="text1"/>
          <w:highlight w:val="none"/>
        </w:rPr>
      </w:pPr>
    </w:p>
    <w:p w14:paraId="615A1B38">
      <w:pPr>
        <w:spacing w:line="7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采购</w:t>
      </w:r>
      <w:r>
        <w:rPr>
          <w:rFonts w:hint="eastAsia" w:ascii="宋体" w:hAnsi="宋体"/>
          <w:b/>
          <w:color w:val="000000" w:themeColor="text1"/>
          <w:sz w:val="32"/>
          <w:szCs w:val="32"/>
          <w:highlight w:val="none"/>
          <w:lang w:val="en-US" w:eastAsia="zh-CN"/>
        </w:rPr>
        <w:t>人</w:t>
      </w:r>
      <w:r>
        <w:rPr>
          <w:rFonts w:hint="eastAsia" w:ascii="宋体" w:hAnsi="宋体"/>
          <w:b/>
          <w:color w:val="000000" w:themeColor="text1"/>
          <w:sz w:val="32"/>
          <w:szCs w:val="32"/>
          <w:highlight w:val="none"/>
        </w:rPr>
        <w:t>：衢州智造新城管理委员会（盖章）</w:t>
      </w:r>
    </w:p>
    <w:p w14:paraId="6500850E">
      <w:pPr>
        <w:spacing w:line="7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代理机构：浙江欣成工程咨询有限公司（盖章）</w:t>
      </w:r>
    </w:p>
    <w:p w14:paraId="714895FB">
      <w:pPr>
        <w:spacing w:line="700" w:lineRule="exact"/>
        <w:jc w:val="center"/>
        <w:rPr>
          <w:rFonts w:ascii="宋体" w:hAnsi="宋体"/>
          <w:b/>
          <w:color w:val="000000" w:themeColor="text1"/>
          <w:sz w:val="32"/>
          <w:szCs w:val="28"/>
          <w:highlight w:val="none"/>
        </w:rPr>
      </w:pPr>
      <w:r>
        <w:rPr>
          <w:rFonts w:hint="eastAsia" w:ascii="宋体" w:hAnsi="宋体"/>
          <w:b/>
          <w:color w:val="000000" w:themeColor="text1"/>
          <w:sz w:val="32"/>
          <w:szCs w:val="32"/>
          <w:highlight w:val="none"/>
        </w:rPr>
        <w:t>日期：202</w:t>
      </w:r>
      <w:r>
        <w:rPr>
          <w:rFonts w:hint="eastAsia" w:ascii="宋体" w:hAnsi="宋体"/>
          <w:b/>
          <w:color w:val="000000" w:themeColor="text1"/>
          <w:sz w:val="32"/>
          <w:szCs w:val="32"/>
          <w:highlight w:val="none"/>
          <w:lang w:val="en-US" w:eastAsia="zh-CN"/>
        </w:rPr>
        <w:t>4</w:t>
      </w:r>
      <w:r>
        <w:rPr>
          <w:rFonts w:hint="eastAsia" w:ascii="宋体" w:hAnsi="宋体"/>
          <w:b/>
          <w:color w:val="000000" w:themeColor="text1"/>
          <w:sz w:val="32"/>
          <w:szCs w:val="32"/>
          <w:highlight w:val="none"/>
        </w:rPr>
        <w:t>年</w:t>
      </w:r>
      <w:r>
        <w:rPr>
          <w:rFonts w:hint="eastAsia" w:ascii="宋体" w:hAnsi="宋体"/>
          <w:b/>
          <w:color w:val="000000" w:themeColor="text1"/>
          <w:sz w:val="32"/>
          <w:szCs w:val="32"/>
          <w:highlight w:val="none"/>
          <w:lang w:val="en-US" w:eastAsia="zh-CN"/>
        </w:rPr>
        <w:t>9</w:t>
      </w:r>
      <w:r>
        <w:rPr>
          <w:rFonts w:hint="eastAsia" w:ascii="宋体" w:hAnsi="宋体"/>
          <w:b/>
          <w:color w:val="000000" w:themeColor="text1"/>
          <w:sz w:val="32"/>
          <w:szCs w:val="32"/>
          <w:highlight w:val="none"/>
        </w:rPr>
        <w:t>月</w:t>
      </w:r>
    </w:p>
    <w:p w14:paraId="4124C9D3">
      <w:pPr>
        <w:spacing w:line="480" w:lineRule="auto"/>
        <w:rPr>
          <w:rFonts w:ascii="仿宋_GB2312" w:eastAsia="仿宋_GB2312"/>
          <w:color w:val="000000" w:themeColor="text1"/>
          <w:sz w:val="36"/>
          <w:szCs w:val="36"/>
          <w:highlight w:val="none"/>
        </w:rPr>
      </w:pPr>
    </w:p>
    <w:p w14:paraId="72497005">
      <w:pPr>
        <w:snapToGrid w:val="0"/>
        <w:jc w:val="center"/>
        <w:rPr>
          <w:rFonts w:ascii="仿宋_GB2312" w:hAnsi="宋体" w:eastAsia="仿宋_GB2312" w:cs="宋体"/>
          <w:b/>
          <w:color w:val="000000" w:themeColor="text1"/>
          <w:sz w:val="40"/>
          <w:szCs w:val="32"/>
          <w:highlight w:val="none"/>
        </w:rPr>
        <w:sectPr>
          <w:headerReference r:id="rId4" w:type="first"/>
          <w:headerReference r:id="rId3" w:type="default"/>
          <w:footerReference r:id="rId5" w:type="default"/>
          <w:footerReference r:id="rId6" w:type="even"/>
          <w:pgSz w:w="11906" w:h="16838"/>
          <w:pgMar w:top="1440" w:right="1587" w:bottom="1440" w:left="1587" w:header="851" w:footer="850" w:gutter="0"/>
          <w:pgBorders>
            <w:top w:val="none" w:sz="0" w:space="0"/>
            <w:left w:val="none" w:sz="0" w:space="0"/>
            <w:bottom w:val="none" w:sz="0" w:space="0"/>
            <w:right w:val="none" w:sz="0" w:space="0"/>
          </w:pgBorders>
          <w:cols w:space="0" w:num="1"/>
          <w:titlePg/>
          <w:docGrid w:linePitch="312" w:charSpace="0"/>
        </w:sectPr>
      </w:pPr>
    </w:p>
    <w:p w14:paraId="7861492E">
      <w:pPr>
        <w:pStyle w:val="13"/>
        <w:spacing w:beforeLines="10" w:line="360" w:lineRule="auto"/>
        <w:ind w:firstLine="281" w:firstLineChars="100"/>
        <w:jc w:val="left"/>
        <w:rPr>
          <w:rFonts w:ascii="宋体" w:hAnsi="宋体" w:eastAsia="宋体"/>
          <w:color w:val="000000" w:themeColor="text1"/>
          <w:highlight w:val="none"/>
        </w:rPr>
      </w:pPr>
    </w:p>
    <w:p w14:paraId="73EC880C">
      <w:pPr>
        <w:pStyle w:val="13"/>
        <w:spacing w:beforeLines="10" w:line="360" w:lineRule="auto"/>
        <w:ind w:firstLine="360" w:firstLineChars="100"/>
        <w:jc w:val="center"/>
        <w:rPr>
          <w:rFonts w:ascii="宋体" w:hAnsi="宋体" w:eastAsia="宋体"/>
          <w:b w:val="0"/>
          <w:color w:val="000000" w:themeColor="text1"/>
          <w:sz w:val="36"/>
          <w:highlight w:val="none"/>
        </w:rPr>
      </w:pPr>
      <w:r>
        <w:rPr>
          <w:rFonts w:hint="eastAsia" w:ascii="宋体" w:hAnsi="宋体" w:eastAsia="宋体"/>
          <w:b w:val="0"/>
          <w:color w:val="000000" w:themeColor="text1"/>
          <w:sz w:val="36"/>
          <w:highlight w:val="none"/>
        </w:rPr>
        <w:t>目  录</w:t>
      </w:r>
    </w:p>
    <w:p w14:paraId="38CD598F">
      <w:pPr>
        <w:rPr>
          <w:color w:val="000000" w:themeColor="text1"/>
          <w:highlight w:val="none"/>
        </w:rPr>
      </w:pPr>
    </w:p>
    <w:p w14:paraId="5794C6FF">
      <w:pPr>
        <w:pStyle w:val="15"/>
        <w:tabs>
          <w:tab w:val="clear" w:pos="8364"/>
        </w:tabs>
        <w:ind w:left="-280" w:leftChars="-100"/>
        <w:jc w:val="distribute"/>
        <w:rPr>
          <w:rFonts w:ascii="宋体" w:hAnsi="宋体"/>
          <w:color w:val="000000" w:themeColor="text1"/>
          <w:sz w:val="24"/>
          <w:szCs w:val="24"/>
          <w:highlight w:val="none"/>
        </w:rPr>
      </w:pPr>
      <w:r>
        <w:rPr>
          <w:rFonts w:ascii="宋体" w:hAnsi="宋体"/>
          <w:b w:val="0"/>
          <w:color w:val="000000" w:themeColor="text1"/>
          <w:sz w:val="24"/>
          <w:szCs w:val="24"/>
          <w:highlight w:val="none"/>
        </w:rPr>
        <w:fldChar w:fldCharType="begin"/>
      </w:r>
      <w:r>
        <w:rPr>
          <w:rFonts w:hint="eastAsia" w:ascii="宋体" w:hAnsi="宋体"/>
          <w:b w:val="0"/>
          <w:color w:val="000000" w:themeColor="text1"/>
          <w:sz w:val="24"/>
          <w:szCs w:val="24"/>
          <w:highlight w:val="none"/>
        </w:rPr>
        <w:instrText xml:space="preserve">TOC \o "1-2" \h \z \u</w:instrText>
      </w:r>
      <w:r>
        <w:rPr>
          <w:rFonts w:ascii="宋体" w:hAnsi="宋体"/>
          <w:b w:val="0"/>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"_Toc32624" </w:instrText>
      </w:r>
      <w:r>
        <w:rPr>
          <w:color w:val="000000" w:themeColor="text1"/>
          <w:highlight w:val="none"/>
        </w:rPr>
        <w:fldChar w:fldCharType="separate"/>
      </w:r>
      <w:r>
        <w:rPr>
          <w:rFonts w:hint="eastAsia" w:ascii="宋体" w:hAnsi="宋体"/>
          <w:color w:val="000000" w:themeColor="text1"/>
          <w:sz w:val="24"/>
          <w:szCs w:val="24"/>
          <w:highlight w:val="none"/>
        </w:rPr>
        <w:t>第一部分  招标公告</w:t>
      </w:r>
      <w:r>
        <w:rPr>
          <w:rFonts w:ascii="宋体" w:hAnsi="宋体"/>
          <w:color w:val="000000" w:themeColor="text1"/>
          <w:sz w:val="24"/>
          <w:szCs w:val="24"/>
          <w:highlight w:val="none"/>
        </w:rPr>
        <w:tab/>
      </w:r>
      <w:r>
        <w:rPr>
          <w:rFonts w:hint="eastAsia" w:ascii="宋体" w:hAnsi="宋体"/>
          <w:color w:val="000000" w:themeColor="text1"/>
          <w:sz w:val="24"/>
          <w:highlight w:val="none"/>
        </w:rPr>
        <w:t>…………………………………………………………………</w:t>
      </w:r>
      <w:r>
        <w:rPr>
          <w:rFonts w:ascii="宋体" w:hAnsi="宋体"/>
          <w:color w:val="000000" w:themeColor="text1"/>
          <w:sz w:val="24"/>
          <w:szCs w:val="24"/>
          <w:highlight w:val="none"/>
        </w:rPr>
        <w:fldChar w:fldCharType="begin"/>
      </w:r>
      <w:r>
        <w:rPr>
          <w:rFonts w:ascii="宋体" w:hAnsi="宋体"/>
          <w:color w:val="000000" w:themeColor="text1"/>
          <w:sz w:val="24"/>
          <w:szCs w:val="24"/>
          <w:highlight w:val="none"/>
        </w:rPr>
        <w:instrText xml:space="preserve"> PAGEREF _Toc32624 </w:instrText>
      </w:r>
      <w:r>
        <w:rPr>
          <w:rFonts w:ascii="宋体" w:hAnsi="宋体"/>
          <w:color w:val="000000" w:themeColor="text1"/>
          <w:sz w:val="24"/>
          <w:szCs w:val="24"/>
          <w:highlight w:val="none"/>
        </w:rPr>
        <w:fldChar w:fldCharType="separate"/>
      </w:r>
      <w:r>
        <w:rPr>
          <w:rFonts w:ascii="宋体" w:hAnsi="宋体"/>
          <w:color w:val="000000" w:themeColor="text1"/>
          <w:sz w:val="24"/>
          <w:szCs w:val="24"/>
          <w:highlight w:val="none"/>
        </w:rPr>
        <w:t>1</w:t>
      </w:r>
      <w:r>
        <w:rPr>
          <w:rFonts w:ascii="宋体" w:hAnsi="宋体"/>
          <w:color w:val="000000" w:themeColor="text1"/>
          <w:sz w:val="24"/>
          <w:szCs w:val="24"/>
          <w:highlight w:val="none"/>
        </w:rPr>
        <w:fldChar w:fldCharType="end"/>
      </w:r>
      <w:r>
        <w:rPr>
          <w:rFonts w:ascii="宋体" w:hAnsi="宋体"/>
          <w:color w:val="000000" w:themeColor="text1"/>
          <w:sz w:val="24"/>
          <w:szCs w:val="24"/>
          <w:highlight w:val="none"/>
        </w:rPr>
        <w:fldChar w:fldCharType="end"/>
      </w:r>
    </w:p>
    <w:p w14:paraId="0D664F4D">
      <w:pPr>
        <w:pStyle w:val="15"/>
        <w:tabs>
          <w:tab w:val="clear" w:pos="8364"/>
        </w:tabs>
        <w:ind w:left="-280" w:leftChars="-100"/>
        <w:jc w:val="distribute"/>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\l "_Toc31506" </w:instrText>
      </w:r>
      <w:r>
        <w:rPr>
          <w:color w:val="000000" w:themeColor="text1"/>
          <w:highlight w:val="none"/>
        </w:rPr>
        <w:fldChar w:fldCharType="separate"/>
      </w:r>
      <w:r>
        <w:rPr>
          <w:rFonts w:hint="eastAsia" w:ascii="宋体" w:hAnsi="宋体"/>
          <w:color w:val="000000" w:themeColor="text1"/>
          <w:sz w:val="24"/>
          <w:szCs w:val="24"/>
          <w:highlight w:val="none"/>
        </w:rPr>
        <w:t>第二部分  投标须知前附表及投标须知</w:t>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t>4</w:t>
      </w:r>
      <w:r>
        <w:rPr>
          <w:rFonts w:hint="eastAsia" w:ascii="宋体" w:hAnsi="宋体"/>
          <w:color w:val="000000" w:themeColor="text1"/>
          <w:sz w:val="24"/>
          <w:szCs w:val="24"/>
          <w:highlight w:val="none"/>
        </w:rPr>
        <w:fldChar w:fldCharType="end"/>
      </w:r>
    </w:p>
    <w:p w14:paraId="3A16A9D9">
      <w:pPr>
        <w:pStyle w:val="15"/>
        <w:tabs>
          <w:tab w:val="right" w:leader="dot" w:pos="9026"/>
          <w:tab w:val="clear" w:pos="8364"/>
        </w:tabs>
        <w:ind w:left="-560" w:leftChars="-200" w:firstLine="279" w:firstLineChars="139"/>
        <w:jc w:val="distribute"/>
        <w:rPr>
          <w:rFonts w:hint="eastAsia" w:ascii="宋体" w:hAnsi="宋体" w:eastAsia="宋体"/>
          <w:color w:val="000000" w:themeColor="text1"/>
          <w:sz w:val="24"/>
          <w:szCs w:val="24"/>
          <w:highlight w:val="none"/>
          <w:lang w:eastAsia="zh-CN"/>
        </w:rPr>
      </w:pPr>
      <w:r>
        <w:rPr>
          <w:color w:val="000000" w:themeColor="text1"/>
          <w:highlight w:val="none"/>
        </w:rPr>
        <w:fldChar w:fldCharType="begin"/>
      </w:r>
      <w:r>
        <w:rPr>
          <w:color w:val="000000" w:themeColor="text1"/>
          <w:highlight w:val="none"/>
        </w:rPr>
        <w:instrText xml:space="preserve"> HYPERLINK \l "_Toc4895" </w:instrText>
      </w:r>
      <w:r>
        <w:rPr>
          <w:color w:val="000000" w:themeColor="text1"/>
          <w:highlight w:val="none"/>
        </w:rPr>
        <w:fldChar w:fldCharType="separate"/>
      </w:r>
      <w:r>
        <w:rPr>
          <w:rFonts w:hint="eastAsia" w:ascii="宋体" w:hAnsi="宋体"/>
          <w:color w:val="000000" w:themeColor="text1"/>
          <w:sz w:val="24"/>
          <w:szCs w:val="24"/>
          <w:highlight w:val="none"/>
        </w:rPr>
        <w:t>第三部分  采购内容及要求</w:t>
      </w:r>
      <w:r>
        <w:rPr>
          <w:rFonts w:hint="eastAsia" w:ascii="宋体" w:hAnsi="宋体"/>
          <w:color w:val="000000" w:themeColor="text1"/>
          <w:sz w:val="24"/>
          <w:szCs w:val="24"/>
          <w:highlight w:val="none"/>
        </w:rPr>
        <w:fldChar w:fldCharType="end"/>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lang w:val="en-US" w:eastAsia="zh-CN"/>
        </w:rPr>
        <w:t>4</w:t>
      </w:r>
    </w:p>
    <w:p w14:paraId="52514913">
      <w:pPr>
        <w:pStyle w:val="15"/>
        <w:tabs>
          <w:tab w:val="right" w:leader="dot" w:pos="9026"/>
          <w:tab w:val="clear" w:pos="8364"/>
        </w:tabs>
        <w:ind w:left="-560" w:leftChars="-200" w:firstLine="279" w:firstLineChars="139"/>
        <w:jc w:val="distribute"/>
        <w:rPr>
          <w:rFonts w:hint="default" w:ascii="宋体" w:hAnsi="宋体" w:eastAsia="宋体"/>
          <w:color w:val="000000" w:themeColor="text1"/>
          <w:sz w:val="24"/>
          <w:szCs w:val="24"/>
          <w:highlight w:val="none"/>
          <w:lang w:val="en-US" w:eastAsia="zh-CN"/>
        </w:rPr>
      </w:pPr>
      <w:r>
        <w:rPr>
          <w:color w:val="000000" w:themeColor="text1"/>
          <w:highlight w:val="none"/>
        </w:rPr>
        <w:fldChar w:fldCharType="begin"/>
      </w:r>
      <w:r>
        <w:rPr>
          <w:color w:val="000000" w:themeColor="text1"/>
          <w:highlight w:val="none"/>
        </w:rPr>
        <w:instrText xml:space="preserve"> HYPERLINK \l "_Toc1203" </w:instrText>
      </w:r>
      <w:r>
        <w:rPr>
          <w:color w:val="000000" w:themeColor="text1"/>
          <w:highlight w:val="none"/>
        </w:rPr>
        <w:fldChar w:fldCharType="separate"/>
      </w:r>
      <w:r>
        <w:rPr>
          <w:rFonts w:hint="eastAsia" w:ascii="宋体" w:hAnsi="宋体"/>
          <w:color w:val="000000" w:themeColor="text1"/>
          <w:sz w:val="24"/>
          <w:szCs w:val="24"/>
          <w:highlight w:val="none"/>
        </w:rPr>
        <w:t>第四部分  合同文本</w:t>
      </w:r>
      <w:r>
        <w:rPr>
          <w:rFonts w:hint="eastAsia" w:ascii="宋体" w:hAnsi="宋体"/>
          <w:color w:val="000000" w:themeColor="text1"/>
          <w:sz w:val="24"/>
          <w:szCs w:val="24"/>
          <w:highlight w:val="none"/>
        </w:rPr>
        <w:fldChar w:fldCharType="end"/>
      </w:r>
      <w:r>
        <w:rPr>
          <w:rFonts w:hint="eastAsia" w:ascii="宋体" w:hAnsi="宋体"/>
          <w:color w:val="000000" w:themeColor="text1"/>
          <w:sz w:val="24"/>
          <w:highlight w:val="none"/>
        </w:rPr>
        <w:t>…………………………………………………………………</w:t>
      </w:r>
      <w:r>
        <w:rPr>
          <w:rFonts w:hint="eastAsia" w:ascii="宋体" w:hAnsi="宋体"/>
          <w:color w:val="000000" w:themeColor="text1"/>
          <w:sz w:val="24"/>
          <w:szCs w:val="24"/>
          <w:highlight w:val="none"/>
          <w:lang w:val="en-US" w:eastAsia="zh-CN"/>
        </w:rPr>
        <w:t>31</w:t>
      </w:r>
    </w:p>
    <w:p w14:paraId="429CCB63">
      <w:pPr>
        <w:pStyle w:val="17"/>
        <w:tabs>
          <w:tab w:val="right" w:leader="dot" w:pos="9026"/>
          <w:tab w:val="clear" w:pos="8364"/>
        </w:tabs>
        <w:ind w:left="-560" w:leftChars="-200" w:firstLine="279" w:firstLineChars="116"/>
        <w:jc w:val="distribute"/>
        <w:rPr>
          <w:rFonts w:hint="default" w:ascii="宋体" w:hAnsi="宋体" w:eastAsia="宋体"/>
          <w:color w:val="000000" w:themeColor="text1"/>
          <w:szCs w:val="24"/>
          <w:highlight w:val="none"/>
          <w:lang w:val="en-US" w:eastAsia="zh-CN"/>
        </w:rPr>
      </w:pPr>
      <w:r>
        <w:rPr>
          <w:rFonts w:hint="eastAsia" w:ascii="宋体" w:hAnsi="宋体" w:eastAsia="宋体"/>
          <w:caps/>
          <w:smallCaps w:val="0"/>
          <w:color w:val="000000" w:themeColor="text1"/>
          <w:szCs w:val="24"/>
          <w:highlight w:val="none"/>
        </w:rPr>
        <w:t xml:space="preserve">第五部分  </w:t>
      </w:r>
      <w:r>
        <w:rPr>
          <w:color w:val="000000" w:themeColor="text1"/>
          <w:highlight w:val="none"/>
        </w:rPr>
        <w:fldChar w:fldCharType="begin"/>
      </w:r>
      <w:r>
        <w:rPr>
          <w:color w:val="000000" w:themeColor="text1"/>
          <w:highlight w:val="none"/>
        </w:rPr>
        <w:instrText xml:space="preserve"> HYPERLINK \l "_Toc2553" </w:instrText>
      </w:r>
      <w:r>
        <w:rPr>
          <w:color w:val="000000" w:themeColor="text1"/>
          <w:highlight w:val="none"/>
        </w:rPr>
        <w:fldChar w:fldCharType="separate"/>
      </w:r>
      <w:r>
        <w:rPr>
          <w:rFonts w:hint="eastAsia" w:ascii="宋体" w:hAnsi="宋体" w:eastAsia="宋体"/>
          <w:caps/>
          <w:smallCaps w:val="0"/>
          <w:color w:val="000000" w:themeColor="text1"/>
          <w:szCs w:val="24"/>
          <w:highlight w:val="none"/>
        </w:rPr>
        <w:t>应提交的有关格式范例</w:t>
      </w:r>
      <w:r>
        <w:rPr>
          <w:rFonts w:hint="eastAsia" w:ascii="宋体" w:hAnsi="宋体" w:eastAsia="宋体"/>
          <w:caps/>
          <w:smallCaps w:val="0"/>
          <w:color w:val="000000" w:themeColor="text1"/>
          <w:szCs w:val="24"/>
          <w:highlight w:val="none"/>
        </w:rPr>
        <w:fldChar w:fldCharType="end"/>
      </w:r>
      <w:r>
        <w:rPr>
          <w:rFonts w:hint="eastAsia" w:ascii="宋体" w:hAnsi="宋体" w:eastAsia="宋体"/>
          <w:color w:val="000000" w:themeColor="text1"/>
          <w:highlight w:val="none"/>
        </w:rPr>
        <w:t>…………………………………………………</w:t>
      </w:r>
      <w:r>
        <w:rPr>
          <w:rFonts w:hint="eastAsia" w:ascii="宋体" w:hAnsi="宋体" w:eastAsia="宋体"/>
          <w:caps/>
          <w:smallCaps w:val="0"/>
          <w:color w:val="000000" w:themeColor="text1"/>
          <w:szCs w:val="24"/>
          <w:highlight w:val="none"/>
          <w:lang w:val="en-US" w:eastAsia="zh-CN"/>
        </w:rPr>
        <w:t>41</w:t>
      </w:r>
    </w:p>
    <w:p w14:paraId="4A4DF7BB">
      <w:pPr>
        <w:pStyle w:val="15"/>
        <w:tabs>
          <w:tab w:val="right" w:leader="dot" w:pos="9026"/>
          <w:tab w:val="clear" w:pos="8364"/>
        </w:tabs>
        <w:ind w:left="-560" w:leftChars="-200" w:firstLine="279" w:firstLineChars="139"/>
        <w:jc w:val="distribute"/>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\l "_Toc15453" </w:instrText>
      </w:r>
      <w:r>
        <w:rPr>
          <w:color w:val="000000" w:themeColor="text1"/>
          <w:highlight w:val="none"/>
        </w:rPr>
        <w:fldChar w:fldCharType="separate"/>
      </w:r>
      <w:r>
        <w:rPr>
          <w:rFonts w:hint="eastAsia" w:ascii="宋体" w:hAnsi="宋体"/>
          <w:color w:val="000000" w:themeColor="text1"/>
          <w:sz w:val="24"/>
          <w:szCs w:val="24"/>
          <w:highlight w:val="none"/>
        </w:rPr>
        <w:t>第六部分  评标办法及开评标程序</w:t>
      </w:r>
      <w:r>
        <w:rPr>
          <w:rFonts w:hint="eastAsia" w:ascii="宋体" w:hAnsi="宋体"/>
          <w:color w:val="000000" w:themeColor="text1"/>
          <w:sz w:val="24"/>
          <w:highlight w:val="none"/>
        </w:rPr>
        <w:t>…………………………………………………</w:t>
      </w:r>
      <w:r>
        <w:rPr>
          <w:rFonts w:hint="eastAsia" w:ascii="宋体" w:hAnsi="宋体"/>
          <w:color w:val="000000" w:themeColor="text1"/>
          <w:sz w:val="24"/>
          <w:szCs w:val="24"/>
          <w:highlight w:val="none"/>
          <w:lang w:val="en-US" w:eastAsia="zh-CN"/>
        </w:rPr>
        <w:t>5</w:t>
      </w:r>
      <w:r>
        <w:rPr>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lang w:val="en-US" w:eastAsia="zh-CN"/>
        </w:rPr>
        <w:t>4</w:t>
      </w:r>
    </w:p>
    <w:p w14:paraId="564A56F2">
      <w:pPr>
        <w:rPr>
          <w:color w:val="000000" w:themeColor="text1"/>
          <w:sz w:val="24"/>
          <w:szCs w:val="24"/>
          <w:highlight w:val="none"/>
        </w:rPr>
      </w:pPr>
    </w:p>
    <w:p w14:paraId="665DCCC6">
      <w:pPr>
        <w:tabs>
          <w:tab w:val="left" w:pos="1806"/>
        </w:tabs>
        <w:jc w:val="left"/>
        <w:rPr>
          <w:color w:val="000000" w:themeColor="text1"/>
          <w:highlight w:val="none"/>
        </w:rPr>
      </w:pPr>
      <w:r>
        <w:rPr>
          <w:rFonts w:hint="eastAsia"/>
          <w:color w:val="000000" w:themeColor="text1"/>
          <w:highlight w:val="none"/>
        </w:rPr>
        <w:tab/>
      </w:r>
    </w:p>
    <w:p w14:paraId="62231E87">
      <w:pPr>
        <w:rPr>
          <w:color w:val="000000" w:themeColor="text1"/>
          <w:highlight w:val="none"/>
        </w:rPr>
      </w:pPr>
    </w:p>
    <w:p w14:paraId="66BC903D">
      <w:pPr>
        <w:rPr>
          <w:color w:val="000000" w:themeColor="text1"/>
          <w:highlight w:val="none"/>
        </w:rPr>
      </w:pPr>
    </w:p>
    <w:p w14:paraId="5C82064A">
      <w:pPr>
        <w:rPr>
          <w:color w:val="000000" w:themeColor="text1"/>
          <w:highlight w:val="none"/>
        </w:rPr>
      </w:pPr>
    </w:p>
    <w:p w14:paraId="16080FCF">
      <w:pPr>
        <w:rPr>
          <w:color w:val="000000" w:themeColor="text1"/>
          <w:highlight w:val="none"/>
        </w:rPr>
      </w:pPr>
    </w:p>
    <w:p w14:paraId="1854A3B5">
      <w:pPr>
        <w:tabs>
          <w:tab w:val="left" w:pos="6231"/>
        </w:tabs>
        <w:jc w:val="left"/>
        <w:rPr>
          <w:color w:val="000000" w:themeColor="text1"/>
          <w:highlight w:val="none"/>
        </w:rPr>
      </w:pPr>
      <w:r>
        <w:rPr>
          <w:rFonts w:hint="eastAsia"/>
          <w:color w:val="000000" w:themeColor="text1"/>
          <w:highlight w:val="none"/>
        </w:rPr>
        <w:tab/>
      </w:r>
    </w:p>
    <w:p w14:paraId="7A72A0FE">
      <w:pPr>
        <w:snapToGrid w:val="0"/>
        <w:spacing w:line="480" w:lineRule="exact"/>
        <w:ind w:firstLine="480" w:firstLineChars="200"/>
        <w:outlineLvl w:val="0"/>
        <w:rPr>
          <w:rFonts w:hAnsi="宋体"/>
          <w:color w:val="000000" w:themeColor="text1"/>
          <w:sz w:val="24"/>
          <w:szCs w:val="24"/>
          <w:highlight w:val="none"/>
        </w:rPr>
        <w:sectPr>
          <w:footerReference r:id="rId8" w:type="first"/>
          <w:footerReference r:id="rId7" w:type="default"/>
          <w:pgSz w:w="11906" w:h="16838"/>
          <w:pgMar w:top="1440" w:right="1587" w:bottom="1440" w:left="1587" w:header="851" w:footer="850" w:gutter="0"/>
          <w:pgBorders>
            <w:top w:val="none" w:sz="0" w:space="0"/>
            <w:left w:val="none" w:sz="0" w:space="0"/>
            <w:bottom w:val="none" w:sz="0" w:space="0"/>
            <w:right w:val="none" w:sz="0" w:space="0"/>
          </w:pgBorders>
          <w:pgNumType w:start="1"/>
          <w:cols w:space="0" w:num="1"/>
          <w:titlePg/>
          <w:docGrid w:linePitch="312" w:charSpace="0"/>
        </w:sectPr>
      </w:pPr>
    </w:p>
    <w:p w14:paraId="6B363193">
      <w:pPr>
        <w:pStyle w:val="12"/>
        <w:pageBreakBefore/>
        <w:adjustRightInd w:val="0"/>
        <w:snapToGrid w:val="0"/>
        <w:spacing w:line="360" w:lineRule="auto"/>
        <w:jc w:val="center"/>
        <w:outlineLvl w:val="0"/>
        <w:rPr>
          <w:rFonts w:hAnsi="宋体"/>
          <w:b/>
          <w:color w:val="000000" w:themeColor="text1"/>
          <w:sz w:val="32"/>
          <w:szCs w:val="21"/>
          <w:highlight w:val="none"/>
        </w:rPr>
      </w:pPr>
      <w:r>
        <w:rPr>
          <w:rFonts w:hAnsi="宋体"/>
          <w:color w:val="000000" w:themeColor="text1"/>
          <w:sz w:val="24"/>
          <w:szCs w:val="24"/>
          <w:highlight w:val="none"/>
        </w:rPr>
        <w:fldChar w:fldCharType="end"/>
      </w:r>
      <w:bookmarkStart w:id="0" w:name="_Toc32624"/>
      <w:r>
        <w:rPr>
          <w:rFonts w:hint="eastAsia" w:hAnsi="宋体"/>
          <w:b/>
          <w:color w:val="000000" w:themeColor="text1"/>
          <w:sz w:val="32"/>
          <w:szCs w:val="21"/>
          <w:highlight w:val="none"/>
        </w:rPr>
        <w:t xml:space="preserve"> 第一部分  招标公告</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EA6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tcPr>
          <w:p w14:paraId="00175A06">
            <w:pPr>
              <w:pStyle w:val="18"/>
              <w:spacing w:before="0" w:beforeAutospacing="0" w:after="0" w:afterAutospacing="0" w:line="480" w:lineRule="exact"/>
              <w:ind w:firstLine="480" w:firstLineChars="200"/>
              <w:rPr>
                <w:rFonts w:cs="宋体"/>
                <w:color w:val="000000" w:themeColor="text1"/>
                <w:szCs w:val="24"/>
                <w:highlight w:val="none"/>
              </w:rPr>
            </w:pPr>
            <w:r>
              <w:rPr>
                <w:rFonts w:hint="eastAsia" w:cs="宋体"/>
                <w:color w:val="000000" w:themeColor="text1"/>
                <w:szCs w:val="24"/>
                <w:highlight w:val="none"/>
              </w:rPr>
              <w:t>项目概况：</w:t>
            </w:r>
            <w:r>
              <w:rPr>
                <w:rFonts w:hint="eastAsia" w:cs="宋体"/>
                <w:color w:val="000000" w:themeColor="text1"/>
                <w:szCs w:val="24"/>
                <w:highlight w:val="none"/>
                <w:u w:val="single"/>
                <w:lang w:val="en-US" w:eastAsia="zh-CN"/>
              </w:rPr>
              <w:t>衢州国家高新技术产业开发区（高新片区）调蓄功能提升改造及排水管网建设工程-智造新城防涝减灾综合安全智能管控平台项目-25吨重型水罐排涝泵车采购（项目名称）</w:t>
            </w:r>
            <w:r>
              <w:rPr>
                <w:rFonts w:hint="eastAsia" w:cs="宋体"/>
                <w:color w:val="000000" w:themeColor="text1"/>
                <w:szCs w:val="24"/>
                <w:highlight w:val="none"/>
              </w:rPr>
              <w:t>的潜在投标人应在</w:t>
            </w:r>
            <w:r>
              <w:rPr>
                <w:rFonts w:hint="eastAsia" w:cs="宋体"/>
                <w:color w:val="000000" w:themeColor="text1"/>
                <w:szCs w:val="24"/>
                <w:highlight w:val="none"/>
                <w:u w:val="single"/>
              </w:rPr>
              <w:t>政采云平台</w:t>
            </w:r>
            <w:r>
              <w:rPr>
                <w:rFonts w:hint="eastAsia" w:cs="宋体"/>
                <w:color w:val="000000" w:themeColor="text1"/>
                <w:szCs w:val="24"/>
                <w:highlight w:val="none"/>
                <w:u w:val="none"/>
                <w:lang w:val="en-US" w:eastAsia="zh-CN"/>
              </w:rPr>
              <w:t>线上</w:t>
            </w:r>
            <w:r>
              <w:rPr>
                <w:rFonts w:hint="eastAsia" w:cs="宋体"/>
                <w:color w:val="000000" w:themeColor="text1"/>
                <w:szCs w:val="24"/>
                <w:highlight w:val="none"/>
              </w:rPr>
              <w:t>获取（下载）招标文件，并于</w:t>
            </w:r>
            <w:r>
              <w:rPr>
                <w:rFonts w:hint="eastAsia" w:cs="宋体"/>
                <w:color w:val="000000" w:themeColor="text1"/>
                <w:szCs w:val="24"/>
                <w:highlight w:val="none"/>
                <w:u w:val="single"/>
              </w:rPr>
              <w:t>2024年</w:t>
            </w:r>
            <w:r>
              <w:rPr>
                <w:rFonts w:hint="eastAsia" w:cs="宋体"/>
                <w:color w:val="000000" w:themeColor="text1"/>
                <w:szCs w:val="24"/>
                <w:highlight w:val="none"/>
                <w:u w:val="single"/>
                <w:lang w:val="en-US" w:eastAsia="zh-CN"/>
              </w:rPr>
              <w:t>10</w:t>
            </w:r>
            <w:r>
              <w:rPr>
                <w:rFonts w:hint="eastAsia" w:cs="宋体"/>
                <w:color w:val="000000" w:themeColor="text1"/>
                <w:szCs w:val="24"/>
                <w:highlight w:val="none"/>
                <w:u w:val="single"/>
              </w:rPr>
              <w:t>月</w:t>
            </w:r>
            <w:r>
              <w:rPr>
                <w:rFonts w:hint="eastAsia" w:cs="宋体"/>
                <w:color w:val="000000" w:themeColor="text1"/>
                <w:szCs w:val="24"/>
                <w:highlight w:val="none"/>
                <w:u w:val="single"/>
                <w:lang w:val="en-US" w:eastAsia="zh-CN"/>
              </w:rPr>
              <w:t>21</w:t>
            </w:r>
            <w:r>
              <w:rPr>
                <w:rFonts w:hint="eastAsia" w:cs="宋体"/>
                <w:color w:val="000000" w:themeColor="text1"/>
                <w:szCs w:val="24"/>
                <w:highlight w:val="none"/>
                <w:u w:val="single"/>
              </w:rPr>
              <w:t>日</w:t>
            </w:r>
            <w:r>
              <w:rPr>
                <w:rFonts w:hint="eastAsia" w:cs="宋体"/>
                <w:color w:val="000000" w:themeColor="text1"/>
                <w:szCs w:val="24"/>
                <w:highlight w:val="none"/>
                <w:u w:val="single"/>
                <w:lang w:val="en-US" w:eastAsia="zh-CN"/>
              </w:rPr>
              <w:t>09</w:t>
            </w:r>
            <w:r>
              <w:rPr>
                <w:rFonts w:hint="eastAsia" w:cs="宋体"/>
                <w:color w:val="000000" w:themeColor="text1"/>
                <w:szCs w:val="24"/>
                <w:highlight w:val="none"/>
                <w:u w:val="single"/>
              </w:rPr>
              <w:t>:</w:t>
            </w:r>
            <w:r>
              <w:rPr>
                <w:rFonts w:hint="eastAsia" w:cs="宋体"/>
                <w:color w:val="000000" w:themeColor="text1"/>
                <w:szCs w:val="24"/>
                <w:highlight w:val="none"/>
                <w:u w:val="single"/>
                <w:lang w:val="en-US" w:eastAsia="zh-CN"/>
              </w:rPr>
              <w:t>30</w:t>
            </w:r>
            <w:r>
              <w:rPr>
                <w:rFonts w:hint="eastAsia" w:cs="宋体"/>
                <w:color w:val="000000" w:themeColor="text1"/>
                <w:szCs w:val="24"/>
                <w:highlight w:val="none"/>
                <w:u w:val="single"/>
              </w:rPr>
              <w:t>:00秒</w:t>
            </w:r>
            <w:r>
              <w:rPr>
                <w:rFonts w:hint="eastAsia" w:cs="宋体"/>
                <w:color w:val="000000" w:themeColor="text1"/>
                <w:szCs w:val="24"/>
                <w:highlight w:val="none"/>
              </w:rPr>
              <w:t>（北京时间）前递交（上传）投标文件。</w:t>
            </w:r>
          </w:p>
        </w:tc>
      </w:tr>
    </w:tbl>
    <w:p w14:paraId="57CDBA98">
      <w:pPr>
        <w:snapToGrid w:val="0"/>
        <w:spacing w:line="480" w:lineRule="exact"/>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一、项目基本情况</w:t>
      </w:r>
    </w:p>
    <w:p w14:paraId="629D1609">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项目编号：</w:t>
      </w:r>
      <w:r>
        <w:rPr>
          <w:rFonts w:hint="eastAsia" w:ascii="宋体" w:hAnsi="宋体" w:cs="宋体"/>
          <w:color w:val="000000" w:themeColor="text1"/>
          <w:sz w:val="24"/>
          <w:szCs w:val="24"/>
          <w:highlight w:val="none"/>
          <w:lang w:eastAsia="zh-CN"/>
        </w:rPr>
        <w:t>ZZCG-2024-</w:t>
      </w:r>
      <w:r>
        <w:rPr>
          <w:rFonts w:hint="eastAsia" w:ascii="宋体" w:hAnsi="宋体" w:cs="宋体"/>
          <w:color w:val="000000" w:themeColor="text1"/>
          <w:sz w:val="24"/>
          <w:szCs w:val="24"/>
          <w:highlight w:val="none"/>
          <w:lang w:val="en-US" w:eastAsia="zh-CN"/>
        </w:rPr>
        <w:t>105</w:t>
      </w:r>
      <w:r>
        <w:rPr>
          <w:rFonts w:hint="eastAsia" w:ascii="宋体" w:hAnsi="宋体" w:cs="宋体"/>
          <w:color w:val="000000" w:themeColor="text1"/>
          <w:sz w:val="24"/>
          <w:szCs w:val="24"/>
          <w:highlight w:val="none"/>
        </w:rPr>
        <w:t xml:space="preserve">   </w:t>
      </w:r>
    </w:p>
    <w:p w14:paraId="14C3C198">
      <w:pPr>
        <w:snapToGrid w:val="0"/>
        <w:spacing w:line="480" w:lineRule="exact"/>
        <w:ind w:firstLine="480" w:firstLineChars="200"/>
        <w:jc w:val="left"/>
        <w:outlineLvl w:val="0"/>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项目名称：衢州国家高新技术产业开发区（高新片区）调蓄功能提升改造及排水管网建设工程-智造新城防涝减灾综合安全智能管控平台项目-25吨重型水罐排涝泵车采购</w:t>
      </w:r>
    </w:p>
    <w:p w14:paraId="11354E43">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采购方式：公开招标</w:t>
      </w:r>
    </w:p>
    <w:p w14:paraId="2FD89ADF">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预算金额（元）：</w:t>
      </w:r>
      <w:r>
        <w:rPr>
          <w:rFonts w:hint="eastAsia" w:ascii="宋体" w:hAnsi="宋体" w:cs="宋体"/>
          <w:color w:val="000000" w:themeColor="text1"/>
          <w:sz w:val="24"/>
          <w:szCs w:val="24"/>
          <w:highlight w:val="none"/>
          <w:lang w:val="en-US" w:eastAsia="zh-CN"/>
        </w:rPr>
        <w:t>1900000</w:t>
      </w:r>
      <w:r>
        <w:rPr>
          <w:rFonts w:hint="eastAsia" w:ascii="宋体" w:hAnsi="宋体" w:cs="宋体"/>
          <w:color w:val="000000" w:themeColor="text1"/>
          <w:sz w:val="24"/>
          <w:szCs w:val="24"/>
          <w:highlight w:val="none"/>
        </w:rPr>
        <w:t>元</w:t>
      </w:r>
    </w:p>
    <w:p w14:paraId="6078F3B1">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最高限价（元）：</w:t>
      </w:r>
      <w:r>
        <w:rPr>
          <w:rFonts w:hint="eastAsia" w:ascii="宋体" w:hAnsi="宋体" w:cs="宋体"/>
          <w:color w:val="000000" w:themeColor="text1"/>
          <w:sz w:val="24"/>
          <w:szCs w:val="24"/>
          <w:highlight w:val="none"/>
          <w:lang w:val="en-US" w:eastAsia="zh-CN"/>
        </w:rPr>
        <w:t>1900000</w:t>
      </w:r>
      <w:r>
        <w:rPr>
          <w:rFonts w:hint="eastAsia" w:ascii="宋体" w:hAnsi="宋体" w:cs="宋体"/>
          <w:color w:val="000000" w:themeColor="text1"/>
          <w:sz w:val="24"/>
          <w:szCs w:val="24"/>
          <w:highlight w:val="none"/>
        </w:rPr>
        <w:t>元</w:t>
      </w:r>
    </w:p>
    <w:p w14:paraId="77498E8F">
      <w:pPr>
        <w:snapToGrid w:val="0"/>
        <w:spacing w:line="480" w:lineRule="exact"/>
        <w:ind w:firstLine="480" w:firstLineChars="200"/>
        <w:jc w:val="left"/>
        <w:outlineLvl w:val="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采购需求（内容、用途、数量、简要技术要求等）：</w:t>
      </w:r>
    </w:p>
    <w:tbl>
      <w:tblPr>
        <w:tblStyle w:val="21"/>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3963"/>
        <w:gridCol w:w="587"/>
        <w:gridCol w:w="538"/>
        <w:gridCol w:w="1075"/>
        <w:gridCol w:w="1509"/>
        <w:gridCol w:w="628"/>
      </w:tblGrid>
      <w:tr w14:paraId="277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A54776">
            <w:pPr>
              <w:widowControl/>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3963" w:type="dxa"/>
            <w:tcBorders>
              <w:top w:val="single" w:color="auto" w:sz="4" w:space="0"/>
              <w:left w:val="single" w:color="auto" w:sz="4" w:space="0"/>
              <w:bottom w:val="single" w:color="auto" w:sz="4" w:space="0"/>
              <w:right w:val="single" w:color="auto" w:sz="4" w:space="0"/>
            </w:tcBorders>
            <w:vAlign w:val="center"/>
          </w:tcPr>
          <w:p w14:paraId="2F6CC647">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标项名称</w:t>
            </w:r>
          </w:p>
        </w:tc>
        <w:tc>
          <w:tcPr>
            <w:tcW w:w="587" w:type="dxa"/>
            <w:tcBorders>
              <w:top w:val="single" w:color="auto" w:sz="4" w:space="0"/>
              <w:left w:val="single" w:color="auto" w:sz="4" w:space="0"/>
              <w:bottom w:val="single" w:color="auto" w:sz="4" w:space="0"/>
              <w:right w:val="single" w:color="auto" w:sz="4" w:space="0"/>
            </w:tcBorders>
            <w:vAlign w:val="center"/>
          </w:tcPr>
          <w:p w14:paraId="2DE62C36">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数量</w:t>
            </w:r>
          </w:p>
        </w:tc>
        <w:tc>
          <w:tcPr>
            <w:tcW w:w="538" w:type="dxa"/>
            <w:tcBorders>
              <w:top w:val="single" w:color="auto" w:sz="4" w:space="0"/>
              <w:left w:val="single" w:color="auto" w:sz="4" w:space="0"/>
              <w:bottom w:val="single" w:color="auto" w:sz="4" w:space="0"/>
              <w:right w:val="single" w:color="auto" w:sz="4" w:space="0"/>
            </w:tcBorders>
            <w:vAlign w:val="center"/>
          </w:tcPr>
          <w:p w14:paraId="7B79CE80">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单位</w:t>
            </w:r>
          </w:p>
        </w:tc>
        <w:tc>
          <w:tcPr>
            <w:tcW w:w="1075" w:type="dxa"/>
            <w:tcBorders>
              <w:top w:val="single" w:color="auto" w:sz="4" w:space="0"/>
              <w:left w:val="single" w:color="auto" w:sz="4" w:space="0"/>
              <w:bottom w:val="single" w:color="auto" w:sz="4" w:space="0"/>
              <w:right w:val="single" w:color="auto" w:sz="4" w:space="0"/>
            </w:tcBorders>
            <w:vAlign w:val="center"/>
          </w:tcPr>
          <w:p w14:paraId="59D7D4BC">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w:t>
            </w:r>
          </w:p>
          <w:p w14:paraId="0D00C364">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(万元)</w:t>
            </w:r>
          </w:p>
        </w:tc>
        <w:tc>
          <w:tcPr>
            <w:tcW w:w="1509" w:type="dxa"/>
            <w:tcBorders>
              <w:top w:val="single" w:color="auto" w:sz="4" w:space="0"/>
              <w:left w:val="single" w:color="auto" w:sz="4" w:space="0"/>
              <w:bottom w:val="single" w:color="auto" w:sz="4" w:space="0"/>
              <w:right w:val="single" w:color="auto" w:sz="4" w:space="0"/>
            </w:tcBorders>
            <w:vAlign w:val="center"/>
          </w:tcPr>
          <w:p w14:paraId="3AC28DF2">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简要规格描述或项目基本概况介绍、用途</w:t>
            </w:r>
          </w:p>
        </w:tc>
        <w:tc>
          <w:tcPr>
            <w:tcW w:w="628" w:type="dxa"/>
            <w:tcBorders>
              <w:top w:val="single" w:color="auto" w:sz="4" w:space="0"/>
              <w:left w:val="single" w:color="auto" w:sz="4" w:space="0"/>
              <w:bottom w:val="single" w:color="auto" w:sz="4" w:space="0"/>
              <w:right w:val="single" w:color="auto" w:sz="4" w:space="0"/>
            </w:tcBorders>
            <w:vAlign w:val="center"/>
          </w:tcPr>
          <w:p w14:paraId="76988425">
            <w:pPr>
              <w:snapToGrid w:val="0"/>
              <w:spacing w:line="480" w:lineRule="exact"/>
              <w:jc w:val="center"/>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w:t>
            </w:r>
          </w:p>
        </w:tc>
      </w:tr>
      <w:tr w14:paraId="5D40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2924EB7">
            <w:pPr>
              <w:widowControl/>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标项一</w:t>
            </w:r>
          </w:p>
        </w:tc>
        <w:tc>
          <w:tcPr>
            <w:tcW w:w="3963" w:type="dxa"/>
            <w:tcBorders>
              <w:top w:val="single" w:color="auto" w:sz="4" w:space="0"/>
              <w:left w:val="single" w:color="auto" w:sz="4" w:space="0"/>
              <w:bottom w:val="single" w:color="auto" w:sz="4" w:space="0"/>
              <w:right w:val="single" w:color="auto" w:sz="4" w:space="0"/>
            </w:tcBorders>
            <w:vAlign w:val="center"/>
          </w:tcPr>
          <w:p w14:paraId="4FE22CA3">
            <w:pPr>
              <w:spacing w:line="480" w:lineRule="exact"/>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衢州国家高新技术产业开发区（高新片区）调蓄功能提升改造及排水管网建设工程-智造新城防涝减灾综合安全智能管控平台项目-25吨重型水罐排涝泵车采购</w:t>
            </w:r>
          </w:p>
        </w:tc>
        <w:tc>
          <w:tcPr>
            <w:tcW w:w="587" w:type="dxa"/>
            <w:tcBorders>
              <w:top w:val="single" w:color="auto" w:sz="4" w:space="0"/>
              <w:left w:val="single" w:color="auto" w:sz="4" w:space="0"/>
              <w:bottom w:val="single" w:color="auto" w:sz="4" w:space="0"/>
              <w:right w:val="single" w:color="auto" w:sz="4" w:space="0"/>
            </w:tcBorders>
            <w:vAlign w:val="center"/>
          </w:tcPr>
          <w:p w14:paraId="532A88D7">
            <w:pPr>
              <w:spacing w:line="480" w:lineRule="exact"/>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w:t>
            </w:r>
          </w:p>
        </w:tc>
        <w:tc>
          <w:tcPr>
            <w:tcW w:w="538" w:type="dxa"/>
            <w:tcBorders>
              <w:top w:val="single" w:color="auto" w:sz="4" w:space="0"/>
              <w:left w:val="single" w:color="auto" w:sz="4" w:space="0"/>
              <w:bottom w:val="single" w:color="auto" w:sz="4" w:space="0"/>
              <w:right w:val="single" w:color="auto" w:sz="4" w:space="0"/>
            </w:tcBorders>
            <w:vAlign w:val="center"/>
          </w:tcPr>
          <w:p w14:paraId="36F6C36E">
            <w:pPr>
              <w:spacing w:line="480" w:lineRule="exact"/>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辆</w:t>
            </w:r>
            <w:bookmarkStart w:id="79" w:name="_GoBack"/>
            <w:bookmarkEnd w:id="79"/>
          </w:p>
        </w:tc>
        <w:tc>
          <w:tcPr>
            <w:tcW w:w="1075" w:type="dxa"/>
            <w:tcBorders>
              <w:top w:val="single" w:color="auto" w:sz="4" w:space="0"/>
              <w:left w:val="single" w:color="auto" w:sz="4" w:space="0"/>
              <w:bottom w:val="single" w:color="auto" w:sz="4" w:space="0"/>
              <w:right w:val="single" w:color="auto" w:sz="4" w:space="0"/>
            </w:tcBorders>
            <w:vAlign w:val="center"/>
          </w:tcPr>
          <w:p w14:paraId="02B9F95C">
            <w:pPr>
              <w:spacing w:line="480" w:lineRule="exact"/>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190</w:t>
            </w:r>
          </w:p>
        </w:tc>
        <w:tc>
          <w:tcPr>
            <w:tcW w:w="1509" w:type="dxa"/>
            <w:tcBorders>
              <w:top w:val="single" w:color="auto" w:sz="4" w:space="0"/>
              <w:left w:val="single" w:color="auto" w:sz="4" w:space="0"/>
              <w:bottom w:val="single" w:color="auto" w:sz="4" w:space="0"/>
              <w:right w:val="single" w:color="auto" w:sz="4" w:space="0"/>
            </w:tcBorders>
            <w:vAlign w:val="center"/>
          </w:tcPr>
          <w:p w14:paraId="0A5CE8C0">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详见采购文件第三部分</w:t>
            </w:r>
          </w:p>
        </w:tc>
        <w:tc>
          <w:tcPr>
            <w:tcW w:w="628" w:type="dxa"/>
            <w:tcBorders>
              <w:left w:val="single" w:color="auto" w:sz="4" w:space="0"/>
              <w:right w:val="single" w:color="auto" w:sz="4" w:space="0"/>
            </w:tcBorders>
            <w:vAlign w:val="center"/>
          </w:tcPr>
          <w:p w14:paraId="641F7161">
            <w:pPr>
              <w:snapToGrid w:val="0"/>
              <w:spacing w:line="480" w:lineRule="exact"/>
              <w:jc w:val="center"/>
              <w:outlineLvl w:val="0"/>
              <w:rPr>
                <w:rFonts w:ascii="宋体" w:hAnsi="宋体" w:cs="宋体"/>
                <w:color w:val="000000" w:themeColor="text1"/>
                <w:sz w:val="24"/>
                <w:szCs w:val="24"/>
                <w:highlight w:val="none"/>
              </w:rPr>
            </w:pPr>
          </w:p>
        </w:tc>
      </w:tr>
    </w:tbl>
    <w:p w14:paraId="06F8DDE6">
      <w:pPr>
        <w:autoSpaceDE w:val="0"/>
        <w:autoSpaceDN w:val="0"/>
        <w:adjustRightInd w:val="0"/>
        <w:spacing w:line="480" w:lineRule="exact"/>
        <w:ind w:firstLine="480" w:firstLineChars="200"/>
        <w:rPr>
          <w:rFonts w:hint="default" w:ascii="宋体" w:hAnsi="宋体" w:eastAsia="宋体" w:cs="宋体"/>
          <w:bCs/>
          <w:color w:val="000000" w:themeColor="text1"/>
          <w:sz w:val="24"/>
          <w:szCs w:val="24"/>
          <w:highlight w:val="none"/>
          <w:lang w:val="en-US" w:eastAsia="zh-CN"/>
        </w:rPr>
      </w:pPr>
      <w:r>
        <w:rPr>
          <w:rFonts w:hint="eastAsia" w:ascii="宋体" w:hAnsi="宋体" w:cs="宋体"/>
          <w:bCs/>
          <w:color w:val="000000" w:themeColor="text1"/>
          <w:sz w:val="24"/>
          <w:szCs w:val="24"/>
          <w:highlight w:val="none"/>
        </w:rPr>
        <w:t>合同履行期限：</w:t>
      </w:r>
      <w:r>
        <w:rPr>
          <w:rFonts w:hint="eastAsia" w:ascii="宋体" w:hAnsi="宋体" w:cs="宋体"/>
          <w:bCs/>
          <w:color w:val="000000" w:themeColor="text1"/>
          <w:sz w:val="24"/>
          <w:szCs w:val="24"/>
          <w:highlight w:val="none"/>
          <w:lang w:val="en-US" w:eastAsia="zh-CN"/>
        </w:rPr>
        <w:t>在合同签订后60日历天内交货并完成安装调试。</w:t>
      </w:r>
    </w:p>
    <w:p w14:paraId="6EBD618E">
      <w:pPr>
        <w:autoSpaceDE w:val="0"/>
        <w:autoSpaceDN w:val="0"/>
        <w:adjustRightInd w:val="0"/>
        <w:spacing w:line="480" w:lineRule="exact"/>
        <w:ind w:firstLine="480" w:firstLineChars="200"/>
        <w:rPr>
          <w:rFonts w:ascii="宋体" w:hAnsi="宋体" w:cs="宋体"/>
          <w:b/>
          <w:color w:val="000000" w:themeColor="text1"/>
          <w:sz w:val="24"/>
          <w:szCs w:val="24"/>
          <w:highlight w:val="none"/>
        </w:rPr>
      </w:pPr>
      <w:r>
        <w:rPr>
          <w:rFonts w:hint="eastAsia" w:ascii="宋体" w:hAnsi="宋体" w:cs="宋体"/>
          <w:bCs/>
          <w:color w:val="000000" w:themeColor="text1"/>
          <w:sz w:val="24"/>
          <w:szCs w:val="24"/>
          <w:highlight w:val="none"/>
        </w:rPr>
        <w:t>本项目（否）接受联合体投标。</w:t>
      </w:r>
    </w:p>
    <w:p w14:paraId="7DA26C75">
      <w:pPr>
        <w:autoSpaceDE w:val="0"/>
        <w:autoSpaceDN w:val="0"/>
        <w:adjustRightInd w:val="0"/>
        <w:spacing w:line="480" w:lineRule="exact"/>
        <w:rPr>
          <w:rFonts w:ascii="宋体" w:hAnsi="宋体" w:cs="宋体"/>
          <w:color w:val="000000" w:themeColor="text1"/>
          <w:sz w:val="24"/>
          <w:szCs w:val="24"/>
          <w:highlight w:val="none"/>
        </w:rPr>
      </w:pPr>
      <w:r>
        <w:rPr>
          <w:rFonts w:hint="eastAsia" w:ascii="宋体" w:hAnsi="宋体" w:cs="宋体"/>
          <w:b/>
          <w:color w:val="000000" w:themeColor="text1"/>
          <w:sz w:val="24"/>
          <w:szCs w:val="24"/>
          <w:highlight w:val="none"/>
        </w:rPr>
        <w:t>二、申请人的资格要求：</w:t>
      </w:r>
    </w:p>
    <w:p w14:paraId="64F6B462">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sz w:val="24"/>
          <w:szCs w:val="24"/>
          <w:highlight w:val="none"/>
          <w:lang w:eastAsia="zh-CN"/>
        </w:rPr>
        <w:t>。</w:t>
      </w:r>
    </w:p>
    <w:p w14:paraId="6077809C">
      <w:pPr>
        <w:spacing w:line="360" w:lineRule="auto"/>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2.落实政府采购政策需满足的资格要求：标项1：</w:t>
      </w:r>
      <w:sdt>
        <w:sdtPr>
          <w:rPr>
            <w:rFonts w:hint="eastAsia" w:ascii="宋体" w:hAnsi="宋体" w:eastAsia="宋体" w:cs="宋体"/>
            <w:color w:val="000000" w:themeColor="text1"/>
            <w:kern w:val="0"/>
            <w:sz w:val="24"/>
            <w:szCs w:val="24"/>
            <w:highlight w:val="none"/>
          </w:rPr>
          <w:id w:val="1259492708"/>
        </w:sdtPr>
        <w:sdtEndPr>
          <w:rPr>
            <w:rFonts w:hint="eastAsia" w:ascii="宋体" w:hAnsi="宋体" w:eastAsia="宋体" w:cs="宋体"/>
            <w:color w:val="000000" w:themeColor="text1"/>
            <w:kern w:val="0"/>
            <w:sz w:val="24"/>
            <w:szCs w:val="24"/>
            <w:highlight w:val="none"/>
          </w:rPr>
        </w:sdtEndPr>
        <w:sdtContent/>
      </w:sdt>
      <w:r>
        <w:rPr>
          <w:rFonts w:hint="eastAsia" w:ascii="宋体" w:hAnsi="宋体" w:eastAsia="宋体" w:cs="宋体"/>
          <w:color w:val="000000" w:themeColor="text1"/>
          <w:kern w:val="28"/>
          <w:sz w:val="24"/>
          <w:szCs w:val="24"/>
          <w:highlight w:val="none"/>
        </w:rPr>
        <w:t>无；</w:t>
      </w:r>
    </w:p>
    <w:p w14:paraId="3A9899DA">
      <w:pPr>
        <w:autoSpaceDE w:val="0"/>
        <w:autoSpaceDN w:val="0"/>
        <w:adjustRightInd w:val="0"/>
        <w:spacing w:line="360" w:lineRule="auto"/>
        <w:ind w:firstLine="480" w:firstLineChars="200"/>
        <w:rPr>
          <w:rFonts w:ascii="宋体" w:hAnsi="宋体"/>
          <w:color w:val="000000" w:themeColor="text1"/>
          <w:sz w:val="24"/>
          <w:highlight w:val="none"/>
          <w:u w:val="single"/>
        </w:rPr>
      </w:pPr>
      <w:r>
        <w:rPr>
          <w:rFonts w:hint="eastAsia" w:ascii="宋体" w:hAnsi="宋体" w:cs="宋体"/>
          <w:color w:val="000000" w:themeColor="text1"/>
          <w:sz w:val="24"/>
          <w:szCs w:val="24"/>
          <w:highlight w:val="none"/>
        </w:rPr>
        <w:t>3.本项目的特定资格要求：</w:t>
      </w:r>
      <w:bookmarkStart w:id="1" w:name="_Toc35393792"/>
      <w:bookmarkStart w:id="2" w:name="_Toc35393623"/>
      <w:r>
        <w:rPr>
          <w:rFonts w:hint="eastAsia" w:ascii="宋体" w:hAnsi="宋体" w:cs="宋体"/>
          <w:color w:val="000000" w:themeColor="text1"/>
          <w:sz w:val="24"/>
          <w:szCs w:val="24"/>
          <w:highlight w:val="none"/>
        </w:rPr>
        <w:t>无。</w:t>
      </w:r>
    </w:p>
    <w:p w14:paraId="4382045F">
      <w:pPr>
        <w:pStyle w:val="4"/>
        <w:adjustRightInd w:val="0"/>
        <w:snapToGrid w:val="0"/>
        <w:spacing w:line="480" w:lineRule="exact"/>
        <w:ind w:left="0" w:firstLine="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三、获取招标文件</w:t>
      </w:r>
      <w:bookmarkEnd w:id="1"/>
      <w:bookmarkEnd w:id="2"/>
    </w:p>
    <w:p w14:paraId="72F4DD13">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时间：招标公告发布之日起至2024年</w:t>
      </w:r>
      <w:r>
        <w:rPr>
          <w:rFonts w:hint="eastAsia" w:cs="宋体"/>
          <w:bCs/>
          <w:color w:val="000000" w:themeColor="text1"/>
          <w:szCs w:val="24"/>
          <w:highlight w:val="none"/>
          <w:lang w:val="en-US" w:eastAsia="zh-CN"/>
        </w:rPr>
        <w:t>10</w:t>
      </w:r>
      <w:r>
        <w:rPr>
          <w:rFonts w:hint="eastAsia" w:cs="宋体"/>
          <w:bCs/>
          <w:color w:val="000000" w:themeColor="text1"/>
          <w:szCs w:val="24"/>
          <w:highlight w:val="none"/>
        </w:rPr>
        <w:t>月</w:t>
      </w:r>
      <w:r>
        <w:rPr>
          <w:rFonts w:hint="eastAsia" w:cs="宋体"/>
          <w:bCs/>
          <w:color w:val="000000" w:themeColor="text1"/>
          <w:szCs w:val="24"/>
          <w:highlight w:val="none"/>
          <w:lang w:val="en-US" w:eastAsia="zh-CN"/>
        </w:rPr>
        <w:t>21</w:t>
      </w:r>
      <w:r>
        <w:rPr>
          <w:rFonts w:hint="eastAsia" w:cs="宋体"/>
          <w:bCs/>
          <w:color w:val="000000" w:themeColor="text1"/>
          <w:szCs w:val="24"/>
          <w:highlight w:val="none"/>
        </w:rPr>
        <w:t>日，每天上午00：:00至12:00，下午12:00至23:59（北京时间，线上获取法定节假日均可，线下获取文件法定节假日除外）</w:t>
      </w:r>
    </w:p>
    <w:p w14:paraId="5BCD459F">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 xml:space="preserve">地点（网址）：政采云平台线上获取 </w:t>
      </w:r>
    </w:p>
    <w:p w14:paraId="510A27A4">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 xml:space="preserve">方式：供应商登录政采云平台https://www.zcygov.cn/在线申请获取采购文件（进入“项目采购”应用，在获取采购文件菜单中选择项目，申请获取采购文件） </w:t>
      </w:r>
    </w:p>
    <w:p w14:paraId="6DB21A63">
      <w:pPr>
        <w:snapToGrid w:val="0"/>
        <w:spacing w:line="480" w:lineRule="exact"/>
        <w:ind w:firstLine="480" w:firstLineChars="200"/>
        <w:rPr>
          <w:rFonts w:ascii="宋体" w:hAnsi="宋体" w:cs="宋体"/>
          <w:bCs/>
          <w:color w:val="000000" w:themeColor="text1"/>
          <w:kern w:val="0"/>
          <w:sz w:val="24"/>
          <w:szCs w:val="24"/>
          <w:highlight w:val="none"/>
        </w:rPr>
      </w:pPr>
      <w:r>
        <w:rPr>
          <w:rFonts w:hint="eastAsia" w:ascii="宋体" w:hAnsi="宋体" w:cs="宋体"/>
          <w:bCs/>
          <w:color w:val="000000" w:themeColor="text1"/>
          <w:kern w:val="0"/>
          <w:sz w:val="24"/>
          <w:szCs w:val="24"/>
          <w:highlight w:val="none"/>
        </w:rPr>
        <w:t xml:space="preserve">售价（元）：0 </w:t>
      </w:r>
      <w:bookmarkStart w:id="3" w:name="_Toc35393625"/>
      <w:bookmarkStart w:id="4" w:name="_Toc35393794"/>
      <w:bookmarkStart w:id="5" w:name="_Toc28359084"/>
      <w:bookmarkStart w:id="6" w:name="_Toc28359007"/>
    </w:p>
    <w:p w14:paraId="275E4139">
      <w:pPr>
        <w:snapToGrid w:val="0"/>
        <w:spacing w:line="480" w:lineRule="exac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四、提交投标文件截止时间、开标时间和地点</w:t>
      </w:r>
    </w:p>
    <w:p w14:paraId="37E2C48C">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提交投标文件截止时间：202</w:t>
      </w:r>
      <w:r>
        <w:rPr>
          <w:rFonts w:hint="eastAsia" w:ascii="宋体" w:hAnsi="宋体" w:cs="宋体"/>
          <w:color w:val="000000" w:themeColor="text1"/>
          <w:sz w:val="24"/>
          <w:szCs w:val="24"/>
          <w:highlight w:val="none"/>
        </w:rPr>
        <w:t>4</w:t>
      </w:r>
      <w:r>
        <w:rPr>
          <w:rFonts w:hint="eastAsia" w:ascii="宋体" w:hAnsi="宋体" w:cs="宋体"/>
          <w:color w:val="000000" w:themeColor="text1"/>
          <w:sz w:val="24"/>
          <w:szCs w:val="24"/>
          <w:highlight w:val="none"/>
          <w:lang w:val="zh-CN"/>
        </w:rPr>
        <w:t>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lang w:val="zh-CN"/>
        </w:rPr>
        <w:t>月</w:t>
      </w:r>
      <w:r>
        <w:rPr>
          <w:rFonts w:hint="eastAsia" w:ascii="宋体" w:hAnsi="宋体" w:cs="宋体"/>
          <w:color w:val="000000" w:themeColor="text1"/>
          <w:sz w:val="24"/>
          <w:szCs w:val="24"/>
          <w:highlight w:val="none"/>
          <w:lang w:val="en-US" w:eastAsia="zh-CN"/>
        </w:rPr>
        <w:t>21</w:t>
      </w:r>
      <w:r>
        <w:rPr>
          <w:rFonts w:hint="eastAsia" w:ascii="宋体" w:hAnsi="宋体" w:cs="宋体"/>
          <w:color w:val="000000" w:themeColor="text1"/>
          <w:sz w:val="24"/>
          <w:szCs w:val="24"/>
          <w:highlight w:val="none"/>
          <w:lang w:val="zh-CN"/>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lang w:val="zh-CN"/>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zh-CN"/>
        </w:rPr>
        <w:t>（北京时间）</w:t>
      </w:r>
    </w:p>
    <w:p w14:paraId="2153ED08">
      <w:pPr>
        <w:spacing w:line="480" w:lineRule="exact"/>
        <w:ind w:firstLine="480" w:firstLineChars="200"/>
        <w:jc w:val="left"/>
        <w:rPr>
          <w:rFonts w:hint="eastAsia" w:ascii="宋体" w:hAnsi="宋体" w:cs="宋体"/>
          <w:b w:val="0"/>
          <w:bCs w:val="0"/>
          <w:color w:val="000000" w:themeColor="text1"/>
          <w:sz w:val="24"/>
          <w:szCs w:val="24"/>
          <w:highlight w:val="none"/>
          <w:lang w:val="zh-CN"/>
        </w:rPr>
      </w:pPr>
      <w:r>
        <w:rPr>
          <w:rFonts w:hint="eastAsia" w:ascii="宋体" w:hAnsi="宋体" w:cs="宋体"/>
          <w:color w:val="000000" w:themeColor="text1"/>
          <w:sz w:val="24"/>
          <w:szCs w:val="24"/>
          <w:highlight w:val="none"/>
          <w:lang w:val="zh-CN"/>
        </w:rPr>
        <w:t>投标地点（网址）：</w:t>
      </w:r>
      <w:r>
        <w:rPr>
          <w:rFonts w:hint="eastAsia" w:ascii="宋体" w:hAnsi="宋体" w:cs="宋体"/>
          <w:b w:val="0"/>
          <w:bCs w:val="0"/>
          <w:color w:val="000000" w:themeColor="text1"/>
          <w:sz w:val="24"/>
          <w:szCs w:val="24"/>
          <w:highlight w:val="none"/>
          <w:lang w:val="zh-CN"/>
        </w:rPr>
        <w:t>请登录政采云投标客户端投标</w:t>
      </w:r>
    </w:p>
    <w:p w14:paraId="3F6F1A3E">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开标时间：202</w:t>
      </w:r>
      <w:r>
        <w:rPr>
          <w:rFonts w:hint="eastAsia" w:ascii="宋体" w:hAnsi="宋体" w:cs="宋体"/>
          <w:color w:val="000000" w:themeColor="text1"/>
          <w:sz w:val="24"/>
          <w:szCs w:val="24"/>
          <w:highlight w:val="none"/>
        </w:rPr>
        <w:t>4</w:t>
      </w:r>
      <w:r>
        <w:rPr>
          <w:rFonts w:hint="eastAsia" w:ascii="宋体" w:hAnsi="宋体" w:cs="宋体"/>
          <w:color w:val="000000" w:themeColor="text1"/>
          <w:sz w:val="24"/>
          <w:szCs w:val="24"/>
          <w:highlight w:val="none"/>
          <w:lang w:val="zh-CN"/>
        </w:rPr>
        <w:t>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lang w:val="zh-CN"/>
        </w:rPr>
        <w:t>月</w:t>
      </w:r>
      <w:r>
        <w:rPr>
          <w:rFonts w:hint="eastAsia" w:ascii="宋体" w:hAnsi="宋体" w:cs="宋体"/>
          <w:color w:val="000000" w:themeColor="text1"/>
          <w:sz w:val="24"/>
          <w:szCs w:val="24"/>
          <w:highlight w:val="none"/>
          <w:lang w:val="en-US" w:eastAsia="zh-CN"/>
        </w:rPr>
        <w:t>21</w:t>
      </w:r>
      <w:r>
        <w:rPr>
          <w:rFonts w:hint="eastAsia" w:ascii="宋体" w:hAnsi="宋体" w:cs="宋体"/>
          <w:color w:val="000000" w:themeColor="text1"/>
          <w:sz w:val="24"/>
          <w:szCs w:val="24"/>
          <w:highlight w:val="none"/>
          <w:lang w:val="zh-CN"/>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lang w:val="zh-CN"/>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zh-CN"/>
        </w:rPr>
        <w:t xml:space="preserve">（北京时间） </w:t>
      </w:r>
    </w:p>
    <w:p w14:paraId="6B7CCA32">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开标地点（网址）：</w:t>
      </w:r>
      <w:r>
        <w:rPr>
          <w:rFonts w:hint="eastAsia" w:ascii="宋体" w:hAnsi="宋体" w:cs="宋体"/>
          <w:color w:val="000000" w:themeColor="text1"/>
          <w:sz w:val="24"/>
          <w:szCs w:val="24"/>
          <w:highlight w:val="none"/>
        </w:rPr>
        <w:t xml:space="preserve">衢州智造新城公共资源交易中心（世纪大道767号）九楼开标厅；同步在“政采云远程开标大厅”在线开标。 </w:t>
      </w:r>
    </w:p>
    <w:p w14:paraId="0AA50064">
      <w:pPr>
        <w:snapToGrid w:val="0"/>
        <w:spacing w:line="480" w:lineRule="exac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五、公告期限</w:t>
      </w:r>
      <w:bookmarkEnd w:id="3"/>
      <w:bookmarkEnd w:id="4"/>
      <w:bookmarkEnd w:id="5"/>
      <w:bookmarkEnd w:id="6"/>
    </w:p>
    <w:p w14:paraId="456116FB">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自本公告发布之日起5个工作日。</w:t>
      </w:r>
    </w:p>
    <w:p w14:paraId="374D1C0D">
      <w:pPr>
        <w:snapToGrid w:val="0"/>
        <w:spacing w:line="480" w:lineRule="exact"/>
        <w:rPr>
          <w:rFonts w:ascii="宋体" w:hAnsi="宋体" w:cs="宋体"/>
          <w:b/>
          <w:bCs/>
          <w:color w:val="000000" w:themeColor="text1"/>
          <w:sz w:val="24"/>
          <w:szCs w:val="24"/>
          <w:highlight w:val="none"/>
        </w:rPr>
      </w:pPr>
      <w:bookmarkStart w:id="7" w:name="_Toc35393793"/>
      <w:bookmarkStart w:id="8" w:name="_Toc28359082"/>
      <w:bookmarkStart w:id="9" w:name="_Toc28359005"/>
      <w:bookmarkStart w:id="10" w:name="_Toc35393624"/>
      <w:r>
        <w:rPr>
          <w:rFonts w:hint="eastAsia" w:ascii="宋体" w:hAnsi="宋体" w:cs="宋体"/>
          <w:b/>
          <w:bCs/>
          <w:color w:val="000000" w:themeColor="text1"/>
          <w:sz w:val="24"/>
          <w:szCs w:val="24"/>
          <w:highlight w:val="none"/>
        </w:rPr>
        <w:t>六、</w:t>
      </w:r>
      <w:bookmarkEnd w:id="7"/>
      <w:bookmarkEnd w:id="8"/>
      <w:bookmarkEnd w:id="9"/>
      <w:bookmarkEnd w:id="10"/>
      <w:r>
        <w:rPr>
          <w:rFonts w:hint="eastAsia" w:ascii="宋体" w:hAnsi="宋体" w:cs="宋体"/>
          <w:b/>
          <w:bCs/>
          <w:color w:val="000000" w:themeColor="text1"/>
          <w:sz w:val="24"/>
          <w:szCs w:val="24"/>
          <w:highlight w:val="none"/>
        </w:rPr>
        <w:t>其他补充事宜</w:t>
      </w:r>
    </w:p>
    <w:p w14:paraId="37762E77">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E391DFB">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920F4F">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C4E18">
      <w:pPr>
        <w:pStyle w:val="4"/>
        <w:adjustRightInd w:val="0"/>
        <w:snapToGrid w:val="0"/>
        <w:spacing w:line="480" w:lineRule="exact"/>
        <w:ind w:left="0" w:firstLine="0"/>
        <w:rPr>
          <w:rFonts w:ascii="宋体" w:hAnsi="宋体" w:eastAsia="宋体" w:cs="宋体"/>
          <w:bCs/>
          <w:color w:val="000000" w:themeColor="text1"/>
          <w:sz w:val="24"/>
          <w:szCs w:val="24"/>
          <w:highlight w:val="none"/>
        </w:rPr>
      </w:pPr>
      <w:bookmarkStart w:id="11" w:name="_Toc35393627"/>
      <w:bookmarkStart w:id="12" w:name="_Toc28359085"/>
      <w:bookmarkStart w:id="13" w:name="_Toc28359008"/>
      <w:bookmarkStart w:id="14" w:name="_Toc35393796"/>
      <w:r>
        <w:rPr>
          <w:rFonts w:hint="eastAsia" w:ascii="宋体" w:hAnsi="宋体" w:eastAsia="宋体" w:cs="宋体"/>
          <w:bCs/>
          <w:color w:val="000000" w:themeColor="text1"/>
          <w:sz w:val="24"/>
          <w:szCs w:val="24"/>
          <w:highlight w:val="none"/>
        </w:rPr>
        <w:t>七、对本次招标提出询问，请按以下方式联系</w:t>
      </w:r>
      <w:bookmarkEnd w:id="11"/>
      <w:bookmarkEnd w:id="12"/>
      <w:bookmarkEnd w:id="13"/>
      <w:bookmarkEnd w:id="14"/>
    </w:p>
    <w:p w14:paraId="5370D02C">
      <w:pPr>
        <w:spacing w:line="48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1.采购人信息</w:t>
      </w:r>
    </w:p>
    <w:p w14:paraId="67220060">
      <w:pPr>
        <w:spacing w:line="480" w:lineRule="exact"/>
        <w:ind w:firstLine="480" w:firstLineChars="200"/>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名</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称：</w:t>
      </w:r>
      <w:r>
        <w:rPr>
          <w:rFonts w:hint="eastAsia" w:ascii="宋体" w:hAnsi="宋体" w:cs="宋体"/>
          <w:color w:val="000000" w:themeColor="text1"/>
          <w:kern w:val="0"/>
          <w:sz w:val="24"/>
          <w:highlight w:val="none"/>
          <w:lang w:eastAsia="zh-CN"/>
        </w:rPr>
        <w:t>衢州智造新城管理委员会</w:t>
      </w:r>
    </w:p>
    <w:p w14:paraId="66202BB7">
      <w:pPr>
        <w:spacing w:line="480" w:lineRule="exact"/>
        <w:ind w:firstLine="480" w:firstLineChars="200"/>
        <w:jc w:val="left"/>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址：衢州市世纪大道767号</w:t>
      </w:r>
    </w:p>
    <w:p w14:paraId="4C1B9590">
      <w:pPr>
        <w:spacing w:line="480" w:lineRule="exact"/>
        <w:ind w:firstLine="480" w:firstLineChars="200"/>
        <w:jc w:val="left"/>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w:t>
      </w:r>
      <w:r>
        <w:rPr>
          <w:rFonts w:hint="eastAsia" w:ascii="宋体" w:hAnsi="宋体" w:eastAsia="宋体" w:cs="宋体"/>
          <w:color w:val="000000" w:themeColor="text1"/>
          <w:sz w:val="24"/>
          <w:szCs w:val="24"/>
          <w:highlight w:val="none"/>
          <w:lang w:eastAsia="zh-CN"/>
        </w:rPr>
        <w:t>联系人：</w:t>
      </w:r>
      <w:r>
        <w:rPr>
          <w:rFonts w:hint="eastAsia" w:ascii="宋体" w:hAnsi="宋体" w:cs="宋体"/>
          <w:color w:val="000000" w:themeColor="text1"/>
          <w:sz w:val="24"/>
          <w:szCs w:val="24"/>
          <w:highlight w:val="none"/>
          <w:lang w:val="en-US" w:eastAsia="zh-CN"/>
        </w:rPr>
        <w:t>张女士</w:t>
      </w:r>
    </w:p>
    <w:p w14:paraId="0E75E5A1">
      <w:pPr>
        <w:spacing w:line="480" w:lineRule="exact"/>
        <w:ind w:firstLine="480" w:firstLineChars="200"/>
        <w:jc w:val="left"/>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w:t>
      </w:r>
      <w:r>
        <w:rPr>
          <w:rFonts w:hint="eastAsia" w:ascii="宋体" w:hAnsi="宋体" w:eastAsia="宋体" w:cs="宋体"/>
          <w:color w:val="000000" w:themeColor="text1"/>
          <w:sz w:val="24"/>
          <w:szCs w:val="24"/>
          <w:highlight w:val="none"/>
        </w:rPr>
        <w:t>联系方式：</w:t>
      </w:r>
      <w:bookmarkStart w:id="15" w:name="_Toc28359086"/>
      <w:bookmarkStart w:id="16" w:name="_Toc28359009"/>
      <w:r>
        <w:rPr>
          <w:rFonts w:hint="eastAsia" w:ascii="宋体" w:hAnsi="宋体" w:eastAsia="宋体" w:cs="宋体"/>
          <w:color w:val="000000" w:themeColor="text1"/>
          <w:sz w:val="24"/>
          <w:szCs w:val="24"/>
          <w:highlight w:val="none"/>
        </w:rPr>
        <w:t>0570-8767985</w:t>
      </w:r>
    </w:p>
    <w:p w14:paraId="49C10522">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2.采购代理机构信息</w:t>
      </w:r>
      <w:bookmarkEnd w:id="15"/>
      <w:bookmarkEnd w:id="16"/>
    </w:p>
    <w:p w14:paraId="26A3CD4A">
      <w:pPr>
        <w:widowControl/>
        <w:kinsoku/>
        <w:wordWrap/>
        <w:overflowPunct/>
        <w:topLinePunct w:val="0"/>
        <w:bidi w:val="0"/>
        <w:spacing w:line="470" w:lineRule="exact"/>
        <w:ind w:firstLine="480" w:firstLineChars="200"/>
        <w:contextualSpacing/>
        <w:textAlignment w:val="auto"/>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 xml:space="preserve">名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称：</w:t>
      </w:r>
      <w:r>
        <w:rPr>
          <w:rFonts w:hint="eastAsia" w:ascii="宋体" w:hAnsi="宋体" w:cs="宋体"/>
          <w:color w:val="000000" w:themeColor="text1"/>
          <w:kern w:val="0"/>
          <w:sz w:val="24"/>
          <w:highlight w:val="none"/>
        </w:rPr>
        <w:t>浙江欣成工程咨询有限公司</w:t>
      </w:r>
    </w:p>
    <w:p w14:paraId="0C6C2940">
      <w:pPr>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址：衢州市柯城区荷五路761号</w:t>
      </w:r>
    </w:p>
    <w:p w14:paraId="359835AA">
      <w:pPr>
        <w:pStyle w:val="12"/>
        <w:spacing w:line="480" w:lineRule="exact"/>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项目联系人：</w:t>
      </w:r>
      <w:r>
        <w:rPr>
          <w:rFonts w:hint="eastAsia" w:hAnsi="宋体" w:cs="宋体"/>
          <w:color w:val="000000" w:themeColor="text1"/>
          <w:sz w:val="24"/>
          <w:szCs w:val="24"/>
          <w:highlight w:val="none"/>
          <w:lang w:val="en-US" w:eastAsia="zh-CN"/>
        </w:rPr>
        <w:t>余</w:t>
      </w:r>
      <w:r>
        <w:rPr>
          <w:rFonts w:hint="eastAsia" w:hAnsi="宋体" w:cs="宋体"/>
          <w:color w:val="000000" w:themeColor="text1"/>
          <w:sz w:val="24"/>
          <w:szCs w:val="24"/>
          <w:highlight w:val="none"/>
        </w:rPr>
        <w:t>女士</w:t>
      </w:r>
    </w:p>
    <w:p w14:paraId="47E61130">
      <w:pPr>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话：18268065306</w:t>
      </w:r>
    </w:p>
    <w:p w14:paraId="795F4BF6">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3.同级政府采购监督管理部门            </w:t>
      </w:r>
    </w:p>
    <w:p w14:paraId="17072DE3">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    称：</w:t>
      </w:r>
      <w:r>
        <w:rPr>
          <w:rFonts w:hint="eastAsia" w:ascii="宋体" w:hAnsi="宋体" w:cs="宋体"/>
          <w:color w:val="000000" w:themeColor="text1"/>
          <w:kern w:val="0"/>
          <w:sz w:val="24"/>
          <w:highlight w:val="none"/>
        </w:rPr>
        <w:t>衢州智造新城管理委员会财政</w:t>
      </w:r>
      <w:r>
        <w:rPr>
          <w:rFonts w:hint="eastAsia" w:ascii="宋体" w:hAnsi="宋体" w:cs="宋体"/>
          <w:color w:val="000000" w:themeColor="text1"/>
          <w:kern w:val="0"/>
          <w:sz w:val="24"/>
          <w:highlight w:val="none"/>
          <w:lang w:val="en-US" w:eastAsia="zh-CN"/>
        </w:rPr>
        <w:t>局</w:t>
      </w:r>
      <w:r>
        <w:rPr>
          <w:rFonts w:hint="eastAsia" w:ascii="宋体" w:hAnsi="宋体" w:cs="宋体"/>
          <w:color w:val="000000" w:themeColor="text1"/>
          <w:sz w:val="24"/>
          <w:szCs w:val="24"/>
          <w:highlight w:val="none"/>
        </w:rPr>
        <w:t xml:space="preserve">        </w:t>
      </w:r>
    </w:p>
    <w:p w14:paraId="49A47ABF">
      <w:pPr>
        <w:spacing w:line="480" w:lineRule="exact"/>
        <w:ind w:firstLine="480" w:firstLineChars="200"/>
        <w:jc w:val="left"/>
        <w:rPr>
          <w:rFonts w:hint="eastAsia" w:ascii="宋体" w:hAnsi="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地    址：</w:t>
      </w:r>
      <w:r>
        <w:rPr>
          <w:rFonts w:hint="eastAsia" w:ascii="宋体" w:hAnsi="宋体" w:cs="宋体"/>
          <w:color w:val="000000" w:themeColor="text1"/>
          <w:kern w:val="0"/>
          <w:sz w:val="24"/>
          <w:highlight w:val="none"/>
        </w:rPr>
        <w:t xml:space="preserve">衢州市世纪大道677号五楼 </w:t>
      </w:r>
      <w:r>
        <w:rPr>
          <w:rFonts w:hint="eastAsia" w:ascii="宋体" w:hAnsi="宋体" w:cs="宋体"/>
          <w:color w:val="000000" w:themeColor="text1"/>
          <w:sz w:val="24"/>
          <w:szCs w:val="24"/>
          <w:highlight w:val="none"/>
          <w:lang w:eastAsia="zh-CN"/>
        </w:rPr>
        <w:t xml:space="preserve">      </w:t>
      </w:r>
    </w:p>
    <w:p w14:paraId="0A0AFDD5">
      <w:pPr>
        <w:spacing w:line="480" w:lineRule="exact"/>
        <w:ind w:firstLine="480" w:firstLineChars="200"/>
        <w:jc w:val="left"/>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eastAsia="zh-CN"/>
        </w:rPr>
        <w:t>监督投诉电话：</w:t>
      </w:r>
      <w:r>
        <w:rPr>
          <w:rFonts w:hint="eastAsia" w:ascii="宋体" w:hAnsi="宋体" w:cs="宋体"/>
          <w:color w:val="000000" w:themeColor="text1"/>
          <w:kern w:val="0"/>
          <w:sz w:val="24"/>
          <w:highlight w:val="none"/>
          <w:lang w:eastAsia="zh-CN"/>
        </w:rPr>
        <w:t>0570-3851410</w:t>
      </w:r>
    </w:p>
    <w:p w14:paraId="4A80E8A2">
      <w:pPr>
        <w:widowControl/>
        <w:spacing w:line="480" w:lineRule="exact"/>
        <w:ind w:firstLine="480" w:firstLineChars="200"/>
        <w:jc w:val="left"/>
        <w:rPr>
          <w:rFonts w:ascii="宋体" w:hAnsi="宋体" w:cs="宋体"/>
          <w:color w:val="000000" w:themeColor="text1"/>
          <w:sz w:val="24"/>
          <w:szCs w:val="24"/>
          <w:highlight w:val="none"/>
        </w:rPr>
      </w:pPr>
    </w:p>
    <w:bookmarkEnd w:id="0"/>
    <w:p w14:paraId="2998F5A1">
      <w:pPr>
        <w:pStyle w:val="12"/>
        <w:pageBreakBefore/>
        <w:numPr>
          <w:ilvl w:val="0"/>
          <w:numId w:val="1"/>
        </w:numPr>
        <w:adjustRightInd w:val="0"/>
        <w:snapToGrid w:val="0"/>
        <w:spacing w:line="360" w:lineRule="auto"/>
        <w:jc w:val="center"/>
        <w:outlineLvl w:val="0"/>
        <w:rPr>
          <w:rFonts w:hAnsi="宋体"/>
          <w:b/>
          <w:color w:val="000000" w:themeColor="text1"/>
          <w:sz w:val="32"/>
          <w:szCs w:val="21"/>
          <w:highlight w:val="none"/>
        </w:rPr>
      </w:pPr>
      <w:bookmarkStart w:id="17" w:name="_Toc31506"/>
      <w:bookmarkEnd w:id="17"/>
      <w:bookmarkStart w:id="18" w:name="_Toc225840107"/>
      <w:r>
        <w:rPr>
          <w:rFonts w:hint="eastAsia" w:hAnsi="宋体"/>
          <w:b/>
          <w:color w:val="000000" w:themeColor="text1"/>
          <w:sz w:val="32"/>
          <w:szCs w:val="21"/>
          <w:highlight w:val="none"/>
        </w:rPr>
        <w:t xml:space="preserve"> 投标须知前附表及投标须知</w:t>
      </w:r>
    </w:p>
    <w:p w14:paraId="4587EC89">
      <w:pPr>
        <w:snapToGrid w:val="0"/>
        <w:spacing w:line="360" w:lineRule="auto"/>
        <w:jc w:val="left"/>
        <w:outlineLvl w:val="1"/>
        <w:rPr>
          <w:color w:val="000000" w:themeColor="text1"/>
          <w:sz w:val="24"/>
          <w:szCs w:val="24"/>
          <w:highlight w:val="none"/>
        </w:rPr>
      </w:pPr>
      <w:bookmarkStart w:id="19" w:name="_Toc359856797"/>
      <w:bookmarkStart w:id="20" w:name="_Toc356371431"/>
      <w:r>
        <w:rPr>
          <w:rFonts w:hint="eastAsia" w:ascii="宋体" w:hAnsi="宋体" w:cs="宋体"/>
          <w:b/>
          <w:color w:val="000000" w:themeColor="text1"/>
          <w:sz w:val="24"/>
          <w:szCs w:val="24"/>
          <w:highlight w:val="none"/>
        </w:rPr>
        <w:t>一、投标须知前附表</w:t>
      </w:r>
      <w:bookmarkEnd w:id="19"/>
      <w:bookmarkEnd w:id="20"/>
    </w:p>
    <w:tbl>
      <w:tblPr>
        <w:tblStyle w:val="21"/>
        <w:tblW w:w="92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749"/>
        <w:gridCol w:w="6713"/>
      </w:tblGrid>
      <w:tr w14:paraId="11744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tblHeader/>
          <w:jc w:val="center"/>
        </w:trPr>
        <w:tc>
          <w:tcPr>
            <w:tcW w:w="780" w:type="dxa"/>
            <w:tcBorders>
              <w:tl2br w:val="nil"/>
              <w:tr2bl w:val="nil"/>
            </w:tcBorders>
            <w:vAlign w:val="center"/>
          </w:tcPr>
          <w:p w14:paraId="42F08C00">
            <w:pPr>
              <w:spacing w:line="276"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1749" w:type="dxa"/>
            <w:tcBorders>
              <w:tl2br w:val="nil"/>
              <w:tr2bl w:val="nil"/>
            </w:tcBorders>
            <w:vAlign w:val="center"/>
          </w:tcPr>
          <w:p w14:paraId="54FDE41D">
            <w:pPr>
              <w:spacing w:line="276"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名称</w:t>
            </w:r>
          </w:p>
        </w:tc>
        <w:tc>
          <w:tcPr>
            <w:tcW w:w="6713" w:type="dxa"/>
            <w:tcBorders>
              <w:tl2br w:val="nil"/>
              <w:tr2bl w:val="nil"/>
            </w:tcBorders>
            <w:vAlign w:val="center"/>
          </w:tcPr>
          <w:p w14:paraId="0663ABB7">
            <w:pPr>
              <w:spacing w:line="276" w:lineRule="auto"/>
              <w:jc w:val="center"/>
              <w:rPr>
                <w:rFonts w:ascii="宋体" w:hAnsi="宋体"/>
                <w:b/>
                <w:color w:val="000000" w:themeColor="text1"/>
                <w:sz w:val="24"/>
                <w:highlight w:val="none"/>
              </w:rPr>
            </w:pPr>
            <w:r>
              <w:rPr>
                <w:rFonts w:hint="eastAsia" w:ascii="宋体" w:hAnsi="宋体" w:cs="宋体"/>
                <w:color w:val="000000" w:themeColor="text1"/>
                <w:sz w:val="24"/>
                <w:szCs w:val="24"/>
                <w:highlight w:val="none"/>
              </w:rPr>
              <w:t>说明与要求</w:t>
            </w:r>
          </w:p>
        </w:tc>
      </w:tr>
      <w:tr w14:paraId="261FF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780" w:type="dxa"/>
            <w:tcBorders>
              <w:tl2br w:val="nil"/>
              <w:tr2bl w:val="nil"/>
            </w:tcBorders>
            <w:vAlign w:val="center"/>
          </w:tcPr>
          <w:p w14:paraId="49591CF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w:t>
            </w:r>
          </w:p>
        </w:tc>
        <w:tc>
          <w:tcPr>
            <w:tcW w:w="1749" w:type="dxa"/>
            <w:tcBorders>
              <w:tl2br w:val="nil"/>
              <w:tr2bl w:val="nil"/>
            </w:tcBorders>
            <w:vAlign w:val="center"/>
          </w:tcPr>
          <w:p w14:paraId="6F943455">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采购人</w:t>
            </w:r>
          </w:p>
        </w:tc>
        <w:tc>
          <w:tcPr>
            <w:tcW w:w="6713" w:type="dxa"/>
            <w:tcBorders>
              <w:tl2br w:val="nil"/>
              <w:tr2bl w:val="nil"/>
            </w:tcBorders>
            <w:vAlign w:val="center"/>
          </w:tcPr>
          <w:p w14:paraId="3F1CD3A9">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衢州智造新城管理委员会</w:t>
            </w:r>
          </w:p>
        </w:tc>
      </w:tr>
      <w:tr w14:paraId="4B746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blHeader/>
          <w:jc w:val="center"/>
        </w:trPr>
        <w:tc>
          <w:tcPr>
            <w:tcW w:w="780" w:type="dxa"/>
            <w:tcBorders>
              <w:tl2br w:val="nil"/>
              <w:tr2bl w:val="nil"/>
            </w:tcBorders>
            <w:vAlign w:val="center"/>
          </w:tcPr>
          <w:p w14:paraId="77D2EA60">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p>
        </w:tc>
        <w:tc>
          <w:tcPr>
            <w:tcW w:w="1749" w:type="dxa"/>
            <w:tcBorders>
              <w:tl2br w:val="nil"/>
              <w:tr2bl w:val="nil"/>
            </w:tcBorders>
            <w:vAlign w:val="center"/>
          </w:tcPr>
          <w:p w14:paraId="57778128">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p>
        </w:tc>
        <w:tc>
          <w:tcPr>
            <w:tcW w:w="6713" w:type="dxa"/>
            <w:tcBorders>
              <w:tl2br w:val="nil"/>
              <w:tr2bl w:val="nil"/>
            </w:tcBorders>
            <w:vAlign w:val="center"/>
          </w:tcPr>
          <w:p w14:paraId="1B2F0A6C">
            <w:pPr>
              <w:keepNext w:val="0"/>
              <w:keepLines w:val="0"/>
              <w:pageBreakBefore w:val="0"/>
              <w:widowControl w:val="0"/>
              <w:kinsoku/>
              <w:wordWrap/>
              <w:overflowPunct/>
              <w:topLinePunct w:val="0"/>
              <w:bidi w:val="0"/>
              <w:spacing w:line="400" w:lineRule="exact"/>
              <w:textAlignment w:val="auto"/>
              <w:rPr>
                <w:rFonts w:hint="eastAsia" w:ascii="宋体" w:hAnsi="宋体" w:eastAsia="宋体"/>
                <w:color w:val="000000" w:themeColor="text1"/>
                <w:spacing w:val="-2"/>
                <w:kern w:val="0"/>
                <w:position w:val="-3"/>
                <w:sz w:val="24"/>
                <w:szCs w:val="24"/>
                <w:highlight w:val="none"/>
                <w:lang w:eastAsia="zh-CN"/>
              </w:rPr>
            </w:pPr>
            <w:r>
              <w:rPr>
                <w:rFonts w:hint="eastAsia" w:ascii="宋体" w:hAnsi="宋体" w:eastAsia="宋体"/>
                <w:color w:val="000000" w:themeColor="text1"/>
                <w:spacing w:val="-2"/>
                <w:kern w:val="0"/>
                <w:position w:val="-3"/>
                <w:sz w:val="24"/>
                <w:szCs w:val="24"/>
                <w:highlight w:val="none"/>
                <w:lang w:eastAsia="zh-CN"/>
              </w:rPr>
              <w:t>衢州国家高新技术产业开发区（高新片区）调蓄功能提升改造及排水管网建设工程-智造新城防涝减灾综合安全智能管控平台项目-25吨重型水罐排涝泵车采购</w:t>
            </w:r>
          </w:p>
        </w:tc>
      </w:tr>
      <w:tr w14:paraId="7CDFC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4D954692">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3</w:t>
            </w:r>
          </w:p>
        </w:tc>
        <w:tc>
          <w:tcPr>
            <w:tcW w:w="1749" w:type="dxa"/>
            <w:tcBorders>
              <w:tl2br w:val="nil"/>
              <w:tr2bl w:val="nil"/>
            </w:tcBorders>
            <w:vAlign w:val="center"/>
          </w:tcPr>
          <w:p w14:paraId="3DBEBFCB">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采购预算</w:t>
            </w:r>
          </w:p>
        </w:tc>
        <w:tc>
          <w:tcPr>
            <w:tcW w:w="6713" w:type="dxa"/>
            <w:tcBorders>
              <w:tl2br w:val="nil"/>
              <w:tr2bl w:val="nil"/>
            </w:tcBorders>
            <w:vAlign w:val="center"/>
          </w:tcPr>
          <w:p w14:paraId="3FBA71C2">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pacing w:val="-2"/>
                <w:kern w:val="0"/>
                <w:position w:val="-3"/>
                <w:sz w:val="24"/>
                <w:szCs w:val="24"/>
                <w:highlight w:val="none"/>
              </w:rPr>
            </w:pPr>
            <w:r>
              <w:rPr>
                <w:rFonts w:hint="eastAsia" w:ascii="宋体" w:hAnsi="宋体"/>
                <w:color w:val="000000" w:themeColor="text1"/>
                <w:spacing w:val="-2"/>
                <w:kern w:val="0"/>
                <w:position w:val="-3"/>
                <w:sz w:val="24"/>
                <w:szCs w:val="24"/>
                <w:highlight w:val="none"/>
                <w:lang w:val="en-US" w:eastAsia="zh-CN"/>
              </w:rPr>
              <w:t>190</w:t>
            </w:r>
            <w:r>
              <w:rPr>
                <w:rFonts w:hint="eastAsia" w:ascii="宋体" w:hAnsi="宋体"/>
                <w:color w:val="000000" w:themeColor="text1"/>
                <w:spacing w:val="-2"/>
                <w:kern w:val="0"/>
                <w:position w:val="-3"/>
                <w:sz w:val="24"/>
                <w:szCs w:val="24"/>
                <w:highlight w:val="none"/>
              </w:rPr>
              <w:t>万元</w:t>
            </w:r>
          </w:p>
        </w:tc>
      </w:tr>
      <w:tr w14:paraId="2B41C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tblHeader/>
          <w:jc w:val="center"/>
        </w:trPr>
        <w:tc>
          <w:tcPr>
            <w:tcW w:w="780" w:type="dxa"/>
            <w:tcBorders>
              <w:tl2br w:val="nil"/>
              <w:tr2bl w:val="nil"/>
            </w:tcBorders>
            <w:vAlign w:val="center"/>
          </w:tcPr>
          <w:p w14:paraId="4A85795C">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4</w:t>
            </w:r>
          </w:p>
        </w:tc>
        <w:tc>
          <w:tcPr>
            <w:tcW w:w="1749" w:type="dxa"/>
            <w:tcBorders>
              <w:tl2br w:val="nil"/>
              <w:tr2bl w:val="nil"/>
            </w:tcBorders>
            <w:vAlign w:val="center"/>
          </w:tcPr>
          <w:p w14:paraId="05F97775">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投标有效期</w:t>
            </w:r>
          </w:p>
        </w:tc>
        <w:tc>
          <w:tcPr>
            <w:tcW w:w="6713" w:type="dxa"/>
            <w:tcBorders>
              <w:tl2br w:val="nil"/>
              <w:tr2bl w:val="nil"/>
            </w:tcBorders>
            <w:vAlign w:val="center"/>
          </w:tcPr>
          <w:p w14:paraId="4C11388D">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投标文件递交截止之日起90天</w:t>
            </w:r>
          </w:p>
        </w:tc>
      </w:tr>
      <w:tr w14:paraId="5DB4F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3DAB50A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5</w:t>
            </w:r>
          </w:p>
        </w:tc>
        <w:tc>
          <w:tcPr>
            <w:tcW w:w="1749" w:type="dxa"/>
            <w:tcBorders>
              <w:tl2br w:val="nil"/>
              <w:tr2bl w:val="nil"/>
            </w:tcBorders>
            <w:vAlign w:val="center"/>
          </w:tcPr>
          <w:p w14:paraId="102138DB">
            <w:pPr>
              <w:pStyle w:val="12"/>
              <w:snapToGrid w:val="0"/>
              <w:spacing w:line="288" w:lineRule="auto"/>
              <w:jc w:val="center"/>
              <w:rPr>
                <w:rFonts w:hAnsi="宋体" w:cs="宋体"/>
                <w:color w:val="000000" w:themeColor="text1"/>
                <w:sz w:val="24"/>
                <w:highlight w:val="none"/>
              </w:rPr>
            </w:pPr>
            <w:r>
              <w:rPr>
                <w:rFonts w:hint="eastAsia" w:hAnsi="宋体" w:cs="宋体"/>
                <w:color w:val="000000" w:themeColor="text1"/>
                <w:sz w:val="24"/>
                <w:szCs w:val="24"/>
                <w:highlight w:val="none"/>
              </w:rPr>
              <w:t>是否允许分包</w:t>
            </w:r>
          </w:p>
        </w:tc>
        <w:tc>
          <w:tcPr>
            <w:tcW w:w="6713" w:type="dxa"/>
            <w:tcBorders>
              <w:tl2br w:val="nil"/>
              <w:tr2bl w:val="nil"/>
            </w:tcBorders>
            <w:vAlign w:val="center"/>
          </w:tcPr>
          <w:p w14:paraId="53708B2F">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不允许</w:t>
            </w:r>
          </w:p>
        </w:tc>
      </w:tr>
      <w:tr w14:paraId="32E93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780" w:type="dxa"/>
            <w:tcBorders>
              <w:tl2br w:val="nil"/>
              <w:tr2bl w:val="nil"/>
            </w:tcBorders>
            <w:vAlign w:val="center"/>
          </w:tcPr>
          <w:p w14:paraId="30A7CDD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6</w:t>
            </w:r>
          </w:p>
        </w:tc>
        <w:tc>
          <w:tcPr>
            <w:tcW w:w="1749" w:type="dxa"/>
            <w:tcBorders>
              <w:tl2br w:val="nil"/>
              <w:tr2bl w:val="nil"/>
            </w:tcBorders>
            <w:vAlign w:val="center"/>
          </w:tcPr>
          <w:p w14:paraId="2CEA7481">
            <w:pPr>
              <w:spacing w:line="23" w:lineRule="atLeas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投标文件递交截止时间及开标时间</w:t>
            </w:r>
          </w:p>
        </w:tc>
        <w:tc>
          <w:tcPr>
            <w:tcW w:w="6713" w:type="dxa"/>
            <w:tcBorders>
              <w:tl2br w:val="nil"/>
              <w:tr2bl w:val="nil"/>
            </w:tcBorders>
            <w:vAlign w:val="center"/>
          </w:tcPr>
          <w:p w14:paraId="712A9E8D">
            <w:pPr>
              <w:keepNext w:val="0"/>
              <w:keepLines w:val="0"/>
              <w:pageBreakBefore w:val="0"/>
              <w:widowControl w:val="0"/>
              <w:kinsoku/>
              <w:wordWrap/>
              <w:overflowPunct/>
              <w:topLinePunct w:val="0"/>
              <w:bidi w:val="0"/>
              <w:spacing w:line="400" w:lineRule="exac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2024年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21</w:t>
            </w:r>
            <w:r>
              <w:rPr>
                <w:rFonts w:hint="eastAsia" w:ascii="宋体" w:hAnsi="宋体" w:cs="宋体"/>
                <w:color w:val="000000" w:themeColor="text1"/>
                <w:sz w:val="24"/>
                <w:szCs w:val="24"/>
                <w:highlight w:val="none"/>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:00（北京时间）</w:t>
            </w:r>
          </w:p>
        </w:tc>
      </w:tr>
      <w:tr w14:paraId="6CCA8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57F3F2D1">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7</w:t>
            </w:r>
          </w:p>
        </w:tc>
        <w:tc>
          <w:tcPr>
            <w:tcW w:w="1749" w:type="dxa"/>
            <w:tcBorders>
              <w:tl2br w:val="nil"/>
              <w:tr2bl w:val="nil"/>
            </w:tcBorders>
            <w:vAlign w:val="center"/>
          </w:tcPr>
          <w:p w14:paraId="64EBEE90">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投标文件的组成和编制</w:t>
            </w:r>
          </w:p>
        </w:tc>
        <w:tc>
          <w:tcPr>
            <w:tcW w:w="6713" w:type="dxa"/>
            <w:tcBorders>
              <w:tl2br w:val="nil"/>
              <w:tr2bl w:val="nil"/>
            </w:tcBorders>
            <w:vAlign w:val="center"/>
          </w:tcPr>
          <w:p w14:paraId="4AB3E573">
            <w:pPr>
              <w:keepNext w:val="0"/>
              <w:keepLines w:val="0"/>
              <w:pageBreakBefore w:val="0"/>
              <w:widowControl w:val="0"/>
              <w:kinsoku/>
              <w:wordWrap/>
              <w:overflowPunct/>
              <w:topLinePunct w:val="0"/>
              <w:autoSpaceDE w:val="0"/>
              <w:autoSpaceDN w:val="0"/>
              <w:bidi w:val="0"/>
              <w:adjustRightInd w:val="0"/>
              <w:spacing w:line="400" w:lineRule="exact"/>
              <w:ind w:right="-20"/>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本项目完整的《投标文件》由“资格审查文件”、“商务技术文件”和“报价文件”三个部分组成。</w:t>
            </w:r>
          </w:p>
          <w:p w14:paraId="283A2511">
            <w:pPr>
              <w:keepNext w:val="0"/>
              <w:keepLines w:val="0"/>
              <w:pageBreakBefore w:val="0"/>
              <w:widowControl w:val="0"/>
              <w:kinsoku/>
              <w:wordWrap/>
              <w:overflowPunct/>
              <w:topLinePunct w:val="0"/>
              <w:autoSpaceDE w:val="0"/>
              <w:autoSpaceDN w:val="0"/>
              <w:bidi w:val="0"/>
              <w:adjustRightInd w:val="0"/>
              <w:spacing w:line="400" w:lineRule="exact"/>
              <w:ind w:right="-20"/>
              <w:textAlignment w:val="auto"/>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投标人应先安装“政采云电子交易客户端”，并按照本招标文件和“政府采购云平台”的要求，通过“政采云电子交易客户端”编制并加密投标文件。</w:t>
            </w:r>
          </w:p>
        </w:tc>
      </w:tr>
      <w:tr w14:paraId="1469CE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0" w:type="dxa"/>
            <w:tcBorders>
              <w:tl2br w:val="nil"/>
              <w:tr2bl w:val="nil"/>
            </w:tcBorders>
            <w:vAlign w:val="center"/>
          </w:tcPr>
          <w:p w14:paraId="71311FF9">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8</w:t>
            </w:r>
          </w:p>
        </w:tc>
        <w:tc>
          <w:tcPr>
            <w:tcW w:w="1749" w:type="dxa"/>
            <w:tcBorders>
              <w:tl2br w:val="nil"/>
              <w:tr2bl w:val="nil"/>
            </w:tcBorders>
            <w:vAlign w:val="center"/>
          </w:tcPr>
          <w:p w14:paraId="1D1691A9">
            <w:pPr>
              <w:autoSpaceDE w:val="0"/>
              <w:autoSpaceDN w:val="0"/>
              <w:adjustRightInd w:val="0"/>
              <w:spacing w:line="23" w:lineRule="atLeast"/>
              <w:ind w:right="-20"/>
              <w:jc w:val="center"/>
              <w:rPr>
                <w:rFonts w:ascii="宋体" w:hAnsi="宋体"/>
                <w:color w:val="000000" w:themeColor="text1"/>
                <w:kern w:val="0"/>
                <w:sz w:val="24"/>
                <w:highlight w:val="none"/>
              </w:rPr>
            </w:pPr>
            <w:r>
              <w:rPr>
                <w:rFonts w:hint="eastAsia" w:ascii="宋体" w:hAnsi="宋体"/>
                <w:color w:val="000000" w:themeColor="text1"/>
                <w:kern w:val="0"/>
                <w:position w:val="-5"/>
                <w:sz w:val="24"/>
                <w:szCs w:val="22"/>
                <w:highlight w:val="none"/>
              </w:rPr>
              <w:t>投标文件的签章</w:t>
            </w:r>
          </w:p>
        </w:tc>
        <w:tc>
          <w:tcPr>
            <w:tcW w:w="6713" w:type="dxa"/>
            <w:tcBorders>
              <w:tl2br w:val="nil"/>
              <w:tr2bl w:val="nil"/>
            </w:tcBorders>
            <w:vAlign w:val="center"/>
          </w:tcPr>
          <w:p w14:paraId="2B5A703C">
            <w:pPr>
              <w:keepNext w:val="0"/>
              <w:keepLines w:val="0"/>
              <w:pageBreakBefore w:val="0"/>
              <w:widowControl w:val="0"/>
              <w:kinsoku/>
              <w:wordWrap/>
              <w:overflowPunct/>
              <w:topLinePunct w:val="0"/>
              <w:autoSpaceDE w:val="0"/>
              <w:autoSpaceDN w:val="0"/>
              <w:bidi w:val="0"/>
              <w:adjustRightInd w:val="0"/>
              <w:spacing w:line="400" w:lineRule="exact"/>
              <w:ind w:right="-23"/>
              <w:textAlignment w:val="auto"/>
              <w:rPr>
                <w:rFonts w:ascii="宋体" w:hAnsi="宋体"/>
                <w:color w:val="000000" w:themeColor="text1"/>
                <w:kern w:val="0"/>
                <w:sz w:val="24"/>
                <w:szCs w:val="24"/>
                <w:highlight w:val="none"/>
              </w:rPr>
            </w:pPr>
            <w:r>
              <w:rPr>
                <w:rFonts w:hint="eastAsia" w:ascii="宋体" w:hAnsi="宋体" w:cs="宋体"/>
                <w:color w:val="000000" w:themeColor="text1"/>
                <w:sz w:val="24"/>
                <w:szCs w:val="24"/>
                <w:highlight w:val="none"/>
              </w:rPr>
              <w:t>电子签章（公章），其中法定代表人和授权代表签字（或盖章）可书面签订（或盖章）后，扫描至电子投标文件中上传；凡投标格式文件明确有签字盖章处均应符合。</w:t>
            </w:r>
          </w:p>
        </w:tc>
      </w:tr>
      <w:tr w14:paraId="73D1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1B9589B5">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9</w:t>
            </w:r>
          </w:p>
        </w:tc>
        <w:tc>
          <w:tcPr>
            <w:tcW w:w="1749" w:type="dxa"/>
            <w:tcBorders>
              <w:tl2br w:val="nil"/>
              <w:tr2bl w:val="nil"/>
            </w:tcBorders>
            <w:vAlign w:val="center"/>
          </w:tcPr>
          <w:p w14:paraId="30B1C923">
            <w:pPr>
              <w:spacing w:line="23" w:lineRule="atLeast"/>
              <w:jc w:val="center"/>
              <w:rPr>
                <w:rFonts w:ascii="宋体" w:hAnsi="宋体"/>
                <w:color w:val="000000" w:themeColor="text1"/>
                <w:kern w:val="0"/>
                <w:position w:val="-5"/>
                <w:sz w:val="24"/>
                <w:highlight w:val="none"/>
              </w:rPr>
            </w:pPr>
            <w:r>
              <w:rPr>
                <w:rFonts w:hint="eastAsia" w:ascii="宋体" w:hAnsi="宋体"/>
                <w:color w:val="000000" w:themeColor="text1"/>
                <w:kern w:val="0"/>
                <w:position w:val="-5"/>
                <w:sz w:val="24"/>
                <w:highlight w:val="none"/>
              </w:rPr>
              <w:t>投标</w:t>
            </w:r>
            <w:r>
              <w:rPr>
                <w:rFonts w:hint="eastAsia" w:ascii="宋体" w:hAnsi="宋体"/>
                <w:color w:val="000000" w:themeColor="text1"/>
                <w:spacing w:val="-2"/>
                <w:kern w:val="0"/>
                <w:position w:val="-5"/>
                <w:sz w:val="24"/>
                <w:highlight w:val="none"/>
              </w:rPr>
              <w:t>文</w:t>
            </w:r>
            <w:r>
              <w:rPr>
                <w:rFonts w:hint="eastAsia" w:ascii="宋体" w:hAnsi="宋体"/>
                <w:color w:val="000000" w:themeColor="text1"/>
                <w:kern w:val="0"/>
                <w:position w:val="-5"/>
                <w:sz w:val="24"/>
                <w:highlight w:val="none"/>
              </w:rPr>
              <w:t>件</w:t>
            </w:r>
          </w:p>
          <w:p w14:paraId="288AEBCB">
            <w:pPr>
              <w:spacing w:line="23" w:lineRule="atLeast"/>
              <w:jc w:val="center"/>
              <w:rPr>
                <w:rFonts w:ascii="宋体" w:hAnsi="宋体"/>
                <w:color w:val="000000" w:themeColor="text1"/>
                <w:kern w:val="0"/>
                <w:position w:val="-3"/>
                <w:sz w:val="24"/>
                <w:highlight w:val="none"/>
              </w:rPr>
            </w:pPr>
            <w:r>
              <w:rPr>
                <w:rFonts w:hint="eastAsia" w:ascii="宋体" w:hAnsi="宋体"/>
                <w:color w:val="000000" w:themeColor="text1"/>
                <w:spacing w:val="-2"/>
                <w:kern w:val="0"/>
                <w:position w:val="-5"/>
                <w:sz w:val="24"/>
                <w:highlight w:val="none"/>
              </w:rPr>
              <w:t>份</w:t>
            </w:r>
            <w:r>
              <w:rPr>
                <w:rFonts w:hint="eastAsia" w:ascii="宋体" w:hAnsi="宋体"/>
                <w:color w:val="000000" w:themeColor="text1"/>
                <w:kern w:val="0"/>
                <w:position w:val="-5"/>
                <w:sz w:val="24"/>
                <w:highlight w:val="none"/>
              </w:rPr>
              <w:t>数</w:t>
            </w:r>
          </w:p>
        </w:tc>
        <w:tc>
          <w:tcPr>
            <w:tcW w:w="6713" w:type="dxa"/>
            <w:tcBorders>
              <w:tl2br w:val="nil"/>
              <w:tr2bl w:val="nil"/>
            </w:tcBorders>
            <w:vAlign w:val="center"/>
          </w:tcPr>
          <w:p w14:paraId="28CA43A2">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（1）☑“电子加密投标文件”：在线上传递交、一份。</w:t>
            </w:r>
          </w:p>
          <w:p w14:paraId="35B72AF4">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（2）☑“备份投标文件”（非强制要求）：密封包装后投标截止时间前递交一份。</w:t>
            </w:r>
          </w:p>
          <w:p w14:paraId="24F0A9BD">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color w:val="000000" w:themeColor="text1"/>
                <w:sz w:val="24"/>
                <w:szCs w:val="24"/>
                <w:highlight w:val="none"/>
              </w:rPr>
            </w:pPr>
            <w:r>
              <w:rPr>
                <w:rFonts w:hint="eastAsia" w:ascii="宋体" w:hAnsi="宋体" w:cs="宋体"/>
                <w:color w:val="000000" w:themeColor="text1"/>
                <w:sz w:val="24"/>
                <w:szCs w:val="24"/>
                <w:highlight w:val="none"/>
              </w:rPr>
              <w:t>（3）中标公告发布后，中标人应按招标人要求的份数免费提供纸质投标文件。</w:t>
            </w:r>
          </w:p>
        </w:tc>
      </w:tr>
      <w:tr w14:paraId="0DD55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893B324">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10</w:t>
            </w:r>
          </w:p>
        </w:tc>
        <w:tc>
          <w:tcPr>
            <w:tcW w:w="1749" w:type="dxa"/>
            <w:tcBorders>
              <w:tl2br w:val="nil"/>
              <w:tr2bl w:val="nil"/>
            </w:tcBorders>
            <w:vAlign w:val="center"/>
          </w:tcPr>
          <w:p w14:paraId="6FF70ACF">
            <w:pPr>
              <w:pStyle w:val="12"/>
              <w:snapToGrid w:val="0"/>
              <w:spacing w:line="288" w:lineRule="auto"/>
              <w:jc w:val="center"/>
              <w:rPr>
                <w:rFonts w:hAnsi="宋体" w:cs="宋体"/>
                <w:color w:val="000000" w:themeColor="text1"/>
                <w:kern w:val="0"/>
                <w:sz w:val="24"/>
                <w:highlight w:val="none"/>
              </w:rPr>
            </w:pPr>
            <w:r>
              <w:rPr>
                <w:rFonts w:hint="eastAsia" w:hAnsi="宋体" w:cs="宋体"/>
                <w:color w:val="000000" w:themeColor="text1"/>
                <w:sz w:val="24"/>
                <w:szCs w:val="24"/>
                <w:highlight w:val="none"/>
              </w:rPr>
              <w:t>备份投标文件要求</w:t>
            </w:r>
          </w:p>
        </w:tc>
        <w:tc>
          <w:tcPr>
            <w:tcW w:w="6713" w:type="dxa"/>
            <w:tcBorders>
              <w:tl2br w:val="nil"/>
              <w:tr2bl w:val="nil"/>
            </w:tcBorders>
            <w:vAlign w:val="center"/>
          </w:tcPr>
          <w:p w14:paraId="7645FFBD">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供应商可以（</w:t>
            </w:r>
            <w:r>
              <w:rPr>
                <w:rFonts w:hint="eastAsia" w:hAnsi="宋体" w:cs="宋体"/>
                <w:b/>
                <w:bCs/>
                <w:color w:val="000000" w:themeColor="text1"/>
                <w:sz w:val="24"/>
                <w:szCs w:val="24"/>
                <w:highlight w:val="none"/>
              </w:rPr>
              <w:t>非强制性要求</w:t>
            </w:r>
            <w:r>
              <w:rPr>
                <w:rFonts w:hint="eastAsia" w:hAnsi="宋体" w:cs="宋体"/>
                <w:color w:val="000000" w:themeColor="text1"/>
                <w:sz w:val="24"/>
                <w:szCs w:val="24"/>
                <w:highlight w:val="none"/>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06E7E660">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kern w:val="0"/>
                <w:sz w:val="24"/>
                <w:szCs w:val="24"/>
                <w:highlight w:val="none"/>
              </w:rPr>
            </w:pPr>
            <w:r>
              <w:rPr>
                <w:rFonts w:hint="eastAsia" w:hAnsi="宋体" w:cs="宋体"/>
                <w:color w:val="000000" w:themeColor="text1"/>
                <w:sz w:val="24"/>
                <w:szCs w:val="24"/>
                <w:highlight w:val="none"/>
              </w:rPr>
              <w:t>注：“备份投标文件”接收地址为：</w:t>
            </w:r>
            <w:r>
              <w:rPr>
                <w:rFonts w:hint="eastAsia" w:hAnsi="宋体" w:cs="宋体"/>
                <w:color w:val="000000" w:themeColor="text1"/>
                <w:sz w:val="24"/>
                <w:szCs w:val="24"/>
                <w:highlight w:val="none"/>
                <w:u w:val="single"/>
              </w:rPr>
              <w:t>衢州市柯城区荷五路761号2楼</w:t>
            </w:r>
            <w:r>
              <w:rPr>
                <w:rFonts w:hint="eastAsia" w:hAnsi="宋体" w:cs="宋体"/>
                <w:color w:val="000000" w:themeColor="text1"/>
                <w:sz w:val="24"/>
                <w:szCs w:val="24"/>
                <w:highlight w:val="none"/>
              </w:rPr>
              <w:t>，联系人：</w:t>
            </w:r>
            <w:r>
              <w:rPr>
                <w:rFonts w:hint="eastAsia" w:hAnsi="宋体" w:cs="宋体"/>
                <w:color w:val="000000" w:themeColor="text1"/>
                <w:sz w:val="24"/>
                <w:szCs w:val="24"/>
                <w:highlight w:val="none"/>
                <w:u w:val="single"/>
                <w:lang w:val="en-US" w:eastAsia="zh-CN"/>
              </w:rPr>
              <w:t>余</w:t>
            </w:r>
            <w:r>
              <w:rPr>
                <w:rFonts w:hint="eastAsia" w:hAnsi="宋体" w:cs="宋体"/>
                <w:color w:val="000000" w:themeColor="text1"/>
                <w:sz w:val="24"/>
                <w:szCs w:val="24"/>
                <w:highlight w:val="none"/>
                <w:u w:val="single"/>
              </w:rPr>
              <w:t>女士</w:t>
            </w:r>
            <w:r>
              <w:rPr>
                <w:rFonts w:hint="eastAsia" w:hAnsi="宋体" w:cs="宋体"/>
                <w:color w:val="000000" w:themeColor="text1"/>
                <w:sz w:val="24"/>
                <w:szCs w:val="24"/>
                <w:highlight w:val="none"/>
              </w:rPr>
              <w:t>，联系电话：</w:t>
            </w:r>
            <w:r>
              <w:rPr>
                <w:rFonts w:hint="eastAsia" w:hAnsi="宋体" w:cs="宋体"/>
                <w:color w:val="000000" w:themeColor="text1"/>
                <w:sz w:val="24"/>
                <w:szCs w:val="24"/>
                <w:highlight w:val="none"/>
                <w:u w:val="single"/>
              </w:rPr>
              <w:t>18268065306</w:t>
            </w:r>
            <w:r>
              <w:rPr>
                <w:rFonts w:hint="eastAsia" w:hAnsi="宋体" w:cs="宋体"/>
                <w:color w:val="000000" w:themeColor="text1"/>
                <w:sz w:val="24"/>
                <w:szCs w:val="24"/>
                <w:highlight w:val="none"/>
              </w:rPr>
              <w:t>，“备份投标文件”递交截止时间为提交投标文件截止时间。供应商邮寄后可将邮件单号发送至代理机构电子邮箱（电子邮箱：</w:t>
            </w:r>
            <w:r>
              <w:rPr>
                <w:rFonts w:hint="eastAsia" w:hAnsi="宋体" w:cs="宋体"/>
                <w:color w:val="000000" w:themeColor="text1"/>
                <w:sz w:val="24"/>
                <w:szCs w:val="24"/>
                <w:highlight w:val="none"/>
                <w:u w:val="single"/>
              </w:rPr>
              <w:t xml:space="preserve">838382939@qq.com </w:t>
            </w:r>
            <w:r>
              <w:rPr>
                <w:rFonts w:hint="eastAsia" w:hAnsi="宋体" w:cs="宋体"/>
                <w:color w:val="000000" w:themeColor="text1"/>
                <w:sz w:val="24"/>
                <w:szCs w:val="24"/>
                <w:highlight w:val="none"/>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6E45E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780" w:type="dxa"/>
            <w:tcBorders>
              <w:tl2br w:val="nil"/>
              <w:tr2bl w:val="nil"/>
            </w:tcBorders>
            <w:vAlign w:val="center"/>
          </w:tcPr>
          <w:p w14:paraId="30388648">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11</w:t>
            </w:r>
          </w:p>
        </w:tc>
        <w:tc>
          <w:tcPr>
            <w:tcW w:w="1749" w:type="dxa"/>
            <w:tcBorders>
              <w:tl2br w:val="nil"/>
              <w:tr2bl w:val="nil"/>
            </w:tcBorders>
            <w:vAlign w:val="center"/>
          </w:tcPr>
          <w:p w14:paraId="302D342E">
            <w:pPr>
              <w:pStyle w:val="12"/>
              <w:snapToGrid w:val="0"/>
              <w:spacing w:line="288" w:lineRule="auto"/>
              <w:jc w:val="center"/>
              <w:rPr>
                <w:rFonts w:hAnsi="宋体" w:cs="宋体"/>
                <w:color w:val="000000" w:themeColor="text1"/>
                <w:sz w:val="24"/>
                <w:szCs w:val="24"/>
                <w:highlight w:val="none"/>
              </w:rPr>
            </w:pPr>
            <w:r>
              <w:rPr>
                <w:rFonts w:hint="eastAsia" w:hAnsi="宋体" w:cs="宋体"/>
                <w:color w:val="000000" w:themeColor="text1"/>
                <w:sz w:val="24"/>
                <w:szCs w:val="24"/>
                <w:highlight w:val="none"/>
              </w:rPr>
              <w:t>投标文件的上传和递交</w:t>
            </w:r>
          </w:p>
        </w:tc>
        <w:tc>
          <w:tcPr>
            <w:tcW w:w="6713" w:type="dxa"/>
            <w:tcBorders>
              <w:tl2br w:val="nil"/>
              <w:tr2bl w:val="nil"/>
            </w:tcBorders>
            <w:vAlign w:val="center"/>
          </w:tcPr>
          <w:p w14:paraId="5EFCB512">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b/>
                <w:color w:val="000000" w:themeColor="text1"/>
                <w:sz w:val="24"/>
                <w:szCs w:val="24"/>
                <w:highlight w:val="none"/>
              </w:rPr>
              <w:t>☑</w:t>
            </w:r>
            <w:r>
              <w:rPr>
                <w:rFonts w:hint="eastAsia" w:hAnsi="宋体" w:cs="宋体"/>
                <w:color w:val="000000" w:themeColor="text1"/>
                <w:sz w:val="24"/>
                <w:szCs w:val="24"/>
                <w:highlight w:val="none"/>
              </w:rPr>
              <w:t>（1）“电子加密投标文件”的上传、递交：</w:t>
            </w:r>
          </w:p>
          <w:p w14:paraId="0DED85BC">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a.投标供应商应在投标截止时间前将“电子加密投标文件”成功上传递交至“政采云平台”，否则投标无效。</w:t>
            </w:r>
          </w:p>
          <w:p w14:paraId="5ACC9B69">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b.“电子加密投标文件”成功上传递交后，供应商可自行打印投标文件接收回执。</w:t>
            </w:r>
          </w:p>
          <w:p w14:paraId="0723D06C">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b/>
                <w:color w:val="000000" w:themeColor="text1"/>
                <w:sz w:val="24"/>
                <w:szCs w:val="24"/>
                <w:highlight w:val="none"/>
              </w:rPr>
              <w:t>☑</w:t>
            </w:r>
            <w:r>
              <w:rPr>
                <w:rFonts w:hint="eastAsia" w:hAnsi="宋体" w:cs="宋体"/>
                <w:color w:val="000000" w:themeColor="text1"/>
                <w:sz w:val="24"/>
                <w:szCs w:val="24"/>
                <w:highlight w:val="none"/>
              </w:rPr>
              <w:t>（2）“备份投标文件”递交：</w:t>
            </w:r>
          </w:p>
          <w:p w14:paraId="1B58B3BE">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a.“备份投标文件”的递交：</w:t>
            </w:r>
            <w:r>
              <w:rPr>
                <w:color w:val="000000" w:themeColor="text1"/>
                <w:sz w:val="24"/>
                <w:szCs w:val="24"/>
                <w:highlight w:val="none"/>
              </w:rPr>
              <w:fldChar w:fldCharType="begin"/>
            </w:r>
            <w:r>
              <w:rPr>
                <w:color w:val="000000" w:themeColor="text1"/>
                <w:sz w:val="24"/>
                <w:szCs w:val="24"/>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000000" w:themeColor="text1"/>
                <w:sz w:val="24"/>
                <w:szCs w:val="24"/>
                <w:highlight w:val="none"/>
              </w:rPr>
              <w:fldChar w:fldCharType="separate"/>
            </w:r>
            <w:r>
              <w:rPr>
                <w:rFonts w:hint="eastAsia" w:hAnsi="宋体" w:cs="宋体"/>
                <w:color w:val="000000" w:themeColor="text1"/>
                <w:sz w:val="24"/>
                <w:szCs w:val="24"/>
                <w:highlight w:val="none"/>
              </w:rPr>
              <w:t>供应商在系统里上传好加密标书后，可以（</w:t>
            </w:r>
            <w:r>
              <w:rPr>
                <w:rFonts w:hint="eastAsia" w:hAnsi="宋体" w:cs="宋体"/>
                <w:b/>
                <w:bCs/>
                <w:color w:val="000000" w:themeColor="text1"/>
                <w:sz w:val="24"/>
                <w:szCs w:val="24"/>
                <w:highlight w:val="none"/>
                <w:u w:val="single"/>
              </w:rPr>
              <w:t>非强制要求</w:t>
            </w:r>
            <w:r>
              <w:rPr>
                <w:rFonts w:hint="eastAsia" w:hAnsi="宋体" w:cs="宋体"/>
                <w:color w:val="000000" w:themeColor="text1"/>
                <w:sz w:val="24"/>
                <w:szCs w:val="24"/>
                <w:highlight w:val="none"/>
              </w:rPr>
              <w:t>）在投标截止时间前将系统生成的备份标书（后缀格式为.bfbs），备份投标文件要求详见投标须知前附表第10条。</w:t>
            </w:r>
            <w:r>
              <w:rPr>
                <w:rFonts w:hint="eastAsia" w:hAnsi="宋体" w:cs="宋体"/>
                <w:color w:val="000000" w:themeColor="text1"/>
                <w:sz w:val="24"/>
                <w:szCs w:val="24"/>
                <w:highlight w:val="none"/>
              </w:rPr>
              <w:fldChar w:fldCharType="end"/>
            </w:r>
          </w:p>
          <w:p w14:paraId="2832B811">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2C091B47">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供应商需保证上传的电子加密投标文件与提交的备份投标文件必须同时生成且内容完全一致。</w:t>
            </w:r>
          </w:p>
        </w:tc>
      </w:tr>
      <w:tr w14:paraId="1AFA1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6BBF5222">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12</w:t>
            </w:r>
          </w:p>
        </w:tc>
        <w:tc>
          <w:tcPr>
            <w:tcW w:w="1749" w:type="dxa"/>
            <w:tcBorders>
              <w:tl2br w:val="nil"/>
              <w:tr2bl w:val="nil"/>
            </w:tcBorders>
            <w:vAlign w:val="center"/>
          </w:tcPr>
          <w:p w14:paraId="16FD3E00">
            <w:pPr>
              <w:pStyle w:val="12"/>
              <w:snapToGrid w:val="0"/>
              <w:spacing w:line="288" w:lineRule="auto"/>
              <w:jc w:val="center"/>
              <w:rPr>
                <w:rFonts w:hAnsi="宋体" w:cs="宋体"/>
                <w:color w:val="000000" w:themeColor="text1"/>
                <w:sz w:val="24"/>
                <w:highlight w:val="none"/>
              </w:rPr>
            </w:pPr>
            <w:r>
              <w:rPr>
                <w:rFonts w:hint="eastAsia" w:hAnsi="宋体" w:cs="宋体"/>
                <w:color w:val="000000" w:themeColor="text1"/>
                <w:sz w:val="24"/>
                <w:szCs w:val="24"/>
                <w:highlight w:val="none"/>
              </w:rPr>
              <w:t>电子加密投标文件的解密和异常情况处理</w:t>
            </w:r>
          </w:p>
        </w:tc>
        <w:tc>
          <w:tcPr>
            <w:tcW w:w="6713" w:type="dxa"/>
            <w:tcBorders>
              <w:tl2br w:val="nil"/>
              <w:tr2bl w:val="nil"/>
            </w:tcBorders>
            <w:vAlign w:val="center"/>
          </w:tcPr>
          <w:p w14:paraId="48D20C6A">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5B7A9574">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BEC97C3">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（3）投标截止时间前，投标供应商仅递交了“备份投标文件”而未将电子加密投标文件上传至“政采云平台”的，投标无效。</w:t>
            </w:r>
          </w:p>
        </w:tc>
      </w:tr>
      <w:tr w14:paraId="11E4F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6C3D51F4">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13</w:t>
            </w:r>
          </w:p>
        </w:tc>
        <w:tc>
          <w:tcPr>
            <w:tcW w:w="1749" w:type="dxa"/>
            <w:tcBorders>
              <w:tl2br w:val="nil"/>
              <w:tr2bl w:val="nil"/>
            </w:tcBorders>
            <w:vAlign w:val="center"/>
          </w:tcPr>
          <w:p w14:paraId="7ED7BFFF">
            <w:pPr>
              <w:spacing w:line="276" w:lineRule="auto"/>
              <w:jc w:val="center"/>
              <w:rPr>
                <w:rFonts w:hAnsi="宋体"/>
                <w:color w:val="000000" w:themeColor="text1"/>
                <w:sz w:val="24"/>
                <w:szCs w:val="24"/>
                <w:highlight w:val="none"/>
              </w:rPr>
            </w:pPr>
            <w:r>
              <w:rPr>
                <w:rFonts w:hint="eastAsia" w:ascii="宋体" w:hAnsi="宋体"/>
                <w:color w:val="000000" w:themeColor="text1"/>
                <w:sz w:val="24"/>
                <w:highlight w:val="none"/>
              </w:rPr>
              <w:t>中小企业划分标准所属行业</w:t>
            </w:r>
          </w:p>
        </w:tc>
        <w:tc>
          <w:tcPr>
            <w:tcW w:w="6713" w:type="dxa"/>
            <w:tcBorders>
              <w:tl2br w:val="nil"/>
              <w:tr2bl w:val="nil"/>
            </w:tcBorders>
            <w:vAlign w:val="center"/>
          </w:tcPr>
          <w:p w14:paraId="4235D314">
            <w:pPr>
              <w:keepNext w:val="0"/>
              <w:keepLines w:val="0"/>
              <w:pageBreakBefore w:val="0"/>
              <w:widowControl w:val="0"/>
              <w:kinsoku/>
              <w:wordWrap/>
              <w:overflowPunct/>
              <w:topLinePunct w:val="0"/>
              <w:bidi w:val="0"/>
              <w:spacing w:line="400" w:lineRule="exact"/>
              <w:jc w:val="lef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所属行业：属于</w:t>
            </w:r>
            <w:r>
              <w:rPr>
                <w:rFonts w:hint="eastAsia" w:ascii="宋体" w:hAnsi="宋体"/>
                <w:color w:val="000000" w:themeColor="text1"/>
                <w:sz w:val="24"/>
                <w:szCs w:val="24"/>
                <w:highlight w:val="none"/>
                <w:u w:val="single"/>
                <w:lang w:eastAsia="zh-CN"/>
              </w:rPr>
              <w:t>工业</w:t>
            </w:r>
            <w:r>
              <w:rPr>
                <w:rFonts w:hint="eastAsia" w:ascii="宋体" w:hAnsi="宋体"/>
                <w:color w:val="000000" w:themeColor="text1"/>
                <w:sz w:val="24"/>
                <w:szCs w:val="24"/>
                <w:highlight w:val="none"/>
              </w:rPr>
              <w:t>行业。</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中小企业划型标准详见：工信部联企业〔2011〕300号</w:t>
            </w:r>
          </w:p>
        </w:tc>
      </w:tr>
      <w:tr w14:paraId="7CF32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84B4250">
            <w:pPr>
              <w:spacing w:line="276" w:lineRule="auto"/>
              <w:jc w:val="center"/>
              <w:rPr>
                <w:rFonts w:hint="default" w:ascii="宋体" w:hAnsi="宋体" w:eastAsia="宋体"/>
                <w:color w:val="000000" w:themeColor="text1"/>
                <w:sz w:val="24"/>
                <w:highlight w:val="none"/>
                <w:lang w:val="en-US" w:eastAsia="zh-CN"/>
              </w:rPr>
            </w:pPr>
            <w:r>
              <w:rPr>
                <w:rFonts w:hint="eastAsia" w:ascii="宋体" w:hAnsi="宋体"/>
                <w:color w:val="000000" w:themeColor="text1"/>
                <w:sz w:val="24"/>
                <w:highlight w:val="none"/>
                <w:lang w:val="en-US" w:eastAsia="zh-CN"/>
              </w:rPr>
              <w:t>14</w:t>
            </w:r>
          </w:p>
        </w:tc>
        <w:tc>
          <w:tcPr>
            <w:tcW w:w="1749" w:type="dxa"/>
            <w:tcBorders>
              <w:tl2br w:val="nil"/>
              <w:tr2bl w:val="nil"/>
            </w:tcBorders>
            <w:vAlign w:val="center"/>
          </w:tcPr>
          <w:p w14:paraId="7213F526">
            <w:pPr>
              <w:pStyle w:val="12"/>
              <w:snapToGrid w:val="0"/>
              <w:spacing w:line="288"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是否允许采购进口产品</w:t>
            </w:r>
          </w:p>
        </w:tc>
        <w:tc>
          <w:tcPr>
            <w:tcW w:w="6713" w:type="dxa"/>
            <w:tcBorders>
              <w:tl2br w:val="nil"/>
              <w:tr2bl w:val="nil"/>
            </w:tcBorders>
            <w:vAlign w:val="center"/>
          </w:tcPr>
          <w:p w14:paraId="166EC016">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Times New Roman"/>
                <w:color w:val="000000" w:themeColor="text1"/>
                <w:sz w:val="24"/>
                <w:szCs w:val="24"/>
                <w:highlight w:val="none"/>
                <w:lang w:val="en-US" w:eastAsia="zh-CN"/>
              </w:rPr>
              <w:t>本项目不允许采购进口产品。</w:t>
            </w:r>
          </w:p>
        </w:tc>
      </w:tr>
      <w:tr w14:paraId="7D98B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2F429F6E">
            <w:pPr>
              <w:spacing w:line="276" w:lineRule="auto"/>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5</w:t>
            </w:r>
          </w:p>
        </w:tc>
        <w:tc>
          <w:tcPr>
            <w:tcW w:w="1749" w:type="dxa"/>
            <w:tcBorders>
              <w:tl2br w:val="nil"/>
              <w:tr2bl w:val="nil"/>
            </w:tcBorders>
            <w:vAlign w:val="center"/>
          </w:tcPr>
          <w:p w14:paraId="2F88FC81">
            <w:pPr>
              <w:pStyle w:val="12"/>
              <w:snapToGrid w:val="0"/>
              <w:spacing w:line="288"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签订合同</w:t>
            </w:r>
          </w:p>
        </w:tc>
        <w:tc>
          <w:tcPr>
            <w:tcW w:w="6713" w:type="dxa"/>
            <w:tcBorders>
              <w:tl2br w:val="nil"/>
              <w:tr2bl w:val="nil"/>
            </w:tcBorders>
            <w:vAlign w:val="center"/>
          </w:tcPr>
          <w:p w14:paraId="21ABA2B2">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中标通知书发出后30日内，与采购人签订合同。</w:t>
            </w:r>
          </w:p>
        </w:tc>
      </w:tr>
      <w:tr w14:paraId="2C0F9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tcBorders>
              <w:tl2br w:val="nil"/>
              <w:tr2bl w:val="nil"/>
            </w:tcBorders>
            <w:vAlign w:val="center"/>
          </w:tcPr>
          <w:p w14:paraId="6659BC1E">
            <w:pPr>
              <w:adjustRightInd w:val="0"/>
              <w:snapToGrid w:val="0"/>
              <w:spacing w:line="440" w:lineRule="exact"/>
              <w:jc w:val="center"/>
              <w:rPr>
                <w:rFonts w:hint="eastAsia" w:ascii="宋体" w:hAnsi="宋体" w:eastAsia="宋体"/>
                <w:b w:val="0"/>
                <w:bCs w:val="0"/>
                <w:color w:val="000000" w:themeColor="text1"/>
                <w:sz w:val="24"/>
                <w:highlight w:val="none"/>
                <w:lang w:val="en-US" w:eastAsia="zh-CN"/>
              </w:rPr>
            </w:pPr>
            <w:r>
              <w:rPr>
                <w:rFonts w:hint="eastAsia" w:ascii="宋体" w:hAnsi="宋体" w:cs="宋体"/>
                <w:b w:val="0"/>
                <w:bCs w:val="0"/>
                <w:color w:val="000000" w:themeColor="text1"/>
                <w:spacing w:val="-6"/>
                <w:sz w:val="24"/>
                <w:highlight w:val="none"/>
              </w:rPr>
              <w:t>1</w:t>
            </w:r>
            <w:r>
              <w:rPr>
                <w:rFonts w:hint="eastAsia" w:ascii="宋体" w:hAnsi="宋体" w:cs="宋体"/>
                <w:b w:val="0"/>
                <w:bCs w:val="0"/>
                <w:color w:val="000000" w:themeColor="text1"/>
                <w:spacing w:val="-6"/>
                <w:sz w:val="24"/>
                <w:highlight w:val="none"/>
                <w:lang w:val="en-US" w:eastAsia="zh-CN"/>
              </w:rPr>
              <w:t>6</w:t>
            </w:r>
          </w:p>
        </w:tc>
        <w:tc>
          <w:tcPr>
            <w:tcW w:w="1749" w:type="dxa"/>
            <w:tcBorders>
              <w:tl2br w:val="nil"/>
              <w:tr2bl w:val="nil"/>
            </w:tcBorders>
            <w:vAlign w:val="center"/>
          </w:tcPr>
          <w:p w14:paraId="78537C93">
            <w:pPr>
              <w:adjustRightInd w:val="0"/>
              <w:snapToGrid w:val="0"/>
              <w:spacing w:line="440" w:lineRule="exact"/>
              <w:jc w:val="center"/>
              <w:rPr>
                <w:rFonts w:hint="eastAsia" w:ascii="宋体" w:hAnsi="宋体" w:cs="宋体"/>
                <w:b w:val="0"/>
                <w:bCs w:val="0"/>
                <w:color w:val="000000" w:themeColor="text1"/>
                <w:spacing w:val="-6"/>
                <w:sz w:val="24"/>
                <w:highlight w:val="none"/>
              </w:rPr>
            </w:pPr>
            <w:r>
              <w:rPr>
                <w:rFonts w:hint="eastAsia" w:ascii="宋体" w:hAnsi="宋体" w:cs="宋体"/>
                <w:b w:val="0"/>
                <w:bCs w:val="0"/>
                <w:color w:val="000000" w:themeColor="text1"/>
                <w:spacing w:val="-6"/>
                <w:sz w:val="24"/>
                <w:highlight w:val="none"/>
              </w:rPr>
              <w:t>环境标志产品</w:t>
            </w:r>
          </w:p>
          <w:p w14:paraId="07622E12">
            <w:pPr>
              <w:adjustRightInd w:val="0"/>
              <w:snapToGrid w:val="0"/>
              <w:spacing w:line="440" w:lineRule="exact"/>
              <w:jc w:val="center"/>
              <w:rPr>
                <w:rFonts w:hint="eastAsia" w:ascii="宋体" w:hAnsi="宋体"/>
                <w:b w:val="0"/>
                <w:bCs w:val="0"/>
                <w:color w:val="000000" w:themeColor="text1"/>
                <w:sz w:val="24"/>
                <w:highlight w:val="none"/>
              </w:rPr>
            </w:pPr>
            <w:r>
              <w:rPr>
                <w:rFonts w:hint="eastAsia" w:ascii="宋体" w:hAnsi="宋体" w:cs="宋体"/>
                <w:b w:val="0"/>
                <w:bCs w:val="0"/>
                <w:color w:val="000000" w:themeColor="text1"/>
                <w:spacing w:val="-6"/>
                <w:sz w:val="24"/>
                <w:highlight w:val="none"/>
              </w:rPr>
              <w:t>节能产品</w:t>
            </w:r>
          </w:p>
        </w:tc>
        <w:tc>
          <w:tcPr>
            <w:tcW w:w="6713" w:type="dxa"/>
            <w:tcBorders>
              <w:tl2br w:val="nil"/>
              <w:tr2bl w:val="nil"/>
            </w:tcBorders>
            <w:vAlign w:val="center"/>
          </w:tcPr>
          <w:p w14:paraId="1BE0530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（1）严格执行《财政部发展改革委生态环境部市场监管总局关于调整优化节能产品、环境标志产品政府采购执行机制的通知》（财库〔2019〕9号）。</w:t>
            </w:r>
          </w:p>
          <w:p w14:paraId="021250C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518EC8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5B50C6C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olor w:val="000000" w:themeColor="text1"/>
                <w:sz w:val="24"/>
                <w:szCs w:val="24"/>
                <w:highlight w:val="none"/>
              </w:rPr>
            </w:pPr>
            <w:r>
              <w:rPr>
                <w:rFonts w:hint="eastAsia" w:ascii="宋体" w:hAnsi="宋体" w:eastAsia="宋体" w:cs="Times New Roman"/>
                <w:color w:val="000000" w:themeColor="text1"/>
                <w:sz w:val="24"/>
                <w:szCs w:val="24"/>
                <w:highlight w:val="none"/>
              </w:rPr>
              <w:t>属于政府优先采购产品类别的，须按照要求提供依据国家确定的认证机构出具的、处于有效期之内的节能产品或环境标志产品认证证书，否则不予认定。</w:t>
            </w:r>
          </w:p>
        </w:tc>
      </w:tr>
      <w:tr w14:paraId="74202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vMerge w:val="restart"/>
            <w:tcBorders>
              <w:tl2br w:val="nil"/>
              <w:tr2bl w:val="nil"/>
            </w:tcBorders>
            <w:vAlign w:val="center"/>
          </w:tcPr>
          <w:p w14:paraId="4F489036">
            <w:pPr>
              <w:spacing w:line="276" w:lineRule="auto"/>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6</w:t>
            </w:r>
          </w:p>
        </w:tc>
        <w:tc>
          <w:tcPr>
            <w:tcW w:w="1749" w:type="dxa"/>
            <w:vMerge w:val="restart"/>
            <w:tcBorders>
              <w:tl2br w:val="nil"/>
              <w:tr2bl w:val="nil"/>
            </w:tcBorders>
            <w:vAlign w:val="center"/>
          </w:tcPr>
          <w:p w14:paraId="34374A04">
            <w:pPr>
              <w:adjustRightInd w:val="0"/>
              <w:snapToGrid w:val="0"/>
              <w:spacing w:line="23" w:lineRule="atLeast"/>
              <w:jc w:val="center"/>
              <w:rPr>
                <w:rFonts w:ascii="宋体" w:hAnsi="宋体"/>
                <w:color w:val="000000" w:themeColor="text1"/>
                <w:sz w:val="24"/>
                <w:highlight w:val="none"/>
              </w:rPr>
            </w:pPr>
            <w:r>
              <w:rPr>
                <w:rFonts w:hint="eastAsia" w:ascii="宋体" w:hAnsi="宋体"/>
                <w:color w:val="000000" w:themeColor="text1"/>
                <w:sz w:val="24"/>
                <w:highlight w:val="none"/>
              </w:rPr>
              <w:t>其他注意事项</w:t>
            </w:r>
          </w:p>
        </w:tc>
        <w:tc>
          <w:tcPr>
            <w:tcW w:w="6713" w:type="dxa"/>
            <w:tcBorders>
              <w:tl2br w:val="nil"/>
              <w:tr2bl w:val="nil"/>
            </w:tcBorders>
            <w:vAlign w:val="center"/>
          </w:tcPr>
          <w:p w14:paraId="07E10835">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0408F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vMerge w:val="continue"/>
            <w:tcBorders>
              <w:tl2br w:val="nil"/>
              <w:tr2bl w:val="nil"/>
            </w:tcBorders>
            <w:vAlign w:val="center"/>
          </w:tcPr>
          <w:p w14:paraId="5931F8F2">
            <w:pPr>
              <w:spacing w:line="276" w:lineRule="auto"/>
              <w:jc w:val="center"/>
              <w:rPr>
                <w:rFonts w:ascii="宋体" w:hAnsi="宋体"/>
                <w:color w:val="000000" w:themeColor="text1"/>
                <w:sz w:val="24"/>
                <w:highlight w:val="none"/>
              </w:rPr>
            </w:pPr>
          </w:p>
        </w:tc>
        <w:tc>
          <w:tcPr>
            <w:tcW w:w="1749" w:type="dxa"/>
            <w:vMerge w:val="continue"/>
            <w:tcBorders>
              <w:tl2br w:val="nil"/>
              <w:tr2bl w:val="nil"/>
            </w:tcBorders>
            <w:vAlign w:val="center"/>
          </w:tcPr>
          <w:p w14:paraId="618367BC">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1CE94AFE">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tc>
      </w:tr>
      <w:tr w14:paraId="1EB6F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2" w:hRule="atLeast"/>
          <w:jc w:val="center"/>
        </w:trPr>
        <w:tc>
          <w:tcPr>
            <w:tcW w:w="780" w:type="dxa"/>
            <w:vMerge w:val="continue"/>
            <w:tcBorders>
              <w:tl2br w:val="nil"/>
              <w:tr2bl w:val="nil"/>
            </w:tcBorders>
            <w:vAlign w:val="center"/>
          </w:tcPr>
          <w:p w14:paraId="1A3EA36E">
            <w:pPr>
              <w:spacing w:line="276" w:lineRule="auto"/>
              <w:jc w:val="center"/>
              <w:rPr>
                <w:rFonts w:ascii="宋体" w:hAnsi="宋体"/>
                <w:color w:val="000000" w:themeColor="text1"/>
                <w:sz w:val="24"/>
                <w:highlight w:val="none"/>
              </w:rPr>
            </w:pPr>
          </w:p>
        </w:tc>
        <w:tc>
          <w:tcPr>
            <w:tcW w:w="1749" w:type="dxa"/>
            <w:vMerge w:val="continue"/>
            <w:tcBorders>
              <w:tl2br w:val="nil"/>
              <w:tr2bl w:val="nil"/>
            </w:tcBorders>
            <w:vAlign w:val="center"/>
          </w:tcPr>
          <w:p w14:paraId="4C31C9C4">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4B4EDE48">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根据《关于在政府采购活动中查询及使用信用记录有关问题的通知》财库[2016]125号的规定：</w:t>
            </w:r>
          </w:p>
          <w:p w14:paraId="0225053E">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1）采购人或采购代理机构将对本项目投标人的信用记录进行查询。查询渠道为信用中国网站（www.creditchina.gov.cn）、中国政府采购网（www.ccgp.gov.cn）；</w:t>
            </w:r>
          </w:p>
          <w:p w14:paraId="544302FF">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2）截止时点：提交投标文件（响应文件）截止时间前3年内；</w:t>
            </w:r>
          </w:p>
          <w:p w14:paraId="1FE66835">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3）查询记录和证据的留存：信用信息查询记录和证据以网页截图等方式留存。</w:t>
            </w:r>
          </w:p>
          <w:p w14:paraId="5EE70D15">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756EA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780" w:type="dxa"/>
            <w:vMerge w:val="continue"/>
            <w:tcBorders>
              <w:tl2br w:val="nil"/>
              <w:tr2bl w:val="nil"/>
            </w:tcBorders>
            <w:vAlign w:val="center"/>
          </w:tcPr>
          <w:p w14:paraId="2C380DA7">
            <w:pPr>
              <w:spacing w:line="276" w:lineRule="auto"/>
              <w:jc w:val="center"/>
              <w:rPr>
                <w:rFonts w:ascii="宋体" w:hAnsi="宋体"/>
                <w:color w:val="000000" w:themeColor="text1"/>
                <w:sz w:val="24"/>
                <w:highlight w:val="none"/>
              </w:rPr>
            </w:pPr>
            <w:bookmarkStart w:id="21" w:name="_Toc225840109"/>
            <w:bookmarkStart w:id="22" w:name="_Toc226106467"/>
            <w:bookmarkStart w:id="23" w:name="_Toc226106516"/>
            <w:bookmarkStart w:id="24" w:name="_Toc226521904"/>
          </w:p>
        </w:tc>
        <w:tc>
          <w:tcPr>
            <w:tcW w:w="1749" w:type="dxa"/>
            <w:vMerge w:val="continue"/>
            <w:tcBorders>
              <w:tl2br w:val="nil"/>
              <w:tr2bl w:val="nil"/>
            </w:tcBorders>
            <w:vAlign w:val="center"/>
          </w:tcPr>
          <w:p w14:paraId="5048F8AD">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7D8A1B9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供应商</w:t>
            </w:r>
            <w:r>
              <w:rPr>
                <w:rFonts w:hint="eastAsia" w:ascii="宋体" w:hAnsi="宋体"/>
                <w:color w:val="000000" w:themeColor="text1"/>
                <w:sz w:val="24"/>
                <w:szCs w:val="24"/>
                <w:highlight w:val="none"/>
                <w:lang w:val="en-US" w:eastAsia="zh-CN"/>
              </w:rPr>
              <w:t>需要将视频讲解</w:t>
            </w:r>
            <w:r>
              <w:rPr>
                <w:rFonts w:hint="eastAsia" w:ascii="宋体" w:hAnsi="宋体"/>
                <w:color w:val="000000" w:themeColor="text1"/>
                <w:sz w:val="24"/>
                <w:szCs w:val="24"/>
                <w:highlight w:val="none"/>
              </w:rPr>
              <w:t>以介质（U盘）存储的数据电文形式（推荐EMS或顺丰邮寄形式）递交，“</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”应当密封包装并在包装上标注投标项目名称、投标人名称并加盖公章。</w:t>
            </w:r>
          </w:p>
          <w:p w14:paraId="00AA298F">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注：“</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”接收地址为：衢州市柯城区荷五路761号2楼，联系人：余女士，联系电话：18268065306，“</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”递交截止时间为提交投标文件截止时间。供应商邮寄后可将邮件单号发送至代理机构电子邮箱（电子邮箱：838382939@qq.com ），以便采购代理机构查询物流记录。各供应商应当确保“</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”的密封包装在邮寄过程保持完好，因邮寄造成“</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”密封破损而不符合采购文件对“</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”的密封要求、或邮寄过程中导致“</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”未按招标公告规定时限前送达的，代理机构将拒绝其“</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”。各供应商自行考虑邮寄在途时间，“</w:t>
            </w:r>
            <w:r>
              <w:rPr>
                <w:rFonts w:hint="eastAsia" w:ascii="宋体" w:hAnsi="宋体"/>
                <w:color w:val="000000" w:themeColor="text1"/>
                <w:sz w:val="24"/>
                <w:szCs w:val="24"/>
                <w:highlight w:val="none"/>
                <w:lang w:val="en-US" w:eastAsia="zh-CN"/>
              </w:rPr>
              <w:t>视频讲解U盘</w:t>
            </w:r>
            <w:r>
              <w:rPr>
                <w:rFonts w:hint="eastAsia" w:ascii="宋体" w:hAnsi="宋体"/>
                <w:color w:val="000000" w:themeColor="text1"/>
                <w:sz w:val="24"/>
                <w:szCs w:val="24"/>
                <w:highlight w:val="none"/>
              </w:rPr>
              <w:t>”送达时间以代理机构工作人员实际签收时间为准。</w:t>
            </w:r>
          </w:p>
        </w:tc>
      </w:tr>
      <w:bookmarkEnd w:id="18"/>
    </w:tbl>
    <w:p w14:paraId="718E6904">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25" w:name="_Hlt74730295"/>
      <w:bookmarkEnd w:id="25"/>
      <w:bookmarkStart w:id="26" w:name="_Hlt74714665"/>
      <w:bookmarkEnd w:id="26"/>
      <w:r>
        <w:rPr>
          <w:rFonts w:hint="eastAsia" w:ascii="宋体" w:hAnsi="宋体" w:eastAsia="宋体" w:cs="宋体"/>
          <w:b/>
          <w:color w:val="000000" w:themeColor="text1"/>
          <w:sz w:val="24"/>
          <w:szCs w:val="24"/>
          <w:highlight w:val="none"/>
        </w:rPr>
        <w:t>二、投标须知</w:t>
      </w:r>
    </w:p>
    <w:p w14:paraId="0D886F72">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1.适用范围</w:t>
      </w:r>
    </w:p>
    <w:p w14:paraId="73E847B5">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本招标文件仅适用于本次采购项目的招标、投标、评标、定标、验收、合同履约、付款等行为。</w:t>
      </w:r>
    </w:p>
    <w:p w14:paraId="23E2F1DE">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2.定义</w:t>
      </w:r>
    </w:p>
    <w:p w14:paraId="0C168666">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2.1“</w:t>
      </w:r>
      <w:r>
        <w:rPr>
          <w:rFonts w:hint="eastAsia" w:ascii="宋体" w:hAnsi="宋体" w:eastAsia="宋体" w:cs="宋体"/>
          <w:color w:val="000000" w:themeColor="text1"/>
          <w:sz w:val="24"/>
          <w:szCs w:val="24"/>
          <w:highlight w:val="none"/>
        </w:rPr>
        <w:t>采购人（招标人）</w:t>
      </w:r>
      <w:r>
        <w:rPr>
          <w:rFonts w:hint="eastAsia" w:ascii="宋体" w:hAnsi="宋体" w:eastAsia="宋体" w:cs="宋体"/>
          <w:bCs/>
          <w:color w:val="000000" w:themeColor="text1"/>
          <w:sz w:val="24"/>
          <w:szCs w:val="24"/>
          <w:highlight w:val="none"/>
        </w:rPr>
        <w:t>”是指依法进行政府采购的国家机关、事业单位、团体组织，见本项目“招标公告”。</w:t>
      </w:r>
    </w:p>
    <w:p w14:paraId="71E4D0CC">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2.2“招标（采购）代理机构：指受招标人委托，在委托的范围内办理政府采购事宜并组织招标活动的机构，见本项目“招标公告”。</w:t>
      </w:r>
    </w:p>
    <w:p w14:paraId="654196A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2.3“供应商、投标人”：系指响应本次招标，参加本次投标的独立法人。</w:t>
      </w:r>
    </w:p>
    <w:p w14:paraId="5860B83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2.4“货物”：指供方按采购文件规定，须向采购人提供的一切设备、保险、税金、备品备件、工具、手册及其它有关技术资料和材料。</w:t>
      </w:r>
    </w:p>
    <w:p w14:paraId="7B24301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2.5“服务”：指采购文件或合同规定投标人须承担的服务以及其他类似的义务。。</w:t>
      </w:r>
    </w:p>
    <w:p w14:paraId="261E92F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2.6“▲”系指实质性要求条款。</w:t>
      </w:r>
    </w:p>
    <w:p w14:paraId="757E5D5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3.投标费用</w:t>
      </w:r>
    </w:p>
    <w:p w14:paraId="13EBECD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不论投标结果如何，投标人均应自行承担所有与投标有关的全部费用。</w:t>
      </w:r>
    </w:p>
    <w:p w14:paraId="48E66BF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4.招标方式</w:t>
      </w:r>
    </w:p>
    <w:p w14:paraId="24D53DE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本次招标采用公开招标方式进行。</w:t>
      </w:r>
    </w:p>
    <w:p w14:paraId="10969ED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5.联合体投标</w:t>
      </w:r>
    </w:p>
    <w:p w14:paraId="3961313C">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本项目不接受联合体投标。</w:t>
      </w:r>
    </w:p>
    <w:p w14:paraId="3AE9D90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6.转包与分包</w:t>
      </w:r>
    </w:p>
    <w:p w14:paraId="15E8D66E">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本项目不允许转包与分包。</w:t>
      </w:r>
    </w:p>
    <w:p w14:paraId="7CE06E5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7.支持中小企业发展</w:t>
      </w:r>
    </w:p>
    <w:p w14:paraId="5793EA9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7.1根据财政部、工业和信息化部关于印发《政府采购促进中小企业发展管理办法》的通知（财库〔2020〕46号）的规定</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EDA499F">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符合中小企业划分标准的个体工商户，在政府采购活动中视同中小企业。</w:t>
      </w:r>
    </w:p>
    <w:p w14:paraId="5D1EA50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采购标的对应的中小企业划分标准所属行业：【</w:t>
      </w:r>
      <w:r>
        <w:rPr>
          <w:rFonts w:hint="eastAsia" w:ascii="宋体" w:hAnsi="宋体" w:eastAsia="宋体" w:cs="宋体"/>
          <w:color w:val="000000" w:themeColor="text1"/>
          <w:sz w:val="24"/>
          <w:szCs w:val="24"/>
          <w:highlight w:val="none"/>
          <w:lang w:eastAsia="zh-CN"/>
        </w:rPr>
        <w:t>工业</w:t>
      </w:r>
      <w:r>
        <w:rPr>
          <w:rFonts w:hint="eastAsia" w:ascii="宋体" w:hAnsi="宋体" w:eastAsia="宋体" w:cs="宋体"/>
          <w:color w:val="000000" w:themeColor="text1"/>
          <w:sz w:val="24"/>
          <w:szCs w:val="24"/>
          <w:highlight w:val="none"/>
        </w:rPr>
        <w:t>】；</w:t>
      </w:r>
    </w:p>
    <w:p w14:paraId="68FE436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中小企业划分标准：《中小企业划分标准》（工信部联企业[2011]300号）。</w:t>
      </w:r>
    </w:p>
    <w:p w14:paraId="43932EF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w:t>
      </w: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在政府采购工程施工项目中，工程由中小企业承建，即工程施工单位为中小企业；在政府采购工程的货物采购项目中，货物由中小企业制造，即货物由中小企业生产且使用该中小企业商号或者注册商标；在政府采购工程的服务采购项目中，服务由中小企业承接，即提供服务的人员为中小企业依照《中华人民共和国劳动合同法》订立劳动合同的从业人员。</w:t>
      </w:r>
    </w:p>
    <w:p w14:paraId="3EA9C10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以联合体形式参加政府采购活动，联合体各方均为中小企业的，联合体视同中小企业。其中，联合体各方均为小微企业的，联合体视同小微企业。</w:t>
      </w:r>
    </w:p>
    <w:p w14:paraId="173A3CE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47C9464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w:t>
      </w:r>
      <w:r>
        <w:rPr>
          <w:rFonts w:hint="eastAsia" w:ascii="宋体" w:hAnsi="宋体" w:eastAsia="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rPr>
        <w:t>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435238B8">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w:t>
      </w:r>
      <w:r>
        <w:rPr>
          <w:rFonts w:hint="eastAsia" w:ascii="宋体" w:hAnsi="宋体" w:eastAsia="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34BFD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w:t>
      </w: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rPr>
        <w:t>中小企业享受扶持政策获得政府采购合同的，小微企业不得将合同分包给大中型企业，中型企业不得将合同分包给大型企业。</w:t>
      </w:r>
    </w:p>
    <w:p w14:paraId="60ED35A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对于未预留份额专门面向中小企业的政府采购项目，以及预留份额政府采购项目中的非预留部分标项，根据财库〔2020〕46号的相关规定，对符合本办法规定的</w:t>
      </w:r>
      <w:r>
        <w:rPr>
          <w:rFonts w:hint="eastAsia" w:ascii="宋体" w:hAnsi="宋体" w:cs="宋体"/>
          <w:color w:val="000000" w:themeColor="text1"/>
          <w:sz w:val="24"/>
          <w:szCs w:val="24"/>
          <w:highlight w:val="none"/>
          <w:lang w:val="en-US" w:eastAsia="zh-CN"/>
        </w:rPr>
        <w:t>中</w:t>
      </w:r>
      <w:r>
        <w:rPr>
          <w:rFonts w:hint="eastAsia" w:ascii="宋体" w:hAnsi="宋体" w:eastAsia="宋体" w:cs="宋体"/>
          <w:color w:val="000000" w:themeColor="text1"/>
          <w:sz w:val="24"/>
          <w:szCs w:val="24"/>
          <w:highlight w:val="none"/>
        </w:rPr>
        <w:t>小微型企业的投标报价给予10%的扣除，用扣除后的价格参与评审。已预留份额专门面向中小微企业采购的项目，不再执行价格评审优惠的扶持政策。</w:t>
      </w:r>
    </w:p>
    <w:p w14:paraId="7649409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 xml:space="preserve"> 支持绿色发展</w:t>
      </w:r>
    </w:p>
    <w:p w14:paraId="61FF7C2F">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095FB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8.2</w:t>
      </w:r>
      <w:r>
        <w:rPr>
          <w:rFonts w:hint="eastAsia" w:ascii="宋体" w:hAnsi="宋体" w:eastAsia="宋体" w:cs="宋体"/>
          <w:color w:val="000000" w:themeColor="text1"/>
          <w:sz w:val="24"/>
          <w:szCs w:val="24"/>
          <w:highlight w:val="none"/>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E24E0D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.特别说明：</w:t>
      </w:r>
    </w:p>
    <w:p w14:paraId="54C69FF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.1投标人投标所使用的资格、信誉、荣誉、业绩与企业认证必须为本法人（负责人）所拥有。</w:t>
      </w:r>
    </w:p>
    <w:p w14:paraId="6B35A05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.2投标人应仔细阅读采购文件的所有内容，按照采购文件的要求提交投标文件，并对所提供的全部资料的真实性承担法律责任。</w:t>
      </w:r>
    </w:p>
    <w:p w14:paraId="19F8873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FE2F1A2">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27" w:name="_Toc91899880"/>
      <w:bookmarkStart w:id="28" w:name="_Hlt74730307"/>
      <w:r>
        <w:rPr>
          <w:rFonts w:hint="eastAsia" w:ascii="宋体" w:hAnsi="宋体" w:eastAsia="宋体" w:cs="宋体"/>
          <w:b/>
          <w:color w:val="000000" w:themeColor="text1"/>
          <w:sz w:val="24"/>
          <w:szCs w:val="24"/>
          <w:highlight w:val="none"/>
        </w:rPr>
        <w:t>三、招标文件说明</w:t>
      </w:r>
    </w:p>
    <w:p w14:paraId="4E46F500">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1.招标文件的</w:t>
      </w:r>
      <w:bookmarkEnd w:id="27"/>
      <w:r>
        <w:rPr>
          <w:rFonts w:hint="eastAsia" w:ascii="宋体" w:hAnsi="宋体" w:eastAsia="宋体" w:cs="宋体"/>
          <w:bCs/>
          <w:color w:val="000000" w:themeColor="text1"/>
          <w:sz w:val="24"/>
          <w:szCs w:val="24"/>
          <w:highlight w:val="none"/>
        </w:rPr>
        <w:t>组成</w:t>
      </w:r>
    </w:p>
    <w:bookmarkEnd w:id="28"/>
    <w:p w14:paraId="6F357CE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 招标公告</w:t>
      </w:r>
    </w:p>
    <w:p w14:paraId="1D8DA4F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 投标须知前附表及投标须知</w:t>
      </w:r>
    </w:p>
    <w:p w14:paraId="45B26E25">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 采购内容及要求</w:t>
      </w:r>
    </w:p>
    <w:p w14:paraId="473CCA2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1.4 合同文本</w:t>
      </w:r>
    </w:p>
    <w:p w14:paraId="5B9B185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 应提交的有关格式范例</w:t>
      </w:r>
    </w:p>
    <w:p w14:paraId="442D4F6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 评标办法及开评标程序</w:t>
      </w:r>
    </w:p>
    <w:p w14:paraId="296C40B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补充文件（如果有，包括相关的补充、更正、澄清公告和文件）</w:t>
      </w:r>
    </w:p>
    <w:p w14:paraId="320A981E">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其他附件（如果有，如图纸等）</w:t>
      </w:r>
    </w:p>
    <w:p w14:paraId="10B661C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2.投标人应认真审阅上述招标文件组成中所有的内容。如果投标人编制的投标文件没有从实质上响应招标文件的要求，其投标文件将被拒绝。</w:t>
      </w:r>
    </w:p>
    <w:p w14:paraId="6A67455E">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3.采购文件的澄清</w:t>
      </w:r>
    </w:p>
    <w:p w14:paraId="7C877C1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3.1供应商在获取采购文件后，若有问题需要澄清或认为有必要与采购人进行技术交流，应于投标截止时间前，将问题发电子邮件至838382939@qq.com （电子邮件与书面文件有不一致的，以书面文件为准）。截止期后的疑问将不予受理、答复。</w:t>
      </w:r>
    </w:p>
    <w:p w14:paraId="27D17F6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3.2供应商要求解释或澄清的问题应以书面形式送达，并加盖公章、写明日期。</w:t>
      </w:r>
    </w:p>
    <w:p w14:paraId="0A19350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3.3所有要求解释或澄清的问题都予以解答，答疑内容与补充内容以更正（澄清）公告形式告知所有获取采购文件的供应商。</w:t>
      </w:r>
    </w:p>
    <w:p w14:paraId="32BAF51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4.采购文件的修改</w:t>
      </w:r>
    </w:p>
    <w:p w14:paraId="5835851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1225D6C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4.2采购文件的修改将以更正（澄清）公告通知所有获取采购文件的供应商，并对其具有约束力。供应商应及时关注浙江政府采购网上该项目的公告信息。</w:t>
      </w:r>
    </w:p>
    <w:p w14:paraId="5699205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4.3在更正（澄清）公告发布后，如果供应商认为编制投标文件的时间不充分的，必须在公告发布之日的24小时内通知采购人和采购代理机构。否则，视同供应商有充足时间编制投标文件。</w:t>
      </w:r>
    </w:p>
    <w:p w14:paraId="3D4709E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4.4采购文件澄清、答复、修改、补充的内容为采购文件的组成部分。当采购文件与采购文件的答复、澄清、修改、补充通知就同一内容的表述不一致时，以最后发出的更正（澄清）公告为准。</w:t>
      </w:r>
    </w:p>
    <w:p w14:paraId="1D59FBF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4.5采购文件的澄清、答复、修改或补充都应该通过本代理机构以法定形式发布，除此以外的发布不属于采购文件的组成部分。</w:t>
      </w:r>
    </w:p>
    <w:p w14:paraId="4081B25D">
      <w:pPr>
        <w:keepNext w:val="0"/>
        <w:keepLines w:val="0"/>
        <w:pageBreakBefore w:val="0"/>
        <w:kinsoku/>
        <w:wordWrap/>
        <w:overflowPunct/>
        <w:topLinePunct w:val="0"/>
        <w:autoSpaceDE/>
        <w:autoSpaceDN/>
        <w:bidi w:val="0"/>
        <w:snapToGrid w:val="0"/>
        <w:spacing w:line="460" w:lineRule="exact"/>
        <w:ind w:left="142"/>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四、</w:t>
      </w:r>
      <w:bookmarkStart w:id="29" w:name="_Toc356371435"/>
      <w:bookmarkStart w:id="30" w:name="_Toc359856800"/>
      <w:r>
        <w:rPr>
          <w:rFonts w:hint="eastAsia" w:ascii="宋体" w:hAnsi="宋体" w:eastAsia="宋体" w:cs="宋体"/>
          <w:b/>
          <w:color w:val="000000" w:themeColor="text1"/>
          <w:sz w:val="24"/>
          <w:szCs w:val="24"/>
          <w:highlight w:val="none"/>
        </w:rPr>
        <w:t>投标文件的编制</w:t>
      </w:r>
      <w:bookmarkEnd w:id="29"/>
      <w:bookmarkEnd w:id="30"/>
    </w:p>
    <w:p w14:paraId="0AE5CBD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1.总体要求</w:t>
      </w:r>
    </w:p>
    <w:p w14:paraId="1C9E653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004E1BD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3CAC2F9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1BFF4AD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1.3投标人应按本文件中提供的文件格式、内容和要求制作投标文件。</w:t>
      </w:r>
    </w:p>
    <w:p w14:paraId="271293F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2.投标文件的组成及份数</w:t>
      </w:r>
    </w:p>
    <w:p w14:paraId="7F9CA88A">
      <w:pPr>
        <w:keepNext w:val="0"/>
        <w:keepLines w:val="0"/>
        <w:pageBreakBefore w:val="0"/>
        <w:tabs>
          <w:tab w:val="left" w:pos="0"/>
          <w:tab w:val="left" w:pos="900"/>
          <w:tab w:val="left" w:pos="7020"/>
          <w:tab w:val="left" w:pos="8460"/>
        </w:tabs>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w:t>
      </w:r>
      <w:r>
        <w:rPr>
          <w:rFonts w:hint="eastAsia" w:ascii="宋体" w:hAnsi="宋体" w:eastAsia="宋体" w:cs="宋体"/>
          <w:color w:val="000000" w:themeColor="text1"/>
          <w:sz w:val="24"/>
          <w:szCs w:val="24"/>
          <w:highlight w:val="none"/>
        </w:rPr>
        <w:t>投标文件（电子投标文件）应分为【资格审查文件】、【商务技术文件】和【报价文件】。</w:t>
      </w:r>
      <w:r>
        <w:rPr>
          <w:rFonts w:hint="eastAsia" w:ascii="宋体" w:hAnsi="宋体" w:eastAsia="宋体" w:cs="宋体"/>
          <w:b/>
          <w:color w:val="000000" w:themeColor="text1"/>
          <w:sz w:val="24"/>
          <w:szCs w:val="24"/>
          <w:highlight w:val="none"/>
        </w:rPr>
        <w:t>电子投标文件中须加盖公章部分均采用CA签章。</w:t>
      </w:r>
    </w:p>
    <w:p w14:paraId="6F4A0895">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2.1▲</w:t>
      </w:r>
      <w:r>
        <w:rPr>
          <w:rFonts w:hint="eastAsia" w:ascii="宋体" w:hAnsi="宋体" w:eastAsia="宋体" w:cs="宋体"/>
          <w:color w:val="000000" w:themeColor="text1"/>
          <w:sz w:val="24"/>
          <w:szCs w:val="24"/>
          <w:highlight w:val="none"/>
        </w:rPr>
        <w:t>【资格审查文件】</w:t>
      </w:r>
    </w:p>
    <w:p w14:paraId="69E2E56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2.1.1 营业执照(或事业法人登记证书)扫描件；（提供原件的扫描件加盖CA签章）； </w:t>
      </w:r>
    </w:p>
    <w:p w14:paraId="0033490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法定代表人身份证明或法定代表人授权书；</w:t>
      </w:r>
    </w:p>
    <w:p w14:paraId="55096B6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 xml:space="preserve">3 </w:t>
      </w:r>
      <w:r>
        <w:rPr>
          <w:rFonts w:hint="eastAsia" w:ascii="宋体" w:hAnsi="宋体" w:eastAsia="宋体" w:cs="宋体"/>
          <w:color w:val="000000" w:themeColor="text1"/>
          <w:sz w:val="24"/>
          <w:szCs w:val="24"/>
          <w:highlight w:val="none"/>
        </w:rPr>
        <w:t>2023年度财务报表(新成立的公司提供情况说明)；（提供原件的扫描件加盖CA签章）</w:t>
      </w:r>
    </w:p>
    <w:p w14:paraId="66F9A1C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rPr>
        <w:t>具有履行合同所必需的专业服务（技术）能力的承诺函；</w:t>
      </w:r>
    </w:p>
    <w:p w14:paraId="0391034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rPr>
        <w:t xml:space="preserve"> 依法缴纳税收和社会保障资金的承诺函；</w:t>
      </w:r>
    </w:p>
    <w:p w14:paraId="0F585FB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2.1.</w:t>
      </w:r>
      <w:r>
        <w:rPr>
          <w:rFonts w:hint="eastAsia" w:ascii="宋体" w:hAnsi="宋体" w:eastAsia="宋体" w:cs="宋体"/>
          <w:bCs/>
          <w:color w:val="000000" w:themeColor="text1"/>
          <w:sz w:val="24"/>
          <w:szCs w:val="24"/>
          <w:highlight w:val="none"/>
          <w:lang w:val="en-US" w:eastAsia="zh-CN"/>
        </w:rPr>
        <w:t>6</w:t>
      </w:r>
      <w:r>
        <w:rPr>
          <w:rFonts w:hint="eastAsia" w:ascii="宋体" w:hAnsi="宋体" w:eastAsia="宋体" w:cs="宋体"/>
          <w:bCs/>
          <w:color w:val="000000" w:themeColor="text1"/>
          <w:sz w:val="24"/>
          <w:szCs w:val="24"/>
          <w:highlight w:val="none"/>
        </w:rPr>
        <w:t xml:space="preserve"> </w:t>
      </w:r>
      <w:r>
        <w:rPr>
          <w:rFonts w:hint="eastAsia" w:ascii="宋体" w:hAnsi="宋体" w:eastAsia="宋体" w:cs="宋体"/>
          <w:color w:val="000000" w:themeColor="text1"/>
          <w:sz w:val="24"/>
          <w:szCs w:val="24"/>
          <w:highlight w:val="none"/>
        </w:rPr>
        <w:t>没有重大违法记录承诺函；</w:t>
      </w:r>
    </w:p>
    <w:p w14:paraId="501DAB78">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7</w:t>
      </w:r>
      <w:r>
        <w:rPr>
          <w:rFonts w:hint="eastAsia" w:ascii="宋体" w:hAnsi="宋体" w:eastAsia="宋体" w:cs="宋体"/>
          <w:bCs/>
          <w:color w:val="000000" w:themeColor="text1"/>
          <w:sz w:val="24"/>
          <w:szCs w:val="24"/>
          <w:highlight w:val="none"/>
        </w:rPr>
        <w:t xml:space="preserve"> 与其他供应商无利害关系的声明函；</w:t>
      </w:r>
    </w:p>
    <w:p w14:paraId="13BF9F8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 xml:space="preserve"> 服务承诺书</w:t>
      </w:r>
    </w:p>
    <w:p w14:paraId="79868F3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投标人认为需要提供的其它资料（如有）。</w:t>
      </w:r>
    </w:p>
    <w:p w14:paraId="47371F2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2.2【商务技术文件】</w:t>
      </w:r>
    </w:p>
    <w:p w14:paraId="7FED498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2.2.1 自评分表；</w:t>
      </w:r>
    </w:p>
    <w:p w14:paraId="2002D77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2.2.2 投标声明函；</w:t>
      </w:r>
    </w:p>
    <w:p w14:paraId="65F498E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2.2.3 投标人认为需要提供的其它资料（具体要求见评分办法）</w:t>
      </w:r>
    </w:p>
    <w:p w14:paraId="6EFB323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2.3【报价文件】</w:t>
      </w:r>
    </w:p>
    <w:p w14:paraId="5FACE9D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2.3.1▲报价一览表； </w:t>
      </w:r>
    </w:p>
    <w:p w14:paraId="3D86DE9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 xml:space="preserve">.2 中小企业声明函（如有）；  </w:t>
      </w:r>
    </w:p>
    <w:p w14:paraId="1885D15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投标人认为需要提供的其它资料（如有）。</w:t>
      </w:r>
    </w:p>
    <w:p w14:paraId="1C545CE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3.投标报价</w:t>
      </w:r>
    </w:p>
    <w:p w14:paraId="1C943BD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3.1投标报价应按招标文件中相关附表格式填写</w:t>
      </w:r>
    </w:p>
    <w:p w14:paraId="199D7EB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3.2本项目预算最高限价：</w:t>
      </w:r>
      <w:r>
        <w:rPr>
          <w:rFonts w:hint="eastAsia" w:ascii="宋体" w:hAnsi="宋体" w:eastAsia="宋体" w:cs="宋体"/>
          <w:color w:val="000000" w:themeColor="text1"/>
          <w:sz w:val="24"/>
          <w:szCs w:val="24"/>
          <w:highlight w:val="none"/>
          <w:lang w:val="en-US" w:eastAsia="zh-CN"/>
        </w:rPr>
        <w:t>1900000</w:t>
      </w:r>
      <w:r>
        <w:rPr>
          <w:rFonts w:hint="eastAsia" w:ascii="宋体" w:hAnsi="宋体" w:eastAsia="宋体" w:cs="宋体"/>
          <w:color w:val="000000" w:themeColor="text1"/>
          <w:sz w:val="24"/>
          <w:szCs w:val="24"/>
          <w:highlight w:val="none"/>
        </w:rPr>
        <w:t>元。投标人报价超过最高限价的作无效报价处理，取消其投标资格。</w:t>
      </w:r>
    </w:p>
    <w:p w14:paraId="261D306A">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本项目报价采用人民币报价形式，投标人的报价应低于最高限价，否则其投标无效。签约合同价包含本项目招标内容及要求及合同约定所有货物/服务内容所需所有的人工工资（含社会保险费、公积金、超时补贴、绩效考核经费、伙食费、劳保用品、员工住宿交通差旅费用等）、规费、税费、企业管理费、利润以及合同包含的所有风险、责任等各项应有费用。在合同期间内不得违反国家相关政策规定。（说明：如发生不可抗力及突发性事件，中标供应商要无条件听从采购人指挥，配合采购人。费用已包括在投标报价内，采购人不再另行支付其他费用。）如有漏项，视同已包含在其中，在不改变产品参数及数量的前提下，合同单价不做调整。</w:t>
      </w:r>
      <w:r>
        <w:rPr>
          <w:rFonts w:hint="eastAsia" w:ascii="宋体" w:hAnsi="宋体" w:eastAsia="宋体" w:cs="宋体"/>
          <w:color w:val="000000" w:themeColor="text1"/>
          <w:sz w:val="24"/>
          <w:szCs w:val="24"/>
          <w:highlight w:val="none"/>
          <w:lang w:val="en-US" w:eastAsia="zh-CN"/>
        </w:rPr>
        <w:t>投标人</w:t>
      </w:r>
      <w:r>
        <w:rPr>
          <w:rFonts w:hint="eastAsia" w:ascii="宋体" w:hAnsi="宋体" w:eastAsia="宋体" w:cs="宋体"/>
          <w:color w:val="000000" w:themeColor="text1"/>
          <w:sz w:val="24"/>
          <w:szCs w:val="24"/>
          <w:highlight w:val="none"/>
        </w:rPr>
        <w:t>承担一切风险责任。</w:t>
      </w:r>
    </w:p>
    <w:p w14:paraId="7380158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3.4本项目只允许一次报价，不允许以开标后调整的报价作为评标的依据（但按本采购文件投标须知投标文件错误的修正并经评标委员会认定或经供应商确认同意的除外）。</w:t>
      </w:r>
    </w:p>
    <w:p w14:paraId="285BC3C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4.投标有效期</w:t>
      </w:r>
    </w:p>
    <w:p w14:paraId="3596DA0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4.1▲投标文件从投标文件递交截止之日起，有效期为90天</w:t>
      </w:r>
      <w:r>
        <w:rPr>
          <w:rFonts w:hint="eastAsia" w:ascii="宋体" w:hAnsi="宋体" w:eastAsia="宋体" w:cs="宋体"/>
          <w:color w:val="000000" w:themeColor="text1"/>
          <w:sz w:val="24"/>
          <w:szCs w:val="24"/>
          <w:highlight w:val="none"/>
          <w:lang w:eastAsia="zh-CN"/>
        </w:rPr>
        <w:t>。</w:t>
      </w:r>
    </w:p>
    <w:p w14:paraId="1FD2A83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31E27D8">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31" w:name="_Toc356371436"/>
      <w:bookmarkStart w:id="32" w:name="_Toc12522"/>
      <w:bookmarkStart w:id="33" w:name="_Toc359856801"/>
      <w:r>
        <w:rPr>
          <w:rFonts w:hint="eastAsia" w:ascii="宋体" w:hAnsi="宋体" w:eastAsia="宋体" w:cs="宋体"/>
          <w:b/>
          <w:color w:val="000000" w:themeColor="text1"/>
          <w:sz w:val="24"/>
          <w:szCs w:val="24"/>
          <w:highlight w:val="none"/>
        </w:rPr>
        <w:t>五、投标保证金</w:t>
      </w:r>
      <w:bookmarkEnd w:id="31"/>
      <w:bookmarkEnd w:id="32"/>
      <w:bookmarkEnd w:id="33"/>
    </w:p>
    <w:p w14:paraId="0FC399D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本项目不收取投标保证金。</w:t>
      </w:r>
    </w:p>
    <w:p w14:paraId="011C6CFF">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34" w:name="_Toc11923"/>
      <w:bookmarkStart w:id="35" w:name="_Toc359856802"/>
      <w:r>
        <w:rPr>
          <w:rFonts w:hint="eastAsia" w:ascii="宋体" w:hAnsi="宋体" w:eastAsia="宋体" w:cs="宋体"/>
          <w:b/>
          <w:color w:val="000000" w:themeColor="text1"/>
          <w:sz w:val="24"/>
          <w:szCs w:val="24"/>
          <w:highlight w:val="none"/>
        </w:rPr>
        <w:t>六、投标文件的签署及</w:t>
      </w:r>
      <w:bookmarkEnd w:id="34"/>
      <w:bookmarkEnd w:id="35"/>
      <w:r>
        <w:rPr>
          <w:rFonts w:hint="eastAsia" w:ascii="宋体" w:hAnsi="宋体" w:eastAsia="宋体" w:cs="宋体"/>
          <w:b/>
          <w:color w:val="000000" w:themeColor="text1"/>
          <w:sz w:val="24"/>
          <w:szCs w:val="24"/>
          <w:highlight w:val="none"/>
        </w:rPr>
        <w:t>盖章</w:t>
      </w:r>
    </w:p>
    <w:p w14:paraId="1FED814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bookmarkStart w:id="36" w:name="_Toc356371437"/>
      <w:bookmarkStart w:id="37" w:name="_Toc22308"/>
      <w:bookmarkStart w:id="38" w:name="_Toc359856803"/>
      <w:r>
        <w:rPr>
          <w:rFonts w:hint="eastAsia" w:ascii="宋体" w:hAnsi="宋体" w:eastAsia="宋体" w:cs="宋体"/>
          <w:color w:val="000000" w:themeColor="text1"/>
          <w:sz w:val="24"/>
          <w:szCs w:val="24"/>
          <w:highlight w:val="none"/>
        </w:rPr>
        <w:t>1.1投标文件按照采购文件第五章格式要求进行签署、盖章。供应商的投标文件未按照招标文件要求签署、盖章的，其投标无效。</w:t>
      </w:r>
    </w:p>
    <w:p w14:paraId="71DDB70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1.2为确保网上操作合法、有效和安全，供应商应当在投标截止时间前完成在“政府采购云平台”的身份认证，确保在电子投标过程中能够对相关数据电文进行加密和使用电子签名。</w:t>
      </w:r>
    </w:p>
    <w:p w14:paraId="23DB901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1.3投标人应按本招标文件规定的格式和顺序编制、装订投标文件并标注页码，投标文件内容不完整、编排混乱导致投标文件被误读、漏读或者查找不到相关内容的，是投标人的责任。</w:t>
      </w:r>
    </w:p>
    <w:p w14:paraId="58840DD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1.4本项目通过“政采云平台（www.zcygov.cn）”实行在线投标响应（电子投标）。供应商应通过“政采云电子交易客户端”，并按照本招标文件和“政采云平台”的要求编制并加密投标文件。</w:t>
      </w:r>
    </w:p>
    <w:p w14:paraId="375F246A">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投标人应当按照“投标文件组成”规定的内容及顺序在“政采云电子交易客户端”编制投标文件。其中《资格审查文件》和《商务技术文件》中不得出现本项目投标报价，如因投标人原因提前泄露投标报价，是投标人的责任。</w:t>
      </w:r>
    </w:p>
    <w:p w14:paraId="4242E0B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1.6投标文件需做好“标书关联”（即设置关联点），未设置关联点而导致失分或无效投标处理的风险由投标人承担。</w:t>
      </w:r>
    </w:p>
    <w:p w14:paraId="3748D6D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1.7投标文件应按招标文件中投标格式文件所示列要求由投标人的法定代表人或其授权的代理人签字、盖单位公章。投标人的法定代表人授权代理人签字的，投标文件应附由法定代表人签署的授权委托书。</w:t>
      </w:r>
    </w:p>
    <w:p w14:paraId="511A792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1.8投标文件不得涂改，若有修改和增删处，必须加盖单位公章或法定代表人或授权委托人签字或盖章。投标文件字迹模糊、潦草或在关键的技术、商务条款上表述不清所引起的后果由投标人负责。</w:t>
      </w:r>
    </w:p>
    <w:p w14:paraId="712E790C">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七、投标文件的递交</w:t>
      </w:r>
      <w:bookmarkEnd w:id="36"/>
      <w:bookmarkEnd w:id="37"/>
      <w:bookmarkEnd w:id="38"/>
    </w:p>
    <w:p w14:paraId="5174A078">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1.递交投标文件截止期</w:t>
      </w:r>
    </w:p>
    <w:p w14:paraId="3CF4E66A">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w:t>
      </w:r>
    </w:p>
    <w:p w14:paraId="0DC48BAB">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1.2投标截止时间后，供应商登录政采云平台，用“项目采购-开标评标”功能对电子投标文件进行在线解密。在线解密电子投标文件时间为开标时间起30分钟内。</w:t>
      </w:r>
    </w:p>
    <w:p w14:paraId="439FBE9A">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2.备份投标文件</w:t>
      </w:r>
    </w:p>
    <w:p w14:paraId="4AA8F6D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投供应商在电子交易平台传输递交投标文件后，还可以按投标须知前附表规定（非强制性要求，推荐EMS或顺丰邮寄形式）递交“备份投标文件”1份，但采购人、代理机构不强制或变相强制供应商提交“备份投标文件”。</w:t>
      </w:r>
    </w:p>
    <w:p w14:paraId="55B979E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2.2“备份投标文件”须在“政采云投标客户端”制作生成，并储存在U盘中。“备份投标文件”应当密封包装并在包装上加盖公章并注明投标项目名称，供应商名称。</w:t>
      </w:r>
    </w:p>
    <w:p w14:paraId="1E8D954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▲不符合上述制作、存储、密封规定的“备份投标文件”将被视为无效或者被拒绝接收。</w:t>
      </w:r>
    </w:p>
    <w:p w14:paraId="038DEC08">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39" w:name="_Toc30209"/>
      <w:bookmarkStart w:id="40" w:name="_Toc359856806"/>
      <w:bookmarkStart w:id="41" w:name="_Toc91899887"/>
      <w:r>
        <w:rPr>
          <w:rFonts w:hint="eastAsia" w:ascii="宋体" w:hAnsi="宋体" w:eastAsia="宋体" w:cs="宋体"/>
          <w:b/>
          <w:color w:val="000000" w:themeColor="text1"/>
          <w:sz w:val="24"/>
          <w:szCs w:val="24"/>
          <w:highlight w:val="none"/>
        </w:rPr>
        <w:t>八、开标和评标</w:t>
      </w:r>
      <w:bookmarkEnd w:id="39"/>
      <w:bookmarkEnd w:id="40"/>
    </w:p>
    <w:p w14:paraId="7A5BC99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1.开标</w:t>
      </w:r>
    </w:p>
    <w:p w14:paraId="18EAD12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1.1采购人将于前附表规定的时间和地点公开开标。若采购人修改采购文件更改了开标时间和地点的，以后者为准，供应商不足3家的，不得开标。</w:t>
      </w:r>
    </w:p>
    <w:p w14:paraId="4F9157C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1.2开标时，电子交易平台按开标时间自动提取所有投标文件。代理机构依托电子交易平台发起开始解密指令，供应商按照平台提示和招标文件的规定在半小时内完成在线解密。</w:t>
      </w:r>
    </w:p>
    <w:p w14:paraId="3A01D4B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1.3投标文件未按时解密，供应商提供了“备份投标文件”的，以“备份投标文件”作为依据，否则视为投标文件撤回。投标文件已按时解密的，“备份投标文件”自动失效。</w:t>
      </w:r>
    </w:p>
    <w:p w14:paraId="1187FE62">
      <w:pPr>
        <w:keepNext w:val="0"/>
        <w:keepLines w:val="0"/>
        <w:pageBreakBefore w:val="0"/>
        <w:numPr>
          <w:ilvl w:val="0"/>
          <w:numId w:val="2"/>
        </w:numPr>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资格审查</w:t>
      </w:r>
    </w:p>
    <w:p w14:paraId="6CE0FCFB">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2.1开标后，采购人或代理机构将依法对供应商的资格进行审查。</w:t>
      </w:r>
    </w:p>
    <w:p w14:paraId="7A88F685">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2.2采购人或代理机构依据法律法规和采购文件的规定，对供应商的基本资格条件、特定资格条件进行审查。</w:t>
      </w:r>
    </w:p>
    <w:p w14:paraId="0C49B691">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2.3供应商未按照采购文件要求提供与资格条件相应的有效资格证明材料的，视为供应商不具备采购文件中规定的资格要求，其投标无效。</w:t>
      </w:r>
    </w:p>
    <w:p w14:paraId="1E3396B2">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2.4对未通过资格审查的供应商，采购人或代理机构告知其未通过的原因。</w:t>
      </w:r>
    </w:p>
    <w:p w14:paraId="4ACD8097">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2.5合格供应商不足3家的，不再评标。</w:t>
      </w:r>
    </w:p>
    <w:p w14:paraId="5D96806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3.信用信息查询</w:t>
      </w:r>
    </w:p>
    <w:p w14:paraId="0A50FA3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3.1信用信息查询渠道及截止时间：代理机构将通过“信用中国”网站(www.creditchina.gov.cn)、中国政府采购网(www.ccgp.gov.cn)渠道查询供应商投标截止时间当天前三年内的信用记录。</w:t>
      </w:r>
    </w:p>
    <w:p w14:paraId="790D2BE8">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3.2信用信息查询记录和证据留存的具体方式：现场查询的供应商的信用记录、查询结果经确认后将与采购文件一起存档。</w:t>
      </w:r>
    </w:p>
    <w:p w14:paraId="1410A98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信用信息的使用规则：经查询列入被列入失信被执行人、重大税收违法案件当事人名单、政府采购严重违法失信行为记录名单或浙江政府采购网曝光台中尚在行政处罚期内及其它不符合《中华人民共和国政府采购法》第二十二条规定条件的情形的供应商将被拒绝参与政府采购活动。</w:t>
      </w:r>
    </w:p>
    <w:p w14:paraId="729B931A">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本项目不适用）</w:t>
      </w:r>
    </w:p>
    <w:p w14:paraId="60351797">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bookmarkStart w:id="42" w:name="_Toc8418"/>
      <w:bookmarkStart w:id="43" w:name="_Toc359856807"/>
      <w:bookmarkStart w:id="44" w:name="_Toc356371440"/>
      <w:r>
        <w:rPr>
          <w:rFonts w:hint="eastAsia" w:ascii="宋体" w:hAnsi="宋体" w:eastAsia="宋体" w:cs="宋体"/>
          <w:color w:val="000000" w:themeColor="text1"/>
          <w:sz w:val="24"/>
          <w:szCs w:val="24"/>
          <w:highlight w:val="none"/>
        </w:rPr>
        <w:t>4.评标程序</w:t>
      </w:r>
    </w:p>
    <w:p w14:paraId="6708131D">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4.1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w:t>
      </w:r>
      <w:r>
        <w:rPr>
          <w:rFonts w:hint="eastAsia" w:ascii="宋体" w:hAnsi="宋体" w:eastAsia="宋体" w:cs="宋体"/>
          <w:snapToGrid w:val="0"/>
          <w:color w:val="000000" w:themeColor="text1"/>
          <w:kern w:val="0"/>
          <w:sz w:val="24"/>
          <w:szCs w:val="24"/>
          <w:highlight w:val="none"/>
        </w:rPr>
        <w:t>具有实质性响应的投标。符合投标无效情形的，投标无效。</w:t>
      </w:r>
    </w:p>
    <w:p w14:paraId="3ED6F90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在符合性审查时，如发现下列情形之一的，投标文件将被视为无效投标：</w:t>
      </w:r>
    </w:p>
    <w:p w14:paraId="6FD5A732">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单位负责人为同一人或者存在直接控股、管理关系的不同供应商参加同一合同项下的政府采购活动的（均无效）；</w:t>
      </w:r>
    </w:p>
    <w:p w14:paraId="7A7FB79F">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为采购项目提供整体设计、规范编制或者项目管理、监理、检测等服务的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再参加该采购项目的其他采购活动的；</w:t>
      </w:r>
    </w:p>
    <w:p w14:paraId="4C6C253E">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如以联合体形式参加政府采购活动的，联合体协议不符合采购文件规定的联合体协议要求的；</w:t>
      </w:r>
    </w:p>
    <w:p w14:paraId="31E0DBB3">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投标文件未按规定的格式编制的；</w:t>
      </w:r>
    </w:p>
    <w:p w14:paraId="55B8124C">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投标文件未按采购文件的澄清、修改的内容编制，又不符合实质性要求的；</w:t>
      </w:r>
    </w:p>
    <w:p w14:paraId="2D304F76">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投标文件组成漏项，内容不全或内容字迹模糊辨认不清的；</w:t>
      </w:r>
    </w:p>
    <w:p w14:paraId="638775E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《报价一览表》填写不完整或字迹不能辨认或有漏项的；</w:t>
      </w:r>
    </w:p>
    <w:p w14:paraId="6B990A4C">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投标文件未按照招标文件要求签署、盖章的；</w:t>
      </w:r>
    </w:p>
    <w:p w14:paraId="713BB608">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598A2AC2">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投标文件含有采购人不能接受的附加条件的；</w:t>
      </w:r>
    </w:p>
    <w:p w14:paraId="17EAFC4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投标文件中承诺的投标有效期少于招标文件中载明的投标有效期的；</w:t>
      </w:r>
    </w:p>
    <w:p w14:paraId="691646A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投标文件出现不是唯一的、有选择性投标报价的；</w:t>
      </w:r>
    </w:p>
    <w:p w14:paraId="5A56B9A8">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投标报价超过招标文件中规定的预算金额或者最高限价的；</w:t>
      </w:r>
    </w:p>
    <w:p w14:paraId="3E6A10A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273FC601">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投标人对根据修正原则修正后的报价不确认的；</w:t>
      </w:r>
    </w:p>
    <w:p w14:paraId="5F55712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投标人仅提交备份投标文件，未在电子交易平台传输递交投标文件的，投标无效；</w:t>
      </w:r>
    </w:p>
    <w:p w14:paraId="559CE461">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对一个标项存在一个或一个以上备选（替代）投标方案的；</w:t>
      </w:r>
    </w:p>
    <w:p w14:paraId="5AC23C4F">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未采用人民币报价或者未按照招标文件标明的币种报价的；</w:t>
      </w:r>
    </w:p>
    <w:p w14:paraId="25167AFA">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投标文件没有对本采购文件作出实质性响应的，或不满足（不响应）本采购文件中标注“▲”的实质性要求条款的，或存在采购文件中明确规定的其他无效响应文件情形的；</w:t>
      </w:r>
    </w:p>
    <w:p w14:paraId="57284BAC">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供应商提供虚假材料响应的（包括但不限于以下情节）；</w:t>
      </w:r>
    </w:p>
    <w:p w14:paraId="3EA3C9B5">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1）使用伪造、变造的许可证件；</w:t>
      </w:r>
    </w:p>
    <w:p w14:paraId="74BDAC6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2）提供虚假的财务状况或者业绩；</w:t>
      </w:r>
    </w:p>
    <w:p w14:paraId="4C23D9C0">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3）提供虚假的项目负责人或者主要技术人员简历、劳动关系证明；</w:t>
      </w:r>
    </w:p>
    <w:p w14:paraId="7D3240B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4）提供虚假的信用状况；</w:t>
      </w:r>
    </w:p>
    <w:p w14:paraId="3A394001">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5）其他弄虚作假的行为。</w:t>
      </w:r>
    </w:p>
    <w:p w14:paraId="3A26D81C">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（21）供应商有恶意串通、妨碍其他供应商的竞争行为、损害采购人或者其他供应商的合法权益情形的，有下列情形之一的，属于或视为恶意串通，其响应无效：</w:t>
      </w:r>
    </w:p>
    <w:p w14:paraId="2B3AEC67">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1）供应商直接或者间接从采购人或者采购代理机构处获得其他供应商的相关情况并修改其投标文件；</w:t>
      </w:r>
    </w:p>
    <w:p w14:paraId="0A8251C5">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2）供应商按照采购人或者采购代理机构的授意撤换、修改投标文件或者响应文件；</w:t>
      </w:r>
    </w:p>
    <w:p w14:paraId="4B696BF1">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3）供应商之间协商报价、技术方案等投标文件或者响应文件的实质性内容；</w:t>
      </w:r>
    </w:p>
    <w:p w14:paraId="014436D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4）属于同一集团、协会、商会等组织成员的供应商按照该组织要求协同参加政府采购活动；</w:t>
      </w:r>
    </w:p>
    <w:p w14:paraId="3CA617E4">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5）供应商之间事先约定由某一特定供应商中标、成交；</w:t>
      </w:r>
    </w:p>
    <w:p w14:paraId="48F4DEC1">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6）供应商之间商定部分供应商放弃参加政府采购活动或者放弃中标、成交；</w:t>
      </w:r>
    </w:p>
    <w:p w14:paraId="76A3E47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7）供应商与采购人或者采购代理机构之间、供应商相互之间，为谋求特定供应商中标、成交或者排斥其他供应商的其他串通行为。</w:t>
      </w:r>
    </w:p>
    <w:p w14:paraId="051AB8E2">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8）不同供应商的响应文件由同一单位或者个人编制；</w:t>
      </w:r>
    </w:p>
    <w:p w14:paraId="2912E75C">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9）不同供应商委托同一单位或者个人办理响应事宜；</w:t>
      </w:r>
    </w:p>
    <w:p w14:paraId="637BC3BB">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10）不同供应商的响应文件载明的项目管理成员或者联系人员为同一人；</w:t>
      </w:r>
    </w:p>
    <w:p w14:paraId="62206EE5">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11）不同供应商的响应文件异常一致或者最后报价呈规律性差异；</w:t>
      </w:r>
    </w:p>
    <w:p w14:paraId="31AD10B3">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12）不同供应商的响应文件相互混装</w:t>
      </w:r>
    </w:p>
    <w:p w14:paraId="6217556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rPr>
        <w:t>（22）法律、法规、规章（适用本市的）及省级以上规范性文件（适用本市的）规定的其他无效情形；</w:t>
      </w:r>
    </w:p>
    <w:p w14:paraId="397C3B12">
      <w:pPr>
        <w:pStyle w:val="29"/>
        <w:keepNext w:val="0"/>
        <w:keepLines w:val="0"/>
        <w:pageBreakBefore w:val="0"/>
        <w:kinsoku/>
        <w:wordWrap/>
        <w:overflowPunct/>
        <w:topLinePunct w:val="0"/>
        <w:autoSpaceDE/>
        <w:autoSpaceDN/>
        <w:bidi w:val="0"/>
        <w:spacing w:before="0" w:line="460" w:lineRule="exact"/>
        <w:ind w:firstLine="549"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4.2投标人澄清、说明或者补正：</w:t>
      </w:r>
      <w:r>
        <w:rPr>
          <w:rFonts w:hint="eastAsia" w:ascii="宋体" w:hAnsi="宋体" w:eastAsia="宋体" w:cs="宋体"/>
          <w:snapToGrid w:val="0"/>
          <w:color w:val="000000" w:themeColor="text1"/>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通过电子交易平台交换数据电文，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提交使用电子签名的相关数据电文或通过平台上传加盖公章的扫描件。给予</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提交澄清、说明或补正的时间不得少于半小时，</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已经明确表示澄清说明或补正完毕的除外。</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的澄清、说明或者补正不得超出投标文件的范围或者改变投标文件的实质性内容。</w:t>
      </w:r>
    </w:p>
    <w:p w14:paraId="73BBFE92">
      <w:pPr>
        <w:pStyle w:val="29"/>
        <w:keepNext w:val="0"/>
        <w:keepLines w:val="0"/>
        <w:pageBreakBefore w:val="0"/>
        <w:kinsoku/>
        <w:wordWrap/>
        <w:overflowPunct/>
        <w:topLinePunct w:val="0"/>
        <w:autoSpaceDE/>
        <w:autoSpaceDN/>
        <w:bidi w:val="0"/>
        <w:spacing w:before="0" w:line="460" w:lineRule="exact"/>
        <w:ind w:firstLine="602" w:firstLineChars="25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4.3比较与评价：</w:t>
      </w:r>
      <w:r>
        <w:rPr>
          <w:rFonts w:hint="eastAsia" w:ascii="宋体" w:hAnsi="宋体" w:eastAsia="宋体" w:cs="宋体"/>
          <w:snapToGrid w:val="0"/>
          <w:color w:val="000000" w:themeColor="text1"/>
          <w:kern w:val="0"/>
          <w:sz w:val="24"/>
          <w:szCs w:val="24"/>
          <w:highlight w:val="none"/>
        </w:rPr>
        <w:t>评标委员会应当按照评标标准，对符合性审查合格的投标文件进行商务和技术评估，综合比较与评价。</w:t>
      </w:r>
    </w:p>
    <w:p w14:paraId="57863DF6">
      <w:pPr>
        <w:pStyle w:val="29"/>
        <w:keepNext w:val="0"/>
        <w:keepLines w:val="0"/>
        <w:pageBreakBefore w:val="0"/>
        <w:kinsoku/>
        <w:wordWrap/>
        <w:overflowPunct/>
        <w:topLinePunct w:val="0"/>
        <w:autoSpaceDE/>
        <w:autoSpaceDN/>
        <w:bidi w:val="0"/>
        <w:spacing w:before="0" w:line="460" w:lineRule="exact"/>
        <w:ind w:firstLine="602" w:firstLineChars="25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4.4汇总（商务技术得分情况）：</w:t>
      </w:r>
      <w:r>
        <w:rPr>
          <w:rFonts w:hint="eastAsia" w:ascii="宋体" w:hAnsi="宋体" w:eastAsia="宋体" w:cs="宋体"/>
          <w:snapToGrid w:val="0"/>
          <w:color w:val="000000" w:themeColor="text1"/>
          <w:kern w:val="0"/>
          <w:sz w:val="24"/>
          <w:szCs w:val="24"/>
          <w:highlight w:val="none"/>
        </w:rPr>
        <w:t>评标委员会各成员应当独立对每个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的商务和技术文件进行评价，并汇总商务技术得分情况。</w:t>
      </w:r>
    </w:p>
    <w:p w14:paraId="6FC14A35">
      <w:pPr>
        <w:pStyle w:val="29"/>
        <w:keepNext w:val="0"/>
        <w:keepLines w:val="0"/>
        <w:pageBreakBefore w:val="0"/>
        <w:kinsoku/>
        <w:wordWrap/>
        <w:overflowPunct/>
        <w:topLinePunct w:val="0"/>
        <w:autoSpaceDE/>
        <w:autoSpaceDN/>
        <w:bidi w:val="0"/>
        <w:spacing w:before="0" w:line="460" w:lineRule="exact"/>
        <w:ind w:firstLine="602" w:firstLineChars="25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4.5报价审核：</w:t>
      </w:r>
      <w:r>
        <w:rPr>
          <w:rFonts w:hint="eastAsia" w:ascii="宋体" w:hAnsi="宋体" w:eastAsia="宋体" w:cs="宋体"/>
          <w:snapToGrid w:val="0"/>
          <w:color w:val="000000" w:themeColor="text1"/>
          <w:kern w:val="0"/>
          <w:sz w:val="24"/>
          <w:szCs w:val="24"/>
          <w:highlight w:val="none"/>
        </w:rPr>
        <w:t>对经商务和技术评审符合采购需求的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的报价的合理性、准确性等进行审查核实。</w:t>
      </w:r>
    </w:p>
    <w:p w14:paraId="18AB4104">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4.5.1评标委员会认为</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的报价明显低于其他通过符合性审查</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的报价，有可能影响产品质量或者不能诚信履约的，应当要求其在合理的时间内提供书面说明，必要时提交相关证明材料。</w:t>
      </w:r>
    </w:p>
    <w:p w14:paraId="4ED4DAAC">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4.5.2投标价格的修正原则。投标文件报价出现前后不一致的，按照下列规定修正：</w:t>
      </w:r>
    </w:p>
    <w:p w14:paraId="303209D4">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4.5.2.1投标文件中报价一览表内容与投标文件中相应内容不一致的，以报价一览表为准；</w:t>
      </w:r>
    </w:p>
    <w:p w14:paraId="72055456">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4.5.2.2大写金额和小写金额不一致的，以大写金额为准；</w:t>
      </w:r>
    </w:p>
    <w:p w14:paraId="5FC0DE5D">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4.5.2.3单价金额小数点或者百分比有明显错位的，以报价一览表的总价为准，并修改单价；</w:t>
      </w:r>
    </w:p>
    <w:p w14:paraId="4D6DE146">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4.5.2.4总价金额与按单价汇总金额不一致的，以单价金额计算结果为准。</w:t>
      </w:r>
    </w:p>
    <w:p w14:paraId="0387D902">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4.5.3同时出现两种以上不一致的，按照前款规定的顺序修正。修正后的报价按照财政部第87号令《政府采购货物和服务招标投标管理办法》第五十一条第二款的规定经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确认后产生约束力。</w:t>
      </w:r>
    </w:p>
    <w:p w14:paraId="05521D5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w:t>
      </w:r>
      <w:r>
        <w:rPr>
          <w:rFonts w:hint="eastAsia" w:ascii="宋体" w:hAnsi="宋体" w:eastAsia="宋体" w:cs="宋体"/>
          <w:b/>
          <w:bCs/>
          <w:snapToGrid w:val="0"/>
          <w:color w:val="000000" w:themeColor="text1"/>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429B3F75">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4.6汇总得分：评标委员会各成员应当独立对每个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的投标文件进行评价，并汇总每个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的得分。</w:t>
      </w:r>
    </w:p>
    <w:p w14:paraId="7856AA8F">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5.顺序排列与中标候选推荐</w:t>
      </w:r>
    </w:p>
    <w:p w14:paraId="005EA03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5.1评标结果按评审后得分由高到低顺序排列，确定综合得分最高的供应商为第一中标人。如出现综合得分相同时，投标报价低的优先；如综合得分和投标报价均相同，则现场抽签确定。</w:t>
      </w:r>
    </w:p>
    <w:p w14:paraId="00336A10">
      <w:pPr>
        <w:pStyle w:val="12"/>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6.在招标采购中，出现下列情形之一的，应予废标：</w:t>
      </w:r>
    </w:p>
    <w:p w14:paraId="0B8165D4">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根据《中华人民共和国政府采购法》第三十六条之规定，在采购中，出现下列情形之一的，应予废标：</w:t>
      </w:r>
    </w:p>
    <w:p w14:paraId="3959D24B">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6.1符合专业条件的供应商或者对招标文件作实质响应的供应商不足3家的；</w:t>
      </w:r>
    </w:p>
    <w:p w14:paraId="27DCF8AE">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6.2出现影响采购公正的违法、违规行为的；</w:t>
      </w:r>
    </w:p>
    <w:p w14:paraId="765726F3">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6.3供应商的报价均超过了采购预算，采购人不能支付的；</w:t>
      </w:r>
    </w:p>
    <w:p w14:paraId="208600B2">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6.4因重大变故，采购任务取消的。</w:t>
      </w:r>
    </w:p>
    <w:p w14:paraId="33884B3B">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废标后，代理机构应当将废标理由通知所有供应商。</w:t>
      </w:r>
    </w:p>
    <w:p w14:paraId="2E40620C">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bCs/>
          <w:color w:val="000000" w:themeColor="text1"/>
          <w:sz w:val="24"/>
          <w:szCs w:val="24"/>
          <w:highlight w:val="none"/>
        </w:rPr>
        <w:t>7.</w:t>
      </w:r>
      <w:r>
        <w:rPr>
          <w:rFonts w:hint="eastAsia" w:ascii="宋体" w:hAnsi="宋体" w:eastAsia="宋体" w:cs="宋体"/>
          <w:b/>
          <w:color w:val="000000" w:themeColor="text1"/>
          <w:sz w:val="24"/>
          <w:szCs w:val="24"/>
          <w:highlight w:val="none"/>
        </w:rPr>
        <w:t>重新组织采购</w:t>
      </w:r>
    </w:p>
    <w:p w14:paraId="5332EBB6">
      <w:pPr>
        <w:pStyle w:val="8"/>
        <w:keepNext w:val="0"/>
        <w:keepLines w:val="0"/>
        <w:pageBreakBefore w:val="0"/>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7.1修改招标文件，重新组织采购活动。</w:t>
      </w:r>
      <w:r>
        <w:rPr>
          <w:rFonts w:hint="eastAsia" w:ascii="宋体" w:hAnsi="宋体" w:eastAsia="宋体" w:cs="宋体"/>
          <w:color w:val="000000" w:themeColor="text1"/>
          <w:sz w:val="24"/>
          <w:szCs w:val="24"/>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70B6CFED">
      <w:pPr>
        <w:pStyle w:val="12"/>
        <w:keepNext w:val="0"/>
        <w:keepLines w:val="0"/>
        <w:pageBreakBefore w:val="0"/>
        <w:kinsoku/>
        <w:wordWrap/>
        <w:overflowPunct/>
        <w:topLinePunct w:val="0"/>
        <w:autoSpaceDE/>
        <w:autoSpaceDN/>
        <w:bidi w:val="0"/>
        <w:spacing w:line="460" w:lineRule="exact"/>
        <w:ind w:firstLine="361"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7.2重新开展采购。</w:t>
      </w:r>
      <w:r>
        <w:rPr>
          <w:rFonts w:hint="eastAsia" w:ascii="宋体" w:hAnsi="宋体" w:eastAsia="宋体" w:cs="宋体"/>
          <w:color w:val="000000" w:themeColor="text1"/>
          <w:sz w:val="24"/>
          <w:szCs w:val="24"/>
          <w:highlight w:val="none"/>
        </w:rPr>
        <w:t>有政府采购法第七十一条、第七十二条规定的违法行为之一，影响或者可能影响中标、</w:t>
      </w:r>
      <w:r>
        <w:rPr>
          <w:rFonts w:hint="eastAsia" w:ascii="宋体" w:hAnsi="宋体" w:eastAsia="宋体" w:cs="宋体"/>
          <w:snapToGrid w:val="0"/>
          <w:color w:val="000000" w:themeColor="text1"/>
          <w:kern w:val="0"/>
          <w:sz w:val="24"/>
          <w:szCs w:val="24"/>
          <w:highlight w:val="none"/>
        </w:rPr>
        <w:t>成交结果的，依照下列规定处理：</w:t>
      </w:r>
    </w:p>
    <w:p w14:paraId="41A51257">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7.2.1未确定中标或者中标供应商的，终止本次政府采购活动，重新开展政府采购活动。</w:t>
      </w:r>
    </w:p>
    <w:p w14:paraId="52BEEA21">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7.2.2已确定中标或者中标供应商但尚未签订政府采购合同的，中标或者成交结果无效，从合格的中标或者成交候选人中另行确定中标或者中标供应商；没有合格的中标或者成交候选人的，重新开展政府采购活动。</w:t>
      </w:r>
    </w:p>
    <w:p w14:paraId="515561A4">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7.2.3政府采购合同已签订但尚未履行的，撤销合同，从合格的中标或者成交候选人中另行确定中标或者中标供应商；没有合格的中标或者成交候选人的，重新开展政府采购活动。</w:t>
      </w:r>
    </w:p>
    <w:p w14:paraId="3DB0709E">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7.2.4政府采购合同已经履行，给采购人、供应商造成损失的，由责任人承担赔偿责任。</w:t>
      </w:r>
    </w:p>
    <w:p w14:paraId="0B8C2DAB">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7.2.5政府采购当事人有其他违反政府采购法或者本条例规定的行为，经改正后仍然影响或者可能影响中标</w:t>
      </w:r>
      <w:r>
        <w:rPr>
          <w:rFonts w:hint="eastAsia" w:ascii="宋体" w:hAnsi="宋体" w:eastAsia="宋体" w:cs="宋体"/>
          <w:color w:val="000000" w:themeColor="text1"/>
          <w:sz w:val="24"/>
          <w:szCs w:val="24"/>
          <w:highlight w:val="none"/>
        </w:rPr>
        <w:t>、成交结果或者依法被认定为中标、成交无效的，依照7.2.1-7.2.4规定处理。</w:t>
      </w:r>
    </w:p>
    <w:p w14:paraId="64C1657D">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九、</w:t>
      </w:r>
      <w:bookmarkEnd w:id="42"/>
      <w:bookmarkEnd w:id="43"/>
      <w:bookmarkEnd w:id="44"/>
      <w:r>
        <w:rPr>
          <w:rFonts w:hint="eastAsia" w:ascii="宋体" w:hAnsi="宋体" w:eastAsia="宋体" w:cs="宋体"/>
          <w:b/>
          <w:color w:val="000000" w:themeColor="text1"/>
          <w:sz w:val="24"/>
          <w:szCs w:val="24"/>
          <w:highlight w:val="none"/>
        </w:rPr>
        <w:t>确定中标供应商及授予合同</w:t>
      </w:r>
    </w:p>
    <w:p w14:paraId="7897FADB">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1.中标供应商的确定</w:t>
      </w:r>
    </w:p>
    <w:p w14:paraId="16C1B895">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1.1采购代理机构应当自评审结束之日起2个工作日内将评审报告送交采购人。</w:t>
      </w:r>
    </w:p>
    <w:p w14:paraId="7AC69B06">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应当自收到评标报告之日起５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5D1D5DFD">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7F9A8036">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采购人或者</w:t>
      </w:r>
      <w:r>
        <w:rPr>
          <w:rFonts w:hint="eastAsia" w:ascii="宋体" w:hAnsi="宋体" w:eastAsia="宋体" w:cs="宋体"/>
          <w:snapToGrid w:val="0"/>
          <w:color w:val="000000" w:themeColor="text1"/>
          <w:kern w:val="0"/>
          <w:sz w:val="24"/>
          <w:szCs w:val="24"/>
          <w:highlight w:val="none"/>
        </w:rPr>
        <w:t>采购代理机构应当自中标候选人确定之日起2个工作日内，在原招标公告发布媒体上公告中标结果，采购文件应当随中标结果同时公告。</w:t>
      </w:r>
    </w:p>
    <w:p w14:paraId="048C5614">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公告期限为1个工作日。</w:t>
      </w:r>
    </w:p>
    <w:p w14:paraId="58201758">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1.2除国务院财政部门规定的情形外，采购人、采购代理机构不得以任何理由组织重新评审。采购人、采购代理机构按照国务院财政部门的规定组织重新评审的，应当书面报告本级人民政府财政部门。</w:t>
      </w:r>
    </w:p>
    <w:p w14:paraId="7BF8139D">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1.3中标通知书发出后，采购人不得违法改变中标结果，中标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无正当理由不得放弃中标。</w:t>
      </w:r>
    </w:p>
    <w:p w14:paraId="141758D9">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2.合同授予</w:t>
      </w:r>
    </w:p>
    <w:p w14:paraId="2BA379B5">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snapToGrid w:val="0"/>
          <w:color w:val="000000" w:themeColor="text1"/>
          <w:kern w:val="0"/>
          <w:sz w:val="24"/>
          <w:szCs w:val="24"/>
          <w:highlight w:val="none"/>
        </w:rPr>
      </w:pPr>
      <w:r>
        <w:rPr>
          <w:rFonts w:hint="eastAsia" w:ascii="宋体" w:hAnsi="宋体" w:eastAsia="宋体" w:cs="宋体"/>
          <w:bCs/>
          <w:snapToGrid w:val="0"/>
          <w:color w:val="000000" w:themeColor="text1"/>
          <w:kern w:val="0"/>
          <w:sz w:val="24"/>
          <w:szCs w:val="24"/>
          <w:highlight w:val="none"/>
        </w:rPr>
        <w:t>2.1本项目的合同将授予按本须知所确定的中标</w:t>
      </w:r>
      <w:r>
        <w:rPr>
          <w:rFonts w:hint="eastAsia" w:ascii="宋体" w:hAnsi="宋体" w:eastAsia="宋体" w:cs="宋体"/>
          <w:bCs/>
          <w:color w:val="000000" w:themeColor="text1"/>
          <w:sz w:val="24"/>
          <w:szCs w:val="24"/>
          <w:highlight w:val="none"/>
        </w:rPr>
        <w:t>供应商</w:t>
      </w:r>
      <w:r>
        <w:rPr>
          <w:rFonts w:hint="eastAsia" w:ascii="宋体" w:hAnsi="宋体" w:eastAsia="宋体" w:cs="宋体"/>
          <w:bCs/>
          <w:snapToGrid w:val="0"/>
          <w:color w:val="000000" w:themeColor="text1"/>
          <w:kern w:val="0"/>
          <w:sz w:val="24"/>
          <w:szCs w:val="24"/>
          <w:highlight w:val="none"/>
        </w:rPr>
        <w:t>。</w:t>
      </w:r>
    </w:p>
    <w:p w14:paraId="1E275422">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snapToGrid w:val="0"/>
          <w:color w:val="000000" w:themeColor="text1"/>
          <w:kern w:val="0"/>
          <w:sz w:val="24"/>
          <w:szCs w:val="24"/>
          <w:highlight w:val="none"/>
        </w:rPr>
      </w:pPr>
      <w:r>
        <w:rPr>
          <w:rFonts w:hint="eastAsia" w:ascii="宋体" w:hAnsi="宋体" w:eastAsia="宋体" w:cs="宋体"/>
          <w:bCs/>
          <w:snapToGrid w:val="0"/>
          <w:color w:val="000000" w:themeColor="text1"/>
          <w:kern w:val="0"/>
          <w:sz w:val="24"/>
          <w:szCs w:val="24"/>
          <w:highlight w:val="none"/>
        </w:rPr>
        <w:t>2.2中标或者中标供应商拒绝与采购人签订合同的，采购人可以重新开展政府采购活动。</w:t>
      </w:r>
    </w:p>
    <w:p w14:paraId="363B22EA">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3.签订合同</w:t>
      </w:r>
    </w:p>
    <w:p w14:paraId="6897AD2C">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3.1中标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应按中标通知书规定的时间与采购人签订合同。中标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在领取中标通知书时须向采购人提供一份关于本项目在实施过程中的相关人员的通讯录作为合同附件。</w:t>
      </w:r>
    </w:p>
    <w:p w14:paraId="2FE542B1">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3.2中标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予以赔偿，同时采购人可重新开展政府采购活动；</w:t>
      </w:r>
    </w:p>
    <w:p w14:paraId="11209C07">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3.3采购文件、中标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36B0C62C">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45" w:name="_Toc12385"/>
      <w:bookmarkStart w:id="46" w:name="质疑与投诉"/>
      <w:bookmarkStart w:id="47" w:name="_Toc359856808"/>
      <w:bookmarkStart w:id="48" w:name="_Toc356371441"/>
      <w:r>
        <w:rPr>
          <w:rFonts w:hint="eastAsia" w:ascii="宋体" w:hAnsi="宋体" w:eastAsia="宋体" w:cs="宋体"/>
          <w:b/>
          <w:color w:val="000000" w:themeColor="text1"/>
          <w:sz w:val="24"/>
          <w:szCs w:val="24"/>
          <w:highlight w:val="none"/>
        </w:rPr>
        <w:t>十、质疑与投诉</w:t>
      </w:r>
      <w:bookmarkEnd w:id="45"/>
      <w:bookmarkEnd w:id="46"/>
    </w:p>
    <w:p w14:paraId="5727B751">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443102AD">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质疑函范本、投诉书范本请到浙江政府采购网下载专区下载。</w:t>
      </w:r>
    </w:p>
    <w:p w14:paraId="4898C1C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1.投标人询问</w:t>
      </w:r>
    </w:p>
    <w:p w14:paraId="60448CC7">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供应商对政府采购活动事项有疑问的，可以向采购机构提出询问，采购人或者采购代理机构应当在3个工作日内对供应商依法提出的询问作出答复，但答复的内容不得涉及商业秘密。</w:t>
      </w:r>
    </w:p>
    <w:p w14:paraId="1D21128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2.投标人质疑</w:t>
      </w:r>
    </w:p>
    <w:p w14:paraId="1492546B">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2.1</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173A2DAB">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本项目要求</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在法定质疑期内一次性提出针对同一采购程序环节的质疑。</w:t>
      </w:r>
    </w:p>
    <w:p w14:paraId="67EF561F">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2.2提出质疑的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（以下简称质疑人）应当是参与所质疑项目采购活动的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w:t>
      </w:r>
    </w:p>
    <w:p w14:paraId="73338B35">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潜在</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2638E21D">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2.3</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提出质疑应当提交质疑函和必要的证明材料。质疑函应当包括下列内容：</w:t>
      </w:r>
    </w:p>
    <w:p w14:paraId="015352EF">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（一）</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的姓名或者名称、地址、邮编、联系人及联系电话；</w:t>
      </w:r>
    </w:p>
    <w:p w14:paraId="72284F47">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（二）质疑项目的名称、编号；</w:t>
      </w:r>
    </w:p>
    <w:p w14:paraId="6A890E07">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（三）具体、明确的质疑事项和与质疑事项相关的请求；</w:t>
      </w:r>
    </w:p>
    <w:p w14:paraId="78DC1FCE">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（四）事实依据；</w:t>
      </w:r>
    </w:p>
    <w:p w14:paraId="26716E1A">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（五）必要的法律依据；</w:t>
      </w:r>
    </w:p>
    <w:p w14:paraId="6DBCB7FD">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（六）提出质疑的日期。</w:t>
      </w:r>
    </w:p>
    <w:p w14:paraId="371329A4">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为自然人的，应当由本人签字；</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为法人或者其他组织的，应当由法定代表人、主要负责人，或者其授权代表签字或者盖章，并加盖公章。</w:t>
      </w:r>
    </w:p>
    <w:p w14:paraId="442819AA">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。质疑答复的内容不得涉及商业秘密。</w:t>
      </w:r>
    </w:p>
    <w:p w14:paraId="35BFE11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3.投标人投诉</w:t>
      </w:r>
    </w:p>
    <w:p w14:paraId="5E7F30E2">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质疑投标人对采购机构的答复不满意或者采购机构未在规定的时间内作出答复的，可以在答复期满后十五个工作日内向同级政府采购监督管理部门提出投诉。</w:t>
      </w:r>
    </w:p>
    <w:p w14:paraId="7B6D417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4.采购结束</w:t>
      </w:r>
    </w:p>
    <w:p w14:paraId="4387BEC8">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4.1中标供应商与采购人签订合同生效后即为采购结束。</w:t>
      </w:r>
    </w:p>
    <w:p w14:paraId="1C092A6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4.2本项目的投标文件（包括“备份投标文件”）不予退回。</w:t>
      </w:r>
    </w:p>
    <w:bookmarkEnd w:id="47"/>
    <w:bookmarkEnd w:id="48"/>
    <w:p w14:paraId="649254FB">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b/>
          <w:bCs/>
          <w:color w:val="000000" w:themeColor="text1"/>
          <w:sz w:val="24"/>
          <w:szCs w:val="24"/>
          <w:highlight w:val="none"/>
        </w:rPr>
      </w:pPr>
      <w:bookmarkStart w:id="49" w:name="_Toc2441"/>
      <w:bookmarkStart w:id="50" w:name="_Toc359856809"/>
      <w:bookmarkStart w:id="51" w:name="_Toc356371442"/>
      <w:r>
        <w:rPr>
          <w:rFonts w:hint="eastAsia" w:ascii="宋体" w:hAnsi="宋体" w:eastAsia="宋体" w:cs="宋体"/>
          <w:b/>
          <w:bCs/>
          <w:color w:val="000000" w:themeColor="text1"/>
          <w:sz w:val="24"/>
          <w:szCs w:val="24"/>
          <w:highlight w:val="none"/>
        </w:rPr>
        <w:t>十一、其他</w:t>
      </w:r>
      <w:bookmarkEnd w:id="49"/>
      <w:bookmarkEnd w:id="50"/>
      <w:bookmarkEnd w:id="51"/>
    </w:p>
    <w:p w14:paraId="724744D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14:paraId="1B667AB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2.联系方式：所有与招标有关的函电请按下面联系</w:t>
      </w:r>
    </w:p>
    <w:p w14:paraId="1C49C845">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通讯地址：衢州市柯城区荷五路761号2楼  </w:t>
      </w:r>
    </w:p>
    <w:p w14:paraId="03931A6D">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邮编：324000</w:t>
      </w:r>
    </w:p>
    <w:p w14:paraId="32DFFD51">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w:t>
      </w:r>
      <w:r>
        <w:rPr>
          <w:rFonts w:hint="eastAsia" w:ascii="宋体" w:hAnsi="宋体" w:eastAsia="宋体" w:cs="宋体"/>
          <w:color w:val="000000" w:themeColor="text1"/>
          <w:sz w:val="24"/>
          <w:szCs w:val="24"/>
          <w:highlight w:val="none"/>
          <w:lang w:val="en-US" w:eastAsia="zh-CN"/>
        </w:rPr>
        <w:t>余</w:t>
      </w:r>
      <w:r>
        <w:rPr>
          <w:rFonts w:hint="eastAsia" w:ascii="宋体" w:hAnsi="宋体" w:eastAsia="宋体" w:cs="宋体"/>
          <w:color w:val="000000" w:themeColor="text1"/>
          <w:sz w:val="24"/>
          <w:szCs w:val="24"/>
          <w:highlight w:val="none"/>
        </w:rPr>
        <w:t>女士</w:t>
      </w:r>
    </w:p>
    <w:p w14:paraId="75B7379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答疑咨询电话：18268065306</w:t>
      </w:r>
    </w:p>
    <w:p w14:paraId="56B543F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3.采购代理服务费</w:t>
      </w:r>
    </w:p>
    <w:bookmarkEnd w:id="41"/>
    <w:p w14:paraId="1A79FA6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3.1本次采购，采购代理服务费按计价格[2002]1980号规定计取，以项目中标价作为计费基数，不足2000元按2000元计取。评委费按实结算。</w:t>
      </w:r>
    </w:p>
    <w:tbl>
      <w:tblPr>
        <w:tblStyle w:val="21"/>
        <w:tblpPr w:leftFromText="180" w:rightFromText="180" w:vertAnchor="text" w:horzAnchor="page" w:tblpXSpec="center" w:tblpY="188"/>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11"/>
        <w:gridCol w:w="2311"/>
        <w:gridCol w:w="2000"/>
      </w:tblGrid>
      <w:tr w14:paraId="3234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900" w:type="dxa"/>
            <w:gridSpan w:val="4"/>
            <w:tcBorders>
              <w:top w:val="nil"/>
              <w:left w:val="nil"/>
              <w:bottom w:val="single" w:color="auto" w:sz="4" w:space="0"/>
              <w:right w:val="nil"/>
            </w:tcBorders>
          </w:tcPr>
          <w:p w14:paraId="26924AA5">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b/>
                <w:bCs/>
                <w:color w:val="000000" w:themeColor="text1"/>
                <w:kern w:val="0"/>
                <w:sz w:val="24"/>
                <w:szCs w:val="24"/>
                <w:highlight w:val="none"/>
              </w:rPr>
            </w:pPr>
            <w:r>
              <w:rPr>
                <w:rFonts w:hint="eastAsia" w:ascii="宋体" w:hAnsi="宋体" w:eastAsia="宋体" w:cs="宋体"/>
                <w:bCs/>
                <w:color w:val="000000" w:themeColor="text1"/>
                <w:sz w:val="24"/>
                <w:szCs w:val="24"/>
                <w:highlight w:val="none"/>
              </w:rPr>
              <w:t>招标代理费收费标准</w:t>
            </w:r>
          </w:p>
        </w:tc>
      </w:tr>
      <w:tr w14:paraId="614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278" w:type="dxa"/>
            <w:tcBorders>
              <w:top w:val="single" w:color="auto" w:sz="4" w:space="0"/>
            </w:tcBorders>
            <w:vAlign w:val="center"/>
          </w:tcPr>
          <w:p w14:paraId="4C505E4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中标金额</w:t>
            </w:r>
          </w:p>
          <w:p w14:paraId="5458526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（万元）</w:t>
            </w:r>
          </w:p>
        </w:tc>
        <w:tc>
          <w:tcPr>
            <w:tcW w:w="2311" w:type="dxa"/>
            <w:tcBorders>
              <w:top w:val="single" w:color="auto" w:sz="4" w:space="0"/>
            </w:tcBorders>
            <w:vAlign w:val="center"/>
          </w:tcPr>
          <w:p w14:paraId="7D18DA28">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货物招标</w:t>
            </w:r>
          </w:p>
        </w:tc>
        <w:tc>
          <w:tcPr>
            <w:tcW w:w="2311" w:type="dxa"/>
            <w:tcBorders>
              <w:top w:val="single" w:color="auto" w:sz="4" w:space="0"/>
            </w:tcBorders>
            <w:vAlign w:val="center"/>
          </w:tcPr>
          <w:p w14:paraId="7DA2800B">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服务招标</w:t>
            </w:r>
          </w:p>
        </w:tc>
        <w:tc>
          <w:tcPr>
            <w:tcW w:w="2000" w:type="dxa"/>
            <w:tcBorders>
              <w:top w:val="single" w:color="auto" w:sz="4" w:space="0"/>
            </w:tcBorders>
            <w:vAlign w:val="center"/>
          </w:tcPr>
          <w:p w14:paraId="467DD1A6">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工程招标</w:t>
            </w:r>
          </w:p>
        </w:tc>
      </w:tr>
      <w:tr w14:paraId="2228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0E764F59">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100以下</w:t>
            </w:r>
          </w:p>
        </w:tc>
        <w:tc>
          <w:tcPr>
            <w:tcW w:w="2311" w:type="dxa"/>
            <w:vAlign w:val="center"/>
          </w:tcPr>
          <w:p w14:paraId="086C3C7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1.50%</w:t>
            </w:r>
          </w:p>
        </w:tc>
        <w:tc>
          <w:tcPr>
            <w:tcW w:w="2311" w:type="dxa"/>
            <w:vAlign w:val="center"/>
          </w:tcPr>
          <w:p w14:paraId="0F3FEDD3">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w:t>
            </w:r>
          </w:p>
        </w:tc>
        <w:tc>
          <w:tcPr>
            <w:tcW w:w="2000" w:type="dxa"/>
            <w:vAlign w:val="center"/>
          </w:tcPr>
          <w:p w14:paraId="460697CB">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w:t>
            </w:r>
          </w:p>
        </w:tc>
      </w:tr>
      <w:tr w14:paraId="0334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2D8A88A4">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100-500</w:t>
            </w:r>
          </w:p>
        </w:tc>
        <w:tc>
          <w:tcPr>
            <w:tcW w:w="2311" w:type="dxa"/>
            <w:vAlign w:val="center"/>
          </w:tcPr>
          <w:p w14:paraId="5EA2DE49">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1.10%</w:t>
            </w:r>
          </w:p>
        </w:tc>
        <w:tc>
          <w:tcPr>
            <w:tcW w:w="2311" w:type="dxa"/>
            <w:vAlign w:val="center"/>
          </w:tcPr>
          <w:p w14:paraId="4C9F8800">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0.8%</w:t>
            </w:r>
          </w:p>
        </w:tc>
        <w:tc>
          <w:tcPr>
            <w:tcW w:w="2000" w:type="dxa"/>
            <w:vAlign w:val="center"/>
          </w:tcPr>
          <w:p w14:paraId="6174D3E7">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0.7%</w:t>
            </w:r>
          </w:p>
        </w:tc>
      </w:tr>
      <w:tr w14:paraId="0674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4F885517">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500-1000</w:t>
            </w:r>
          </w:p>
        </w:tc>
        <w:tc>
          <w:tcPr>
            <w:tcW w:w="2311" w:type="dxa"/>
            <w:vAlign w:val="center"/>
          </w:tcPr>
          <w:p w14:paraId="53D57D05">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0.80%</w:t>
            </w:r>
          </w:p>
        </w:tc>
        <w:tc>
          <w:tcPr>
            <w:tcW w:w="2311" w:type="dxa"/>
            <w:vAlign w:val="center"/>
          </w:tcPr>
          <w:p w14:paraId="6643447D">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0.45%</w:t>
            </w:r>
          </w:p>
        </w:tc>
        <w:tc>
          <w:tcPr>
            <w:tcW w:w="2000" w:type="dxa"/>
            <w:vAlign w:val="center"/>
          </w:tcPr>
          <w:p w14:paraId="6604CC89">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0.55%</w:t>
            </w:r>
          </w:p>
        </w:tc>
      </w:tr>
      <w:tr w14:paraId="6F18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14FADA9B">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1000-5000</w:t>
            </w:r>
          </w:p>
        </w:tc>
        <w:tc>
          <w:tcPr>
            <w:tcW w:w="2311" w:type="dxa"/>
            <w:vAlign w:val="center"/>
          </w:tcPr>
          <w:p w14:paraId="126BF4FD">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0.50%</w:t>
            </w:r>
          </w:p>
        </w:tc>
        <w:tc>
          <w:tcPr>
            <w:tcW w:w="2311" w:type="dxa"/>
            <w:vAlign w:val="center"/>
          </w:tcPr>
          <w:p w14:paraId="7836979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0.25%</w:t>
            </w:r>
          </w:p>
        </w:tc>
        <w:tc>
          <w:tcPr>
            <w:tcW w:w="2000" w:type="dxa"/>
            <w:vAlign w:val="center"/>
          </w:tcPr>
          <w:p w14:paraId="3F409822">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0.35%</w:t>
            </w:r>
          </w:p>
        </w:tc>
      </w:tr>
      <w:tr w14:paraId="6BDA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78" w:type="dxa"/>
            <w:vAlign w:val="center"/>
          </w:tcPr>
          <w:p w14:paraId="4A28DF2C">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5000-10000</w:t>
            </w:r>
          </w:p>
        </w:tc>
        <w:tc>
          <w:tcPr>
            <w:tcW w:w="2311" w:type="dxa"/>
            <w:vAlign w:val="center"/>
          </w:tcPr>
          <w:p w14:paraId="5887F7C3">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0.25%</w:t>
            </w:r>
          </w:p>
        </w:tc>
        <w:tc>
          <w:tcPr>
            <w:tcW w:w="2311" w:type="dxa"/>
            <w:vAlign w:val="center"/>
          </w:tcPr>
          <w:p w14:paraId="2AF07D4A">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0.1%</w:t>
            </w:r>
          </w:p>
        </w:tc>
        <w:tc>
          <w:tcPr>
            <w:tcW w:w="2000" w:type="dxa"/>
            <w:vAlign w:val="center"/>
          </w:tcPr>
          <w:p w14:paraId="76E0462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w:t>
            </w:r>
          </w:p>
        </w:tc>
      </w:tr>
    </w:tbl>
    <w:p w14:paraId="5BC3D882">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3.2以上费用均不在报价中单列，请投标人在报价中予以考虑。</w:t>
      </w:r>
    </w:p>
    <w:p w14:paraId="6CCD419B">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sectPr>
          <w:headerReference r:id="rId10" w:type="first"/>
          <w:footerReference r:id="rId13" w:type="first"/>
          <w:headerReference r:id="rId9" w:type="default"/>
          <w:footerReference r:id="rId11" w:type="default"/>
          <w:footerReference r:id="rId12" w:type="even"/>
          <w:pgSz w:w="11906" w:h="16838"/>
          <w:pgMar w:top="1440" w:right="1587" w:bottom="1440" w:left="1587" w:header="851" w:footer="850" w:gutter="0"/>
          <w:pgBorders>
            <w:top w:val="none" w:sz="0" w:space="0"/>
            <w:left w:val="none" w:sz="0" w:space="0"/>
            <w:bottom w:val="none" w:sz="0" w:space="0"/>
            <w:right w:val="none" w:sz="0" w:space="0"/>
          </w:pgBorders>
          <w:pgNumType w:start="1"/>
          <w:cols w:space="0" w:num="1"/>
          <w:titlePg/>
          <w:docGrid w:linePitch="381" w:charSpace="0"/>
        </w:sectPr>
      </w:pPr>
      <w:r>
        <w:rPr>
          <w:rFonts w:hint="eastAsia" w:ascii="宋体" w:hAnsi="宋体" w:eastAsia="宋体" w:cs="宋体"/>
          <w:color w:val="000000" w:themeColor="text1"/>
          <w:sz w:val="24"/>
          <w:szCs w:val="24"/>
          <w:highlight w:val="none"/>
        </w:rPr>
        <w:t>3.3由中标投标人在领取中标通知书时支付给采购代理单位。</w:t>
      </w:r>
    </w:p>
    <w:p w14:paraId="19FC4CDF">
      <w:pPr>
        <w:pStyle w:val="29"/>
        <w:numPr>
          <w:ilvl w:val="0"/>
          <w:numId w:val="1"/>
        </w:numPr>
        <w:spacing w:before="0" w:afterLines="50" w:line="276" w:lineRule="auto"/>
        <w:ind w:left="0" w:leftChars="0" w:firstLine="0" w:firstLineChars="0"/>
        <w:jc w:val="center"/>
        <w:outlineLvl w:val="0"/>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t>采购内容及要求</w:t>
      </w:r>
      <w:bookmarkStart w:id="52" w:name="_Toc86217003"/>
      <w:bookmarkStart w:id="53" w:name="_Toc233618986"/>
    </w:p>
    <w:p w14:paraId="070E7563">
      <w:pPr>
        <w:pStyle w:val="29"/>
        <w:numPr>
          <w:ilvl w:val="0"/>
          <w:numId w:val="0"/>
        </w:numPr>
        <w:spacing w:before="0" w:afterLines="50" w:line="276" w:lineRule="auto"/>
        <w:ind w:leftChars="0"/>
        <w:jc w:val="both"/>
        <w:outlineLvl w:val="0"/>
        <w:rPr>
          <w:rFonts w:hint="eastAsia" w:ascii="宋体" w:hAnsi="宋体" w:eastAsia="宋体" w:cs="宋体"/>
          <w:b/>
          <w:color w:val="000000" w:themeColor="text1"/>
          <w:sz w:val="24"/>
          <w:szCs w:val="24"/>
          <w:highlight w:val="none"/>
          <w:vertAlign w:val="baseline"/>
        </w:rPr>
      </w:pPr>
      <w:r>
        <w:rPr>
          <w:rFonts w:hint="eastAsia" w:ascii="宋体" w:hAnsi="宋体" w:eastAsia="宋体" w:cs="宋体"/>
          <w:b/>
          <w:color w:val="000000" w:themeColor="text1"/>
          <w:sz w:val="24"/>
          <w:szCs w:val="24"/>
          <w:highlight w:val="none"/>
          <w:lang w:val="en-US" w:eastAsia="zh-CN"/>
        </w:rPr>
        <w:t>一、技术参数及要求</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50"/>
        <w:gridCol w:w="6630"/>
      </w:tblGrid>
      <w:tr w14:paraId="5854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2A23AB66">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序号</w:t>
            </w:r>
          </w:p>
        </w:tc>
        <w:tc>
          <w:tcPr>
            <w:tcW w:w="1550" w:type="dxa"/>
            <w:vAlign w:val="center"/>
          </w:tcPr>
          <w:p w14:paraId="3AC12E8D">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装备名称</w:t>
            </w:r>
          </w:p>
        </w:tc>
        <w:tc>
          <w:tcPr>
            <w:tcW w:w="6630" w:type="dxa"/>
            <w:vAlign w:val="center"/>
          </w:tcPr>
          <w:p w14:paraId="20113B02">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主要参数</w:t>
            </w:r>
          </w:p>
        </w:tc>
      </w:tr>
      <w:tr w14:paraId="3E34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0DE4345">
            <w:pPr>
              <w:keepNext w:val="0"/>
              <w:keepLines w:val="0"/>
              <w:widowControl/>
              <w:suppressLineNumbers w:val="0"/>
              <w:spacing w:after="220" w:afterAutospacing="0"/>
              <w:jc w:val="center"/>
              <w:textAlignment w:val="center"/>
              <w:rPr>
                <w:rFonts w:hint="eastAsia" w:ascii="宋体" w:hAnsi="宋体" w:eastAsia="宋体" w:cs="宋体"/>
                <w:b/>
                <w:color w:val="000000" w:themeColor="text1"/>
                <w:sz w:val="24"/>
                <w:szCs w:val="24"/>
                <w:highlight w:val="none"/>
                <w:vertAlign w:val="baseline"/>
              </w:rPr>
            </w:pPr>
            <w:r>
              <w:rPr>
                <w:rStyle w:val="51"/>
                <w:rFonts w:hint="eastAsia"/>
                <w:i w:val="0"/>
                <w:iCs w:val="0"/>
                <w:color w:val="000000" w:themeColor="text1"/>
                <w:highlight w:val="none"/>
                <w:lang w:val="en-US" w:eastAsia="zh-CN" w:bidi="ar"/>
              </w:rPr>
              <w:t>1</w:t>
            </w:r>
          </w:p>
        </w:tc>
        <w:tc>
          <w:tcPr>
            <w:tcW w:w="1550" w:type="dxa"/>
            <w:vAlign w:val="center"/>
          </w:tcPr>
          <w:p w14:paraId="49DC2297">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Style w:val="51"/>
                <w:rFonts w:hint="eastAsia"/>
                <w:i w:val="0"/>
                <w:iCs w:val="0"/>
                <w:color w:val="000000" w:themeColor="text1"/>
                <w:highlight w:val="none"/>
                <w:lang w:val="en-US" w:eastAsia="zh-CN" w:bidi="ar"/>
              </w:rPr>
            </w:pPr>
            <w:r>
              <w:rPr>
                <w:rStyle w:val="51"/>
                <w:rFonts w:hint="eastAsia"/>
                <w:i w:val="0"/>
                <w:iCs w:val="0"/>
                <w:color w:val="000000" w:themeColor="text1"/>
                <w:highlight w:val="none"/>
                <w:lang w:val="en-US" w:eastAsia="zh-CN" w:bidi="ar"/>
              </w:rPr>
              <w:t>25吨重型水罐排涝泵车</w:t>
            </w:r>
          </w:p>
          <w:p w14:paraId="5C0A7D8D">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b/>
                <w:color w:val="000000" w:themeColor="text1"/>
                <w:sz w:val="24"/>
                <w:szCs w:val="24"/>
                <w:highlight w:val="none"/>
                <w:vertAlign w:val="baseline"/>
              </w:rPr>
            </w:pPr>
            <w:r>
              <w:rPr>
                <w:rStyle w:val="51"/>
                <w:rFonts w:hint="eastAsia" w:ascii="宋体" w:hAnsi="宋体" w:cs="宋体"/>
                <w:i w:val="0"/>
                <w:iCs w:val="0"/>
                <w:color w:val="000000" w:themeColor="text1"/>
                <w:highlight w:val="none"/>
                <w:lang w:val="en-US" w:eastAsia="zh-CN" w:bidi="ar"/>
              </w:rPr>
              <w:t>（1辆）</w:t>
            </w:r>
          </w:p>
        </w:tc>
        <w:tc>
          <w:tcPr>
            <w:tcW w:w="6630" w:type="dxa"/>
            <w:vAlign w:val="center"/>
          </w:tcPr>
          <w:p w14:paraId="5CDCEB5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一、整车主要配置需求</w:t>
            </w:r>
          </w:p>
          <w:p w14:paraId="4A705A9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1、外形尺寸：长≤11800(mm)、宽≤2600(mm)、高≤3600(mm)；</w:t>
            </w:r>
          </w:p>
          <w:p w14:paraId="1EFD55D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2、发动机额定功率：≥400kw；</w:t>
            </w:r>
          </w:p>
          <w:p w14:paraId="3641A9E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3、驾乘室准乘人数≥2，（原装单排驾驶室）；</w:t>
            </w:r>
          </w:p>
          <w:p w14:paraId="65255A9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4、排放标准：国VI；</w:t>
            </w:r>
          </w:p>
          <w:p w14:paraId="4C540D6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5、比功率：≥9kW/t；</w:t>
            </w:r>
          </w:p>
          <w:p w14:paraId="63B66B1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6、水罐容量：水罐容量：≥25000L；</w:t>
            </w:r>
          </w:p>
          <w:p w14:paraId="31926E0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7、泵流量：≥</w:t>
            </w:r>
            <w:r>
              <w:rPr>
                <w:rFonts w:hint="eastAsia" w:ascii="宋体" w:hAnsi="宋体" w:cs="宋体"/>
                <w:color w:val="000000" w:themeColor="text1"/>
                <w:sz w:val="22"/>
                <w:szCs w:val="22"/>
                <w:highlight w:val="none"/>
                <w:lang w:val="en-US" w:eastAsia="zh-CN"/>
              </w:rPr>
              <w:t>9</w:t>
            </w:r>
            <w:r>
              <w:rPr>
                <w:rFonts w:hint="eastAsia" w:ascii="宋体" w:hAnsi="宋体" w:cs="宋体"/>
                <w:color w:val="000000" w:themeColor="text1"/>
                <w:sz w:val="22"/>
                <w:szCs w:val="22"/>
                <w:highlight w:val="none"/>
              </w:rPr>
              <w:t>000L/min@1.0MPa；</w:t>
            </w:r>
          </w:p>
          <w:p w14:paraId="0DDE133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8、炮流量：≥</w:t>
            </w:r>
            <w:r>
              <w:rPr>
                <w:rFonts w:hint="eastAsia" w:ascii="宋体" w:hAnsi="宋体" w:cs="宋体"/>
                <w:color w:val="000000" w:themeColor="text1"/>
                <w:sz w:val="22"/>
                <w:szCs w:val="22"/>
                <w:highlight w:val="none"/>
                <w:lang w:val="en-US" w:eastAsia="zh-CN"/>
              </w:rPr>
              <w:t>60</w:t>
            </w:r>
            <w:r>
              <w:rPr>
                <w:rFonts w:hint="eastAsia" w:ascii="宋体" w:hAnsi="宋体" w:cs="宋体"/>
                <w:color w:val="000000" w:themeColor="text1"/>
                <w:sz w:val="22"/>
                <w:szCs w:val="22"/>
                <w:highlight w:val="none"/>
              </w:rPr>
              <w:t>00L/min；</w:t>
            </w:r>
          </w:p>
          <w:p w14:paraId="6B92437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9、炮射程：≥85m（水）。</w:t>
            </w:r>
          </w:p>
          <w:p w14:paraId="10DC948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二、底盘需求</w:t>
            </w:r>
          </w:p>
          <w:p w14:paraId="5B5557C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1、发动机额定功率≥4</w:t>
            </w:r>
            <w:r>
              <w:rPr>
                <w:rFonts w:hint="eastAsia" w:ascii="宋体" w:hAnsi="宋体" w:cs="宋体"/>
                <w:color w:val="000000" w:themeColor="text1"/>
                <w:sz w:val="22"/>
                <w:szCs w:val="22"/>
                <w:highlight w:val="none"/>
                <w:lang w:val="en-US" w:eastAsia="zh-CN"/>
              </w:rPr>
              <w:t>0</w:t>
            </w:r>
            <w:r>
              <w:rPr>
                <w:rFonts w:hint="eastAsia" w:ascii="宋体" w:hAnsi="宋体" w:cs="宋体"/>
                <w:color w:val="000000" w:themeColor="text1"/>
                <w:sz w:val="22"/>
                <w:szCs w:val="22"/>
                <w:highlight w:val="none"/>
              </w:rPr>
              <w:t>0KW；</w:t>
            </w:r>
          </w:p>
          <w:p w14:paraId="684A33C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2、驱动形式：8×4；</w:t>
            </w:r>
          </w:p>
          <w:p w14:paraId="4599D2B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3、选用知名品牌33吨及以上商用车底盘，满足消防车辆无尿素情况下发动机功率不下降的要求，选用智能半自动变速箱或手自一体变速箱；</w:t>
            </w:r>
          </w:p>
          <w:p w14:paraId="7D6D002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4、驾驶室：单排双门驾驶室，总乘员人数≥2人；自带原厂取力器，离合器总泵预留后置取力器控制端口，泵房与驾驶室控制面板加装取力器开关，实现水泵结合和脱离功能。</w:t>
            </w:r>
          </w:p>
          <w:p w14:paraId="278F631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w:t>
            </w:r>
            <w:r>
              <w:rPr>
                <w:rStyle w:val="51"/>
                <w:rFonts w:hint="eastAsia" w:ascii="宋体" w:hAnsi="宋体" w:eastAsia="宋体" w:cs="宋体"/>
                <w:i w:val="0"/>
                <w:iCs w:val="0"/>
                <w:color w:val="000000" w:themeColor="text1"/>
                <w:highlight w:val="none"/>
                <w:lang w:val="en-US" w:eastAsia="zh-CN" w:bidi="ar"/>
              </w:rPr>
              <w:t>附加警灯、警报开关，预留消防通讯、车载电台等设备电源接口，设置350M车载电台；</w:t>
            </w:r>
          </w:p>
          <w:p w14:paraId="0E8CC88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6、冷暖空调，电动车窗，驾驶室座椅可自动调节；</w:t>
            </w:r>
          </w:p>
          <w:p w14:paraId="10624C3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7、制动系统：ABS制动力调节型式；行车制动系型式：双回路气压制动；驻车制动系型式：弹簧储能断气制动；辅助制动系型式：发动机排气制动。</w:t>
            </w:r>
          </w:p>
          <w:p w14:paraId="54DF0BE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8、油箱及供油系统：≥300L油箱。</w:t>
            </w:r>
          </w:p>
          <w:p w14:paraId="0C2F74D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9轮胎：提供轮胎品牌、尺寸和最小离地间隙参数。轮胎为子午线真空胎，加装胎压监测系统。</w:t>
            </w:r>
            <w:r>
              <w:rPr>
                <w:rStyle w:val="51"/>
                <w:rFonts w:hint="eastAsia" w:ascii="宋体" w:hAnsi="宋体" w:eastAsia="宋体" w:cs="宋体"/>
                <w:i w:val="0"/>
                <w:iCs w:val="0"/>
                <w:color w:val="000000" w:themeColor="text1"/>
                <w:highlight w:val="none"/>
                <w:lang w:val="en-US" w:eastAsia="zh-CN" w:bidi="ar"/>
              </w:rPr>
              <w:t>轮胎</w:t>
            </w:r>
            <w:r>
              <w:rPr>
                <w:rStyle w:val="51"/>
                <w:rFonts w:hint="eastAsia" w:ascii="宋体" w:hAnsi="宋体" w:cs="宋体"/>
                <w:i w:val="0"/>
                <w:iCs w:val="0"/>
                <w:color w:val="000000" w:themeColor="text1"/>
                <w:highlight w:val="none"/>
                <w:lang w:val="en-US" w:eastAsia="zh-CN" w:bidi="ar"/>
              </w:rPr>
              <w:t>、水带等易损件</w:t>
            </w:r>
            <w:r>
              <w:rPr>
                <w:rFonts w:hint="eastAsia" w:ascii="宋体" w:hAnsi="宋体" w:cs="宋体"/>
                <w:color w:val="000000" w:themeColor="text1"/>
                <w:sz w:val="22"/>
                <w:szCs w:val="22"/>
                <w:highlight w:val="none"/>
              </w:rPr>
              <w:t>生产日期不得早于整车出厂日期（以铭牌为准）48周。</w:t>
            </w: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底盘生产日期不得早于合同签订日期6个月，整车生产日期不得早于合同签订日期；</w:t>
            </w:r>
          </w:p>
          <w:p w14:paraId="4343C1F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10、电气系统：发电机功率≥28V/3080W,2×12V/180Ah蓄电池：需配置快速充电装置，具备设备故障声光报警功能；</w:t>
            </w:r>
          </w:p>
          <w:p w14:paraId="3F1C7F6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11、配前夜间探照灯，具备夜间自身作业照明功能。</w:t>
            </w:r>
          </w:p>
          <w:p w14:paraId="499BA66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12、前金属保险杠，本色或深色（禁止在外层喷涂白漆或灰、黑漆）；</w:t>
            </w:r>
          </w:p>
          <w:p w14:paraId="174963B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13、设置必须采用专用金属牌照架底座，车辆前部居中设置。</w:t>
            </w:r>
          </w:p>
          <w:p w14:paraId="11F9414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三、取力装置</w:t>
            </w:r>
          </w:p>
          <w:p w14:paraId="2BFD7DA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1、型式：采用原装夹心式全功率取力器.水泵取力操作：底盘自带原厂取力器，离合器总泵预留后置取力器控制端口，泵房与驾驶室控制面板加装取力器开关，实现水泵结合和脱离功能。</w:t>
            </w:r>
          </w:p>
          <w:p w14:paraId="00DCE0D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2、取力操纵方式：电控气动</w:t>
            </w:r>
          </w:p>
          <w:p w14:paraId="1B328DE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四、水路系统</w:t>
            </w:r>
          </w:p>
          <w:p w14:paraId="0C89748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1、选用知名</w:t>
            </w:r>
            <w:r>
              <w:rPr>
                <w:rFonts w:hint="eastAsia" w:ascii="宋体" w:hAnsi="宋体" w:cs="宋体"/>
                <w:color w:val="000000" w:themeColor="text1"/>
                <w:sz w:val="22"/>
                <w:szCs w:val="22"/>
                <w:highlight w:val="none"/>
                <w:lang w:val="en-US" w:eastAsia="zh-CN"/>
              </w:rPr>
              <w:t>品牌</w:t>
            </w:r>
            <w:r>
              <w:rPr>
                <w:rFonts w:hint="eastAsia" w:ascii="宋体" w:hAnsi="宋体" w:cs="宋体"/>
                <w:color w:val="000000" w:themeColor="text1"/>
                <w:sz w:val="22"/>
                <w:szCs w:val="22"/>
                <w:highlight w:val="none"/>
              </w:rPr>
              <w:t>电动炮</w:t>
            </w:r>
          </w:p>
          <w:p w14:paraId="5C2A867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2、选用知名</w:t>
            </w:r>
            <w:r>
              <w:rPr>
                <w:rFonts w:hint="eastAsia" w:ascii="宋体" w:hAnsi="宋体" w:cs="宋体"/>
                <w:color w:val="000000" w:themeColor="text1"/>
                <w:sz w:val="22"/>
                <w:szCs w:val="22"/>
                <w:highlight w:val="none"/>
                <w:lang w:val="en-US" w:eastAsia="zh-CN"/>
              </w:rPr>
              <w:t>品牌</w:t>
            </w:r>
            <w:r>
              <w:rPr>
                <w:rFonts w:hint="eastAsia" w:ascii="宋体" w:hAnsi="宋体" w:cs="宋体"/>
                <w:color w:val="000000" w:themeColor="text1"/>
                <w:sz w:val="22"/>
                <w:szCs w:val="22"/>
                <w:highlight w:val="none"/>
              </w:rPr>
              <w:t>大流量</w:t>
            </w:r>
            <w:r>
              <w:rPr>
                <w:rFonts w:hint="eastAsia" w:ascii="宋体" w:hAnsi="宋体" w:cs="宋体"/>
                <w:color w:val="000000" w:themeColor="text1"/>
                <w:sz w:val="22"/>
                <w:szCs w:val="22"/>
                <w:highlight w:val="none"/>
                <w:lang w:val="en-US" w:eastAsia="zh-CN"/>
              </w:rPr>
              <w:t>高</w:t>
            </w:r>
            <w:r>
              <w:rPr>
                <w:rFonts w:hint="eastAsia" w:ascii="宋体" w:hAnsi="宋体" w:cs="宋体"/>
                <w:color w:val="000000" w:themeColor="text1"/>
                <w:sz w:val="22"/>
                <w:szCs w:val="22"/>
                <w:highlight w:val="none"/>
              </w:rPr>
              <w:t>低压消防泵</w:t>
            </w:r>
          </w:p>
          <w:p w14:paraId="0CDB041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3、消防泵额定流量：需求为≥</w:t>
            </w:r>
            <w:r>
              <w:rPr>
                <w:rFonts w:hint="eastAsia" w:ascii="宋体" w:hAnsi="宋体" w:cs="宋体"/>
                <w:color w:val="000000" w:themeColor="text1"/>
                <w:sz w:val="22"/>
                <w:szCs w:val="22"/>
                <w:highlight w:val="none"/>
                <w:lang w:val="en-US" w:eastAsia="zh-CN"/>
              </w:rPr>
              <w:t>9</w:t>
            </w:r>
            <w:r>
              <w:rPr>
                <w:rFonts w:hint="eastAsia" w:ascii="宋体" w:hAnsi="宋体" w:cs="宋体"/>
                <w:color w:val="000000" w:themeColor="text1"/>
                <w:sz w:val="22"/>
                <w:szCs w:val="22"/>
                <w:highlight w:val="none"/>
              </w:rPr>
              <w:t>000L/min@1.0MPa；消防炮额定流量：≥</w:t>
            </w:r>
            <w:r>
              <w:rPr>
                <w:rFonts w:hint="eastAsia" w:ascii="宋体" w:hAnsi="宋体" w:cs="宋体"/>
                <w:color w:val="000000" w:themeColor="text1"/>
                <w:sz w:val="22"/>
                <w:szCs w:val="22"/>
                <w:highlight w:val="none"/>
                <w:lang w:val="en-US" w:eastAsia="zh-CN"/>
              </w:rPr>
              <w:t>60</w:t>
            </w:r>
            <w:r>
              <w:rPr>
                <w:rFonts w:hint="eastAsia" w:ascii="宋体" w:hAnsi="宋体" w:cs="宋体"/>
                <w:color w:val="000000" w:themeColor="text1"/>
                <w:sz w:val="22"/>
                <w:szCs w:val="22"/>
                <w:highlight w:val="none"/>
              </w:rPr>
              <w:t>00L/min</w:t>
            </w:r>
          </w:p>
          <w:p w14:paraId="512F534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4、消防炮安装位置：采用电动控制消防炮，要求位于泵房顶部可实现水平回转水平旋转角度≥0~340°、俯仰角度≥-7~70°</w:t>
            </w:r>
          </w:p>
          <w:p w14:paraId="46D20E0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5、引水器：采用电动式引水器</w:t>
            </w:r>
          </w:p>
          <w:p w14:paraId="657B6D9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6、水罐容量：水罐容量：≥25000L</w:t>
            </w:r>
          </w:p>
          <w:p w14:paraId="14B7662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7、罐体材质：优质碳钢,底板厚度≥5mm，侧板厚度≥4mm，顶板及隔板≥3mm，内壁重防腐</w:t>
            </w:r>
            <w:r>
              <w:rPr>
                <w:rFonts w:hint="eastAsia" w:ascii="宋体" w:hAnsi="宋体" w:cs="宋体"/>
                <w:color w:val="000000" w:themeColor="text1"/>
                <w:sz w:val="22"/>
                <w:szCs w:val="22"/>
                <w:highlight w:val="none"/>
                <w:lang w:eastAsia="zh-CN"/>
              </w:rPr>
              <w:t>（</w:t>
            </w:r>
            <w:r>
              <w:rPr>
                <w:rFonts w:hint="eastAsia" w:ascii="宋体" w:hAnsi="宋体" w:cs="宋体"/>
                <w:color w:val="000000" w:themeColor="text1"/>
                <w:sz w:val="22"/>
                <w:szCs w:val="22"/>
                <w:highlight w:val="none"/>
                <w:lang w:val="en-US" w:eastAsia="zh-CN"/>
              </w:rPr>
              <w:t>十年及以上</w:t>
            </w:r>
            <w:r>
              <w:rPr>
                <w:rFonts w:hint="eastAsia" w:ascii="宋体" w:hAnsi="宋体" w:cs="宋体"/>
                <w:color w:val="000000" w:themeColor="text1"/>
                <w:sz w:val="22"/>
                <w:szCs w:val="22"/>
                <w:highlight w:val="none"/>
                <w:lang w:eastAsia="zh-CN"/>
              </w:rPr>
              <w:t>）</w:t>
            </w:r>
            <w:r>
              <w:rPr>
                <w:rFonts w:hint="eastAsia" w:ascii="宋体" w:hAnsi="宋体" w:cs="宋体"/>
                <w:color w:val="000000" w:themeColor="text1"/>
                <w:sz w:val="22"/>
                <w:szCs w:val="22"/>
                <w:highlight w:val="none"/>
              </w:rPr>
              <w:t>。管路材质：需求为优质不锈钢或铝合金等。水液罐顶部应采用防滑板或进行防滑处理。</w:t>
            </w:r>
          </w:p>
          <w:p w14:paraId="13DDB6A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8、管路接口：所有管路需以不同颜色区分，出水口管路为红色，进水口管路为绿色；</w:t>
            </w:r>
          </w:p>
          <w:p w14:paraId="74A7C77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9、低压出水口：后部左右两侧内扣式DN80*4个对称布置；注水口后部左右两侧内扣式DN80*4对称布置；吸水口车辆后部内扣式DN150*2单侧布置</w:t>
            </w:r>
          </w:p>
          <w:p w14:paraId="039B223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10、接口：全车采用内扣式接口</w:t>
            </w:r>
          </w:p>
          <w:p w14:paraId="6A9FC74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五、电气系统</w:t>
            </w:r>
          </w:p>
          <w:p w14:paraId="09C5D89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1、操作及控制：车身后部集中操作控制，配触摸功能液晶屏，实时监测系统运行参数，带一键出水控制功能；</w:t>
            </w:r>
          </w:p>
          <w:p w14:paraId="5C71DF2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警灯警报器系统：驾驶室顶有一个红色长排LED警灯，车身左右上部红色频闪警灯，警灯警报器在驾驶室内集成操作，具备消防警报声、警笛声、对外喊话等功能；预留消防通讯、车载电台等设备电源接口，预留24V两组外用接电口。</w:t>
            </w:r>
          </w:p>
          <w:p w14:paraId="6EE2733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3、灯光照明系统：车身左右上部LED工作照明灯，车尾顶部LED场地照明灯；</w:t>
            </w:r>
          </w:p>
          <w:p w14:paraId="27E00F2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4、接插件：采用防水性能达到IP67的接插件；</w:t>
            </w:r>
          </w:p>
          <w:p w14:paraId="131E3C8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5、自动充电装置：可使用220V市电对蓄电池充电，车辆启动时充电插头自动脱落；</w:t>
            </w:r>
          </w:p>
          <w:p w14:paraId="30748FD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w:t>
            </w:r>
            <w:r>
              <w:rPr>
                <w:rFonts w:hint="eastAsia" w:ascii="宋体" w:hAnsi="宋体" w:cs="宋体"/>
                <w:color w:val="000000" w:themeColor="text1"/>
                <w:sz w:val="22"/>
                <w:szCs w:val="22"/>
                <w:highlight w:val="none"/>
                <w:lang w:val="en-US" w:eastAsia="zh-CN"/>
              </w:rPr>
              <w:t>驾驶</w:t>
            </w:r>
            <w:r>
              <w:rPr>
                <w:rFonts w:hint="eastAsia" w:ascii="宋体" w:hAnsi="宋体" w:cs="宋体"/>
                <w:color w:val="000000" w:themeColor="text1"/>
                <w:sz w:val="22"/>
                <w:szCs w:val="22"/>
                <w:highlight w:val="none"/>
              </w:rPr>
              <w:t>辅助系统：带倒车告警蜂鸣器、倒车摄像头和驾驶室内显示屏。</w:t>
            </w:r>
          </w:p>
          <w:p w14:paraId="7C9BD79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六、安全保护系统</w:t>
            </w:r>
          </w:p>
          <w:p w14:paraId="60C41D2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1、取力保护：接合或脱开消防泵时，有防止不切断动力误操作的保护，避免打齿及车辆移动。</w:t>
            </w:r>
          </w:p>
          <w:p w14:paraId="69524C5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2、发动机限速保护：防止消防泵超速运转。</w:t>
            </w:r>
          </w:p>
          <w:p w14:paraId="37BBE72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3、翻转踏板位置警示：翻转踏板设置琥珀色指示灯，展开时自动闪烁：</w:t>
            </w:r>
          </w:p>
          <w:p w14:paraId="24B56CB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4、卷帘门未关提示：如卷帘门未关，驾驶室自动光报警，防止行车发生事故。</w:t>
            </w:r>
          </w:p>
          <w:p w14:paraId="4A26B5F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七、车身</w:t>
            </w:r>
          </w:p>
          <w:p w14:paraId="55070F3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车身概述：车身采用高强度铝合金型材骨架结构及具有减振降噪功能的车身粘接工艺制作；器材箱层架板采用专用高强度铝合金型材搭建，并配有方便器材取放专用卡具及高强度塑料盒，器材布置合理，组合灵活性强，空间利用率高，能最大限度利用车身内部器材空间；车顶</w:t>
            </w:r>
            <w:r>
              <w:rPr>
                <w:rFonts w:hint="eastAsia" w:ascii="宋体" w:hAnsi="宋体" w:cs="宋体"/>
                <w:color w:val="000000" w:themeColor="text1"/>
                <w:sz w:val="22"/>
                <w:szCs w:val="22"/>
                <w:highlight w:val="none"/>
                <w:lang w:val="en-US" w:eastAsia="zh-CN"/>
              </w:rPr>
              <w:t>配置15米金属拉梯及固定设施</w:t>
            </w:r>
            <w:r>
              <w:rPr>
                <w:rFonts w:hint="eastAsia" w:ascii="宋体" w:hAnsi="宋体" w:cs="宋体"/>
                <w:color w:val="000000" w:themeColor="text1"/>
                <w:sz w:val="22"/>
                <w:szCs w:val="22"/>
                <w:highlight w:val="none"/>
              </w:rPr>
              <w:t>。</w:t>
            </w:r>
          </w:p>
          <w:p w14:paraId="5FB32BE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2、车身骨架采用高强度铝合金型材内藏式搭接技术搭建。</w:t>
            </w:r>
          </w:p>
          <w:p w14:paraId="5DC17EC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3、车身蒙皮采用高强度胶粘结。</w:t>
            </w:r>
          </w:p>
          <w:p w14:paraId="5EE80A3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4、器材箱层架板采用专用高强度铝合金型材。</w:t>
            </w:r>
          </w:p>
          <w:p w14:paraId="0972CC0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5、器材箱门：方便器材取放的专用卡具及高强度塑料盒等固定形式。</w:t>
            </w:r>
          </w:p>
          <w:p w14:paraId="0490775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6、泵房两侧装有脚踏板采用铝合金一体成型式，结构可靠，外型美观，气弹簧和门锁双重锁定，安全可靠，可承受静载荷不小于180Kg。</w:t>
            </w:r>
          </w:p>
          <w:p w14:paraId="513DEA9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7、爬梯：全铝合金防腐蚀折叠翻转爬梯。</w:t>
            </w:r>
          </w:p>
          <w:p w14:paraId="736FA14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color w:val="000000" w:themeColor="text1"/>
                <w:sz w:val="22"/>
                <w:szCs w:val="22"/>
                <w:highlight w:val="none"/>
                <w:lang w:eastAsia="zh-CN"/>
              </w:rPr>
            </w:pPr>
            <w:r>
              <w:rPr>
                <w:rFonts w:hint="eastAsia" w:ascii="宋体" w:hAnsi="宋体" w:cs="宋体"/>
                <w:color w:val="000000" w:themeColor="text1"/>
                <w:sz w:val="22"/>
                <w:szCs w:val="22"/>
                <w:highlight w:val="none"/>
              </w:rPr>
              <w:t>8、整车油漆：车身外露表面主要为红色漆，车身下部及翼子板为钛金灰色，帘子门为铝型材阳极氧化钛金灰色，罐体表面为红色油漆，顶部采用防滑油漆或铝合金防滑花纹板</w:t>
            </w:r>
            <w:r>
              <w:rPr>
                <w:rFonts w:hint="eastAsia" w:ascii="宋体" w:hAnsi="宋体" w:cs="宋体"/>
                <w:color w:val="000000" w:themeColor="text1"/>
                <w:sz w:val="22"/>
                <w:szCs w:val="22"/>
                <w:highlight w:val="none"/>
                <w:lang w:eastAsia="zh-CN"/>
              </w:rPr>
              <w:t>。</w:t>
            </w:r>
          </w:p>
          <w:p w14:paraId="3594189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八、其它</w:t>
            </w:r>
          </w:p>
          <w:p w14:paraId="0F90D69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color w:val="000000" w:themeColor="text1"/>
                <w:sz w:val="22"/>
                <w:szCs w:val="22"/>
                <w:highlight w:val="none"/>
                <w:lang w:eastAsia="zh-CN"/>
              </w:rPr>
            </w:pPr>
            <w:r>
              <w:rPr>
                <w:rFonts w:hint="eastAsia" w:ascii="宋体" w:hAnsi="宋体" w:cs="宋体"/>
                <w:color w:val="000000" w:themeColor="text1"/>
                <w:sz w:val="22"/>
                <w:szCs w:val="22"/>
                <w:highlight w:val="none"/>
              </w:rPr>
              <w:t>360°行车监控（含倒车雷达）另赠送3次整车保养</w:t>
            </w:r>
            <w:r>
              <w:rPr>
                <w:rFonts w:hint="eastAsia" w:ascii="宋体" w:hAnsi="宋体" w:cs="宋体"/>
                <w:color w:val="000000" w:themeColor="text1"/>
                <w:sz w:val="22"/>
                <w:szCs w:val="22"/>
                <w:highlight w:val="none"/>
                <w:lang w:eastAsia="zh-CN"/>
              </w:rPr>
              <w:t>。</w:t>
            </w:r>
          </w:p>
          <w:p w14:paraId="2D7DD64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九、随车文件清单</w:t>
            </w:r>
          </w:p>
          <w:p w14:paraId="24E6866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1、底盘使用、维护中文说明书三套（底盘厂家提供）；</w:t>
            </w:r>
          </w:p>
          <w:p w14:paraId="3ABA690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2、底盘质量保修卡、合格证；</w:t>
            </w:r>
          </w:p>
          <w:p w14:paraId="4FC9F46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3、底盘配备与车辆同品牌型号备胎2个</w:t>
            </w:r>
          </w:p>
          <w:p w14:paraId="4DD5F29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4、底盘随车配件清单、发动机号、车架号拓印件各2份以上；</w:t>
            </w:r>
          </w:p>
          <w:p w14:paraId="6C0C70D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5、消防车整车合格证、消防车一致性认证证书复印件、车辆技术参数表各1份；</w:t>
            </w:r>
          </w:p>
          <w:p w14:paraId="29EFC9A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6、上装使用操作说明书（中文三套），附操作演示示范光盘；</w:t>
            </w:r>
          </w:p>
          <w:p w14:paraId="0347C54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7、上装电路布置图、电器原理图、维修线路图各1份（提供电子和纸质）；</w:t>
            </w:r>
          </w:p>
          <w:p w14:paraId="19438A6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8、上装维护保养说明书（中文三套、附电子版）；</w:t>
            </w:r>
          </w:p>
          <w:p w14:paraId="1E5A64F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9、标准随车附件、器材清单；</w:t>
            </w:r>
          </w:p>
          <w:p w14:paraId="216A0A4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10、提供中华人民共和国工业和信息化部批准，列入有效期内的机动车公告目录；</w:t>
            </w:r>
          </w:p>
          <w:p w14:paraId="3E739BD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十、随车器材：（所有随车器材随车固定，内置存放手抬泵和移动炮的位置）</w:t>
            </w:r>
          </w:p>
          <w:p w14:paraId="713DEF6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1、消防水带（快接）16-65-20型30盘   16-80-20型20盘</w:t>
            </w:r>
          </w:p>
          <w:p w14:paraId="19B5838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2、开关直流水枪（65mm快接公口）QZG3.5/7.5型4支</w:t>
            </w:r>
          </w:p>
          <w:p w14:paraId="753F4C6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3、直流开花水枪（65mm快接公口）QZK3.5/7.5型4支</w:t>
            </w:r>
          </w:p>
          <w:p w14:paraId="6586290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4、异型快速接口（内扣转螺纹）KD150/100型4个</w:t>
            </w:r>
          </w:p>
          <w:p w14:paraId="30258D4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5、吸水管（内扣）φ150×2000型6个</w:t>
            </w:r>
          </w:p>
          <w:p w14:paraId="2E491B6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6、多功能吸水管扳手4个</w:t>
            </w:r>
          </w:p>
          <w:p w14:paraId="10A08A0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7、滤水器（内扣）JII150（内扣）/80（内扣）×2-1.6型1个</w:t>
            </w:r>
          </w:p>
          <w:p w14:paraId="6EEA0E2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8、三分水器（80公三65母）FⅢ80/65×3-1.6型2个</w:t>
            </w:r>
          </w:p>
          <w:p w14:paraId="67B8300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9、异型接口：</w:t>
            </w:r>
          </w:p>
          <w:p w14:paraId="3C3291C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80mm快速式母口转65mm快速式公口6个</w:t>
            </w:r>
          </w:p>
          <w:p w14:paraId="430669B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65mm快速式母口转80mm快速式公口6个</w:t>
            </w:r>
          </w:p>
          <w:p w14:paraId="70CA156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65mm快速式母口转80mm快速式母口6个</w:t>
            </w:r>
          </w:p>
          <w:p w14:paraId="1507A17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65mm快速式母口转65mm快速式母口6个</w:t>
            </w:r>
          </w:p>
          <w:p w14:paraId="3AF3E2D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65mm快速式母口转65mm快速式公口6个</w:t>
            </w:r>
          </w:p>
          <w:p w14:paraId="1BDA67F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异径接口KJ65/80型2个</w:t>
            </w:r>
          </w:p>
          <w:p w14:paraId="5657FB5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10、水带护桥FH80/90×555×570型4个</w:t>
            </w:r>
          </w:p>
          <w:p w14:paraId="6FCB4C6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11、地上消火栓扳手FB400型2个</w:t>
            </w:r>
          </w:p>
          <w:p w14:paraId="2F838F5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知名品牌液压破拆工具组：（机动泵双输出：三级轴向四冲程汽油机，功率3匹/2.2千瓦，燃油油缸容量1700毫升，液压油油缸容量4340毫升，拥有液压油位指示器，使油位监测更方便；三级泵技术，第一级输出2×2800毫升/分钟，第二级输出2×1250毫升/分钟，第三级输出2×525毫升/分钟；同心轴平头自动锁单管系统，拥有便于时刻监测油位的油位指示器，发动机及泵体由钢质框架完全保护；工作压力720巴，重量仅：22.7公斤，可接驳两套工具同时使用，外型尺寸：455×315×460毫米，静音设计，工作温度：-20-55度；</w:t>
            </w:r>
          </w:p>
          <w:p w14:paraId="67A08A4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自动怠速功能省油安静工作时噪音仅68分贝；2、可在垂直、升高或横向状态时正常操作；3、可带压插、拔。扩张器：同心轴平头自动锁单管系统、可带压操作。便携式把手配有高强度LED照明灯，配有加速阀。扩张距离：725毫米、最大扩张力：28.6吨、最小扩张力：4.2吨（从扩张头顶部25毫米处测试）、挤压力：6吨、牵引力：4.8吨、牵引距离：610毫米、工作压力：720巴、重量14.5公斤、外型尺寸：836×286×218毫米、工作温度：-20-55度单管、可带压操作、把手处有照明系统。剪切钳：宜采用倾斜型刀头设计的超轻便型剪切钳。同心轴平头自动锁单管系统、可带压操作、把手处有照明系统、螺栓镶嵌结构。最大开口距离：170毫米、剪切力：56吨、剪切圆钢直径：31毫米，工作压力：720巴，重量9.5公斤，外型尺寸：685×275×253毫米，工作温度：-20-55度；多功能齿形钳头，采用扁平螺栓镶嵌结构，增加剪切力。单级液压顶杆：可360°旋转十字头；同心轴平头自动锁单管工作原理、可带压操作、最大支撑力：16.4吨、原始长度：512毫米、最大行程：250毫米、最大支撑高度：762毫米、牵引力：5.1吨、工作压力：720巴、重量11.3公斤、工作温度：-20-55度；液压管2根：液压管为单管（软管内嵌软管）设计，材质为凯芙拉纤维、平头式接口可带压快速连接和插拔，内管最大工作压力720巴、外管工作压力25巴、液压管长度：10米、重量4.7公斤。）</w:t>
            </w:r>
          </w:p>
          <w:p w14:paraId="788D4FC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一套随车工具箱（维修工具组2套）</w:t>
            </w:r>
          </w:p>
          <w:p w14:paraId="2FA9E30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十一、总体要求：</w:t>
            </w:r>
          </w:p>
          <w:p w14:paraId="49437F9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1、首保免费（包括发动机、底盘、水泵以及所有油品）；</w:t>
            </w:r>
          </w:p>
          <w:p w14:paraId="6B44B4D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2、提供10年内每次维护保养项目清单（含价格明细）；</w:t>
            </w:r>
          </w:p>
          <w:p w14:paraId="1D9A93B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3、底盘质保≥2年，上装质保≥5年；</w:t>
            </w:r>
          </w:p>
          <w:p w14:paraId="4C072F3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4、车辆外观整体涂装和所有制式标识应符合国家消防救援局最新要求；</w:t>
            </w:r>
          </w:p>
          <w:p w14:paraId="208B3D1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5、器材箱分割不能影响加油口、电瓶、油滤等底盘附件的维护保养；</w:t>
            </w:r>
          </w:p>
          <w:p w14:paraId="450BD0A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6、所有操作开关、仪表、器材架及车辆均有符合规范的中文防水标识标注；</w:t>
            </w:r>
          </w:p>
          <w:p w14:paraId="032A838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7、整车性能符合GB7956《消防车性能要求及试验方法》的规定；比功率符合国家法规要求；</w:t>
            </w:r>
          </w:p>
          <w:p w14:paraId="5591403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8、所有粘接保证一定的强度，符合国家相关标准；</w:t>
            </w:r>
          </w:p>
          <w:p w14:paraId="5379259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消防车外表面不应有尖锐突出物和锐利的边缘，消防装置操作区域周围不应有可能对操作人员造成伤害的物品、热源，超过60℃的热表面及高速回转物应设置防护装置，大于65mm的水带接口和压力大于1.8MPa的管路应远离操作人员或采取防护措施，检查压力容器生产资质，压力容器的安装与硬物接触处应衬上柔软、耐腐和减震的衬物；</w:t>
            </w:r>
          </w:p>
          <w:p w14:paraId="09FF3C3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10、保养、维修时需拆卸的零、部件不得采用焊接或铆接方式连接；</w:t>
            </w:r>
          </w:p>
          <w:p w14:paraId="6771287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11、厂家提供整车售后服务以及承诺质保的项目和内容制成永久性铭牌贴在驾驶室显著位置；</w:t>
            </w:r>
          </w:p>
          <w:p w14:paraId="3239780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车上所有玻璃都要求使用有品牌有3C的安全玻璃，有效防止爆炸事故现场对消防员造成伤害；</w:t>
            </w:r>
          </w:p>
          <w:p w14:paraId="1FB57F37">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所有焊接牢固、光洁、平整、无锈迹，符合国家相关标准。</w:t>
            </w:r>
          </w:p>
          <w:p w14:paraId="07D0AEBB">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lang w:val="en-US" w:eastAsia="zh-CN"/>
              </w:rPr>
              <w:t>13、定期或根据需求提供上门技术服务及培训指导。</w:t>
            </w:r>
          </w:p>
        </w:tc>
      </w:tr>
    </w:tbl>
    <w:p w14:paraId="1073D66F">
      <w:pPr>
        <w:keepNext w:val="0"/>
        <w:keepLines w:val="0"/>
        <w:pageBreakBefore w:val="0"/>
        <w:widowControl w:val="0"/>
        <w:kinsoku/>
        <w:wordWrap/>
        <w:overflowPunct/>
        <w:topLinePunct w:val="0"/>
        <w:autoSpaceDE/>
        <w:autoSpaceDN/>
        <w:bidi w:val="0"/>
        <w:adjustRightInd/>
        <w:snapToGrid/>
        <w:spacing w:line="500" w:lineRule="exact"/>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注：1.标有“▲”的为实质性参数，不可偏离；“★”的为重要性参数指标或要求。</w:t>
      </w:r>
    </w:p>
    <w:p w14:paraId="698290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2.消防车证件及资料齐全，需完成上牌落户，车辆上牌时费用均由</w:t>
      </w:r>
      <w:r>
        <w:rPr>
          <w:rStyle w:val="51"/>
          <w:rFonts w:hint="eastAsia" w:ascii="宋体" w:hAnsi="宋体" w:cs="宋体"/>
          <w:b/>
          <w:bCs/>
          <w:i w:val="0"/>
          <w:iCs w:val="0"/>
          <w:color w:val="000000" w:themeColor="text1"/>
          <w:sz w:val="24"/>
          <w:szCs w:val="24"/>
          <w:highlight w:val="none"/>
          <w:lang w:val="en-US" w:eastAsia="zh-CN" w:bidi="ar"/>
        </w:rPr>
        <w:t>供应商</w:t>
      </w:r>
      <w:r>
        <w:rPr>
          <w:rStyle w:val="51"/>
          <w:rFonts w:hint="eastAsia" w:ascii="宋体" w:hAnsi="宋体" w:eastAsia="宋体" w:cs="宋体"/>
          <w:b/>
          <w:bCs/>
          <w:i w:val="0"/>
          <w:iCs w:val="0"/>
          <w:color w:val="000000" w:themeColor="text1"/>
          <w:sz w:val="24"/>
          <w:szCs w:val="24"/>
          <w:highlight w:val="none"/>
          <w:lang w:val="en-US" w:eastAsia="zh-CN" w:bidi="ar"/>
        </w:rPr>
        <w:t>承担，包含在投标总价中。</w:t>
      </w:r>
    </w:p>
    <w:p w14:paraId="048CE5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3.对列入强制性认证产品目录中的产品须提供强制性认证证书（CCC证书）；对强制性认证产品目录以外的产品，有国家标准或行业标准的须提供具有法定资质的国家级检验机构出具的符合国家标准或行业标准的型式试验报告或自愿性认证证书；对未制定国家标准、行业标准的，必须符合保障人体健康和人身、财产安全的要求。若投标时暂未取得认证证书（CCC证书），允许提供承诺书【承诺在交车时提供所投产品的CCC证书】，未提供的，视为无效投标。</w:t>
      </w:r>
    </w:p>
    <w:p w14:paraId="16F3DC0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textAlignment w:val="baseline"/>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二、供货要求</w:t>
      </w:r>
    </w:p>
    <w:p w14:paraId="3ABB9C3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所有设备须符合国家规范要求，供应商投标提供的设备必须是厂商原装的、全新的，型号、性能及指标符合国家及招标文件提出的有关技术、质量、安全标准，响应单位应保证其提供的货物在正确安装、正常使用和保养条件下，在规定的使用寿命期内具有满意的性能。</w:t>
      </w:r>
    </w:p>
    <w:p w14:paraId="16F371E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2.缺陷保修：如果设备交付使用后，缺陷多次反复出现，供应商必须提出分析报告和解决方案，直到最后纠正缺陷、供应商提供的售后服务期从纠正之日起重新计算。</w:t>
      </w:r>
    </w:p>
    <w:p w14:paraId="0A218C2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3.如果是超出供应商责任范围的疏忽、误操作等情况而导致的更换修正，应由供应商进行修理，其额外费用由采购人及供应商协商承担。</w:t>
      </w:r>
    </w:p>
    <w:p w14:paraId="2F0C291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 xml:space="preserve">     4.所供货物不会侵犯任何第三方知识产权。</w:t>
      </w:r>
    </w:p>
    <w:p w14:paraId="4940CD6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textAlignment w:val="baseline"/>
        <w:rPr>
          <w:rFonts w:hint="eastAsia" w:ascii="宋体" w:hAnsi="宋体" w:eastAsia="宋体" w:cs="宋体"/>
          <w:b/>
          <w:bCs/>
          <w:color w:val="000000" w:themeColor="text1"/>
          <w:sz w:val="24"/>
          <w:szCs w:val="24"/>
          <w:highlight w:val="none"/>
          <w:lang w:val="en-US" w:eastAsia="zh-CN"/>
        </w:rPr>
      </w:pPr>
      <w:r>
        <w:rPr>
          <w:rFonts w:hint="eastAsia" w:ascii="宋体" w:hAnsi="宋体" w:cs="宋体"/>
          <w:b/>
          <w:bCs/>
          <w:color w:val="000000" w:themeColor="text1"/>
          <w:sz w:val="24"/>
          <w:szCs w:val="24"/>
          <w:highlight w:val="none"/>
          <w:lang w:val="en-US" w:eastAsia="zh-CN"/>
        </w:rPr>
        <w:t>三、</w:t>
      </w:r>
      <w:r>
        <w:rPr>
          <w:rFonts w:hint="eastAsia" w:ascii="宋体" w:hAnsi="宋体" w:eastAsia="宋体" w:cs="宋体"/>
          <w:b/>
          <w:bCs/>
          <w:color w:val="000000" w:themeColor="text1"/>
          <w:sz w:val="24"/>
          <w:szCs w:val="24"/>
          <w:highlight w:val="none"/>
          <w:lang w:val="en-US" w:eastAsia="zh-CN"/>
        </w:rPr>
        <w:t>交货期和质保期要求</w:t>
      </w:r>
    </w:p>
    <w:p w14:paraId="42471B9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1.交货及安装要求:在合同签订后</w:t>
      </w:r>
      <w:r>
        <w:rPr>
          <w:rFonts w:hint="eastAsia" w:ascii="宋体" w:hAnsi="宋体" w:cs="宋体"/>
          <w:b w:val="0"/>
          <w:bCs w:val="0"/>
          <w:color w:val="000000" w:themeColor="text1"/>
          <w:sz w:val="24"/>
          <w:szCs w:val="24"/>
          <w:highlight w:val="none"/>
          <w:lang w:val="en-US" w:eastAsia="zh-CN"/>
        </w:rPr>
        <w:t>60日历天</w:t>
      </w:r>
      <w:r>
        <w:rPr>
          <w:rFonts w:hint="eastAsia" w:ascii="宋体" w:hAnsi="宋体" w:eastAsia="宋体" w:cs="宋体"/>
          <w:b w:val="0"/>
          <w:bCs w:val="0"/>
          <w:color w:val="000000" w:themeColor="text1"/>
          <w:sz w:val="24"/>
          <w:szCs w:val="24"/>
          <w:highlight w:val="none"/>
          <w:lang w:val="en-US" w:eastAsia="zh-CN"/>
        </w:rPr>
        <w:t>内交货并安装调试完毕(供应商应根据自身实力条件报交货时间，但不得超过上述时间)。</w:t>
      </w:r>
    </w:p>
    <w:p w14:paraId="03AC7C1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2.质保期:提供项目整体至少2年的原厂质保服务。质保期从安装调试完毕、最终验收合格之日开始计算。除非采购人另有要求，质保期内的服务均为免费上门服务。</w:t>
      </w:r>
    </w:p>
    <w:p w14:paraId="569C7A51">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cs="宋体"/>
          <w:b w:val="0"/>
          <w:bCs w:val="0"/>
          <w:color w:val="000000" w:themeColor="text1"/>
          <w:sz w:val="24"/>
          <w:szCs w:val="24"/>
          <w:highlight w:val="none"/>
          <w:lang w:val="en-US" w:eastAsia="zh-CN"/>
        </w:rPr>
        <w:t>3</w:t>
      </w:r>
      <w:r>
        <w:rPr>
          <w:rFonts w:hint="eastAsia" w:ascii="宋体" w:hAnsi="宋体" w:eastAsia="宋体" w:cs="宋体"/>
          <w:b w:val="0"/>
          <w:bCs w:val="0"/>
          <w:color w:val="000000" w:themeColor="text1"/>
          <w:sz w:val="24"/>
          <w:szCs w:val="24"/>
          <w:highlight w:val="none"/>
          <w:lang w:val="en-US" w:eastAsia="zh-CN"/>
        </w:rPr>
        <w:t>.</w:t>
      </w:r>
      <w:r>
        <w:rPr>
          <w:rFonts w:hint="eastAsia" w:ascii="宋体" w:hAnsi="宋体" w:cs="宋体"/>
          <w:b w:val="0"/>
          <w:bCs w:val="0"/>
          <w:color w:val="000000" w:themeColor="text1"/>
          <w:sz w:val="24"/>
          <w:szCs w:val="24"/>
          <w:highlight w:val="none"/>
          <w:lang w:val="en-US" w:eastAsia="zh-CN"/>
        </w:rPr>
        <w:t>供应商</w:t>
      </w:r>
      <w:r>
        <w:rPr>
          <w:rFonts w:hint="eastAsia" w:ascii="宋体" w:hAnsi="宋体" w:eastAsia="宋体" w:cs="宋体"/>
          <w:b w:val="0"/>
          <w:bCs w:val="0"/>
          <w:color w:val="000000" w:themeColor="text1"/>
          <w:sz w:val="24"/>
          <w:szCs w:val="24"/>
          <w:highlight w:val="none"/>
          <w:lang w:val="en-US" w:eastAsia="zh-CN"/>
        </w:rPr>
        <w:t>在产品保质期内，每年不少于2次定期上门对设备进行全面维护保养，保障设备正常运行。</w:t>
      </w:r>
    </w:p>
    <w:p w14:paraId="50535305">
      <w:pPr>
        <w:keepNext w:val="0"/>
        <w:keepLines w:val="0"/>
        <w:pageBreakBefore w:val="0"/>
        <w:widowControl w:val="0"/>
        <w:kinsoku/>
        <w:wordWrap/>
        <w:overflowPunct/>
        <w:topLinePunct w:val="0"/>
        <w:autoSpaceDE/>
        <w:autoSpaceDN/>
        <w:bidi w:val="0"/>
        <w:adjustRightInd/>
        <w:spacing w:line="500" w:lineRule="exact"/>
        <w:rPr>
          <w:rFonts w:hint="eastAsia" w:ascii="宋体" w:hAnsi="宋体" w:eastAsia="宋体" w:cs="宋体"/>
          <w:b/>
          <w:bCs/>
          <w:color w:val="000000" w:themeColor="text1"/>
          <w:kern w:val="0"/>
          <w:sz w:val="24"/>
          <w:highlight w:val="none"/>
          <w:lang w:val="en-US" w:eastAsia="zh-CN" w:bidi="ar"/>
        </w:rPr>
      </w:pPr>
      <w:r>
        <w:rPr>
          <w:rFonts w:hint="eastAsia" w:ascii="宋体" w:hAnsi="宋体" w:cs="宋体"/>
          <w:b/>
          <w:bCs/>
          <w:color w:val="000000" w:themeColor="text1"/>
          <w:kern w:val="0"/>
          <w:sz w:val="24"/>
          <w:highlight w:val="none"/>
          <w:lang w:val="en-US" w:eastAsia="zh-CN" w:bidi="ar"/>
        </w:rPr>
        <w:t>四</w:t>
      </w:r>
      <w:r>
        <w:rPr>
          <w:rFonts w:hint="eastAsia" w:ascii="宋体" w:hAnsi="宋体" w:eastAsia="宋体" w:cs="宋体"/>
          <w:b/>
          <w:bCs/>
          <w:color w:val="000000" w:themeColor="text1"/>
          <w:kern w:val="0"/>
          <w:sz w:val="24"/>
          <w:highlight w:val="none"/>
          <w:lang w:eastAsia="zh-CN" w:bidi="ar"/>
        </w:rPr>
        <w:t>、</w:t>
      </w:r>
      <w:r>
        <w:rPr>
          <w:rFonts w:hint="eastAsia" w:ascii="宋体" w:hAnsi="宋体" w:eastAsia="宋体" w:cs="宋体"/>
          <w:b/>
          <w:bCs/>
          <w:color w:val="000000" w:themeColor="text1"/>
          <w:kern w:val="0"/>
          <w:sz w:val="24"/>
          <w:highlight w:val="none"/>
          <w:lang w:val="en-US" w:eastAsia="zh-CN" w:bidi="ar"/>
        </w:rPr>
        <w:t>其他要求</w:t>
      </w:r>
    </w:p>
    <w:p w14:paraId="4984F5C5">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1</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在签定合同前，先提供器材装备清单（以招标参数为准）及售后服务承诺，并确认好所购车辆的部分细节设计（若需要调整）。</w:t>
      </w:r>
    </w:p>
    <w:p w14:paraId="70E467B9">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2</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负责首次通过车管所验车所需材料及相应费用。</w:t>
      </w:r>
    </w:p>
    <w:p w14:paraId="6651308E">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3</w:t>
      </w:r>
      <w:r>
        <w:rPr>
          <w:rFonts w:hint="eastAsia" w:ascii="宋体" w:hAnsi="宋体" w:eastAsia="宋体" w:cs="宋体"/>
          <w:b w:val="0"/>
          <w:bCs w:val="0"/>
          <w:color w:val="000000" w:themeColor="text1"/>
          <w:kern w:val="0"/>
          <w:sz w:val="24"/>
          <w:highlight w:val="none"/>
          <w:lang w:val="en-US" w:eastAsia="zh-CN" w:bidi="ar"/>
        </w:rPr>
        <w:t>.验收标准：采购人</w:t>
      </w:r>
      <w:r>
        <w:rPr>
          <w:rFonts w:hint="eastAsia" w:ascii="宋体" w:hAnsi="宋体" w:cs="宋体"/>
          <w:b w:val="0"/>
          <w:bCs w:val="0"/>
          <w:color w:val="000000" w:themeColor="text1"/>
          <w:kern w:val="0"/>
          <w:sz w:val="24"/>
          <w:highlight w:val="none"/>
          <w:lang w:val="en-US" w:eastAsia="zh-CN" w:bidi="ar"/>
        </w:rPr>
        <w:t>及其使用方</w:t>
      </w:r>
      <w:r>
        <w:rPr>
          <w:rFonts w:hint="eastAsia" w:ascii="宋体" w:hAnsi="宋体" w:eastAsia="宋体" w:cs="宋体"/>
          <w:b w:val="0"/>
          <w:bCs w:val="0"/>
          <w:color w:val="000000" w:themeColor="text1"/>
          <w:kern w:val="0"/>
          <w:sz w:val="24"/>
          <w:highlight w:val="none"/>
          <w:lang w:val="en-US" w:eastAsia="zh-CN" w:bidi="ar"/>
        </w:rPr>
        <w:t>组织进行验收，如果设备的质量和规格与合同不符，或在规定的质量保证期内证实设备具有缺陷的，包括潜在缺陷或使用不符合要求的材料，有权向</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提出索赔。经验收合格，</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须向采购人提供整套设备质保书、说明书、保修证明等书面资料，并按国家制造和安装的标准要求检测验收。</w:t>
      </w:r>
    </w:p>
    <w:p w14:paraId="3DBB34CD">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4</w:t>
      </w:r>
      <w:r>
        <w:rPr>
          <w:rFonts w:hint="eastAsia" w:ascii="宋体" w:hAnsi="宋体" w:eastAsia="宋体" w:cs="宋体"/>
          <w:b w:val="0"/>
          <w:bCs w:val="0"/>
          <w:color w:val="000000" w:themeColor="text1"/>
          <w:kern w:val="0"/>
          <w:sz w:val="24"/>
          <w:highlight w:val="none"/>
          <w:lang w:val="en-US" w:eastAsia="zh-CN" w:bidi="ar"/>
        </w:rPr>
        <w:t>.验收方法：1）</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自检：安装完毕后，要求</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自行对所有设备进行检验，检验结果必须符合验收标准的要求。采购人有权对设备组装前进行检验或测试，以确认所投产品的制造工艺、原材料、质量等是否符合招标文件和报价时提供的样式要求，但不能作为最终验收。</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应为采购人检验和测试提供各种方便，并承担相应费用，如果检验或测试的产品不能满足采购要求，采购人可以拒绝接受，</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应更换被拒绝的货物，并承担给采购人造成的经济损失。</w:t>
      </w:r>
    </w:p>
    <w:p w14:paraId="7ADA3174">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2）最终验收：采购人按招标文件、投标文件、合同款以及国家及行业相关标准进行验收。设备应完全符合招标及投标要求，在此期间，如果发现质量有问题，或者与投标设备存在差异，采购人有权拒收并</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方承担全部责任及费用，并应无条件免费更换直至验收合格；采购人保留邀请第三方检测机构或相关技术专家参与验收的权利。参与验收的第三方机构的意见作为验收书的参考资料一并存档。</w:t>
      </w:r>
    </w:p>
    <w:p w14:paraId="5EE679A0">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5</w:t>
      </w:r>
      <w:r>
        <w:rPr>
          <w:rFonts w:hint="eastAsia" w:ascii="宋体" w:hAnsi="宋体" w:eastAsia="宋体" w:cs="宋体"/>
          <w:b w:val="0"/>
          <w:bCs w:val="0"/>
          <w:color w:val="000000" w:themeColor="text1"/>
          <w:kern w:val="0"/>
          <w:sz w:val="24"/>
          <w:highlight w:val="none"/>
          <w:lang w:val="en-US" w:eastAsia="zh-CN" w:bidi="ar"/>
        </w:rPr>
        <w:t>.验收完毕由</w:t>
      </w:r>
      <w:r>
        <w:rPr>
          <w:rFonts w:hint="eastAsia" w:ascii="宋体" w:hAnsi="宋体" w:cs="宋体"/>
          <w:b w:val="0"/>
          <w:bCs w:val="0"/>
          <w:color w:val="000000" w:themeColor="text1"/>
          <w:kern w:val="0"/>
          <w:sz w:val="24"/>
          <w:highlight w:val="none"/>
          <w:lang w:val="en-US" w:eastAsia="zh-CN" w:bidi="ar"/>
        </w:rPr>
        <w:t>采购</w:t>
      </w:r>
      <w:r>
        <w:rPr>
          <w:rFonts w:hint="eastAsia" w:ascii="宋体" w:hAnsi="宋体" w:eastAsia="宋体" w:cs="宋体"/>
          <w:b w:val="0"/>
          <w:bCs w:val="0"/>
          <w:color w:val="000000" w:themeColor="text1"/>
          <w:kern w:val="0"/>
          <w:sz w:val="24"/>
          <w:highlight w:val="none"/>
          <w:lang w:val="en-US" w:eastAsia="zh-CN" w:bidi="ar"/>
        </w:rPr>
        <w:t>人及</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在验收报告上签名。</w:t>
      </w:r>
    </w:p>
    <w:p w14:paraId="2AEE83FD">
      <w:pPr>
        <w:keepNext w:val="0"/>
        <w:keepLines w:val="0"/>
        <w:pageBreakBefore w:val="0"/>
        <w:widowControl w:val="0"/>
        <w:kinsoku/>
        <w:wordWrap/>
        <w:overflowPunct/>
        <w:topLinePunct w:val="0"/>
        <w:autoSpaceDE/>
        <w:autoSpaceDN/>
        <w:bidi w:val="0"/>
        <w:adjustRightInd/>
        <w:spacing w:line="500" w:lineRule="exact"/>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color w:val="000000" w:themeColor="text1"/>
          <w:kern w:val="0"/>
          <w:sz w:val="24"/>
          <w:highlight w:val="none"/>
          <w:lang w:val="en-US" w:eastAsia="zh-CN" w:bidi="ar"/>
        </w:rPr>
        <w:t xml:space="preserve">   </w:t>
      </w:r>
      <w:r>
        <w:rPr>
          <w:rFonts w:hint="eastAsia" w:ascii="宋体" w:hAnsi="宋体" w:eastAsia="宋体" w:cs="宋体"/>
          <w:b w:val="0"/>
          <w:bCs w:val="0"/>
          <w:color w:val="000000" w:themeColor="text1"/>
          <w:kern w:val="0"/>
          <w:sz w:val="24"/>
          <w:highlight w:val="none"/>
          <w:lang w:val="en-US" w:eastAsia="zh-CN" w:bidi="ar"/>
        </w:rPr>
        <w:t xml:space="preserve"> </w:t>
      </w:r>
      <w:r>
        <w:rPr>
          <w:rFonts w:hint="eastAsia" w:ascii="宋体" w:hAnsi="宋体" w:cs="宋体"/>
          <w:b w:val="0"/>
          <w:bCs w:val="0"/>
          <w:color w:val="000000" w:themeColor="text1"/>
          <w:kern w:val="0"/>
          <w:sz w:val="24"/>
          <w:highlight w:val="none"/>
          <w:lang w:val="en-US" w:eastAsia="zh-CN" w:bidi="ar"/>
        </w:rPr>
        <w:t>6</w:t>
      </w:r>
      <w:r>
        <w:rPr>
          <w:rFonts w:hint="eastAsia" w:ascii="宋体" w:hAnsi="宋体" w:eastAsia="宋体" w:cs="宋体"/>
          <w:b w:val="0"/>
          <w:bCs w:val="0"/>
          <w:color w:val="000000" w:themeColor="text1"/>
          <w:kern w:val="0"/>
          <w:sz w:val="24"/>
          <w:highlight w:val="none"/>
          <w:lang w:val="en-US" w:eastAsia="zh-CN" w:bidi="ar"/>
        </w:rPr>
        <w:t>.包装及运输要求：1）</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提供的货物必须具有可靠的安全保护、保险措施，以防止误操作或意外事故致使货物受损。产品包装应符合国家或专业（部）标准规定；随机的零部件、备品备件等散件应包装完好。</w:t>
      </w:r>
    </w:p>
    <w:p w14:paraId="497AC7AC">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2）由</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将货物直接免费送至采购方指定的地点。如在运输、搬运、安装过程中造成货物损坏，采购人有权不签收并由</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承担相应经济损失。</w:t>
      </w:r>
    </w:p>
    <w:p w14:paraId="671B26C1">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3）设备外观清洁，标记编号以及盘面显示等字体清晰，明确。铭牌、使用指示、警告指示应以中文或英文及易懂的通用符号来表示</w:t>
      </w:r>
      <w:r>
        <w:rPr>
          <w:rFonts w:hint="eastAsia" w:ascii="宋体" w:hAnsi="宋体" w:cs="宋体"/>
          <w:b w:val="0"/>
          <w:bCs w:val="0"/>
          <w:color w:val="000000" w:themeColor="text1"/>
          <w:kern w:val="0"/>
          <w:sz w:val="24"/>
          <w:highlight w:val="none"/>
          <w:lang w:val="en-US" w:eastAsia="zh-CN" w:bidi="ar"/>
        </w:rPr>
        <w:t>：</w:t>
      </w:r>
      <w:r>
        <w:rPr>
          <w:rFonts w:hint="eastAsia" w:ascii="宋体" w:hAnsi="宋体" w:eastAsia="宋体" w:cs="宋体"/>
          <w:b w:val="0"/>
          <w:bCs w:val="0"/>
          <w:color w:val="000000" w:themeColor="text1"/>
          <w:kern w:val="0"/>
          <w:sz w:val="24"/>
          <w:highlight w:val="none"/>
          <w:lang w:val="en-US" w:eastAsia="zh-CN" w:bidi="ar"/>
        </w:rPr>
        <w:t>应准确无误地表明设备之型号、规格、制造厂及生产或出厂日期。</w:t>
      </w:r>
    </w:p>
    <w:p w14:paraId="6999CD91">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4）技术培训：</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需负责对采购人的技术人员进行培训（提供完整的技术培训，使采购人今后能自行操作、维护）。</w:t>
      </w:r>
    </w:p>
    <w:p w14:paraId="421CF0DD">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7</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质保期内出现的质量问题，</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必须在接到采购人通知后2小时内响应，12小时内派人到现场解决问题，24小时内给出完整解决方案，48小时内解决问题</w:t>
      </w:r>
      <w:r>
        <w:rPr>
          <w:rFonts w:hint="eastAsia" w:ascii="宋体" w:hAnsi="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如在48小时之内仍不能排除故障的，</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应提供与原设备相同或不低于原设备档次的备用设备。故障排除后</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应出具书面故障诊断报告备案。</w:t>
      </w:r>
    </w:p>
    <w:p w14:paraId="38569FE8">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8</w:t>
      </w:r>
      <w:r>
        <w:rPr>
          <w:rFonts w:hint="eastAsia" w:ascii="宋体" w:hAnsi="宋体" w:eastAsia="宋体" w:cs="宋体"/>
          <w:b w:val="0"/>
          <w:bCs w:val="0"/>
          <w:color w:val="000000" w:themeColor="text1"/>
          <w:kern w:val="0"/>
          <w:sz w:val="24"/>
          <w:highlight w:val="none"/>
          <w:lang w:bidi="ar"/>
        </w:rPr>
        <w:t>.出现故障后，</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如未按上述要求进行响应，采购人可以采取必要的补救措施，由此产生的风险和费用全部由</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承担。</w:t>
      </w:r>
    </w:p>
    <w:p w14:paraId="0E25D6A0">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9</w:t>
      </w:r>
      <w:r>
        <w:rPr>
          <w:rFonts w:hint="eastAsia" w:ascii="宋体" w:hAnsi="宋体" w:eastAsia="宋体" w:cs="宋体"/>
          <w:b w:val="0"/>
          <w:bCs w:val="0"/>
          <w:color w:val="000000" w:themeColor="text1"/>
          <w:kern w:val="0"/>
          <w:sz w:val="24"/>
          <w:highlight w:val="none"/>
          <w:lang w:bidi="ar"/>
        </w:rPr>
        <w:t>.质保期内，除人为损坏和不可抗力外，期间所产生的任何维护或维修及更换配件的费用均由</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承担。</w:t>
      </w:r>
    </w:p>
    <w:p w14:paraId="4B879711">
      <w:pPr>
        <w:keepNext w:val="0"/>
        <w:keepLines w:val="0"/>
        <w:pageBreakBefore w:val="0"/>
        <w:widowControl w:val="0"/>
        <w:kinsoku/>
        <w:wordWrap/>
        <w:overflowPunct/>
        <w:topLinePunct w:val="0"/>
        <w:autoSpaceDE/>
        <w:autoSpaceDN/>
        <w:bidi w:val="0"/>
        <w:adjustRightInd/>
        <w:spacing w:line="460" w:lineRule="exact"/>
        <w:rPr>
          <w:rFonts w:hint="eastAsia" w:ascii="宋体" w:hAnsi="宋体" w:cs="宋体"/>
          <w:b/>
          <w:bCs/>
          <w:color w:val="000000" w:themeColor="text1"/>
          <w:kern w:val="0"/>
          <w:sz w:val="24"/>
          <w:highlight w:val="none"/>
          <w:lang w:val="en-US" w:eastAsia="zh-CN" w:bidi="ar"/>
        </w:rPr>
      </w:pPr>
      <w:r>
        <w:rPr>
          <w:rFonts w:hint="eastAsia" w:ascii="宋体" w:hAnsi="宋体" w:cs="宋体"/>
          <w:b/>
          <w:bCs/>
          <w:color w:val="000000" w:themeColor="text1"/>
          <w:kern w:val="0"/>
          <w:sz w:val="24"/>
          <w:highlight w:val="none"/>
          <w:lang w:val="en-US" w:eastAsia="zh-CN" w:bidi="ar"/>
        </w:rPr>
        <w:t>五、供应商需注意的其他事项</w:t>
      </w:r>
    </w:p>
    <w:p w14:paraId="1175B83B">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1.供应商需文明安装，保证安全，如在安装过程中发生事故，一切责任由供应商承担。</w:t>
      </w:r>
    </w:p>
    <w:p w14:paraId="6E61C61D">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2.设备安装期间，供应商应妥善保管各种材料和器材，如有被盗和其它损失的，采购人不承担任何责任。</w:t>
      </w:r>
    </w:p>
    <w:p w14:paraId="477BECA7">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3.在设备安装过程中如对采购人的设施设备造成损坏的，供应商须负责赔偿或免费修复。</w:t>
      </w:r>
    </w:p>
    <w:p w14:paraId="7830688E">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p>
    <w:p w14:paraId="601B8C8B">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p>
    <w:p w14:paraId="4A811FA5">
      <w:pPr>
        <w:numPr>
          <w:ilvl w:val="0"/>
          <w:numId w:val="0"/>
        </w:numPr>
        <w:rPr>
          <w:rFonts w:hint="eastAsia" w:ascii="宋体" w:hAnsi="宋体"/>
          <w:b/>
          <w:color w:val="000000" w:themeColor="text1"/>
          <w:sz w:val="32"/>
          <w:szCs w:val="21"/>
          <w:highlight w:val="none"/>
        </w:rPr>
      </w:pPr>
    </w:p>
    <w:p w14:paraId="7929004E">
      <w:pPr>
        <w:rPr>
          <w:rFonts w:hint="eastAsia" w:ascii="宋体" w:hAnsi="宋体"/>
          <w:b/>
          <w:color w:val="000000" w:themeColor="text1"/>
          <w:sz w:val="32"/>
          <w:szCs w:val="21"/>
          <w:highlight w:val="none"/>
        </w:rPr>
      </w:pPr>
    </w:p>
    <w:p w14:paraId="1207D293">
      <w:pPr>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br w:type="page"/>
      </w:r>
    </w:p>
    <w:p w14:paraId="4F033021">
      <w:pPr>
        <w:pStyle w:val="29"/>
        <w:spacing w:before="0" w:line="276" w:lineRule="auto"/>
        <w:ind w:firstLine="0" w:firstLineChars="0"/>
        <w:jc w:val="center"/>
        <w:outlineLvl w:val="0"/>
        <w:rPr>
          <w:rFonts w:ascii="宋体" w:hAnsi="宋体"/>
          <w:b/>
          <w:color w:val="000000" w:themeColor="text1"/>
          <w:sz w:val="32"/>
          <w:szCs w:val="21"/>
          <w:highlight w:val="none"/>
        </w:rPr>
      </w:pPr>
      <w:r>
        <w:rPr>
          <w:rFonts w:hint="eastAsia" w:ascii="宋体" w:hAnsi="宋体"/>
          <w:b/>
          <w:color w:val="000000" w:themeColor="text1"/>
          <w:sz w:val="32"/>
          <w:szCs w:val="21"/>
          <w:highlight w:val="none"/>
        </w:rPr>
        <w:t>第四部分 合同文本</w:t>
      </w:r>
    </w:p>
    <w:p w14:paraId="33C75746">
      <w:pPr>
        <w:pStyle w:val="12"/>
        <w:snapToGrid w:val="0"/>
        <w:spacing w:line="480" w:lineRule="exact"/>
        <w:ind w:firstLine="480"/>
        <w:rPr>
          <w:rFonts w:hAnsi="宋体" w:cs="宋体"/>
          <w:color w:val="000000" w:themeColor="text1"/>
          <w:sz w:val="24"/>
          <w:highlight w:val="none"/>
        </w:rPr>
      </w:pPr>
      <w:r>
        <w:rPr>
          <w:rFonts w:hint="eastAsia" w:hAnsi="宋体" w:cs="宋体"/>
          <w:color w:val="000000" w:themeColor="text1"/>
          <w:sz w:val="24"/>
          <w:highlight w:val="none"/>
        </w:rPr>
        <w:t>项目名称：</w:t>
      </w:r>
    </w:p>
    <w:p w14:paraId="1C36ECF1">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项目编号：</w:t>
      </w:r>
    </w:p>
    <w:p w14:paraId="7EF1ABE8">
      <w:pPr>
        <w:widowControl/>
        <w:snapToGrid w:val="0"/>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甲方（采购人）： </w:t>
      </w:r>
    </w:p>
    <w:p w14:paraId="12ABA4BE">
      <w:pPr>
        <w:widowControl/>
        <w:snapToGrid w:val="0"/>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乙方（供应商）： </w:t>
      </w:r>
    </w:p>
    <w:p w14:paraId="395FD86C">
      <w:pPr>
        <w:pStyle w:val="18"/>
        <w:shd w:val="clear" w:color="auto" w:fill="FFFFFF"/>
        <w:spacing w:before="0" w:beforeAutospacing="0" w:after="0" w:afterAutospacing="0" w:line="480" w:lineRule="exact"/>
        <w:ind w:firstLine="480"/>
        <w:rPr>
          <w:rFonts w:cs="宋体"/>
          <w:color w:val="000000" w:themeColor="text1"/>
          <w:kern w:val="2"/>
          <w:highlight w:val="none"/>
        </w:rPr>
      </w:pPr>
      <w:r>
        <w:rPr>
          <w:rFonts w:hint="eastAsia" w:cs="宋体"/>
          <w:color w:val="000000" w:themeColor="text1"/>
          <w:kern w:val="2"/>
          <w:highlight w:val="none"/>
        </w:rPr>
        <w:t>根据</w:t>
      </w:r>
      <w:r>
        <w:rPr>
          <w:rFonts w:hint="eastAsia" w:cs="宋体"/>
          <w:color w:val="000000" w:themeColor="text1"/>
          <w:szCs w:val="24"/>
          <w:highlight w:val="none"/>
          <w:u w:val="single"/>
          <w:lang w:val="en-US" w:eastAsia="zh-CN"/>
        </w:rPr>
        <w:t xml:space="preserve">                </w:t>
      </w:r>
      <w:r>
        <w:rPr>
          <w:rFonts w:hint="eastAsia" w:cs="宋体"/>
          <w:color w:val="000000" w:themeColor="text1"/>
          <w:kern w:val="2"/>
          <w:highlight w:val="none"/>
        </w:rPr>
        <w:t>采购项目的采购结果，经双方协商一致，就</w:t>
      </w:r>
      <w:r>
        <w:rPr>
          <w:rFonts w:hint="eastAsia" w:cs="宋体"/>
          <w:color w:val="000000" w:themeColor="text1"/>
          <w:szCs w:val="24"/>
          <w:highlight w:val="none"/>
          <w:u w:val="single"/>
          <w:lang w:val="en-US" w:eastAsia="zh-CN"/>
        </w:rPr>
        <w:t xml:space="preserve">        </w:t>
      </w:r>
      <w:r>
        <w:rPr>
          <w:rFonts w:hint="eastAsia" w:cs="宋体"/>
          <w:color w:val="000000" w:themeColor="text1"/>
          <w:kern w:val="2"/>
          <w:highlight w:val="none"/>
        </w:rPr>
        <w:t>事宜达成以下条款：</w:t>
      </w:r>
    </w:p>
    <w:p w14:paraId="32D263F1">
      <w:pPr>
        <w:widowControl/>
        <w:snapToGrid w:val="0"/>
        <w:spacing w:line="480" w:lineRule="exact"/>
        <w:outlineLvl w:val="1"/>
        <w:rPr>
          <w:rFonts w:ascii="华文中宋" w:hAnsi="华文中宋" w:eastAsia="华文中宋" w:cs="华文中宋"/>
          <w:b/>
          <w:bCs/>
          <w:color w:val="000000" w:themeColor="text1"/>
          <w:kern w:val="0"/>
          <w:sz w:val="24"/>
          <w:szCs w:val="24"/>
          <w:highlight w:val="none"/>
        </w:rPr>
      </w:pPr>
      <w:r>
        <w:rPr>
          <w:rFonts w:hint="eastAsia" w:ascii="华文中宋" w:hAnsi="华文中宋" w:eastAsia="华文中宋" w:cs="华文中宋"/>
          <w:b/>
          <w:bCs/>
          <w:color w:val="000000" w:themeColor="text1"/>
          <w:kern w:val="0"/>
          <w:sz w:val="24"/>
          <w:szCs w:val="24"/>
          <w:highlight w:val="none"/>
        </w:rPr>
        <w:t>一、详细清单及参数要求</w:t>
      </w:r>
    </w:p>
    <w:tbl>
      <w:tblPr>
        <w:tblStyle w:val="21"/>
        <w:tblW w:w="9298" w:type="dxa"/>
        <w:tblInd w:w="0" w:type="dxa"/>
        <w:tblLayout w:type="fixed"/>
        <w:tblCellMar>
          <w:top w:w="0" w:type="dxa"/>
          <w:left w:w="108" w:type="dxa"/>
          <w:bottom w:w="0" w:type="dxa"/>
          <w:right w:w="108" w:type="dxa"/>
        </w:tblCellMar>
      </w:tblPr>
      <w:tblGrid>
        <w:gridCol w:w="690"/>
        <w:gridCol w:w="1187"/>
        <w:gridCol w:w="5158"/>
        <w:gridCol w:w="719"/>
        <w:gridCol w:w="772"/>
        <w:gridCol w:w="772"/>
      </w:tblGrid>
      <w:tr w14:paraId="397EC2E3">
        <w:tblPrEx>
          <w:tblCellMar>
            <w:top w:w="0" w:type="dxa"/>
            <w:left w:w="108" w:type="dxa"/>
            <w:bottom w:w="0" w:type="dxa"/>
            <w:right w:w="108" w:type="dxa"/>
          </w:tblCellMar>
        </w:tblPrEx>
        <w:trPr>
          <w:trHeight w:val="409"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16A4C29A">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序号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54D64C8">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lang w:val="en-US" w:eastAsia="zh-CN"/>
              </w:rPr>
              <w:t>装备</w:t>
            </w:r>
            <w:r>
              <w:rPr>
                <w:rFonts w:hint="eastAsia" w:ascii="宋体" w:hAnsi="宋体" w:cs="宋体"/>
                <w:b/>
                <w:bCs/>
                <w:color w:val="000000" w:themeColor="text1"/>
                <w:sz w:val="22"/>
                <w:szCs w:val="22"/>
                <w:highlight w:val="none"/>
              </w:rPr>
              <w:t>名称</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0492BF70">
            <w:pPr>
              <w:widowControl/>
              <w:jc w:val="center"/>
              <w:rPr>
                <w:rFonts w:hint="eastAsia" w:ascii="宋体" w:hAnsi="宋体" w:eastAsia="宋体" w:cs="宋体"/>
                <w:color w:val="000000" w:themeColor="text1"/>
                <w:sz w:val="22"/>
                <w:szCs w:val="22"/>
                <w:highlight w:val="none"/>
                <w:lang w:eastAsia="zh-CN"/>
              </w:rPr>
            </w:pPr>
            <w:r>
              <w:rPr>
                <w:rFonts w:hint="eastAsia" w:ascii="宋体" w:hAnsi="宋体" w:cs="宋体"/>
                <w:b/>
                <w:bCs/>
                <w:color w:val="000000" w:themeColor="text1"/>
                <w:sz w:val="22"/>
                <w:szCs w:val="22"/>
                <w:highlight w:val="none"/>
                <w:lang w:val="en-US" w:eastAsia="zh-CN"/>
              </w:rPr>
              <w:t>主要参数</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0F51FAE4">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数量</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7ACC867">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单位</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356C1D3">
            <w:pPr>
              <w:widowControl/>
              <w:jc w:val="center"/>
              <w:textAlignment w:val="center"/>
              <w:rPr>
                <w:rFonts w:ascii="宋体" w:hAnsi="宋体" w:cs="宋体"/>
                <w:color w:val="000000" w:themeColor="text1"/>
                <w:kern w:val="0"/>
                <w:sz w:val="22"/>
                <w:szCs w:val="22"/>
                <w:highlight w:val="none"/>
              </w:rPr>
            </w:pPr>
            <w:r>
              <w:rPr>
                <w:rFonts w:hint="eastAsia" w:ascii="宋体" w:hAnsi="宋体" w:cs="宋体"/>
                <w:b/>
                <w:bCs/>
                <w:color w:val="000000" w:themeColor="text1"/>
                <w:sz w:val="22"/>
                <w:szCs w:val="22"/>
                <w:highlight w:val="none"/>
              </w:rPr>
              <w:t>价格</w:t>
            </w:r>
          </w:p>
        </w:tc>
      </w:tr>
      <w:tr w14:paraId="7BF16476">
        <w:tblPrEx>
          <w:tblCellMar>
            <w:top w:w="0" w:type="dxa"/>
            <w:left w:w="108" w:type="dxa"/>
            <w:bottom w:w="0" w:type="dxa"/>
            <w:right w:w="108" w:type="dxa"/>
          </w:tblCellMar>
        </w:tblPrEx>
        <w:trPr>
          <w:trHeight w:val="9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6ECE6638">
            <w:pPr>
              <w:keepNext w:val="0"/>
              <w:keepLines w:val="0"/>
              <w:widowControl/>
              <w:suppressLineNumbers w:val="0"/>
              <w:spacing w:after="220" w:afterAutospacing="0"/>
              <w:jc w:val="center"/>
              <w:textAlignment w:val="center"/>
              <w:rPr>
                <w:rFonts w:ascii="宋体" w:hAnsi="宋体" w:cs="宋体"/>
                <w:color w:val="000000" w:themeColor="text1"/>
                <w:sz w:val="22"/>
                <w:szCs w:val="22"/>
                <w:highlight w:val="none"/>
              </w:rPr>
            </w:pPr>
            <w:r>
              <w:rPr>
                <w:rStyle w:val="51"/>
                <w:rFonts w:hint="eastAsia"/>
                <w:i w:val="0"/>
                <w:iCs w:val="0"/>
                <w:color w:val="000000" w:themeColor="text1"/>
                <w:highlight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CD4F04B">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ascii="宋体" w:hAnsi="宋体" w:cs="宋体"/>
                <w:color w:val="000000" w:themeColor="text1"/>
                <w:sz w:val="22"/>
                <w:szCs w:val="22"/>
                <w:highlight w:val="none"/>
              </w:rPr>
            </w:pPr>
            <w:r>
              <w:rPr>
                <w:rStyle w:val="51"/>
                <w:rFonts w:hint="eastAsia"/>
                <w:i w:val="0"/>
                <w:iCs w:val="0"/>
                <w:color w:val="000000" w:themeColor="text1"/>
                <w:highlight w:val="none"/>
                <w:lang w:val="en-US" w:eastAsia="zh-CN" w:bidi="ar"/>
              </w:rPr>
              <w:t>25吨重型水罐排涝泵车</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2493323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一、整车主要配置需求</w:t>
            </w:r>
          </w:p>
          <w:p w14:paraId="47ED006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1、外形尺寸：长≤11800(mm)、宽≤2600(mm)、高≤3600(mm)；</w:t>
            </w:r>
          </w:p>
          <w:p w14:paraId="457E51E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2、发动机额定功率：≥400kw；</w:t>
            </w:r>
          </w:p>
          <w:p w14:paraId="292F948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3、驾乘室准乘人数≥2，（原装单排驾驶室）；</w:t>
            </w:r>
          </w:p>
          <w:p w14:paraId="3236F3F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4、排放标准：国VI；</w:t>
            </w:r>
          </w:p>
          <w:p w14:paraId="5BA0F9F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5、比功率：≥9kW/t；</w:t>
            </w:r>
          </w:p>
          <w:p w14:paraId="2721DE5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6、水罐容量：水罐容量：≥25000L；</w:t>
            </w:r>
          </w:p>
          <w:p w14:paraId="6D8528E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7、泵流量：≥</w:t>
            </w:r>
            <w:r>
              <w:rPr>
                <w:rFonts w:hint="eastAsia" w:ascii="宋体" w:hAnsi="宋体" w:cs="宋体"/>
                <w:color w:val="000000" w:themeColor="text1"/>
                <w:sz w:val="22"/>
                <w:szCs w:val="22"/>
                <w:highlight w:val="none"/>
                <w:lang w:val="en-US" w:eastAsia="zh-CN"/>
              </w:rPr>
              <w:t>9</w:t>
            </w:r>
            <w:r>
              <w:rPr>
                <w:rFonts w:hint="eastAsia" w:ascii="宋体" w:hAnsi="宋体" w:cs="宋体"/>
                <w:color w:val="000000" w:themeColor="text1"/>
                <w:sz w:val="22"/>
                <w:szCs w:val="22"/>
                <w:highlight w:val="none"/>
              </w:rPr>
              <w:t>000L/min@1.0MPa；</w:t>
            </w:r>
          </w:p>
          <w:p w14:paraId="59AE078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8、炮流量：≥</w:t>
            </w:r>
            <w:r>
              <w:rPr>
                <w:rFonts w:hint="eastAsia" w:ascii="宋体" w:hAnsi="宋体" w:cs="宋体"/>
                <w:color w:val="000000" w:themeColor="text1"/>
                <w:sz w:val="22"/>
                <w:szCs w:val="22"/>
                <w:highlight w:val="none"/>
                <w:lang w:val="en-US" w:eastAsia="zh-CN"/>
              </w:rPr>
              <w:t>60</w:t>
            </w:r>
            <w:r>
              <w:rPr>
                <w:rFonts w:hint="eastAsia" w:ascii="宋体" w:hAnsi="宋体" w:cs="宋体"/>
                <w:color w:val="000000" w:themeColor="text1"/>
                <w:sz w:val="22"/>
                <w:szCs w:val="22"/>
                <w:highlight w:val="none"/>
              </w:rPr>
              <w:t>00L/min；</w:t>
            </w:r>
          </w:p>
          <w:p w14:paraId="0912A96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9、炮射程：≥85m（水）。</w:t>
            </w:r>
          </w:p>
          <w:p w14:paraId="6838E95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二、底盘需求</w:t>
            </w:r>
          </w:p>
          <w:p w14:paraId="68C5BE3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1、发动机额定功率≥4</w:t>
            </w:r>
            <w:r>
              <w:rPr>
                <w:rFonts w:hint="eastAsia" w:ascii="宋体" w:hAnsi="宋体" w:cs="宋体"/>
                <w:color w:val="000000" w:themeColor="text1"/>
                <w:sz w:val="22"/>
                <w:szCs w:val="22"/>
                <w:highlight w:val="none"/>
                <w:lang w:val="en-US" w:eastAsia="zh-CN"/>
              </w:rPr>
              <w:t>0</w:t>
            </w:r>
            <w:r>
              <w:rPr>
                <w:rFonts w:hint="eastAsia" w:ascii="宋体" w:hAnsi="宋体" w:cs="宋体"/>
                <w:color w:val="000000" w:themeColor="text1"/>
                <w:sz w:val="22"/>
                <w:szCs w:val="22"/>
                <w:highlight w:val="none"/>
              </w:rPr>
              <w:t>0KW；</w:t>
            </w:r>
          </w:p>
          <w:p w14:paraId="51616E4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2、驱动形式：8×4；</w:t>
            </w:r>
          </w:p>
          <w:p w14:paraId="12D33BF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3、选用知名品牌33吨及以上商用车底盘，满足消防车辆无尿素情况下发动机功率不下降的要求，选用智能半自动变速箱或手自一体变速箱；</w:t>
            </w:r>
          </w:p>
          <w:p w14:paraId="00B3432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4、驾驶室：单排双门驾驶室，总乘员人数≥2人；自带原厂取力器，离合器总泵预留后置取力器控制端口，泵房与驾驶室控制面板加装取力器开关，实现水泵结合和脱离功能。</w:t>
            </w:r>
          </w:p>
          <w:p w14:paraId="3464BBA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w:t>
            </w:r>
            <w:r>
              <w:rPr>
                <w:rStyle w:val="51"/>
                <w:rFonts w:hint="eastAsia" w:ascii="宋体" w:hAnsi="宋体" w:eastAsia="宋体" w:cs="宋体"/>
                <w:i w:val="0"/>
                <w:iCs w:val="0"/>
                <w:color w:val="000000" w:themeColor="text1"/>
                <w:highlight w:val="none"/>
                <w:lang w:val="en-US" w:eastAsia="zh-CN" w:bidi="ar"/>
              </w:rPr>
              <w:t>附加警灯、警报开关，预留消防通讯、车载电台等设备电源接口，设置350M车载电台；</w:t>
            </w:r>
          </w:p>
          <w:p w14:paraId="399ED58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6、冷暖空调，电动车窗，驾驶室座椅可自动调节；</w:t>
            </w:r>
          </w:p>
          <w:p w14:paraId="49A14AD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7、制动系统：ABS制动力调节型式；行车制动系型式：双回路气压制动；驻车制动系型式：弹簧储能断气制动；辅助制动系型式：发动机排气制动。</w:t>
            </w:r>
          </w:p>
          <w:p w14:paraId="04327B7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8、油箱及供油系统：≥300L油箱。</w:t>
            </w:r>
          </w:p>
          <w:p w14:paraId="187FFFE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9轮胎：提供轮胎品牌、尺寸和最小离地间隙参数。轮胎为子午线真空胎，加装胎压监测系统。</w:t>
            </w:r>
            <w:r>
              <w:rPr>
                <w:rStyle w:val="51"/>
                <w:rFonts w:hint="eastAsia" w:ascii="宋体" w:hAnsi="宋体" w:eastAsia="宋体" w:cs="宋体"/>
                <w:i w:val="0"/>
                <w:iCs w:val="0"/>
                <w:color w:val="000000" w:themeColor="text1"/>
                <w:highlight w:val="none"/>
                <w:lang w:val="en-US" w:eastAsia="zh-CN" w:bidi="ar"/>
              </w:rPr>
              <w:t>轮胎</w:t>
            </w:r>
            <w:r>
              <w:rPr>
                <w:rStyle w:val="51"/>
                <w:rFonts w:hint="eastAsia" w:ascii="宋体" w:hAnsi="宋体" w:cs="宋体"/>
                <w:i w:val="0"/>
                <w:iCs w:val="0"/>
                <w:color w:val="000000" w:themeColor="text1"/>
                <w:highlight w:val="none"/>
                <w:lang w:val="en-US" w:eastAsia="zh-CN" w:bidi="ar"/>
              </w:rPr>
              <w:t>、水带等易损件</w:t>
            </w:r>
            <w:r>
              <w:rPr>
                <w:rFonts w:hint="eastAsia" w:ascii="宋体" w:hAnsi="宋体" w:cs="宋体"/>
                <w:color w:val="000000" w:themeColor="text1"/>
                <w:sz w:val="22"/>
                <w:szCs w:val="22"/>
                <w:highlight w:val="none"/>
              </w:rPr>
              <w:t>生产日期不得早于整车出厂日期（以铭牌为准）48周。</w:t>
            </w: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底盘生产日期不得早于合同签订日期6个月，整车生产日期不得早于合同签订日期；</w:t>
            </w:r>
          </w:p>
          <w:p w14:paraId="4AA7ADF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10、电气系统：发电机功率≥28V/3080W,2×12V/180Ah蓄电池：需配置快速充电装置，具备设备故障声光报警功能；</w:t>
            </w:r>
          </w:p>
          <w:p w14:paraId="3B587AD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11、配前夜间探照灯，具备夜间自身作业照明功能。</w:t>
            </w:r>
          </w:p>
          <w:p w14:paraId="361C2FB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12、前金属保险杠，本色或深色（禁止在外层喷涂白漆或灰、黑漆）；</w:t>
            </w:r>
          </w:p>
          <w:p w14:paraId="15748F3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13、设置必须采用专用金属牌照架底座，车辆前部居中设置。</w:t>
            </w:r>
          </w:p>
          <w:p w14:paraId="66ED856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三、取力装置</w:t>
            </w:r>
          </w:p>
          <w:p w14:paraId="199879E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1、型式：采用原装夹心式全功率取力器.水泵取力操作：底盘自带原厂取力器，离合器总泵预留后置取力器控制端口，泵房与驾驶室控制面板加装取力器开关，实现水泵结合和脱离功能。</w:t>
            </w:r>
          </w:p>
          <w:p w14:paraId="6B1DB25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2、取力操纵方式：电控气动</w:t>
            </w:r>
          </w:p>
          <w:p w14:paraId="6E72F81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四、水路系统</w:t>
            </w:r>
          </w:p>
          <w:p w14:paraId="1E399BA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1、选用知名</w:t>
            </w:r>
            <w:r>
              <w:rPr>
                <w:rFonts w:hint="eastAsia" w:ascii="宋体" w:hAnsi="宋体" w:cs="宋体"/>
                <w:color w:val="000000" w:themeColor="text1"/>
                <w:sz w:val="22"/>
                <w:szCs w:val="22"/>
                <w:highlight w:val="none"/>
                <w:lang w:val="en-US" w:eastAsia="zh-CN"/>
              </w:rPr>
              <w:t>品牌</w:t>
            </w:r>
            <w:r>
              <w:rPr>
                <w:rFonts w:hint="eastAsia" w:ascii="宋体" w:hAnsi="宋体" w:cs="宋体"/>
                <w:color w:val="000000" w:themeColor="text1"/>
                <w:sz w:val="22"/>
                <w:szCs w:val="22"/>
                <w:highlight w:val="none"/>
              </w:rPr>
              <w:t>电动炮</w:t>
            </w:r>
          </w:p>
          <w:p w14:paraId="018DAEB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2、选用知名</w:t>
            </w:r>
            <w:r>
              <w:rPr>
                <w:rFonts w:hint="eastAsia" w:ascii="宋体" w:hAnsi="宋体" w:cs="宋体"/>
                <w:color w:val="000000" w:themeColor="text1"/>
                <w:sz w:val="22"/>
                <w:szCs w:val="22"/>
                <w:highlight w:val="none"/>
                <w:lang w:val="en-US" w:eastAsia="zh-CN"/>
              </w:rPr>
              <w:t>品牌</w:t>
            </w:r>
            <w:r>
              <w:rPr>
                <w:rFonts w:hint="eastAsia" w:ascii="宋体" w:hAnsi="宋体" w:cs="宋体"/>
                <w:color w:val="000000" w:themeColor="text1"/>
                <w:sz w:val="22"/>
                <w:szCs w:val="22"/>
                <w:highlight w:val="none"/>
              </w:rPr>
              <w:t>大流量</w:t>
            </w:r>
            <w:r>
              <w:rPr>
                <w:rFonts w:hint="eastAsia" w:ascii="宋体" w:hAnsi="宋体" w:cs="宋体"/>
                <w:color w:val="000000" w:themeColor="text1"/>
                <w:sz w:val="22"/>
                <w:szCs w:val="22"/>
                <w:highlight w:val="none"/>
                <w:lang w:val="en-US" w:eastAsia="zh-CN"/>
              </w:rPr>
              <w:t>高</w:t>
            </w:r>
            <w:r>
              <w:rPr>
                <w:rFonts w:hint="eastAsia" w:ascii="宋体" w:hAnsi="宋体" w:cs="宋体"/>
                <w:color w:val="000000" w:themeColor="text1"/>
                <w:sz w:val="22"/>
                <w:szCs w:val="22"/>
                <w:highlight w:val="none"/>
              </w:rPr>
              <w:t>低压消防泵</w:t>
            </w:r>
          </w:p>
          <w:p w14:paraId="7286215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3、消防泵额定流量：需求为≥</w:t>
            </w:r>
            <w:r>
              <w:rPr>
                <w:rFonts w:hint="eastAsia" w:ascii="宋体" w:hAnsi="宋体" w:cs="宋体"/>
                <w:color w:val="000000" w:themeColor="text1"/>
                <w:sz w:val="22"/>
                <w:szCs w:val="22"/>
                <w:highlight w:val="none"/>
                <w:lang w:val="en-US" w:eastAsia="zh-CN"/>
              </w:rPr>
              <w:t>9</w:t>
            </w:r>
            <w:r>
              <w:rPr>
                <w:rFonts w:hint="eastAsia" w:ascii="宋体" w:hAnsi="宋体" w:cs="宋体"/>
                <w:color w:val="000000" w:themeColor="text1"/>
                <w:sz w:val="22"/>
                <w:szCs w:val="22"/>
                <w:highlight w:val="none"/>
              </w:rPr>
              <w:t>000L/min@1.0MPa；消防炮额定流量：≥</w:t>
            </w:r>
            <w:r>
              <w:rPr>
                <w:rFonts w:hint="eastAsia" w:ascii="宋体" w:hAnsi="宋体" w:cs="宋体"/>
                <w:color w:val="000000" w:themeColor="text1"/>
                <w:sz w:val="22"/>
                <w:szCs w:val="22"/>
                <w:highlight w:val="none"/>
                <w:lang w:val="en-US" w:eastAsia="zh-CN"/>
              </w:rPr>
              <w:t>60</w:t>
            </w:r>
            <w:r>
              <w:rPr>
                <w:rFonts w:hint="eastAsia" w:ascii="宋体" w:hAnsi="宋体" w:cs="宋体"/>
                <w:color w:val="000000" w:themeColor="text1"/>
                <w:sz w:val="22"/>
                <w:szCs w:val="22"/>
                <w:highlight w:val="none"/>
              </w:rPr>
              <w:t>00L/min</w:t>
            </w:r>
          </w:p>
          <w:p w14:paraId="2417575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4、消防炮安装位置：采用电动控制消防炮，要求位于泵房顶部可实现水平回转水平旋转角度≥0~340°、俯仰角度≥-7~70°</w:t>
            </w:r>
          </w:p>
          <w:p w14:paraId="7B91477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5、引水器：采用电动式引水器</w:t>
            </w:r>
          </w:p>
          <w:p w14:paraId="76E961C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6、水罐容量：水罐容量：≥25000L</w:t>
            </w:r>
          </w:p>
          <w:p w14:paraId="2E4F8D3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7、罐体材质：优质碳钢,底板厚度≥5mm，侧板厚度≥4mm，顶板及隔板≥3mm，内壁重防腐</w:t>
            </w:r>
            <w:r>
              <w:rPr>
                <w:rFonts w:hint="eastAsia" w:ascii="宋体" w:hAnsi="宋体" w:cs="宋体"/>
                <w:color w:val="000000" w:themeColor="text1"/>
                <w:sz w:val="22"/>
                <w:szCs w:val="22"/>
                <w:highlight w:val="none"/>
                <w:lang w:eastAsia="zh-CN"/>
              </w:rPr>
              <w:t>（</w:t>
            </w:r>
            <w:r>
              <w:rPr>
                <w:rFonts w:hint="eastAsia" w:ascii="宋体" w:hAnsi="宋体" w:cs="宋体"/>
                <w:color w:val="000000" w:themeColor="text1"/>
                <w:sz w:val="22"/>
                <w:szCs w:val="22"/>
                <w:highlight w:val="none"/>
                <w:lang w:val="en-US" w:eastAsia="zh-CN"/>
              </w:rPr>
              <w:t>十年及以上</w:t>
            </w:r>
            <w:r>
              <w:rPr>
                <w:rFonts w:hint="eastAsia" w:ascii="宋体" w:hAnsi="宋体" w:cs="宋体"/>
                <w:color w:val="000000" w:themeColor="text1"/>
                <w:sz w:val="22"/>
                <w:szCs w:val="22"/>
                <w:highlight w:val="none"/>
                <w:lang w:eastAsia="zh-CN"/>
              </w:rPr>
              <w:t>）</w:t>
            </w:r>
            <w:r>
              <w:rPr>
                <w:rFonts w:hint="eastAsia" w:ascii="宋体" w:hAnsi="宋体" w:cs="宋体"/>
                <w:color w:val="000000" w:themeColor="text1"/>
                <w:sz w:val="22"/>
                <w:szCs w:val="22"/>
                <w:highlight w:val="none"/>
              </w:rPr>
              <w:t>。管路材质：需求为优质不锈钢或铝合金等。水液罐顶部应采用防滑板或进行防滑处理。</w:t>
            </w:r>
          </w:p>
          <w:p w14:paraId="4B1598D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8、管路接口：所有管路需以不同颜色区分，出水口管路为红色，进水口管路为绿色；</w:t>
            </w:r>
          </w:p>
          <w:p w14:paraId="018CD52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9、低压出水口：后部左右两侧内扣式DN80*4个对称布置；注水口后部左右两侧内扣式DN80*4对称布置；吸水口车辆后部内扣式DN150*2单侧布置</w:t>
            </w:r>
          </w:p>
          <w:p w14:paraId="0C154D4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10、接口：全车采用内扣式接口</w:t>
            </w:r>
          </w:p>
          <w:p w14:paraId="1B8EA65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五、电气系统</w:t>
            </w:r>
          </w:p>
          <w:p w14:paraId="4D94FFF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rPr>
              <w:t>1、操作及控制：车身后部集中操作控制，配触摸功能液晶屏，实时监测系统运行参数，带一键出水控制功能；</w:t>
            </w:r>
          </w:p>
          <w:p w14:paraId="63B36CE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警灯警报器系统：驾驶室顶有一个红色长排LED警灯，车身左右上部红色频闪警灯，警灯警报器在驾驶室内集成操作，具备消防警报声、警笛声、对外喊话等功能；预留消防通讯、车载电台等设备电源接口，预留24V两组外用接电口。</w:t>
            </w:r>
          </w:p>
          <w:p w14:paraId="1E340D5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3、灯光照明系统：车身左右上部LED工作照明灯，车尾顶部LED场地照明灯；</w:t>
            </w:r>
          </w:p>
          <w:p w14:paraId="01D2E40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4、接插件：采用防水性能达到IP67的接插件；</w:t>
            </w:r>
          </w:p>
          <w:p w14:paraId="440FE99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5、自动充电装置：可使用220V市电对蓄电池充电，车辆启动时充电插头自动脱落；</w:t>
            </w:r>
          </w:p>
          <w:p w14:paraId="6274D94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w:t>
            </w:r>
            <w:r>
              <w:rPr>
                <w:rFonts w:hint="eastAsia" w:ascii="宋体" w:hAnsi="宋体" w:cs="宋体"/>
                <w:color w:val="000000" w:themeColor="text1"/>
                <w:sz w:val="22"/>
                <w:szCs w:val="22"/>
                <w:highlight w:val="none"/>
                <w:lang w:val="en-US" w:eastAsia="zh-CN"/>
              </w:rPr>
              <w:t>驾驶</w:t>
            </w:r>
            <w:r>
              <w:rPr>
                <w:rFonts w:hint="eastAsia" w:ascii="宋体" w:hAnsi="宋体" w:cs="宋体"/>
                <w:color w:val="000000" w:themeColor="text1"/>
                <w:sz w:val="22"/>
                <w:szCs w:val="22"/>
                <w:highlight w:val="none"/>
              </w:rPr>
              <w:t>辅助系统：带倒车告警蜂鸣器、倒车摄像头和驾驶室内显示屏。</w:t>
            </w:r>
          </w:p>
          <w:p w14:paraId="30D1CF9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六、安全保护系统</w:t>
            </w:r>
          </w:p>
          <w:p w14:paraId="68DDA90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1、取力保护：接合或脱开消防泵时，有防止不切断动力误操作的保护，避免打齿及车辆移动。</w:t>
            </w:r>
          </w:p>
          <w:p w14:paraId="7E2799D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2、发动机限速保护：防止消防泵超速运转。</w:t>
            </w:r>
          </w:p>
          <w:p w14:paraId="1C13BD0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3、翻转踏板位置警示：翻转踏板设置琥珀色指示灯，展开时自动闪烁：</w:t>
            </w:r>
          </w:p>
          <w:p w14:paraId="288347C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4、卷帘门未关提示：如卷帘门未关，驾驶室自动光报警，防止行车发生事故。</w:t>
            </w:r>
          </w:p>
          <w:p w14:paraId="262C53A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七、车身</w:t>
            </w:r>
          </w:p>
          <w:p w14:paraId="7728D07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车身概述：车身采用高强度铝合金型材骨架结构及具有减振降噪功能的车身粘接工艺制作；器材箱层架板采用专用高强度铝合金型材搭建，并配有方便器材取放专用卡具及高强度塑料盒，器材布置合理，组合灵活性强，空间利用率高，能最大限度利用车身内部器材空间；车顶</w:t>
            </w:r>
            <w:r>
              <w:rPr>
                <w:rFonts w:hint="eastAsia" w:ascii="宋体" w:hAnsi="宋体" w:cs="宋体"/>
                <w:color w:val="000000" w:themeColor="text1"/>
                <w:sz w:val="22"/>
                <w:szCs w:val="22"/>
                <w:highlight w:val="none"/>
                <w:lang w:val="en-US" w:eastAsia="zh-CN"/>
              </w:rPr>
              <w:t>配置15米金属拉梯及固定设施</w:t>
            </w:r>
            <w:r>
              <w:rPr>
                <w:rFonts w:hint="eastAsia" w:ascii="宋体" w:hAnsi="宋体" w:cs="宋体"/>
                <w:color w:val="000000" w:themeColor="text1"/>
                <w:sz w:val="22"/>
                <w:szCs w:val="22"/>
                <w:highlight w:val="none"/>
              </w:rPr>
              <w:t>。</w:t>
            </w:r>
          </w:p>
          <w:p w14:paraId="070EAA5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2、车身骨架采用高强度铝合金型材内藏式搭接技术搭建。</w:t>
            </w:r>
          </w:p>
          <w:p w14:paraId="6C0E265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3、车身蒙皮采用高强度胶粘结。</w:t>
            </w:r>
          </w:p>
          <w:p w14:paraId="1C2F6D4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4、器材箱层架板采用专用高强度铝合金型材。</w:t>
            </w:r>
          </w:p>
          <w:p w14:paraId="4BFE5A9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5、器材箱门：方便器材取放的专用卡具及高强度塑料盒等固定形式。</w:t>
            </w:r>
          </w:p>
          <w:p w14:paraId="44370CE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6、泵房两侧装有脚踏板采用铝合金一体成型式，结构可靠，外型美观，气弹簧和门锁双重锁定，安全可靠，可承受静载荷不小于180Kg。</w:t>
            </w:r>
          </w:p>
          <w:p w14:paraId="0847567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7、爬梯：全铝合金防腐蚀折叠翻转爬梯。</w:t>
            </w:r>
          </w:p>
          <w:p w14:paraId="07EA533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color w:val="000000" w:themeColor="text1"/>
                <w:sz w:val="22"/>
                <w:szCs w:val="22"/>
                <w:highlight w:val="none"/>
                <w:lang w:eastAsia="zh-CN"/>
              </w:rPr>
            </w:pPr>
            <w:r>
              <w:rPr>
                <w:rFonts w:hint="eastAsia" w:ascii="宋体" w:hAnsi="宋体" w:cs="宋体"/>
                <w:color w:val="000000" w:themeColor="text1"/>
                <w:sz w:val="22"/>
                <w:szCs w:val="22"/>
                <w:highlight w:val="none"/>
              </w:rPr>
              <w:t>8、整车油漆：车身外露表面主要为红色漆，车身下部及翼子板为钛金灰色，帘子门为铝型材阳极氧化钛金灰色，罐体表面为红色油漆，顶部采用防滑油漆或铝合金防滑花纹板</w:t>
            </w:r>
            <w:r>
              <w:rPr>
                <w:rFonts w:hint="eastAsia" w:ascii="宋体" w:hAnsi="宋体" w:cs="宋体"/>
                <w:color w:val="000000" w:themeColor="text1"/>
                <w:sz w:val="22"/>
                <w:szCs w:val="22"/>
                <w:highlight w:val="none"/>
                <w:lang w:eastAsia="zh-CN"/>
              </w:rPr>
              <w:t>。</w:t>
            </w:r>
          </w:p>
          <w:p w14:paraId="7E1B17D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八、其它</w:t>
            </w:r>
          </w:p>
          <w:p w14:paraId="4DD0C37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color w:val="000000" w:themeColor="text1"/>
                <w:sz w:val="22"/>
                <w:szCs w:val="22"/>
                <w:highlight w:val="none"/>
                <w:lang w:eastAsia="zh-CN"/>
              </w:rPr>
            </w:pPr>
            <w:r>
              <w:rPr>
                <w:rFonts w:hint="eastAsia" w:ascii="宋体" w:hAnsi="宋体" w:cs="宋体"/>
                <w:color w:val="000000" w:themeColor="text1"/>
                <w:sz w:val="22"/>
                <w:szCs w:val="22"/>
                <w:highlight w:val="none"/>
              </w:rPr>
              <w:t>360°行车监控（含倒车雷达）另赠送3次整车保养</w:t>
            </w:r>
            <w:r>
              <w:rPr>
                <w:rFonts w:hint="eastAsia" w:ascii="宋体" w:hAnsi="宋体" w:cs="宋体"/>
                <w:color w:val="000000" w:themeColor="text1"/>
                <w:sz w:val="22"/>
                <w:szCs w:val="22"/>
                <w:highlight w:val="none"/>
                <w:lang w:eastAsia="zh-CN"/>
              </w:rPr>
              <w:t>。</w:t>
            </w:r>
          </w:p>
          <w:p w14:paraId="313E0E6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九、随车文件清单</w:t>
            </w:r>
          </w:p>
          <w:p w14:paraId="211B92F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1、底盘使用、维护中文说明书三套（底盘厂家提供）；</w:t>
            </w:r>
          </w:p>
          <w:p w14:paraId="3F799A0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2、底盘质量保修卡、合格证；</w:t>
            </w:r>
          </w:p>
          <w:p w14:paraId="1F4DACF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3、底盘配备与车辆同品牌型号备胎2个</w:t>
            </w:r>
          </w:p>
          <w:p w14:paraId="749EB61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4、底盘随车配件清单、发动机号、车架号拓印件各2份以上；</w:t>
            </w:r>
          </w:p>
          <w:p w14:paraId="4CA14A5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5、消防车整车合格证、消防车一致性认证证书复印件、车辆技术参数表各1份；</w:t>
            </w:r>
          </w:p>
          <w:p w14:paraId="42DFFA2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6、上装使用操作说明书（中文三套），附操作演示示范光盘；</w:t>
            </w:r>
          </w:p>
          <w:p w14:paraId="34BF7F0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7、上装电路布置图、电器原理图、维修线路图各1份（提供电子和纸质）；</w:t>
            </w:r>
          </w:p>
          <w:p w14:paraId="60C61A0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8、上装维护保养说明书（中文三套、附电子版）；</w:t>
            </w:r>
          </w:p>
          <w:p w14:paraId="007D79A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9、标准随车附件、器材清单；</w:t>
            </w:r>
          </w:p>
          <w:p w14:paraId="3F22DB6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10、提供中华人民共和国工业和信息化部批准，列入有效期内的机动车公告目录；</w:t>
            </w:r>
          </w:p>
          <w:p w14:paraId="1D4447F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十、随车器材：（所有随车器材随车固定，内置存放手抬泵和移动炮的位置）</w:t>
            </w:r>
          </w:p>
          <w:p w14:paraId="7A27AB5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1、消防水带（快接）16-65-20型30盘   16-80-20型20盘</w:t>
            </w:r>
          </w:p>
          <w:p w14:paraId="65B0287F">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2、开关直流水枪（65mm快接公口）QZG3.5/7.5型4支</w:t>
            </w:r>
          </w:p>
          <w:p w14:paraId="0524802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3、直流开花水枪（65mm快接公口）QZK3.5/7.5型4支</w:t>
            </w:r>
          </w:p>
          <w:p w14:paraId="7A9FC2E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4、异型快速接口（内扣转螺纹）KD150/100型4个</w:t>
            </w:r>
          </w:p>
          <w:p w14:paraId="1BD258A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5、吸水管（内扣）φ150×2000型6个</w:t>
            </w:r>
          </w:p>
          <w:p w14:paraId="6886700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6、多功能吸水管扳手4个</w:t>
            </w:r>
          </w:p>
          <w:p w14:paraId="1DB251F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7、滤水器（内扣）JII150（内扣）/80（内扣）×2-1.6型1个</w:t>
            </w:r>
          </w:p>
          <w:p w14:paraId="4BDCC31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8、三分水器（80公三65母）FⅢ80/65×3-1.6型2个</w:t>
            </w:r>
          </w:p>
          <w:p w14:paraId="51A604F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9、异型接口：</w:t>
            </w:r>
          </w:p>
          <w:p w14:paraId="54D41D7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80mm快速式母口转65mm快速式公口6个</w:t>
            </w:r>
          </w:p>
          <w:p w14:paraId="3669348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65mm快速式母口转80mm快速式公口6个</w:t>
            </w:r>
          </w:p>
          <w:p w14:paraId="04BF2FC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65mm快速式母口转80mm快速式母口6个</w:t>
            </w:r>
          </w:p>
          <w:p w14:paraId="16E1956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65mm快速式母口转65mm快速式母口6个</w:t>
            </w:r>
          </w:p>
          <w:p w14:paraId="5F77C6C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65mm快速式母口转65mm快速式公口6个</w:t>
            </w:r>
          </w:p>
          <w:p w14:paraId="5F49689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异径接口KJ65/80型2个</w:t>
            </w:r>
          </w:p>
          <w:p w14:paraId="41821A3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10、水带护桥FH80/90×555×570型4个</w:t>
            </w:r>
          </w:p>
          <w:p w14:paraId="495FA47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11、地上消火栓扳手FB400型2个</w:t>
            </w:r>
          </w:p>
          <w:p w14:paraId="0231D14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知名品牌液压破拆工具组：（机动泵双输出：三级轴向四冲程汽油机，功率3匹/2.2千瓦，燃油油缸容量1700毫升，液压油油缸容量4340毫升，拥有液压油位指示器，使油位监测更方便；三级泵技术，第一级输出2×2800毫升/分钟，第二级输出2×1250毫升/分钟，第三级输出2×525毫升/分钟；同心轴平头自动锁单管系统，拥有便于时刻监测油位的油位指示器，发动机及泵体由钢质框架完全保护；工作压力720巴，重量仅：22.7公斤，可接驳两套工具同时使用，外型尺寸：455×315×460毫米，静音设计，工作温度：-20-55度；</w:t>
            </w:r>
          </w:p>
          <w:p w14:paraId="2602AEC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自动怠速功能省油安静工作时噪音仅68分贝；2、可在垂直、升高或横向状态时正常操作；3、可带压插、拔。扩张器：同心轴平头自动锁单管系统、可带压操作。便携式把手配有高强度LED照明灯，配有加速阀。扩张距离：725毫米、最大扩张力：28.6吨、最小扩张力：4.2吨（从扩张头顶部25毫米处测试）、挤压力：6吨、牵引力：4.8吨、牵引距离：610毫米、工作压力：720巴、重量14.5公斤、外型尺寸：836×286×218毫米、工作温度：-20-55度单管、可带压操作、把手处有照明系统。剪切钳：宜采用倾斜型刀头设计的超轻便型剪切钳。同心轴平头自动锁单管系统、可带压操作、把手处有照明系统、螺栓镶嵌结构。最大开口距离：170毫米、剪切力：56吨、剪切圆钢直径：31毫米，工作压力：720巴，重量9.5公斤，外型尺寸：685×275×253毫米，工作温度：-20-55度；多功能齿形钳头，采用扁平螺栓镶嵌结构，增加剪切力。单级液压顶杆：可360°旋转十字头；同心轴平头自动锁单管工作原理、可带压操作、最大支撑力：16.4吨、原始长度：512毫米、最大行程：250毫米、最大支撑高度：762毫米、牵引力：5.1吨、工作压力：720巴、重量11.3公斤、工作温度：-20-55度；液压管2根：液压管为单管（软管内嵌软管）设计，材质为凯芙拉纤维、平头式接口可带压快速连接和插拔，内管最大工作压力720巴、外管工作压力25巴、液压管长度：10米、重量4.7公斤。）</w:t>
            </w:r>
          </w:p>
          <w:p w14:paraId="5E4AB2B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一套随车工具箱（维修工具组2套）</w:t>
            </w:r>
          </w:p>
          <w:p w14:paraId="1D281A4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十一、总体要求：</w:t>
            </w:r>
          </w:p>
          <w:p w14:paraId="47E355F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1、首保免费（包括发动机、底盘、水泵以及所有油品）；</w:t>
            </w:r>
          </w:p>
          <w:p w14:paraId="700CC07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2、提供10年内每次维护保养项目清单（含价格明细）；</w:t>
            </w:r>
          </w:p>
          <w:p w14:paraId="501BF81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3、底盘质保≥2年，上装质保≥5年；</w:t>
            </w:r>
          </w:p>
          <w:p w14:paraId="18976E6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4、车辆外观整体涂装和所有制式标识应符合国家消防救援局最新要求；</w:t>
            </w:r>
          </w:p>
          <w:p w14:paraId="29A44ED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5、器材箱分割不能影响加油口、电瓶、油滤等底盘附件的维护保养；</w:t>
            </w:r>
          </w:p>
          <w:p w14:paraId="6DB1C0F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6、所有操作开关、仪表、器材架及车辆均有符合规范的中文防水标识标注；</w:t>
            </w:r>
          </w:p>
          <w:p w14:paraId="653FCAB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7、整车性能符合GB7956《消防车性能要求及试验方法》的规定；比功率符合国家法规要求；</w:t>
            </w:r>
          </w:p>
          <w:p w14:paraId="3DACFCA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8、所有粘接保证一定的强度，符合国家相关标准；</w:t>
            </w:r>
          </w:p>
          <w:p w14:paraId="2F19C7A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9、消防车外表面不应有尖锐突出物和锐利的边缘，消防装置操作区域周围不应有可能对操作人员造成伤害的物品、热源，超过60℃的热表面及高速回转物应设置防护装置，大于65mm的水带接口和压力大于1.8MPa的管路应远离操作人员或采取防护措施，检查压力容器生产资质，压力容器的安装与硬物接触处应衬上柔软、耐腐和减震的衬物；</w:t>
            </w:r>
          </w:p>
          <w:p w14:paraId="601EF8E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10、保养、维修时需拆卸的零、部件不得采用焊接或铆接方式连接；</w:t>
            </w:r>
          </w:p>
          <w:p w14:paraId="2B1567D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11、厂家提供整车售后服务以及承诺质保的项目和内容制成永久性铭牌贴在驾驶室显著位置；</w:t>
            </w:r>
          </w:p>
          <w:p w14:paraId="7B6D93B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车上所有玻璃都要求使用有品牌有3C的安全玻璃，有效防止爆炸事故现场对消防员造成伤害；</w:t>
            </w:r>
          </w:p>
          <w:p w14:paraId="16D66A21">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jc w:val="left"/>
              <w:textAlignment w:val="center"/>
              <w:rPr>
                <w:rFonts w:hint="eastAsia" w:ascii="宋体" w:hAnsi="宋体" w:cs="宋体"/>
                <w:color w:val="000000" w:themeColor="text1"/>
                <w:sz w:val="22"/>
                <w:szCs w:val="22"/>
                <w:highlight w:val="none"/>
              </w:rPr>
            </w:pPr>
            <w:r>
              <w:rPr>
                <w:rFonts w:hint="eastAsia" w:ascii="宋体" w:hAnsi="宋体" w:cs="宋体"/>
                <w:color w:val="000000" w:themeColor="text1"/>
                <w:sz w:val="22"/>
                <w:szCs w:val="22"/>
                <w:highlight w:val="none"/>
              </w:rPr>
              <w:t>所有焊接牢固、光洁、平整、无锈迹，符合国家相关标准。</w:t>
            </w:r>
          </w:p>
          <w:p w14:paraId="1749F31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ascii="宋体" w:hAnsi="宋体" w:cs="宋体"/>
                <w:color w:val="000000" w:themeColor="text1"/>
                <w:sz w:val="22"/>
                <w:szCs w:val="22"/>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2"/>
                <w:szCs w:val="22"/>
                <w:highlight w:val="none"/>
                <w:lang w:val="en-US" w:eastAsia="zh-CN"/>
              </w:rPr>
              <w:t>13、定期或根据需求提供上门技术服务及培训指导。</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55C0FCDE">
            <w:pPr>
              <w:widowControl/>
              <w:jc w:val="center"/>
              <w:textAlignment w:val="center"/>
              <w:rPr>
                <w:rFonts w:hint="eastAsia"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5E93320">
            <w:pPr>
              <w:widowControl/>
              <w:jc w:val="center"/>
              <w:textAlignment w:val="center"/>
              <w:rPr>
                <w:rFonts w:hint="eastAsia"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辆</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5B365661">
            <w:pPr>
              <w:widowControl/>
              <w:jc w:val="center"/>
              <w:textAlignment w:val="center"/>
              <w:rPr>
                <w:rFonts w:ascii="宋体" w:hAnsi="宋体" w:cs="宋体"/>
                <w:color w:val="000000" w:themeColor="text1"/>
                <w:kern w:val="0"/>
                <w:sz w:val="22"/>
                <w:szCs w:val="22"/>
                <w:highlight w:val="none"/>
              </w:rPr>
            </w:pPr>
          </w:p>
        </w:tc>
      </w:tr>
      <w:tr w14:paraId="7489F315">
        <w:tblPrEx>
          <w:tblCellMar>
            <w:top w:w="0" w:type="dxa"/>
            <w:left w:w="108" w:type="dxa"/>
            <w:bottom w:w="0" w:type="dxa"/>
            <w:right w:w="108" w:type="dxa"/>
          </w:tblCellMar>
        </w:tblPrEx>
        <w:trPr>
          <w:trHeight w:val="601" w:hRule="atLeast"/>
        </w:trPr>
        <w:tc>
          <w:tcPr>
            <w:tcW w:w="9298" w:type="dxa"/>
            <w:gridSpan w:val="6"/>
            <w:tcBorders>
              <w:top w:val="single" w:color="000000" w:sz="4" w:space="0"/>
              <w:left w:val="single" w:color="000000" w:sz="4" w:space="0"/>
              <w:bottom w:val="single" w:color="000000" w:sz="4" w:space="0"/>
              <w:right w:val="single" w:color="000000" w:sz="4" w:space="0"/>
            </w:tcBorders>
            <w:noWrap/>
            <w:vAlign w:val="center"/>
          </w:tcPr>
          <w:p w14:paraId="553F9321">
            <w:pPr>
              <w:widowControl/>
              <w:ind w:firstLine="720" w:firstLineChars="300"/>
              <w:jc w:val="left"/>
              <w:textAlignment w:val="center"/>
              <w:rPr>
                <w:rFonts w:ascii="宋体" w:hAnsi="宋体" w:cs="宋体"/>
                <w:color w:val="000000" w:themeColor="text1"/>
                <w:kern w:val="0"/>
                <w:sz w:val="22"/>
                <w:szCs w:val="22"/>
                <w:highlight w:val="none"/>
              </w:rPr>
            </w:pPr>
            <w:r>
              <w:rPr>
                <w:rFonts w:hint="eastAsia" w:ascii="宋体" w:hAnsi="宋体" w:cs="宋体"/>
                <w:color w:val="000000" w:themeColor="text1"/>
                <w:sz w:val="24"/>
                <w:szCs w:val="24"/>
                <w:highlight w:val="none"/>
                <w:vertAlign w:val="baseline"/>
              </w:rPr>
              <w:t>备注：详见《</w:t>
            </w:r>
            <w:r>
              <w:rPr>
                <w:rFonts w:hint="eastAsia" w:ascii="宋体" w:hAnsi="宋体" w:cs="宋体"/>
                <w:color w:val="000000" w:themeColor="text1"/>
                <w:sz w:val="24"/>
                <w:szCs w:val="24"/>
                <w:highlight w:val="none"/>
                <w:vertAlign w:val="baseline"/>
                <w:lang w:val="en-US" w:eastAsia="zh-CN"/>
              </w:rPr>
              <w:t>报价</w:t>
            </w:r>
            <w:r>
              <w:rPr>
                <w:rFonts w:hint="eastAsia" w:ascii="宋体" w:hAnsi="宋体" w:cs="宋体"/>
                <w:color w:val="000000" w:themeColor="text1"/>
                <w:sz w:val="24"/>
                <w:szCs w:val="24"/>
                <w:highlight w:val="none"/>
                <w:vertAlign w:val="baseline"/>
              </w:rPr>
              <w:t>一览表》</w:t>
            </w:r>
          </w:p>
        </w:tc>
      </w:tr>
    </w:tbl>
    <w:p w14:paraId="03A1A1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i/>
          <w:iCs/>
          <w:color w:val="000000" w:themeColor="text1"/>
          <w:sz w:val="24"/>
          <w:szCs w:val="24"/>
          <w:highlight w:val="none"/>
        </w:rPr>
      </w:pPr>
      <w:r>
        <w:rPr>
          <w:rFonts w:hint="eastAsia" w:ascii="宋体" w:hAnsi="宋体" w:eastAsia="宋体" w:cs="宋体"/>
          <w:i/>
          <w:iCs/>
          <w:color w:val="000000" w:themeColor="text1"/>
          <w:sz w:val="24"/>
          <w:szCs w:val="24"/>
          <w:highlight w:val="none"/>
        </w:rPr>
        <w:t>注：以上金额为完成合同所需的一切本身和不可或缺的所有工作开支及合同包含的所有风险、责任等各项全部费用并承担一切风险责任。</w:t>
      </w:r>
    </w:p>
    <w:p w14:paraId="10BBB908">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二、合同金额</w:t>
      </w:r>
    </w:p>
    <w:p w14:paraId="085364BA">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本合同金额为（大写）：</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元整（￥</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元）人民币。</w:t>
      </w:r>
    </w:p>
    <w:p w14:paraId="3DD6B4A9">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合同价格包括所有设备、安装所需辅材以及设备的运输、安装、搬楼、调试、配合费等所有费用。</w:t>
      </w:r>
    </w:p>
    <w:p w14:paraId="3D2233FA">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三、技术资料</w:t>
      </w:r>
    </w:p>
    <w:p w14:paraId="3876C34C">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1、乙方应按招标文件规定的时间向甲方提供使用货物的有关技术资料。</w:t>
      </w:r>
    </w:p>
    <w:p w14:paraId="1642EB15">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2、没有甲方事先书面同意，乙方不得将由甲方提供的规格、样品或资料提供给与履行本合同无关的任何其他人。即使向履行本合同有关的人员提供，也应注意保密并限于履行合同的必需范围。</w:t>
      </w:r>
    </w:p>
    <w:p w14:paraId="2D6CFFA9">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四、知识产权</w:t>
      </w:r>
    </w:p>
    <w:p w14:paraId="49CED1CB">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乙方应保证所提供的货物或其任何一部分均不会侵犯任何第三方的知识产权。</w:t>
      </w:r>
    </w:p>
    <w:p w14:paraId="5DDFE1C5">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五、产权担保</w:t>
      </w:r>
    </w:p>
    <w:p w14:paraId="62D9DE5D">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乙方保证所交付的货物的所有权完全属于乙方且无任何抵押、查封等产权瑕疵。</w:t>
      </w:r>
    </w:p>
    <w:p w14:paraId="4088BF0D">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六、转包或分包</w:t>
      </w:r>
    </w:p>
    <w:p w14:paraId="640FD792">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1、本合同范围的货物，应由乙方直接供应，不得转让他人供应。</w:t>
      </w:r>
    </w:p>
    <w:p w14:paraId="5248F841">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2、除非得到甲方的书面同意，乙方不得将本合同范围的货物全部或部分分包给他人供应。</w:t>
      </w:r>
    </w:p>
    <w:p w14:paraId="61C85C60">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3、如有转让和未经甲方同意的分包行为，甲方有权解除合同并追究乙方的违约责任。</w:t>
      </w:r>
    </w:p>
    <w:p w14:paraId="0C823637">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七</w:t>
      </w:r>
      <w:r>
        <w:rPr>
          <w:rFonts w:hint="eastAsia" w:ascii="宋体" w:hAnsi="宋体" w:eastAsia="宋体" w:cs="宋体"/>
          <w:b/>
          <w:bCs/>
          <w:color w:val="000000" w:themeColor="text1"/>
          <w:sz w:val="24"/>
          <w:szCs w:val="24"/>
          <w:highlight w:val="none"/>
        </w:rPr>
        <w:t>、交货期、交货方式及交货地点</w:t>
      </w:r>
    </w:p>
    <w:p w14:paraId="689E1CB9">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1、交货期：</w:t>
      </w:r>
    </w:p>
    <w:p w14:paraId="1848D0AB">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2、交货方式：乙方免费送货上门并完成安装调试。</w:t>
      </w:r>
    </w:p>
    <w:p w14:paraId="769AFA02">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3、交货地点：</w:t>
      </w:r>
    </w:p>
    <w:p w14:paraId="2A7173E2">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八</w:t>
      </w:r>
      <w:r>
        <w:rPr>
          <w:rFonts w:hint="eastAsia" w:ascii="宋体" w:hAnsi="宋体" w:eastAsia="宋体" w:cs="宋体"/>
          <w:b/>
          <w:bCs/>
          <w:color w:val="000000" w:themeColor="text1"/>
          <w:sz w:val="24"/>
          <w:szCs w:val="24"/>
          <w:highlight w:val="none"/>
        </w:rPr>
        <w:t>、货款支付</w:t>
      </w:r>
    </w:p>
    <w:p w14:paraId="1156CC0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付款方式：合同生效以及具备实施条件后7个工作日内，甲方支付乙方合同总价的40%作为预付款；货物运送至现场检查后，甲方支付乙方合同总价的70%；设备安装、调试完毕，无重大问题发生，且各方面性能均达到合同要求后，甲方向乙方支付至合同总价的100%。</w:t>
      </w:r>
    </w:p>
    <w:p w14:paraId="591CC96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（注：货款发票乙方必须开具国家统一正式发票，否则货款不予支付。）</w:t>
      </w:r>
    </w:p>
    <w:p w14:paraId="0C39AE42">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九</w:t>
      </w:r>
      <w:r>
        <w:rPr>
          <w:rFonts w:hint="eastAsia" w:ascii="宋体" w:hAnsi="宋体" w:eastAsia="宋体" w:cs="宋体"/>
          <w:b/>
          <w:bCs/>
          <w:color w:val="000000" w:themeColor="text1"/>
          <w:sz w:val="24"/>
          <w:szCs w:val="24"/>
          <w:highlight w:val="none"/>
        </w:rPr>
        <w:t>、税费</w:t>
      </w:r>
    </w:p>
    <w:p w14:paraId="569A7F01">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本合同执行中相关的一切税费均由乙方负担。</w:t>
      </w:r>
    </w:p>
    <w:p w14:paraId="08CC16D6">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十、质量保证及售后服务</w:t>
      </w:r>
    </w:p>
    <w:p w14:paraId="4963C0E5">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（一）产品质量保证期</w:t>
      </w:r>
    </w:p>
    <w:p w14:paraId="2B7D56AC">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1、自交货验收合格之日起质保期的约定：</w:t>
      </w:r>
      <w:r>
        <w:rPr>
          <w:rFonts w:hint="eastAsia" w:ascii="宋体" w:hAnsi="宋体" w:eastAsia="宋体" w:cs="宋体"/>
          <w:color w:val="000000" w:themeColor="text1"/>
          <w:sz w:val="24"/>
          <w:szCs w:val="24"/>
          <w:highlight w:val="none"/>
          <w:lang w:val="en-US" w:eastAsia="zh-CN"/>
        </w:rPr>
        <w:t>项目整体质保</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年，底盘质保</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年，上装质保</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年</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在质保期内，如有质量问题，乙方应负责免费更换或维修（因甲方原因、人为原因或不可抗力造成的原因除外）。</w:t>
      </w:r>
    </w:p>
    <w:p w14:paraId="0B3E82D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2、投标产品属于国家规定“三包”范围的，其产品质量保证期不得低于“三包”规定。</w:t>
      </w:r>
    </w:p>
    <w:p w14:paraId="42B4B2C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的质量保证期承诺优于国家“三包”规定的，按</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实际承诺执行。</w:t>
      </w:r>
    </w:p>
    <w:p w14:paraId="080F8BB4">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4、投标产品由制造商（指产品生产制造商，或其负责销售、售后服务机构，以下同）负责标准售后服务的，应当在投标文件中予以明确说明,并附制造商售后服务承诺。</w:t>
      </w:r>
    </w:p>
    <w:p w14:paraId="25E4573F">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（二）售后服务内容</w:t>
      </w:r>
    </w:p>
    <w:p w14:paraId="67A919FC">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hAnsi="宋体" w:cs="宋体"/>
          <w:color w:val="000000" w:themeColor="text1"/>
          <w:sz w:val="24"/>
          <w:szCs w:val="24"/>
          <w:highlight w:val="none"/>
          <w:lang w:val="en-US" w:eastAsia="zh-CN"/>
        </w:rPr>
        <w:t>乙方</w:t>
      </w:r>
      <w:r>
        <w:rPr>
          <w:rFonts w:hint="eastAsia" w:ascii="宋体" w:hAnsi="宋体" w:eastAsia="宋体" w:cs="宋体"/>
          <w:color w:val="000000" w:themeColor="text1"/>
          <w:sz w:val="24"/>
          <w:szCs w:val="24"/>
          <w:highlight w:val="none"/>
        </w:rPr>
        <w:t>和制造商在质量保证期内应当为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提供以下技术支持和服务：</w:t>
      </w:r>
    </w:p>
    <w:p w14:paraId="502B4D9F">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（1）电话咨询</w:t>
      </w:r>
    </w:p>
    <w:p w14:paraId="13F1CB3F">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val="en-US" w:eastAsia="zh-CN"/>
        </w:rPr>
        <w:t>乙方</w:t>
      </w:r>
      <w:r>
        <w:rPr>
          <w:rFonts w:hint="eastAsia" w:ascii="宋体" w:hAnsi="宋体" w:eastAsia="宋体" w:cs="宋体"/>
          <w:color w:val="000000" w:themeColor="text1"/>
          <w:sz w:val="24"/>
          <w:szCs w:val="24"/>
          <w:highlight w:val="none"/>
        </w:rPr>
        <w:t>和制造商应当为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提供技术援助电话，解答</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在使用中遇到的问题，及时为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提出解决问题的建议。</w:t>
      </w:r>
    </w:p>
    <w:p w14:paraId="6B2E8CFE">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（2）现场响应</w:t>
      </w:r>
    </w:p>
    <w:p w14:paraId="3ED06C93">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质保期内出现的质量问题，</w:t>
      </w:r>
      <w:r>
        <w:rPr>
          <w:rFonts w:hint="eastAsia" w:hAnsi="宋体" w:cs="宋体"/>
          <w:b w:val="0"/>
          <w:bCs w:val="0"/>
          <w:color w:val="000000" w:themeColor="text1"/>
          <w:kern w:val="0"/>
          <w:sz w:val="24"/>
          <w:highlight w:val="none"/>
          <w:lang w:val="en-US" w:eastAsia="zh-CN" w:bidi="ar"/>
        </w:rPr>
        <w:t>乙方</w:t>
      </w:r>
      <w:r>
        <w:rPr>
          <w:rFonts w:hint="eastAsia" w:ascii="宋体" w:hAnsi="宋体" w:eastAsia="宋体" w:cs="宋体"/>
          <w:b w:val="0"/>
          <w:bCs w:val="0"/>
          <w:color w:val="000000" w:themeColor="text1"/>
          <w:kern w:val="0"/>
          <w:sz w:val="24"/>
          <w:highlight w:val="none"/>
          <w:lang w:bidi="ar"/>
        </w:rPr>
        <w:t>必须在接到</w:t>
      </w:r>
      <w:r>
        <w:rPr>
          <w:rFonts w:hint="eastAsia" w:hAnsi="宋体" w:cs="宋体"/>
          <w:b w:val="0"/>
          <w:bCs w:val="0"/>
          <w:color w:val="000000" w:themeColor="text1"/>
          <w:kern w:val="0"/>
          <w:sz w:val="24"/>
          <w:highlight w:val="none"/>
          <w:lang w:eastAsia="zh-CN" w:bidi="ar"/>
        </w:rPr>
        <w:t>甲方</w:t>
      </w:r>
      <w:r>
        <w:rPr>
          <w:rFonts w:hint="eastAsia" w:ascii="宋体" w:hAnsi="宋体" w:eastAsia="宋体" w:cs="宋体"/>
          <w:b w:val="0"/>
          <w:bCs w:val="0"/>
          <w:color w:val="000000" w:themeColor="text1"/>
          <w:kern w:val="0"/>
          <w:sz w:val="24"/>
          <w:highlight w:val="none"/>
          <w:lang w:bidi="ar"/>
        </w:rPr>
        <w:t>通知后2小时内响应，12小时内派人到现场解决问题，24小时内给出完整解决方案，48小时内解决问题</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如在48小时之内仍不能排除故障的，乙方应提供与原设备相同或不低于原设备档次的备用设备。故障排除后</w:t>
      </w:r>
      <w:r>
        <w:rPr>
          <w:rFonts w:hint="eastAsia" w:hAnsi="宋体" w:cs="宋体"/>
          <w:b w:val="0"/>
          <w:bCs w:val="0"/>
          <w:color w:val="000000" w:themeColor="text1"/>
          <w:kern w:val="0"/>
          <w:sz w:val="24"/>
          <w:highlight w:val="none"/>
          <w:lang w:eastAsia="zh-CN" w:bidi="ar"/>
        </w:rPr>
        <w:t>乙方</w:t>
      </w:r>
      <w:r>
        <w:rPr>
          <w:rFonts w:hint="eastAsia" w:ascii="宋体" w:hAnsi="宋体" w:eastAsia="宋体" w:cs="宋体"/>
          <w:b w:val="0"/>
          <w:bCs w:val="0"/>
          <w:color w:val="000000" w:themeColor="text1"/>
          <w:kern w:val="0"/>
          <w:sz w:val="24"/>
          <w:highlight w:val="none"/>
          <w:lang w:bidi="ar"/>
        </w:rPr>
        <w:t>应出具书面故障诊断报告备案。</w:t>
      </w:r>
    </w:p>
    <w:p w14:paraId="408C301C">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（3）技术升级</w:t>
      </w:r>
    </w:p>
    <w:p w14:paraId="6D78D52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在质保期内，如果</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和制造商的产品技术升级，</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应及时通知</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，如</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有相应要求，</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和制造商应对</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购买的产品进行升级服务。</w:t>
      </w:r>
    </w:p>
    <w:p w14:paraId="5EA8B0EF">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2、质保期外服务要求</w:t>
      </w:r>
    </w:p>
    <w:p w14:paraId="59B86B64">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（1）质量保证期过后，</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和制造商应同样提供免费电话咨询服务，并应承诺提供产品上门维护服务。</w:t>
      </w:r>
    </w:p>
    <w:p w14:paraId="628250C6">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（2）质量保证期过后，</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需要继续由原</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和制造商提供售后服务的，该</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和制造商应以优惠价格提供售后服务。</w:t>
      </w:r>
    </w:p>
    <w:p w14:paraId="6A77B0F1">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（三）备品备件及易损件</w:t>
      </w:r>
    </w:p>
    <w:p w14:paraId="3DA82199">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和制造商售后服务中，维修使用的备品备件及易损件应为原厂配件，未经</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同意不得使用非原厂配件，常用的、容易损坏的备品备件及易损件的价格清单须在投标文件中列出。</w:t>
      </w:r>
    </w:p>
    <w:p w14:paraId="574B8344">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bookmarkStart w:id="54" w:name="_Toc481507573"/>
      <w:bookmarkStart w:id="55" w:name="_Toc267320053"/>
      <w:bookmarkStart w:id="56" w:name="_Toc1998981"/>
      <w:r>
        <w:rPr>
          <w:rFonts w:hint="eastAsia" w:ascii="宋体" w:hAnsi="宋体" w:eastAsia="宋体" w:cs="宋体"/>
          <w:color w:val="000000" w:themeColor="text1"/>
          <w:sz w:val="24"/>
          <w:szCs w:val="24"/>
          <w:highlight w:val="none"/>
        </w:rPr>
        <w:t>3、培训</w:t>
      </w:r>
      <w:bookmarkEnd w:id="54"/>
      <w:bookmarkEnd w:id="55"/>
      <w:bookmarkEnd w:id="56"/>
    </w:p>
    <w:p w14:paraId="6C8E38E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对其提供产品的使用和操作应尽培训义务。</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应提供对</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的基本免费培训，使</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使用人员能够正常操作。</w:t>
      </w:r>
    </w:p>
    <w:p w14:paraId="7AF51EAA">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十一、</w:t>
      </w:r>
      <w:r>
        <w:rPr>
          <w:rFonts w:hint="eastAsia" w:ascii="宋体" w:hAnsi="宋体" w:eastAsia="宋体" w:cs="宋体"/>
          <w:b/>
          <w:bCs/>
          <w:color w:val="000000" w:themeColor="text1"/>
          <w:sz w:val="24"/>
          <w:szCs w:val="24"/>
          <w:highlight w:val="none"/>
        </w:rPr>
        <w:t>验收标准</w:t>
      </w:r>
    </w:p>
    <w:p w14:paraId="4F96CF4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组织进行验收，如果设备的质量和规格与合同不符，或在规定的质量保证期内证实设备具有缺陷的，包括潜在缺陷或使用不符合要求的材料，有权向</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提出索赔。经验收合格，</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须向</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提供整套设备质保书、说明书、保修证明等书面资料，并按国家制造和安装的标准要求检测验收。</w:t>
      </w:r>
    </w:p>
    <w:p w14:paraId="00AAB13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验收方法：1、</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自检：安装完毕后，要求</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自行对所有设备进行检验，检验结果必须符合验收标准的要求。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有权对设备组装前进行检验或测试，以确认所投产品的制造工艺、原材料、质量等是否符合招标文件和报价时提供的样式要求，但不能作为最终验收。</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应为</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检验和测试提供各种方便，并承担相应费用，如果检验或测试的产品不能满足采购要求，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可以拒绝接受，</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应更换被拒绝的货物，并承担给</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造成的经济损失。</w:t>
      </w:r>
    </w:p>
    <w:p w14:paraId="03A38B9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2、最终验收：</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按招标文件、投标文件、合同款以及国家及行业相关标准进行验收。设备应完全符合招标及投标要求，在此期间，如果发现质量有问题，或者与投标设备存在差异，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有权拒收并</w:t>
      </w:r>
      <w:r>
        <w:rPr>
          <w:rFonts w:hint="eastAsia" w:ascii="宋体" w:hAnsi="宋体" w:cs="宋体"/>
          <w:color w:val="000000" w:themeColor="text1"/>
          <w:kern w:val="2"/>
          <w:sz w:val="24"/>
          <w:szCs w:val="24"/>
          <w:highlight w:val="none"/>
          <w:lang w:val="en-US" w:eastAsia="zh-CN" w:bidi="ar-SA"/>
        </w:rPr>
        <w:t>要求乙方</w:t>
      </w:r>
      <w:r>
        <w:rPr>
          <w:rFonts w:hint="eastAsia" w:ascii="宋体" w:hAnsi="宋体" w:eastAsia="宋体" w:cs="宋体"/>
          <w:color w:val="000000" w:themeColor="text1"/>
          <w:kern w:val="2"/>
          <w:sz w:val="24"/>
          <w:szCs w:val="24"/>
          <w:highlight w:val="none"/>
          <w:lang w:val="en-US" w:eastAsia="zh-CN" w:bidi="ar-SA"/>
        </w:rPr>
        <w:t>承担全部责任及费用，并应无条件免费更换直至验收合格；</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保留邀请第三方检测机构或相关技术专家参与验收的权利。参与验收的第三方机构的意见作为验收书的参考资料一并存档。</w:t>
      </w:r>
    </w:p>
    <w:p w14:paraId="249166B7">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验收完毕由</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及</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在验收报告上签名。</w:t>
      </w:r>
    </w:p>
    <w:p w14:paraId="31BA03F8">
      <w:pPr>
        <w:keepNext w:val="0"/>
        <w:keepLines w:val="0"/>
        <w:pageBreakBefore w:val="0"/>
        <w:widowControl w:val="0"/>
        <w:numPr>
          <w:ilvl w:val="0"/>
          <w:numId w:val="5"/>
        </w:numPr>
        <w:kinsoku/>
        <w:wordWrap/>
        <w:overflowPunct/>
        <w:topLinePunct w:val="0"/>
        <w:autoSpaceDE/>
        <w:autoSpaceDN/>
        <w:bidi w:val="0"/>
        <w:spacing w:line="500" w:lineRule="exac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sz w:val="24"/>
          <w:szCs w:val="24"/>
          <w:highlight w:val="none"/>
        </w:rPr>
        <w:t>包装及运输要求</w:t>
      </w:r>
    </w:p>
    <w:p w14:paraId="0C2C929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eastAsia="zh-CN"/>
        </w:rPr>
        <w:t>、</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提供的货物必须具有可靠的安全保护、保险措施，以防止误操作或意外事故致使货物受损。产品包装应符合国家或专业（部）标准规定；随机的零部件、备品备件等散件应包装完好。</w:t>
      </w:r>
    </w:p>
    <w:p w14:paraId="7ADDE2E4">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由</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将货物直接免费送至采购方指定的地点。如在运输、搬运、安装过程中造成货物损坏，</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有权不签收并由</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承担相应经济损失。</w:t>
      </w:r>
    </w:p>
    <w:p w14:paraId="5DB87B2F">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设备外观清洁，标记编号以及盘面显示等字体清晰，明确。铭牌、使用指示、警告指示应以中文或英文及易懂的通用符号来表示;应准确无误地表明设备之型号、规格、制造厂及生产或出厂日期。</w:t>
      </w:r>
    </w:p>
    <w:p w14:paraId="647BC58F">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w:t>
      </w:r>
      <w:r>
        <w:rPr>
          <w:rFonts w:hint="eastAsia" w:ascii="宋体" w:hAnsi="宋体" w:eastAsia="宋体" w:cs="宋体"/>
          <w:b/>
          <w:bCs/>
          <w:color w:val="000000" w:themeColor="text1"/>
          <w:sz w:val="24"/>
          <w:szCs w:val="24"/>
          <w:highlight w:val="none"/>
          <w:lang w:val="en-US" w:eastAsia="zh-CN"/>
        </w:rPr>
        <w:t>三</w:t>
      </w:r>
      <w:r>
        <w:rPr>
          <w:rFonts w:hint="eastAsia" w:ascii="宋体" w:hAnsi="宋体" w:eastAsia="宋体" w:cs="宋体"/>
          <w:b/>
          <w:bCs/>
          <w:color w:val="000000" w:themeColor="text1"/>
          <w:sz w:val="24"/>
          <w:szCs w:val="24"/>
          <w:highlight w:val="none"/>
        </w:rPr>
        <w:t>、违约责任</w:t>
      </w:r>
    </w:p>
    <w:p w14:paraId="48A28FB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、甲方无故逾期验收和办理货款支付手续的,甲方应按逾期付款总额每日万分之五向乙方支付违约金。</w:t>
      </w:r>
    </w:p>
    <w:p w14:paraId="26E84966">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AE496DD">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lang w:val="en-US" w:eastAsia="zh-CN"/>
        </w:rPr>
        <w:t>3</w:t>
      </w:r>
      <w:r>
        <w:rPr>
          <w:rFonts w:hint="eastAsia" w:hAnsi="宋体" w:cs="宋体"/>
          <w:color w:val="000000" w:themeColor="text1"/>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hAnsi="宋体" w:cs="宋体"/>
          <w:color w:val="000000" w:themeColor="text1"/>
          <w:sz w:val="24"/>
          <w:szCs w:val="24"/>
          <w:highlight w:val="none"/>
          <w:lang w:eastAsia="zh-CN"/>
        </w:rPr>
        <w:t>，</w:t>
      </w:r>
      <w:r>
        <w:rPr>
          <w:rFonts w:hint="eastAsia" w:hAnsi="宋体" w:cs="宋体"/>
          <w:color w:val="000000" w:themeColor="text1"/>
          <w:sz w:val="24"/>
          <w:szCs w:val="24"/>
          <w:highlight w:val="none"/>
          <w:lang w:val="en-US" w:eastAsia="zh-CN"/>
        </w:rPr>
        <w:t>并承担给甲方造成的经济损失</w:t>
      </w:r>
      <w:r>
        <w:rPr>
          <w:rFonts w:hint="eastAsia" w:hAnsi="宋体" w:cs="宋体"/>
          <w:color w:val="000000" w:themeColor="text1"/>
          <w:sz w:val="24"/>
          <w:szCs w:val="24"/>
          <w:highlight w:val="none"/>
        </w:rPr>
        <w:t>。</w:t>
      </w:r>
    </w:p>
    <w:p w14:paraId="65422B5A">
      <w:pPr>
        <w:pStyle w:val="12"/>
        <w:keepNext w:val="0"/>
        <w:keepLines w:val="0"/>
        <w:pageBreakBefore w:val="0"/>
        <w:widowControl w:val="0"/>
        <w:tabs>
          <w:tab w:val="right" w:pos="9637"/>
        </w:tabs>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w:t>
      </w:r>
      <w:r>
        <w:rPr>
          <w:rFonts w:hint="eastAsia" w:ascii="宋体" w:hAnsi="宋体" w:eastAsia="宋体" w:cs="宋体"/>
          <w:b/>
          <w:bCs/>
          <w:color w:val="000000" w:themeColor="text1"/>
          <w:sz w:val="24"/>
          <w:szCs w:val="24"/>
          <w:highlight w:val="none"/>
          <w:lang w:val="en-US" w:eastAsia="zh-CN"/>
        </w:rPr>
        <w:t>四</w:t>
      </w:r>
      <w:r>
        <w:rPr>
          <w:rFonts w:hint="eastAsia" w:ascii="宋体" w:hAnsi="宋体" w:eastAsia="宋体" w:cs="宋体"/>
          <w:b/>
          <w:bCs/>
          <w:color w:val="000000" w:themeColor="text1"/>
          <w:sz w:val="24"/>
          <w:szCs w:val="24"/>
          <w:highlight w:val="none"/>
        </w:rPr>
        <w:t>、不可抗力事件处理</w:t>
      </w:r>
      <w:r>
        <w:rPr>
          <w:rFonts w:hint="eastAsia" w:ascii="宋体" w:hAnsi="宋体" w:eastAsia="宋体" w:cs="宋体"/>
          <w:b/>
          <w:bCs/>
          <w:color w:val="000000" w:themeColor="text1"/>
          <w:sz w:val="24"/>
          <w:szCs w:val="24"/>
          <w:highlight w:val="none"/>
        </w:rPr>
        <w:tab/>
      </w:r>
    </w:p>
    <w:p w14:paraId="055106AA">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1、在合同有效期内，任何一方因不可抗力事件导致不能履行合同，则合同履行期可延长，其延长期与不可抗力影响期相同。</w:t>
      </w:r>
    </w:p>
    <w:p w14:paraId="4FB0CAB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2、不可抗力事件发生后，应立即通知对方，并寄送有关权威机构出具的证明。</w:t>
      </w:r>
    </w:p>
    <w:p w14:paraId="2C5CC103">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3、不可抗力事件延续120天以上，双方应通过友好协商，确定是否继续履行合同。</w:t>
      </w:r>
    </w:p>
    <w:p w14:paraId="3B3A829D">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hAnsi="宋体" w:cs="宋体"/>
          <w:b/>
          <w:bCs/>
          <w:color w:val="000000" w:themeColor="text1"/>
          <w:sz w:val="24"/>
          <w:szCs w:val="24"/>
          <w:highlight w:val="none"/>
        </w:rPr>
      </w:pPr>
      <w:r>
        <w:rPr>
          <w:rFonts w:hint="eastAsia" w:hAnsi="宋体" w:cs="宋体"/>
          <w:b/>
          <w:bCs/>
          <w:color w:val="000000" w:themeColor="text1"/>
          <w:sz w:val="24"/>
          <w:szCs w:val="24"/>
          <w:highlight w:val="none"/>
        </w:rPr>
        <w:t>十</w:t>
      </w:r>
      <w:r>
        <w:rPr>
          <w:rFonts w:hint="eastAsia" w:hAnsi="宋体" w:cs="宋体"/>
          <w:b/>
          <w:bCs/>
          <w:color w:val="000000" w:themeColor="text1"/>
          <w:sz w:val="24"/>
          <w:szCs w:val="24"/>
          <w:highlight w:val="none"/>
          <w:lang w:val="en-US" w:eastAsia="zh-CN"/>
        </w:rPr>
        <w:t>五</w:t>
      </w:r>
      <w:r>
        <w:rPr>
          <w:rFonts w:hint="eastAsia" w:hAnsi="宋体" w:cs="宋体"/>
          <w:b/>
          <w:bCs/>
          <w:color w:val="000000" w:themeColor="text1"/>
          <w:sz w:val="24"/>
          <w:szCs w:val="24"/>
          <w:highlight w:val="none"/>
        </w:rPr>
        <w:t>、争议解决</w:t>
      </w:r>
    </w:p>
    <w:p w14:paraId="21ADF7C8">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本合同在履行过程中发生争议的，由双方协商解决，协商不成的</w:t>
      </w:r>
      <w:r>
        <w:rPr>
          <w:rFonts w:hint="eastAsia" w:ascii="宋体" w:hAnsi="宋体" w:eastAsia="宋体" w:cs="宋体"/>
          <w:color w:val="000000" w:themeColor="text1"/>
          <w:sz w:val="24"/>
          <w:szCs w:val="24"/>
          <w:highlight w:val="none"/>
          <w:lang w:val="en-US" w:eastAsia="zh-CN"/>
        </w:rPr>
        <w:t>双方</w:t>
      </w:r>
      <w:r>
        <w:rPr>
          <w:rFonts w:hint="eastAsia" w:ascii="宋体" w:hAnsi="宋体" w:eastAsia="宋体" w:cs="宋体"/>
          <w:color w:val="000000" w:themeColor="text1"/>
          <w:sz w:val="24"/>
          <w:szCs w:val="24"/>
          <w:highlight w:val="none"/>
        </w:rPr>
        <w:t>可</w:t>
      </w:r>
      <w:r>
        <w:rPr>
          <w:rFonts w:hint="eastAsia" w:ascii="宋体" w:hAnsi="宋体" w:eastAsia="宋体" w:cs="宋体"/>
          <w:color w:val="000000" w:themeColor="text1"/>
          <w:sz w:val="24"/>
          <w:szCs w:val="24"/>
          <w:highlight w:val="none"/>
          <w:lang w:val="en-US" w:eastAsia="zh-CN"/>
        </w:rPr>
        <w:t>选择以下第</w:t>
      </w:r>
      <w:r>
        <w:rPr>
          <w:rFonts w:hint="eastAsia" w:ascii="宋体" w:hAnsi="宋体" w:eastAsia="宋体" w:cs="宋体"/>
          <w:color w:val="000000" w:themeColor="text1"/>
          <w:sz w:val="24"/>
          <w:szCs w:val="24"/>
          <w:highlight w:val="none"/>
          <w:u w:val="single"/>
          <w:lang w:val="en-US" w:eastAsia="zh-CN"/>
        </w:rPr>
        <w:t xml:space="preserve"> 1 </w:t>
      </w:r>
      <w:r>
        <w:rPr>
          <w:rFonts w:hint="eastAsia" w:ascii="宋体" w:hAnsi="宋体" w:eastAsia="宋体" w:cs="宋体"/>
          <w:color w:val="000000" w:themeColor="text1"/>
          <w:sz w:val="24"/>
          <w:szCs w:val="24"/>
          <w:highlight w:val="none"/>
          <w:lang w:val="en-US" w:eastAsia="zh-CN"/>
        </w:rPr>
        <w:t>种方式</w:t>
      </w:r>
      <w:r>
        <w:rPr>
          <w:rFonts w:hint="eastAsia" w:ascii="宋体" w:hAnsi="宋体" w:eastAsia="宋体" w:cs="宋体"/>
          <w:color w:val="000000" w:themeColor="text1"/>
          <w:sz w:val="24"/>
          <w:szCs w:val="24"/>
          <w:highlight w:val="none"/>
        </w:rPr>
        <w:t>解决：</w:t>
      </w:r>
    </w:p>
    <w:p w14:paraId="723F64C7">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(1)向</w:t>
      </w:r>
      <w:r>
        <w:rPr>
          <w:rFonts w:hint="eastAsia" w:ascii="宋体" w:hAnsi="宋体" w:eastAsia="宋体" w:cs="宋体"/>
          <w:color w:val="000000" w:themeColor="text1"/>
          <w:sz w:val="24"/>
          <w:szCs w:val="24"/>
          <w:highlight w:val="none"/>
          <w:u w:val="single"/>
          <w:lang w:val="en-US" w:eastAsia="zh-CN"/>
        </w:rPr>
        <w:t xml:space="preserve"> 衢州 </w:t>
      </w:r>
      <w:r>
        <w:rPr>
          <w:rFonts w:hint="eastAsia" w:ascii="宋体" w:hAnsi="宋体" w:eastAsia="宋体" w:cs="宋体"/>
          <w:color w:val="000000" w:themeColor="text1"/>
          <w:sz w:val="24"/>
          <w:szCs w:val="24"/>
          <w:highlight w:val="none"/>
          <w:u w:val="none"/>
          <w:lang w:val="en-US" w:eastAsia="zh-CN"/>
        </w:rPr>
        <w:t>仲裁委员会申请</w:t>
      </w:r>
      <w:r>
        <w:rPr>
          <w:rFonts w:hint="eastAsia" w:ascii="宋体" w:hAnsi="宋体" w:eastAsia="宋体" w:cs="宋体"/>
          <w:color w:val="000000" w:themeColor="text1"/>
          <w:sz w:val="24"/>
          <w:szCs w:val="24"/>
          <w:highlight w:val="none"/>
        </w:rPr>
        <w:t>仲裁；</w:t>
      </w:r>
    </w:p>
    <w:p w14:paraId="692A66FB">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(2)向</w:t>
      </w:r>
      <w:r>
        <w:rPr>
          <w:rFonts w:hint="eastAsia" w:ascii="宋体" w:hAnsi="宋体" w:eastAsia="宋体" w:cs="宋体"/>
          <w:color w:val="000000" w:themeColor="text1"/>
          <w:sz w:val="24"/>
          <w:szCs w:val="24"/>
          <w:highlight w:val="none"/>
          <w:u w:val="single"/>
        </w:rPr>
        <w:t>甲方所在地</w:t>
      </w:r>
      <w:r>
        <w:rPr>
          <w:rFonts w:hint="eastAsia" w:ascii="宋体" w:hAnsi="宋体" w:eastAsia="宋体" w:cs="宋体"/>
          <w:color w:val="000000" w:themeColor="text1"/>
          <w:sz w:val="24"/>
          <w:szCs w:val="24"/>
          <w:highlight w:val="none"/>
        </w:rPr>
        <w:t>人民法院提起诉讼。</w:t>
      </w:r>
    </w:p>
    <w:p w14:paraId="2AF4D952">
      <w:pPr>
        <w:pStyle w:val="12"/>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hAnsi="宋体" w:cs="宋体"/>
          <w:b/>
          <w:bCs/>
          <w:color w:val="000000" w:themeColor="text1"/>
          <w:sz w:val="24"/>
          <w:szCs w:val="24"/>
          <w:highlight w:val="none"/>
        </w:rPr>
      </w:pPr>
      <w:r>
        <w:rPr>
          <w:rFonts w:hint="eastAsia" w:hAnsi="宋体" w:cs="宋体"/>
          <w:b/>
          <w:bCs/>
          <w:color w:val="000000" w:themeColor="text1"/>
          <w:sz w:val="24"/>
          <w:szCs w:val="24"/>
          <w:highlight w:val="none"/>
        </w:rPr>
        <w:t>十</w:t>
      </w:r>
      <w:r>
        <w:rPr>
          <w:rFonts w:hint="eastAsia" w:hAnsi="宋体" w:cs="宋体"/>
          <w:b/>
          <w:bCs/>
          <w:color w:val="000000" w:themeColor="text1"/>
          <w:sz w:val="24"/>
          <w:szCs w:val="24"/>
          <w:highlight w:val="none"/>
          <w:lang w:val="en-US" w:eastAsia="zh-CN"/>
        </w:rPr>
        <w:t>六</w:t>
      </w:r>
      <w:r>
        <w:rPr>
          <w:rFonts w:hint="eastAsia" w:hAnsi="宋体" w:cs="宋体"/>
          <w:b/>
          <w:bCs/>
          <w:color w:val="000000" w:themeColor="text1"/>
          <w:sz w:val="24"/>
          <w:szCs w:val="24"/>
          <w:highlight w:val="none"/>
        </w:rPr>
        <w:t>、</w:t>
      </w:r>
      <w:r>
        <w:rPr>
          <w:rFonts w:hint="eastAsia" w:hAnsi="宋体" w:cs="宋体"/>
          <w:b/>
          <w:bCs/>
          <w:color w:val="000000" w:themeColor="text1"/>
          <w:sz w:val="24"/>
          <w:szCs w:val="24"/>
          <w:highlight w:val="none"/>
          <w:lang w:val="en-US" w:eastAsia="zh-CN"/>
        </w:rPr>
        <w:t>合同生效及</w:t>
      </w:r>
      <w:r>
        <w:rPr>
          <w:rFonts w:hint="eastAsia" w:hAnsi="宋体" w:cs="宋体"/>
          <w:b/>
          <w:bCs/>
          <w:color w:val="000000" w:themeColor="text1"/>
          <w:sz w:val="24"/>
          <w:szCs w:val="24"/>
          <w:highlight w:val="none"/>
        </w:rPr>
        <w:t>其他</w:t>
      </w:r>
    </w:p>
    <w:p w14:paraId="77DB5643">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1、合同经双方法定代表人签字或盖章并加盖公章后生效。</w:t>
      </w:r>
    </w:p>
    <w:p w14:paraId="0A717373">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、未尽事宜由双方协商，协商达成一致的由双方另行签订补充协议。</w:t>
      </w:r>
    </w:p>
    <w:p w14:paraId="65EAFD25">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、合同一式捌份，甲方执肆份、乙方执肆份。</w:t>
      </w:r>
    </w:p>
    <w:p w14:paraId="6C24DAEB">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hAnsi="宋体" w:cs="宋体"/>
          <w:color w:val="000000" w:themeColor="text1"/>
          <w:sz w:val="24"/>
          <w:szCs w:val="24"/>
          <w:highlight w:val="none"/>
        </w:rPr>
      </w:pPr>
    </w:p>
    <w:p w14:paraId="6AB77964">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hAnsi="宋体" w:cs="宋体"/>
          <w:color w:val="000000" w:themeColor="text1"/>
          <w:sz w:val="24"/>
          <w:szCs w:val="24"/>
          <w:highlight w:val="none"/>
        </w:rPr>
      </w:pPr>
    </w:p>
    <w:p w14:paraId="5B41A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甲方：（</w:t>
      </w:r>
      <w:r>
        <w:rPr>
          <w:rFonts w:hint="eastAsia" w:ascii="宋体" w:hAnsi="宋体" w:eastAsia="宋体" w:cs="宋体"/>
          <w:color w:val="000000" w:themeColor="text1"/>
          <w:sz w:val="24"/>
          <w:szCs w:val="24"/>
          <w:highlight w:val="none"/>
          <w:lang w:val="en-US" w:eastAsia="zh-CN"/>
        </w:rPr>
        <w:t>公章</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 xml:space="preserve">    </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 xml:space="preserve">    </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乙方：（</w:t>
      </w:r>
      <w:r>
        <w:rPr>
          <w:rFonts w:hint="eastAsia" w:ascii="宋体" w:hAnsi="宋体" w:eastAsia="宋体" w:cs="宋体"/>
          <w:color w:val="000000" w:themeColor="text1"/>
          <w:sz w:val="24"/>
          <w:szCs w:val="24"/>
          <w:highlight w:val="none"/>
          <w:lang w:val="en-US" w:eastAsia="zh-CN"/>
        </w:rPr>
        <w:t>公章</w:t>
      </w:r>
      <w:r>
        <w:rPr>
          <w:rFonts w:hint="eastAsia" w:ascii="宋体" w:hAnsi="宋体" w:eastAsia="宋体" w:cs="宋体"/>
          <w:color w:val="000000" w:themeColor="text1"/>
          <w:sz w:val="24"/>
          <w:szCs w:val="24"/>
          <w:highlight w:val="none"/>
        </w:rPr>
        <w:t>）</w:t>
      </w:r>
    </w:p>
    <w:p w14:paraId="08C96C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法定代表人</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法定代表人</w:t>
      </w:r>
    </w:p>
    <w:p w14:paraId="39437419">
      <w:pPr>
        <w:keepNext w:val="0"/>
        <w:keepLines w:val="0"/>
        <w:pageBreakBefore w:val="0"/>
        <w:widowControl w:val="0"/>
        <w:kinsoku/>
        <w:wordWrap/>
        <w:overflowPunct/>
        <w:topLinePunct w:val="0"/>
        <w:autoSpaceDE/>
        <w:autoSpaceDN/>
        <w:bidi w:val="0"/>
        <w:adjustRightInd/>
        <w:snapToGrid/>
        <w:spacing w:after="192" w:afterLines="50"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或委托代理人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签名或盖章</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或委托代理人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签名或盖章</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w:t>
      </w:r>
    </w:p>
    <w:p w14:paraId="65DA21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地址</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地址</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p>
    <w:p w14:paraId="79CB1D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账号</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账号</w:t>
      </w:r>
      <w:r>
        <w:rPr>
          <w:rFonts w:hint="eastAsia" w:ascii="宋体" w:hAnsi="宋体" w:eastAsia="宋体" w:cs="宋体"/>
          <w:color w:val="000000" w:themeColor="text1"/>
          <w:sz w:val="24"/>
          <w:szCs w:val="24"/>
          <w:highlight w:val="none"/>
        </w:rPr>
        <w:t>：</w:t>
      </w:r>
    </w:p>
    <w:p w14:paraId="1EA8A7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 xml:space="preserve">税号：                                 税号：   </w:t>
      </w:r>
    </w:p>
    <w:p w14:paraId="664550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电话：                                 电话：</w:t>
      </w:r>
    </w:p>
    <w:p w14:paraId="401BB70E">
      <w:pPr>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br w:type="page"/>
      </w:r>
    </w:p>
    <w:p w14:paraId="3E11B94E">
      <w:pPr>
        <w:spacing w:line="276" w:lineRule="auto"/>
        <w:jc w:val="center"/>
        <w:outlineLvl w:val="0"/>
        <w:rPr>
          <w:rFonts w:ascii="宋体" w:hAnsi="宋体"/>
          <w:b/>
          <w:color w:val="000000" w:themeColor="text1"/>
          <w:sz w:val="32"/>
          <w:szCs w:val="21"/>
          <w:highlight w:val="none"/>
        </w:rPr>
      </w:pPr>
      <w:r>
        <w:rPr>
          <w:rFonts w:hint="eastAsia" w:ascii="宋体" w:hAnsi="宋体"/>
          <w:b/>
          <w:color w:val="000000" w:themeColor="text1"/>
          <w:sz w:val="32"/>
          <w:szCs w:val="21"/>
          <w:highlight w:val="none"/>
        </w:rPr>
        <w:t xml:space="preserve">第五部分 </w:t>
      </w:r>
      <w:bookmarkEnd w:id="52"/>
      <w:bookmarkEnd w:id="53"/>
      <w:r>
        <w:rPr>
          <w:rFonts w:hint="eastAsia" w:ascii="宋体" w:hAnsi="宋体"/>
          <w:b/>
          <w:color w:val="000000" w:themeColor="text1"/>
          <w:sz w:val="32"/>
          <w:szCs w:val="21"/>
          <w:highlight w:val="none"/>
        </w:rPr>
        <w:t>应提交的有关格式范例</w:t>
      </w:r>
    </w:p>
    <w:p w14:paraId="30F84C7D">
      <w:pPr>
        <w:snapToGrid w:val="0"/>
        <w:spacing w:line="500" w:lineRule="exact"/>
        <w:jc w:val="center"/>
        <w:outlineLvl w:val="0"/>
        <w:rPr>
          <w:rFonts w:ascii="宋体" w:hAnsi="宋体" w:cs="宋体"/>
          <w:b/>
          <w:color w:val="000000" w:themeColor="text1"/>
          <w:sz w:val="24"/>
          <w:szCs w:val="24"/>
          <w:highlight w:val="none"/>
        </w:rPr>
      </w:pPr>
      <w:bookmarkStart w:id="57" w:name="_Toc522530060"/>
      <w:bookmarkStart w:id="58" w:name="_Toc233618989"/>
      <w:r>
        <w:rPr>
          <w:rStyle w:val="30"/>
          <w:rFonts w:hint="eastAsia" w:eastAsia="宋体" w:cs="宋体"/>
          <w:color w:val="000000" w:themeColor="text1"/>
          <w:sz w:val="28"/>
          <w:szCs w:val="28"/>
          <w:highlight w:val="none"/>
        </w:rPr>
        <w:t>一、 投标文件封面</w:t>
      </w:r>
    </w:p>
    <w:p w14:paraId="76A074F4">
      <w:pPr>
        <w:ind w:left="2400" w:leftChars="857"/>
        <w:jc w:val="right"/>
        <w:rPr>
          <w:rFonts w:ascii="宋体" w:hAnsi="宋体" w:cs="宋体"/>
          <w:color w:val="000000" w:themeColor="text1"/>
          <w:sz w:val="24"/>
          <w:szCs w:val="24"/>
          <w:highlight w:val="none"/>
        </w:rPr>
      </w:pPr>
    </w:p>
    <w:p w14:paraId="4FED66DA">
      <w:pPr>
        <w:rPr>
          <w:rFonts w:ascii="宋体" w:hAnsi="宋体" w:cs="宋体"/>
          <w:color w:val="000000" w:themeColor="text1"/>
          <w:sz w:val="24"/>
          <w:szCs w:val="24"/>
          <w:highlight w:val="none"/>
        </w:rPr>
      </w:pPr>
    </w:p>
    <w:p w14:paraId="711A8B2F">
      <w:pPr>
        <w:spacing w:line="240" w:lineRule="auto"/>
        <w:jc w:val="center"/>
        <w:rPr>
          <w:rFonts w:hint="eastAsia" w:ascii="宋体" w:hAnsi="宋体"/>
          <w:b/>
          <w:bCs/>
          <w:color w:val="000000" w:themeColor="text1"/>
          <w:sz w:val="36"/>
          <w:szCs w:val="36"/>
          <w:highlight w:val="none"/>
          <w:u w:val="none"/>
          <w:lang w:val="en-US" w:eastAsia="zh-CN"/>
        </w:rPr>
      </w:pPr>
      <w:r>
        <w:rPr>
          <w:rFonts w:hint="eastAsia" w:ascii="宋体" w:hAnsi="宋体"/>
          <w:b/>
          <w:bCs/>
          <w:color w:val="000000" w:themeColor="text1"/>
          <w:sz w:val="36"/>
          <w:szCs w:val="36"/>
          <w:highlight w:val="none"/>
          <w:u w:val="none"/>
          <w:lang w:val="en-US" w:eastAsia="zh-CN"/>
        </w:rPr>
        <w:t>衢州国家高新技术产业开发区（高新片区）调蓄功能提升改造及排水管网建设工程-智造新城防涝减灾综合安全智能管控平台项目-25吨重型水罐排涝泵车采购</w:t>
      </w:r>
    </w:p>
    <w:p w14:paraId="4E9E6DE8">
      <w:pPr>
        <w:rPr>
          <w:rFonts w:ascii="宋体" w:hAnsi="宋体" w:cs="宋体"/>
          <w:color w:val="000000" w:themeColor="text1"/>
          <w:sz w:val="24"/>
          <w:szCs w:val="24"/>
          <w:highlight w:val="none"/>
        </w:rPr>
      </w:pPr>
    </w:p>
    <w:p w14:paraId="437CB0DF">
      <w:pPr>
        <w:rPr>
          <w:rFonts w:ascii="宋体" w:hAnsi="宋体" w:cs="宋体"/>
          <w:color w:val="000000" w:themeColor="text1"/>
          <w:sz w:val="24"/>
          <w:szCs w:val="24"/>
          <w:highlight w:val="none"/>
        </w:rPr>
      </w:pPr>
    </w:p>
    <w:p w14:paraId="18C98384">
      <w:pPr>
        <w:rPr>
          <w:rFonts w:ascii="宋体" w:hAnsi="宋体" w:cs="宋体"/>
          <w:color w:val="000000" w:themeColor="text1"/>
          <w:sz w:val="24"/>
          <w:szCs w:val="24"/>
          <w:highlight w:val="none"/>
        </w:rPr>
      </w:pPr>
    </w:p>
    <w:p w14:paraId="7A48E36E">
      <w:pPr>
        <w:rPr>
          <w:rFonts w:ascii="宋体" w:hAnsi="宋体" w:cs="宋体"/>
          <w:color w:val="000000" w:themeColor="text1"/>
          <w:sz w:val="24"/>
          <w:szCs w:val="24"/>
          <w:highlight w:val="none"/>
        </w:rPr>
      </w:pPr>
    </w:p>
    <w:p w14:paraId="52F30D11">
      <w:pPr>
        <w:rPr>
          <w:rFonts w:ascii="宋体" w:hAnsi="宋体" w:cs="宋体"/>
          <w:color w:val="000000" w:themeColor="text1"/>
          <w:sz w:val="24"/>
          <w:szCs w:val="24"/>
          <w:highlight w:val="none"/>
        </w:rPr>
      </w:pPr>
    </w:p>
    <w:p w14:paraId="0F63CC30">
      <w:pPr>
        <w:snapToGrid w:val="0"/>
        <w:spacing w:line="440" w:lineRule="exact"/>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资格审查文件</w:t>
      </w:r>
      <w:bookmarkStart w:id="59" w:name="_Toc357410801"/>
      <w:r>
        <w:rPr>
          <w:rFonts w:hint="eastAsia" w:ascii="宋体" w:hAnsi="宋体" w:cs="宋体"/>
          <w:color w:val="000000" w:themeColor="text1"/>
          <w:sz w:val="32"/>
          <w:szCs w:val="32"/>
          <w:highlight w:val="none"/>
        </w:rPr>
        <w:t>（或商务技术文件或报价文件）</w:t>
      </w:r>
      <w:bookmarkEnd w:id="59"/>
    </w:p>
    <w:p w14:paraId="0D71D633">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rPr>
      </w:pPr>
    </w:p>
    <w:p w14:paraId="5B92C11A">
      <w:pPr>
        <w:pStyle w:val="2"/>
        <w:rPr>
          <w:rFonts w:hint="eastAsia" w:ascii="宋体" w:hAnsi="宋体" w:eastAsia="宋体" w:cs="宋体"/>
          <w:b/>
          <w:i w:val="0"/>
          <w:iCs w:val="0"/>
          <w:caps w:val="0"/>
          <w:color w:val="000000"/>
          <w:spacing w:val="0"/>
          <w:sz w:val="32"/>
          <w:szCs w:val="32"/>
          <w:highlight w:val="none"/>
        </w:rPr>
      </w:pPr>
    </w:p>
    <w:p w14:paraId="2B983033">
      <w:pPr>
        <w:pStyle w:val="2"/>
        <w:rPr>
          <w:rFonts w:hint="eastAsia" w:ascii="宋体" w:hAnsi="宋体" w:eastAsia="宋体" w:cs="宋体"/>
          <w:b/>
          <w:i w:val="0"/>
          <w:iCs w:val="0"/>
          <w:caps w:val="0"/>
          <w:color w:val="000000"/>
          <w:spacing w:val="0"/>
          <w:sz w:val="32"/>
          <w:szCs w:val="32"/>
          <w:highlight w:val="none"/>
        </w:rPr>
      </w:pPr>
    </w:p>
    <w:p w14:paraId="3C756AF5">
      <w:pPr>
        <w:pStyle w:val="2"/>
        <w:rPr>
          <w:rFonts w:hint="eastAsia" w:ascii="宋体" w:hAnsi="宋体" w:eastAsia="宋体" w:cs="宋体"/>
          <w:b/>
          <w:i w:val="0"/>
          <w:iCs w:val="0"/>
          <w:caps w:val="0"/>
          <w:color w:val="000000"/>
          <w:spacing w:val="0"/>
          <w:sz w:val="32"/>
          <w:szCs w:val="32"/>
          <w:highlight w:val="none"/>
        </w:rPr>
      </w:pPr>
    </w:p>
    <w:p w14:paraId="00DBFA53">
      <w:pPr>
        <w:pStyle w:val="2"/>
      </w:pPr>
    </w:p>
    <w:p w14:paraId="7AA29CA6">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u w:val="single"/>
        </w:rPr>
      </w:pPr>
      <w:bookmarkStart w:id="60" w:name="_Toc357410802"/>
      <w:r>
        <w:rPr>
          <w:rFonts w:hint="eastAsia" w:ascii="宋体" w:hAnsi="宋体" w:eastAsia="宋体" w:cs="宋体"/>
          <w:b/>
          <w:i w:val="0"/>
          <w:iCs w:val="0"/>
          <w:caps w:val="0"/>
          <w:color w:val="000000"/>
          <w:spacing w:val="0"/>
          <w:sz w:val="32"/>
          <w:szCs w:val="32"/>
          <w:highlight w:val="none"/>
        </w:rPr>
        <w:t>项目名称：</w:t>
      </w:r>
      <w:bookmarkEnd w:id="60"/>
      <w:r>
        <w:rPr>
          <w:rFonts w:hint="eastAsia" w:ascii="宋体" w:hAnsi="宋体" w:eastAsia="宋体" w:cs="宋体"/>
          <w:b/>
          <w:i w:val="0"/>
          <w:iCs w:val="0"/>
          <w:caps w:val="0"/>
          <w:color w:val="000000"/>
          <w:spacing w:val="0"/>
          <w:sz w:val="32"/>
          <w:szCs w:val="32"/>
          <w:highlight w:val="none"/>
          <w:u w:val="single"/>
        </w:rPr>
        <w:t xml:space="preserve">                                      </w:t>
      </w:r>
      <w:bookmarkStart w:id="61" w:name="_Toc357410803"/>
    </w:p>
    <w:bookmarkEnd w:id="61"/>
    <w:p w14:paraId="5E0E7ED2">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u w:val="single"/>
        </w:rPr>
      </w:pPr>
      <w:bookmarkStart w:id="62" w:name="_Toc357410804"/>
      <w:r>
        <w:rPr>
          <w:rFonts w:hint="eastAsia" w:ascii="宋体" w:hAnsi="宋体" w:eastAsia="宋体" w:cs="宋体"/>
          <w:b/>
          <w:i w:val="0"/>
          <w:iCs w:val="0"/>
          <w:caps w:val="0"/>
          <w:color w:val="000000"/>
          <w:spacing w:val="0"/>
          <w:sz w:val="32"/>
          <w:szCs w:val="32"/>
          <w:highlight w:val="none"/>
        </w:rPr>
        <w:t>投 标 人：</w:t>
      </w:r>
      <w:r>
        <w:rPr>
          <w:rFonts w:hint="eastAsia" w:ascii="宋体" w:hAnsi="宋体" w:eastAsia="宋体" w:cs="宋体"/>
          <w:b/>
          <w:i w:val="0"/>
          <w:iCs w:val="0"/>
          <w:caps w:val="0"/>
          <w:color w:val="000000"/>
          <w:spacing w:val="0"/>
          <w:sz w:val="32"/>
          <w:szCs w:val="32"/>
          <w:highlight w:val="none"/>
          <w:u w:val="single"/>
        </w:rPr>
        <w:t xml:space="preserve">                              （盖章）</w:t>
      </w:r>
      <w:bookmarkEnd w:id="62"/>
    </w:p>
    <w:p w14:paraId="3B52D22F">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u w:val="single"/>
        </w:rPr>
      </w:pPr>
      <w:r>
        <w:rPr>
          <w:rFonts w:hint="eastAsia" w:ascii="宋体" w:hAnsi="宋体" w:eastAsia="宋体" w:cs="宋体"/>
          <w:b/>
          <w:i w:val="0"/>
          <w:iCs w:val="0"/>
          <w:caps w:val="0"/>
          <w:color w:val="000000"/>
          <w:spacing w:val="0"/>
          <w:sz w:val="32"/>
          <w:szCs w:val="32"/>
          <w:highlight w:val="none"/>
        </w:rPr>
        <w:t>法定代表人：</w:t>
      </w:r>
      <w:r>
        <w:rPr>
          <w:rFonts w:hint="eastAsia" w:ascii="宋体" w:hAnsi="宋体" w:eastAsia="宋体" w:cs="宋体"/>
          <w:b/>
          <w:i w:val="0"/>
          <w:iCs w:val="0"/>
          <w:caps w:val="0"/>
          <w:color w:val="000000"/>
          <w:spacing w:val="0"/>
          <w:sz w:val="32"/>
          <w:szCs w:val="32"/>
          <w:highlight w:val="none"/>
          <w:u w:val="single"/>
        </w:rPr>
        <w:t xml:space="preserve">                      （签字或盖章）</w:t>
      </w:r>
    </w:p>
    <w:p w14:paraId="45FC7E84">
      <w:pPr>
        <w:pStyle w:val="9"/>
        <w:ind w:left="1120" w:hanging="560"/>
        <w:rPr>
          <w:rFonts w:ascii="宋体" w:hAnsi="宋体" w:cs="宋体"/>
          <w:color w:val="000000" w:themeColor="text1"/>
          <w:sz w:val="28"/>
          <w:szCs w:val="28"/>
          <w:highlight w:val="none"/>
          <w:u w:val="single"/>
        </w:rPr>
      </w:pPr>
    </w:p>
    <w:p w14:paraId="668D4EF4">
      <w:pPr>
        <w:pStyle w:val="9"/>
        <w:ind w:left="1120" w:hanging="560"/>
        <w:rPr>
          <w:rFonts w:ascii="宋体" w:hAnsi="宋体" w:cs="宋体"/>
          <w:color w:val="000000" w:themeColor="text1"/>
          <w:sz w:val="28"/>
          <w:szCs w:val="28"/>
          <w:highlight w:val="none"/>
          <w:u w:val="single"/>
        </w:rPr>
      </w:pPr>
    </w:p>
    <w:p w14:paraId="428C1994">
      <w:pPr>
        <w:pStyle w:val="9"/>
        <w:ind w:left="1120" w:hanging="560"/>
        <w:jc w:val="center"/>
        <w:rPr>
          <w:rFonts w:ascii="宋体" w:hAnsi="宋体" w:cs="宋体"/>
          <w:color w:val="000000" w:themeColor="text1"/>
          <w:sz w:val="28"/>
          <w:szCs w:val="28"/>
          <w:highlight w:val="none"/>
          <w:u w:val="single"/>
        </w:rPr>
      </w:pPr>
    </w:p>
    <w:p w14:paraId="4F8170A5">
      <w:pPr>
        <w:snapToGrid w:val="0"/>
        <w:spacing w:line="800" w:lineRule="exact"/>
        <w:jc w:val="center"/>
        <w:rPr>
          <w:rFonts w:ascii="宋体" w:hAnsi="宋体" w:cs="宋体"/>
          <w:b/>
          <w:bCs/>
          <w:color w:val="000000" w:themeColor="text1"/>
          <w:szCs w:val="28"/>
          <w:highlight w:val="none"/>
        </w:rPr>
      </w:pPr>
      <w:bookmarkStart w:id="63" w:name="_Toc357410805"/>
      <w:r>
        <w:rPr>
          <w:rFonts w:hint="eastAsia" w:ascii="宋体" w:hAnsi="宋体" w:cs="宋体"/>
          <w:b/>
          <w:bCs/>
          <w:color w:val="000000" w:themeColor="text1"/>
          <w:szCs w:val="28"/>
          <w:highlight w:val="none"/>
        </w:rPr>
        <w:t>日期：  年  月  日</w:t>
      </w:r>
      <w:bookmarkEnd w:id="63"/>
    </w:p>
    <w:p w14:paraId="14186C62">
      <w:pPr>
        <w:rPr>
          <w:rFonts w:ascii="宋体" w:hAnsi="宋体"/>
          <w:b/>
          <w:color w:val="000000" w:themeColor="text1"/>
          <w:szCs w:val="22"/>
          <w:highlight w:val="none"/>
        </w:rPr>
      </w:pPr>
    </w:p>
    <w:p w14:paraId="37140A46">
      <w:pPr>
        <w:pStyle w:val="31"/>
        <w:rPr>
          <w:color w:val="000000" w:themeColor="text1"/>
          <w:highlight w:val="none"/>
        </w:rPr>
      </w:pPr>
    </w:p>
    <w:p w14:paraId="34585058">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7275D2E9">
      <w:pPr>
        <w:spacing w:line="440" w:lineRule="exact"/>
        <w:jc w:val="center"/>
        <w:rPr>
          <w:rFonts w:ascii="宋体" w:hAnsi="宋体" w:cs="宋体"/>
          <w:b/>
          <w:color w:val="000000" w:themeColor="text1"/>
          <w:szCs w:val="28"/>
          <w:highlight w:val="none"/>
        </w:rPr>
      </w:pPr>
      <w:r>
        <w:rPr>
          <w:rFonts w:hint="eastAsia" w:ascii="宋体" w:hAnsi="宋体" w:cs="宋体"/>
          <w:b/>
          <w:color w:val="000000" w:themeColor="text1"/>
          <w:szCs w:val="28"/>
          <w:highlight w:val="none"/>
          <w:lang w:val="en-US" w:eastAsia="zh-CN"/>
        </w:rPr>
        <w:t>二</w:t>
      </w:r>
      <w:r>
        <w:rPr>
          <w:rFonts w:hint="eastAsia" w:ascii="宋体" w:hAnsi="宋体" w:cs="宋体"/>
          <w:b/>
          <w:color w:val="000000" w:themeColor="text1"/>
          <w:szCs w:val="28"/>
          <w:highlight w:val="none"/>
        </w:rPr>
        <w:t>、法定代表人身份证明</w:t>
      </w:r>
    </w:p>
    <w:p w14:paraId="4A0060DF">
      <w:pPr>
        <w:spacing w:line="440" w:lineRule="exact"/>
        <w:ind w:firstLine="480" w:firstLineChars="200"/>
        <w:rPr>
          <w:rFonts w:ascii="宋体" w:hAnsi="宋体" w:cs="宋体"/>
          <w:color w:val="000000" w:themeColor="text1"/>
          <w:sz w:val="24"/>
          <w:szCs w:val="24"/>
          <w:highlight w:val="none"/>
        </w:rPr>
      </w:pPr>
    </w:p>
    <w:p w14:paraId="607D3500">
      <w:pPr>
        <w:pStyle w:val="12"/>
        <w:snapToGrid w:val="0"/>
        <w:spacing w:line="440" w:lineRule="exact"/>
        <w:ind w:firstLine="600" w:firstLineChars="250"/>
        <w:rPr>
          <w:rFonts w:hAnsi="宋体" w:cs="宋体"/>
          <w:color w:val="000000" w:themeColor="text1"/>
          <w:sz w:val="24"/>
          <w:szCs w:val="24"/>
          <w:highlight w:val="none"/>
        </w:rPr>
      </w:pPr>
    </w:p>
    <w:p w14:paraId="37DF983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投标人全称：</w:t>
      </w:r>
    </w:p>
    <w:p w14:paraId="0AF8089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单位性质：</w:t>
      </w:r>
    </w:p>
    <w:p w14:paraId="214C5CBF">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地址：</w:t>
      </w:r>
    </w:p>
    <w:p w14:paraId="2ED28C5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成立时间：  年  月   日</w:t>
      </w:r>
    </w:p>
    <w:p w14:paraId="769E8BA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经营期限：</w:t>
      </w:r>
    </w:p>
    <w:p w14:paraId="54125F8E">
      <w:pPr>
        <w:pStyle w:val="12"/>
        <w:snapToGrid w:val="0"/>
        <w:spacing w:line="440" w:lineRule="exact"/>
        <w:ind w:firstLine="600" w:firstLineChars="250"/>
        <w:rPr>
          <w:rFonts w:hAnsi="宋体" w:cs="宋体"/>
          <w:color w:val="000000" w:themeColor="text1"/>
          <w:sz w:val="24"/>
          <w:szCs w:val="24"/>
          <w:highlight w:val="none"/>
          <w:u w:val="single"/>
        </w:rPr>
      </w:pPr>
      <w:r>
        <w:rPr>
          <w:rFonts w:hint="eastAsia" w:hAnsi="宋体" w:cs="宋体"/>
          <w:color w:val="000000" w:themeColor="text1"/>
          <w:sz w:val="24"/>
          <w:szCs w:val="24"/>
          <w:highlight w:val="none"/>
        </w:rPr>
        <w:t>姓名：    性别：    年龄：   职务：</w:t>
      </w:r>
    </w:p>
    <w:p w14:paraId="74108A82">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系 （投标人全称）的法定代表人。</w:t>
      </w:r>
    </w:p>
    <w:p w14:paraId="22557A58">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特此证明。</w:t>
      </w:r>
    </w:p>
    <w:p w14:paraId="0BA8F8E6">
      <w:pPr>
        <w:spacing w:line="440" w:lineRule="exact"/>
        <w:ind w:firstLine="480" w:firstLineChars="200"/>
        <w:rPr>
          <w:rFonts w:ascii="宋体" w:hAnsi="宋体" w:cs="宋体"/>
          <w:color w:val="000000" w:themeColor="text1"/>
          <w:sz w:val="24"/>
          <w:szCs w:val="24"/>
          <w:highlight w:val="none"/>
        </w:rPr>
      </w:pPr>
    </w:p>
    <w:p w14:paraId="15BFA56F">
      <w:pPr>
        <w:spacing w:line="440" w:lineRule="exact"/>
        <w:ind w:firstLine="480" w:firstLineChars="200"/>
        <w:rPr>
          <w:rFonts w:ascii="宋体" w:hAnsi="宋体" w:cs="宋体"/>
          <w:color w:val="000000" w:themeColor="text1"/>
          <w:sz w:val="24"/>
          <w:szCs w:val="24"/>
          <w:highlight w:val="none"/>
        </w:rPr>
      </w:pPr>
    </w:p>
    <w:p w14:paraId="517F3224">
      <w:pPr>
        <w:spacing w:line="440" w:lineRule="exact"/>
        <w:ind w:firstLine="480" w:firstLineChars="200"/>
        <w:rPr>
          <w:rFonts w:ascii="宋体" w:hAnsi="宋体" w:cs="宋体"/>
          <w:color w:val="000000" w:themeColor="text1"/>
          <w:sz w:val="24"/>
          <w:szCs w:val="24"/>
          <w:highlight w:val="none"/>
        </w:rPr>
      </w:pPr>
    </w:p>
    <w:p w14:paraId="547EA748">
      <w:pPr>
        <w:spacing w:line="440" w:lineRule="exact"/>
        <w:rPr>
          <w:rFonts w:ascii="宋体" w:hAnsi="宋体" w:cs="宋体"/>
          <w:color w:val="000000" w:themeColor="text1"/>
          <w:sz w:val="24"/>
          <w:szCs w:val="24"/>
          <w:highlight w:val="none"/>
        </w:rPr>
      </w:pPr>
    </w:p>
    <w:p w14:paraId="087F23BB">
      <w:pPr>
        <w:spacing w:line="440" w:lineRule="exact"/>
        <w:ind w:firstLine="2955"/>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 xml:space="preserve">    投标人全称：  </w:t>
      </w:r>
      <w:r>
        <w:rPr>
          <w:rFonts w:hint="eastAsia" w:ascii="宋体" w:hAnsi="宋体" w:cs="宋体"/>
          <w:color w:val="000000" w:themeColor="text1"/>
          <w:sz w:val="24"/>
          <w:szCs w:val="24"/>
          <w:highlight w:val="none"/>
          <w:u w:val="single"/>
        </w:rPr>
        <w:t xml:space="preserve">（公章）         </w:t>
      </w:r>
    </w:p>
    <w:p w14:paraId="6555FE54">
      <w:pPr>
        <w:spacing w:line="440" w:lineRule="exact"/>
        <w:ind w:firstLine="5160" w:firstLineChars="215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年月日</w:t>
      </w:r>
    </w:p>
    <w:p w14:paraId="23147B06">
      <w:pPr>
        <w:spacing w:line="440" w:lineRule="exact"/>
        <w:ind w:firstLine="5160" w:firstLineChars="2150"/>
        <w:rPr>
          <w:rFonts w:ascii="宋体" w:hAnsi="宋体" w:cs="宋体"/>
          <w:color w:val="000000" w:themeColor="text1"/>
          <w:sz w:val="24"/>
          <w:szCs w:val="24"/>
          <w:highlight w:val="none"/>
        </w:rPr>
      </w:pPr>
    </w:p>
    <w:tbl>
      <w:tblPr>
        <w:tblStyle w:val="2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340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46EAE20B">
            <w:pPr>
              <w:adjustRightInd w:val="0"/>
              <w:snapToGrid w:val="0"/>
              <w:spacing w:line="360" w:lineRule="auto"/>
              <w:jc w:val="center"/>
              <w:rPr>
                <w:rFonts w:ascii="宋体" w:hAnsi="宋体"/>
                <w:color w:val="000000" w:themeColor="text1"/>
                <w:highlight w:val="none"/>
              </w:rPr>
            </w:pPr>
            <w:r>
              <w:rPr>
                <w:rFonts w:ascii="宋体" w:hAnsi="宋体"/>
                <w:color w:val="000000" w:themeColor="text1"/>
                <w:highlight w:val="none"/>
              </w:rPr>
              <w:t>法定代表人</w:t>
            </w:r>
            <w:r>
              <w:rPr>
                <w:rFonts w:hint="eastAsia" w:ascii="宋体" w:hAnsi="宋体"/>
                <w:color w:val="000000" w:themeColor="text1"/>
                <w:highlight w:val="none"/>
              </w:rPr>
              <w:t>身份证复印件粘贴处（正、反面）</w:t>
            </w:r>
          </w:p>
        </w:tc>
      </w:tr>
    </w:tbl>
    <w:p w14:paraId="34939F98">
      <w:pPr>
        <w:spacing w:line="440" w:lineRule="exact"/>
        <w:rPr>
          <w:rFonts w:ascii="宋体" w:hAnsi="宋体" w:cs="宋体"/>
          <w:color w:val="000000" w:themeColor="text1"/>
          <w:sz w:val="24"/>
          <w:szCs w:val="24"/>
          <w:highlight w:val="none"/>
        </w:rPr>
      </w:pPr>
    </w:p>
    <w:p w14:paraId="287E8422">
      <w:pPr>
        <w:spacing w:line="440" w:lineRule="exact"/>
        <w:jc w:val="center"/>
        <w:rPr>
          <w:rFonts w:ascii="宋体" w:hAnsi="宋体" w:cs="宋体"/>
          <w:b/>
          <w:color w:val="000000" w:themeColor="text1"/>
          <w:sz w:val="24"/>
          <w:szCs w:val="24"/>
          <w:highlight w:val="none"/>
        </w:rPr>
      </w:pPr>
    </w:p>
    <w:p w14:paraId="59F02DB1">
      <w:pPr>
        <w:spacing w:line="440" w:lineRule="exact"/>
        <w:rPr>
          <w:rFonts w:ascii="宋体" w:hAnsi="宋体" w:cs="宋体"/>
          <w:color w:val="000000" w:themeColor="text1"/>
          <w:sz w:val="24"/>
          <w:szCs w:val="24"/>
          <w:highlight w:val="none"/>
        </w:rPr>
      </w:pPr>
    </w:p>
    <w:p w14:paraId="0E072128">
      <w:pPr>
        <w:spacing w:line="440" w:lineRule="exact"/>
        <w:rPr>
          <w:rFonts w:ascii="宋体" w:hAnsi="宋体" w:cs="宋体"/>
          <w:color w:val="000000" w:themeColor="text1"/>
          <w:sz w:val="24"/>
          <w:szCs w:val="24"/>
          <w:highlight w:val="none"/>
        </w:rPr>
      </w:pPr>
    </w:p>
    <w:p w14:paraId="4B31048E">
      <w:pPr>
        <w:spacing w:line="440" w:lineRule="exact"/>
        <w:jc w:val="center"/>
        <w:rPr>
          <w:rFonts w:ascii="宋体" w:hAnsi="宋体" w:cs="宋体"/>
          <w:b/>
          <w:color w:val="000000" w:themeColor="text1"/>
          <w:sz w:val="24"/>
          <w:szCs w:val="24"/>
          <w:highlight w:val="none"/>
        </w:rPr>
      </w:pPr>
    </w:p>
    <w:p w14:paraId="11A42459">
      <w:pPr>
        <w:spacing w:line="440" w:lineRule="exact"/>
        <w:jc w:val="center"/>
        <w:outlineLvl w:val="1"/>
        <w:rPr>
          <w:rFonts w:ascii="宋体" w:hAnsi="宋体" w:cs="宋体"/>
          <w:b/>
          <w:color w:val="000000" w:themeColor="text1"/>
          <w:sz w:val="24"/>
          <w:szCs w:val="24"/>
          <w:highlight w:val="none"/>
        </w:rPr>
      </w:pPr>
      <w:bookmarkStart w:id="64" w:name="_Toc16321"/>
      <w:r>
        <w:rPr>
          <w:rFonts w:hint="eastAsia" w:ascii="宋体" w:hAnsi="宋体" w:cs="宋体"/>
          <w:b/>
          <w:color w:val="000000" w:themeColor="text1"/>
          <w:sz w:val="24"/>
          <w:szCs w:val="24"/>
          <w:highlight w:val="none"/>
        </w:rPr>
        <w:t>法定代表人授权书</w:t>
      </w:r>
      <w:bookmarkEnd w:id="64"/>
    </w:p>
    <w:p w14:paraId="47604673">
      <w:pPr>
        <w:spacing w:line="440" w:lineRule="exact"/>
        <w:rPr>
          <w:rFonts w:ascii="宋体" w:hAnsi="宋体" w:cs="宋体"/>
          <w:color w:val="000000" w:themeColor="text1"/>
          <w:sz w:val="24"/>
          <w:szCs w:val="24"/>
          <w:highlight w:val="none"/>
        </w:rPr>
      </w:pPr>
    </w:p>
    <w:p w14:paraId="4DBB85D1">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eastAsia="zh-CN"/>
        </w:rPr>
        <w:t>衢州智造新城管理委员会</w:t>
      </w:r>
      <w:r>
        <w:rPr>
          <w:rFonts w:hint="eastAsia" w:ascii="宋体" w:hAnsi="宋体" w:cs="宋体"/>
          <w:color w:val="000000" w:themeColor="text1"/>
          <w:sz w:val="24"/>
          <w:szCs w:val="24"/>
          <w:highlight w:val="none"/>
        </w:rPr>
        <w:t>：</w:t>
      </w:r>
    </w:p>
    <w:p w14:paraId="213E96DE">
      <w:pPr>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eastAsia="zh-CN"/>
        </w:rPr>
        <w:t>浙江欣成工程咨询有限公司</w:t>
      </w:r>
      <w:r>
        <w:rPr>
          <w:rFonts w:hint="eastAsia" w:ascii="宋体" w:hAnsi="宋体" w:cs="宋体"/>
          <w:color w:val="000000" w:themeColor="text1"/>
          <w:sz w:val="24"/>
          <w:szCs w:val="24"/>
          <w:highlight w:val="none"/>
        </w:rPr>
        <w:t>：</w:t>
      </w:r>
    </w:p>
    <w:p w14:paraId="128B0D5A">
      <w:pPr>
        <w:spacing w:line="440" w:lineRule="exact"/>
        <w:rPr>
          <w:rFonts w:ascii="宋体" w:hAnsi="宋体" w:cs="宋体"/>
          <w:color w:val="000000" w:themeColor="text1"/>
          <w:sz w:val="24"/>
          <w:szCs w:val="24"/>
          <w:highlight w:val="none"/>
          <w:u w:val="single"/>
        </w:rPr>
      </w:pPr>
    </w:p>
    <w:p w14:paraId="71258A87">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（投标人全称）法定代表人授权（全权代表姓名）为全权代表，参加贵处组织的（项目名称、编号）的投标活动，全权代表我方处理投标活动中的一切事宜。由此产生的一切法律后果由我方承担。</w:t>
      </w:r>
    </w:p>
    <w:p w14:paraId="08BAE17A">
      <w:pPr>
        <w:spacing w:line="440" w:lineRule="exact"/>
        <w:ind w:firstLine="2955"/>
        <w:rPr>
          <w:rFonts w:ascii="宋体" w:hAnsi="宋体" w:cs="宋体"/>
          <w:color w:val="000000" w:themeColor="text1"/>
          <w:sz w:val="24"/>
          <w:szCs w:val="24"/>
          <w:highlight w:val="none"/>
        </w:rPr>
      </w:pPr>
    </w:p>
    <w:p w14:paraId="1AF1B7D7">
      <w:pPr>
        <w:spacing w:line="440" w:lineRule="exact"/>
        <w:ind w:firstLine="2955"/>
        <w:rPr>
          <w:rFonts w:ascii="宋体" w:hAnsi="宋体" w:cs="宋体"/>
          <w:color w:val="000000" w:themeColor="text1"/>
          <w:sz w:val="24"/>
          <w:szCs w:val="24"/>
          <w:highlight w:val="none"/>
        </w:rPr>
      </w:pPr>
    </w:p>
    <w:p w14:paraId="1482D343">
      <w:pPr>
        <w:spacing w:line="440" w:lineRule="exact"/>
        <w:ind w:firstLine="2955"/>
        <w:rPr>
          <w:rFonts w:ascii="宋体" w:hAnsi="宋体" w:cs="宋体"/>
          <w:color w:val="000000" w:themeColor="text1"/>
          <w:sz w:val="24"/>
          <w:szCs w:val="24"/>
          <w:highlight w:val="none"/>
        </w:rPr>
      </w:pPr>
    </w:p>
    <w:p w14:paraId="73B19280">
      <w:pPr>
        <w:autoSpaceDE w:val="0"/>
        <w:autoSpaceDN w:val="0"/>
        <w:adjustRightInd w:val="0"/>
        <w:spacing w:line="440" w:lineRule="exact"/>
        <w:ind w:firstLine="360" w:firstLineChars="150"/>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 xml:space="preserve">                                 投标人</w:t>
      </w:r>
      <w:r>
        <w:rPr>
          <w:rFonts w:hint="eastAsia" w:ascii="宋体" w:hAnsi="宋体" w:cs="宋体"/>
          <w:color w:val="000000" w:themeColor="text1"/>
          <w:kern w:val="0"/>
          <w:sz w:val="24"/>
          <w:szCs w:val="24"/>
          <w:highlight w:val="none"/>
        </w:rPr>
        <w:t>全称:</w:t>
      </w:r>
      <w:r>
        <w:rPr>
          <w:rFonts w:hint="eastAsia" w:ascii="宋体" w:hAnsi="宋体" w:cs="宋体"/>
          <w:color w:val="000000" w:themeColor="text1"/>
          <w:kern w:val="0"/>
          <w:sz w:val="24"/>
          <w:szCs w:val="24"/>
          <w:highlight w:val="none"/>
          <w:u w:val="single"/>
        </w:rPr>
        <w:t>（公章）</w:t>
      </w:r>
    </w:p>
    <w:p w14:paraId="45ADE9B5">
      <w:pPr>
        <w:autoSpaceDE w:val="0"/>
        <w:autoSpaceDN w:val="0"/>
        <w:adjustRightInd w:val="0"/>
        <w:spacing w:line="440" w:lineRule="exact"/>
        <w:ind w:firstLine="4320" w:firstLineChars="1800"/>
        <w:rPr>
          <w:rFonts w:ascii="宋体" w:hAnsi="宋体" w:cs="宋体"/>
          <w:color w:val="000000" w:themeColor="text1"/>
          <w:kern w:val="0"/>
          <w:sz w:val="24"/>
          <w:szCs w:val="24"/>
          <w:highlight w:val="none"/>
          <w:u w:val="single"/>
          <w:lang w:val="zh-CN"/>
        </w:rPr>
      </w:pPr>
      <w:r>
        <w:rPr>
          <w:rFonts w:hint="eastAsia" w:ascii="宋体" w:hAnsi="宋体" w:cs="宋体"/>
          <w:color w:val="000000" w:themeColor="text1"/>
          <w:kern w:val="0"/>
          <w:sz w:val="24"/>
          <w:szCs w:val="24"/>
          <w:highlight w:val="none"/>
        </w:rPr>
        <w:t>法定代表人</w:t>
      </w:r>
      <w:r>
        <w:rPr>
          <w:rFonts w:hint="eastAsia" w:ascii="宋体" w:hAnsi="宋体" w:cs="宋体"/>
          <w:color w:val="000000" w:themeColor="text1"/>
          <w:kern w:val="0"/>
          <w:sz w:val="24"/>
          <w:szCs w:val="24"/>
          <w:highlight w:val="none"/>
          <w:lang w:val="zh-CN"/>
        </w:rPr>
        <w:t>：</w:t>
      </w:r>
      <w:r>
        <w:rPr>
          <w:rFonts w:hint="eastAsia" w:ascii="宋体" w:hAnsi="宋体" w:cs="宋体"/>
          <w:color w:val="000000" w:themeColor="text1"/>
          <w:kern w:val="0"/>
          <w:sz w:val="24"/>
          <w:szCs w:val="24"/>
          <w:highlight w:val="none"/>
          <w:u w:val="single"/>
          <w:lang w:val="zh-CN"/>
        </w:rPr>
        <w:t xml:space="preserve">      （签字或盖章）    </w:t>
      </w:r>
    </w:p>
    <w:p w14:paraId="6E3F339A">
      <w:pPr>
        <w:autoSpaceDE w:val="0"/>
        <w:autoSpaceDN w:val="0"/>
        <w:adjustRightInd w:val="0"/>
        <w:spacing w:line="440" w:lineRule="exact"/>
        <w:jc w:val="center"/>
        <w:outlineLvl w:val="1"/>
        <w:rPr>
          <w:rFonts w:ascii="宋体" w:hAnsi="宋体" w:cs="宋体"/>
          <w:color w:val="000000" w:themeColor="text1"/>
          <w:kern w:val="0"/>
          <w:sz w:val="24"/>
          <w:szCs w:val="24"/>
          <w:highlight w:val="none"/>
          <w:lang w:val="zh-CN"/>
        </w:rPr>
      </w:pPr>
      <w:bookmarkStart w:id="65" w:name="_Toc6711"/>
      <w:r>
        <w:rPr>
          <w:rFonts w:hint="eastAsia" w:ascii="宋体" w:hAnsi="宋体" w:cs="宋体"/>
          <w:color w:val="000000" w:themeColor="text1"/>
          <w:kern w:val="0"/>
          <w:sz w:val="24"/>
          <w:szCs w:val="24"/>
          <w:highlight w:val="none"/>
          <w:lang w:val="zh-CN"/>
        </w:rPr>
        <w:t>日期：</w:t>
      </w:r>
      <w:bookmarkEnd w:id="65"/>
    </w:p>
    <w:p w14:paraId="4FF8F569">
      <w:pPr>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附：</w:t>
      </w:r>
    </w:p>
    <w:p w14:paraId="315CECE7">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授权代表姓名：</w:t>
      </w:r>
    </w:p>
    <w:p w14:paraId="1FB1E2B7">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职务：</w:t>
      </w:r>
    </w:p>
    <w:p w14:paraId="6B3D5174">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详细通讯地址：</w:t>
      </w:r>
    </w:p>
    <w:p w14:paraId="232A5364">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电话：</w:t>
      </w:r>
    </w:p>
    <w:p w14:paraId="034000BF">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传真：</w:t>
      </w:r>
    </w:p>
    <w:p w14:paraId="770D788C">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邮政编码:</w:t>
      </w:r>
    </w:p>
    <w:p w14:paraId="3F4E0E24">
      <w:pPr>
        <w:spacing w:line="440" w:lineRule="exact"/>
        <w:rPr>
          <w:rFonts w:ascii="宋体" w:hAnsi="宋体" w:cs="宋体"/>
          <w:b/>
          <w:color w:val="000000" w:themeColor="text1"/>
          <w:sz w:val="24"/>
          <w:szCs w:val="24"/>
          <w:highlight w:val="none"/>
        </w:rPr>
      </w:pPr>
    </w:p>
    <w:p w14:paraId="2D8FA119">
      <w:pPr>
        <w:spacing w:line="440" w:lineRule="exact"/>
        <w:rPr>
          <w:rFonts w:ascii="宋体" w:hAnsi="宋体" w:cs="宋体"/>
          <w:b/>
          <w:color w:val="000000" w:themeColor="text1"/>
          <w:sz w:val="24"/>
          <w:szCs w:val="24"/>
          <w:highlight w:val="none"/>
        </w:rPr>
      </w:pPr>
    </w:p>
    <w:tbl>
      <w:tblPr>
        <w:tblStyle w:val="2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AC0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6BDCE8A0">
            <w:pPr>
              <w:adjustRightInd w:val="0"/>
              <w:snapToGrid w:val="0"/>
              <w:spacing w:line="360" w:lineRule="auto"/>
              <w:jc w:val="center"/>
              <w:rPr>
                <w:rFonts w:ascii="宋体" w:hAnsi="宋体"/>
                <w:color w:val="000000" w:themeColor="text1"/>
                <w:highlight w:val="none"/>
              </w:rPr>
            </w:pPr>
            <w:r>
              <w:rPr>
                <w:rFonts w:hint="eastAsia" w:ascii="宋体" w:hAnsi="宋体"/>
                <w:color w:val="000000" w:themeColor="text1"/>
                <w:highlight w:val="none"/>
              </w:rPr>
              <w:t>授权代表身份证复印件粘贴处（正、反面）</w:t>
            </w:r>
          </w:p>
        </w:tc>
      </w:tr>
    </w:tbl>
    <w:p w14:paraId="2AC8331A">
      <w:pPr>
        <w:spacing w:line="440" w:lineRule="exact"/>
        <w:jc w:val="center"/>
        <w:rPr>
          <w:rFonts w:ascii="宋体" w:hAnsi="宋体" w:cs="宋体"/>
          <w:b/>
          <w:color w:val="000000" w:themeColor="text1"/>
          <w:szCs w:val="28"/>
          <w:highlight w:val="none"/>
        </w:rPr>
      </w:pPr>
      <w:r>
        <w:rPr>
          <w:rFonts w:hint="eastAsia" w:ascii="宋体" w:hAnsi="宋体" w:cs="宋体"/>
          <w:b/>
          <w:color w:val="000000" w:themeColor="text1"/>
          <w:szCs w:val="28"/>
          <w:highlight w:val="none"/>
          <w:lang w:val="en-US" w:eastAsia="zh-CN"/>
        </w:rPr>
        <w:t>三</w:t>
      </w:r>
      <w:r>
        <w:rPr>
          <w:rFonts w:hint="eastAsia" w:ascii="宋体" w:hAnsi="宋体" w:cs="宋体"/>
          <w:b/>
          <w:color w:val="000000" w:themeColor="text1"/>
          <w:szCs w:val="28"/>
          <w:highlight w:val="none"/>
        </w:rPr>
        <w:t>、具有履行合同所必需的专业服务（技术）能力的承诺函</w:t>
      </w:r>
    </w:p>
    <w:p w14:paraId="1D1144ED">
      <w:pPr>
        <w:pStyle w:val="3"/>
        <w:snapToGrid w:val="0"/>
        <w:spacing w:line="500" w:lineRule="exact"/>
        <w:rPr>
          <w:rFonts w:ascii="宋体" w:hAnsi="宋体" w:cs="宋体"/>
          <w:b w:val="0"/>
          <w:color w:val="000000" w:themeColor="text1"/>
          <w:sz w:val="24"/>
          <w:szCs w:val="24"/>
          <w:highlight w:val="none"/>
        </w:rPr>
      </w:pPr>
    </w:p>
    <w:p w14:paraId="793A598E">
      <w:pPr>
        <w:pStyle w:val="4"/>
        <w:snapToGrid w:val="0"/>
        <w:spacing w:line="500" w:lineRule="exact"/>
        <w:rPr>
          <w:rFonts w:ascii="宋体" w:hAnsi="宋体" w:eastAsia="宋体" w:cs="宋体"/>
          <w:b w:val="0"/>
          <w:color w:val="000000" w:themeColor="text1"/>
          <w:kern w:val="0"/>
          <w:sz w:val="24"/>
          <w:szCs w:val="24"/>
          <w:highlight w:val="none"/>
        </w:rPr>
      </w:pPr>
      <w:bookmarkStart w:id="66" w:name="_Toc12629"/>
      <w:r>
        <w:rPr>
          <w:rFonts w:hint="eastAsia" w:ascii="宋体" w:hAnsi="宋体" w:eastAsia="宋体" w:cs="宋体"/>
          <w:b w:val="0"/>
          <w:color w:val="000000" w:themeColor="text1"/>
          <w:kern w:val="0"/>
          <w:sz w:val="24"/>
          <w:szCs w:val="24"/>
          <w:highlight w:val="none"/>
          <w:u w:val="single"/>
          <w:lang w:eastAsia="zh-CN"/>
        </w:rPr>
        <w:t>衢州智造新城管理委员会</w:t>
      </w:r>
      <w:r>
        <w:rPr>
          <w:rFonts w:hint="eastAsia" w:ascii="宋体" w:hAnsi="宋体" w:eastAsia="宋体" w:cs="宋体"/>
          <w:b w:val="0"/>
          <w:color w:val="000000" w:themeColor="text1"/>
          <w:kern w:val="0"/>
          <w:sz w:val="24"/>
          <w:szCs w:val="24"/>
          <w:highlight w:val="none"/>
        </w:rPr>
        <w:t>：</w:t>
      </w:r>
      <w:bookmarkEnd w:id="66"/>
    </w:p>
    <w:p w14:paraId="3B078F40">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我方</w:t>
      </w:r>
      <w:r>
        <w:rPr>
          <w:rFonts w:hint="eastAsia" w:ascii="宋体" w:hAnsi="宋体" w:cs="宋体"/>
          <w:color w:val="000000" w:themeColor="text1"/>
          <w:kern w:val="0"/>
          <w:sz w:val="24"/>
          <w:szCs w:val="24"/>
          <w:highlight w:val="none"/>
          <w:u w:val="single"/>
        </w:rPr>
        <w:t xml:space="preserve"> （投标人）</w:t>
      </w:r>
      <w:r>
        <w:rPr>
          <w:rFonts w:hint="eastAsia" w:ascii="宋体" w:hAnsi="宋体" w:cs="宋体"/>
          <w:color w:val="000000" w:themeColor="text1"/>
          <w:kern w:val="0"/>
          <w:sz w:val="24"/>
          <w:szCs w:val="24"/>
          <w:highlight w:val="none"/>
        </w:rPr>
        <w:t>承诺具有履行合同所必需的专业服务（技术）能力的承诺函。如有虚假，招标人可取消我方任何资格（投标/中标/签订合同），我方对此无任何异议。</w:t>
      </w:r>
    </w:p>
    <w:p w14:paraId="02472D3D">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4E80A9B">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69EB9615">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188ACD55">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717A2571">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58D1E214">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386440FF">
      <w:pPr>
        <w:spacing w:line="360" w:lineRule="auto"/>
        <w:jc w:val="center"/>
        <w:rPr>
          <w:rFonts w:ascii="宋体" w:hAnsi="宋体" w:cs="宋体"/>
          <w:b/>
          <w:color w:val="000000" w:themeColor="text1"/>
          <w:kern w:val="36"/>
          <w:sz w:val="32"/>
          <w:szCs w:val="28"/>
          <w:highlight w:val="none"/>
        </w:rPr>
      </w:pPr>
    </w:p>
    <w:p w14:paraId="1922E69C">
      <w:pPr>
        <w:spacing w:line="360" w:lineRule="auto"/>
        <w:jc w:val="center"/>
        <w:rPr>
          <w:rFonts w:ascii="宋体" w:hAnsi="宋体" w:cs="宋体"/>
          <w:b/>
          <w:color w:val="000000" w:themeColor="text1"/>
          <w:kern w:val="36"/>
          <w:sz w:val="32"/>
          <w:szCs w:val="28"/>
          <w:highlight w:val="none"/>
        </w:rPr>
      </w:pPr>
    </w:p>
    <w:p w14:paraId="7F8602AF">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四</w:t>
      </w:r>
      <w:r>
        <w:rPr>
          <w:rFonts w:hint="eastAsia" w:ascii="宋体" w:hAnsi="宋体"/>
          <w:b/>
          <w:color w:val="000000" w:themeColor="text1"/>
          <w:kern w:val="0"/>
          <w:szCs w:val="28"/>
          <w:highlight w:val="none"/>
        </w:rPr>
        <w:t>、依法缴纳税收和社会保障资金的承诺函</w:t>
      </w:r>
    </w:p>
    <w:p w14:paraId="5271849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64235871">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我公司郑重声明，我公司严格依法缴纳税收和社会保障资金，本文件中所提供的相关材料均真实有效，不存在虚假、造假行为。如有违反，愿承担一切责任。</w:t>
      </w:r>
    </w:p>
    <w:p w14:paraId="15D5BD25">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FC88D80">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02A93C60">
      <w:pPr>
        <w:widowControl/>
        <w:snapToGrid w:val="0"/>
        <w:spacing w:line="500" w:lineRule="exact"/>
        <w:jc w:val="left"/>
        <w:rPr>
          <w:rFonts w:ascii="宋体" w:hAnsi="宋体" w:cs="宋体"/>
          <w:color w:val="000000" w:themeColor="text1"/>
          <w:kern w:val="0"/>
          <w:sz w:val="24"/>
          <w:szCs w:val="24"/>
          <w:highlight w:val="none"/>
        </w:rPr>
      </w:pPr>
    </w:p>
    <w:p w14:paraId="2CDF209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3914CDF0">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257DFE1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30126FDC">
      <w:pPr>
        <w:pStyle w:val="19"/>
        <w:ind w:firstLine="240"/>
        <w:rPr>
          <w:rFonts w:ascii="宋体" w:hAnsi="宋体" w:cs="宋体"/>
          <w:color w:val="000000" w:themeColor="text1"/>
          <w:kern w:val="0"/>
          <w:sz w:val="24"/>
          <w:szCs w:val="24"/>
          <w:highlight w:val="none"/>
        </w:rPr>
      </w:pPr>
    </w:p>
    <w:p w14:paraId="67FC8ED1">
      <w:pPr>
        <w:rPr>
          <w:rFonts w:ascii="宋体" w:hAnsi="宋体"/>
          <w:b/>
          <w:color w:val="000000" w:themeColor="text1"/>
          <w:szCs w:val="22"/>
          <w:highlight w:val="none"/>
        </w:rPr>
      </w:pPr>
    </w:p>
    <w:p w14:paraId="5563E440">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15547EC0">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五</w:t>
      </w:r>
      <w:r>
        <w:rPr>
          <w:rFonts w:hint="eastAsia" w:ascii="宋体" w:hAnsi="宋体"/>
          <w:b/>
          <w:color w:val="000000" w:themeColor="text1"/>
          <w:kern w:val="0"/>
          <w:szCs w:val="28"/>
          <w:highlight w:val="none"/>
        </w:rPr>
        <w:t>、没有重大违法记录承诺函</w:t>
      </w:r>
    </w:p>
    <w:p w14:paraId="31201FEE">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59356CC2">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我方</w:t>
      </w:r>
      <w:r>
        <w:rPr>
          <w:rFonts w:hint="eastAsia" w:ascii="宋体" w:hAnsi="宋体" w:cs="宋体"/>
          <w:color w:val="000000" w:themeColor="text1"/>
          <w:kern w:val="0"/>
          <w:sz w:val="24"/>
          <w:szCs w:val="24"/>
          <w:highlight w:val="none"/>
          <w:u w:val="single"/>
        </w:rPr>
        <w:t xml:space="preserve"> （投标人）</w:t>
      </w:r>
      <w:r>
        <w:rPr>
          <w:rFonts w:hint="eastAsia" w:ascii="宋体" w:hAnsi="宋体" w:cs="宋体"/>
          <w:color w:val="000000" w:themeColor="text1"/>
          <w:kern w:val="0"/>
          <w:sz w:val="24"/>
          <w:szCs w:val="24"/>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14:paraId="7B8DB1DB">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C2567BE">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2D12EA23">
      <w:pPr>
        <w:pStyle w:val="27"/>
        <w:ind w:firstLine="280"/>
        <w:rPr>
          <w:color w:val="000000" w:themeColor="text1"/>
          <w:highlight w:val="none"/>
        </w:rPr>
      </w:pPr>
    </w:p>
    <w:p w14:paraId="33AA827F">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397CCEC2">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35C2CDC">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569A4385">
      <w:pPr>
        <w:widowControl/>
        <w:snapToGrid w:val="0"/>
        <w:spacing w:line="500" w:lineRule="exact"/>
        <w:jc w:val="left"/>
        <w:rPr>
          <w:rFonts w:ascii="宋体" w:hAnsi="宋体" w:cs="宋体"/>
          <w:color w:val="000000" w:themeColor="text1"/>
          <w:kern w:val="0"/>
          <w:sz w:val="24"/>
          <w:szCs w:val="24"/>
          <w:highlight w:val="none"/>
        </w:rPr>
      </w:pPr>
    </w:p>
    <w:p w14:paraId="01E35762">
      <w:pPr>
        <w:pStyle w:val="27"/>
        <w:ind w:firstLine="280"/>
        <w:rPr>
          <w:color w:val="000000" w:themeColor="text1"/>
          <w:highlight w:val="none"/>
        </w:rPr>
      </w:pPr>
    </w:p>
    <w:p w14:paraId="553E677D">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六</w:t>
      </w:r>
      <w:r>
        <w:rPr>
          <w:rFonts w:hint="eastAsia" w:ascii="宋体" w:hAnsi="宋体"/>
          <w:b/>
          <w:color w:val="000000" w:themeColor="text1"/>
          <w:kern w:val="0"/>
          <w:szCs w:val="28"/>
          <w:highlight w:val="none"/>
        </w:rPr>
        <w:t>、与其他供应商无利害关系的声明函</w:t>
      </w:r>
    </w:p>
    <w:p w14:paraId="6A61A715">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5914B8CB">
      <w:pPr>
        <w:spacing w:line="500" w:lineRule="exact"/>
        <w:ind w:firstLine="480" w:firstLineChars="200"/>
        <w:rPr>
          <w:rFonts w:ascii="宋体" w:hAnsi="宋体" w:cs="Arial"/>
          <w:color w:val="000000" w:themeColor="text1"/>
          <w:kern w:val="0"/>
          <w:sz w:val="24"/>
          <w:szCs w:val="24"/>
          <w:highlight w:val="none"/>
        </w:rPr>
      </w:pPr>
      <w:r>
        <w:rPr>
          <w:rFonts w:hint="eastAsia" w:ascii="宋体" w:hAnsi="宋体" w:cs="Arial"/>
          <w:color w:val="000000" w:themeColor="text1"/>
          <w:kern w:val="0"/>
          <w:sz w:val="24"/>
          <w:szCs w:val="24"/>
          <w:highlight w:val="none"/>
        </w:rPr>
        <w:t>我方郑重承诺，我方此次参加</w:t>
      </w:r>
      <w:r>
        <w:rPr>
          <w:rFonts w:hint="eastAsia" w:ascii="宋体" w:hAnsi="宋体" w:cs="宋体"/>
          <w:color w:val="000000" w:themeColor="text1"/>
          <w:sz w:val="24"/>
          <w:szCs w:val="24"/>
          <w:highlight w:val="none"/>
          <w:u w:val="single"/>
        </w:rPr>
        <w:t>（项目名称）</w:t>
      </w:r>
      <w:r>
        <w:rPr>
          <w:rFonts w:hint="eastAsia" w:ascii="宋体" w:hAnsi="宋体" w:cs="Arial"/>
          <w:color w:val="000000" w:themeColor="text1"/>
          <w:kern w:val="0"/>
          <w:sz w:val="24"/>
          <w:szCs w:val="24"/>
          <w:highlight w:val="none"/>
        </w:rPr>
        <w:t>的投标，与参加本次项目同一合同项下政府采购活动的其他投标人不存在单位负责人为同一人或者直接控股、管理关系。如有虚假或隐瞒，愿意承担一切后果。</w:t>
      </w:r>
    </w:p>
    <w:p w14:paraId="789DE4A1">
      <w:pPr>
        <w:shd w:val="clear" w:color="auto" w:fill="FFFFFF"/>
        <w:snapToGrid w:val="0"/>
        <w:spacing w:line="500" w:lineRule="exact"/>
        <w:jc w:val="center"/>
        <w:rPr>
          <w:rFonts w:ascii="宋体" w:hAnsi="宋体" w:cs="宋体"/>
          <w:b/>
          <w:color w:val="000000" w:themeColor="text1"/>
          <w:kern w:val="36"/>
          <w:sz w:val="24"/>
          <w:szCs w:val="24"/>
          <w:highlight w:val="none"/>
        </w:rPr>
      </w:pPr>
    </w:p>
    <w:p w14:paraId="4DA29456">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1EF9798E">
      <w:pPr>
        <w:pStyle w:val="27"/>
        <w:ind w:firstLine="280"/>
        <w:rPr>
          <w:color w:val="000000" w:themeColor="text1"/>
          <w:highlight w:val="none"/>
        </w:rPr>
      </w:pPr>
    </w:p>
    <w:p w14:paraId="2AC07161">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6CC3BB68">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6EC80A20">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53DF22B7">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289E078C">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七</w:t>
      </w:r>
      <w:r>
        <w:rPr>
          <w:rFonts w:hint="eastAsia" w:ascii="宋体" w:hAnsi="宋体"/>
          <w:b/>
          <w:color w:val="000000" w:themeColor="text1"/>
          <w:kern w:val="0"/>
          <w:szCs w:val="28"/>
          <w:highlight w:val="none"/>
        </w:rPr>
        <w:t>、服务承诺书</w:t>
      </w:r>
    </w:p>
    <w:p w14:paraId="16087015">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6BBAAEB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Arial"/>
          <w:color w:val="000000" w:themeColor="text1"/>
          <w:kern w:val="0"/>
          <w:sz w:val="24"/>
          <w:szCs w:val="24"/>
          <w:highlight w:val="none"/>
        </w:rPr>
        <w:t>我方郑重承诺，</w:t>
      </w:r>
      <w:r>
        <w:rPr>
          <w:rFonts w:hint="eastAsia" w:ascii="宋体" w:hAnsi="宋体" w:cs="宋体"/>
          <w:color w:val="000000" w:themeColor="text1"/>
          <w:sz w:val="24"/>
          <w:szCs w:val="24"/>
          <w:highlight w:val="none"/>
        </w:rPr>
        <w:t>在质保期内，如有质量或设备故障问题，免费更换或维修。质保和维保期内，我方将做到：</w:t>
      </w:r>
    </w:p>
    <w:p w14:paraId="140E6D6C">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1、每半年对机器巡检一次、每年对设备维护保养一次；</w:t>
      </w:r>
    </w:p>
    <w:p w14:paraId="6240D61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2、在接到维修通知后需在24小时内到达设备现场，提供相关免费维修服务，直至设备正常运行；</w:t>
      </w:r>
    </w:p>
    <w:p w14:paraId="268E81AB">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3</w:t>
      </w:r>
      <w:r>
        <w:rPr>
          <w:rFonts w:hint="eastAsia" w:ascii="宋体" w:hAnsi="宋体" w:cs="宋体"/>
          <w:color w:val="000000" w:themeColor="text1"/>
          <w:sz w:val="24"/>
          <w:szCs w:val="24"/>
          <w:highlight w:val="none"/>
        </w:rPr>
        <w:t>、负责设备的搬运、安装、调试等工作，直至设备正常运行，期间产生的一切费用由我方负责支付。</w:t>
      </w:r>
    </w:p>
    <w:p w14:paraId="62B339C8">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、我方负责处理出现的质量及安全问题，并承担一切费用。</w:t>
      </w:r>
    </w:p>
    <w:p w14:paraId="784BBDF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、如在质保和维保期间因我方原因（如未按时巡查、未按时维保或设备质量问题未及时维修更换等）导致设备不能正常使用的，所造成的一切损失均由我方承担。</w:t>
      </w:r>
    </w:p>
    <w:p w14:paraId="140FD9B0">
      <w:pPr>
        <w:rPr>
          <w:rFonts w:ascii="宋体" w:hAnsi="宋体"/>
          <w:b/>
          <w:color w:val="000000" w:themeColor="text1"/>
          <w:kern w:val="0"/>
          <w:szCs w:val="28"/>
          <w:highlight w:val="none"/>
        </w:rPr>
      </w:pPr>
    </w:p>
    <w:p w14:paraId="1FC3BC4E">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1EE97EBD">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E792BA1">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28DF7F7D">
      <w:pPr>
        <w:rPr>
          <w:rFonts w:ascii="宋体" w:hAnsi="宋体"/>
          <w:b/>
          <w:color w:val="000000" w:themeColor="text1"/>
          <w:kern w:val="0"/>
          <w:szCs w:val="28"/>
          <w:highlight w:val="none"/>
        </w:rPr>
      </w:pPr>
    </w:p>
    <w:p w14:paraId="45F6FE52">
      <w:pPr>
        <w:rPr>
          <w:rFonts w:ascii="宋体" w:hAnsi="宋体"/>
          <w:b/>
          <w:color w:val="000000" w:themeColor="text1"/>
          <w:kern w:val="0"/>
          <w:szCs w:val="28"/>
          <w:highlight w:val="none"/>
        </w:rPr>
      </w:pPr>
      <w:r>
        <w:rPr>
          <w:rFonts w:hint="eastAsia" w:ascii="宋体" w:hAnsi="宋体"/>
          <w:b/>
          <w:color w:val="000000" w:themeColor="text1"/>
          <w:kern w:val="0"/>
          <w:szCs w:val="28"/>
          <w:highlight w:val="none"/>
        </w:rPr>
        <w:br w:type="page"/>
      </w:r>
    </w:p>
    <w:p w14:paraId="65DB8C60">
      <w:pPr>
        <w:autoSpaceDE w:val="0"/>
        <w:autoSpaceDN w:val="0"/>
        <w:spacing w:before="0" w:after="0" w:line="240" w:lineRule="auto"/>
        <w:ind w:right="0"/>
        <w:jc w:val="center"/>
        <w:rPr>
          <w:rFonts w:ascii="楷体" w:hAnsi="楷体" w:eastAsia="楷体" w:cs="楷体"/>
          <w:b/>
          <w:color w:val="000000" w:themeColor="text1"/>
          <w:kern w:val="0"/>
          <w:sz w:val="36"/>
          <w:szCs w:val="22"/>
          <w:highlight w:val="none"/>
          <w:lang w:val="zh-CN" w:bidi="zh-CN"/>
        </w:rPr>
      </w:pPr>
      <w:r>
        <w:rPr>
          <w:rFonts w:hint="eastAsia" w:ascii="宋体" w:hAnsi="宋体"/>
          <w:b/>
          <w:color w:val="000000" w:themeColor="text1"/>
          <w:kern w:val="0"/>
          <w:szCs w:val="28"/>
          <w:highlight w:val="none"/>
          <w:lang w:val="en-US" w:eastAsia="zh-CN"/>
        </w:rPr>
        <w:t>八、</w:t>
      </w:r>
      <w:r>
        <w:rPr>
          <w:rFonts w:hint="eastAsia" w:ascii="宋体" w:hAnsi="宋体" w:eastAsia="宋体" w:cs="Times New Roman"/>
          <w:b/>
          <w:color w:val="000000" w:themeColor="text1"/>
          <w:kern w:val="0"/>
          <w:szCs w:val="28"/>
          <w:highlight w:val="none"/>
          <w:lang w:val="zh-CN"/>
        </w:rPr>
        <w:t>技术偏离表</w:t>
      </w:r>
    </w:p>
    <w:tbl>
      <w:tblPr>
        <w:tblStyle w:val="21"/>
        <w:tblW w:w="92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1382"/>
        <w:gridCol w:w="4118"/>
        <w:gridCol w:w="1998"/>
        <w:gridCol w:w="895"/>
      </w:tblGrid>
      <w:tr w14:paraId="47D4AE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7" w:hRule="atLeast"/>
          <w:jc w:val="center"/>
        </w:trPr>
        <w:tc>
          <w:tcPr>
            <w:tcW w:w="875" w:type="dxa"/>
            <w:tcBorders>
              <w:bottom w:val="single" w:color="000000" w:sz="6" w:space="0"/>
              <w:right w:val="single" w:color="000000" w:sz="6" w:space="0"/>
            </w:tcBorders>
            <w:vAlign w:val="center"/>
          </w:tcPr>
          <w:p w14:paraId="49BC41C3">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序号</w:t>
            </w:r>
          </w:p>
        </w:tc>
        <w:tc>
          <w:tcPr>
            <w:tcW w:w="1382" w:type="dxa"/>
            <w:tcBorders>
              <w:left w:val="single" w:color="000000" w:sz="6" w:space="0"/>
              <w:bottom w:val="single" w:color="000000" w:sz="6" w:space="0"/>
              <w:right w:val="single" w:color="000000" w:sz="6" w:space="0"/>
            </w:tcBorders>
            <w:vAlign w:val="center"/>
          </w:tcPr>
          <w:p w14:paraId="34A2E77A">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装备</w:t>
            </w:r>
            <w:r>
              <w:rPr>
                <w:rFonts w:hint="eastAsia" w:ascii="宋体" w:hAnsi="宋体" w:eastAsia="宋体" w:cs="宋体"/>
                <w:color w:val="auto"/>
                <w:sz w:val="24"/>
                <w:szCs w:val="24"/>
                <w:highlight w:val="none"/>
                <w:lang w:val="zh-CN" w:eastAsia="zh-CN"/>
              </w:rPr>
              <w:t>名称</w:t>
            </w:r>
          </w:p>
        </w:tc>
        <w:tc>
          <w:tcPr>
            <w:tcW w:w="4118" w:type="dxa"/>
            <w:tcBorders>
              <w:left w:val="single" w:color="000000" w:sz="6" w:space="0"/>
              <w:bottom w:val="single" w:color="000000" w:sz="6" w:space="0"/>
              <w:right w:val="single" w:color="000000" w:sz="6" w:space="0"/>
            </w:tcBorders>
            <w:vAlign w:val="center"/>
          </w:tcPr>
          <w:p w14:paraId="5BE43C90">
            <w:pPr>
              <w:snapToGrid w:val="0"/>
              <w:spacing w:line="48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主要参数要求</w:t>
            </w:r>
          </w:p>
        </w:tc>
        <w:tc>
          <w:tcPr>
            <w:tcW w:w="1998" w:type="dxa"/>
            <w:tcBorders>
              <w:left w:val="single" w:color="000000" w:sz="6" w:space="0"/>
              <w:bottom w:val="single" w:color="000000" w:sz="6" w:space="0"/>
              <w:right w:val="single" w:color="000000" w:sz="6" w:space="0"/>
            </w:tcBorders>
            <w:vAlign w:val="center"/>
          </w:tcPr>
          <w:p w14:paraId="3EAF361B">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响应情况</w:t>
            </w:r>
          </w:p>
          <w:p w14:paraId="2E592193">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（无偏离或正偏离或负偏离）</w:t>
            </w:r>
          </w:p>
        </w:tc>
        <w:tc>
          <w:tcPr>
            <w:tcW w:w="895" w:type="dxa"/>
            <w:tcBorders>
              <w:left w:val="single" w:color="000000" w:sz="6" w:space="0"/>
              <w:bottom w:val="single" w:color="000000" w:sz="6" w:space="0"/>
            </w:tcBorders>
            <w:vAlign w:val="center"/>
          </w:tcPr>
          <w:p w14:paraId="26D7FD79">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说明</w:t>
            </w:r>
          </w:p>
        </w:tc>
      </w:tr>
      <w:tr w14:paraId="264CF3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875" w:type="dxa"/>
            <w:tcBorders>
              <w:top w:val="single" w:color="000000" w:sz="6" w:space="0"/>
              <w:bottom w:val="single" w:color="000000" w:sz="6" w:space="0"/>
              <w:right w:val="single" w:color="000000" w:sz="6" w:space="0"/>
            </w:tcBorders>
          </w:tcPr>
          <w:p w14:paraId="39456559">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7241288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648C2DD5">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10F90C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7440BCD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0EB6FA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5A323BD5">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7CE8F6E3">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0904DDB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6B80A03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6C47615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2C74D8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41BAACE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07DDB8B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7A28354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937F93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7D62F3C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750AD0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875" w:type="dxa"/>
            <w:tcBorders>
              <w:top w:val="single" w:color="000000" w:sz="6" w:space="0"/>
              <w:bottom w:val="single" w:color="000000" w:sz="6" w:space="0"/>
              <w:right w:val="single" w:color="000000" w:sz="6" w:space="0"/>
            </w:tcBorders>
          </w:tcPr>
          <w:p w14:paraId="2C196C8B">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26AE4A3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6F747A0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3FD12E4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1D73AE33">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7D8566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7BC979A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70433AE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4136AF7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6D940E9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01C59D1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700516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4F62C76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4890B6C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5417092B">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03507DE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3CC40B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1D66B2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875" w:type="dxa"/>
            <w:tcBorders>
              <w:top w:val="single" w:color="000000" w:sz="6" w:space="0"/>
              <w:bottom w:val="single" w:color="000000" w:sz="6" w:space="0"/>
              <w:right w:val="single" w:color="000000" w:sz="6" w:space="0"/>
            </w:tcBorders>
          </w:tcPr>
          <w:p w14:paraId="0C54DDA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3EF2F9D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1DCD85C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0AEBA39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587E096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12383F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jc w:val="center"/>
        </w:trPr>
        <w:tc>
          <w:tcPr>
            <w:tcW w:w="875" w:type="dxa"/>
            <w:tcBorders>
              <w:top w:val="single" w:color="000000" w:sz="6" w:space="0"/>
              <w:right w:val="single" w:color="000000" w:sz="6" w:space="0"/>
            </w:tcBorders>
          </w:tcPr>
          <w:p w14:paraId="543C3C7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right w:val="single" w:color="000000" w:sz="6" w:space="0"/>
            </w:tcBorders>
          </w:tcPr>
          <w:p w14:paraId="5DA7561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right w:val="single" w:color="000000" w:sz="6" w:space="0"/>
            </w:tcBorders>
          </w:tcPr>
          <w:p w14:paraId="7504BE9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right w:val="single" w:color="000000" w:sz="6" w:space="0"/>
            </w:tcBorders>
          </w:tcPr>
          <w:p w14:paraId="194AABFB">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tcBorders>
          </w:tcPr>
          <w:p w14:paraId="4046EC25">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bl>
    <w:p w14:paraId="4679BF15">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注：1.本表中所采购货物是指投标供应商对应本招标文件</w:t>
      </w:r>
      <w:r>
        <w:rPr>
          <w:rFonts w:hint="eastAsia" w:ascii="宋体" w:hAnsi="宋体" w:eastAsia="宋体" w:cs="宋体"/>
          <w:color w:val="000000" w:themeColor="text1"/>
          <w:sz w:val="24"/>
          <w:szCs w:val="24"/>
          <w:highlight w:val="none"/>
          <w:lang w:val="en-US" w:eastAsia="zh-CN"/>
        </w:rPr>
        <w:t>第三部分</w:t>
      </w:r>
      <w:r>
        <w:rPr>
          <w:rFonts w:hint="eastAsia" w:ascii="宋体" w:hAnsi="宋体" w:eastAsia="宋体" w:cs="宋体"/>
          <w:color w:val="000000" w:themeColor="text1"/>
          <w:sz w:val="24"/>
          <w:szCs w:val="24"/>
          <w:highlight w:val="none"/>
          <w:lang w:val="zh-CN" w:eastAsia="zh-CN"/>
        </w:rPr>
        <w:t>《采购需求及要求》 中“技术要求”所列出的要求逐条应答的说明。</w:t>
      </w:r>
    </w:p>
    <w:p w14:paraId="0B79A8DD">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zh-CN" w:eastAsia="zh-CN"/>
        </w:rPr>
        <w:t>供应商须根据本表要求进行逐条响应，并说明偏离情况（无偏离、正偏离、负偏离）</w:t>
      </w:r>
      <w:r>
        <w:rPr>
          <w:rFonts w:hint="eastAsia" w:ascii="宋体" w:hAnsi="宋体" w:cs="宋体"/>
          <w:color w:val="000000" w:themeColor="text1"/>
          <w:sz w:val="24"/>
          <w:szCs w:val="24"/>
          <w:highlight w:val="none"/>
          <w:lang w:val="zh-CN" w:eastAsia="zh-CN"/>
        </w:rPr>
        <w:t>。</w:t>
      </w:r>
      <w:r>
        <w:rPr>
          <w:rFonts w:hint="eastAsia" w:ascii="宋体" w:hAnsi="宋体" w:eastAsia="宋体" w:cs="宋体"/>
          <w:color w:val="000000" w:themeColor="text1"/>
          <w:sz w:val="24"/>
          <w:szCs w:val="24"/>
          <w:highlight w:val="none"/>
          <w:lang w:val="zh-CN" w:eastAsia="zh-CN"/>
        </w:rPr>
        <w:t>如未按要求说明的参数视为满足招标文件要求，供应商对本表所应答参数真实性负责，</w:t>
      </w:r>
      <w:r>
        <w:rPr>
          <w:rFonts w:hint="eastAsia" w:ascii="宋体" w:hAnsi="宋体" w:cs="宋体"/>
          <w:color w:val="000000" w:themeColor="text1"/>
          <w:sz w:val="24"/>
          <w:szCs w:val="24"/>
          <w:highlight w:val="none"/>
          <w:lang w:val="en-US" w:eastAsia="zh-CN"/>
        </w:rPr>
        <w:t>自行编制承诺函，承诺</w:t>
      </w:r>
      <w:r>
        <w:rPr>
          <w:rFonts w:hint="eastAsia" w:ascii="宋体" w:hAnsi="宋体" w:eastAsia="宋体" w:cs="宋体"/>
          <w:color w:val="000000" w:themeColor="text1"/>
          <w:sz w:val="24"/>
          <w:szCs w:val="24"/>
          <w:highlight w:val="none"/>
          <w:lang w:val="zh-CN" w:eastAsia="zh-CN"/>
        </w:rPr>
        <w:t>如发现虚假应标情况，按无效投标处理</w:t>
      </w:r>
      <w:r>
        <w:rPr>
          <w:rFonts w:hint="eastAsia" w:ascii="宋体" w:hAnsi="宋体" w:cs="宋体"/>
          <w:color w:val="000000" w:themeColor="text1"/>
          <w:sz w:val="24"/>
          <w:szCs w:val="24"/>
          <w:highlight w:val="none"/>
          <w:lang w:val="en-US" w:eastAsia="zh-CN"/>
        </w:rPr>
        <w:t>并赔偿招标人全部损失</w:t>
      </w:r>
      <w:r>
        <w:rPr>
          <w:rFonts w:hint="eastAsia" w:ascii="宋体" w:hAnsi="宋体" w:eastAsia="宋体" w:cs="宋体"/>
          <w:color w:val="000000" w:themeColor="text1"/>
          <w:sz w:val="24"/>
          <w:szCs w:val="24"/>
          <w:highlight w:val="none"/>
          <w:lang w:val="zh-CN" w:eastAsia="zh-CN"/>
        </w:rPr>
        <w:t>。</w:t>
      </w:r>
    </w:p>
    <w:p w14:paraId="72391B67">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lang w:val="zh-CN" w:eastAsia="zh-CN"/>
        </w:rPr>
        <w:t>供应商可根据实际情况进行增加栏数进行响应。</w:t>
      </w:r>
    </w:p>
    <w:p w14:paraId="5B536DE9">
      <w:pPr>
        <w:widowControl/>
        <w:snapToGrid w:val="0"/>
        <w:spacing w:line="500" w:lineRule="exact"/>
        <w:jc w:val="left"/>
        <w:rPr>
          <w:rFonts w:hint="eastAsia" w:ascii="宋体" w:hAnsi="宋体" w:cs="宋体"/>
          <w:color w:val="000000" w:themeColor="text1"/>
          <w:kern w:val="0"/>
          <w:sz w:val="24"/>
          <w:szCs w:val="24"/>
          <w:highlight w:val="none"/>
        </w:rPr>
      </w:pPr>
    </w:p>
    <w:p w14:paraId="3C44E354">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4B229BE0">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BB01083">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12B87B16">
      <w:pPr>
        <w:rPr>
          <w:rFonts w:hint="eastAsia" w:ascii="宋体" w:hAnsi="宋体"/>
          <w:b/>
          <w:color w:val="000000" w:themeColor="text1"/>
          <w:kern w:val="0"/>
          <w:szCs w:val="28"/>
          <w:highlight w:val="none"/>
        </w:rPr>
      </w:pPr>
    </w:p>
    <w:p w14:paraId="68B0DD3A">
      <w:pPr>
        <w:rPr>
          <w:rFonts w:hint="eastAsia" w:ascii="宋体" w:hAnsi="宋体"/>
          <w:b/>
          <w:color w:val="000000" w:themeColor="text1"/>
          <w:kern w:val="0"/>
          <w:szCs w:val="28"/>
          <w:highlight w:val="none"/>
        </w:rPr>
      </w:pPr>
      <w:r>
        <w:rPr>
          <w:rFonts w:hint="eastAsia" w:ascii="宋体" w:hAnsi="宋体"/>
          <w:b/>
          <w:color w:val="000000" w:themeColor="text1"/>
          <w:kern w:val="0"/>
          <w:szCs w:val="28"/>
          <w:highlight w:val="none"/>
        </w:rPr>
        <w:br w:type="page"/>
      </w:r>
    </w:p>
    <w:p w14:paraId="01C2D8FC">
      <w:pPr>
        <w:spacing w:line="360" w:lineRule="auto"/>
        <w:jc w:val="center"/>
        <w:rPr>
          <w:rFonts w:ascii="宋体" w:hAnsi="宋体" w:cs="宋体"/>
          <w:color w:val="000000" w:themeColor="text1"/>
          <w:sz w:val="24"/>
          <w:szCs w:val="24"/>
          <w:highlight w:val="none"/>
        </w:rPr>
      </w:pPr>
      <w:r>
        <w:rPr>
          <w:rFonts w:hint="eastAsia" w:ascii="宋体" w:hAnsi="宋体"/>
          <w:b/>
          <w:color w:val="000000" w:themeColor="text1"/>
          <w:kern w:val="0"/>
          <w:szCs w:val="28"/>
          <w:highlight w:val="none"/>
          <w:lang w:val="en-US" w:eastAsia="zh-CN"/>
        </w:rPr>
        <w:t>九</w:t>
      </w:r>
      <w:r>
        <w:rPr>
          <w:rFonts w:hint="eastAsia" w:ascii="宋体" w:hAnsi="宋体"/>
          <w:b/>
          <w:color w:val="000000" w:themeColor="text1"/>
          <w:kern w:val="0"/>
          <w:szCs w:val="28"/>
          <w:highlight w:val="none"/>
        </w:rPr>
        <w:t>、投标声明函</w:t>
      </w:r>
    </w:p>
    <w:p w14:paraId="1DDCD2D2">
      <w:pPr>
        <w:snapToGrid w:val="0"/>
        <w:spacing w:line="3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致： （招标单位名称）</w:t>
      </w:r>
    </w:p>
    <w:p w14:paraId="25C188A7">
      <w:pPr>
        <w:pStyle w:val="7"/>
        <w:snapToGrid w:val="0"/>
        <w:spacing w:line="340" w:lineRule="exact"/>
        <w:rPr>
          <w:rFonts w:ascii="宋体" w:hAnsi="宋体" w:cs="宋体"/>
          <w:color w:val="000000" w:themeColor="text1"/>
          <w:sz w:val="24"/>
          <w:highlight w:val="none"/>
        </w:rPr>
      </w:pPr>
    </w:p>
    <w:p w14:paraId="6A9C4343">
      <w:pPr>
        <w:pStyle w:val="12"/>
        <w:adjustRightInd w:val="0"/>
        <w:snapToGrid w:val="0"/>
        <w:spacing w:line="340" w:lineRule="exact"/>
        <w:ind w:firstLine="480" w:firstLineChars="200"/>
        <w:rPr>
          <w:rFonts w:hAnsi="宋体"/>
          <w:color w:val="000000" w:themeColor="text1"/>
          <w:sz w:val="24"/>
          <w:highlight w:val="none"/>
        </w:rPr>
      </w:pPr>
      <w:r>
        <w:rPr>
          <w:rFonts w:hint="eastAsia" w:hAnsi="宋体"/>
          <w:color w:val="000000" w:themeColor="text1"/>
          <w:sz w:val="24"/>
          <w:highlight w:val="none"/>
        </w:rPr>
        <w:t>本单位自愿参加</w:t>
      </w:r>
      <w:r>
        <w:rPr>
          <w:rFonts w:hint="eastAsia" w:hAnsi="宋体" w:cs="宋体"/>
          <w:color w:val="000000" w:themeColor="text1"/>
          <w:sz w:val="24"/>
          <w:szCs w:val="24"/>
          <w:highlight w:val="none"/>
          <w:u w:val="single"/>
        </w:rPr>
        <w:t xml:space="preserve">                项目（项目编号：      ）</w:t>
      </w:r>
      <w:r>
        <w:rPr>
          <w:rFonts w:hint="eastAsia" w:hAnsi="宋体"/>
          <w:color w:val="000000" w:themeColor="text1"/>
          <w:sz w:val="24"/>
          <w:highlight w:val="none"/>
        </w:rPr>
        <w:t>的投标，并保证投标文件中所列举的投标文件及相关资料和公司基本情况资料是真实的、合法的，我方：</w:t>
      </w:r>
    </w:p>
    <w:p w14:paraId="31D2A753">
      <w:pPr>
        <w:adjustRightInd w:val="0"/>
        <w:snapToGrid w:val="0"/>
        <w:spacing w:line="340" w:lineRule="exact"/>
        <w:ind w:firstLine="480"/>
        <w:rPr>
          <w:rFonts w:ascii="宋体" w:hAnsi="宋体"/>
          <w:color w:val="000000" w:themeColor="text1"/>
          <w:kern w:val="0"/>
          <w:sz w:val="24"/>
          <w:highlight w:val="none"/>
        </w:rPr>
      </w:pPr>
      <w:r>
        <w:rPr>
          <w:rFonts w:ascii="宋体" w:hAnsi="宋体"/>
          <w:color w:val="000000" w:themeColor="text1"/>
          <w:kern w:val="0"/>
          <w:sz w:val="24"/>
          <w:highlight w:val="none"/>
        </w:rPr>
        <w:t>1</w:t>
      </w:r>
      <w:r>
        <w:rPr>
          <w:rFonts w:hint="eastAsia" w:ascii="宋体" w:hAnsi="宋体"/>
          <w:color w:val="000000" w:themeColor="text1"/>
          <w:kern w:val="0"/>
          <w:sz w:val="24"/>
          <w:highlight w:val="none"/>
        </w:rPr>
        <w:t>、</w:t>
      </w:r>
      <w:r>
        <w:rPr>
          <w:rFonts w:hint="eastAsia" w:ascii="宋体" w:hAnsi="宋体"/>
          <w:color w:val="000000" w:themeColor="text1"/>
          <w:sz w:val="24"/>
          <w:highlight w:val="none"/>
        </w:rPr>
        <w:t>已详细阅读全部采购文件，包括采购文件补充文件（（如果有，包括相关的补充、更正、澄清公告和文件））、参考资料及有关附件，确认无误。我方完全理解并接受采购文件的各项规定和要求。</w:t>
      </w:r>
    </w:p>
    <w:p w14:paraId="3BFAE4C0">
      <w:pPr>
        <w:adjustRightInd w:val="0"/>
        <w:snapToGrid w:val="0"/>
        <w:spacing w:line="340" w:lineRule="exact"/>
        <w:ind w:firstLine="480"/>
        <w:rPr>
          <w:rFonts w:ascii="宋体" w:hAnsi="宋体"/>
          <w:color w:val="000000" w:themeColor="text1"/>
          <w:kern w:val="0"/>
          <w:sz w:val="24"/>
          <w:highlight w:val="none"/>
        </w:rPr>
      </w:pPr>
      <w:r>
        <w:rPr>
          <w:rFonts w:ascii="宋体" w:hAnsi="宋体"/>
          <w:color w:val="000000" w:themeColor="text1"/>
          <w:kern w:val="0"/>
          <w:sz w:val="24"/>
          <w:highlight w:val="none"/>
        </w:rPr>
        <w:t>2</w:t>
      </w:r>
      <w:r>
        <w:rPr>
          <w:rFonts w:hint="eastAsia" w:ascii="宋体" w:hAnsi="宋体"/>
          <w:color w:val="000000" w:themeColor="text1"/>
          <w:kern w:val="0"/>
          <w:sz w:val="24"/>
          <w:highlight w:val="none"/>
        </w:rPr>
        <w:t>、</w:t>
      </w:r>
      <w:r>
        <w:rPr>
          <w:rFonts w:hint="eastAsia" w:ascii="宋体" w:hAnsi="宋体"/>
          <w:color w:val="000000" w:themeColor="text1"/>
          <w:kern w:val="0"/>
          <w:sz w:val="24"/>
          <w:highlight w:val="none"/>
          <w:lang w:val="zh-CN"/>
        </w:rPr>
        <w:t>同意提供按照贵方可能要求的与投标有关的一切数据或资料等。</w:t>
      </w:r>
      <w:r>
        <w:rPr>
          <w:rFonts w:hint="eastAsia" w:ascii="宋体" w:hAnsi="宋体"/>
          <w:color w:val="000000" w:themeColor="text1"/>
          <w:sz w:val="24"/>
          <w:highlight w:val="none"/>
        </w:rPr>
        <w:t>若贵方需要，我方愿意提供我方作出的一切承诺的证明材料。</w:t>
      </w:r>
    </w:p>
    <w:p w14:paraId="414CE71E">
      <w:pPr>
        <w:adjustRightInd w:val="0"/>
        <w:snapToGrid w:val="0"/>
        <w:spacing w:line="340" w:lineRule="exact"/>
        <w:ind w:firstLine="480"/>
        <w:rPr>
          <w:rFonts w:ascii="宋体" w:hAnsi="宋体"/>
          <w:color w:val="000000" w:themeColor="text1"/>
          <w:kern w:val="0"/>
          <w:sz w:val="24"/>
          <w:highlight w:val="none"/>
          <w:lang w:val="zh-CN"/>
        </w:rPr>
      </w:pPr>
      <w:r>
        <w:rPr>
          <w:rFonts w:ascii="宋体" w:hAnsi="宋体"/>
          <w:color w:val="000000" w:themeColor="text1"/>
          <w:kern w:val="0"/>
          <w:sz w:val="24"/>
          <w:highlight w:val="none"/>
        </w:rPr>
        <w:t>3</w:t>
      </w:r>
      <w:r>
        <w:rPr>
          <w:rFonts w:hint="eastAsia" w:ascii="宋体" w:hAnsi="宋体"/>
          <w:color w:val="000000" w:themeColor="text1"/>
          <w:kern w:val="0"/>
          <w:sz w:val="24"/>
          <w:highlight w:val="none"/>
        </w:rPr>
        <w:t>、</w:t>
      </w:r>
      <w:r>
        <w:rPr>
          <w:rFonts w:hint="eastAsia" w:ascii="宋体" w:hAnsi="宋体"/>
          <w:color w:val="000000" w:themeColor="text1"/>
          <w:kern w:val="0"/>
          <w:sz w:val="24"/>
          <w:highlight w:val="none"/>
          <w:lang w:val="zh-CN"/>
        </w:rPr>
        <w:t>如中标，保证按照</w:t>
      </w:r>
      <w:r>
        <w:rPr>
          <w:rFonts w:hint="eastAsia" w:ascii="宋体" w:hAnsi="宋体"/>
          <w:color w:val="000000" w:themeColor="text1"/>
          <w:kern w:val="0"/>
          <w:sz w:val="24"/>
          <w:highlight w:val="none"/>
        </w:rPr>
        <w:t>招标</w:t>
      </w:r>
      <w:r>
        <w:rPr>
          <w:rFonts w:hint="eastAsia" w:ascii="宋体" w:hAnsi="宋体"/>
          <w:color w:val="000000" w:themeColor="text1"/>
          <w:kern w:val="0"/>
          <w:sz w:val="24"/>
          <w:highlight w:val="none"/>
          <w:lang w:val="zh-CN"/>
        </w:rPr>
        <w:t>文件要求及投标文件的承诺与招标人签订合同，保证履行合同条款。</w:t>
      </w:r>
    </w:p>
    <w:p w14:paraId="69585C56">
      <w:pPr>
        <w:adjustRightInd w:val="0"/>
        <w:snapToGrid w:val="0"/>
        <w:spacing w:line="34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4</w:t>
      </w:r>
      <w:r>
        <w:rPr>
          <w:rFonts w:hint="eastAsia" w:ascii="宋体" w:hAnsi="宋体"/>
          <w:color w:val="000000" w:themeColor="text1"/>
          <w:sz w:val="24"/>
          <w:highlight w:val="none"/>
        </w:rPr>
        <w:t>、同意在采购文件中投标人</w:t>
      </w:r>
      <w:r>
        <w:rPr>
          <w:rFonts w:hint="eastAsia" w:ascii="宋体" w:hAnsi="宋体"/>
          <w:color w:val="000000" w:themeColor="text1"/>
          <w:kern w:val="44"/>
          <w:sz w:val="24"/>
          <w:highlight w:val="none"/>
        </w:rPr>
        <w:t>须知</w:t>
      </w:r>
      <w:r>
        <w:rPr>
          <w:rFonts w:hint="eastAsia" w:ascii="宋体" w:hAnsi="宋体"/>
          <w:color w:val="000000" w:themeColor="text1"/>
          <w:sz w:val="24"/>
          <w:highlight w:val="none"/>
        </w:rPr>
        <w:t>规定的开标日期起遵守本投标书中的承诺且在投标有效期满之前均具有约束力。</w:t>
      </w:r>
    </w:p>
    <w:p w14:paraId="129EF717">
      <w:pPr>
        <w:adjustRightInd w:val="0"/>
        <w:snapToGrid w:val="0"/>
        <w:spacing w:line="34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5</w:t>
      </w:r>
      <w:r>
        <w:rPr>
          <w:rFonts w:hint="eastAsia" w:ascii="宋体" w:hAnsi="宋体"/>
          <w:color w:val="000000" w:themeColor="text1"/>
          <w:sz w:val="24"/>
          <w:highlight w:val="none"/>
        </w:rPr>
        <w:t>、完全理解贵方不一定要接受最低价的投标。</w:t>
      </w:r>
    </w:p>
    <w:p w14:paraId="154734E4">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w:t>
      </w:r>
      <w:r>
        <w:rPr>
          <w:rFonts w:hint="eastAsia" w:ascii="宋体" w:hAnsi="宋体"/>
          <w:color w:val="000000" w:themeColor="text1"/>
          <w:sz w:val="24"/>
          <w:highlight w:val="none"/>
          <w:lang w:val="zh-CN"/>
        </w:rPr>
        <w:t>、单位、法定代表人、本项目授权代表及本项目负责人在参加本项目前三年内（以法院判决书生效日期为准）均无行贿犯罪记录。</w:t>
      </w:r>
    </w:p>
    <w:p w14:paraId="22F9C1C9">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7、如有下列情形之一的，我方愿意被取消中标资格（如中标），同时继续承担其他一切法律后果，并不再寻求任何旨在减轻或免除法律责任的解释：</w:t>
      </w:r>
    </w:p>
    <w:p w14:paraId="1857B5FE">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(1)提供虚假材料（承诺）谋取中标、成交的；</w:t>
      </w:r>
    </w:p>
    <w:p w14:paraId="50C59540">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(2)采取不正当手段诋毁、排挤其他供应商的；</w:t>
      </w:r>
    </w:p>
    <w:p w14:paraId="60DE755B">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(3)与招标人、其它供应商或者招标代理机构恶意串通的；</w:t>
      </w:r>
    </w:p>
    <w:p w14:paraId="76D7C399">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(4)向招标人、招标代理机构行贿或者提供其他不正当利益的；</w:t>
      </w:r>
    </w:p>
    <w:p w14:paraId="1B8F76B2">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(5)在招标采购过程中与招标人进行协商谈判的；</w:t>
      </w:r>
    </w:p>
    <w:p w14:paraId="10C9B14E">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(6)拒绝有关部门监督检查或提供虚假情况的。</w:t>
      </w:r>
    </w:p>
    <w:p w14:paraId="087B219A">
      <w:pPr>
        <w:adjustRightInd w:val="0"/>
        <w:snapToGrid w:val="0"/>
        <w:spacing w:line="360" w:lineRule="auto"/>
        <w:rPr>
          <w:rFonts w:ascii="宋体" w:hAnsi="宋体"/>
          <w:color w:val="000000" w:themeColor="text1"/>
          <w:kern w:val="0"/>
          <w:sz w:val="24"/>
          <w:highlight w:val="none"/>
          <w:lang w:val="zh-CN"/>
        </w:rPr>
      </w:pPr>
    </w:p>
    <w:p w14:paraId="50AE0D50">
      <w:pPr>
        <w:adjustRightInd w:val="0"/>
        <w:snapToGrid w:val="0"/>
        <w:spacing w:line="360" w:lineRule="auto"/>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r>
        <w:rPr>
          <w:rFonts w:hint="eastAsia" w:ascii="宋体" w:hAnsi="宋体"/>
          <w:color w:val="000000" w:themeColor="text1"/>
          <w:kern w:val="0"/>
          <w:sz w:val="24"/>
          <w:highlight w:val="none"/>
          <w:lang w:val="zh-CN"/>
        </w:rPr>
        <w:t>：</w:t>
      </w:r>
    </w:p>
    <w:p w14:paraId="342F1E26">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 xml:space="preserve">投标人盖章：  </w:t>
      </w:r>
    </w:p>
    <w:p w14:paraId="403E3557">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 xml:space="preserve">联系电话（手机及座机）： </w:t>
      </w:r>
    </w:p>
    <w:p w14:paraId="1CA1DDAA">
      <w:pPr>
        <w:adjustRightInd w:val="0"/>
        <w:snapToGrid w:val="0"/>
        <w:spacing w:line="360" w:lineRule="auto"/>
        <w:rPr>
          <w:rFonts w:ascii="宋体" w:hAnsi="宋体"/>
          <w:color w:val="000000" w:themeColor="text1"/>
          <w:kern w:val="0"/>
          <w:sz w:val="24"/>
          <w:highlight w:val="none"/>
          <w:lang w:val="zh-CN"/>
        </w:rPr>
      </w:pPr>
      <w:r>
        <w:rPr>
          <w:rFonts w:hint="eastAsia" w:ascii="宋体" w:hAnsi="宋体"/>
          <w:color w:val="000000" w:themeColor="text1"/>
          <w:kern w:val="0"/>
          <w:sz w:val="24"/>
          <w:highlight w:val="none"/>
          <w:lang w:val="zh-CN"/>
        </w:rPr>
        <w:t>电子邮件：</w:t>
      </w:r>
    </w:p>
    <w:p w14:paraId="00675AF2">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纳税人识别号：</w:t>
      </w:r>
    </w:p>
    <w:p w14:paraId="16B9CFC4">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开户银行：</w:t>
      </w:r>
    </w:p>
    <w:p w14:paraId="4285D9CB">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银行帐号：</w:t>
      </w:r>
    </w:p>
    <w:p w14:paraId="314654A4">
      <w:pPr>
        <w:adjustRightInd w:val="0"/>
        <w:snapToGrid w:val="0"/>
        <w:spacing w:line="360" w:lineRule="auto"/>
        <w:rPr>
          <w:rFonts w:ascii="宋体" w:hAnsi="宋体"/>
          <w:color w:val="000000" w:themeColor="text1"/>
          <w:kern w:val="0"/>
          <w:sz w:val="24"/>
          <w:highlight w:val="none"/>
        </w:rPr>
      </w:pPr>
      <w:r>
        <w:rPr>
          <w:rFonts w:hint="eastAsia" w:ascii="宋体" w:hAnsi="宋体"/>
          <w:color w:val="000000" w:themeColor="text1"/>
          <w:kern w:val="0"/>
          <w:sz w:val="24"/>
          <w:highlight w:val="none"/>
          <w:lang w:val="zh-CN"/>
        </w:rPr>
        <w:t>联系地址：</w:t>
      </w:r>
    </w:p>
    <w:p w14:paraId="588E4C6B">
      <w:pPr>
        <w:adjustRightInd w:val="0"/>
        <w:snapToGrid w:val="0"/>
        <w:spacing w:line="360" w:lineRule="auto"/>
        <w:rPr>
          <w:rFonts w:ascii="宋体" w:hAnsi="宋体"/>
          <w:color w:val="000000" w:themeColor="text1"/>
          <w:kern w:val="0"/>
          <w:sz w:val="24"/>
          <w:highlight w:val="none"/>
          <w:lang w:val="zh-CN"/>
        </w:rPr>
      </w:pPr>
      <w:r>
        <w:rPr>
          <w:rFonts w:hint="eastAsia" w:ascii="宋体" w:hAnsi="宋体"/>
          <w:color w:val="000000" w:themeColor="text1"/>
          <w:kern w:val="0"/>
          <w:sz w:val="24"/>
          <w:highlight w:val="none"/>
          <w:lang w:val="zh-CN"/>
        </w:rPr>
        <w:t>日期</w:t>
      </w:r>
      <w:r>
        <w:rPr>
          <w:rFonts w:hint="eastAsia" w:ascii="宋体" w:hAnsi="宋体"/>
          <w:color w:val="000000" w:themeColor="text1"/>
          <w:kern w:val="0"/>
          <w:sz w:val="24"/>
          <w:highlight w:val="none"/>
        </w:rPr>
        <w:t xml:space="preserve">：   </w:t>
      </w:r>
      <w:r>
        <w:rPr>
          <w:rFonts w:hint="eastAsia" w:ascii="宋体" w:hAnsi="宋体"/>
          <w:color w:val="000000" w:themeColor="text1"/>
          <w:kern w:val="0"/>
          <w:sz w:val="24"/>
          <w:highlight w:val="none"/>
          <w:lang w:val="zh-CN"/>
        </w:rPr>
        <w:t>年</w:t>
      </w:r>
      <w:r>
        <w:rPr>
          <w:rFonts w:hint="eastAsia" w:ascii="宋体" w:hAnsi="宋体"/>
          <w:color w:val="000000" w:themeColor="text1"/>
          <w:kern w:val="0"/>
          <w:sz w:val="24"/>
          <w:highlight w:val="none"/>
        </w:rPr>
        <w:tab/>
      </w:r>
      <w:r>
        <w:rPr>
          <w:rFonts w:hint="eastAsia" w:ascii="宋体" w:hAnsi="宋体"/>
          <w:color w:val="000000" w:themeColor="text1"/>
          <w:kern w:val="0"/>
          <w:sz w:val="24"/>
          <w:highlight w:val="none"/>
          <w:lang w:val="zh-CN"/>
        </w:rPr>
        <w:t>月    日</w:t>
      </w:r>
    </w:p>
    <w:p w14:paraId="3F0A1CA3">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十</w:t>
      </w:r>
      <w:r>
        <w:rPr>
          <w:rFonts w:hint="eastAsia" w:ascii="宋体" w:hAnsi="宋体"/>
          <w:b/>
          <w:color w:val="000000" w:themeColor="text1"/>
          <w:kern w:val="0"/>
          <w:szCs w:val="28"/>
          <w:highlight w:val="none"/>
        </w:rPr>
        <w:t>、报价一览表</w:t>
      </w:r>
    </w:p>
    <w:p w14:paraId="398B800C">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w:t>
      </w:r>
    </w:p>
    <w:p w14:paraId="1F9236B9">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项目编号：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 xml:space="preserve"> 金额单位：元</w:t>
      </w: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09"/>
        <w:gridCol w:w="1478"/>
        <w:gridCol w:w="993"/>
        <w:gridCol w:w="1162"/>
        <w:gridCol w:w="1238"/>
        <w:gridCol w:w="1163"/>
      </w:tblGrid>
      <w:tr w14:paraId="571F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01" w:type="dxa"/>
            <w:noWrap/>
            <w:vAlign w:val="center"/>
          </w:tcPr>
          <w:p w14:paraId="05772543">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rPr>
              <w:t>序号</w:t>
            </w:r>
          </w:p>
        </w:tc>
        <w:tc>
          <w:tcPr>
            <w:tcW w:w="4087" w:type="dxa"/>
            <w:gridSpan w:val="2"/>
            <w:noWrap/>
            <w:vAlign w:val="center"/>
          </w:tcPr>
          <w:p w14:paraId="5EE94493">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lang w:val="en-US" w:eastAsia="zh-CN"/>
              </w:rPr>
              <w:t>装备</w:t>
            </w:r>
            <w:r>
              <w:rPr>
                <w:rFonts w:hint="eastAsia" w:ascii="宋体" w:hAnsi="宋体" w:cs="宋体"/>
                <w:b/>
                <w:bCs/>
                <w:color w:val="000000" w:themeColor="text1"/>
                <w:sz w:val="22"/>
                <w:szCs w:val="22"/>
                <w:highlight w:val="none"/>
              </w:rPr>
              <w:t>名称</w:t>
            </w:r>
          </w:p>
        </w:tc>
        <w:tc>
          <w:tcPr>
            <w:tcW w:w="993" w:type="dxa"/>
            <w:noWrap/>
            <w:vAlign w:val="center"/>
          </w:tcPr>
          <w:p w14:paraId="12FFEA74">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rPr>
              <w:t>数量</w:t>
            </w:r>
          </w:p>
        </w:tc>
        <w:tc>
          <w:tcPr>
            <w:tcW w:w="1162" w:type="dxa"/>
            <w:noWrap/>
            <w:vAlign w:val="center"/>
          </w:tcPr>
          <w:p w14:paraId="21AD7F62">
            <w:pPr>
              <w:widowControl/>
              <w:jc w:val="center"/>
              <w:rPr>
                <w:rFonts w:hint="default" w:ascii="宋体" w:hAnsi="宋体" w:eastAsia="宋体" w:cs="宋体"/>
                <w:b/>
                <w:color w:val="000000" w:themeColor="text1"/>
                <w:sz w:val="24"/>
                <w:highlight w:val="none"/>
                <w:lang w:val="en-US" w:eastAsia="zh-CN"/>
              </w:rPr>
            </w:pPr>
            <w:r>
              <w:rPr>
                <w:rFonts w:hint="eastAsia" w:ascii="宋体" w:hAnsi="宋体" w:cs="宋体"/>
                <w:b/>
                <w:bCs/>
                <w:color w:val="000000" w:themeColor="text1"/>
                <w:sz w:val="22"/>
                <w:szCs w:val="22"/>
                <w:highlight w:val="none"/>
              </w:rPr>
              <w:t>单位</w:t>
            </w:r>
          </w:p>
        </w:tc>
        <w:tc>
          <w:tcPr>
            <w:tcW w:w="1238" w:type="dxa"/>
            <w:noWrap/>
            <w:vAlign w:val="center"/>
          </w:tcPr>
          <w:p w14:paraId="09258BF7">
            <w:pPr>
              <w:widowControl/>
              <w:jc w:val="center"/>
              <w:textAlignment w:val="center"/>
              <w:rPr>
                <w:rFonts w:hint="eastAsia" w:ascii="宋体" w:hAnsi="宋体" w:eastAsia="宋体" w:cs="宋体"/>
                <w:b/>
                <w:color w:val="000000" w:themeColor="text1"/>
                <w:sz w:val="24"/>
                <w:highlight w:val="none"/>
                <w:lang w:val="en-US" w:eastAsia="zh-CN"/>
              </w:rPr>
            </w:pPr>
            <w:r>
              <w:rPr>
                <w:rFonts w:hint="eastAsia" w:ascii="宋体" w:hAnsi="宋体" w:cs="宋体"/>
                <w:b/>
                <w:bCs/>
                <w:color w:val="000000" w:themeColor="text1"/>
                <w:sz w:val="22"/>
                <w:szCs w:val="22"/>
                <w:highlight w:val="none"/>
                <w:lang w:val="en-US" w:eastAsia="zh-CN"/>
              </w:rPr>
              <w:t>单价（元）</w:t>
            </w:r>
          </w:p>
        </w:tc>
        <w:tc>
          <w:tcPr>
            <w:tcW w:w="1163" w:type="dxa"/>
            <w:noWrap/>
            <w:vAlign w:val="center"/>
          </w:tcPr>
          <w:p w14:paraId="09E484A5">
            <w:pPr>
              <w:widowControl/>
              <w:jc w:val="center"/>
              <w:textAlignment w:val="center"/>
              <w:rPr>
                <w:rFonts w:hint="eastAsia" w:ascii="宋体" w:hAnsi="宋体" w:eastAsia="宋体" w:cs="宋体"/>
                <w:b/>
                <w:color w:val="000000" w:themeColor="text1"/>
                <w:sz w:val="24"/>
                <w:highlight w:val="none"/>
                <w:lang w:eastAsia="zh-CN"/>
              </w:rPr>
            </w:pPr>
            <w:r>
              <w:rPr>
                <w:rFonts w:hint="eastAsia" w:ascii="宋体" w:hAnsi="宋体" w:cs="宋体"/>
                <w:b/>
                <w:bCs/>
                <w:color w:val="000000" w:themeColor="text1"/>
                <w:sz w:val="22"/>
                <w:szCs w:val="22"/>
                <w:highlight w:val="none"/>
                <w:lang w:val="en-US" w:eastAsia="zh-CN"/>
              </w:rPr>
              <w:t>总价（元）</w:t>
            </w:r>
          </w:p>
        </w:tc>
      </w:tr>
      <w:tr w14:paraId="7674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14:paraId="382E4757">
            <w:pPr>
              <w:spacing w:line="34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1</w:t>
            </w:r>
          </w:p>
        </w:tc>
        <w:tc>
          <w:tcPr>
            <w:tcW w:w="4087" w:type="dxa"/>
            <w:gridSpan w:val="2"/>
            <w:noWrap/>
            <w:vAlign w:val="center"/>
          </w:tcPr>
          <w:p w14:paraId="4E0394D1">
            <w:pPr>
              <w:tabs>
                <w:tab w:val="left" w:pos="659"/>
              </w:tabs>
              <w:spacing w:line="340" w:lineRule="exact"/>
              <w:jc w:val="center"/>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eastAsia="zh-CN"/>
              </w:rPr>
              <w:t>25吨重型水罐排涝泵车</w:t>
            </w:r>
          </w:p>
        </w:tc>
        <w:tc>
          <w:tcPr>
            <w:tcW w:w="993" w:type="dxa"/>
            <w:noWrap/>
            <w:vAlign w:val="center"/>
          </w:tcPr>
          <w:p w14:paraId="688374A6">
            <w:pPr>
              <w:spacing w:line="340" w:lineRule="exact"/>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w:t>
            </w:r>
          </w:p>
        </w:tc>
        <w:tc>
          <w:tcPr>
            <w:tcW w:w="1162" w:type="dxa"/>
            <w:noWrap/>
            <w:vAlign w:val="center"/>
          </w:tcPr>
          <w:p w14:paraId="5F5EC9B9">
            <w:pPr>
              <w:spacing w:line="340" w:lineRule="exact"/>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辆</w:t>
            </w:r>
          </w:p>
        </w:tc>
        <w:tc>
          <w:tcPr>
            <w:tcW w:w="1238" w:type="dxa"/>
            <w:noWrap/>
            <w:vAlign w:val="center"/>
          </w:tcPr>
          <w:p w14:paraId="27C4F324">
            <w:pPr>
              <w:spacing w:line="340" w:lineRule="exact"/>
              <w:jc w:val="center"/>
              <w:rPr>
                <w:rFonts w:ascii="宋体" w:hAnsi="宋体" w:cs="宋体"/>
                <w:color w:val="000000" w:themeColor="text1"/>
                <w:sz w:val="24"/>
                <w:highlight w:val="none"/>
              </w:rPr>
            </w:pPr>
          </w:p>
        </w:tc>
        <w:tc>
          <w:tcPr>
            <w:tcW w:w="1163" w:type="dxa"/>
            <w:noWrap/>
            <w:vAlign w:val="center"/>
          </w:tcPr>
          <w:p w14:paraId="697AD9A0">
            <w:pPr>
              <w:spacing w:line="340" w:lineRule="exact"/>
              <w:jc w:val="center"/>
              <w:rPr>
                <w:rFonts w:ascii="宋体" w:hAnsi="宋体" w:cs="宋体"/>
                <w:color w:val="000000" w:themeColor="text1"/>
                <w:sz w:val="24"/>
                <w:highlight w:val="none"/>
              </w:rPr>
            </w:pPr>
          </w:p>
        </w:tc>
      </w:tr>
      <w:tr w14:paraId="2D3C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10" w:type="dxa"/>
            <w:gridSpan w:val="2"/>
            <w:noWrap/>
            <w:vAlign w:val="center"/>
          </w:tcPr>
          <w:p w14:paraId="4D75D964">
            <w:pPr>
              <w:spacing w:line="3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投标总价 （小写）</w:t>
            </w:r>
          </w:p>
        </w:tc>
        <w:tc>
          <w:tcPr>
            <w:tcW w:w="6034" w:type="dxa"/>
            <w:gridSpan w:val="5"/>
            <w:noWrap/>
            <w:vAlign w:val="center"/>
          </w:tcPr>
          <w:p w14:paraId="0292F812">
            <w:pPr>
              <w:spacing w:line="340" w:lineRule="exact"/>
              <w:ind w:firstLine="3480" w:firstLineChars="1450"/>
              <w:rPr>
                <w:rFonts w:ascii="宋体" w:hAnsi="宋体" w:cs="宋体"/>
                <w:color w:val="000000" w:themeColor="text1"/>
                <w:sz w:val="24"/>
                <w:highlight w:val="none"/>
              </w:rPr>
            </w:pPr>
          </w:p>
        </w:tc>
      </w:tr>
      <w:tr w14:paraId="1837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310" w:type="dxa"/>
            <w:gridSpan w:val="2"/>
            <w:noWrap/>
            <w:vAlign w:val="center"/>
          </w:tcPr>
          <w:p w14:paraId="71F24CC3">
            <w:pPr>
              <w:spacing w:line="3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投标总价 （大写）</w:t>
            </w:r>
          </w:p>
        </w:tc>
        <w:tc>
          <w:tcPr>
            <w:tcW w:w="6034" w:type="dxa"/>
            <w:gridSpan w:val="5"/>
            <w:noWrap/>
            <w:vAlign w:val="center"/>
          </w:tcPr>
          <w:p w14:paraId="20669A56">
            <w:pPr>
              <w:spacing w:line="340" w:lineRule="exact"/>
              <w:ind w:firstLine="3480" w:firstLineChars="1450"/>
              <w:rPr>
                <w:rFonts w:ascii="宋体" w:hAnsi="宋体" w:cs="宋体"/>
                <w:color w:val="000000" w:themeColor="text1"/>
                <w:sz w:val="24"/>
                <w:highlight w:val="none"/>
              </w:rPr>
            </w:pPr>
          </w:p>
        </w:tc>
      </w:tr>
    </w:tbl>
    <w:p w14:paraId="5B6ECAD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注：本项目报价为</w:t>
      </w:r>
      <w:r>
        <w:rPr>
          <w:rFonts w:hint="eastAsia" w:ascii="宋体" w:hAnsi="宋体" w:cs="宋体"/>
          <w:color w:val="000000" w:themeColor="text1"/>
          <w:sz w:val="24"/>
          <w:szCs w:val="24"/>
          <w:highlight w:val="none"/>
          <w:lang w:val="en-US" w:eastAsia="zh-CN"/>
        </w:rPr>
        <w:t xml:space="preserve">          项目</w:t>
      </w:r>
      <w:r>
        <w:rPr>
          <w:rFonts w:hint="eastAsia" w:ascii="宋体" w:hAnsi="宋体" w:cs="宋体"/>
          <w:color w:val="000000" w:themeColor="text1"/>
          <w:sz w:val="24"/>
          <w:szCs w:val="24"/>
          <w:highlight w:val="none"/>
        </w:rPr>
        <w:t>含税总价，包括但不限于有关本项目所需的所有货物/服务内容的人工工资（含社会保险费、公积金、超时补贴、绩效考核经费、伙食费、劳保用品、员工住宿交通差旅费用等）、规费、税费、企业管理费、利润以及合同包含的所有风险、责任等各项应有费用。如有漏项，视同已包含在其中，在不改变产品参数及数量的前提下，合同单价不做调整。</w:t>
      </w:r>
      <w:r>
        <w:rPr>
          <w:rFonts w:hint="eastAsia" w:ascii="宋体" w:hAnsi="宋体" w:cs="宋体"/>
          <w:color w:val="000000" w:themeColor="text1"/>
          <w:sz w:val="24"/>
          <w:szCs w:val="24"/>
          <w:highlight w:val="none"/>
          <w:lang w:val="en-US" w:eastAsia="zh-CN"/>
        </w:rPr>
        <w:t>投标人</w:t>
      </w:r>
      <w:r>
        <w:rPr>
          <w:rFonts w:hint="eastAsia" w:ascii="宋体" w:hAnsi="宋体" w:cs="宋体"/>
          <w:color w:val="000000" w:themeColor="text1"/>
          <w:sz w:val="24"/>
          <w:szCs w:val="24"/>
          <w:highlight w:val="none"/>
        </w:rPr>
        <w:t>承担一切风险责任。</w:t>
      </w:r>
    </w:p>
    <w:p w14:paraId="336A0C3C">
      <w:pPr>
        <w:snapToGrid w:val="0"/>
        <w:spacing w:line="440" w:lineRule="exact"/>
        <w:ind w:firstLine="5040" w:firstLineChars="2100"/>
        <w:rPr>
          <w:rFonts w:ascii="宋体" w:hAnsi="宋体" w:cs="宋体"/>
          <w:color w:val="000000" w:themeColor="text1"/>
          <w:sz w:val="24"/>
          <w:szCs w:val="24"/>
          <w:highlight w:val="none"/>
        </w:rPr>
      </w:pPr>
    </w:p>
    <w:p w14:paraId="5E39F304">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投标人（盖章）：</w:t>
      </w:r>
    </w:p>
    <w:p w14:paraId="2AEA16D1">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法定代表人或其授权代表人（签字或盖章）：                                   </w:t>
      </w:r>
    </w:p>
    <w:p w14:paraId="7E9B6CE7">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日期：</w:t>
      </w:r>
    </w:p>
    <w:p w14:paraId="0C03868C">
      <w:pPr>
        <w:rPr>
          <w:rFonts w:ascii="宋体" w:hAnsi="宋体"/>
          <w:b/>
          <w:color w:val="000000" w:themeColor="text1"/>
          <w:szCs w:val="22"/>
          <w:highlight w:val="none"/>
        </w:rPr>
      </w:pPr>
    </w:p>
    <w:p w14:paraId="691C623D">
      <w:pPr>
        <w:rPr>
          <w:rFonts w:ascii="宋体" w:cs="宋体"/>
          <w:b/>
          <w:color w:val="000000" w:themeColor="text1"/>
          <w:szCs w:val="28"/>
          <w:highlight w:val="none"/>
        </w:rPr>
      </w:pPr>
      <w:r>
        <w:rPr>
          <w:rFonts w:hint="eastAsia" w:ascii="宋体" w:cs="宋体"/>
          <w:b/>
          <w:color w:val="000000" w:themeColor="text1"/>
          <w:szCs w:val="28"/>
          <w:highlight w:val="none"/>
        </w:rPr>
        <w:br w:type="page"/>
      </w:r>
    </w:p>
    <w:p w14:paraId="4E59BD9E">
      <w:pPr>
        <w:pStyle w:val="32"/>
        <w:spacing w:line="440" w:lineRule="exact"/>
        <w:ind w:firstLine="0" w:firstLineChars="0"/>
        <w:jc w:val="center"/>
        <w:rPr>
          <w:rFonts w:ascii="宋体" w:eastAsia="宋体" w:cs="宋体"/>
          <w:b/>
          <w:color w:val="000000" w:themeColor="text1"/>
          <w:sz w:val="28"/>
          <w:highlight w:val="none"/>
        </w:rPr>
      </w:pPr>
      <w:r>
        <w:rPr>
          <w:rFonts w:hint="eastAsia" w:ascii="宋体" w:eastAsia="宋体" w:cs="宋体"/>
          <w:b/>
          <w:color w:val="000000" w:themeColor="text1"/>
          <w:sz w:val="28"/>
          <w:highlight w:val="none"/>
          <w:lang w:val="en-US" w:eastAsia="zh-CN"/>
        </w:rPr>
        <w:t>十一</w:t>
      </w:r>
      <w:r>
        <w:rPr>
          <w:rFonts w:hint="eastAsia" w:ascii="宋体" w:eastAsia="宋体" w:cs="宋体"/>
          <w:b/>
          <w:color w:val="000000" w:themeColor="text1"/>
          <w:sz w:val="28"/>
          <w:highlight w:val="none"/>
        </w:rPr>
        <w:t>、中小企业声明函</w:t>
      </w:r>
      <w:bookmarkEnd w:id="57"/>
    </w:p>
    <w:p w14:paraId="0866966A">
      <w:pPr>
        <w:pStyle w:val="32"/>
        <w:spacing w:line="440" w:lineRule="exact"/>
        <w:ind w:firstLine="0" w:firstLineChars="0"/>
        <w:rPr>
          <w:rFonts w:ascii="宋体" w:eastAsia="宋体" w:cs="宋体"/>
          <w:b/>
          <w:color w:val="000000" w:themeColor="text1"/>
          <w:sz w:val="28"/>
          <w:highlight w:val="none"/>
        </w:rPr>
      </w:pPr>
    </w:p>
    <w:bookmarkEnd w:id="21"/>
    <w:bookmarkEnd w:id="22"/>
    <w:bookmarkEnd w:id="23"/>
    <w:bookmarkEnd w:id="24"/>
    <w:bookmarkEnd w:id="58"/>
    <w:p w14:paraId="186C78B7">
      <w:pPr>
        <w:ind w:left="720" w:right="67"/>
        <w:jc w:val="center"/>
        <w:rPr>
          <w:b/>
          <w:color w:val="000000" w:themeColor="text1"/>
          <w:szCs w:val="16"/>
          <w:highlight w:val="none"/>
        </w:rPr>
      </w:pPr>
      <w:bookmarkStart w:id="67" w:name="_Toc15453"/>
      <w:r>
        <w:rPr>
          <w:b/>
          <w:color w:val="000000" w:themeColor="text1"/>
          <w:szCs w:val="16"/>
          <w:highlight w:val="none"/>
        </w:rPr>
        <w:t>中小企业声明函（货物）</w:t>
      </w:r>
    </w:p>
    <w:p w14:paraId="1AE110DF">
      <w:pPr>
        <w:pStyle w:val="7"/>
        <w:spacing w:before="6"/>
        <w:rPr>
          <w:rFonts w:ascii="宋体" w:hAnsi="宋体" w:cs="宋体"/>
          <w:b/>
          <w:color w:val="000000" w:themeColor="text1"/>
          <w:sz w:val="24"/>
          <w:szCs w:val="24"/>
          <w:highlight w:val="none"/>
        </w:rPr>
      </w:pPr>
    </w:p>
    <w:p w14:paraId="7194437B">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本公司（联合体）郑重声明，根据《政府采购促进中小企业发展管理办法》（财库﹝2020﹞46 号）的规定，本公司 （联合体）参加</w:t>
      </w:r>
      <w:r>
        <w:rPr>
          <w:rFonts w:hint="eastAsia" w:ascii="宋体" w:hAnsi="宋体" w:cs="宋体"/>
          <w:color w:val="000000" w:themeColor="text1"/>
          <w:sz w:val="24"/>
          <w:szCs w:val="24"/>
          <w:highlight w:val="none"/>
          <w:u w:val="single"/>
        </w:rPr>
        <w:t>（招标单位名称）</w:t>
      </w:r>
      <w:r>
        <w:rPr>
          <w:rFonts w:hint="eastAsia" w:ascii="宋体" w:hAnsi="宋体" w:cs="宋体"/>
          <w:color w:val="000000" w:themeColor="text1"/>
          <w:sz w:val="24"/>
          <w:szCs w:val="24"/>
          <w:highlight w:val="none"/>
        </w:rPr>
        <w:t>的</w:t>
      </w:r>
      <w:r>
        <w:rPr>
          <w:rFonts w:hint="eastAsia" w:ascii="宋体" w:hAnsi="宋体" w:cs="宋体"/>
          <w:color w:val="000000" w:themeColor="text1"/>
          <w:sz w:val="24"/>
          <w:szCs w:val="24"/>
          <w:highlight w:val="none"/>
          <w:u w:val="single"/>
        </w:rPr>
        <w:t>（项目名称）</w:t>
      </w:r>
      <w:r>
        <w:rPr>
          <w:rFonts w:hint="eastAsia" w:ascii="宋体" w:hAnsi="宋体" w:cs="宋体"/>
          <w:color w:val="000000" w:themeColor="text1"/>
          <w:sz w:val="24"/>
          <w:szCs w:val="24"/>
          <w:highlight w:val="none"/>
        </w:rPr>
        <w:t>采购活动，提供的货物全部由符合政策要求的中小企业制造。相关企业 （含联合体中的中小企业、签订分包意向协议的中小企业） 的具体情况如下：</w:t>
      </w:r>
    </w:p>
    <w:p w14:paraId="5C044329">
      <w:pPr>
        <w:pStyle w:val="7"/>
        <w:spacing w:after="0" w:line="360" w:lineRule="auto"/>
        <w:ind w:right="52"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r>
        <w:rPr>
          <w:rFonts w:hint="eastAsia" w:ascii="宋体" w:hAnsi="宋体" w:cs="宋体"/>
          <w:color w:val="000000" w:themeColor="text1"/>
          <w:sz w:val="24"/>
          <w:szCs w:val="24"/>
          <w:highlight w:val="none"/>
          <w:u w:val="single"/>
        </w:rPr>
        <w:t>（标的名称）</w:t>
      </w:r>
      <w:r>
        <w:rPr>
          <w:rFonts w:hint="eastAsia" w:ascii="宋体" w:hAnsi="宋体" w:cs="宋体"/>
          <w:color w:val="000000" w:themeColor="text1"/>
          <w:sz w:val="24"/>
          <w:szCs w:val="24"/>
          <w:highlight w:val="none"/>
        </w:rPr>
        <w:t xml:space="preserve"> ，属于</w:t>
      </w:r>
      <w:r>
        <w:rPr>
          <w:rFonts w:hint="eastAsia" w:ascii="宋体" w:hAnsi="宋体" w:cs="宋体"/>
          <w:color w:val="000000" w:themeColor="text1"/>
          <w:sz w:val="24"/>
          <w:szCs w:val="24"/>
          <w:highlight w:val="none"/>
          <w:u w:val="single"/>
        </w:rPr>
        <w:t>（采购文件中明确的所属行业）</w:t>
      </w:r>
      <w:r>
        <w:rPr>
          <w:rFonts w:hint="eastAsia" w:ascii="宋体" w:hAnsi="宋体" w:cs="宋体"/>
          <w:color w:val="000000" w:themeColor="text1"/>
          <w:sz w:val="24"/>
          <w:szCs w:val="24"/>
          <w:highlight w:val="none"/>
        </w:rPr>
        <w:t xml:space="preserve"> 行业；制造商为</w:t>
      </w:r>
      <w:r>
        <w:rPr>
          <w:rFonts w:hint="eastAsia" w:ascii="宋体" w:hAnsi="宋体" w:cs="宋体"/>
          <w:color w:val="000000" w:themeColor="text1"/>
          <w:sz w:val="24"/>
          <w:szCs w:val="24"/>
          <w:highlight w:val="none"/>
          <w:u w:val="single"/>
        </w:rPr>
        <w:t>（企业名称）</w:t>
      </w:r>
      <w:r>
        <w:rPr>
          <w:rFonts w:hint="eastAsia" w:ascii="宋体" w:hAnsi="宋体" w:cs="宋体"/>
          <w:color w:val="000000" w:themeColor="text1"/>
          <w:sz w:val="24"/>
          <w:szCs w:val="24"/>
          <w:highlight w:val="none"/>
        </w:rPr>
        <w:t>， 从业人员</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人，营业收入为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万元，资产总额为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 ，属于（</w:t>
      </w:r>
      <w:r>
        <w:rPr>
          <w:rFonts w:hint="eastAsia" w:ascii="宋体" w:hAnsi="宋体" w:cs="宋体"/>
          <w:color w:val="000000" w:themeColor="text1"/>
          <w:sz w:val="24"/>
          <w:szCs w:val="24"/>
          <w:highlight w:val="none"/>
          <w:u w:val="single"/>
        </w:rPr>
        <w:t>中型企业、小型企业、微型企业）</w:t>
      </w:r>
      <w:r>
        <w:rPr>
          <w:rFonts w:hint="eastAsia" w:ascii="宋体" w:hAnsi="宋体" w:cs="宋体"/>
          <w:color w:val="000000" w:themeColor="text1"/>
          <w:sz w:val="24"/>
          <w:szCs w:val="24"/>
          <w:highlight w:val="none"/>
        </w:rPr>
        <w:t>；</w:t>
      </w:r>
    </w:p>
    <w:p w14:paraId="4331681F">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u w:val="single"/>
        </w:rPr>
        <w:t>（标的名称）</w:t>
      </w:r>
      <w:r>
        <w:rPr>
          <w:rFonts w:hint="eastAsia" w:ascii="宋体" w:hAnsi="宋体" w:cs="宋体"/>
          <w:color w:val="000000" w:themeColor="text1"/>
          <w:sz w:val="24"/>
          <w:szCs w:val="24"/>
          <w:highlight w:val="none"/>
        </w:rPr>
        <w:t xml:space="preserve"> ，属于</w:t>
      </w:r>
      <w:r>
        <w:rPr>
          <w:rFonts w:hint="eastAsia" w:ascii="宋体" w:hAnsi="宋体" w:cs="宋体"/>
          <w:color w:val="000000" w:themeColor="text1"/>
          <w:sz w:val="24"/>
          <w:szCs w:val="24"/>
          <w:highlight w:val="none"/>
          <w:u w:val="single"/>
        </w:rPr>
        <w:t>（采购文件中明确的所属行业）</w:t>
      </w:r>
      <w:r>
        <w:rPr>
          <w:rFonts w:hint="eastAsia" w:ascii="宋体" w:hAnsi="宋体" w:cs="宋体"/>
          <w:color w:val="000000" w:themeColor="text1"/>
          <w:sz w:val="24"/>
          <w:szCs w:val="24"/>
          <w:highlight w:val="none"/>
        </w:rPr>
        <w:t xml:space="preserve"> 行业；制造商为</w:t>
      </w:r>
      <w:r>
        <w:rPr>
          <w:rFonts w:hint="eastAsia" w:ascii="宋体" w:hAnsi="宋体" w:cs="宋体"/>
          <w:color w:val="000000" w:themeColor="text1"/>
          <w:sz w:val="24"/>
          <w:szCs w:val="24"/>
          <w:highlight w:val="none"/>
          <w:u w:val="single"/>
        </w:rPr>
        <w:t>（企业名称）</w:t>
      </w:r>
      <w:r>
        <w:rPr>
          <w:rFonts w:hint="eastAsia" w:ascii="宋体" w:hAnsi="宋体" w:cs="宋体"/>
          <w:color w:val="000000" w:themeColor="text1"/>
          <w:sz w:val="24"/>
          <w:szCs w:val="24"/>
          <w:highlight w:val="none"/>
        </w:rPr>
        <w:t>， 从业人员</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人，营业收入为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万元，资产总额为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 ，属于（</w:t>
      </w:r>
      <w:r>
        <w:rPr>
          <w:rFonts w:hint="eastAsia" w:ascii="宋体" w:hAnsi="宋体" w:cs="宋体"/>
          <w:color w:val="000000" w:themeColor="text1"/>
          <w:sz w:val="24"/>
          <w:szCs w:val="24"/>
          <w:highlight w:val="none"/>
          <w:u w:val="single"/>
        </w:rPr>
        <w:t>中型企业、小型企业、微型企业）</w:t>
      </w:r>
      <w:r>
        <w:rPr>
          <w:rFonts w:hint="eastAsia" w:ascii="宋体" w:hAnsi="宋体" w:cs="宋体"/>
          <w:color w:val="000000" w:themeColor="text1"/>
          <w:sz w:val="24"/>
          <w:szCs w:val="24"/>
          <w:highlight w:val="none"/>
        </w:rPr>
        <w:t>；</w:t>
      </w:r>
    </w:p>
    <w:p w14:paraId="023E9878">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p>
    <w:p w14:paraId="49364F1B">
      <w:pPr>
        <w:pStyle w:val="7"/>
        <w:spacing w:after="0" w:line="360" w:lineRule="auto"/>
        <w:ind w:right="52"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以上企业，不属于大企业的分支机构，不存在控股股东 为大企业的情形，也不存在与大企业的负责人为同一人的情形。</w:t>
      </w:r>
    </w:p>
    <w:p w14:paraId="1604C369">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本企业对上述声明内容的真实性负责。如有虚假，将依 法承担相应责任。</w:t>
      </w:r>
    </w:p>
    <w:p w14:paraId="68451CDD">
      <w:pPr>
        <w:pStyle w:val="7"/>
        <w:rPr>
          <w:rFonts w:ascii="宋体" w:hAnsi="宋体" w:cs="宋体"/>
          <w:color w:val="000000" w:themeColor="text1"/>
          <w:sz w:val="24"/>
          <w:szCs w:val="24"/>
          <w:highlight w:val="none"/>
        </w:rPr>
      </w:pPr>
    </w:p>
    <w:p w14:paraId="48CC0ECF">
      <w:pPr>
        <w:pStyle w:val="7"/>
        <w:spacing w:before="5"/>
        <w:rPr>
          <w:rFonts w:ascii="宋体" w:hAnsi="宋体" w:cs="宋体"/>
          <w:color w:val="000000" w:themeColor="text1"/>
          <w:sz w:val="24"/>
          <w:szCs w:val="24"/>
          <w:highlight w:val="none"/>
        </w:rPr>
      </w:pPr>
    </w:p>
    <w:p w14:paraId="3F328C78">
      <w:pPr>
        <w:pStyle w:val="7"/>
        <w:ind w:left="479" w:right="6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企业名称（盖章）：</w:t>
      </w:r>
    </w:p>
    <w:p w14:paraId="41149425">
      <w:pPr>
        <w:pStyle w:val="7"/>
        <w:ind w:left="479" w:right="6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日   期：</w:t>
      </w:r>
    </w:p>
    <w:p w14:paraId="17625359">
      <w:pPr>
        <w:pStyle w:val="7"/>
        <w:rPr>
          <w:color w:val="000000" w:themeColor="text1"/>
          <w:sz w:val="13"/>
          <w:highlight w:val="none"/>
        </w:rPr>
      </w:pPr>
    </w:p>
    <w:p w14:paraId="6B0FD947">
      <w:pPr>
        <w:widowControl/>
        <w:spacing w:line="288" w:lineRule="auto"/>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1.从业人员、营业收入、资产总额填报上一年度数据，无上一年度数据的新成立企业可不填报。</w:t>
      </w:r>
    </w:p>
    <w:p w14:paraId="708D9713">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9A2423">
      <w:pPr>
        <w:widowControl/>
        <w:spacing w:line="288" w:lineRule="auto"/>
        <w:jc w:val="center"/>
        <w:rPr>
          <w:rFonts w:ascii="宋体" w:hAnsi="宋体" w:cs="宋体"/>
          <w:b/>
          <w:bCs/>
          <w:color w:val="000000" w:themeColor="text1"/>
          <w:kern w:val="0"/>
          <w:sz w:val="24"/>
          <w:szCs w:val="24"/>
          <w:highlight w:val="none"/>
        </w:rPr>
      </w:pPr>
    </w:p>
    <w:p w14:paraId="71E7695F">
      <w:pP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br w:type="page"/>
      </w:r>
    </w:p>
    <w:p w14:paraId="4D20B051">
      <w:pPr>
        <w:widowControl/>
        <w:spacing w:line="288" w:lineRule="auto"/>
        <w:jc w:val="cente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（二）监狱企业声明函【不属于监狱企业，不用提供此函】</w:t>
      </w:r>
    </w:p>
    <w:p w14:paraId="63E35F04">
      <w:pPr>
        <w:pStyle w:val="20"/>
        <w:spacing w:line="288" w:lineRule="auto"/>
        <w:ind w:firstLine="0" w:firstLineChars="0"/>
        <w:jc w:val="center"/>
        <w:rPr>
          <w:rFonts w:ascii="宋体" w:hAnsi="宋体" w:eastAsia="宋体" w:cs="宋体"/>
          <w:b/>
          <w:bCs/>
          <w:color w:val="000000" w:themeColor="text1"/>
          <w:kern w:val="0"/>
          <w:sz w:val="24"/>
          <w:szCs w:val="24"/>
          <w:highlight w:val="none"/>
        </w:rPr>
      </w:pPr>
    </w:p>
    <w:p w14:paraId="7C32841A">
      <w:pPr>
        <w:pStyle w:val="20"/>
        <w:spacing w:line="288" w:lineRule="auto"/>
        <w:ind w:firstLine="0" w:firstLineChars="0"/>
        <w:jc w:val="center"/>
        <w:rPr>
          <w:rFonts w:ascii="宋体" w:hAnsi="宋体" w:eastAsia="宋体" w:cs="宋体"/>
          <w:color w:val="000000" w:themeColor="text1"/>
          <w:kern w:val="0"/>
          <w:sz w:val="24"/>
          <w:szCs w:val="24"/>
          <w:highlight w:val="none"/>
          <w:u w:val="single"/>
        </w:rPr>
      </w:pPr>
      <w:r>
        <w:rPr>
          <w:rFonts w:hint="eastAsia" w:ascii="宋体" w:hAnsi="宋体" w:eastAsia="宋体" w:cs="宋体"/>
          <w:b/>
          <w:bCs/>
          <w:color w:val="000000" w:themeColor="text1"/>
          <w:kern w:val="0"/>
          <w:sz w:val="24"/>
          <w:szCs w:val="24"/>
          <w:highlight w:val="none"/>
        </w:rPr>
        <w:t>监狱企业声明函</w:t>
      </w:r>
    </w:p>
    <w:p w14:paraId="032845EE">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本企业郑重声明，根据《关于政府采购支持监狱企业发展有关问题的通知》（财库[2014]68号）的规定，本企业为监狱企业。 </w:t>
      </w:r>
    </w:p>
    <w:p w14:paraId="3F5CBE11">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根据上述标准，我企业属于监狱企业的理由为：</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w:t>
      </w:r>
    </w:p>
    <w:p w14:paraId="1FE755B7">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本企业为参加</w:t>
      </w:r>
      <w:r>
        <w:rPr>
          <w:rFonts w:hint="eastAsia" w:ascii="宋体" w:hAnsi="宋体" w:cs="宋体"/>
          <w:color w:val="000000" w:themeColor="text1"/>
          <w:kern w:val="0"/>
          <w:sz w:val="24"/>
          <w:szCs w:val="24"/>
          <w:highlight w:val="none"/>
          <w:u w:val="single"/>
        </w:rPr>
        <w:t xml:space="preserve">                  （项目名称）（项目编号:          ）</w:t>
      </w:r>
      <w:r>
        <w:rPr>
          <w:rFonts w:hint="eastAsia" w:ascii="宋体" w:hAnsi="宋体" w:cs="宋体"/>
          <w:color w:val="000000" w:themeColor="text1"/>
          <w:kern w:val="0"/>
          <w:sz w:val="24"/>
          <w:szCs w:val="24"/>
          <w:highlight w:val="none"/>
        </w:rPr>
        <w:t>采购活动并提供本企业的服务。</w:t>
      </w:r>
    </w:p>
    <w:p w14:paraId="6545865A">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或提供其他</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（请填写：小型、微型、监狱）企业的服务，该企业为</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（请填写：小型、微型、监狱）企业。</w:t>
      </w:r>
    </w:p>
    <w:p w14:paraId="0DBDC04F">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本企业对上述声明的真实性负责。如有虚假，将依法承担相应责任。 </w:t>
      </w:r>
    </w:p>
    <w:p w14:paraId="550CCD8C">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w:t>
      </w:r>
    </w:p>
    <w:p w14:paraId="6D492168">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供应商名称（盖章或电子签章）：                                         </w:t>
      </w:r>
    </w:p>
    <w:p w14:paraId="3614DB22">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日期：       年     月   日 </w:t>
      </w:r>
    </w:p>
    <w:p w14:paraId="39FCFC69">
      <w:pPr>
        <w:widowControl/>
        <w:spacing w:line="288" w:lineRule="auto"/>
        <w:ind w:firstLine="480" w:firstLineChars="200"/>
        <w:jc w:val="left"/>
        <w:rPr>
          <w:rFonts w:ascii="宋体" w:hAnsi="宋体" w:cs="宋体"/>
          <w:color w:val="000000" w:themeColor="text1"/>
          <w:kern w:val="0"/>
          <w:sz w:val="24"/>
          <w:szCs w:val="24"/>
          <w:highlight w:val="none"/>
        </w:rPr>
      </w:pPr>
    </w:p>
    <w:p w14:paraId="0C009C82">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监狱企业参加政府采购活动时，应当提供由省级以上监狱管理局、戒毒管理局（含新疆生产建设兵团）出具的属于监狱企业的证明文件。 </w:t>
      </w:r>
    </w:p>
    <w:p w14:paraId="4CC520AA">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32D0ED">
      <w:pPr>
        <w:widowControl/>
        <w:spacing w:line="288" w:lineRule="auto"/>
        <w:ind w:firstLine="482" w:firstLineChars="200"/>
        <w:jc w:val="left"/>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注：本声明函为监狱企业填写。</w:t>
      </w:r>
    </w:p>
    <w:p w14:paraId="21D98579">
      <w:pPr>
        <w:pStyle w:val="42"/>
        <w:ind w:firstLine="482"/>
        <w:rPr>
          <w:rFonts w:ascii="宋体"/>
          <w:b/>
          <w:bCs/>
          <w:color w:val="000000" w:themeColor="text1"/>
          <w:kern w:val="0"/>
          <w:szCs w:val="24"/>
          <w:highlight w:val="none"/>
        </w:rPr>
      </w:pPr>
    </w:p>
    <w:p w14:paraId="0BD5ADFE">
      <w:pPr>
        <w:pStyle w:val="42"/>
        <w:ind w:firstLine="482"/>
        <w:rPr>
          <w:rFonts w:ascii="宋体"/>
          <w:b/>
          <w:bCs/>
          <w:color w:val="000000" w:themeColor="text1"/>
          <w:kern w:val="0"/>
          <w:szCs w:val="24"/>
          <w:highlight w:val="none"/>
        </w:rPr>
      </w:pPr>
    </w:p>
    <w:p w14:paraId="3D423DF8">
      <w:pPr>
        <w:pStyle w:val="42"/>
        <w:ind w:firstLine="482"/>
        <w:rPr>
          <w:rFonts w:ascii="宋体"/>
          <w:b/>
          <w:bCs/>
          <w:color w:val="000000" w:themeColor="text1"/>
          <w:kern w:val="0"/>
          <w:szCs w:val="24"/>
          <w:highlight w:val="none"/>
        </w:rPr>
      </w:pPr>
    </w:p>
    <w:p w14:paraId="4A7E6038">
      <w:pPr>
        <w:pStyle w:val="42"/>
        <w:ind w:firstLine="482"/>
        <w:rPr>
          <w:rFonts w:ascii="宋体"/>
          <w:b/>
          <w:bCs/>
          <w:color w:val="000000" w:themeColor="text1"/>
          <w:kern w:val="0"/>
          <w:szCs w:val="24"/>
          <w:highlight w:val="none"/>
        </w:rPr>
      </w:pPr>
    </w:p>
    <w:p w14:paraId="4F0F327E">
      <w:pPr>
        <w:pStyle w:val="42"/>
        <w:ind w:firstLine="482"/>
        <w:rPr>
          <w:rFonts w:ascii="宋体"/>
          <w:b/>
          <w:bCs/>
          <w:color w:val="000000" w:themeColor="text1"/>
          <w:kern w:val="0"/>
          <w:szCs w:val="24"/>
          <w:highlight w:val="none"/>
        </w:rPr>
      </w:pPr>
    </w:p>
    <w:p w14:paraId="2982419D">
      <w:pPr>
        <w:pStyle w:val="42"/>
        <w:ind w:firstLine="482"/>
        <w:rPr>
          <w:rFonts w:ascii="宋体"/>
          <w:b/>
          <w:bCs/>
          <w:color w:val="000000" w:themeColor="text1"/>
          <w:kern w:val="0"/>
          <w:szCs w:val="24"/>
          <w:highlight w:val="none"/>
        </w:rPr>
      </w:pPr>
    </w:p>
    <w:p w14:paraId="71C5188A">
      <w:pPr>
        <w:pStyle w:val="42"/>
        <w:ind w:firstLine="482"/>
        <w:rPr>
          <w:rFonts w:ascii="宋体"/>
          <w:b/>
          <w:bCs/>
          <w:color w:val="000000" w:themeColor="text1"/>
          <w:kern w:val="0"/>
          <w:szCs w:val="24"/>
          <w:highlight w:val="none"/>
        </w:rPr>
      </w:pPr>
    </w:p>
    <w:p w14:paraId="44F662E4">
      <w:pPr>
        <w:pStyle w:val="42"/>
        <w:ind w:firstLine="482"/>
        <w:rPr>
          <w:rFonts w:ascii="宋体"/>
          <w:b/>
          <w:bCs/>
          <w:color w:val="000000" w:themeColor="text1"/>
          <w:kern w:val="0"/>
          <w:szCs w:val="24"/>
          <w:highlight w:val="none"/>
        </w:rPr>
      </w:pPr>
    </w:p>
    <w:p w14:paraId="6609D0C4">
      <w:pPr>
        <w:pStyle w:val="42"/>
        <w:ind w:firstLine="482"/>
        <w:rPr>
          <w:rFonts w:ascii="宋体"/>
          <w:b/>
          <w:bCs/>
          <w:color w:val="000000" w:themeColor="text1"/>
          <w:kern w:val="0"/>
          <w:szCs w:val="24"/>
          <w:highlight w:val="none"/>
        </w:rPr>
      </w:pPr>
    </w:p>
    <w:p w14:paraId="59D71F3F">
      <w:pPr>
        <w:pStyle w:val="42"/>
        <w:ind w:firstLine="482"/>
        <w:rPr>
          <w:rFonts w:ascii="宋体"/>
          <w:b/>
          <w:bCs/>
          <w:color w:val="000000" w:themeColor="text1"/>
          <w:kern w:val="0"/>
          <w:szCs w:val="24"/>
          <w:highlight w:val="none"/>
        </w:rPr>
      </w:pPr>
    </w:p>
    <w:p w14:paraId="0BD30D06">
      <w:pPr>
        <w:pStyle w:val="42"/>
        <w:ind w:firstLine="482"/>
        <w:rPr>
          <w:rFonts w:ascii="宋体"/>
          <w:b/>
          <w:bCs/>
          <w:color w:val="000000" w:themeColor="text1"/>
          <w:kern w:val="0"/>
          <w:szCs w:val="24"/>
          <w:highlight w:val="none"/>
        </w:rPr>
      </w:pPr>
    </w:p>
    <w:p w14:paraId="0BE84058">
      <w:pP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br w:type="page"/>
      </w:r>
    </w:p>
    <w:p w14:paraId="52611DEB">
      <w:pPr>
        <w:widowControl/>
        <w:spacing w:line="288" w:lineRule="auto"/>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（三）残疾人福利性单位声明函【不属于残疾人福利性单位，不用提供此函】</w:t>
      </w:r>
    </w:p>
    <w:p w14:paraId="206A2A7A">
      <w:pPr>
        <w:pStyle w:val="20"/>
        <w:spacing w:line="288" w:lineRule="auto"/>
        <w:ind w:firstLine="0" w:firstLineChars="0"/>
        <w:jc w:val="center"/>
        <w:rPr>
          <w:rFonts w:ascii="宋体" w:hAnsi="宋体" w:eastAsia="宋体" w:cs="宋体"/>
          <w:b/>
          <w:bCs/>
          <w:color w:val="000000" w:themeColor="text1"/>
          <w:kern w:val="0"/>
          <w:sz w:val="24"/>
          <w:szCs w:val="24"/>
          <w:highlight w:val="none"/>
        </w:rPr>
      </w:pPr>
    </w:p>
    <w:p w14:paraId="5DB475B4">
      <w:pPr>
        <w:pStyle w:val="20"/>
        <w:spacing w:line="288" w:lineRule="auto"/>
        <w:ind w:firstLine="0" w:firstLineChars="0"/>
        <w:jc w:val="center"/>
        <w:rPr>
          <w:rFonts w:ascii="宋体" w:hAnsi="宋体" w:eastAsia="宋体" w:cs="宋体"/>
          <w:color w:val="000000" w:themeColor="text1"/>
          <w:kern w:val="0"/>
          <w:sz w:val="24"/>
          <w:szCs w:val="24"/>
          <w:highlight w:val="none"/>
          <w:u w:val="single"/>
        </w:rPr>
      </w:pPr>
      <w:r>
        <w:rPr>
          <w:rFonts w:hint="eastAsia" w:ascii="宋体" w:hAnsi="宋体" w:eastAsia="宋体" w:cs="宋体"/>
          <w:b/>
          <w:bCs/>
          <w:color w:val="000000" w:themeColor="text1"/>
          <w:kern w:val="0"/>
          <w:sz w:val="24"/>
          <w:szCs w:val="24"/>
          <w:highlight w:val="none"/>
        </w:rPr>
        <w:t>残疾人福利性单位声明函</w:t>
      </w:r>
    </w:p>
    <w:p w14:paraId="2BADF630">
      <w:pPr>
        <w:pStyle w:val="20"/>
        <w:spacing w:line="288" w:lineRule="auto"/>
        <w:ind w:firstLine="0" w:firstLineChars="0"/>
        <w:rPr>
          <w:rFonts w:ascii="宋体" w:hAnsi="宋体" w:eastAsia="宋体" w:cs="宋体"/>
          <w:color w:val="000000" w:themeColor="text1"/>
          <w:kern w:val="0"/>
          <w:sz w:val="24"/>
          <w:szCs w:val="24"/>
          <w:highlight w:val="none"/>
          <w:u w:val="single"/>
        </w:rPr>
      </w:pPr>
      <w:r>
        <w:rPr>
          <w:rFonts w:hint="eastAsia" w:ascii="宋体" w:hAnsi="宋体" w:eastAsia="宋体" w:cs="宋体"/>
          <w:color w:val="000000" w:themeColor="text1"/>
          <w:kern w:val="0"/>
          <w:sz w:val="24"/>
          <w:szCs w:val="24"/>
          <w:highlight w:val="none"/>
          <w:u w:val="single"/>
        </w:rPr>
        <w:t xml:space="preserve">          （采购人）：</w:t>
      </w:r>
    </w:p>
    <w:p w14:paraId="1C94EEFE">
      <w:pPr>
        <w:widowControl/>
        <w:spacing w:line="288" w:lineRule="auto"/>
        <w:jc w:val="left"/>
        <w:rPr>
          <w:rFonts w:ascii="宋体" w:hAnsi="宋体" w:cs="宋体"/>
          <w:color w:val="000000" w:themeColor="text1"/>
          <w:kern w:val="0"/>
          <w:sz w:val="24"/>
          <w:szCs w:val="24"/>
          <w:highlight w:val="none"/>
          <w:u w:val="single"/>
        </w:rPr>
      </w:pPr>
      <w:r>
        <w:rPr>
          <w:rFonts w:hint="eastAsia" w:ascii="宋体" w:hAnsi="宋体" w:cs="宋体"/>
          <w:color w:val="000000" w:themeColor="text1"/>
          <w:kern w:val="0"/>
          <w:sz w:val="24"/>
          <w:szCs w:val="24"/>
          <w:highlight w:val="none"/>
          <w:u w:val="single"/>
        </w:rPr>
        <w:t xml:space="preserve">          （代理单位）：</w:t>
      </w:r>
    </w:p>
    <w:p w14:paraId="6492C67A">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kern w:val="0"/>
          <w:sz w:val="24"/>
          <w:szCs w:val="24"/>
          <w:highlight w:val="none"/>
          <w:u w:val="single"/>
        </w:rPr>
        <w:t xml:space="preserve">            （采购人）</w:t>
      </w:r>
      <w:r>
        <w:rPr>
          <w:rFonts w:hint="eastAsia" w:ascii="宋体" w:hAnsi="宋体" w:cs="宋体"/>
          <w:color w:val="000000" w:themeColor="text1"/>
          <w:kern w:val="0"/>
          <w:sz w:val="24"/>
          <w:szCs w:val="24"/>
          <w:highlight w:val="none"/>
        </w:rPr>
        <w:t>单位的</w:t>
      </w:r>
      <w:r>
        <w:rPr>
          <w:rFonts w:hint="eastAsia" w:ascii="宋体" w:hAnsi="宋体" w:cs="宋体"/>
          <w:color w:val="000000" w:themeColor="text1"/>
          <w:kern w:val="0"/>
          <w:sz w:val="24"/>
          <w:szCs w:val="24"/>
          <w:highlight w:val="none"/>
          <w:u w:val="single"/>
        </w:rPr>
        <w:t xml:space="preserve">                  （项目名称）（项目编号:          ）</w:t>
      </w:r>
      <w:r>
        <w:rPr>
          <w:rFonts w:hint="eastAsia" w:ascii="宋体" w:hAnsi="宋体" w:cs="宋体"/>
          <w:color w:val="000000" w:themeColor="text1"/>
          <w:kern w:val="0"/>
          <w:sz w:val="24"/>
          <w:szCs w:val="24"/>
          <w:highlight w:val="none"/>
        </w:rPr>
        <w:t>采购活动，由本单位提供本单位的服务，或者提供其他残疾人福利性单位的服务。</w:t>
      </w:r>
    </w:p>
    <w:p w14:paraId="50537851">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本单位对上述声明的真实性负责。如有虚假，将依法承担相应责任。 </w:t>
      </w:r>
    </w:p>
    <w:p w14:paraId="62AE5192">
      <w:pPr>
        <w:pStyle w:val="20"/>
        <w:spacing w:line="288" w:lineRule="auto"/>
        <w:ind w:firstLine="0" w:firstLineChars="0"/>
        <w:rPr>
          <w:rFonts w:ascii="宋体" w:hAnsi="宋体" w:eastAsia="宋体" w:cs="宋体"/>
          <w:color w:val="000000" w:themeColor="text1"/>
          <w:kern w:val="0"/>
          <w:sz w:val="24"/>
          <w:szCs w:val="24"/>
          <w:highlight w:val="none"/>
        </w:rPr>
      </w:pPr>
    </w:p>
    <w:p w14:paraId="2460F09A">
      <w:pPr>
        <w:tabs>
          <w:tab w:val="left" w:pos="4860"/>
        </w:tabs>
        <w:spacing w:line="288" w:lineRule="auto"/>
        <w:ind w:right="1559"/>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单位名称（盖章或电子签章）：</w:t>
      </w:r>
    </w:p>
    <w:p w14:paraId="4350345E">
      <w:pPr>
        <w:spacing w:line="288" w:lineRule="auto"/>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日  期：</w:t>
      </w:r>
    </w:p>
    <w:p w14:paraId="27B92A61">
      <w:pPr>
        <w:pStyle w:val="20"/>
        <w:spacing w:line="288" w:lineRule="auto"/>
        <w:ind w:firstLine="0" w:firstLineChars="0"/>
        <w:rPr>
          <w:rFonts w:ascii="仿宋" w:hAnsi="仿宋" w:eastAsia="仿宋" w:cs="仿宋"/>
          <w:b/>
          <w:bCs/>
          <w:color w:val="000000" w:themeColor="text1"/>
          <w:sz w:val="24"/>
          <w:szCs w:val="24"/>
          <w:highlight w:val="none"/>
        </w:rPr>
      </w:pPr>
    </w:p>
    <w:p w14:paraId="4C7FC28B">
      <w:pPr>
        <w:rPr>
          <w:rFonts w:cs="宋体"/>
          <w:color w:val="000000" w:themeColor="text1"/>
          <w:sz w:val="32"/>
          <w:highlight w:val="none"/>
        </w:rPr>
      </w:pPr>
      <w:r>
        <w:rPr>
          <w:rFonts w:hint="eastAsia" w:cs="宋体"/>
          <w:color w:val="000000" w:themeColor="text1"/>
          <w:sz w:val="32"/>
          <w:highlight w:val="none"/>
        </w:rPr>
        <w:br w:type="page"/>
      </w:r>
    </w:p>
    <w:p w14:paraId="3BAF89FC">
      <w:pPr>
        <w:pStyle w:val="4"/>
        <w:keepNext w:val="0"/>
        <w:keepLines w:val="0"/>
        <w:widowControl/>
        <w:spacing w:line="460" w:lineRule="exact"/>
        <w:jc w:val="center"/>
        <w:rPr>
          <w:rFonts w:eastAsia="宋体" w:cs="宋体"/>
          <w:color w:val="000000" w:themeColor="text1"/>
          <w:sz w:val="32"/>
          <w:highlight w:val="none"/>
        </w:rPr>
      </w:pPr>
      <w:r>
        <w:rPr>
          <w:rFonts w:hint="eastAsia" w:eastAsia="宋体" w:cs="宋体"/>
          <w:color w:val="000000" w:themeColor="text1"/>
          <w:sz w:val="32"/>
          <w:highlight w:val="none"/>
        </w:rPr>
        <w:t>政府采购活动现场确认声明书</w:t>
      </w:r>
    </w:p>
    <w:p w14:paraId="07609B18">
      <w:pPr>
        <w:pStyle w:val="18"/>
        <w:spacing w:before="0" w:beforeAutospacing="0" w:after="0" w:afterAutospacing="0" w:line="460" w:lineRule="exact"/>
        <w:rPr>
          <w:rFonts w:cs="宋体"/>
          <w:color w:val="000000" w:themeColor="text1"/>
          <w:highlight w:val="none"/>
        </w:rPr>
      </w:pPr>
      <w:r>
        <w:rPr>
          <w:rFonts w:hint="eastAsia" w:cs="宋体"/>
          <w:color w:val="000000" w:themeColor="text1"/>
          <w:highlight w:val="none"/>
          <w:lang w:eastAsia="zh-CN"/>
        </w:rPr>
        <w:t>浙江欣成工程咨询有限公司</w:t>
      </w:r>
      <w:r>
        <w:rPr>
          <w:rFonts w:hint="eastAsia" w:cs="宋体"/>
          <w:color w:val="000000" w:themeColor="text1"/>
          <w:highlight w:val="none"/>
        </w:rPr>
        <w:t> :</w:t>
      </w:r>
    </w:p>
    <w:p w14:paraId="24125E61">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本人 ____________（授权代表姓名），经由______________________________（单位） ____________ （法定代表人姓名）合法授权参加</w:t>
      </w:r>
      <w:r>
        <w:rPr>
          <w:rFonts w:hint="eastAsia" w:cs="宋体"/>
          <w:color w:val="000000" w:themeColor="text1"/>
          <w:highlight w:val="none"/>
          <w:lang w:eastAsia="zh-CN"/>
        </w:rPr>
        <w:t>智造新城消防救援车辆采购（一）</w:t>
      </w:r>
      <w:r>
        <w:rPr>
          <w:rFonts w:hint="eastAsia" w:cs="宋体"/>
          <w:color w:val="000000" w:themeColor="text1"/>
          <w:highlight w:val="none"/>
        </w:rPr>
        <w:t>（编号：____________ 政府采购活动．经与本单位法人代表（负责人）联系确认，现就有关公平竞争事项郑重声明如下:</w:t>
      </w:r>
    </w:p>
    <w:p w14:paraId="5368B293">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一、本单位与采购人之间口不存在利害关系口存在下列利害关系:</w:t>
      </w:r>
    </w:p>
    <w:p w14:paraId="1500BEC9">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A．投资关系      B．行政隶属关系      C．业务指导关系</w:t>
      </w:r>
    </w:p>
    <w:p w14:paraId="2FAC26B0">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D．其他可能影响采购公正的利害关系（如有，请如实说明）。</w:t>
      </w:r>
    </w:p>
    <w:p w14:paraId="401FFF93">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二、现己清楚知道参加本项目采购活动的其他所有供应商名称，本单位 口与其他所有供应商之间均不存在利害关系 口与______________（供应商名称）之间存在下列利害关系:</w:t>
      </w:r>
    </w:p>
    <w:p w14:paraId="27377612">
      <w:pPr>
        <w:pStyle w:val="18"/>
        <w:spacing w:before="0" w:beforeAutospacing="0" w:after="0" w:afterAutospacing="0" w:line="460" w:lineRule="exact"/>
        <w:ind w:left="480"/>
        <w:rPr>
          <w:rFonts w:hint="eastAsia" w:cs="宋体"/>
          <w:color w:val="000000" w:themeColor="text1"/>
          <w:highlight w:val="none"/>
        </w:rPr>
      </w:pPr>
      <w:r>
        <w:rPr>
          <w:rFonts w:hint="eastAsia" w:cs="宋体"/>
          <w:color w:val="000000" w:themeColor="text1"/>
          <w:highlight w:val="none"/>
        </w:rPr>
        <w:t>A．法定代表人或负责人或实际控制人是同一人</w:t>
      </w:r>
      <w:r>
        <w:rPr>
          <w:rFonts w:hint="eastAsia" w:cs="宋体"/>
          <w:color w:val="000000" w:themeColor="text1"/>
          <w:highlight w:val="none"/>
        </w:rPr>
        <w:br w:type="textWrapping"/>
      </w:r>
      <w:r>
        <w:rPr>
          <w:rFonts w:hint="eastAsia" w:cs="宋体"/>
          <w:color w:val="000000" w:themeColor="text1"/>
          <w:highlight w:val="none"/>
        </w:rPr>
        <w:t>B．法定代表人或负责人或实际控制人是夫妻关系</w:t>
      </w:r>
      <w:r>
        <w:rPr>
          <w:rFonts w:hint="eastAsia" w:cs="宋体"/>
          <w:color w:val="000000" w:themeColor="text1"/>
          <w:highlight w:val="none"/>
        </w:rPr>
        <w:br w:type="textWrapping"/>
      </w:r>
      <w:r>
        <w:rPr>
          <w:rFonts w:hint="eastAsia" w:cs="宋体"/>
          <w:color w:val="000000" w:themeColor="text1"/>
          <w:highlight w:val="none"/>
        </w:rPr>
        <w:t>C．法定代表人或负责人或实际控制人是直系血亲关系</w:t>
      </w:r>
      <w:r>
        <w:rPr>
          <w:rFonts w:hint="eastAsia" w:cs="宋体"/>
          <w:color w:val="000000" w:themeColor="text1"/>
          <w:highlight w:val="none"/>
        </w:rPr>
        <w:br w:type="textWrapping"/>
      </w:r>
      <w:r>
        <w:rPr>
          <w:rFonts w:hint="eastAsia" w:cs="宋体"/>
          <w:color w:val="000000" w:themeColor="text1"/>
          <w:highlight w:val="none"/>
        </w:rPr>
        <w:t>D．法定代表人或负责人或实际控制人存在三代以内旁系血亲关系</w:t>
      </w:r>
      <w:r>
        <w:rPr>
          <w:rFonts w:hint="eastAsia" w:cs="宋体"/>
          <w:color w:val="000000" w:themeColor="text1"/>
          <w:highlight w:val="none"/>
        </w:rPr>
        <w:br w:type="textWrapping"/>
      </w:r>
      <w:r>
        <w:rPr>
          <w:rFonts w:hint="eastAsia" w:cs="宋体"/>
          <w:color w:val="000000" w:themeColor="text1"/>
          <w:highlight w:val="none"/>
        </w:rPr>
        <w:t>E．法定代表人或负责人或实际控制人存在近姻亲关系</w:t>
      </w:r>
      <w:r>
        <w:rPr>
          <w:rFonts w:hint="eastAsia" w:cs="宋体"/>
          <w:color w:val="000000" w:themeColor="text1"/>
          <w:highlight w:val="none"/>
        </w:rPr>
        <w:br w:type="textWrapping"/>
      </w:r>
      <w:r>
        <w:rPr>
          <w:rFonts w:hint="eastAsia" w:cs="宋体"/>
          <w:color w:val="000000" w:themeColor="text1"/>
          <w:highlight w:val="none"/>
        </w:rPr>
        <w:t>F．法定代表人或负责人或实际控制人存在股份控制或实际控制关系</w:t>
      </w:r>
      <w:r>
        <w:rPr>
          <w:rFonts w:hint="eastAsia" w:cs="宋体"/>
          <w:color w:val="000000" w:themeColor="text1"/>
          <w:highlight w:val="none"/>
        </w:rPr>
        <w:br w:type="textWrapping"/>
      </w:r>
      <w:r>
        <w:rPr>
          <w:rFonts w:hint="eastAsia" w:cs="宋体"/>
          <w:color w:val="000000" w:themeColor="text1"/>
          <w:highlight w:val="none"/>
        </w:rPr>
        <w:t xml:space="preserve">G．存在共同直接或间接投资设立子公司、联营企业和合营企业情况 </w:t>
      </w:r>
    </w:p>
    <w:p w14:paraId="0FA757E7">
      <w:pPr>
        <w:pStyle w:val="18"/>
        <w:spacing w:before="0" w:beforeAutospacing="0" w:after="0" w:afterAutospacing="0" w:line="460" w:lineRule="exact"/>
        <w:ind w:firstLine="480"/>
        <w:rPr>
          <w:rFonts w:hint="eastAsia" w:cs="宋体"/>
          <w:color w:val="000000" w:themeColor="text1"/>
          <w:highlight w:val="none"/>
        </w:rPr>
      </w:pPr>
      <w:r>
        <w:rPr>
          <w:rFonts w:hint="eastAsia" w:cs="宋体"/>
          <w:color w:val="000000" w:themeColor="text1"/>
          <w:highlight w:val="none"/>
        </w:rPr>
        <w:t>H．存在分级代理或代销关系、同一生产制造商关系、管理关系、重要业务（占主营业务收入 50 ％以上）或重要财务往来关系（如融资）等其他实质性控制关系</w:t>
      </w:r>
    </w:p>
    <w:p w14:paraId="455623C4">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I．其他利害关系情况 ________________________________________。</w:t>
      </w:r>
    </w:p>
    <w:p w14:paraId="283BE85F">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三、现己清楚知道并严格遵守政府采购法律法规和现场纪律。</w:t>
      </w:r>
    </w:p>
    <w:p w14:paraId="126EA429">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四、我发现 ____________________供应商之间存在或可能存在上述第二条第 ____________项利害关系。</w:t>
      </w:r>
    </w:p>
    <w:p w14:paraId="3979AD6E">
      <w:pPr>
        <w:pStyle w:val="18"/>
        <w:spacing w:before="0" w:beforeAutospacing="0" w:after="0" w:afterAutospacing="0" w:line="460" w:lineRule="exact"/>
        <w:ind w:firstLine="480"/>
        <w:rPr>
          <w:rFonts w:cs="宋体"/>
          <w:color w:val="000000" w:themeColor="text1"/>
          <w:highlight w:val="none"/>
        </w:rPr>
      </w:pPr>
    </w:p>
    <w:p w14:paraId="69A6FBFA">
      <w:pPr>
        <w:pStyle w:val="18"/>
        <w:spacing w:before="0" w:beforeAutospacing="0" w:after="0" w:afterAutospacing="0" w:line="460" w:lineRule="exact"/>
        <w:jc w:val="right"/>
        <w:rPr>
          <w:rFonts w:cs="宋体"/>
          <w:color w:val="000000" w:themeColor="text1"/>
          <w:highlight w:val="none"/>
        </w:rPr>
      </w:pPr>
      <w:r>
        <w:rPr>
          <w:rFonts w:hint="eastAsia" w:cs="宋体"/>
          <w:color w:val="000000" w:themeColor="text1"/>
          <w:highlight w:val="none"/>
        </w:rPr>
        <w:t>（供应商代表签名）:         </w:t>
      </w:r>
    </w:p>
    <w:p w14:paraId="6740B23E">
      <w:pPr>
        <w:pStyle w:val="18"/>
        <w:spacing w:before="0" w:beforeAutospacing="0" w:after="0" w:afterAutospacing="0" w:line="460" w:lineRule="exact"/>
        <w:jc w:val="right"/>
        <w:rPr>
          <w:rFonts w:cs="宋体"/>
          <w:color w:val="000000" w:themeColor="text1"/>
          <w:highlight w:val="none"/>
        </w:rPr>
      </w:pPr>
      <w:r>
        <w:rPr>
          <w:rFonts w:hint="eastAsia" w:cs="宋体"/>
          <w:color w:val="000000" w:themeColor="text1"/>
          <w:highlight w:val="none"/>
        </w:rPr>
        <w:t>                年   月   日</w:t>
      </w:r>
    </w:p>
    <w:p w14:paraId="51A39E59">
      <w:pPr>
        <w:pStyle w:val="18"/>
        <w:spacing w:before="0" w:beforeAutospacing="0" w:after="0" w:afterAutospacing="0" w:line="460" w:lineRule="exact"/>
        <w:jc w:val="center"/>
        <w:rPr>
          <w:rFonts w:cstheme="minorBidi"/>
          <w:b/>
          <w:color w:val="000000" w:themeColor="text1"/>
          <w:sz w:val="32"/>
          <w:szCs w:val="21"/>
          <w:highlight w:val="none"/>
        </w:rPr>
      </w:pPr>
      <w:r>
        <w:rPr>
          <w:rFonts w:hint="eastAsia" w:cs="宋体"/>
          <w:b/>
          <w:bCs/>
          <w:color w:val="000000" w:themeColor="text1"/>
          <w:highlight w:val="none"/>
        </w:rPr>
        <w:t>（注：供应商在开标后半小时内提供原件扫描件发送至邮箱：838382939@qq.com）</w:t>
      </w:r>
      <w:r>
        <w:rPr>
          <w:rFonts w:hint="eastAsia" w:cs="宋体"/>
          <w:b/>
          <w:bCs/>
          <w:color w:val="000000" w:themeColor="text1"/>
          <w:sz w:val="32"/>
          <w:szCs w:val="32"/>
          <w:highlight w:val="none"/>
        </w:rPr>
        <w:br w:type="page"/>
      </w:r>
      <w:r>
        <w:rPr>
          <w:rFonts w:hint="eastAsia" w:cstheme="minorBidi"/>
          <w:b/>
          <w:color w:val="000000" w:themeColor="text1"/>
          <w:sz w:val="32"/>
          <w:szCs w:val="21"/>
          <w:highlight w:val="none"/>
        </w:rPr>
        <w:t>第六部分</w:t>
      </w:r>
      <w:bookmarkEnd w:id="67"/>
      <w:r>
        <w:rPr>
          <w:rFonts w:hint="eastAsia" w:cstheme="minorBidi"/>
          <w:b/>
          <w:color w:val="000000" w:themeColor="text1"/>
          <w:sz w:val="32"/>
          <w:szCs w:val="21"/>
          <w:highlight w:val="none"/>
        </w:rPr>
        <w:t xml:space="preserve"> 评标办法及开评标程序</w:t>
      </w:r>
    </w:p>
    <w:p w14:paraId="49C7503B">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68" w:name="_Toc6292"/>
      <w:bookmarkStart w:id="69" w:name="_Toc359856825"/>
      <w:bookmarkStart w:id="70" w:name="_Toc17578"/>
      <w:bookmarkStart w:id="71" w:name="_Toc522530064"/>
      <w:r>
        <w:rPr>
          <w:rFonts w:hint="eastAsia" w:ascii="宋体" w:hAnsi="宋体" w:cs="宋体"/>
          <w:b/>
          <w:bCs/>
          <w:color w:val="000000" w:themeColor="text1"/>
          <w:sz w:val="24"/>
          <w:szCs w:val="24"/>
          <w:highlight w:val="none"/>
          <w:lang w:val="zh-CN"/>
        </w:rPr>
        <w:t>一、评标委员会的组成</w:t>
      </w:r>
      <w:bookmarkEnd w:id="68"/>
      <w:bookmarkEnd w:id="69"/>
    </w:p>
    <w:p w14:paraId="375BB7E5">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1.评标委员会由</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人组成，其中采购单位代表</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名以及从专家库里随机抽取的专家</w:t>
      </w: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名，评标委员会负责对投标文件进行评审。</w:t>
      </w:r>
    </w:p>
    <w:p w14:paraId="59197B76">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2.询标期间，工作人员通过政采云系统向投标人发出在线询标内容，投标人法人代表或法人委托人负责解答及上传相关文件。</w:t>
      </w:r>
    </w:p>
    <w:bookmarkEnd w:id="70"/>
    <w:bookmarkEnd w:id="71"/>
    <w:p w14:paraId="01694767">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2" w:name="_Toc359856826"/>
      <w:bookmarkStart w:id="73" w:name="_Toc5850"/>
      <w:r>
        <w:rPr>
          <w:rFonts w:hint="eastAsia" w:ascii="宋体" w:hAnsi="宋体" w:cs="宋体"/>
          <w:b/>
          <w:bCs/>
          <w:color w:val="000000" w:themeColor="text1"/>
          <w:sz w:val="24"/>
          <w:szCs w:val="24"/>
          <w:highlight w:val="none"/>
          <w:lang w:val="zh-CN"/>
        </w:rPr>
        <w:t>二、评标原则</w:t>
      </w:r>
      <w:bookmarkEnd w:id="72"/>
      <w:bookmarkEnd w:id="73"/>
    </w:p>
    <w:p w14:paraId="6EC8B3AD">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1.投标人得分由商务技术分和报价分合计组成,满分为100分。</w:t>
      </w:r>
    </w:p>
    <w:p w14:paraId="0324AFA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2.商务技术分和报价分合计得分最高者为第一中标候选人，总分相同时，价格低者优先，总分相同且价格相同的，商务部分优者为中标人。</w:t>
      </w:r>
    </w:p>
    <w:p w14:paraId="7F897BB2">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3.评标委员会根据招标文件和投标文件，结合商务技术评分细则对各投标人的商务技术部分进行评审。评标委员会各成员所评分值的算术平均值即为各投标人的商务技术分值（计算时四舍五入保留二位小数）。</w:t>
      </w:r>
    </w:p>
    <w:p w14:paraId="06D8DF36">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4.评定结果经采购人确定后，</w:t>
      </w:r>
      <w:r>
        <w:rPr>
          <w:rFonts w:hint="eastAsia" w:ascii="宋体" w:hAnsi="宋体" w:cs="宋体"/>
          <w:color w:val="000000" w:themeColor="text1"/>
          <w:sz w:val="24"/>
          <w:szCs w:val="24"/>
          <w:highlight w:val="none"/>
          <w:lang w:eastAsia="zh-CN"/>
        </w:rPr>
        <w:t>浙江欣成工程咨询有限公司</w:t>
      </w:r>
      <w:r>
        <w:rPr>
          <w:rFonts w:hint="eastAsia" w:ascii="宋体" w:hAnsi="宋体" w:cs="宋体"/>
          <w:color w:val="000000" w:themeColor="text1"/>
          <w:sz w:val="24"/>
          <w:szCs w:val="24"/>
          <w:highlight w:val="none"/>
        </w:rPr>
        <w:t>在中标人确定之日起2个工作日内将以书面形式发出《中标通知书》，并在省级以上人民政府财政部门指定的媒体上公告中标结果。</w:t>
      </w:r>
    </w:p>
    <w:p w14:paraId="3045F1CD">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4" w:name="_Toc10857"/>
      <w:bookmarkStart w:id="75" w:name="_Toc359856827"/>
      <w:r>
        <w:rPr>
          <w:rFonts w:hint="eastAsia" w:ascii="宋体" w:hAnsi="宋体" w:cs="宋体"/>
          <w:b/>
          <w:bCs/>
          <w:color w:val="000000" w:themeColor="text1"/>
          <w:sz w:val="24"/>
          <w:szCs w:val="24"/>
          <w:highlight w:val="none"/>
          <w:lang w:val="zh-CN"/>
        </w:rPr>
        <w:t>三、注意事项</w:t>
      </w:r>
      <w:bookmarkEnd w:id="74"/>
      <w:bookmarkEnd w:id="75"/>
    </w:p>
    <w:p w14:paraId="3D251FD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540824">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6" w:name="_Toc359856828"/>
      <w:bookmarkStart w:id="77" w:name="_Toc10247"/>
      <w:r>
        <w:rPr>
          <w:rFonts w:hint="eastAsia" w:ascii="宋体" w:hAnsi="宋体" w:cs="宋体"/>
          <w:b/>
          <w:bCs/>
          <w:color w:val="000000" w:themeColor="text1"/>
          <w:sz w:val="24"/>
          <w:szCs w:val="24"/>
          <w:highlight w:val="none"/>
          <w:lang w:val="zh-CN"/>
        </w:rPr>
        <w:t>四、评分标准</w:t>
      </w:r>
      <w:bookmarkEnd w:id="76"/>
      <w:bookmarkEnd w:id="77"/>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02"/>
        <w:gridCol w:w="5833"/>
        <w:gridCol w:w="804"/>
      </w:tblGrid>
      <w:tr w14:paraId="146A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399" w:type="dxa"/>
            <w:gridSpan w:val="2"/>
            <w:vAlign w:val="center"/>
          </w:tcPr>
          <w:p w14:paraId="0EC9A1A3">
            <w:pPr>
              <w:wordWrap w:val="0"/>
              <w:autoSpaceDE w:val="0"/>
              <w:autoSpaceDN w:val="0"/>
              <w:adjustRightInd w:val="0"/>
              <w:spacing w:line="0" w:lineRule="atLeast"/>
              <w:contextualSpacing/>
              <w:jc w:val="center"/>
              <w:rPr>
                <w:rFonts w:ascii="宋体" w:hAnsi="宋体" w:cs="宋体"/>
                <w:b/>
                <w:bCs/>
                <w:color w:val="000000" w:themeColor="text1"/>
                <w:sz w:val="24"/>
                <w:szCs w:val="24"/>
                <w:highlight w:val="none"/>
                <w:lang w:val="zh-CN"/>
              </w:rPr>
            </w:pPr>
            <w:bookmarkStart w:id="78" w:name="_Toc323"/>
            <w:r>
              <w:rPr>
                <w:rFonts w:hint="eastAsia" w:ascii="宋体" w:hAnsi="宋体" w:cs="宋体"/>
                <w:b/>
                <w:bCs/>
                <w:color w:val="000000" w:themeColor="text1"/>
                <w:sz w:val="24"/>
                <w:szCs w:val="24"/>
                <w:highlight w:val="none"/>
                <w:lang w:val="zh-CN"/>
              </w:rPr>
              <w:t>条款内容</w:t>
            </w:r>
          </w:p>
        </w:tc>
        <w:tc>
          <w:tcPr>
            <w:tcW w:w="6637" w:type="dxa"/>
            <w:gridSpan w:val="2"/>
            <w:vAlign w:val="center"/>
          </w:tcPr>
          <w:p w14:paraId="277014C0">
            <w:pPr>
              <w:wordWrap w:val="0"/>
              <w:autoSpaceDE w:val="0"/>
              <w:autoSpaceDN w:val="0"/>
              <w:adjustRightInd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编列内容</w:t>
            </w:r>
          </w:p>
        </w:tc>
      </w:tr>
      <w:tr w14:paraId="7944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9" w:type="dxa"/>
            <w:gridSpan w:val="2"/>
            <w:vAlign w:val="center"/>
          </w:tcPr>
          <w:p w14:paraId="0B2D988E">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分值构成</w:t>
            </w:r>
          </w:p>
          <w:p w14:paraId="7A3FD9B8">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（总分100分）</w:t>
            </w:r>
          </w:p>
        </w:tc>
        <w:tc>
          <w:tcPr>
            <w:tcW w:w="6637" w:type="dxa"/>
            <w:gridSpan w:val="2"/>
            <w:vAlign w:val="center"/>
          </w:tcPr>
          <w:p w14:paraId="530038F5">
            <w:pPr>
              <w:wordWrap w:val="0"/>
              <w:spacing w:line="0" w:lineRule="atLeast"/>
              <w:contextualSpacing/>
              <w:jc w:val="center"/>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本次评标采用综合评估法。评审内容满分100分，</w:t>
            </w:r>
            <w:r>
              <w:rPr>
                <w:rFonts w:hint="eastAsia" w:ascii="宋体" w:hAnsi="宋体" w:cs="宋体"/>
                <w:color w:val="000000" w:themeColor="text1"/>
                <w:sz w:val="24"/>
                <w:szCs w:val="24"/>
                <w:highlight w:val="none"/>
                <w:lang w:val="en-US" w:eastAsia="zh-CN"/>
              </w:rPr>
              <w:t>商务</w:t>
            </w:r>
            <w:r>
              <w:rPr>
                <w:rFonts w:hint="eastAsia" w:ascii="宋体" w:hAnsi="宋体" w:cs="宋体"/>
                <w:color w:val="000000" w:themeColor="text1"/>
                <w:sz w:val="24"/>
                <w:szCs w:val="24"/>
                <w:highlight w:val="none"/>
                <w:lang w:val="zh-CN"/>
              </w:rPr>
              <w:t>技术</w:t>
            </w:r>
            <w:r>
              <w:rPr>
                <w:rFonts w:hint="eastAsia" w:ascii="宋体" w:hAnsi="宋体" w:cs="宋体"/>
                <w:color w:val="000000" w:themeColor="text1"/>
                <w:sz w:val="24"/>
                <w:szCs w:val="24"/>
                <w:highlight w:val="none"/>
              </w:rPr>
              <w:t>部分</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zh-CN"/>
              </w:rPr>
              <w:t>分、报价</w:t>
            </w:r>
            <w:r>
              <w:rPr>
                <w:rFonts w:hint="eastAsia" w:ascii="宋体" w:hAnsi="宋体" w:cs="宋体"/>
                <w:color w:val="000000" w:themeColor="text1"/>
                <w:sz w:val="24"/>
                <w:szCs w:val="24"/>
                <w:highlight w:val="none"/>
              </w:rPr>
              <w:t>部分</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zh-CN"/>
              </w:rPr>
              <w:t>分。</w:t>
            </w:r>
          </w:p>
        </w:tc>
      </w:tr>
      <w:tr w14:paraId="6A7C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7" w:type="dxa"/>
            <w:vAlign w:val="center"/>
          </w:tcPr>
          <w:p w14:paraId="05BF4A4A">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条款号</w:t>
            </w:r>
          </w:p>
        </w:tc>
        <w:tc>
          <w:tcPr>
            <w:tcW w:w="1202" w:type="dxa"/>
            <w:vAlign w:val="center"/>
          </w:tcPr>
          <w:p w14:paraId="2528304A">
            <w:pPr>
              <w:wordWrap w:val="0"/>
              <w:spacing w:line="0" w:lineRule="atLeast"/>
              <w:contextualSpacing/>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评审因素</w:t>
            </w:r>
          </w:p>
        </w:tc>
        <w:tc>
          <w:tcPr>
            <w:tcW w:w="5833" w:type="dxa"/>
            <w:vAlign w:val="center"/>
          </w:tcPr>
          <w:p w14:paraId="52FE5A93">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rPr>
              <w:t>评审标准</w:t>
            </w:r>
          </w:p>
        </w:tc>
        <w:tc>
          <w:tcPr>
            <w:tcW w:w="804" w:type="dxa"/>
            <w:vAlign w:val="center"/>
          </w:tcPr>
          <w:p w14:paraId="7584BAD4">
            <w:pPr>
              <w:wordWrap w:val="0"/>
              <w:spacing w:line="0" w:lineRule="atLeast"/>
              <w:contextualSpacing/>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得分</w:t>
            </w:r>
          </w:p>
        </w:tc>
      </w:tr>
      <w:tr w14:paraId="6E23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Align w:val="center"/>
          </w:tcPr>
          <w:p w14:paraId="04AD43B3">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报价部分</w:t>
            </w:r>
          </w:p>
          <w:p w14:paraId="57B76AF5">
            <w:pPr>
              <w:wordWrap w:val="0"/>
              <w:spacing w:line="370" w:lineRule="exact"/>
              <w:contextualSpacing/>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0分）</w:t>
            </w:r>
          </w:p>
        </w:tc>
        <w:tc>
          <w:tcPr>
            <w:tcW w:w="1202" w:type="dxa"/>
            <w:vAlign w:val="center"/>
          </w:tcPr>
          <w:p w14:paraId="3FBEB732">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w:t>
            </w:r>
          </w:p>
        </w:tc>
        <w:tc>
          <w:tcPr>
            <w:tcW w:w="5833" w:type="dxa"/>
            <w:vAlign w:val="center"/>
          </w:tcPr>
          <w:p w14:paraId="7FFD53BB">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投标价格分统一采用低价优先法计算，即满足招标文件要求的有效投标人（通过资格审查和符合性审查）中最终评标价格最低的报价为评标基准价，其价格分为满分</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0分。</w:t>
            </w:r>
          </w:p>
          <w:p w14:paraId="18BE9ADD">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其他投标人的价格分统一按照下列公式计算：</w:t>
            </w:r>
          </w:p>
          <w:p w14:paraId="0A4FA2E6">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投标报价得分=（评标基准价/最终评标价格）×</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p>
          <w:p w14:paraId="16675050">
            <w:pPr>
              <w:spacing w:line="37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最终得分计算保留小数点后两位。</w:t>
            </w:r>
          </w:p>
        </w:tc>
        <w:tc>
          <w:tcPr>
            <w:tcW w:w="804" w:type="dxa"/>
            <w:vAlign w:val="center"/>
          </w:tcPr>
          <w:p w14:paraId="736E0B75">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p>
        </w:tc>
      </w:tr>
      <w:tr w14:paraId="59A4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97" w:type="dxa"/>
            <w:vMerge w:val="restart"/>
            <w:vAlign w:val="center"/>
          </w:tcPr>
          <w:p w14:paraId="4A7911A2">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商务</w:t>
            </w:r>
            <w:r>
              <w:rPr>
                <w:rFonts w:hint="eastAsia" w:ascii="宋体" w:hAnsi="宋体" w:cs="宋体"/>
                <w:color w:val="000000" w:themeColor="text1"/>
                <w:sz w:val="24"/>
                <w:szCs w:val="24"/>
                <w:highlight w:val="none"/>
              </w:rPr>
              <w:t>技术部分</w:t>
            </w:r>
          </w:p>
          <w:p w14:paraId="390230BD">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0分）</w:t>
            </w:r>
          </w:p>
        </w:tc>
        <w:tc>
          <w:tcPr>
            <w:tcW w:w="1202" w:type="dxa"/>
            <w:vAlign w:val="center"/>
          </w:tcPr>
          <w:p w14:paraId="6D66661A">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技术指标响应情况</w:t>
            </w:r>
          </w:p>
        </w:tc>
        <w:tc>
          <w:tcPr>
            <w:tcW w:w="5833" w:type="dxa"/>
            <w:vAlign w:val="top"/>
          </w:tcPr>
          <w:p w14:paraId="71CC3600">
            <w:pPr>
              <w:wordWrap w:val="0"/>
              <w:spacing w:line="370" w:lineRule="exact"/>
              <w:contextualSpacing/>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根据投标人对招标文件采购需求及要求中“</w:t>
            </w:r>
            <w:r>
              <w:rPr>
                <w:rFonts w:hint="eastAsia" w:ascii="宋体" w:hAnsi="宋体" w:cs="宋体"/>
                <w:color w:val="000000" w:themeColor="text1"/>
                <w:sz w:val="24"/>
                <w:szCs w:val="24"/>
                <w:highlight w:val="none"/>
                <w:lang w:val="en-US" w:eastAsia="zh-CN"/>
              </w:rPr>
              <w:t>主要参数</w:t>
            </w:r>
            <w:r>
              <w:rPr>
                <w:rFonts w:hint="eastAsia" w:ascii="宋体" w:hAnsi="宋体" w:cs="宋体"/>
                <w:color w:val="000000" w:themeColor="text1"/>
                <w:sz w:val="24"/>
                <w:szCs w:val="24"/>
                <w:highlight w:val="none"/>
              </w:rPr>
              <w:t>”逐项响应情况进行评分：每负偏离一项扣</w:t>
            </w:r>
            <w:r>
              <w:rPr>
                <w:rFonts w:hint="eastAsia" w:ascii="宋体" w:hAnsi="宋体" w:cs="宋体"/>
                <w:color w:val="000000" w:themeColor="text1"/>
                <w:sz w:val="24"/>
                <w:szCs w:val="24"/>
                <w:highlight w:val="none"/>
                <w:lang w:val="en-US" w:eastAsia="zh-CN"/>
              </w:rPr>
              <w:t>1</w:t>
            </w:r>
            <w:r>
              <w:rPr>
                <w:rFonts w:hint="eastAsia" w:ascii="宋体" w:hAnsi="宋体" w:cs="宋体"/>
                <w:color w:val="000000" w:themeColor="text1"/>
                <w:sz w:val="24"/>
                <w:szCs w:val="24"/>
                <w:highlight w:val="none"/>
              </w:rPr>
              <w:t>分，扣完为止。</w:t>
            </w:r>
            <w:r>
              <w:rPr>
                <w:rFonts w:hint="eastAsia" w:ascii="宋体" w:hAnsi="宋体" w:cs="宋体"/>
                <w:color w:val="000000" w:themeColor="text1"/>
                <w:sz w:val="24"/>
                <w:szCs w:val="24"/>
                <w:highlight w:val="none"/>
                <w:lang w:val="en-US" w:eastAsia="zh-CN"/>
              </w:rPr>
              <w:t>标注</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号</w:t>
            </w:r>
            <w:r>
              <w:rPr>
                <w:rFonts w:hint="eastAsia" w:ascii="宋体" w:hAnsi="宋体" w:cs="宋体"/>
                <w:color w:val="000000" w:themeColor="text1"/>
                <w:sz w:val="24"/>
                <w:szCs w:val="24"/>
                <w:highlight w:val="none"/>
              </w:rPr>
              <w:t>的为重要参数指标或要求</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rPr>
              <w:t>每负偏离一项扣</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分，扣完为止。</w:t>
            </w:r>
            <w:r>
              <w:rPr>
                <w:rFonts w:hint="eastAsia" w:ascii="宋体" w:hAnsi="宋体" w:cs="宋体"/>
                <w:color w:val="000000" w:themeColor="text1"/>
                <w:sz w:val="24"/>
                <w:szCs w:val="24"/>
                <w:highlight w:val="none"/>
                <w:lang w:val="en-US" w:eastAsia="zh-CN"/>
              </w:rPr>
              <w:t>标注</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号</w:t>
            </w:r>
            <w:r>
              <w:rPr>
                <w:rFonts w:hint="eastAsia" w:ascii="宋体" w:hAnsi="宋体" w:cs="宋体"/>
                <w:color w:val="000000" w:themeColor="text1"/>
                <w:sz w:val="24"/>
                <w:szCs w:val="24"/>
                <w:highlight w:val="none"/>
              </w:rPr>
              <w:t>的不允许负偏离，否则视为未实质性响应招标文件要求，其投标按无效投标处理。</w:t>
            </w:r>
          </w:p>
          <w:p w14:paraId="2C70AB18">
            <w:pPr>
              <w:wordWrap w:val="0"/>
              <w:spacing w:line="370" w:lineRule="exact"/>
              <w:contextualSpacing/>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r>
              <w:rPr>
                <w:rFonts w:hint="eastAsia" w:ascii="宋体" w:hAnsi="宋体" w:cs="宋体"/>
                <w:color w:val="000000" w:themeColor="text1"/>
                <w:sz w:val="24"/>
                <w:szCs w:val="24"/>
                <w:highlight w:val="none"/>
                <w:lang w:val="en-US" w:eastAsia="zh-CN"/>
              </w:rPr>
              <w:t>投标人根据</w:t>
            </w:r>
            <w:r>
              <w:rPr>
                <w:rFonts w:hint="eastAsia" w:ascii="宋体" w:hAnsi="宋体" w:eastAsia="宋体" w:cs="宋体"/>
                <w:color w:val="000000" w:themeColor="text1"/>
                <w:sz w:val="24"/>
                <w:szCs w:val="24"/>
                <w:highlight w:val="none"/>
                <w:lang w:val="en-US" w:eastAsia="zh-CN"/>
              </w:rPr>
              <w:t>技术偏离表要求进行逐条响应并说明偏离情况（无偏离、正偏离、负偏离）</w:t>
            </w:r>
            <w:r>
              <w:rPr>
                <w:rFonts w:hint="eastAsia" w:ascii="宋体" w:hAnsi="宋体" w:cs="宋体"/>
                <w:color w:val="000000" w:themeColor="text1"/>
                <w:sz w:val="24"/>
                <w:szCs w:val="24"/>
                <w:highlight w:val="none"/>
                <w:lang w:val="en-US" w:eastAsia="zh-CN"/>
              </w:rPr>
              <w:t>，自行编制</w:t>
            </w:r>
            <w:r>
              <w:rPr>
                <w:rFonts w:hint="eastAsia" w:ascii="宋体" w:hAnsi="宋体" w:cs="宋体"/>
                <w:b w:val="0"/>
                <w:bCs w:val="0"/>
                <w:color w:val="000000" w:themeColor="text1"/>
                <w:sz w:val="24"/>
                <w:szCs w:val="24"/>
                <w:highlight w:val="none"/>
                <w:lang w:val="en-US" w:eastAsia="zh-CN"/>
              </w:rPr>
              <w:t>承诺函</w:t>
            </w:r>
            <w:r>
              <w:rPr>
                <w:rFonts w:hint="eastAsia" w:ascii="宋体" w:hAnsi="宋体" w:cs="宋体"/>
                <w:color w:val="000000" w:themeColor="text1"/>
                <w:sz w:val="24"/>
                <w:szCs w:val="24"/>
                <w:highlight w:val="none"/>
                <w:lang w:val="en-US" w:eastAsia="zh-CN"/>
              </w:rPr>
              <w:t>承诺对本表所应答参数真实性负责。</w:t>
            </w:r>
          </w:p>
        </w:tc>
        <w:tc>
          <w:tcPr>
            <w:tcW w:w="804" w:type="dxa"/>
            <w:vAlign w:val="center"/>
          </w:tcPr>
          <w:p w14:paraId="3F66750F">
            <w:pPr>
              <w:wordWrap w:val="0"/>
              <w:spacing w:line="370" w:lineRule="exact"/>
              <w:contextualSpacing/>
              <w:jc w:val="center"/>
              <w:rPr>
                <w:rFonts w:hint="default" w:ascii="宋体" w:hAnsi="宋体" w:cs="宋体"/>
                <w:color w:val="000000" w:themeColor="text1"/>
                <w:sz w:val="24"/>
                <w:szCs w:val="24"/>
                <w:highlight w:val="none"/>
                <w:lang w:val="en-US"/>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15</w:t>
            </w:r>
          </w:p>
        </w:tc>
      </w:tr>
      <w:tr w14:paraId="66EF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97" w:type="dxa"/>
            <w:vMerge w:val="continue"/>
            <w:vAlign w:val="center"/>
          </w:tcPr>
          <w:p w14:paraId="37BC45B8">
            <w:pPr>
              <w:wordWrap w:val="0"/>
              <w:spacing w:line="370" w:lineRule="exact"/>
              <w:contextualSpacing/>
              <w:jc w:val="center"/>
              <w:rPr>
                <w:rFonts w:hint="eastAsia" w:ascii="宋体" w:hAnsi="宋体" w:cs="宋体"/>
                <w:color w:val="000000" w:themeColor="text1"/>
                <w:sz w:val="24"/>
                <w:szCs w:val="24"/>
                <w:highlight w:val="none"/>
              </w:rPr>
            </w:pPr>
          </w:p>
        </w:tc>
        <w:tc>
          <w:tcPr>
            <w:tcW w:w="1202" w:type="dxa"/>
            <w:vAlign w:val="center"/>
          </w:tcPr>
          <w:p w14:paraId="5A7ADD6D">
            <w:pPr>
              <w:wordWrap w:val="0"/>
              <w:spacing w:line="370" w:lineRule="exact"/>
              <w:contextualSpacing/>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视频讲解</w:t>
            </w:r>
          </w:p>
        </w:tc>
        <w:tc>
          <w:tcPr>
            <w:tcW w:w="5833" w:type="dxa"/>
            <w:vAlign w:val="top"/>
          </w:tcPr>
          <w:p w14:paraId="2CE5A69B">
            <w:pPr>
              <w:wordWrap w:val="0"/>
              <w:spacing w:line="370" w:lineRule="exact"/>
              <w:contextualSpacing/>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根据投标人对拟投入使用车辆的现场演示、讲解视频（3分钟内）进行打分。</w:t>
            </w:r>
          </w:p>
          <w:p w14:paraId="17D1CDAA">
            <w:pPr>
              <w:wordWrap w:val="0"/>
              <w:spacing w:line="370" w:lineRule="exact"/>
              <w:contextualSpacing/>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注：以</w:t>
            </w:r>
            <w:r>
              <w:rPr>
                <w:rFonts w:hint="eastAsia" w:hAnsi="宋体" w:cs="宋体"/>
                <w:color w:val="000000" w:themeColor="text1"/>
                <w:sz w:val="24"/>
                <w:szCs w:val="24"/>
                <w:highlight w:val="none"/>
              </w:rPr>
              <w:t>介质（U盘）存储的数据电文形式的</w:t>
            </w:r>
            <w:r>
              <w:rPr>
                <w:rFonts w:hint="eastAsia" w:hAnsi="宋体" w:cs="宋体"/>
                <w:color w:val="000000" w:themeColor="text1"/>
                <w:sz w:val="24"/>
                <w:szCs w:val="24"/>
                <w:highlight w:val="none"/>
                <w:lang w:val="en-US" w:eastAsia="zh-CN"/>
              </w:rPr>
              <w:t>形式递交，不提供不得分。</w:t>
            </w:r>
          </w:p>
        </w:tc>
        <w:tc>
          <w:tcPr>
            <w:tcW w:w="804" w:type="dxa"/>
            <w:vAlign w:val="center"/>
          </w:tcPr>
          <w:p w14:paraId="4455CBC7">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0-10</w:t>
            </w:r>
          </w:p>
        </w:tc>
      </w:tr>
      <w:tr w14:paraId="54B7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97" w:type="dxa"/>
            <w:vMerge w:val="continue"/>
            <w:vAlign w:val="center"/>
          </w:tcPr>
          <w:p w14:paraId="3596CB61">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4D033FE7">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类似业绩</w:t>
            </w:r>
          </w:p>
        </w:tc>
        <w:tc>
          <w:tcPr>
            <w:tcW w:w="5833" w:type="dxa"/>
            <w:vAlign w:val="top"/>
          </w:tcPr>
          <w:p w14:paraId="4CD78186">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根据投标人提供的2021年</w:t>
            </w: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lang w:val="en-US" w:eastAsia="zh-CN"/>
              </w:rPr>
              <w:t>月1日（以合同签订时间为准）至今，已完成的同类（消防车辆或消防装备）项目的业绩进行打分，每提供一份业绩得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lang w:val="en-US" w:eastAsia="zh-CN"/>
              </w:rPr>
              <w:t>分，最多得</w:t>
            </w: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en-US" w:eastAsia="zh-CN"/>
              </w:rPr>
              <w:t>分，未提供不得分。</w:t>
            </w:r>
          </w:p>
          <w:p w14:paraId="27AC826D">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注：提供完整的合同扫描件（有清楚的采购内容和价格）及中标通知书，未提供不得分。</w:t>
            </w:r>
          </w:p>
        </w:tc>
        <w:tc>
          <w:tcPr>
            <w:tcW w:w="804" w:type="dxa"/>
            <w:vAlign w:val="center"/>
          </w:tcPr>
          <w:p w14:paraId="5E20DC41">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w:t>
            </w:r>
          </w:p>
        </w:tc>
      </w:tr>
      <w:tr w14:paraId="23C6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440C7552">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7DA72119">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供货、运输、安装、调试方案</w:t>
            </w:r>
          </w:p>
        </w:tc>
        <w:tc>
          <w:tcPr>
            <w:tcW w:w="5833" w:type="dxa"/>
            <w:vAlign w:val="top"/>
          </w:tcPr>
          <w:p w14:paraId="4E42D2B6">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根据供货、运输、安装、调试方案进行综合评审：</w:t>
            </w:r>
          </w:p>
          <w:p w14:paraId="25A4831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1、实施方案科学合理，项目工作阶段划分、时间明确进度安排合理得</w:t>
            </w:r>
            <w:r>
              <w:rPr>
                <w:rFonts w:hint="eastAsia" w:ascii="宋体" w:hAnsi="宋体" w:cs="宋体"/>
                <w:color w:val="000000" w:themeColor="text1"/>
                <w:sz w:val="24"/>
                <w:szCs w:val="24"/>
                <w:highlight w:val="none"/>
                <w:lang w:val="en-US" w:eastAsia="zh-CN"/>
              </w:rPr>
              <w:t>5.6-8</w:t>
            </w:r>
            <w:r>
              <w:rPr>
                <w:rFonts w:hint="eastAsia" w:ascii="宋体" w:hAnsi="宋体" w:cs="宋体"/>
                <w:color w:val="000000" w:themeColor="text1"/>
                <w:sz w:val="24"/>
                <w:szCs w:val="24"/>
                <w:highlight w:val="none"/>
              </w:rPr>
              <w:t>分；</w:t>
            </w:r>
          </w:p>
          <w:p w14:paraId="29E0EC68">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2、实施方案明确，项目工作计划划分比较合理，时间进度安排可行得</w:t>
            </w:r>
            <w:r>
              <w:rPr>
                <w:rFonts w:hint="eastAsia" w:ascii="宋体" w:hAnsi="宋体" w:cs="宋体"/>
                <w:color w:val="000000" w:themeColor="text1"/>
                <w:sz w:val="24"/>
                <w:szCs w:val="24"/>
                <w:highlight w:val="none"/>
                <w:lang w:val="en-US" w:eastAsia="zh-CN"/>
              </w:rPr>
              <w:t>2.5-5.5</w:t>
            </w:r>
            <w:r>
              <w:rPr>
                <w:rFonts w:hint="eastAsia" w:ascii="宋体" w:hAnsi="宋体" w:cs="宋体"/>
                <w:color w:val="000000" w:themeColor="text1"/>
                <w:sz w:val="24"/>
                <w:szCs w:val="24"/>
                <w:highlight w:val="none"/>
              </w:rPr>
              <w:t>分；</w:t>
            </w:r>
          </w:p>
          <w:p w14:paraId="1FF73C39">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3、实施方案不够明确，时间进度安排可行性一般，得</w:t>
            </w:r>
            <w:r>
              <w:rPr>
                <w:rFonts w:hint="eastAsia" w:ascii="宋体" w:hAnsi="宋体" w:cs="宋体"/>
                <w:color w:val="000000" w:themeColor="text1"/>
                <w:sz w:val="24"/>
                <w:szCs w:val="24"/>
                <w:highlight w:val="none"/>
                <w:lang w:val="en-US" w:eastAsia="zh-CN"/>
              </w:rPr>
              <w:t>0-2.4</w:t>
            </w:r>
            <w:r>
              <w:rPr>
                <w:rFonts w:hint="eastAsia" w:ascii="宋体" w:hAnsi="宋体" w:cs="宋体"/>
                <w:color w:val="000000" w:themeColor="text1"/>
                <w:sz w:val="24"/>
                <w:szCs w:val="24"/>
                <w:highlight w:val="none"/>
              </w:rPr>
              <w:t>分；不提供不得分。</w:t>
            </w:r>
          </w:p>
        </w:tc>
        <w:tc>
          <w:tcPr>
            <w:tcW w:w="804" w:type="dxa"/>
            <w:vAlign w:val="center"/>
          </w:tcPr>
          <w:p w14:paraId="0D4E1F29">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1ED1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2D76038B">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23B32297">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技术</w:t>
            </w:r>
            <w:r>
              <w:rPr>
                <w:rFonts w:hint="eastAsia" w:ascii="宋体" w:hAnsi="宋体" w:eastAsia="宋体" w:cs="宋体"/>
                <w:color w:val="000000" w:themeColor="text1"/>
                <w:sz w:val="24"/>
                <w:szCs w:val="24"/>
                <w:highlight w:val="none"/>
              </w:rPr>
              <w:t>培训方案</w:t>
            </w:r>
          </w:p>
        </w:tc>
        <w:tc>
          <w:tcPr>
            <w:tcW w:w="5833" w:type="dxa"/>
            <w:vAlign w:val="top"/>
          </w:tcPr>
          <w:p w14:paraId="693B3C23">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根据投标人提供的培训方案的科学性、完整性、可操作性；课程内容安排的完整性、合理性；所提供设备的详细操作培训计划以及能否承诺提供原厂培训资料方面进行比较评分：</w:t>
            </w:r>
          </w:p>
          <w:p w14:paraId="30AF12F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1.编制完整详细且合理可行，得</w:t>
            </w:r>
            <w:r>
              <w:rPr>
                <w:rFonts w:hint="eastAsia" w:ascii="宋体" w:hAnsi="宋体" w:cs="宋体"/>
                <w:color w:val="000000" w:themeColor="text1"/>
                <w:sz w:val="24"/>
                <w:szCs w:val="24"/>
                <w:highlight w:val="none"/>
                <w:lang w:val="en-US" w:eastAsia="zh-CN"/>
              </w:rPr>
              <w:t>5.6</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分；</w:t>
            </w:r>
          </w:p>
          <w:p w14:paraId="0E6FBCE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2.编制较完整、较合理可行，得</w:t>
            </w:r>
            <w:r>
              <w:rPr>
                <w:rFonts w:hint="eastAsia" w:ascii="宋体" w:hAnsi="宋体" w:cs="宋体"/>
                <w:color w:val="000000" w:themeColor="text1"/>
                <w:sz w:val="24"/>
                <w:szCs w:val="24"/>
                <w:highlight w:val="none"/>
                <w:lang w:val="en-US" w:eastAsia="zh-CN"/>
              </w:rPr>
              <w:t>2.5</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5.5</w:t>
            </w:r>
            <w:r>
              <w:rPr>
                <w:rFonts w:hint="eastAsia" w:ascii="宋体" w:hAnsi="宋体" w:cs="宋体"/>
                <w:color w:val="000000" w:themeColor="text1"/>
                <w:sz w:val="24"/>
                <w:szCs w:val="24"/>
                <w:highlight w:val="none"/>
              </w:rPr>
              <w:t>分；</w:t>
            </w:r>
          </w:p>
          <w:p w14:paraId="7AFCB489">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3.编制不够完整、不够合理，可行性一般，得0-</w:t>
            </w:r>
            <w:r>
              <w:rPr>
                <w:rFonts w:hint="eastAsia" w:ascii="宋体" w:hAnsi="宋体" w:cs="宋体"/>
                <w:color w:val="000000" w:themeColor="text1"/>
                <w:sz w:val="24"/>
                <w:szCs w:val="24"/>
                <w:highlight w:val="none"/>
                <w:lang w:val="en-US" w:eastAsia="zh-CN"/>
              </w:rPr>
              <w:t>2.4</w:t>
            </w:r>
            <w:r>
              <w:rPr>
                <w:rFonts w:hint="eastAsia" w:ascii="宋体" w:hAnsi="宋体" w:cs="宋体"/>
                <w:color w:val="000000" w:themeColor="text1"/>
                <w:sz w:val="24"/>
                <w:szCs w:val="24"/>
                <w:highlight w:val="none"/>
              </w:rPr>
              <w:t>分。</w:t>
            </w:r>
          </w:p>
          <w:p w14:paraId="469C785D">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无此项内容不得分。</w:t>
            </w:r>
          </w:p>
        </w:tc>
        <w:tc>
          <w:tcPr>
            <w:tcW w:w="804" w:type="dxa"/>
            <w:vAlign w:val="center"/>
          </w:tcPr>
          <w:p w14:paraId="2A7481E7">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59D7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52384860">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13D97D26">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质量保证措施和验收方案</w:t>
            </w:r>
          </w:p>
        </w:tc>
        <w:tc>
          <w:tcPr>
            <w:tcW w:w="5833" w:type="dxa"/>
            <w:vAlign w:val="center"/>
          </w:tcPr>
          <w:p w14:paraId="1FC852C0">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根据质量保证措施、验收检查方案进行综合评分：</w:t>
            </w:r>
          </w:p>
          <w:p w14:paraId="1AAD2794">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1、内容全面、详尽，针对性强、措施合理有效、完全满足项目需求的，得</w:t>
            </w:r>
            <w:r>
              <w:rPr>
                <w:rFonts w:hint="eastAsia" w:ascii="宋体" w:hAnsi="宋体" w:cs="宋体"/>
                <w:color w:val="000000" w:themeColor="text1"/>
                <w:sz w:val="24"/>
                <w:szCs w:val="24"/>
                <w:highlight w:val="none"/>
                <w:lang w:val="en-US" w:eastAsia="zh-CN"/>
              </w:rPr>
              <w:t>5.6</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分；</w:t>
            </w:r>
          </w:p>
          <w:p w14:paraId="74D00FA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2、内容完善但详尽程度欠佳，针对性一般、措施基本合理有效、满足项目需求的，得</w:t>
            </w:r>
            <w:r>
              <w:rPr>
                <w:rFonts w:hint="eastAsia" w:ascii="宋体" w:hAnsi="宋体" w:cs="宋体"/>
                <w:color w:val="000000" w:themeColor="text1"/>
                <w:sz w:val="24"/>
                <w:szCs w:val="24"/>
                <w:highlight w:val="none"/>
                <w:lang w:val="en-US" w:eastAsia="zh-CN"/>
              </w:rPr>
              <w:t>2.5</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5.5</w:t>
            </w:r>
            <w:r>
              <w:rPr>
                <w:rFonts w:hint="eastAsia" w:ascii="宋体" w:hAnsi="宋体" w:cs="宋体"/>
                <w:color w:val="000000" w:themeColor="text1"/>
                <w:sz w:val="24"/>
                <w:szCs w:val="24"/>
                <w:highlight w:val="none"/>
              </w:rPr>
              <w:t>分；</w:t>
            </w:r>
          </w:p>
          <w:p w14:paraId="75E23FA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3、内容不完善、笼统不具体，针对性弱、措施不合理、无法满足项目需求的，得0-</w:t>
            </w:r>
            <w:r>
              <w:rPr>
                <w:rFonts w:hint="eastAsia" w:ascii="宋体" w:hAnsi="宋体" w:cs="宋体"/>
                <w:color w:val="000000" w:themeColor="text1"/>
                <w:sz w:val="24"/>
                <w:szCs w:val="24"/>
                <w:highlight w:val="none"/>
                <w:lang w:val="en-US" w:eastAsia="zh-CN"/>
              </w:rPr>
              <w:t>2.4</w:t>
            </w:r>
            <w:r>
              <w:rPr>
                <w:rFonts w:hint="eastAsia" w:ascii="宋体" w:hAnsi="宋体" w:cs="宋体"/>
                <w:color w:val="000000" w:themeColor="text1"/>
                <w:sz w:val="24"/>
                <w:szCs w:val="24"/>
                <w:highlight w:val="none"/>
              </w:rPr>
              <w:t>分。</w:t>
            </w:r>
          </w:p>
          <w:p w14:paraId="278B55BC">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不提供不得分。</w:t>
            </w:r>
          </w:p>
        </w:tc>
        <w:tc>
          <w:tcPr>
            <w:tcW w:w="804" w:type="dxa"/>
            <w:vAlign w:val="center"/>
          </w:tcPr>
          <w:p w14:paraId="6A984A19">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29BA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29EE2B80">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0E985B8">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售后服务</w:t>
            </w:r>
          </w:p>
          <w:p w14:paraId="2149B860">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方案</w:t>
            </w:r>
          </w:p>
        </w:tc>
        <w:tc>
          <w:tcPr>
            <w:tcW w:w="5833" w:type="dxa"/>
            <w:vAlign w:val="top"/>
          </w:tcPr>
          <w:p w14:paraId="04119DB4">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1.投标人提供详细完整的售后服务方案：包括技术支持、服务人员、服务响应及故障排除时间、应急响应措施、备品备件、售后服务承诺等内容，根据供应商提供的方案能否满足采购需求，由评审小组综合评分</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lang w:val="en-US" w:eastAsia="zh-CN"/>
              </w:rPr>
              <w:t>本项最高3分</w:t>
            </w:r>
            <w:r>
              <w:rPr>
                <w:rFonts w:hint="eastAsia" w:ascii="宋体" w:hAnsi="宋体" w:eastAsia="宋体" w:cs="宋体"/>
                <w:color w:val="000000" w:themeColor="text1"/>
                <w:sz w:val="24"/>
                <w:szCs w:val="24"/>
                <w:highlight w:val="none"/>
              </w:rPr>
              <w:t>。</w:t>
            </w:r>
          </w:p>
          <w:p w14:paraId="6501E41B">
            <w:pPr>
              <w:wordWrap w:val="0"/>
              <w:spacing w:line="370" w:lineRule="exact"/>
              <w:contextualSpacing/>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2.质保期：在满足招标文件规定</w:t>
            </w:r>
            <w:r>
              <w:rPr>
                <w:rFonts w:hint="eastAsia" w:ascii="宋体" w:hAnsi="宋体" w:cs="宋体"/>
                <w:color w:val="000000" w:themeColor="text1"/>
                <w:sz w:val="24"/>
                <w:szCs w:val="24"/>
                <w:highlight w:val="none"/>
                <w:lang w:eastAsia="zh-CN"/>
              </w:rPr>
              <w:t>（</w:t>
            </w:r>
            <w:r>
              <w:rPr>
                <w:rFonts w:hint="eastAsia" w:ascii="宋体" w:hAnsi="宋体" w:eastAsia="宋体" w:cs="宋体"/>
                <w:b w:val="0"/>
                <w:bCs w:val="0"/>
                <w:color w:val="000000" w:themeColor="text1"/>
                <w:sz w:val="24"/>
                <w:szCs w:val="24"/>
                <w:highlight w:val="none"/>
                <w:lang w:val="en-US" w:eastAsia="zh-CN"/>
              </w:rPr>
              <w:t>项目整体至少2年的原厂质保服务</w:t>
            </w:r>
            <w:r>
              <w:rPr>
                <w:rFonts w:hint="eastAsia" w:ascii="宋体" w:hAnsi="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的基础上，每超过半年加1分，最高得2分。</w:t>
            </w:r>
          </w:p>
        </w:tc>
        <w:tc>
          <w:tcPr>
            <w:tcW w:w="804" w:type="dxa"/>
            <w:vAlign w:val="center"/>
          </w:tcPr>
          <w:p w14:paraId="59AD68F5">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0-5</w:t>
            </w:r>
          </w:p>
        </w:tc>
      </w:tr>
      <w:tr w14:paraId="5699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58955A98">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B6A1145">
            <w:pPr>
              <w:spacing w:line="370" w:lineRule="exact"/>
              <w:jc w:val="center"/>
              <w:rPr>
                <w:rFonts w:hint="eastAsia" w:ascii="宋体" w:hAnsi="宋体" w:cs="宋体"/>
                <w:b/>
                <w:bCs/>
                <w:color w:val="000000" w:themeColor="text1"/>
                <w:sz w:val="24"/>
                <w:highlight w:val="none"/>
              </w:rPr>
            </w:pPr>
            <w:r>
              <w:rPr>
                <w:rFonts w:hint="eastAsia" w:ascii="宋体" w:hAnsi="宋体" w:cs="宋体"/>
                <w:color w:val="000000" w:themeColor="text1"/>
                <w:sz w:val="24"/>
                <w:szCs w:val="24"/>
                <w:highlight w:val="none"/>
                <w:vertAlign w:val="baseline"/>
              </w:rPr>
              <w:t>突发事件应急预案</w:t>
            </w:r>
          </w:p>
        </w:tc>
        <w:tc>
          <w:tcPr>
            <w:tcW w:w="5833" w:type="dxa"/>
            <w:vAlign w:val="center"/>
          </w:tcPr>
          <w:p w14:paraId="42D0C5DE">
            <w:pPr>
              <w:spacing w:line="370" w:lineRule="exact"/>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vertAlign w:val="baseline"/>
              </w:rPr>
              <w:t>根据投标人提供的应急预案，突击保障、突发问题解决、响应速度以及处理方案等是否具有可靠性和周密性 0-</w:t>
            </w:r>
            <w:r>
              <w:rPr>
                <w:rFonts w:hint="eastAsia" w:ascii="宋体" w:hAnsi="宋体" w:cs="宋体"/>
                <w:color w:val="000000" w:themeColor="text1"/>
                <w:sz w:val="24"/>
                <w:szCs w:val="24"/>
                <w:highlight w:val="none"/>
                <w:vertAlign w:val="baseline"/>
                <w:lang w:val="en-US" w:eastAsia="zh-CN"/>
              </w:rPr>
              <w:t>4</w:t>
            </w:r>
            <w:r>
              <w:rPr>
                <w:rFonts w:hint="eastAsia" w:ascii="宋体" w:hAnsi="宋体" w:cs="宋体"/>
                <w:color w:val="000000" w:themeColor="text1"/>
                <w:sz w:val="24"/>
                <w:szCs w:val="24"/>
                <w:highlight w:val="none"/>
                <w:vertAlign w:val="baseline"/>
              </w:rPr>
              <w:t xml:space="preserve"> 分。</w:t>
            </w:r>
          </w:p>
        </w:tc>
        <w:tc>
          <w:tcPr>
            <w:tcW w:w="804" w:type="dxa"/>
            <w:vAlign w:val="center"/>
          </w:tcPr>
          <w:p w14:paraId="443AD312">
            <w:pPr>
              <w:spacing w:line="370" w:lineRule="exact"/>
              <w:jc w:val="center"/>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vertAlign w:val="baseline"/>
              </w:rPr>
              <w:t>0-</w:t>
            </w:r>
            <w:r>
              <w:rPr>
                <w:rFonts w:hint="eastAsia" w:ascii="宋体" w:hAnsi="宋体" w:cs="宋体"/>
                <w:color w:val="000000" w:themeColor="text1"/>
                <w:sz w:val="24"/>
                <w:szCs w:val="24"/>
                <w:highlight w:val="none"/>
                <w:vertAlign w:val="baseline"/>
                <w:lang w:val="en-US" w:eastAsia="zh-CN"/>
              </w:rPr>
              <w:t>4</w:t>
            </w:r>
          </w:p>
        </w:tc>
      </w:tr>
      <w:tr w14:paraId="50DD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37782496">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E5B1ECD">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highlight w:val="none"/>
              </w:rPr>
              <w:t>政策分</w:t>
            </w:r>
          </w:p>
        </w:tc>
        <w:tc>
          <w:tcPr>
            <w:tcW w:w="5833" w:type="dxa"/>
          </w:tcPr>
          <w:p w14:paraId="6275CD02">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rPr>
              <w:t>分；</w:t>
            </w:r>
          </w:p>
          <w:p w14:paraId="57C0F10E">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rPr>
              <w:t>分。</w:t>
            </w:r>
          </w:p>
          <w:p w14:paraId="24C1418E">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注：投标文件中必须同时提供以下资料：</w:t>
            </w:r>
          </w:p>
          <w:p w14:paraId="57807405">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提供政府采购品目清单相关内容页（并对相关内容作圈记），采购品目清单详见《关于印发环境标志产品政府采购品目清单的通知》（财库〔2019〕18号）、《关于印发节能产品政府采购品目清单的通知》（财库〔2019〕19号）。</w:t>
            </w:r>
          </w:p>
          <w:p w14:paraId="14C1C248">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04" w:type="dxa"/>
            <w:vAlign w:val="center"/>
          </w:tcPr>
          <w:p w14:paraId="0FDDCF11">
            <w:pPr>
              <w:wordWrap w:val="0"/>
              <w:spacing w:line="370" w:lineRule="exact"/>
              <w:contextualSpacing/>
              <w:jc w:val="center"/>
              <w:rPr>
                <w:rFonts w:hint="default"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0-1</w:t>
            </w:r>
          </w:p>
        </w:tc>
      </w:tr>
      <w:bookmarkEnd w:id="78"/>
    </w:tbl>
    <w:p w14:paraId="6B17D1B8">
      <w:pPr>
        <w:spacing w:line="370" w:lineRule="exact"/>
        <w:rPr>
          <w:rFonts w:ascii="宋体" w:hAnsi="宋体" w:cs="宋体"/>
          <w:color w:val="000000" w:themeColor="text1"/>
          <w:sz w:val="24"/>
          <w:szCs w:val="24"/>
          <w:highlight w:val="none"/>
        </w:rPr>
      </w:pPr>
    </w:p>
    <w:sectPr>
      <w:headerReference r:id="rId15" w:type="first"/>
      <w:footerReference r:id="rId18" w:type="first"/>
      <w:headerReference r:id="rId14" w:type="default"/>
      <w:footerReference r:id="rId16" w:type="default"/>
      <w:footerReference r:id="rId17" w:type="even"/>
      <w:pgSz w:w="11906" w:h="16838"/>
      <w:pgMar w:top="1440" w:right="1587" w:bottom="1440" w:left="1587" w:header="851" w:footer="850" w:gutter="0"/>
      <w:pgBorders>
        <w:top w:val="none" w:sz="0" w:space="0"/>
        <w:left w:val="none" w:sz="0" w:space="0"/>
        <w:bottom w:val="none" w:sz="0" w:space="0"/>
        <w:right w:val="none" w:sz="0" w:space="0"/>
      </w:pgBorders>
      <w:cols w:space="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楷体_GB2312">
    <w:altName w:val="宋体"/>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9372">
    <w:pPr>
      <w:pStyle w:val="2"/>
      <w:jc w:val="center"/>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path/>
          <v:fill on="f" focussize="0,0"/>
          <v:stroke on="f" joinstyle="miter"/>
          <v:imagedata o:title=""/>
          <o:lock v:ext="edit"/>
          <v:textbox inset="0mm,0mm,0mm,0mm" style="mso-fit-shape-to-text:t;">
            <w:txbxContent>
              <w:p w14:paraId="57B83FFC"/>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3624">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14:paraId="712C886E">
                <w:pPr>
                  <w:pStyle w:val="2"/>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2E27">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73F59A0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7C6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B693">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E518">
    <w:pPr>
      <w:pStyle w:val="2"/>
      <w:jc w:val="center"/>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68DEFBD4">
                <w:pPr>
                  <w:pStyle w:val="2"/>
                </w:pPr>
                <w:r>
                  <w:fldChar w:fldCharType="begin"/>
                </w:r>
                <w:r>
                  <w:instrText xml:space="preserve"> PAGE  \* MERGEFORMAT </w:instrText>
                </w:r>
                <w:r>
                  <w:fldChar w:fldCharType="separate"/>
                </w:r>
                <w:r>
                  <w:t>22</w:t>
                </w:r>
                <w:r>
                  <w:fldChar w:fldCharType="end"/>
                </w:r>
              </w:p>
            </w:txbxContent>
          </v:textbox>
        </v:shape>
      </w:pict>
    </w:r>
  </w:p>
  <w:p w14:paraId="425FEDC0">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4474">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69A7ED45">
    <w:pPr>
      <w:pStyle w:val="2"/>
    </w:pPr>
  </w:p>
  <w:p w14:paraId="40D5C384"/>
  <w:p w14:paraId="4CDC1FBC"/>
  <w:p w14:paraId="65998E28"/>
  <w:p w14:paraId="1C647609"/>
  <w:p w14:paraId="50B6CE3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06CD">
    <w:pPr>
      <w:pStyle w:val="2"/>
      <w:jc w:val="center"/>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14:paraId="386A6536">
                <w:pPr>
                  <w:pStyle w:val="2"/>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7AE8">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14:paraId="031FDCB2">
                <w:pPr>
                  <w:pStyle w:val="2"/>
                </w:pPr>
                <w:r>
                  <w:fldChar w:fldCharType="begin"/>
                </w:r>
                <w:r>
                  <w:instrText xml:space="preserve"> PAGE  \* MERGEFORMAT </w:instrText>
                </w:r>
                <w:r>
                  <w:fldChar w:fldCharType="separate"/>
                </w:r>
                <w:r>
                  <w:t>40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C2EB">
    <w:r>
      <w:fldChar w:fldCharType="begin"/>
    </w:r>
    <w:r>
      <w:instrText xml:space="preserve">PAGE  </w:instrText>
    </w:r>
    <w:r>
      <w:fldChar w:fldCharType="separate"/>
    </w:r>
    <w:r>
      <w:t>1</w:t>
    </w:r>
    <w:r>
      <w:fldChar w:fldCharType="end"/>
    </w:r>
  </w:p>
  <w:p w14:paraId="324D1E63"/>
  <w:p w14:paraId="2B2BB1C5"/>
  <w:p w14:paraId="00B2F2EE"/>
  <w:p w14:paraId="1978D545"/>
  <w:p w14:paraId="5B74F4CA"/>
  <w:p w14:paraId="74217A9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E636">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04C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65AE">
    <w:pPr>
      <w:pStyle w:val="14"/>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23C2">
    <w:pPr>
      <w:pStyle w:val="14"/>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F8BE">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2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431"/>
    <w:multiLevelType w:val="singleLevel"/>
    <w:tmpl w:val="B93B1431"/>
    <w:lvl w:ilvl="0" w:tentative="0">
      <w:start w:val="2"/>
      <w:numFmt w:val="decimal"/>
      <w:lvlText w:val="%1."/>
      <w:lvlJc w:val="left"/>
      <w:pPr>
        <w:tabs>
          <w:tab w:val="left" w:pos="312"/>
        </w:tabs>
      </w:pPr>
    </w:lvl>
  </w:abstractNum>
  <w:abstractNum w:abstractNumId="1">
    <w:nsid w:val="F6EDD3BE"/>
    <w:multiLevelType w:val="singleLevel"/>
    <w:tmpl w:val="F6EDD3BE"/>
    <w:lvl w:ilvl="0" w:tentative="0">
      <w:start w:val="2"/>
      <w:numFmt w:val="chineseCounting"/>
      <w:suff w:val="space"/>
      <w:lvlText w:val="第%1部分"/>
      <w:lvlJc w:val="left"/>
      <w:rPr>
        <w:rFonts w:hint="eastAsia"/>
      </w:rPr>
    </w:lvl>
  </w:abstractNum>
  <w:abstractNum w:abstractNumId="2">
    <w:nsid w:val="FB6A46E9"/>
    <w:multiLevelType w:val="singleLevel"/>
    <w:tmpl w:val="FB6A46E9"/>
    <w:lvl w:ilvl="0" w:tentative="0">
      <w:start w:val="12"/>
      <w:numFmt w:val="decimal"/>
      <w:suff w:val="nothing"/>
      <w:lvlText w:val="%1、"/>
      <w:lvlJc w:val="left"/>
    </w:lvl>
  </w:abstractNum>
  <w:abstractNum w:abstractNumId="3">
    <w:nsid w:val="58F93FB8"/>
    <w:multiLevelType w:val="singleLevel"/>
    <w:tmpl w:val="58F93FB8"/>
    <w:lvl w:ilvl="0" w:tentative="0">
      <w:start w:val="12"/>
      <w:numFmt w:val="chineseCounting"/>
      <w:suff w:val="nothing"/>
      <w:lvlText w:val="%1、"/>
      <w:lvlJc w:val="left"/>
      <w:rPr>
        <w:rFonts w:hint="eastAsia"/>
        <w:b/>
        <w:bCs/>
      </w:rPr>
    </w:lvl>
  </w:abstractNum>
  <w:abstractNum w:abstractNumId="4">
    <w:nsid w:val="7D56A236"/>
    <w:multiLevelType w:val="singleLevel"/>
    <w:tmpl w:val="7D56A236"/>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zZmEzYzUzYTA3ZmFmMTY4OGM1NTc0ZmZhODc0N2YifQ=="/>
  </w:docVars>
  <w:rsids>
    <w:rsidRoot w:val="009F647A"/>
    <w:rsid w:val="003B4FF7"/>
    <w:rsid w:val="004A7657"/>
    <w:rsid w:val="00762555"/>
    <w:rsid w:val="007D1C8E"/>
    <w:rsid w:val="00901C36"/>
    <w:rsid w:val="009545D8"/>
    <w:rsid w:val="009F647A"/>
    <w:rsid w:val="0151302E"/>
    <w:rsid w:val="029C58B6"/>
    <w:rsid w:val="02C53F1A"/>
    <w:rsid w:val="036019A8"/>
    <w:rsid w:val="04CD2BCB"/>
    <w:rsid w:val="053D7457"/>
    <w:rsid w:val="055A5F47"/>
    <w:rsid w:val="05BA6DEC"/>
    <w:rsid w:val="06723893"/>
    <w:rsid w:val="07CF7F63"/>
    <w:rsid w:val="080F000C"/>
    <w:rsid w:val="098A642A"/>
    <w:rsid w:val="0B800493"/>
    <w:rsid w:val="0CD52705"/>
    <w:rsid w:val="0D0C56E0"/>
    <w:rsid w:val="0D1121B5"/>
    <w:rsid w:val="0EDF5F0E"/>
    <w:rsid w:val="0F970C25"/>
    <w:rsid w:val="10301A11"/>
    <w:rsid w:val="11A645C4"/>
    <w:rsid w:val="13705C9D"/>
    <w:rsid w:val="13B54A2A"/>
    <w:rsid w:val="143E5590"/>
    <w:rsid w:val="16433E47"/>
    <w:rsid w:val="1666297E"/>
    <w:rsid w:val="166A3AC3"/>
    <w:rsid w:val="171D42D6"/>
    <w:rsid w:val="17255429"/>
    <w:rsid w:val="17824C23"/>
    <w:rsid w:val="179D0050"/>
    <w:rsid w:val="19B47CE3"/>
    <w:rsid w:val="1A9A45D7"/>
    <w:rsid w:val="1B74771B"/>
    <w:rsid w:val="1B7B7257"/>
    <w:rsid w:val="1C7A5F13"/>
    <w:rsid w:val="1CB37755"/>
    <w:rsid w:val="1D275C48"/>
    <w:rsid w:val="1F650C81"/>
    <w:rsid w:val="20586E69"/>
    <w:rsid w:val="20DB53CD"/>
    <w:rsid w:val="24B4778E"/>
    <w:rsid w:val="24EC26E3"/>
    <w:rsid w:val="25D51411"/>
    <w:rsid w:val="25DB5F47"/>
    <w:rsid w:val="26343C96"/>
    <w:rsid w:val="271C1540"/>
    <w:rsid w:val="27B90135"/>
    <w:rsid w:val="280D3855"/>
    <w:rsid w:val="29977B6E"/>
    <w:rsid w:val="299A72DD"/>
    <w:rsid w:val="2A0C65CE"/>
    <w:rsid w:val="2A74112A"/>
    <w:rsid w:val="2AAA26D7"/>
    <w:rsid w:val="2BA7006E"/>
    <w:rsid w:val="2CC63115"/>
    <w:rsid w:val="2D6B679F"/>
    <w:rsid w:val="3125454C"/>
    <w:rsid w:val="32E50EE7"/>
    <w:rsid w:val="3303652C"/>
    <w:rsid w:val="33817380"/>
    <w:rsid w:val="33F4541A"/>
    <w:rsid w:val="341B6B27"/>
    <w:rsid w:val="34B51954"/>
    <w:rsid w:val="34BF08D9"/>
    <w:rsid w:val="35323779"/>
    <w:rsid w:val="36716136"/>
    <w:rsid w:val="369927B9"/>
    <w:rsid w:val="36CE0806"/>
    <w:rsid w:val="37C20E88"/>
    <w:rsid w:val="3845097D"/>
    <w:rsid w:val="38A10757"/>
    <w:rsid w:val="38A72D6F"/>
    <w:rsid w:val="396E2E01"/>
    <w:rsid w:val="3A5122DD"/>
    <w:rsid w:val="3A921021"/>
    <w:rsid w:val="3BE040AF"/>
    <w:rsid w:val="3C3203BA"/>
    <w:rsid w:val="3DAD2655"/>
    <w:rsid w:val="3E0D0E3B"/>
    <w:rsid w:val="3F2411B3"/>
    <w:rsid w:val="3F9609BC"/>
    <w:rsid w:val="3FC52791"/>
    <w:rsid w:val="40603F43"/>
    <w:rsid w:val="427C6714"/>
    <w:rsid w:val="43CF6B92"/>
    <w:rsid w:val="43E867D4"/>
    <w:rsid w:val="451F132F"/>
    <w:rsid w:val="46142B7A"/>
    <w:rsid w:val="463907FD"/>
    <w:rsid w:val="468B63B8"/>
    <w:rsid w:val="476B13EB"/>
    <w:rsid w:val="47A74673"/>
    <w:rsid w:val="48815C73"/>
    <w:rsid w:val="48CE566A"/>
    <w:rsid w:val="49384272"/>
    <w:rsid w:val="49CC7DFC"/>
    <w:rsid w:val="4A282B58"/>
    <w:rsid w:val="4B1B51D5"/>
    <w:rsid w:val="4B7E35F0"/>
    <w:rsid w:val="4BE43A5E"/>
    <w:rsid w:val="4C107C45"/>
    <w:rsid w:val="4D39175C"/>
    <w:rsid w:val="4D862E91"/>
    <w:rsid w:val="4E1A1798"/>
    <w:rsid w:val="4E1C6B5B"/>
    <w:rsid w:val="4E4F59AA"/>
    <w:rsid w:val="4E5A3761"/>
    <w:rsid w:val="4F4E2A05"/>
    <w:rsid w:val="4FA34027"/>
    <w:rsid w:val="50243509"/>
    <w:rsid w:val="50D970D6"/>
    <w:rsid w:val="51283F24"/>
    <w:rsid w:val="51622DF4"/>
    <w:rsid w:val="52393882"/>
    <w:rsid w:val="5252120C"/>
    <w:rsid w:val="525A2F1F"/>
    <w:rsid w:val="53336043"/>
    <w:rsid w:val="555B7861"/>
    <w:rsid w:val="55737890"/>
    <w:rsid w:val="55A943AD"/>
    <w:rsid w:val="56571E22"/>
    <w:rsid w:val="57096BCE"/>
    <w:rsid w:val="576469B4"/>
    <w:rsid w:val="577D21A7"/>
    <w:rsid w:val="58CE0D6F"/>
    <w:rsid w:val="58EC1CC5"/>
    <w:rsid w:val="5ABB218A"/>
    <w:rsid w:val="5B7C7698"/>
    <w:rsid w:val="5C482F7E"/>
    <w:rsid w:val="5C5B47CF"/>
    <w:rsid w:val="5F0A5264"/>
    <w:rsid w:val="5F191AF8"/>
    <w:rsid w:val="60453005"/>
    <w:rsid w:val="615C59D3"/>
    <w:rsid w:val="62767AAD"/>
    <w:rsid w:val="62824FB7"/>
    <w:rsid w:val="64483041"/>
    <w:rsid w:val="662C518D"/>
    <w:rsid w:val="6686712D"/>
    <w:rsid w:val="67084CB0"/>
    <w:rsid w:val="676F2889"/>
    <w:rsid w:val="68D5795F"/>
    <w:rsid w:val="696212AE"/>
    <w:rsid w:val="69644E32"/>
    <w:rsid w:val="6ABB748F"/>
    <w:rsid w:val="6B0D0E16"/>
    <w:rsid w:val="6C283176"/>
    <w:rsid w:val="6CEB3CD6"/>
    <w:rsid w:val="6E1B3870"/>
    <w:rsid w:val="6E24489D"/>
    <w:rsid w:val="6E7028A7"/>
    <w:rsid w:val="6EE7452C"/>
    <w:rsid w:val="6F3A5B63"/>
    <w:rsid w:val="6F816D62"/>
    <w:rsid w:val="6FF837B3"/>
    <w:rsid w:val="701036B1"/>
    <w:rsid w:val="71D14987"/>
    <w:rsid w:val="730E236B"/>
    <w:rsid w:val="747F5FC9"/>
    <w:rsid w:val="74B2234C"/>
    <w:rsid w:val="751C4F54"/>
    <w:rsid w:val="761330E9"/>
    <w:rsid w:val="7646130B"/>
    <w:rsid w:val="76566296"/>
    <w:rsid w:val="79052BC9"/>
    <w:rsid w:val="7A841AF1"/>
    <w:rsid w:val="7AEA5601"/>
    <w:rsid w:val="7BA07EF1"/>
    <w:rsid w:val="7BD55DED"/>
    <w:rsid w:val="7CA97B3E"/>
    <w:rsid w:val="7D0353A9"/>
    <w:rsid w:val="7E720ACD"/>
    <w:rsid w:val="7EEE63D9"/>
    <w:rsid w:val="7EF718AC"/>
    <w:rsid w:val="7F080287"/>
    <w:rsid w:val="7FD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30"/>
    <w:autoRedefine/>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4"/>
    <w:basedOn w:val="1"/>
    <w:next w:val="1"/>
    <w:autoRedefine/>
    <w:qFormat/>
    <w:uiPriority w:val="0"/>
    <w:pPr>
      <w:tabs>
        <w:tab w:val="left" w:pos="720"/>
      </w:tabs>
      <w:spacing w:before="280" w:after="290" w:line="372" w:lineRule="auto"/>
      <w:outlineLvl w:val="3"/>
    </w:pPr>
    <w:rPr>
      <w:rFonts w:ascii="Arial" w:hAnsi="Arial" w:eastAsia="黑体"/>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6">
    <w:name w:val="Normal Indent"/>
    <w:basedOn w:val="1"/>
    <w:next w:val="1"/>
    <w:autoRedefine/>
    <w:qFormat/>
    <w:uiPriority w:val="99"/>
    <w:pPr>
      <w:spacing w:line="440" w:lineRule="exact"/>
      <w:ind w:firstLine="420" w:firstLineChars="200"/>
    </w:pPr>
    <w:rPr>
      <w:sz w:val="24"/>
    </w:rPr>
  </w:style>
  <w:style w:type="paragraph" w:styleId="7">
    <w:name w:val="Body Text"/>
    <w:basedOn w:val="1"/>
    <w:next w:val="1"/>
    <w:unhideWhenUsed/>
    <w:qFormat/>
    <w:uiPriority w:val="0"/>
    <w:pPr>
      <w:spacing w:after="120"/>
    </w:pPr>
  </w:style>
  <w:style w:type="paragraph" w:styleId="8">
    <w:name w:val="Body Text Indent"/>
    <w:basedOn w:val="1"/>
    <w:next w:val="6"/>
    <w:autoRedefine/>
    <w:unhideWhenUsed/>
    <w:qFormat/>
    <w:uiPriority w:val="0"/>
    <w:pPr>
      <w:spacing w:after="120"/>
      <w:ind w:left="420" w:leftChars="200"/>
    </w:pPr>
  </w:style>
  <w:style w:type="paragraph" w:styleId="9">
    <w:name w:val="List 2"/>
    <w:basedOn w:val="10"/>
    <w:autoRedefine/>
    <w:qFormat/>
    <w:uiPriority w:val="0"/>
    <w:pPr>
      <w:ind w:left="100" w:leftChars="200"/>
    </w:pPr>
  </w:style>
  <w:style w:type="paragraph" w:styleId="10">
    <w:name w:val="List"/>
    <w:basedOn w:val="1"/>
    <w:autoRedefine/>
    <w:qFormat/>
    <w:uiPriority w:val="0"/>
    <w:pPr>
      <w:ind w:left="200" w:hanging="200" w:hangingChars="200"/>
    </w:pPr>
    <w:rPr>
      <w:sz w:val="21"/>
    </w:rPr>
  </w:style>
  <w:style w:type="paragraph" w:styleId="11">
    <w:name w:val="toc 3"/>
    <w:basedOn w:val="1"/>
    <w:next w:val="1"/>
    <w:autoRedefine/>
    <w:semiHidden/>
    <w:qFormat/>
    <w:uiPriority w:val="0"/>
    <w:pPr>
      <w:ind w:left="420"/>
      <w:jc w:val="left"/>
    </w:pPr>
    <w:rPr>
      <w:i/>
      <w:iCs/>
      <w:sz w:val="20"/>
    </w:rPr>
  </w:style>
  <w:style w:type="paragraph" w:styleId="12">
    <w:name w:val="Plain Text"/>
    <w:basedOn w:val="1"/>
    <w:next w:val="1"/>
    <w:autoRedefine/>
    <w:qFormat/>
    <w:uiPriority w:val="0"/>
    <w:rPr>
      <w:rFonts w:ascii="宋体" w:hAnsi="Courier New" w:cstheme="minorBidi"/>
      <w:sz w:val="21"/>
      <w:szCs w:val="22"/>
    </w:rPr>
  </w:style>
  <w:style w:type="paragraph" w:styleId="13">
    <w:name w:val="Date"/>
    <w:basedOn w:val="1"/>
    <w:next w:val="1"/>
    <w:autoRedefine/>
    <w:qFormat/>
    <w:uiPriority w:val="0"/>
    <w:pPr>
      <w:adjustRightInd w:val="0"/>
      <w:jc w:val="right"/>
      <w:textAlignment w:val="baseline"/>
    </w:pPr>
    <w:rPr>
      <w:rFonts w:eastAsia="仿宋_GB2312" w:asciiTheme="minorHAnsi" w:hAnsiTheme="minorHAnsi" w:cstheme="minorBidi"/>
      <w:b/>
      <w:szCs w:val="22"/>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8364"/>
      </w:tabs>
      <w:spacing w:before="120" w:after="120" w:line="360" w:lineRule="auto"/>
      <w:jc w:val="left"/>
    </w:pPr>
    <w:rPr>
      <w:b/>
      <w:caps/>
      <w:sz w:val="20"/>
    </w:rPr>
  </w:style>
  <w:style w:type="paragraph" w:styleId="16">
    <w:name w:val="toc 6"/>
    <w:basedOn w:val="1"/>
    <w:next w:val="1"/>
    <w:autoRedefine/>
    <w:qFormat/>
    <w:uiPriority w:val="0"/>
    <w:pPr>
      <w:ind w:left="1400"/>
      <w:jc w:val="left"/>
    </w:pPr>
    <w:rPr>
      <w:sz w:val="18"/>
    </w:rPr>
  </w:style>
  <w:style w:type="paragraph" w:styleId="17">
    <w:name w:val="toc 2"/>
    <w:basedOn w:val="1"/>
    <w:next w:val="1"/>
    <w:autoRedefine/>
    <w:qFormat/>
    <w:uiPriority w:val="39"/>
    <w:pPr>
      <w:tabs>
        <w:tab w:val="right" w:leader="dot" w:pos="8364"/>
      </w:tabs>
      <w:spacing w:line="360" w:lineRule="auto"/>
      <w:ind w:left="280"/>
      <w:jc w:val="left"/>
    </w:pPr>
    <w:rPr>
      <w:rFonts w:ascii="仿宋" w:hAnsi="仿宋" w:eastAsia="仿宋"/>
      <w:b/>
      <w:smallCaps/>
      <w:sz w:val="24"/>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Body Text First Indent"/>
    <w:basedOn w:val="7"/>
    <w:next w:val="1"/>
    <w:autoRedefine/>
    <w:qFormat/>
    <w:uiPriority w:val="0"/>
    <w:pPr>
      <w:ind w:firstLine="420" w:firstLineChars="100"/>
    </w:pPr>
    <w:rPr>
      <w:rFonts w:ascii="等线" w:hAnsi="等线" w:eastAsia="等线" w:cstheme="minorBidi"/>
      <w:sz w:val="21"/>
      <w:szCs w:val="22"/>
    </w:rPr>
  </w:style>
  <w:style w:type="paragraph" w:styleId="20">
    <w:name w:val="Body Text First Indent 2"/>
    <w:basedOn w:val="8"/>
    <w:next w:val="1"/>
    <w:autoRedefine/>
    <w:qFormat/>
    <w:uiPriority w:val="0"/>
    <w:pPr>
      <w:ind w:firstLine="420" w:firstLineChars="200"/>
    </w:pPr>
    <w:rPr>
      <w:rFonts w:ascii="等线" w:hAnsi="等线" w:eastAsia="等线" w:cstheme="minorBidi"/>
      <w:sz w:val="21"/>
      <w:szCs w:val="22"/>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basedOn w:val="23"/>
    <w:autoRedefine/>
    <w:qFormat/>
    <w:uiPriority w:val="99"/>
    <w:rPr>
      <w:color w:val="0000FF"/>
      <w:u w:val="single"/>
    </w:rPr>
  </w:style>
  <w:style w:type="paragraph" w:customStyle="1" w:styleId="26">
    <w:name w:val="[Normal]"/>
    <w:autoRedefine/>
    <w:qFormat/>
    <w:uiPriority w:val="6"/>
    <w:rPr>
      <w:rFonts w:ascii="宋体" w:hAnsi="宋体" w:eastAsia="宋体" w:cs="Times New Roman"/>
      <w:sz w:val="24"/>
      <w:szCs w:val="22"/>
      <w:lang w:val="zh-CN" w:eastAsia="zh-CN" w:bidi="ar-SA"/>
    </w:rPr>
  </w:style>
  <w:style w:type="paragraph" w:customStyle="1" w:styleId="27">
    <w:name w:val="BodyText1I"/>
    <w:basedOn w:val="1"/>
    <w:autoRedefine/>
    <w:qFormat/>
    <w:uiPriority w:val="0"/>
    <w:pPr>
      <w:spacing w:after="120"/>
      <w:ind w:firstLine="420" w:firstLineChars="100"/>
    </w:pPr>
    <w:rPr>
      <w:rFonts w:ascii="Times New Roman"/>
      <w:szCs w:val="24"/>
    </w:rPr>
  </w:style>
  <w:style w:type="character" w:customStyle="1" w:styleId="28">
    <w:name w:val="无"/>
    <w:autoRedefine/>
    <w:qFormat/>
    <w:uiPriority w:val="0"/>
  </w:style>
  <w:style w:type="paragraph" w:customStyle="1" w:styleId="29">
    <w:name w:val="正文2"/>
    <w:basedOn w:val="1"/>
    <w:autoRedefine/>
    <w:qFormat/>
    <w:uiPriority w:val="0"/>
    <w:pPr>
      <w:spacing w:before="156" w:line="360" w:lineRule="auto"/>
      <w:ind w:firstLine="510" w:firstLineChars="200"/>
    </w:pPr>
    <w:rPr>
      <w:rFonts w:asciiTheme="minorHAnsi" w:hAnsiTheme="minorHAnsi" w:cstheme="minorBidi"/>
      <w:sz w:val="24"/>
      <w:szCs w:val="22"/>
    </w:rPr>
  </w:style>
  <w:style w:type="character" w:customStyle="1" w:styleId="30">
    <w:name w:val="标题 2 Char"/>
    <w:basedOn w:val="23"/>
    <w:link w:val="4"/>
    <w:autoRedefine/>
    <w:qFormat/>
    <w:uiPriority w:val="0"/>
    <w:rPr>
      <w:rFonts w:eastAsia="黑体"/>
      <w:b/>
      <w:sz w:val="21"/>
    </w:rPr>
  </w:style>
  <w:style w:type="paragraph" w:customStyle="1" w:styleId="31">
    <w:name w:val="_Style 3"/>
    <w:autoRedefine/>
    <w:qFormat/>
    <w:uiPriority w:val="0"/>
    <w:rPr>
      <w:rFonts w:ascii="Calibri" w:hAnsi="Calibri" w:eastAsia="宋体" w:cs="Times New Roman"/>
      <w:sz w:val="22"/>
      <w:szCs w:val="22"/>
      <w:lang w:val="en-US" w:eastAsia="zh-CN" w:bidi="ar-SA"/>
    </w:rPr>
  </w:style>
  <w:style w:type="paragraph" w:customStyle="1" w:styleId="3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3">
    <w:name w:val="样式1"/>
    <w:basedOn w:val="3"/>
    <w:next w:val="5"/>
    <w:autoRedefine/>
    <w:qFormat/>
    <w:uiPriority w:val="0"/>
    <w:pPr>
      <w:tabs>
        <w:tab w:val="left" w:pos="-839"/>
      </w:tabs>
      <w:ind w:left="1320" w:hanging="1320"/>
    </w:pPr>
    <w:rPr>
      <w:rFonts w:hAnsiTheme="minorHAnsi" w:eastAsiaTheme="minorEastAsia" w:cstheme="minorBidi"/>
      <w:kern w:val="2"/>
      <w:szCs w:val="22"/>
    </w:rPr>
  </w:style>
  <w:style w:type="paragraph" w:customStyle="1" w:styleId="34">
    <w:name w:val="正文首行缩进 21"/>
    <w:basedOn w:val="35"/>
    <w:autoRedefine/>
    <w:qFormat/>
    <w:uiPriority w:val="0"/>
    <w:pPr>
      <w:spacing w:after="120" w:line="240" w:lineRule="auto"/>
      <w:ind w:left="420" w:leftChars="200" w:firstLine="420" w:firstLineChars="200"/>
    </w:pPr>
    <w:rPr>
      <w:rFonts w:ascii="等线" w:hAnsi="等线" w:eastAsia="等线"/>
      <w:sz w:val="21"/>
    </w:rPr>
  </w:style>
  <w:style w:type="paragraph" w:customStyle="1" w:styleId="35">
    <w:name w:val="正文文本缩进2"/>
    <w:basedOn w:val="1"/>
    <w:autoRedefine/>
    <w:qFormat/>
    <w:uiPriority w:val="0"/>
    <w:pPr>
      <w:spacing w:line="360" w:lineRule="auto"/>
      <w:ind w:firstLine="435"/>
    </w:pPr>
    <w:rPr>
      <w:szCs w:val="24"/>
    </w:rPr>
  </w:style>
  <w:style w:type="paragraph" w:customStyle="1" w:styleId="36">
    <w:name w:val="Heading #2|1"/>
    <w:basedOn w:val="1"/>
    <w:autoRedefine/>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37">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38">
    <w:name w:val="Body text|3"/>
    <w:basedOn w:val="1"/>
    <w:autoRedefine/>
    <w:qFormat/>
    <w:uiPriority w:val="0"/>
    <w:rPr>
      <w:rFonts w:ascii="宋体" w:hAnsi="宋体" w:cs="宋体"/>
      <w:sz w:val="17"/>
      <w:szCs w:val="17"/>
      <w:lang w:val="zh-TW" w:eastAsia="zh-TW" w:bidi="zh-TW"/>
    </w:rPr>
  </w:style>
  <w:style w:type="paragraph" w:styleId="39">
    <w:name w:val="List Paragraph"/>
    <w:basedOn w:val="1"/>
    <w:autoRedefine/>
    <w:qFormat/>
    <w:uiPriority w:val="0"/>
    <w:pPr>
      <w:ind w:firstLine="420" w:firstLineChars="200"/>
    </w:pPr>
    <w:rPr>
      <w:rFonts w:eastAsia="仿宋_GB2312"/>
      <w:szCs w:val="22"/>
    </w:rPr>
  </w:style>
  <w:style w:type="character" w:customStyle="1" w:styleId="40">
    <w:name w:val="UserStyle_94"/>
    <w:basedOn w:val="41"/>
    <w:autoRedefine/>
    <w:qFormat/>
    <w:uiPriority w:val="0"/>
    <w:rPr>
      <w:rFonts w:ascii="宋体" w:hAnsi="宋体" w:eastAsia="宋体"/>
      <w:sz w:val="21"/>
      <w:szCs w:val="21"/>
      <w:lang w:val="en-US" w:eastAsia="zh-CN" w:bidi="ar-SA"/>
    </w:rPr>
  </w:style>
  <w:style w:type="character" w:customStyle="1" w:styleId="41">
    <w:name w:val="NormalCharacter"/>
    <w:autoRedefine/>
    <w:unhideWhenUsed/>
    <w:qFormat/>
    <w:uiPriority w:val="0"/>
    <w:rPr>
      <w:rFonts w:hint="default" w:ascii="Times New Roman" w:hAnsi="Times New Roman" w:eastAsia="宋体"/>
      <w:kern w:val="2"/>
      <w:sz w:val="21"/>
    </w:rPr>
  </w:style>
  <w:style w:type="paragraph" w:customStyle="1" w:styleId="42">
    <w:name w:val="首行缩进"/>
    <w:basedOn w:val="1"/>
    <w:autoRedefine/>
    <w:qFormat/>
    <w:uiPriority w:val="0"/>
    <w:pPr>
      <w:spacing w:line="360" w:lineRule="auto"/>
      <w:ind w:firstLine="480" w:firstLineChars="200"/>
    </w:pPr>
    <w:rPr>
      <w:rFonts w:hAnsi="宋体" w:cs="宋体"/>
      <w:sz w:val="24"/>
    </w:rPr>
  </w:style>
  <w:style w:type="paragraph" w:customStyle="1" w:styleId="4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1"/>
    <w:basedOn w:val="11"/>
    <w:next w:val="45"/>
    <w:autoRedefine/>
    <w:qFormat/>
    <w:uiPriority w:val="0"/>
    <w:pPr>
      <w:widowControl/>
      <w:snapToGrid w:val="0"/>
      <w:spacing w:line="500" w:lineRule="exact"/>
      <w:ind w:firstLine="567"/>
    </w:pPr>
    <w:rPr>
      <w:rFonts w:ascii="楷体_GB2312" w:hAnsi="Times New Roman" w:eastAsia="楷体_GB2312"/>
      <w:kern w:val="0"/>
      <w:sz w:val="28"/>
    </w:rPr>
  </w:style>
  <w:style w:type="paragraph" w:customStyle="1" w:styleId="45">
    <w:name w:val="自动更正"/>
    <w:next w:val="4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xl39"/>
    <w:basedOn w:val="1"/>
    <w:next w:val="47"/>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7">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8">
    <w:name w:val="样式 表格正文 + 两端对齐"/>
    <w:basedOn w:val="1"/>
    <w:next w:val="44"/>
    <w:autoRedefine/>
    <w:qFormat/>
    <w:uiPriority w:val="0"/>
    <w:pPr>
      <w:spacing w:line="300" w:lineRule="auto"/>
    </w:pPr>
    <w:rPr>
      <w:rFonts w:ascii="Times New Roman"/>
    </w:rPr>
  </w:style>
  <w:style w:type="paragraph" w:customStyle="1" w:styleId="49">
    <w:name w:val="Table Paragraph"/>
    <w:basedOn w:val="1"/>
    <w:qFormat/>
    <w:uiPriority w:val="0"/>
  </w:style>
  <w:style w:type="character" w:customStyle="1" w:styleId="50">
    <w:name w:val="font31"/>
    <w:basedOn w:val="23"/>
    <w:autoRedefine/>
    <w:qFormat/>
    <w:uiPriority w:val="0"/>
    <w:rPr>
      <w:rFonts w:hint="default" w:ascii="方正楷体_GB2312" w:hAnsi="方正楷体_GB2312" w:eastAsia="方正楷体_GB2312" w:cs="方正楷体_GB2312"/>
      <w:b/>
      <w:bCs/>
      <w:color w:val="000000"/>
      <w:sz w:val="22"/>
      <w:szCs w:val="22"/>
      <w:u w:val="none"/>
    </w:rPr>
  </w:style>
  <w:style w:type="character" w:customStyle="1" w:styleId="51">
    <w:name w:val="font41"/>
    <w:basedOn w:val="23"/>
    <w:autoRedefine/>
    <w:qFormat/>
    <w:uiPriority w:val="0"/>
    <w:rPr>
      <w:rFonts w:hint="default" w:ascii="方正楷体_GB2312" w:hAnsi="方正楷体_GB2312" w:eastAsia="方正楷体_GB2312" w:cs="方正楷体_GB2312"/>
      <w:color w:val="000000"/>
      <w:sz w:val="22"/>
      <w:szCs w:val="22"/>
      <w:u w:val="none"/>
    </w:rPr>
  </w:style>
  <w:style w:type="character" w:customStyle="1" w:styleId="52">
    <w:name w:val="font51"/>
    <w:basedOn w:val="23"/>
    <w:qFormat/>
    <w:uiPriority w:val="0"/>
    <w:rPr>
      <w:rFonts w:hint="default" w:ascii="方正楷体_GB2312" w:hAnsi="方正楷体_GB2312" w:eastAsia="方正楷体_GB2312" w:cs="方正楷体_GB2312"/>
      <w:color w:val="E54C5E"/>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35786</Words>
  <Characters>38055</Characters>
  <Lines>231</Lines>
  <Paragraphs>65</Paragraphs>
  <TotalTime>5</TotalTime>
  <ScaleCrop>false</ScaleCrop>
  <LinksUpToDate>false</LinksUpToDate>
  <CharactersWithSpaces>39138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2023-03-13T01:29:00Z</dcterms:created>
  <dc:creator>Administrator.DESKTOP-7ETHMPM</dc:creator>
  <cp:lastModifiedBy>邓璐微</cp:lastModifiedBy>
  <cp:lastPrinted>2024-09-29T02:38:00Z</cp:lastPrinted>
  <dcterms:modified xsi:type="dcterms:W3CDTF">2024-09-30T04:09:28Z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147C96FEC98B4201A97E6EF815269562_13</vt:lpwstr>
  </property>
</Properties>
</file>