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65D6A">
      <w:pPr>
        <w:pStyle w:val="3"/>
        <w:rPr>
          <w:rFonts w:cs="Times New Roman"/>
          <w:color w:val="auto"/>
          <w:highlight w:val="none"/>
        </w:rPr>
      </w:pPr>
    </w:p>
    <w:p w14:paraId="2FC2EAB5">
      <w:pPr>
        <w:jc w:val="center"/>
        <w:rPr>
          <w:rFonts w:hint="eastAsia" w:ascii="宋体" w:eastAsia="宋体"/>
          <w:b/>
          <w:bCs/>
          <w:color w:val="auto"/>
          <w:sz w:val="40"/>
          <w:szCs w:val="40"/>
          <w:highlight w:val="none"/>
          <w:lang w:eastAsia="zh-CN"/>
        </w:rPr>
      </w:pPr>
      <w:r>
        <w:rPr>
          <w:rFonts w:hint="eastAsia" w:ascii="宋体" w:hAnsi="宋体" w:cs="宋体"/>
          <w:b/>
          <w:bCs/>
          <w:color w:val="auto"/>
          <w:sz w:val="40"/>
          <w:szCs w:val="40"/>
          <w:highlight w:val="none"/>
          <w:lang w:eastAsia="zh-CN"/>
        </w:rPr>
        <w:t>2025年大宗食品定点委托检验定点服务项目</w:t>
      </w:r>
    </w:p>
    <w:p w14:paraId="4542C2EF">
      <w:pPr>
        <w:pStyle w:val="4"/>
        <w:rPr>
          <w:rFonts w:ascii="宋体"/>
          <w:b/>
          <w:bCs/>
          <w:color w:val="auto"/>
          <w:sz w:val="44"/>
          <w:szCs w:val="44"/>
          <w:highlight w:val="none"/>
        </w:rPr>
      </w:pPr>
    </w:p>
    <w:p w14:paraId="4BECE051">
      <w:pPr>
        <w:pStyle w:val="4"/>
        <w:rPr>
          <w:rFonts w:ascii="宋体"/>
          <w:b/>
          <w:bCs/>
          <w:color w:val="auto"/>
          <w:sz w:val="44"/>
          <w:szCs w:val="44"/>
          <w:highlight w:val="none"/>
        </w:rPr>
      </w:pPr>
    </w:p>
    <w:p w14:paraId="4739D586">
      <w:pPr>
        <w:rPr>
          <w:rFonts w:ascii="宋体"/>
          <w:b/>
          <w:bCs/>
          <w:color w:val="auto"/>
          <w:sz w:val="44"/>
          <w:szCs w:val="44"/>
          <w:highlight w:val="none"/>
        </w:rPr>
      </w:pPr>
    </w:p>
    <w:p w14:paraId="7A5D2B1A">
      <w:pPr>
        <w:pStyle w:val="12"/>
        <w:rPr>
          <w:color w:val="auto"/>
          <w:highlight w:val="none"/>
        </w:rPr>
      </w:pPr>
    </w:p>
    <w:p w14:paraId="6783AE62">
      <w:pPr>
        <w:pStyle w:val="4"/>
        <w:rPr>
          <w:rFonts w:ascii="宋体"/>
          <w:b/>
          <w:bCs/>
          <w:color w:val="auto"/>
          <w:sz w:val="44"/>
          <w:szCs w:val="44"/>
          <w:highlight w:val="none"/>
        </w:rPr>
      </w:pPr>
    </w:p>
    <w:p w14:paraId="0D9F357A">
      <w:pPr>
        <w:pStyle w:val="4"/>
        <w:rPr>
          <w:rFonts w:ascii="宋体"/>
          <w:b/>
          <w:bCs/>
          <w:color w:val="auto"/>
          <w:sz w:val="44"/>
          <w:szCs w:val="44"/>
          <w:highlight w:val="none"/>
        </w:rPr>
      </w:pPr>
    </w:p>
    <w:p w14:paraId="541B059F">
      <w:pPr>
        <w:pStyle w:val="4"/>
        <w:rPr>
          <w:color w:val="auto"/>
          <w:highlight w:val="none"/>
        </w:rPr>
      </w:pPr>
    </w:p>
    <w:p w14:paraId="59D7FA1F">
      <w:pPr>
        <w:spacing w:line="360" w:lineRule="auto"/>
        <w:jc w:val="center"/>
        <w:rPr>
          <w:rFonts w:ascii="宋体"/>
          <w:b/>
          <w:bCs/>
          <w:color w:val="auto"/>
          <w:sz w:val="24"/>
          <w:szCs w:val="24"/>
          <w:highlight w:val="none"/>
        </w:rPr>
      </w:pPr>
      <w:r>
        <w:rPr>
          <w:rFonts w:hint="eastAsia" w:ascii="宋体" w:hAnsi="宋体" w:cs="宋体"/>
          <w:b/>
          <w:bCs/>
          <w:color w:val="auto"/>
          <w:sz w:val="72"/>
          <w:szCs w:val="72"/>
          <w:highlight w:val="none"/>
        </w:rPr>
        <w:t>竞争性磋商文件</w:t>
      </w:r>
    </w:p>
    <w:p w14:paraId="0F50CBCC">
      <w:pPr>
        <w:spacing w:line="360" w:lineRule="auto"/>
        <w:jc w:val="center"/>
        <w:rPr>
          <w:rFonts w:ascii="宋体"/>
          <w:b/>
          <w:bCs/>
          <w:color w:val="auto"/>
          <w:sz w:val="24"/>
          <w:szCs w:val="24"/>
          <w:highlight w:val="none"/>
        </w:rPr>
      </w:pPr>
    </w:p>
    <w:p w14:paraId="77E400CE">
      <w:pPr>
        <w:snapToGrid w:val="0"/>
        <w:spacing w:line="360" w:lineRule="auto"/>
        <w:ind w:firstLine="2301" w:firstLineChars="767"/>
        <w:jc w:val="left"/>
        <w:rPr>
          <w:rFonts w:hint="default" w:ascii="宋体" w:eastAsia="宋体"/>
          <w:color w:val="auto"/>
          <w:sz w:val="30"/>
          <w:szCs w:val="30"/>
          <w:highlight w:val="none"/>
          <w:u w:val="singl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FSJZCS202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u w:val="single"/>
        </w:rPr>
        <w:t>00</w:t>
      </w:r>
      <w:r>
        <w:rPr>
          <w:rFonts w:hint="eastAsia" w:ascii="宋体" w:hAnsi="宋体" w:cs="宋体"/>
          <w:color w:val="auto"/>
          <w:sz w:val="30"/>
          <w:szCs w:val="30"/>
          <w:highlight w:val="none"/>
          <w:u w:val="single"/>
          <w:lang w:val="en-US" w:eastAsia="zh-CN"/>
        </w:rPr>
        <w:t>1</w:t>
      </w:r>
    </w:p>
    <w:p w14:paraId="040A6E65">
      <w:pPr>
        <w:snapToGrid w:val="0"/>
        <w:spacing w:line="360" w:lineRule="auto"/>
        <w:ind w:firstLine="2301" w:firstLineChars="767"/>
        <w:jc w:val="left"/>
        <w:rPr>
          <w:rFonts w:ascii="宋体"/>
          <w:color w:val="auto"/>
          <w:sz w:val="30"/>
          <w:szCs w:val="30"/>
          <w:highlight w:val="none"/>
        </w:rPr>
      </w:pPr>
    </w:p>
    <w:p w14:paraId="34060DAF">
      <w:pPr>
        <w:spacing w:line="360" w:lineRule="auto"/>
        <w:rPr>
          <w:rFonts w:ascii="宋体"/>
          <w:color w:val="auto"/>
          <w:sz w:val="28"/>
          <w:szCs w:val="28"/>
          <w:highlight w:val="none"/>
        </w:rPr>
      </w:pPr>
    </w:p>
    <w:p w14:paraId="74BE634B">
      <w:pPr>
        <w:spacing w:line="360" w:lineRule="auto"/>
        <w:jc w:val="center"/>
        <w:rPr>
          <w:rFonts w:ascii="宋体"/>
          <w:color w:val="auto"/>
          <w:sz w:val="24"/>
          <w:szCs w:val="24"/>
          <w:highlight w:val="none"/>
        </w:rPr>
      </w:pPr>
    </w:p>
    <w:p w14:paraId="2B2E95A9">
      <w:pPr>
        <w:spacing w:line="360" w:lineRule="auto"/>
        <w:jc w:val="center"/>
        <w:rPr>
          <w:rFonts w:ascii="宋体"/>
          <w:color w:val="auto"/>
          <w:sz w:val="24"/>
          <w:szCs w:val="24"/>
          <w:highlight w:val="none"/>
        </w:rPr>
      </w:pPr>
    </w:p>
    <w:p w14:paraId="7092717E">
      <w:pPr>
        <w:spacing w:line="360" w:lineRule="auto"/>
        <w:jc w:val="center"/>
        <w:rPr>
          <w:rFonts w:ascii="宋体"/>
          <w:color w:val="auto"/>
          <w:sz w:val="24"/>
          <w:szCs w:val="24"/>
          <w:highlight w:val="none"/>
        </w:rPr>
      </w:pPr>
    </w:p>
    <w:p w14:paraId="34429812">
      <w:pPr>
        <w:spacing w:line="360" w:lineRule="auto"/>
        <w:jc w:val="center"/>
        <w:rPr>
          <w:rFonts w:ascii="宋体"/>
          <w:color w:val="auto"/>
          <w:sz w:val="24"/>
          <w:szCs w:val="24"/>
          <w:highlight w:val="none"/>
        </w:rPr>
      </w:pPr>
    </w:p>
    <w:p w14:paraId="286063A1">
      <w:pPr>
        <w:spacing w:line="360" w:lineRule="auto"/>
        <w:jc w:val="center"/>
        <w:rPr>
          <w:rFonts w:ascii="宋体"/>
          <w:color w:val="auto"/>
          <w:sz w:val="24"/>
          <w:szCs w:val="24"/>
          <w:highlight w:val="none"/>
        </w:rPr>
      </w:pPr>
    </w:p>
    <w:p w14:paraId="445BED47">
      <w:pPr>
        <w:snapToGrid w:val="0"/>
        <w:spacing w:line="360" w:lineRule="auto"/>
        <w:ind w:firstLine="1500" w:firstLineChars="500"/>
        <w:rPr>
          <w:rFonts w:hint="eastAsia" w:ascii="宋体" w:eastAsia="宋体"/>
          <w:color w:val="auto"/>
          <w:highlight w:val="none"/>
          <w:u w:val="single"/>
          <w:lang w:eastAsia="zh-CN"/>
        </w:rPr>
      </w:pPr>
      <w:r>
        <w:rPr>
          <w:rFonts w:hint="eastAsia" w:ascii="宋体" w:hAnsi="宋体" w:cs="宋体"/>
          <w:color w:val="auto"/>
          <w:sz w:val="30"/>
          <w:szCs w:val="30"/>
          <w:highlight w:val="none"/>
        </w:rPr>
        <w:t>采</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绍兴市上虞区市场监督管理局</w:t>
      </w:r>
    </w:p>
    <w:p w14:paraId="57A0565B">
      <w:pPr>
        <w:snapToGrid w:val="0"/>
        <w:spacing w:line="360" w:lineRule="auto"/>
        <w:ind w:firstLine="1500" w:firstLineChars="500"/>
        <w:rPr>
          <w:rFonts w:ascii="宋体"/>
          <w:color w:val="auto"/>
          <w:sz w:val="30"/>
          <w:szCs w:val="30"/>
          <w:highlight w:val="none"/>
        </w:rPr>
      </w:pPr>
      <w:r>
        <w:rPr>
          <w:rFonts w:hint="eastAsia" w:ascii="宋体" w:hAnsi="宋体" w:cs="宋体"/>
          <w:color w:val="auto"/>
          <w:sz w:val="30"/>
          <w:szCs w:val="30"/>
          <w:highlight w:val="none"/>
        </w:rPr>
        <w:t>采购代理机构：浙江宇康工程管理咨询有限公司</w:t>
      </w:r>
    </w:p>
    <w:p w14:paraId="5F3C7BF0">
      <w:pPr>
        <w:jc w:val="center"/>
        <w:rPr>
          <w:rFonts w:ascii="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二</w:t>
      </w:r>
      <w:r>
        <w:rPr>
          <w:rFonts w:hint="eastAsia" w:ascii="宋体" w:hAnsi="宋体" w:cs="宋体"/>
          <w:color w:val="auto"/>
          <w:sz w:val="30"/>
          <w:szCs w:val="30"/>
          <w:highlight w:val="none"/>
        </w:rPr>
        <w:t>月</w:t>
      </w:r>
    </w:p>
    <w:p w14:paraId="2DF4CAE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1F86132B">
      <w:pPr>
        <w:pStyle w:val="21"/>
        <w:tabs>
          <w:tab w:val="right" w:leader="dot" w:pos="8306"/>
        </w:tabs>
        <w:spacing w:line="360" w:lineRule="auto"/>
        <w:rPr>
          <w:color w:val="auto"/>
          <w:sz w:val="22"/>
          <w:szCs w:val="22"/>
          <w:highlight w:val="none"/>
        </w:rPr>
      </w:pPr>
      <w:r>
        <w:rPr>
          <w:rFonts w:hint="eastAsia" w:ascii="宋体" w:hAnsi="宋体" w:cs="宋体"/>
          <w:color w:val="auto"/>
          <w:sz w:val="40"/>
          <w:szCs w:val="40"/>
          <w:highlight w:val="none"/>
        </w:rPr>
        <w:fldChar w:fldCharType="begin"/>
      </w:r>
      <w:r>
        <w:rPr>
          <w:rFonts w:hint="eastAsia" w:ascii="宋体" w:hAnsi="宋体" w:cs="宋体"/>
          <w:color w:val="auto"/>
          <w:sz w:val="40"/>
          <w:szCs w:val="40"/>
          <w:highlight w:val="none"/>
        </w:rPr>
        <w:instrText xml:space="preserve">TOC \o "1-3" \h \u </w:instrText>
      </w:r>
      <w:r>
        <w:rPr>
          <w:rFonts w:hint="eastAsia" w:ascii="宋体" w:hAnsi="宋体" w:cs="宋体"/>
          <w:color w:val="auto"/>
          <w:sz w:val="40"/>
          <w:szCs w:val="40"/>
          <w:highlight w:val="none"/>
        </w:rPr>
        <w:fldChar w:fldCharType="separate"/>
      </w:r>
      <w:r>
        <w:rPr>
          <w:rFonts w:hint="eastAsia" w:ascii="宋体" w:hAnsi="宋体" w:cs="宋体"/>
          <w:color w:val="auto"/>
          <w:sz w:val="22"/>
          <w:szCs w:val="44"/>
          <w:highlight w:val="none"/>
        </w:rPr>
        <w:fldChar w:fldCharType="begin"/>
      </w:r>
      <w:r>
        <w:rPr>
          <w:rFonts w:hint="eastAsia" w:ascii="宋体" w:hAnsi="宋体" w:cs="宋体"/>
          <w:color w:val="auto"/>
          <w:sz w:val="22"/>
          <w:szCs w:val="44"/>
          <w:highlight w:val="none"/>
        </w:rPr>
        <w:instrText xml:space="preserve"> HYPERLINK \l _Toc7199 </w:instrText>
      </w:r>
      <w:r>
        <w:rPr>
          <w:rFonts w:hint="eastAsia" w:ascii="宋体" w:hAnsi="宋体" w:cs="宋体"/>
          <w:color w:val="auto"/>
          <w:sz w:val="22"/>
          <w:szCs w:val="44"/>
          <w:highlight w:val="none"/>
        </w:rPr>
        <w:fldChar w:fldCharType="separate"/>
      </w:r>
      <w:r>
        <w:rPr>
          <w:rFonts w:hint="eastAsia" w:cs="宋体"/>
          <w:color w:val="auto"/>
          <w:sz w:val="22"/>
          <w:szCs w:val="40"/>
          <w:highlight w:val="none"/>
        </w:rPr>
        <w:t>第一部分</w:t>
      </w:r>
      <w:r>
        <w:rPr>
          <w:color w:val="auto"/>
          <w:sz w:val="22"/>
          <w:szCs w:val="40"/>
          <w:highlight w:val="none"/>
        </w:rPr>
        <w:t xml:space="preserve"> </w:t>
      </w:r>
      <w:r>
        <w:rPr>
          <w:rFonts w:hint="eastAsia" w:cs="宋体"/>
          <w:color w:val="auto"/>
          <w:sz w:val="22"/>
          <w:szCs w:val="40"/>
          <w:highlight w:val="none"/>
        </w:rPr>
        <w:t>磋商公告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_Toc7199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rFonts w:hint="eastAsia" w:ascii="宋体" w:hAnsi="宋体" w:cs="宋体"/>
          <w:color w:val="auto"/>
          <w:sz w:val="22"/>
          <w:szCs w:val="44"/>
          <w:highlight w:val="none"/>
        </w:rPr>
        <w:fldChar w:fldCharType="end"/>
      </w:r>
    </w:p>
    <w:p w14:paraId="05AB3DE6">
      <w:pPr>
        <w:pStyle w:val="21"/>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_Toc28056 </w:instrText>
      </w:r>
      <w:r>
        <w:rPr>
          <w:rFonts w:hint="eastAsia" w:hAnsi="宋体"/>
          <w:color w:val="auto"/>
          <w:sz w:val="22"/>
          <w:szCs w:val="44"/>
          <w:highlight w:val="none"/>
        </w:rPr>
        <w:fldChar w:fldCharType="separate"/>
      </w:r>
      <w:r>
        <w:rPr>
          <w:rFonts w:hint="eastAsia" w:cs="宋体"/>
          <w:color w:val="auto"/>
          <w:sz w:val="22"/>
          <w:szCs w:val="40"/>
          <w:highlight w:val="none"/>
        </w:rPr>
        <w:t>第二部分</w:t>
      </w:r>
      <w:r>
        <w:rPr>
          <w:color w:val="auto"/>
          <w:sz w:val="22"/>
          <w:szCs w:val="40"/>
          <w:highlight w:val="none"/>
        </w:rPr>
        <w:t xml:space="preserve"> </w:t>
      </w:r>
      <w:r>
        <w:rPr>
          <w:rFonts w:hint="eastAsia" w:cs="宋体"/>
          <w:color w:val="auto"/>
          <w:sz w:val="22"/>
          <w:szCs w:val="40"/>
          <w:highlight w:val="none"/>
        </w:rPr>
        <w:t>供应商须知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_Toc28056 \h </w:instrText>
      </w:r>
      <w:r>
        <w:rPr>
          <w:color w:val="auto"/>
          <w:sz w:val="22"/>
          <w:szCs w:val="22"/>
          <w:highlight w:val="none"/>
        </w:rPr>
        <w:fldChar w:fldCharType="separate"/>
      </w:r>
      <w:r>
        <w:rPr>
          <w:color w:val="auto"/>
          <w:sz w:val="22"/>
          <w:szCs w:val="22"/>
          <w:highlight w:val="none"/>
        </w:rPr>
        <w:t>5</w:t>
      </w:r>
      <w:r>
        <w:rPr>
          <w:color w:val="auto"/>
          <w:sz w:val="22"/>
          <w:szCs w:val="22"/>
          <w:highlight w:val="none"/>
        </w:rPr>
        <w:fldChar w:fldCharType="end"/>
      </w:r>
      <w:r>
        <w:rPr>
          <w:rFonts w:hint="eastAsia" w:hAnsi="宋体"/>
          <w:color w:val="auto"/>
          <w:sz w:val="22"/>
          <w:szCs w:val="44"/>
          <w:highlight w:val="none"/>
        </w:rPr>
        <w:fldChar w:fldCharType="end"/>
      </w:r>
    </w:p>
    <w:p w14:paraId="334F0C83">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_Toc27280 </w:instrText>
      </w:r>
      <w:r>
        <w:rPr>
          <w:rFonts w:hint="eastAsia" w:hAnsi="宋体"/>
          <w:color w:val="auto"/>
          <w:sz w:val="22"/>
          <w:szCs w:val="44"/>
          <w:highlight w:val="none"/>
        </w:rPr>
        <w:fldChar w:fldCharType="separate"/>
      </w:r>
      <w:r>
        <w:rPr>
          <w:rFonts w:hint="eastAsia" w:hAnsi="宋体" w:cs="Times New Roman"/>
          <w:color w:val="auto"/>
          <w:sz w:val="22"/>
          <w:szCs w:val="22"/>
          <w:highlight w:val="none"/>
        </w:rPr>
        <w:t xml:space="preserve">一、 </w:t>
      </w:r>
      <w:r>
        <w:rPr>
          <w:rFonts w:hint="eastAsia" w:hAnsi="宋体"/>
          <w:color w:val="auto"/>
          <w:sz w:val="22"/>
          <w:szCs w:val="22"/>
          <w:highlight w:val="none"/>
        </w:rPr>
        <w:t>总则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_Toc27280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4"/>
          <w:highlight w:val="none"/>
        </w:rPr>
        <w:fldChar w:fldCharType="end"/>
      </w:r>
    </w:p>
    <w:p w14:paraId="3659A4AE">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_Toc24818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竞争性磋商文件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_Toc24818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hAnsi="宋体"/>
          <w:color w:val="auto"/>
          <w:sz w:val="22"/>
          <w:szCs w:val="44"/>
          <w:highlight w:val="none"/>
        </w:rPr>
        <w:fldChar w:fldCharType="end"/>
      </w:r>
    </w:p>
    <w:p w14:paraId="291606A4">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_Toc12700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竞争性磋商响应文件的编写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_Toc12700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rFonts w:hint="eastAsia" w:hAnsi="宋体"/>
          <w:color w:val="auto"/>
          <w:sz w:val="22"/>
          <w:szCs w:val="44"/>
          <w:highlight w:val="none"/>
        </w:rPr>
        <w:fldChar w:fldCharType="end"/>
      </w:r>
    </w:p>
    <w:p w14:paraId="48FD1FA9">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_Toc28961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响应文件的递交</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_Toc28961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hAnsi="宋体"/>
          <w:color w:val="auto"/>
          <w:sz w:val="22"/>
          <w:szCs w:val="44"/>
          <w:highlight w:val="none"/>
        </w:rPr>
        <w:fldChar w:fldCharType="end"/>
      </w:r>
    </w:p>
    <w:p w14:paraId="6D5EEB75">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_Toc30517 </w:instrText>
      </w:r>
      <w:r>
        <w:rPr>
          <w:rFonts w:hint="eastAsia" w:hAnsi="宋体"/>
          <w:color w:val="auto"/>
          <w:sz w:val="22"/>
          <w:szCs w:val="44"/>
          <w:highlight w:val="none"/>
        </w:rPr>
        <w:fldChar w:fldCharType="separate"/>
      </w:r>
      <w:r>
        <w:rPr>
          <w:rFonts w:hint="eastAsia" w:hAnsi="宋体" w:cs="Times New Roman"/>
          <w:color w:val="auto"/>
          <w:sz w:val="22"/>
          <w:szCs w:val="22"/>
          <w:highlight w:val="none"/>
        </w:rPr>
        <w:t xml:space="preserve">五、 </w:t>
      </w:r>
      <w:r>
        <w:rPr>
          <w:rFonts w:hint="eastAsia"/>
          <w:color w:val="auto"/>
          <w:sz w:val="22"/>
          <w:szCs w:val="22"/>
          <w:highlight w:val="none"/>
        </w:rPr>
        <w:t>磋商无效的情形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_Toc30517 \h </w:instrText>
      </w:r>
      <w:r>
        <w:rPr>
          <w:color w:val="auto"/>
          <w:sz w:val="22"/>
          <w:szCs w:val="22"/>
          <w:highlight w:val="none"/>
        </w:rPr>
        <w:fldChar w:fldCharType="separate"/>
      </w:r>
      <w:r>
        <w:rPr>
          <w:color w:val="auto"/>
          <w:sz w:val="22"/>
          <w:szCs w:val="22"/>
          <w:highlight w:val="none"/>
        </w:rPr>
        <w:t>1</w:t>
      </w:r>
      <w:r>
        <w:rPr>
          <w:rFonts w:hint="eastAsia"/>
          <w:color w:val="auto"/>
          <w:sz w:val="22"/>
          <w:szCs w:val="22"/>
          <w:highlight w:val="none"/>
          <w:lang w:val="en-US" w:eastAsia="zh-CN"/>
        </w:rPr>
        <w:t>5</w:t>
      </w:r>
      <w:r>
        <w:rPr>
          <w:color w:val="auto"/>
          <w:sz w:val="22"/>
          <w:szCs w:val="22"/>
          <w:highlight w:val="none"/>
        </w:rPr>
        <w:fldChar w:fldCharType="end"/>
      </w:r>
      <w:r>
        <w:rPr>
          <w:rFonts w:hint="eastAsia" w:hAnsi="宋体"/>
          <w:color w:val="auto"/>
          <w:sz w:val="22"/>
          <w:szCs w:val="44"/>
          <w:highlight w:val="none"/>
        </w:rPr>
        <w:fldChar w:fldCharType="end"/>
      </w:r>
    </w:p>
    <w:p w14:paraId="55802ED7">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_Toc19329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六、 </w:t>
      </w:r>
      <w:r>
        <w:rPr>
          <w:rFonts w:hint="eastAsia"/>
          <w:color w:val="auto"/>
          <w:sz w:val="22"/>
          <w:szCs w:val="22"/>
          <w:highlight w:val="none"/>
        </w:rPr>
        <w:t>采购中止的情形</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_Toc19329 \h </w:instrText>
      </w:r>
      <w:r>
        <w:rPr>
          <w:color w:val="auto"/>
          <w:sz w:val="22"/>
          <w:szCs w:val="22"/>
          <w:highlight w:val="none"/>
        </w:rPr>
        <w:fldChar w:fldCharType="separate"/>
      </w:r>
      <w:r>
        <w:rPr>
          <w:color w:val="auto"/>
          <w:sz w:val="22"/>
          <w:szCs w:val="22"/>
          <w:highlight w:val="none"/>
        </w:rPr>
        <w:t>1</w:t>
      </w:r>
      <w:r>
        <w:rPr>
          <w:rFonts w:hint="eastAsia"/>
          <w:color w:val="auto"/>
          <w:sz w:val="22"/>
          <w:szCs w:val="22"/>
          <w:highlight w:val="none"/>
          <w:lang w:val="en-US" w:eastAsia="zh-CN"/>
        </w:rPr>
        <w:t>6</w:t>
      </w:r>
      <w:r>
        <w:rPr>
          <w:color w:val="auto"/>
          <w:sz w:val="22"/>
          <w:szCs w:val="22"/>
          <w:highlight w:val="none"/>
        </w:rPr>
        <w:fldChar w:fldCharType="end"/>
      </w:r>
      <w:r>
        <w:rPr>
          <w:rFonts w:hint="eastAsia" w:hAnsi="宋体"/>
          <w:color w:val="auto"/>
          <w:sz w:val="22"/>
          <w:szCs w:val="44"/>
          <w:highlight w:val="none"/>
        </w:rPr>
        <w:fldChar w:fldCharType="end"/>
      </w:r>
    </w:p>
    <w:p w14:paraId="6543D396">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_Toc15795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七、 </w:t>
      </w:r>
      <w:r>
        <w:rPr>
          <w:rFonts w:hint="eastAsia"/>
          <w:color w:val="auto"/>
          <w:sz w:val="22"/>
          <w:szCs w:val="22"/>
          <w:highlight w:val="none"/>
        </w:rPr>
        <w:t>确定成交供应商与签订合同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_Toc15795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hAnsi="宋体"/>
          <w:color w:val="auto"/>
          <w:sz w:val="22"/>
          <w:szCs w:val="44"/>
          <w:highlight w:val="none"/>
        </w:rPr>
        <w:fldChar w:fldCharType="end"/>
      </w:r>
    </w:p>
    <w:p w14:paraId="15EA45E1">
      <w:pPr>
        <w:pStyle w:val="21"/>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_Toc29134 </w:instrText>
      </w:r>
      <w:r>
        <w:rPr>
          <w:rFonts w:hint="eastAsia" w:hAnsi="宋体"/>
          <w:color w:val="auto"/>
          <w:sz w:val="22"/>
          <w:szCs w:val="44"/>
          <w:highlight w:val="none"/>
        </w:rPr>
        <w:fldChar w:fldCharType="separate"/>
      </w:r>
      <w:r>
        <w:rPr>
          <w:rFonts w:hint="eastAsia"/>
          <w:color w:val="auto"/>
          <w:sz w:val="22"/>
          <w:szCs w:val="40"/>
          <w:highlight w:val="none"/>
        </w:rPr>
        <w:t xml:space="preserve">第三部分 </w:t>
      </w:r>
      <w:r>
        <w:rPr>
          <w:rFonts w:hint="eastAsia" w:cs="宋体"/>
          <w:color w:val="auto"/>
          <w:sz w:val="22"/>
          <w:szCs w:val="40"/>
          <w:highlight w:val="none"/>
        </w:rPr>
        <w:t>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_Toc29134 \h </w:instrText>
      </w:r>
      <w:r>
        <w:rPr>
          <w:color w:val="auto"/>
          <w:sz w:val="22"/>
          <w:szCs w:val="22"/>
          <w:highlight w:val="none"/>
        </w:rPr>
        <w:fldChar w:fldCharType="separate"/>
      </w:r>
      <w:r>
        <w:rPr>
          <w:color w:val="auto"/>
          <w:sz w:val="22"/>
          <w:szCs w:val="22"/>
          <w:highlight w:val="none"/>
        </w:rPr>
        <w:t>1</w:t>
      </w:r>
      <w:r>
        <w:rPr>
          <w:rFonts w:hint="eastAsia"/>
          <w:color w:val="auto"/>
          <w:sz w:val="22"/>
          <w:szCs w:val="22"/>
          <w:highlight w:val="none"/>
          <w:lang w:val="en-US" w:eastAsia="zh-CN"/>
        </w:rPr>
        <w:t>8</w:t>
      </w:r>
      <w:r>
        <w:rPr>
          <w:color w:val="auto"/>
          <w:sz w:val="22"/>
          <w:szCs w:val="22"/>
          <w:highlight w:val="none"/>
        </w:rPr>
        <w:fldChar w:fldCharType="end"/>
      </w:r>
      <w:r>
        <w:rPr>
          <w:rFonts w:hint="eastAsia" w:hAnsi="宋体"/>
          <w:color w:val="auto"/>
          <w:sz w:val="22"/>
          <w:szCs w:val="44"/>
          <w:highlight w:val="none"/>
        </w:rPr>
        <w:fldChar w:fldCharType="end"/>
      </w:r>
    </w:p>
    <w:p w14:paraId="56BEC830">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_Toc28058 </w:instrText>
      </w:r>
      <w:r>
        <w:rPr>
          <w:rFonts w:hint="eastAsia" w:hAnsi="宋体"/>
          <w:color w:val="auto"/>
          <w:sz w:val="22"/>
          <w:szCs w:val="44"/>
          <w:highlight w:val="none"/>
        </w:rPr>
        <w:fldChar w:fldCharType="separate"/>
      </w:r>
      <w:r>
        <w:rPr>
          <w:rFonts w:hint="eastAsia"/>
          <w:color w:val="auto"/>
          <w:sz w:val="22"/>
          <w:szCs w:val="22"/>
          <w:highlight w:val="none"/>
        </w:rPr>
        <w:t>第一章 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_Toc28058 \h </w:instrText>
      </w:r>
      <w:r>
        <w:rPr>
          <w:color w:val="auto"/>
          <w:sz w:val="22"/>
          <w:szCs w:val="22"/>
          <w:highlight w:val="none"/>
        </w:rPr>
        <w:fldChar w:fldCharType="separate"/>
      </w:r>
      <w:r>
        <w:rPr>
          <w:color w:val="auto"/>
          <w:sz w:val="22"/>
          <w:szCs w:val="22"/>
          <w:highlight w:val="none"/>
        </w:rPr>
        <w:t>1</w:t>
      </w:r>
      <w:r>
        <w:rPr>
          <w:rFonts w:hint="eastAsia"/>
          <w:color w:val="auto"/>
          <w:sz w:val="22"/>
          <w:szCs w:val="22"/>
          <w:highlight w:val="none"/>
          <w:lang w:val="en-US" w:eastAsia="zh-CN"/>
        </w:rPr>
        <w:t>8</w:t>
      </w:r>
      <w:r>
        <w:rPr>
          <w:color w:val="auto"/>
          <w:sz w:val="22"/>
          <w:szCs w:val="22"/>
          <w:highlight w:val="none"/>
        </w:rPr>
        <w:fldChar w:fldCharType="end"/>
      </w:r>
      <w:r>
        <w:rPr>
          <w:rFonts w:hint="eastAsia" w:hAnsi="宋体"/>
          <w:color w:val="auto"/>
          <w:sz w:val="22"/>
          <w:szCs w:val="44"/>
          <w:highlight w:val="none"/>
        </w:rPr>
        <w:fldChar w:fldCharType="end"/>
      </w:r>
    </w:p>
    <w:p w14:paraId="3DD8D4F4">
      <w:pPr>
        <w:pStyle w:val="23"/>
        <w:tabs>
          <w:tab w:val="right" w:leader="dot" w:pos="8306"/>
        </w:tabs>
        <w:spacing w:line="360" w:lineRule="auto"/>
        <w:rPr>
          <w:rFonts w:hint="eastAsia" w:eastAsia="宋体"/>
          <w:color w:val="auto"/>
          <w:sz w:val="22"/>
          <w:szCs w:val="22"/>
          <w:highlight w:val="none"/>
          <w:lang w:val="en-US" w:eastAsia="zh-CN"/>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_Toc18762 </w:instrText>
      </w:r>
      <w:r>
        <w:rPr>
          <w:rFonts w:hint="eastAsia" w:hAnsi="宋体"/>
          <w:color w:val="auto"/>
          <w:sz w:val="22"/>
          <w:szCs w:val="44"/>
          <w:highlight w:val="none"/>
        </w:rPr>
        <w:fldChar w:fldCharType="separate"/>
      </w:r>
      <w:r>
        <w:rPr>
          <w:rFonts w:hint="eastAsia"/>
          <w:color w:val="auto"/>
          <w:sz w:val="22"/>
          <w:szCs w:val="22"/>
          <w:highlight w:val="none"/>
          <w:lang w:val="en-US" w:eastAsia="zh-CN"/>
        </w:rPr>
        <w:t xml:space="preserve">第二章 </w:t>
      </w:r>
      <w:r>
        <w:rPr>
          <w:rFonts w:hint="eastAsia"/>
          <w:color w:val="auto"/>
          <w:sz w:val="22"/>
          <w:szCs w:val="22"/>
          <w:highlight w:val="none"/>
        </w:rPr>
        <w:t>付款方式及要求</w:t>
      </w:r>
      <w:r>
        <w:rPr>
          <w:color w:val="auto"/>
          <w:sz w:val="22"/>
          <w:szCs w:val="22"/>
          <w:highlight w:val="none"/>
        </w:rPr>
        <w:tab/>
      </w:r>
      <w:r>
        <w:rPr>
          <w:rFonts w:hint="eastAsia"/>
          <w:color w:val="auto"/>
          <w:sz w:val="22"/>
          <w:szCs w:val="22"/>
          <w:highlight w:val="none"/>
          <w:lang w:val="en-US" w:eastAsia="zh-CN"/>
        </w:rPr>
        <w:t>1</w:t>
      </w:r>
      <w:r>
        <w:rPr>
          <w:rFonts w:hint="eastAsia" w:hAnsi="宋体"/>
          <w:color w:val="auto"/>
          <w:sz w:val="22"/>
          <w:szCs w:val="44"/>
          <w:highlight w:val="none"/>
        </w:rPr>
        <w:fldChar w:fldCharType="end"/>
      </w:r>
      <w:r>
        <w:rPr>
          <w:rFonts w:hint="eastAsia" w:hAnsi="宋体"/>
          <w:color w:val="auto"/>
          <w:sz w:val="22"/>
          <w:szCs w:val="44"/>
          <w:highlight w:val="none"/>
          <w:lang w:val="en-US" w:eastAsia="zh-CN"/>
        </w:rPr>
        <w:t>9</w:t>
      </w:r>
    </w:p>
    <w:p w14:paraId="7BEECAB6">
      <w:pPr>
        <w:pStyle w:val="21"/>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_Toc17073 </w:instrText>
      </w:r>
      <w:r>
        <w:rPr>
          <w:rFonts w:hint="eastAsia" w:hAnsi="宋体"/>
          <w:color w:val="auto"/>
          <w:sz w:val="22"/>
          <w:szCs w:val="44"/>
          <w:highlight w:val="none"/>
        </w:rPr>
        <w:fldChar w:fldCharType="separate"/>
      </w:r>
      <w:r>
        <w:rPr>
          <w:rFonts w:hint="eastAsia" w:cs="宋体"/>
          <w:color w:val="auto"/>
          <w:sz w:val="22"/>
          <w:szCs w:val="40"/>
          <w:highlight w:val="none"/>
        </w:rPr>
        <w:t>第四部分 磋商原则及磋商方法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_Toc17073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0</w:t>
      </w:r>
      <w:r>
        <w:rPr>
          <w:color w:val="auto"/>
          <w:sz w:val="22"/>
          <w:szCs w:val="22"/>
          <w:highlight w:val="none"/>
        </w:rPr>
        <w:fldChar w:fldCharType="end"/>
      </w:r>
      <w:r>
        <w:rPr>
          <w:rFonts w:hint="eastAsia" w:hAnsi="宋体"/>
          <w:color w:val="auto"/>
          <w:sz w:val="22"/>
          <w:szCs w:val="44"/>
          <w:highlight w:val="none"/>
        </w:rPr>
        <w:fldChar w:fldCharType="end"/>
      </w:r>
    </w:p>
    <w:p w14:paraId="150F8A4F">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_Toc1029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一、 </w:t>
      </w:r>
      <w:r>
        <w:rPr>
          <w:rFonts w:hint="eastAsia"/>
          <w:color w:val="auto"/>
          <w:sz w:val="22"/>
          <w:szCs w:val="22"/>
          <w:highlight w:val="none"/>
        </w:rPr>
        <w:t>磋商原则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_Toc1029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0</w:t>
      </w:r>
      <w:r>
        <w:rPr>
          <w:color w:val="auto"/>
          <w:sz w:val="22"/>
          <w:szCs w:val="22"/>
          <w:highlight w:val="none"/>
        </w:rPr>
        <w:fldChar w:fldCharType="end"/>
      </w:r>
      <w:r>
        <w:rPr>
          <w:rFonts w:hint="eastAsia" w:hAnsi="宋体"/>
          <w:color w:val="auto"/>
          <w:sz w:val="22"/>
          <w:szCs w:val="44"/>
          <w:highlight w:val="none"/>
        </w:rPr>
        <w:fldChar w:fldCharType="end"/>
      </w:r>
    </w:p>
    <w:p w14:paraId="788BF1FB">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_Toc32418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二、 </w:t>
      </w:r>
      <w:r>
        <w:rPr>
          <w:rFonts w:hint="eastAsia"/>
          <w:color w:val="auto"/>
          <w:sz w:val="22"/>
          <w:szCs w:val="22"/>
          <w:highlight w:val="none"/>
        </w:rPr>
        <w:t>磋商程序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_Toc32418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1</w:t>
      </w:r>
      <w:r>
        <w:rPr>
          <w:color w:val="auto"/>
          <w:sz w:val="22"/>
          <w:szCs w:val="22"/>
          <w:highlight w:val="none"/>
        </w:rPr>
        <w:fldChar w:fldCharType="end"/>
      </w:r>
      <w:r>
        <w:rPr>
          <w:rFonts w:hint="eastAsia" w:hAnsi="宋体"/>
          <w:color w:val="auto"/>
          <w:sz w:val="22"/>
          <w:szCs w:val="44"/>
          <w:highlight w:val="none"/>
        </w:rPr>
        <w:fldChar w:fldCharType="end"/>
      </w:r>
    </w:p>
    <w:p w14:paraId="125D0C1B">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_Toc15731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三、 </w:t>
      </w:r>
      <w:r>
        <w:rPr>
          <w:rFonts w:hint="eastAsia"/>
          <w:color w:val="auto"/>
          <w:sz w:val="22"/>
          <w:szCs w:val="22"/>
          <w:highlight w:val="none"/>
        </w:rPr>
        <w:t>注意事项</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_Toc15731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5</w:t>
      </w:r>
      <w:r>
        <w:rPr>
          <w:color w:val="auto"/>
          <w:sz w:val="22"/>
          <w:szCs w:val="22"/>
          <w:highlight w:val="none"/>
        </w:rPr>
        <w:fldChar w:fldCharType="end"/>
      </w:r>
      <w:r>
        <w:rPr>
          <w:rFonts w:hint="eastAsia" w:hAnsi="宋体"/>
          <w:color w:val="auto"/>
          <w:sz w:val="22"/>
          <w:szCs w:val="44"/>
          <w:highlight w:val="none"/>
        </w:rPr>
        <w:fldChar w:fldCharType="end"/>
      </w:r>
    </w:p>
    <w:p w14:paraId="4202F5EC">
      <w:pPr>
        <w:pStyle w:val="23"/>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_Toc30132 </w:instrText>
      </w:r>
      <w:r>
        <w:rPr>
          <w:rFonts w:hint="eastAsia" w:hAnsi="宋体"/>
          <w:color w:val="auto"/>
          <w:sz w:val="22"/>
          <w:szCs w:val="44"/>
          <w:highlight w:val="none"/>
        </w:rPr>
        <w:fldChar w:fldCharType="separate"/>
      </w:r>
      <w:r>
        <w:rPr>
          <w:rFonts w:hint="eastAsia" w:cs="Times New Roman"/>
          <w:color w:val="auto"/>
          <w:sz w:val="22"/>
          <w:szCs w:val="22"/>
          <w:highlight w:val="none"/>
        </w:rPr>
        <w:t xml:space="preserve">四、 </w:t>
      </w:r>
      <w:r>
        <w:rPr>
          <w:rFonts w:hint="eastAsia"/>
          <w:color w:val="auto"/>
          <w:sz w:val="22"/>
          <w:szCs w:val="22"/>
          <w:highlight w:val="none"/>
        </w:rPr>
        <w:t>评分细则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_Toc30132 \h </w:instrText>
      </w:r>
      <w:r>
        <w:rPr>
          <w:color w:val="auto"/>
          <w:sz w:val="22"/>
          <w:szCs w:val="22"/>
          <w:highlight w:val="none"/>
        </w:rPr>
        <w:fldChar w:fldCharType="separate"/>
      </w:r>
      <w:r>
        <w:rPr>
          <w:color w:val="auto"/>
          <w:sz w:val="22"/>
          <w:szCs w:val="22"/>
          <w:highlight w:val="none"/>
        </w:rPr>
        <w:t>2</w:t>
      </w:r>
      <w:r>
        <w:rPr>
          <w:rFonts w:hint="eastAsia"/>
          <w:color w:val="auto"/>
          <w:sz w:val="22"/>
          <w:szCs w:val="22"/>
          <w:highlight w:val="none"/>
          <w:lang w:val="en-US" w:eastAsia="zh-CN"/>
        </w:rPr>
        <w:t>5</w:t>
      </w:r>
      <w:r>
        <w:rPr>
          <w:color w:val="auto"/>
          <w:sz w:val="22"/>
          <w:szCs w:val="22"/>
          <w:highlight w:val="none"/>
        </w:rPr>
        <w:fldChar w:fldCharType="end"/>
      </w:r>
      <w:r>
        <w:rPr>
          <w:rFonts w:hint="eastAsia" w:hAnsi="宋体"/>
          <w:color w:val="auto"/>
          <w:sz w:val="22"/>
          <w:szCs w:val="44"/>
          <w:highlight w:val="none"/>
        </w:rPr>
        <w:fldChar w:fldCharType="end"/>
      </w:r>
    </w:p>
    <w:p w14:paraId="7E73BE93">
      <w:pPr>
        <w:pStyle w:val="21"/>
        <w:tabs>
          <w:tab w:val="right" w:leader="dot" w:pos="8306"/>
        </w:tabs>
        <w:spacing w:line="360" w:lineRule="auto"/>
        <w:rPr>
          <w:color w:val="auto"/>
          <w:sz w:val="22"/>
          <w:szCs w:val="22"/>
          <w:highlight w:val="none"/>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_Toc11453 </w:instrText>
      </w:r>
      <w:r>
        <w:rPr>
          <w:rFonts w:hint="eastAsia" w:hAnsi="宋体"/>
          <w:color w:val="auto"/>
          <w:sz w:val="22"/>
          <w:szCs w:val="44"/>
          <w:highlight w:val="none"/>
        </w:rPr>
        <w:fldChar w:fldCharType="separate"/>
      </w:r>
      <w:r>
        <w:rPr>
          <w:rFonts w:hint="eastAsia" w:cs="宋体"/>
          <w:color w:val="auto"/>
          <w:sz w:val="22"/>
          <w:szCs w:val="40"/>
          <w:highlight w:val="none"/>
        </w:rPr>
        <w:t>第五部分</w:t>
      </w:r>
      <w:r>
        <w:rPr>
          <w:color w:val="auto"/>
          <w:sz w:val="22"/>
          <w:szCs w:val="40"/>
          <w:highlight w:val="none"/>
        </w:rPr>
        <w:t xml:space="preserve"> </w:t>
      </w:r>
      <w:r>
        <w:rPr>
          <w:rFonts w:hint="eastAsia" w:cs="宋体"/>
          <w:color w:val="auto"/>
          <w:sz w:val="22"/>
          <w:szCs w:val="40"/>
          <w:highlight w:val="none"/>
        </w:rPr>
        <w:t>采购合同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_Toc11453 \h </w:instrText>
      </w:r>
      <w:r>
        <w:rPr>
          <w:color w:val="auto"/>
          <w:sz w:val="22"/>
          <w:szCs w:val="22"/>
          <w:highlight w:val="none"/>
        </w:rPr>
        <w:fldChar w:fldCharType="separate"/>
      </w:r>
      <w:r>
        <w:rPr>
          <w:color w:val="auto"/>
          <w:sz w:val="22"/>
          <w:szCs w:val="22"/>
          <w:highlight w:val="none"/>
        </w:rPr>
        <w:t>3</w:t>
      </w:r>
      <w:r>
        <w:rPr>
          <w:rFonts w:hint="eastAsia"/>
          <w:color w:val="auto"/>
          <w:sz w:val="22"/>
          <w:szCs w:val="22"/>
          <w:highlight w:val="none"/>
          <w:lang w:val="en-US" w:eastAsia="zh-CN"/>
        </w:rPr>
        <w:t>0</w:t>
      </w:r>
      <w:r>
        <w:rPr>
          <w:color w:val="auto"/>
          <w:sz w:val="22"/>
          <w:szCs w:val="22"/>
          <w:highlight w:val="none"/>
        </w:rPr>
        <w:fldChar w:fldCharType="end"/>
      </w:r>
      <w:r>
        <w:rPr>
          <w:rFonts w:hint="eastAsia" w:hAnsi="宋体"/>
          <w:color w:val="auto"/>
          <w:sz w:val="22"/>
          <w:szCs w:val="44"/>
          <w:highlight w:val="none"/>
        </w:rPr>
        <w:fldChar w:fldCharType="end"/>
      </w:r>
    </w:p>
    <w:p w14:paraId="4D9CA8C7">
      <w:pPr>
        <w:pStyle w:val="21"/>
        <w:tabs>
          <w:tab w:val="right" w:leader="dot" w:pos="8306"/>
        </w:tabs>
        <w:spacing w:line="360" w:lineRule="auto"/>
        <w:rPr>
          <w:rFonts w:hint="eastAsia" w:eastAsia="宋体"/>
          <w:color w:val="auto"/>
          <w:highlight w:val="none"/>
          <w:lang w:val="en-US" w:eastAsia="zh-CN"/>
        </w:rPr>
      </w:pPr>
      <w:r>
        <w:rPr>
          <w:rFonts w:hint="eastAsia" w:hAnsi="宋体"/>
          <w:color w:val="auto"/>
          <w:sz w:val="22"/>
          <w:szCs w:val="44"/>
          <w:highlight w:val="none"/>
        </w:rPr>
        <w:fldChar w:fldCharType="begin"/>
      </w:r>
      <w:r>
        <w:rPr>
          <w:rFonts w:hint="eastAsia" w:hAnsi="宋体"/>
          <w:color w:val="auto"/>
          <w:sz w:val="22"/>
          <w:szCs w:val="44"/>
          <w:highlight w:val="none"/>
        </w:rPr>
        <w:instrText xml:space="preserve"> HYPERLINK \l _Toc28272 </w:instrText>
      </w:r>
      <w:r>
        <w:rPr>
          <w:rFonts w:hint="eastAsia" w:hAnsi="宋体"/>
          <w:color w:val="auto"/>
          <w:sz w:val="22"/>
          <w:szCs w:val="44"/>
          <w:highlight w:val="none"/>
        </w:rPr>
        <w:fldChar w:fldCharType="separate"/>
      </w:r>
      <w:r>
        <w:rPr>
          <w:rFonts w:hint="eastAsia" w:cs="宋体"/>
          <w:color w:val="auto"/>
          <w:sz w:val="22"/>
          <w:szCs w:val="40"/>
          <w:highlight w:val="none"/>
        </w:rPr>
        <w:t>第六部分</w:t>
      </w:r>
      <w:r>
        <w:rPr>
          <w:color w:val="auto"/>
          <w:sz w:val="22"/>
          <w:szCs w:val="40"/>
          <w:highlight w:val="none"/>
        </w:rPr>
        <w:t xml:space="preserve"> </w:t>
      </w:r>
      <w:r>
        <w:rPr>
          <w:rFonts w:hint="eastAsia" w:cs="宋体"/>
          <w:color w:val="auto"/>
          <w:sz w:val="22"/>
          <w:szCs w:val="40"/>
          <w:highlight w:val="none"/>
        </w:rPr>
        <w:t>应提交的有关格式范例</w:t>
      </w:r>
      <w:r>
        <w:rPr>
          <w:color w:val="auto"/>
          <w:sz w:val="22"/>
          <w:szCs w:val="22"/>
          <w:highlight w:val="none"/>
        </w:rPr>
        <w:tab/>
      </w:r>
      <w:r>
        <w:rPr>
          <w:rFonts w:hint="eastAsia"/>
          <w:color w:val="auto"/>
          <w:sz w:val="22"/>
          <w:szCs w:val="22"/>
          <w:highlight w:val="none"/>
          <w:lang w:val="en-US" w:eastAsia="zh-CN"/>
        </w:rPr>
        <w:t>3</w:t>
      </w:r>
      <w:r>
        <w:rPr>
          <w:rFonts w:hint="eastAsia" w:hAnsi="宋体"/>
          <w:color w:val="auto"/>
          <w:sz w:val="22"/>
          <w:szCs w:val="44"/>
          <w:highlight w:val="none"/>
        </w:rPr>
        <w:fldChar w:fldCharType="end"/>
      </w:r>
      <w:r>
        <w:rPr>
          <w:rFonts w:hint="eastAsia" w:hAnsi="宋体"/>
          <w:color w:val="auto"/>
          <w:sz w:val="22"/>
          <w:szCs w:val="44"/>
          <w:highlight w:val="none"/>
          <w:lang w:val="en-US" w:eastAsia="zh-CN"/>
        </w:rPr>
        <w:t>4</w:t>
      </w:r>
    </w:p>
    <w:p w14:paraId="3813BB3A">
      <w:pPr>
        <w:pStyle w:val="3"/>
        <w:spacing w:line="360" w:lineRule="auto"/>
        <w:rPr>
          <w:rFonts w:cs="Times New Roman"/>
          <w:color w:val="auto"/>
          <w:highlight w:val="none"/>
        </w:rPr>
      </w:pPr>
      <w:r>
        <w:rPr>
          <w:rFonts w:hint="eastAsia" w:hAnsi="宋体"/>
          <w:color w:val="auto"/>
          <w:szCs w:val="40"/>
          <w:highlight w:val="none"/>
        </w:rPr>
        <w:fldChar w:fldCharType="end"/>
      </w:r>
    </w:p>
    <w:p w14:paraId="6A4E2AC0">
      <w:pPr>
        <w:rPr>
          <w:color w:val="auto"/>
          <w:highlight w:val="none"/>
        </w:rPr>
      </w:pPr>
    </w:p>
    <w:p w14:paraId="41E93652">
      <w:pPr>
        <w:rPr>
          <w:color w:val="auto"/>
          <w:highlight w:val="none"/>
        </w:rPr>
      </w:pPr>
    </w:p>
    <w:p w14:paraId="0631B2A8">
      <w:pPr>
        <w:rPr>
          <w:color w:val="auto"/>
          <w:highlight w:val="none"/>
        </w:rPr>
      </w:pPr>
    </w:p>
    <w:p w14:paraId="05F91E3E">
      <w:pPr>
        <w:rPr>
          <w:color w:val="auto"/>
          <w:highlight w:val="none"/>
        </w:rPr>
      </w:pPr>
    </w:p>
    <w:p w14:paraId="32171323">
      <w:pPr>
        <w:tabs>
          <w:tab w:val="left" w:pos="3148"/>
        </w:tabs>
        <w:jc w:val="left"/>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highlight w:val="none"/>
        </w:rPr>
        <w:tab/>
      </w:r>
    </w:p>
    <w:p w14:paraId="0D8171B9">
      <w:pPr>
        <w:pStyle w:val="2"/>
        <w:jc w:val="center"/>
        <w:rPr>
          <w:rFonts w:ascii="宋体" w:cs="Times New Roman"/>
          <w:color w:val="auto"/>
          <w:highlight w:val="none"/>
        </w:rPr>
      </w:pPr>
      <w:bookmarkStart w:id="0" w:name="_Toc31034"/>
      <w:bookmarkStart w:id="1" w:name="_Toc32199"/>
      <w:bookmarkStart w:id="2" w:name="_Toc7199"/>
      <w:bookmarkStart w:id="3" w:name="第二部分"/>
      <w:bookmarkStart w:id="4" w:name="_Toc91899870"/>
      <w:r>
        <w:rPr>
          <w:rFonts w:hint="eastAsia" w:cs="宋体"/>
          <w:color w:val="auto"/>
          <w:sz w:val="36"/>
          <w:szCs w:val="36"/>
          <w:highlight w:val="none"/>
        </w:rPr>
        <w:t>第一部分</w:t>
      </w:r>
      <w:r>
        <w:rPr>
          <w:color w:val="auto"/>
          <w:sz w:val="36"/>
          <w:szCs w:val="36"/>
          <w:highlight w:val="none"/>
        </w:rPr>
        <w:t xml:space="preserve"> </w:t>
      </w:r>
      <w:r>
        <w:rPr>
          <w:rFonts w:hint="eastAsia" w:cs="宋体"/>
          <w:color w:val="auto"/>
          <w:sz w:val="36"/>
          <w:szCs w:val="36"/>
          <w:highlight w:val="none"/>
        </w:rPr>
        <w:t>磋商公告</w:t>
      </w:r>
      <w:bookmarkEnd w:id="0"/>
      <w:bookmarkEnd w:id="1"/>
      <w:bookmarkEnd w:id="2"/>
    </w:p>
    <w:p w14:paraId="332C43AC">
      <w:pPr>
        <w:adjustRightInd w:val="0"/>
        <w:spacing w:line="360" w:lineRule="auto"/>
        <w:ind w:right="-313" w:rightChars="-149"/>
        <w:jc w:val="center"/>
        <w:rPr>
          <w:rFonts w:ascii="宋体"/>
          <w:color w:val="auto"/>
          <w:sz w:val="28"/>
          <w:szCs w:val="28"/>
          <w:highlight w:val="none"/>
        </w:rPr>
      </w:pPr>
      <w:r>
        <w:rPr>
          <w:rFonts w:hint="eastAsia" w:ascii="宋体" w:hAnsi="宋体" w:cs="宋体"/>
          <w:color w:val="auto"/>
          <w:sz w:val="28"/>
          <w:szCs w:val="28"/>
          <w:highlight w:val="none"/>
        </w:rPr>
        <w:t>浙江宇康工程管理咨询有限公司关于</w:t>
      </w:r>
      <w:r>
        <w:rPr>
          <w:rFonts w:hint="eastAsia" w:ascii="宋体" w:hAnsi="宋体" w:cs="宋体"/>
          <w:color w:val="auto"/>
          <w:sz w:val="28"/>
          <w:szCs w:val="28"/>
          <w:highlight w:val="none"/>
          <w:lang w:eastAsia="zh-CN"/>
        </w:rPr>
        <w:t>绍兴市上虞区市场监督管理局2025年大宗食品定点委托检验定点服务项目</w:t>
      </w:r>
      <w:r>
        <w:rPr>
          <w:rFonts w:hint="eastAsia" w:ascii="宋体" w:hAnsi="宋体" w:cs="宋体"/>
          <w:color w:val="auto"/>
          <w:sz w:val="28"/>
          <w:szCs w:val="28"/>
          <w:highlight w:val="none"/>
        </w:rPr>
        <w:t>的竞争性磋商公告</w:t>
      </w:r>
    </w:p>
    <w:p w14:paraId="743327D6">
      <w:pPr>
        <w:adjustRightInd w:val="0"/>
        <w:spacing w:line="360" w:lineRule="auto"/>
        <w:jc w:val="center"/>
        <w:rPr>
          <w:rFonts w:ascii="宋体"/>
          <w:color w:val="auto"/>
          <w:sz w:val="28"/>
          <w:szCs w:val="28"/>
          <w:highlight w:val="none"/>
        </w:rPr>
      </w:pPr>
      <w:r>
        <w:rPr>
          <w:rFonts w:hint="eastAsia" w:ascii="宋体" w:hAnsi="宋体" w:cs="宋体"/>
          <w:color w:val="auto"/>
          <w:sz w:val="28"/>
          <w:szCs w:val="28"/>
          <w:highlight w:val="none"/>
        </w:rPr>
        <w:t>公告日期：</w:t>
      </w:r>
      <w:r>
        <w:rPr>
          <w:rFonts w:hint="eastAsia" w:ascii="宋体" w:hAnsi="宋体" w:cs="宋体"/>
          <w:color w:val="auto"/>
          <w:sz w:val="28"/>
          <w:szCs w:val="28"/>
          <w:highlight w:val="none"/>
          <w:lang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日</w:t>
      </w:r>
    </w:p>
    <w:p w14:paraId="4DD4272A">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浙江宇康工程管理咨询有限公司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绍兴市上虞区市场监督管理局</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2025年大宗食品定点委托检验定点服务项目</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rPr>
        <w:t>竞争性磋商采购进行</w:t>
      </w:r>
      <w:r>
        <w:rPr>
          <w:rFonts w:hint="eastAsia" w:ascii="宋体" w:hAnsi="宋体" w:cs="宋体"/>
          <w:color w:val="auto"/>
          <w:sz w:val="24"/>
          <w:szCs w:val="24"/>
          <w:highlight w:val="none"/>
          <w:u w:val="single"/>
        </w:rPr>
        <w:t>竞争性磋商公告</w:t>
      </w:r>
      <w:r>
        <w:rPr>
          <w:rFonts w:hint="eastAsia" w:ascii="宋体" w:hAnsi="宋体" w:cs="宋体"/>
          <w:color w:val="auto"/>
          <w:sz w:val="24"/>
          <w:szCs w:val="24"/>
          <w:highlight w:val="none"/>
        </w:rPr>
        <w:t>，欢迎国内合格的供应商参加本次采购活动。</w:t>
      </w:r>
    </w:p>
    <w:p w14:paraId="58920FF6">
      <w:pPr>
        <w:adjustRightInd w:val="0"/>
        <w:spacing w:line="360" w:lineRule="auto"/>
        <w:ind w:firstLine="480" w:firstLineChars="200"/>
        <w:rPr>
          <w:rFonts w:hint="default" w:ascii="宋体" w:eastAsia="宋体"/>
          <w:color w:val="auto"/>
          <w:sz w:val="24"/>
          <w:szCs w:val="24"/>
          <w:highlight w:val="none"/>
          <w:u w:val="single"/>
          <w:lang w:val="en-US" w:eastAsia="zh-CN"/>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rPr>
        <w:t>FSJZCS202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u w:val="single"/>
          <w:lang w:val="en-US" w:eastAsia="zh-CN"/>
        </w:rPr>
        <w:t>1</w:t>
      </w:r>
    </w:p>
    <w:p w14:paraId="561BABE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采购组织类型：</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分散采购（中介代理）</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7BA43C8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磋商项目概况</w:t>
      </w:r>
      <w:r>
        <w:rPr>
          <w:rFonts w:ascii="宋体" w:hAnsi="宋体" w:cs="宋体"/>
          <w:color w:val="auto"/>
          <w:sz w:val="24"/>
          <w:szCs w:val="24"/>
          <w:highlight w:val="none"/>
        </w:rPr>
        <w:t>:</w:t>
      </w:r>
    </w:p>
    <w:tbl>
      <w:tblPr>
        <w:tblStyle w:val="28"/>
        <w:tblW w:w="9330"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77"/>
        <w:gridCol w:w="1441"/>
        <w:gridCol w:w="717"/>
        <w:gridCol w:w="766"/>
        <w:gridCol w:w="1234"/>
        <w:gridCol w:w="2750"/>
        <w:gridCol w:w="1216"/>
        <w:gridCol w:w="729"/>
      </w:tblGrid>
      <w:tr w14:paraId="6DD93EF0">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77" w:type="dxa"/>
            <w:tcBorders>
              <w:top w:val="single" w:color="000000" w:sz="4" w:space="0"/>
            </w:tcBorders>
            <w:vAlign w:val="center"/>
          </w:tcPr>
          <w:p w14:paraId="03F1CB31">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1" w:type="dxa"/>
            <w:tcBorders>
              <w:top w:val="single" w:color="000000" w:sz="4" w:space="0"/>
            </w:tcBorders>
            <w:vAlign w:val="center"/>
          </w:tcPr>
          <w:p w14:paraId="374E8BB8">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717" w:type="dxa"/>
            <w:tcBorders>
              <w:top w:val="single" w:color="000000" w:sz="4" w:space="0"/>
            </w:tcBorders>
            <w:vAlign w:val="center"/>
          </w:tcPr>
          <w:p w14:paraId="3950CC3D">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数量</w:t>
            </w:r>
          </w:p>
        </w:tc>
        <w:tc>
          <w:tcPr>
            <w:tcW w:w="766" w:type="dxa"/>
            <w:tcBorders>
              <w:top w:val="single" w:color="000000" w:sz="4" w:space="0"/>
            </w:tcBorders>
            <w:vAlign w:val="center"/>
          </w:tcPr>
          <w:p w14:paraId="7FDB2664">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单位</w:t>
            </w:r>
          </w:p>
        </w:tc>
        <w:tc>
          <w:tcPr>
            <w:tcW w:w="1234" w:type="dxa"/>
            <w:tcBorders>
              <w:top w:val="single" w:color="000000" w:sz="4" w:space="0"/>
            </w:tcBorders>
            <w:vAlign w:val="center"/>
          </w:tcPr>
          <w:p w14:paraId="4FDD5C5B">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预算金额</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2750" w:type="dxa"/>
            <w:tcBorders>
              <w:top w:val="single" w:color="000000" w:sz="4" w:space="0"/>
            </w:tcBorders>
            <w:vAlign w:val="center"/>
          </w:tcPr>
          <w:p w14:paraId="5593EFF0">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1216" w:type="dxa"/>
            <w:tcBorders>
              <w:top w:val="single" w:color="000000" w:sz="4" w:space="0"/>
            </w:tcBorders>
            <w:vAlign w:val="center"/>
          </w:tcPr>
          <w:p w14:paraId="03ED1B4B">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最高限价</w:t>
            </w:r>
            <w:r>
              <w:rPr>
                <w:rFonts w:ascii="宋体" w:hAnsi="宋体" w:cs="宋体"/>
                <w:color w:val="auto"/>
                <w:sz w:val="24"/>
                <w:szCs w:val="24"/>
                <w:highlight w:val="none"/>
              </w:rPr>
              <w:t>(</w:t>
            </w:r>
            <w:r>
              <w:rPr>
                <w:rFonts w:hint="eastAsia" w:ascii="宋体" w:hAnsi="宋体" w:cs="宋体"/>
                <w:color w:val="auto"/>
                <w:sz w:val="24"/>
                <w:szCs w:val="24"/>
                <w:highlight w:val="none"/>
              </w:rPr>
              <w:t>万元</w:t>
            </w:r>
            <w:r>
              <w:rPr>
                <w:rFonts w:ascii="宋体" w:hAnsi="宋体" w:cs="宋体"/>
                <w:color w:val="auto"/>
                <w:sz w:val="24"/>
                <w:szCs w:val="24"/>
                <w:highlight w:val="none"/>
              </w:rPr>
              <w:t>)</w:t>
            </w:r>
          </w:p>
        </w:tc>
        <w:tc>
          <w:tcPr>
            <w:tcW w:w="729" w:type="dxa"/>
            <w:tcBorders>
              <w:top w:val="single" w:color="000000" w:sz="4" w:space="0"/>
            </w:tcBorders>
            <w:vAlign w:val="center"/>
          </w:tcPr>
          <w:p w14:paraId="402FD78A">
            <w:pPr>
              <w:adjustRightInd w:val="0"/>
              <w:spacing w:line="360" w:lineRule="auto"/>
              <w:jc w:val="center"/>
              <w:rPr>
                <w:rFonts w:ascii="宋体"/>
                <w:color w:val="auto"/>
                <w:sz w:val="24"/>
                <w:szCs w:val="24"/>
                <w:highlight w:val="none"/>
              </w:rPr>
            </w:pPr>
            <w:r>
              <w:rPr>
                <w:rFonts w:hint="eastAsia" w:ascii="宋体"/>
                <w:color w:val="auto"/>
                <w:sz w:val="24"/>
                <w:szCs w:val="24"/>
                <w:highlight w:val="none"/>
              </w:rPr>
              <w:t>备注</w:t>
            </w:r>
          </w:p>
        </w:tc>
      </w:tr>
      <w:tr w14:paraId="41E04C3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77" w:type="dxa"/>
            <w:vAlign w:val="center"/>
          </w:tcPr>
          <w:p w14:paraId="54BE6941">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441" w:type="dxa"/>
            <w:vAlign w:val="center"/>
          </w:tcPr>
          <w:p w14:paraId="1F371218">
            <w:pPr>
              <w:pStyle w:val="16"/>
              <w:snapToGrid w:val="0"/>
              <w:spacing w:before="120" w:after="120"/>
              <w:jc w:val="center"/>
              <w:rPr>
                <w:rFonts w:hint="default"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2025年大宗食品定点委托检验定点服务项目标段一</w:t>
            </w:r>
          </w:p>
        </w:tc>
        <w:tc>
          <w:tcPr>
            <w:tcW w:w="717" w:type="dxa"/>
            <w:vAlign w:val="center"/>
          </w:tcPr>
          <w:p w14:paraId="0D2E5D5D">
            <w:pPr>
              <w:adjustRightInd w:val="0"/>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766" w:type="dxa"/>
            <w:vAlign w:val="center"/>
          </w:tcPr>
          <w:p w14:paraId="6071ABD9">
            <w:pPr>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项</w:t>
            </w:r>
          </w:p>
        </w:tc>
        <w:tc>
          <w:tcPr>
            <w:tcW w:w="1234" w:type="dxa"/>
            <w:vAlign w:val="center"/>
          </w:tcPr>
          <w:p w14:paraId="18E241F5">
            <w:pPr>
              <w:widowControl/>
              <w:spacing w:before="100" w:after="100" w:line="312" w:lineRule="auto"/>
              <w:jc w:val="center"/>
              <w:rPr>
                <w:rFonts w:hint="default"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144</w:t>
            </w:r>
          </w:p>
        </w:tc>
        <w:tc>
          <w:tcPr>
            <w:tcW w:w="2750" w:type="dxa"/>
            <w:vAlign w:val="center"/>
          </w:tcPr>
          <w:p w14:paraId="6C2884C8">
            <w:pPr>
              <w:pStyle w:val="16"/>
              <w:snapToGrid w:val="0"/>
              <w:spacing w:before="120" w:after="120"/>
              <w:jc w:val="center"/>
              <w:rPr>
                <w:rFonts w:hAnsi="宋体" w:cs="Times New Roman"/>
                <w:color w:val="auto"/>
                <w:sz w:val="24"/>
                <w:szCs w:val="24"/>
                <w:highlight w:val="none"/>
              </w:rPr>
            </w:pPr>
            <w:r>
              <w:rPr>
                <w:rFonts w:hint="eastAsia" w:hAnsi="宋体" w:cs="Times New Roman"/>
                <w:color w:val="auto"/>
                <w:sz w:val="24"/>
                <w:szCs w:val="24"/>
                <w:highlight w:val="none"/>
                <w:lang w:val="en-US" w:eastAsia="zh-CN"/>
              </w:rPr>
              <w:t>开展百官、崧厦、盖北（包括杭州湾园区）、东关、小越、永和、驿亭、谢塘等8个乡镇（街道)食品（食用农产品）检验工作，计划抽检1600批次。</w:t>
            </w:r>
          </w:p>
        </w:tc>
        <w:tc>
          <w:tcPr>
            <w:tcW w:w="1216" w:type="dxa"/>
            <w:vAlign w:val="center"/>
          </w:tcPr>
          <w:p w14:paraId="513B99C3">
            <w:pPr>
              <w:adjustRightInd w:val="0"/>
              <w:spacing w:line="360" w:lineRule="auto"/>
              <w:jc w:val="center"/>
              <w:rPr>
                <w:rFonts w:hint="default"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144</w:t>
            </w:r>
          </w:p>
        </w:tc>
        <w:tc>
          <w:tcPr>
            <w:tcW w:w="729" w:type="dxa"/>
            <w:vAlign w:val="center"/>
          </w:tcPr>
          <w:p w14:paraId="085C2F15">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w:t>
            </w:r>
          </w:p>
        </w:tc>
      </w:tr>
      <w:tr w14:paraId="46245E9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77" w:type="dxa"/>
            <w:tcBorders>
              <w:bottom w:val="single" w:color="000000" w:sz="4" w:space="0"/>
            </w:tcBorders>
            <w:vAlign w:val="center"/>
          </w:tcPr>
          <w:p w14:paraId="4483BB85">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441" w:type="dxa"/>
            <w:tcBorders>
              <w:bottom w:val="single" w:color="000000" w:sz="4" w:space="0"/>
            </w:tcBorders>
            <w:vAlign w:val="center"/>
          </w:tcPr>
          <w:p w14:paraId="5599DEFF">
            <w:pPr>
              <w:pStyle w:val="16"/>
              <w:snapToGrid w:val="0"/>
              <w:spacing w:before="120" w:after="120"/>
              <w:jc w:val="center"/>
              <w:rPr>
                <w:rFonts w:hint="default"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2025年大宗食品定点委托检验定点服务项目标段二</w:t>
            </w:r>
          </w:p>
        </w:tc>
        <w:tc>
          <w:tcPr>
            <w:tcW w:w="717" w:type="dxa"/>
            <w:tcBorders>
              <w:bottom w:val="single" w:color="000000" w:sz="4" w:space="0"/>
            </w:tcBorders>
            <w:vAlign w:val="center"/>
          </w:tcPr>
          <w:p w14:paraId="3464532D">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766" w:type="dxa"/>
            <w:tcBorders>
              <w:bottom w:val="single" w:color="000000" w:sz="4" w:space="0"/>
            </w:tcBorders>
            <w:vAlign w:val="center"/>
          </w:tcPr>
          <w:p w14:paraId="7E20620F">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234" w:type="dxa"/>
            <w:tcBorders>
              <w:bottom w:val="single" w:color="000000" w:sz="4" w:space="0"/>
            </w:tcBorders>
            <w:vAlign w:val="center"/>
          </w:tcPr>
          <w:p w14:paraId="5EF0BCEB">
            <w:pPr>
              <w:widowControl/>
              <w:spacing w:before="100" w:after="100" w:line="312"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144</w:t>
            </w:r>
          </w:p>
        </w:tc>
        <w:tc>
          <w:tcPr>
            <w:tcW w:w="2750" w:type="dxa"/>
            <w:tcBorders>
              <w:bottom w:val="single" w:color="000000" w:sz="4" w:space="0"/>
            </w:tcBorders>
            <w:vAlign w:val="center"/>
          </w:tcPr>
          <w:p w14:paraId="541AB9A3">
            <w:pPr>
              <w:pStyle w:val="16"/>
              <w:snapToGrid w:val="0"/>
              <w:spacing w:before="120" w:after="120"/>
              <w:jc w:val="center"/>
              <w:rPr>
                <w:rFonts w:hAnsi="宋体" w:cs="Times New Roman"/>
                <w:color w:val="auto"/>
                <w:sz w:val="24"/>
                <w:szCs w:val="24"/>
                <w:highlight w:val="none"/>
              </w:rPr>
            </w:pPr>
            <w:r>
              <w:rPr>
                <w:rFonts w:hint="eastAsia" w:hAnsi="宋体" w:cs="Times New Roman"/>
                <w:color w:val="auto"/>
                <w:sz w:val="24"/>
                <w:szCs w:val="24"/>
                <w:highlight w:val="none"/>
                <w:lang w:val="en-US" w:eastAsia="zh-CN"/>
              </w:rPr>
              <w:t>开展曹娥、丰惠、章镇、道墟、梁湖、上浦、汤浦、长塘、岭南、下管、陈溪、丁宅等12个乡镇（街道)食品（食用农产品）检验工作，计划抽检1600批次。</w:t>
            </w:r>
          </w:p>
        </w:tc>
        <w:tc>
          <w:tcPr>
            <w:tcW w:w="1216" w:type="dxa"/>
            <w:tcBorders>
              <w:bottom w:val="single" w:color="000000" w:sz="4" w:space="0"/>
            </w:tcBorders>
            <w:vAlign w:val="center"/>
          </w:tcPr>
          <w:p w14:paraId="21C2E0A5">
            <w:pPr>
              <w:adjustRightInd w:val="0"/>
              <w:spacing w:line="360" w:lineRule="auto"/>
              <w:jc w:val="center"/>
              <w:rPr>
                <w:rFonts w:hint="eastAsia" w:ascii="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144</w:t>
            </w:r>
          </w:p>
        </w:tc>
        <w:tc>
          <w:tcPr>
            <w:tcW w:w="729" w:type="dxa"/>
            <w:tcBorders>
              <w:bottom w:val="single" w:color="000000" w:sz="4" w:space="0"/>
            </w:tcBorders>
            <w:vAlign w:val="center"/>
          </w:tcPr>
          <w:p w14:paraId="6D34E49C">
            <w:pPr>
              <w:adjustRightInd w:val="0"/>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w:t>
            </w:r>
          </w:p>
        </w:tc>
      </w:tr>
    </w:tbl>
    <w:p w14:paraId="08730D60">
      <w:pPr>
        <w:adjustRightInd w:val="0"/>
        <w:spacing w:line="360" w:lineRule="auto"/>
        <w:ind w:firstLine="482" w:firstLineChars="200"/>
        <w:rPr>
          <w:rFonts w:hint="eastAsia" w:ascii="宋体" w:hAnsi="宋体" w:cs="宋体"/>
          <w:color w:val="auto"/>
          <w:sz w:val="24"/>
          <w:szCs w:val="24"/>
          <w:highlight w:val="none"/>
        </w:rPr>
      </w:pPr>
      <w:r>
        <w:rPr>
          <w:rFonts w:hint="eastAsia" w:ascii="宋体" w:hAnsi="宋体" w:eastAsia="宋体" w:cs="宋体"/>
          <w:b/>
          <w:bCs/>
          <w:color w:val="auto"/>
          <w:sz w:val="24"/>
          <w:szCs w:val="32"/>
          <w:highlight w:val="none"/>
          <w:lang w:val="en-US" w:eastAsia="zh-CN"/>
        </w:rPr>
        <w:t>注：投标人可以投标任一标段，但只允许中标其中一个标段（如某</w:t>
      </w:r>
      <w:r>
        <w:rPr>
          <w:rFonts w:hint="eastAsia" w:ascii="宋体" w:hAnsi="宋体" w:cs="宋体"/>
          <w:b/>
          <w:bCs/>
          <w:color w:val="auto"/>
          <w:sz w:val="24"/>
          <w:szCs w:val="32"/>
          <w:highlight w:val="none"/>
          <w:lang w:val="en-US" w:eastAsia="zh-CN"/>
        </w:rPr>
        <w:t>投标人为</w:t>
      </w:r>
      <w:r>
        <w:rPr>
          <w:rFonts w:hint="eastAsia" w:ascii="宋体" w:hAnsi="宋体" w:eastAsia="宋体" w:cs="宋体"/>
          <w:b/>
          <w:bCs/>
          <w:color w:val="auto"/>
          <w:sz w:val="24"/>
          <w:szCs w:val="32"/>
          <w:highlight w:val="none"/>
          <w:lang w:val="en-US" w:eastAsia="zh-CN"/>
        </w:rPr>
        <w:t>标段一</w:t>
      </w:r>
      <w:r>
        <w:rPr>
          <w:rFonts w:hint="eastAsia" w:ascii="宋体" w:hAnsi="宋体" w:cs="宋体"/>
          <w:b/>
          <w:bCs/>
          <w:color w:val="auto"/>
          <w:sz w:val="24"/>
          <w:szCs w:val="32"/>
          <w:highlight w:val="none"/>
          <w:lang w:val="en-US" w:eastAsia="zh-CN"/>
        </w:rPr>
        <w:t>的第一中标候选人</w:t>
      </w:r>
      <w:r>
        <w:rPr>
          <w:rFonts w:hint="eastAsia" w:ascii="宋体" w:hAnsi="宋体" w:eastAsia="宋体" w:cs="宋体"/>
          <w:b/>
          <w:bCs/>
          <w:color w:val="auto"/>
          <w:sz w:val="24"/>
          <w:szCs w:val="32"/>
          <w:highlight w:val="none"/>
          <w:lang w:val="en-US" w:eastAsia="zh-CN"/>
        </w:rPr>
        <w:t>，则取消标段二的</w:t>
      </w:r>
      <w:r>
        <w:rPr>
          <w:rFonts w:hint="eastAsia" w:ascii="宋体" w:hAnsi="宋体" w:cs="宋体"/>
          <w:b/>
          <w:bCs/>
          <w:color w:val="auto"/>
          <w:sz w:val="24"/>
          <w:szCs w:val="32"/>
          <w:highlight w:val="none"/>
          <w:lang w:val="en-US" w:eastAsia="zh-CN"/>
        </w:rPr>
        <w:t>第一中标候选人推荐资格</w:t>
      </w:r>
      <w:r>
        <w:rPr>
          <w:rFonts w:hint="eastAsia" w:ascii="宋体" w:hAnsi="宋体" w:eastAsia="宋体" w:cs="宋体"/>
          <w:b/>
          <w:bCs/>
          <w:color w:val="auto"/>
          <w:sz w:val="24"/>
          <w:szCs w:val="32"/>
          <w:highlight w:val="none"/>
          <w:lang w:val="en-US" w:eastAsia="zh-CN"/>
        </w:rPr>
        <w:t>），中标顺序按开标顺序。</w:t>
      </w:r>
    </w:p>
    <w:p w14:paraId="4C6C5B8E">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合格供应商资格要求</w:t>
      </w:r>
      <w:r>
        <w:rPr>
          <w:rFonts w:ascii="宋体" w:hAnsi="宋体" w:cs="宋体"/>
          <w:color w:val="auto"/>
          <w:sz w:val="24"/>
          <w:szCs w:val="24"/>
          <w:highlight w:val="none"/>
        </w:rPr>
        <w:t>:</w:t>
      </w:r>
    </w:p>
    <w:p w14:paraId="424C194B">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符合政府采购法第二十二条，且未被“信用中国”（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r>
        <w:rPr>
          <w:rFonts w:ascii="宋体"/>
          <w:color w:val="auto"/>
          <w:sz w:val="24"/>
          <w:szCs w:val="24"/>
          <w:highlight w:val="none"/>
        </w:rPr>
        <w:t> </w:t>
      </w:r>
    </w:p>
    <w:p w14:paraId="0D74B887">
      <w:pPr>
        <w:numPr>
          <w:ilvl w:val="0"/>
          <w:numId w:val="2"/>
        </w:numPr>
        <w:adjustRightIn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落实政府采购政策需满足的资格要求：供应商为中小企业/小微企业</w:t>
      </w:r>
      <w:r>
        <w:rPr>
          <w:rFonts w:hint="eastAsia" w:ascii="宋体"/>
          <w:color w:val="auto"/>
          <w:sz w:val="24"/>
          <w:szCs w:val="24"/>
          <w:highlight w:val="none"/>
          <w:lang w:eastAsia="zh-CN"/>
        </w:rPr>
        <w:t>。</w:t>
      </w:r>
    </w:p>
    <w:p w14:paraId="7C87DC75">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不接受</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联</w:t>
      </w:r>
      <w:bookmarkStart w:id="113" w:name="_GoBack"/>
      <w:bookmarkEnd w:id="113"/>
      <w:r>
        <w:rPr>
          <w:rFonts w:hint="eastAsia" w:ascii="宋体" w:hAnsi="宋体" w:cs="宋体"/>
          <w:color w:val="auto"/>
          <w:sz w:val="24"/>
          <w:szCs w:val="24"/>
          <w:highlight w:val="none"/>
        </w:rPr>
        <w:t>合体参加磋商。</w:t>
      </w:r>
    </w:p>
    <w:p w14:paraId="32680177">
      <w:pPr>
        <w:numPr>
          <w:ilvl w:val="0"/>
          <w:numId w:val="2"/>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r>
        <w:rPr>
          <w:rFonts w:hint="eastAsia" w:ascii="宋体" w:hAnsi="宋体" w:cs="宋体"/>
          <w:color w:val="auto"/>
          <w:sz w:val="24"/>
          <w:szCs w:val="24"/>
          <w:highlight w:val="none"/>
          <w:lang w:eastAsia="zh-CN"/>
        </w:rPr>
        <w:t>。</w:t>
      </w:r>
    </w:p>
    <w:p w14:paraId="29511237">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五．获取磋商文件</w:t>
      </w:r>
    </w:p>
    <w:p w14:paraId="2C6FA901">
      <w:pPr>
        <w:numPr>
          <w:ilvl w:val="0"/>
          <w:numId w:val="3"/>
        </w:numPr>
        <w:adjustRightInd w:val="0"/>
        <w:spacing w:line="360" w:lineRule="auto"/>
        <w:ind w:firstLine="480" w:firstLineChars="200"/>
        <w:rPr>
          <w:rFonts w:ascii="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r>
        <w:rPr>
          <w:rFonts w:ascii="宋体" w:hAnsi="宋体" w:cs="宋体"/>
          <w:color w:val="auto"/>
          <w:sz w:val="24"/>
          <w:szCs w:val="24"/>
          <w:highlight w:val="none"/>
        </w:rPr>
        <w:t>:</w:t>
      </w:r>
      <w:bookmarkEnd w:id="5"/>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30 </w:t>
      </w:r>
      <w:r>
        <w:rPr>
          <w:rFonts w:hint="eastAsia" w:ascii="宋体" w:hAnsi="宋体" w:cs="宋体"/>
          <w:color w:val="auto"/>
          <w:sz w:val="24"/>
          <w:szCs w:val="24"/>
          <w:highlight w:val="none"/>
        </w:rPr>
        <w:t>之前获取。</w:t>
      </w:r>
    </w:p>
    <w:p w14:paraId="1313C53E">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获取磋商文件方式：供应商</w:t>
      </w:r>
      <w:r>
        <w:rPr>
          <w:rFonts w:hint="eastAsia" w:ascii="宋体" w:hAnsi="宋体" w:cs="宋体"/>
          <w:color w:val="auto"/>
          <w:sz w:val="24"/>
          <w:szCs w:val="24"/>
          <w:highlight w:val="none"/>
          <w:lang w:eastAsia="zh-CN"/>
        </w:rPr>
        <w:t>登录</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http://www.zcygov.cn/</w:t>
      </w:r>
      <w:r>
        <w:rPr>
          <w:rFonts w:hint="eastAsia" w:ascii="宋体" w:hAnsi="宋体" w:cs="宋体"/>
          <w:color w:val="auto"/>
          <w:sz w:val="24"/>
          <w:szCs w:val="24"/>
          <w:highlight w:val="none"/>
        </w:rPr>
        <w:t>，在线申请获取磋商文件（进入“项目采购”应用，在获取采购文件菜单中选择项目，申请获取采购文件）。</w:t>
      </w:r>
    </w:p>
    <w:p w14:paraId="3724C05F">
      <w:pPr>
        <w:numPr>
          <w:ilvl w:val="0"/>
          <w:numId w:val="3"/>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提示：</w:t>
      </w:r>
    </w:p>
    <w:p w14:paraId="78A1AD33">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32432B62">
      <w:pPr>
        <w:numPr>
          <w:ilvl w:val="0"/>
          <w:numId w:val="4"/>
        </w:num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2CF295B3">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六．投标与开标注意事项：</w:t>
      </w:r>
    </w:p>
    <w:p w14:paraId="44C0F840">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1D4A6111">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26C3D1F7">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2FFAB123">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5D184978">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08BC1F08">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6B3FDE30">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1545C621">
      <w:pPr>
        <w:adjustRightInd w:val="0"/>
        <w:spacing w:line="360" w:lineRule="auto"/>
        <w:ind w:left="420" w:left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宋体" w:hAnsi="宋体" w:cs="宋体"/>
          <w:color w:val="auto"/>
          <w:sz w:val="24"/>
          <w:highlight w:val="none"/>
        </w:rPr>
        <w:t>http://zfcg.czt.zj.gov.cn/bidClientTemplate/2019-05-27/12945.html</w:t>
      </w:r>
      <w:r>
        <w:rPr>
          <w:rFonts w:hint="eastAsia" w:ascii="宋体" w:hAnsi="宋体" w:cs="宋体"/>
          <w:color w:val="auto"/>
          <w:sz w:val="24"/>
          <w:highlight w:val="none"/>
        </w:rPr>
        <w:fldChar w:fldCharType="end"/>
      </w:r>
    </w:p>
    <w:p w14:paraId="6FB18D63">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1FD75079">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 w:val="24"/>
          <w:szCs w:val="24"/>
          <w:highlight w:val="none"/>
          <w:lang w:val="en-US" w:eastAsia="zh-CN"/>
        </w:rPr>
        <w:t>95763</w:t>
      </w:r>
      <w:r>
        <w:rPr>
          <w:rFonts w:hint="eastAsia" w:ascii="宋体" w:hAnsi="宋体" w:cs="宋体"/>
          <w:color w:val="auto"/>
          <w:sz w:val="24"/>
          <w:szCs w:val="24"/>
          <w:highlight w:val="none"/>
        </w:rPr>
        <w:t>。</w:t>
      </w:r>
    </w:p>
    <w:p w14:paraId="71C4FC0D">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投标人通过“政采云”平台电子投标工具制作投标文件。</w:t>
      </w:r>
    </w:p>
    <w:p w14:paraId="68F87EAB">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4924EA07">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hint="eastAsia" w:ascii="宋体" w:hAnsi="宋体" w:cs="宋体"/>
          <w:color w:val="auto"/>
          <w:sz w:val="24"/>
          <w:szCs w:val="24"/>
          <w:highlight w:val="none"/>
        </w:rPr>
        <w:t>http://zfcg.czt.zj.gov.cn/bidClientTemplate/2019-09-24/12975.html</w:t>
      </w:r>
      <w:r>
        <w:rPr>
          <w:rFonts w:hint="eastAsia" w:ascii="宋体" w:hAnsi="宋体" w:cs="宋体"/>
          <w:color w:val="auto"/>
          <w:sz w:val="24"/>
          <w:szCs w:val="24"/>
          <w:highlight w:val="none"/>
        </w:rPr>
        <w:fldChar w:fldCharType="end"/>
      </w:r>
    </w:p>
    <w:p w14:paraId="5C93FF4D">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4A6B492B">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79F77C37">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4.供应商在法定质疑期内应一次性提出针对同一采购程序环节的质疑。</w:t>
      </w:r>
    </w:p>
    <w:p w14:paraId="0F73976B">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5.投标人可指派授权代表递交备份文件，授权代表递交备份文件需携带法定代表人授权书原件，于投标截止时间前到达开标地点递交。</w:t>
      </w:r>
    </w:p>
    <w:p w14:paraId="7348F350">
      <w:pPr>
        <w:adjustRightInd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6.特别提醒</w:t>
      </w:r>
    </w:p>
    <w:p w14:paraId="47530169">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02FF41BF">
      <w:pPr>
        <w:numPr>
          <w:ilvl w:val="0"/>
          <w:numId w:val="7"/>
        </w:numPr>
        <w:wordWrap w:val="0"/>
        <w:adjustRightIn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供应商，不得再参加该采购项目的其他采购活动</w:t>
      </w:r>
      <w:r>
        <w:rPr>
          <w:rFonts w:hint="eastAsia" w:ascii="宋体" w:hAnsi="宋体" w:cs="宋体"/>
          <w:color w:val="auto"/>
          <w:sz w:val="24"/>
          <w:szCs w:val="24"/>
          <w:highlight w:val="none"/>
          <w:lang w:eastAsia="zh-CN"/>
        </w:rPr>
        <w:t>。</w:t>
      </w:r>
    </w:p>
    <w:p w14:paraId="75D99F8B">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七．磋商响应截止时间及要求：</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2784D7C0">
      <w:pPr>
        <w:adjustRightInd w:val="0"/>
        <w:spacing w:line="360" w:lineRule="auto"/>
        <w:ind w:firstLine="482" w:firstLineChars="200"/>
        <w:jc w:val="left"/>
        <w:rPr>
          <w:rFonts w:ascii="宋体"/>
          <w:color w:val="auto"/>
          <w:sz w:val="24"/>
          <w:szCs w:val="24"/>
          <w:highlight w:val="none"/>
        </w:rPr>
      </w:pPr>
      <w:r>
        <w:rPr>
          <w:rFonts w:hint="eastAsia" w:ascii="宋体" w:hAnsi="宋体" w:cs="宋体"/>
          <w:b/>
          <w:bCs/>
          <w:color w:val="auto"/>
          <w:sz w:val="24"/>
          <w:szCs w:val="24"/>
          <w:highlight w:val="none"/>
        </w:rPr>
        <w:t>八．递交首次响应文件时间及地点：</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24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bookmarkStart w:id="6" w:name="B30_开标地点"/>
      <w:r>
        <w:rPr>
          <w:rFonts w:hint="eastAsia" w:ascii="宋体" w:hAnsi="宋体" w:cs="宋体"/>
          <w:color w:val="auto"/>
          <w:sz w:val="24"/>
          <w:szCs w:val="24"/>
          <w:highlight w:val="none"/>
        </w:rPr>
        <w:t>整在</w:t>
      </w:r>
      <w:r>
        <w:rPr>
          <w:rFonts w:hint="eastAsia" w:ascii="宋体" w:hAnsi="宋体" w:cs="宋体"/>
          <w:color w:val="auto"/>
          <w:sz w:val="24"/>
          <w:szCs w:val="24"/>
          <w:highlight w:val="none"/>
          <w:lang w:val="en-US" w:eastAsia="zh-CN"/>
        </w:rPr>
        <w:t>上虞区公共资源交易中心三楼357</w:t>
      </w:r>
      <w:r>
        <w:rPr>
          <w:rFonts w:hint="eastAsia" w:ascii="宋体" w:hAnsi="宋体" w:cs="宋体"/>
          <w:color w:val="auto"/>
          <w:sz w:val="24"/>
          <w:szCs w:val="24"/>
          <w:highlight w:val="none"/>
        </w:rPr>
        <w:t>开标室开标。</w:t>
      </w:r>
      <w:bookmarkEnd w:id="6"/>
    </w:p>
    <w:p w14:paraId="4CF33642">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开标时间后</w:t>
      </w:r>
      <w:r>
        <w:rPr>
          <w:rFonts w:ascii="宋体" w:hAnsi="宋体" w:cs="宋体"/>
          <w:color w:val="auto"/>
          <w:sz w:val="24"/>
          <w:szCs w:val="24"/>
          <w:highlight w:val="none"/>
        </w:rPr>
        <w:t>30</w:t>
      </w:r>
      <w:r>
        <w:rPr>
          <w:rFonts w:hint="eastAsia" w:ascii="宋体" w:hAnsi="宋体" w:cs="宋体"/>
          <w:color w:val="auto"/>
          <w:sz w:val="24"/>
          <w:szCs w:val="24"/>
          <w:highlight w:val="none"/>
        </w:rPr>
        <w:t>分钟内（</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00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前）供应商可以登录“政采云”平台，用“项目采购</w:t>
      </w:r>
      <w:r>
        <w:rPr>
          <w:rFonts w:ascii="宋体" w:cs="宋体"/>
          <w:color w:val="auto"/>
          <w:sz w:val="24"/>
          <w:szCs w:val="24"/>
          <w:highlight w:val="none"/>
        </w:rPr>
        <w:t>-</w:t>
      </w:r>
      <w:r>
        <w:rPr>
          <w:rFonts w:hint="eastAsia" w:ascii="宋体" w:hAnsi="宋体" w:cs="宋体"/>
          <w:color w:val="auto"/>
          <w:sz w:val="24"/>
          <w:szCs w:val="24"/>
          <w:highlight w:val="none"/>
        </w:rPr>
        <w:t>开标评标”功能进行解密响应文件。若供应商在规定时间内（</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00 </w:t>
      </w:r>
      <w:r>
        <w:rPr>
          <w:rFonts w:hint="eastAsia" w:ascii="宋体" w:hAnsi="宋体" w:cs="宋体"/>
          <w:color w:val="auto"/>
          <w:sz w:val="24"/>
          <w:szCs w:val="24"/>
          <w:highlight w:val="none"/>
        </w:rPr>
        <w:t>前）解密失败，则由采购代理机构工作人员上传供应商提供的备份文件。备份文件（后缀名为</w:t>
      </w:r>
      <w:r>
        <w:rPr>
          <w:rFonts w:ascii="宋体" w:hAnsi="宋体" w:cs="宋体"/>
          <w:color w:val="auto"/>
          <w:sz w:val="24"/>
          <w:szCs w:val="24"/>
          <w:highlight w:val="none"/>
        </w:rPr>
        <w:t>.bfbs</w:t>
      </w:r>
      <w:r>
        <w:rPr>
          <w:rFonts w:hint="eastAsia" w:ascii="宋体" w:hAnsi="宋体" w:cs="宋体"/>
          <w:color w:val="auto"/>
          <w:sz w:val="24"/>
          <w:szCs w:val="24"/>
          <w:highlight w:val="none"/>
        </w:rPr>
        <w:t>）须存储在</w:t>
      </w:r>
      <w:r>
        <w:rPr>
          <w:rFonts w:ascii="宋体" w:hAnsi="宋体" w:cs="宋体"/>
          <w:color w:val="auto"/>
          <w:sz w:val="24"/>
          <w:szCs w:val="24"/>
          <w:highlight w:val="none"/>
        </w:rPr>
        <w:t>U</w:t>
      </w:r>
      <w:r>
        <w:rPr>
          <w:rFonts w:hint="eastAsia" w:ascii="宋体" w:hAnsi="宋体" w:cs="宋体"/>
          <w:color w:val="auto"/>
          <w:sz w:val="24"/>
          <w:szCs w:val="24"/>
          <w:highlight w:val="none"/>
        </w:rPr>
        <w:t>盘中，与上传的电子磋商响应文件一致，用信封进行密封并盖章</w:t>
      </w:r>
      <w:r>
        <w:rPr>
          <w:rFonts w:hint="eastAsia" w:ascii="宋体" w:hAnsi="宋体" w:cs="宋体"/>
          <w:b/>
          <w:bCs/>
          <w:color w:val="auto"/>
          <w:sz w:val="24"/>
          <w:szCs w:val="24"/>
          <w:highlight w:val="none"/>
        </w:rPr>
        <w:t>（信封内仅需放入存储备份文件的</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w:t>
      </w:r>
      <w:r>
        <w:rPr>
          <w:rFonts w:hint="eastAsia" w:ascii="宋体" w:hAnsi="宋体" w:cs="宋体"/>
          <w:color w:val="auto"/>
          <w:sz w:val="24"/>
          <w:szCs w:val="24"/>
          <w:highlight w:val="none"/>
        </w:rPr>
        <w:t>，由授权代表在磋商响应截止时间前递交至开标地点。若电子磋商响应文件正常解锁，则</w:t>
      </w:r>
      <w:r>
        <w:rPr>
          <w:rFonts w:ascii="宋体" w:hAnsi="宋体" w:cs="宋体"/>
          <w:color w:val="auto"/>
          <w:sz w:val="24"/>
          <w:szCs w:val="24"/>
          <w:highlight w:val="none"/>
        </w:rPr>
        <w:t>U</w:t>
      </w:r>
      <w:r>
        <w:rPr>
          <w:rFonts w:hint="eastAsia" w:ascii="宋体" w:hAnsi="宋体" w:cs="宋体"/>
          <w:color w:val="auto"/>
          <w:sz w:val="24"/>
          <w:szCs w:val="24"/>
          <w:highlight w:val="none"/>
        </w:rPr>
        <w:t>盘退还给供应商；若解锁失败，则由采购代理机构将</w:t>
      </w:r>
      <w:r>
        <w:rPr>
          <w:rFonts w:ascii="宋体" w:hAnsi="宋体" w:cs="宋体"/>
          <w:color w:val="auto"/>
          <w:sz w:val="24"/>
          <w:szCs w:val="24"/>
          <w:highlight w:val="none"/>
        </w:rPr>
        <w:t>U</w:t>
      </w:r>
      <w:r>
        <w:rPr>
          <w:rFonts w:hint="eastAsia" w:ascii="宋体" w:hAnsi="宋体" w:cs="宋体"/>
          <w:color w:val="auto"/>
          <w:sz w:val="24"/>
          <w:szCs w:val="24"/>
          <w:highlight w:val="none"/>
        </w:rPr>
        <w:t>盘中的备份文件上传，该</w:t>
      </w:r>
      <w:r>
        <w:rPr>
          <w:rFonts w:ascii="宋体" w:hAnsi="宋体" w:cs="宋体"/>
          <w:color w:val="auto"/>
          <w:sz w:val="24"/>
          <w:szCs w:val="24"/>
          <w:highlight w:val="none"/>
        </w:rPr>
        <w:t>U</w:t>
      </w:r>
      <w:r>
        <w:rPr>
          <w:rFonts w:hint="eastAsia" w:ascii="宋体" w:hAnsi="宋体" w:cs="宋体"/>
          <w:color w:val="auto"/>
          <w:sz w:val="24"/>
          <w:szCs w:val="24"/>
          <w:highlight w:val="none"/>
        </w:rPr>
        <w:t>盘将由采购代理机构保存。</w:t>
      </w:r>
    </w:p>
    <w:p w14:paraId="1D3305A3">
      <w:pPr>
        <w:adjustRightIn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本次开标不提供现场视频。</w:t>
      </w:r>
    </w:p>
    <w:p w14:paraId="77F40F11">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九．磋商保证金：无</w:t>
      </w:r>
    </w:p>
    <w:p w14:paraId="3581C0E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十．公告期限：3个工作日</w:t>
      </w:r>
    </w:p>
    <w:p w14:paraId="4C8B960D">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十一．联系方式：</w:t>
      </w:r>
    </w:p>
    <w:p w14:paraId="1C9D156F">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．采购代理机构名称：浙江宇康工程管理咨询有限公司</w:t>
      </w:r>
    </w:p>
    <w:p w14:paraId="4478ABD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胡佳菲</w:t>
      </w:r>
      <w:r>
        <w:rPr>
          <w:rFonts w:hint="eastAsia" w:ascii="宋体" w:hAnsi="宋体" w:cs="宋体"/>
          <w:color w:val="auto"/>
          <w:sz w:val="24"/>
          <w:szCs w:val="24"/>
          <w:highlight w:val="none"/>
        </w:rPr>
        <w:t xml:space="preserve">               </w:t>
      </w:r>
    </w:p>
    <w:p w14:paraId="0667B2B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eastAsia="zh-CN"/>
        </w:rPr>
        <w:t>17857050331</w:t>
      </w:r>
      <w:r>
        <w:rPr>
          <w:rFonts w:hint="eastAsia" w:ascii="宋体" w:hAnsi="宋体" w:cs="宋体"/>
          <w:color w:val="auto"/>
          <w:sz w:val="24"/>
          <w:szCs w:val="24"/>
          <w:highlight w:val="none"/>
        </w:rPr>
        <w:t xml:space="preserve">          </w:t>
      </w:r>
    </w:p>
    <w:p w14:paraId="0A1F77D0">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质疑联系人：冯丹             </w:t>
      </w:r>
    </w:p>
    <w:p w14:paraId="7E16138B">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质疑联系方式：13675739466       </w:t>
      </w:r>
    </w:p>
    <w:p w14:paraId="6186C274">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地址：绍兴市上虞区百官街道江东北路</w:t>
      </w:r>
      <w:r>
        <w:rPr>
          <w:rFonts w:ascii="宋体" w:hAnsi="宋体" w:cs="宋体"/>
          <w:color w:val="auto"/>
          <w:sz w:val="24"/>
          <w:szCs w:val="24"/>
          <w:highlight w:val="none"/>
        </w:rPr>
        <w:t>588</w:t>
      </w:r>
      <w:r>
        <w:rPr>
          <w:rFonts w:hint="eastAsia" w:ascii="宋体" w:hAnsi="宋体" w:cs="宋体"/>
          <w:color w:val="auto"/>
          <w:sz w:val="24"/>
          <w:szCs w:val="24"/>
          <w:highlight w:val="none"/>
        </w:rPr>
        <w:t>号百官广场</w:t>
      </w:r>
      <w:r>
        <w:rPr>
          <w:rFonts w:ascii="宋体" w:hAnsi="宋体" w:cs="宋体"/>
          <w:color w:val="auto"/>
          <w:sz w:val="24"/>
          <w:szCs w:val="24"/>
          <w:highlight w:val="none"/>
        </w:rPr>
        <w:t>30</w:t>
      </w:r>
      <w:r>
        <w:rPr>
          <w:rFonts w:hint="eastAsia" w:ascii="宋体" w:hAnsi="宋体" w:cs="宋体"/>
          <w:color w:val="auto"/>
          <w:sz w:val="24"/>
          <w:szCs w:val="24"/>
          <w:highlight w:val="none"/>
        </w:rPr>
        <w:t xml:space="preserve">楼  </w:t>
      </w:r>
    </w:p>
    <w:p w14:paraId="464CFE4A">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lang w:eastAsia="zh-CN"/>
        </w:rPr>
        <w:t>绍兴市上虞区市场监督管理局</w:t>
      </w:r>
    </w:p>
    <w:p w14:paraId="511E6205">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陈女士</w:t>
      </w:r>
    </w:p>
    <w:p w14:paraId="729A128D">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0575-89280806</w:t>
      </w:r>
    </w:p>
    <w:p w14:paraId="68BF23A1">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许女士</w:t>
      </w:r>
    </w:p>
    <w:p w14:paraId="37EE8A95">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0575-89280844</w:t>
      </w:r>
    </w:p>
    <w:p w14:paraId="46578C0A">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绍兴市上虞区曹娥街道人民大道中段418号</w:t>
      </w:r>
    </w:p>
    <w:p w14:paraId="53A93EEC">
      <w:pPr>
        <w:adjustRightIn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．同级政府采购监督管理部门名称：上虞区财政局政府采购监管科</w:t>
      </w:r>
    </w:p>
    <w:p w14:paraId="776CD1AA">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联系人：谷先生</w:t>
      </w:r>
    </w:p>
    <w:p w14:paraId="7E9B4D8B">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0575-82130212</w:t>
      </w:r>
    </w:p>
    <w:p w14:paraId="1B764595">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0575-821</w:t>
      </w:r>
      <w:r>
        <w:rPr>
          <w:rFonts w:hint="eastAsia" w:ascii="宋体" w:hAnsi="宋体" w:cs="宋体"/>
          <w:color w:val="auto"/>
          <w:sz w:val="24"/>
          <w:szCs w:val="24"/>
          <w:highlight w:val="none"/>
          <w:lang w:val="en-US" w:eastAsia="zh-CN"/>
        </w:rPr>
        <w:t>54859</w:t>
      </w:r>
    </w:p>
    <w:p w14:paraId="07C01249">
      <w:pPr>
        <w:adjustRightIn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地址：绍兴市上虞区体育场路</w:t>
      </w:r>
      <w:r>
        <w:rPr>
          <w:rFonts w:ascii="宋体" w:hAnsi="宋体" w:cs="宋体"/>
          <w:color w:val="auto"/>
          <w:sz w:val="24"/>
          <w:szCs w:val="24"/>
          <w:highlight w:val="none"/>
        </w:rPr>
        <w:t>18</w:t>
      </w:r>
      <w:r>
        <w:rPr>
          <w:rFonts w:hint="eastAsia" w:ascii="宋体" w:hAnsi="宋体" w:cs="宋体"/>
          <w:color w:val="auto"/>
          <w:sz w:val="24"/>
          <w:szCs w:val="24"/>
          <w:highlight w:val="none"/>
        </w:rPr>
        <w:t>号</w:t>
      </w:r>
    </w:p>
    <w:p w14:paraId="0EE17AC2">
      <w:pPr>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bookmarkStart w:id="7" w:name="_Toc29834"/>
      <w:bookmarkStart w:id="8" w:name="_Toc546"/>
      <w:bookmarkStart w:id="9" w:name="_Toc28056"/>
      <w:r>
        <w:rPr>
          <w:rStyle w:val="42"/>
          <w:rFonts w:hint="eastAsia" w:cs="宋体"/>
          <w:color w:val="auto"/>
          <w:sz w:val="36"/>
          <w:szCs w:val="36"/>
          <w:highlight w:val="none"/>
        </w:rPr>
        <w:t>第二部分</w:t>
      </w:r>
      <w:bookmarkEnd w:id="3"/>
      <w:r>
        <w:rPr>
          <w:rStyle w:val="42"/>
          <w:color w:val="auto"/>
          <w:sz w:val="36"/>
          <w:szCs w:val="36"/>
          <w:highlight w:val="none"/>
        </w:rPr>
        <w:t xml:space="preserve"> </w:t>
      </w:r>
      <w:bookmarkEnd w:id="4"/>
      <w:r>
        <w:rPr>
          <w:rStyle w:val="42"/>
          <w:rFonts w:hint="eastAsia" w:cs="宋体"/>
          <w:color w:val="auto"/>
          <w:sz w:val="36"/>
          <w:szCs w:val="36"/>
          <w:highlight w:val="none"/>
        </w:rPr>
        <w:t>供应商须知</w:t>
      </w:r>
      <w:bookmarkEnd w:id="7"/>
      <w:bookmarkEnd w:id="8"/>
      <w:bookmarkEnd w:id="9"/>
    </w:p>
    <w:p w14:paraId="4A07C1E0">
      <w:pPr>
        <w:widowControl/>
        <w:adjustRightInd w:val="0"/>
        <w:snapToGrid w:val="0"/>
        <w:spacing w:line="360" w:lineRule="auto"/>
        <w:jc w:val="center"/>
        <w:rPr>
          <w:rFonts w:ascii="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8"/>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24D913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250B2440">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551C13F1">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523143DB">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内容</w:t>
            </w:r>
          </w:p>
        </w:tc>
      </w:tr>
      <w:tr w14:paraId="43D78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67CA437">
            <w:pPr>
              <w:snapToGrid w:val="0"/>
              <w:jc w:val="center"/>
              <w:rPr>
                <w:rFonts w:ascii="宋体"/>
                <w:snapToGrid w:val="0"/>
                <w:color w:val="auto"/>
                <w:kern w:val="0"/>
                <w:highlight w:val="none"/>
              </w:rPr>
            </w:pPr>
            <w:r>
              <w:rPr>
                <w:rFonts w:ascii="宋体" w:hAnsi="宋体" w:cs="宋体"/>
                <w:snapToGrid w:val="0"/>
                <w:color w:val="auto"/>
                <w:kern w:val="0"/>
                <w:highlight w:val="none"/>
              </w:rPr>
              <w:t>1</w:t>
            </w:r>
          </w:p>
        </w:tc>
        <w:tc>
          <w:tcPr>
            <w:tcW w:w="1800" w:type="dxa"/>
            <w:vAlign w:val="center"/>
          </w:tcPr>
          <w:p w14:paraId="72E64D2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05EE10AE">
            <w:pPr>
              <w:snapToGrid w:val="0"/>
              <w:ind w:firstLine="420" w:firstLineChars="200"/>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lang w:eastAsia="zh-CN"/>
              </w:rPr>
              <w:t>2025年大宗食品定点委托检验定点服务项目</w:t>
            </w:r>
          </w:p>
        </w:tc>
      </w:tr>
      <w:tr w14:paraId="1A7EBD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7E6FAA2A">
            <w:pPr>
              <w:snapToGrid w:val="0"/>
              <w:jc w:val="center"/>
              <w:rPr>
                <w:rFonts w:ascii="宋体"/>
                <w:snapToGrid w:val="0"/>
                <w:color w:val="auto"/>
                <w:kern w:val="0"/>
                <w:highlight w:val="none"/>
              </w:rPr>
            </w:pPr>
            <w:r>
              <w:rPr>
                <w:rFonts w:ascii="宋体" w:hAnsi="宋体" w:cs="宋体"/>
                <w:snapToGrid w:val="0"/>
                <w:color w:val="auto"/>
                <w:kern w:val="0"/>
                <w:highlight w:val="none"/>
              </w:rPr>
              <w:t>2</w:t>
            </w:r>
          </w:p>
        </w:tc>
        <w:tc>
          <w:tcPr>
            <w:tcW w:w="1800" w:type="dxa"/>
            <w:vAlign w:val="center"/>
          </w:tcPr>
          <w:p w14:paraId="37828EB9">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74C6F02B">
            <w:pPr>
              <w:ind w:firstLine="422" w:firstLineChars="200"/>
              <w:rPr>
                <w:rFonts w:ascii="宋体"/>
                <w:color w:val="auto"/>
                <w:highlight w:val="none"/>
              </w:rPr>
            </w:pPr>
            <w:r>
              <w:rPr>
                <w:rFonts w:hint="eastAsia" w:ascii="宋体" w:hAnsi="宋体" w:cs="宋体"/>
                <w:b/>
                <w:bCs/>
                <w:snapToGrid w:val="0"/>
                <w:color w:val="auto"/>
                <w:kern w:val="0"/>
                <w:highlight w:val="none"/>
              </w:rPr>
              <w:t>自合同签订之日起至合同履行完毕</w:t>
            </w:r>
          </w:p>
        </w:tc>
      </w:tr>
      <w:tr w14:paraId="28C76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7D75A04A">
            <w:pPr>
              <w:snapToGrid w:val="0"/>
              <w:jc w:val="center"/>
              <w:rPr>
                <w:rFonts w:ascii="宋体"/>
                <w:snapToGrid w:val="0"/>
                <w:color w:val="auto"/>
                <w:kern w:val="0"/>
                <w:highlight w:val="none"/>
              </w:rPr>
            </w:pPr>
            <w:r>
              <w:rPr>
                <w:rFonts w:ascii="宋体" w:hAnsi="宋体" w:cs="宋体"/>
                <w:snapToGrid w:val="0"/>
                <w:color w:val="auto"/>
                <w:kern w:val="0"/>
                <w:highlight w:val="none"/>
              </w:rPr>
              <w:t>3</w:t>
            </w:r>
          </w:p>
        </w:tc>
        <w:tc>
          <w:tcPr>
            <w:tcW w:w="1800" w:type="dxa"/>
            <w:vAlign w:val="center"/>
          </w:tcPr>
          <w:p w14:paraId="1C99E9D9">
            <w:pPr>
              <w:snapToGrid w:val="0"/>
              <w:jc w:val="center"/>
              <w:rPr>
                <w:rFonts w:ascii="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6AF3760C">
            <w:pPr>
              <w:snapToGrid w:val="0"/>
              <w:ind w:firstLine="422" w:firstLineChars="200"/>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标段</w:t>
            </w:r>
            <w:r>
              <w:rPr>
                <w:rFonts w:hint="eastAsia" w:ascii="宋体" w:hAnsi="宋体" w:cs="宋体"/>
                <w:b/>
                <w:bCs/>
                <w:color w:val="auto"/>
                <w:highlight w:val="none"/>
                <w:lang w:eastAsia="zh-CN"/>
              </w:rPr>
              <w:t>一最高限价为</w:t>
            </w:r>
            <w:r>
              <w:rPr>
                <w:rFonts w:hint="eastAsia" w:ascii="宋体" w:hAnsi="宋体" w:cs="宋体"/>
                <w:b/>
                <w:bCs/>
                <w:color w:val="auto"/>
                <w:highlight w:val="none"/>
                <w:u w:val="single"/>
                <w:lang w:val="en-US" w:eastAsia="zh-CN"/>
              </w:rPr>
              <w:t>144</w:t>
            </w:r>
            <w:r>
              <w:rPr>
                <w:rFonts w:hint="eastAsia" w:ascii="宋体" w:hAnsi="宋体" w:cs="宋体"/>
                <w:b/>
                <w:bCs/>
                <w:color w:val="auto"/>
                <w:highlight w:val="none"/>
                <w:lang w:val="en-US" w:eastAsia="zh-CN"/>
              </w:rPr>
              <w:t>万元；</w:t>
            </w:r>
          </w:p>
          <w:p w14:paraId="26A542C8">
            <w:pPr>
              <w:snapToGrid w:val="0"/>
              <w:ind w:firstLine="422" w:firstLineChars="200"/>
              <w:rPr>
                <w:rFonts w:ascii="宋体"/>
                <w:b/>
                <w:bCs/>
                <w:snapToGrid w:val="0"/>
                <w:color w:val="auto"/>
                <w:kern w:val="0"/>
                <w:highlight w:val="none"/>
              </w:rPr>
            </w:pPr>
            <w:r>
              <w:rPr>
                <w:rFonts w:hint="eastAsia" w:ascii="宋体" w:hAnsi="宋体" w:cs="宋体"/>
                <w:b/>
                <w:bCs/>
                <w:color w:val="auto"/>
                <w:highlight w:val="none"/>
                <w:lang w:val="en-US" w:eastAsia="zh-CN"/>
              </w:rPr>
              <w:t>标段</w:t>
            </w:r>
            <w:r>
              <w:rPr>
                <w:rFonts w:hint="eastAsia" w:ascii="宋体" w:hAnsi="宋体" w:cs="宋体"/>
                <w:b/>
                <w:bCs/>
                <w:color w:val="auto"/>
                <w:highlight w:val="none"/>
                <w:lang w:eastAsia="zh-CN"/>
              </w:rPr>
              <w:t>二最高限价为</w:t>
            </w:r>
            <w:r>
              <w:rPr>
                <w:rFonts w:hint="eastAsia" w:ascii="宋体" w:hAnsi="宋体" w:cs="宋体"/>
                <w:b/>
                <w:bCs/>
                <w:color w:val="auto"/>
                <w:highlight w:val="none"/>
                <w:u w:val="single"/>
                <w:lang w:val="en-US" w:eastAsia="zh-CN"/>
              </w:rPr>
              <w:t>144</w:t>
            </w:r>
            <w:r>
              <w:rPr>
                <w:rFonts w:hint="eastAsia" w:ascii="宋体" w:hAnsi="宋体" w:cs="宋体"/>
                <w:b/>
                <w:bCs/>
                <w:color w:val="auto"/>
                <w:highlight w:val="none"/>
                <w:lang w:eastAsia="zh-CN"/>
              </w:rPr>
              <w:t>万元。</w:t>
            </w:r>
          </w:p>
        </w:tc>
      </w:tr>
      <w:tr w14:paraId="0A031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CCF8926">
            <w:pPr>
              <w:snapToGrid w:val="0"/>
              <w:jc w:val="center"/>
              <w:rPr>
                <w:rFonts w:ascii="宋体"/>
                <w:snapToGrid w:val="0"/>
                <w:color w:val="auto"/>
                <w:kern w:val="0"/>
                <w:highlight w:val="none"/>
              </w:rPr>
            </w:pPr>
            <w:r>
              <w:rPr>
                <w:rFonts w:ascii="宋体" w:hAnsi="宋体" w:cs="宋体"/>
                <w:snapToGrid w:val="0"/>
                <w:color w:val="auto"/>
                <w:kern w:val="0"/>
                <w:highlight w:val="none"/>
              </w:rPr>
              <w:t xml:space="preserve">                                                                                                   4</w:t>
            </w:r>
          </w:p>
        </w:tc>
        <w:tc>
          <w:tcPr>
            <w:tcW w:w="1800" w:type="dxa"/>
            <w:vAlign w:val="center"/>
          </w:tcPr>
          <w:p w14:paraId="5B9637F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71D82523">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0168E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04B33652">
            <w:pPr>
              <w:snapToGrid w:val="0"/>
              <w:jc w:val="center"/>
              <w:rPr>
                <w:rFonts w:ascii="宋体"/>
                <w:snapToGrid w:val="0"/>
                <w:color w:val="auto"/>
                <w:kern w:val="0"/>
                <w:highlight w:val="none"/>
              </w:rPr>
            </w:pPr>
            <w:r>
              <w:rPr>
                <w:rFonts w:ascii="宋体" w:hAnsi="宋体" w:cs="宋体"/>
                <w:snapToGrid w:val="0"/>
                <w:color w:val="auto"/>
                <w:kern w:val="0"/>
                <w:highlight w:val="none"/>
              </w:rPr>
              <w:t>5</w:t>
            </w:r>
          </w:p>
        </w:tc>
        <w:tc>
          <w:tcPr>
            <w:tcW w:w="1800" w:type="dxa"/>
            <w:vAlign w:val="center"/>
          </w:tcPr>
          <w:p w14:paraId="5B59B5A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1A0053D8">
            <w:pPr>
              <w:snapToGrid w:val="0"/>
              <w:ind w:firstLine="422" w:firstLineChars="200"/>
              <w:rPr>
                <w:rFonts w:ascii="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2CBEF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E473BE1">
            <w:pPr>
              <w:snapToGrid w:val="0"/>
              <w:jc w:val="center"/>
              <w:rPr>
                <w:rFonts w:ascii="宋体"/>
                <w:snapToGrid w:val="0"/>
                <w:color w:val="auto"/>
                <w:kern w:val="0"/>
                <w:highlight w:val="none"/>
              </w:rPr>
            </w:pPr>
            <w:r>
              <w:rPr>
                <w:rFonts w:ascii="宋体" w:hAnsi="宋体" w:cs="宋体"/>
                <w:snapToGrid w:val="0"/>
                <w:color w:val="auto"/>
                <w:kern w:val="0"/>
                <w:highlight w:val="none"/>
              </w:rPr>
              <w:t>6</w:t>
            </w:r>
          </w:p>
        </w:tc>
        <w:tc>
          <w:tcPr>
            <w:tcW w:w="1800" w:type="dxa"/>
            <w:vAlign w:val="center"/>
          </w:tcPr>
          <w:p w14:paraId="09FAA178">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32817613">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w:t>
            </w:r>
            <w:r>
              <w:rPr>
                <w:rFonts w:ascii="宋体" w:hAnsi="宋体" w:cs="宋体"/>
                <w:snapToGrid w:val="0"/>
                <w:color w:val="auto"/>
                <w:kern w:val="0"/>
                <w:highlight w:val="none"/>
              </w:rPr>
              <w:t>3</w:t>
            </w:r>
            <w:r>
              <w:rPr>
                <w:rFonts w:hint="eastAsia" w:ascii="宋体" w:hAnsi="宋体" w:cs="宋体"/>
                <w:snapToGrid w:val="0"/>
                <w:color w:val="auto"/>
                <w:kern w:val="0"/>
                <w:highlight w:val="none"/>
              </w:rPr>
              <w:t>个工作日内对供应商依法提出的询问作出答复，但答复的内容不得涉及商业秘密。</w:t>
            </w:r>
          </w:p>
        </w:tc>
      </w:tr>
      <w:tr w14:paraId="335E5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656C895">
            <w:pPr>
              <w:snapToGrid w:val="0"/>
              <w:jc w:val="center"/>
              <w:rPr>
                <w:rFonts w:ascii="宋体"/>
                <w:snapToGrid w:val="0"/>
                <w:color w:val="auto"/>
                <w:kern w:val="0"/>
                <w:highlight w:val="none"/>
              </w:rPr>
            </w:pPr>
            <w:r>
              <w:rPr>
                <w:rFonts w:ascii="宋体" w:hAnsi="宋体" w:cs="宋体"/>
                <w:snapToGrid w:val="0"/>
                <w:color w:val="auto"/>
                <w:kern w:val="0"/>
                <w:highlight w:val="none"/>
              </w:rPr>
              <w:t>7</w:t>
            </w:r>
          </w:p>
        </w:tc>
        <w:tc>
          <w:tcPr>
            <w:tcW w:w="1800" w:type="dxa"/>
            <w:vAlign w:val="center"/>
          </w:tcPr>
          <w:p w14:paraId="73EBB3B9">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05E05814">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cs="宋体"/>
                <w:snapToGrid w:val="0"/>
                <w:color w:val="auto"/>
                <w:kern w:val="0"/>
                <w:highlight w:val="none"/>
                <w:lang w:val="en-US" w:eastAsia="zh-CN"/>
              </w:rPr>
              <w:t>止</w:t>
            </w:r>
            <w:r>
              <w:rPr>
                <w:rFonts w:hint="eastAsia" w:ascii="宋体" w:hAnsi="宋体" w:cs="宋体"/>
                <w:snapToGrid w:val="0"/>
                <w:color w:val="auto"/>
                <w:kern w:val="0"/>
                <w:highlight w:val="none"/>
              </w:rPr>
              <w:t>时间至少</w:t>
            </w:r>
            <w:r>
              <w:rPr>
                <w:rFonts w:ascii="宋体" w:hAnsi="宋体" w:cs="宋体"/>
                <w:snapToGrid w:val="0"/>
                <w:color w:val="auto"/>
                <w:kern w:val="0"/>
                <w:highlight w:val="none"/>
              </w:rPr>
              <w:t>5</w:t>
            </w:r>
            <w:r>
              <w:rPr>
                <w:rFonts w:hint="eastAsia" w:ascii="宋体" w:hAnsi="宋体" w:cs="宋体"/>
                <w:snapToGrid w:val="0"/>
                <w:color w:val="auto"/>
                <w:kern w:val="0"/>
                <w:highlight w:val="none"/>
              </w:rPr>
              <w:t>日前，在磋商公告发布的媒体上发布更正公告。本项目磋商文件和补充（答疑、澄清）、修改文件等请自行登录浙江政府采购网或绍兴市上虞区公共资源交易中心网站查看。</w:t>
            </w:r>
          </w:p>
        </w:tc>
      </w:tr>
      <w:tr w14:paraId="44A3FF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4423460">
            <w:pPr>
              <w:snapToGrid w:val="0"/>
              <w:jc w:val="center"/>
              <w:rPr>
                <w:rFonts w:ascii="宋体"/>
                <w:snapToGrid w:val="0"/>
                <w:color w:val="auto"/>
                <w:kern w:val="0"/>
                <w:highlight w:val="none"/>
              </w:rPr>
            </w:pPr>
            <w:r>
              <w:rPr>
                <w:rFonts w:ascii="宋体" w:hAnsi="宋体" w:cs="宋体"/>
                <w:snapToGrid w:val="0"/>
                <w:color w:val="auto"/>
                <w:kern w:val="0"/>
                <w:highlight w:val="none"/>
              </w:rPr>
              <w:t>8</w:t>
            </w:r>
          </w:p>
        </w:tc>
        <w:tc>
          <w:tcPr>
            <w:tcW w:w="1800" w:type="dxa"/>
            <w:vAlign w:val="center"/>
          </w:tcPr>
          <w:p w14:paraId="31E21B84">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5ED30A5E">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69941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050F50DF">
            <w:pPr>
              <w:snapToGrid w:val="0"/>
              <w:jc w:val="center"/>
              <w:rPr>
                <w:rFonts w:ascii="宋体"/>
                <w:snapToGrid w:val="0"/>
                <w:color w:val="auto"/>
                <w:kern w:val="0"/>
                <w:highlight w:val="none"/>
              </w:rPr>
            </w:pPr>
            <w:r>
              <w:rPr>
                <w:rFonts w:ascii="宋体" w:hAnsi="宋体" w:cs="宋体"/>
                <w:snapToGrid w:val="0"/>
                <w:color w:val="auto"/>
                <w:kern w:val="0"/>
                <w:highlight w:val="none"/>
              </w:rPr>
              <w:t>9</w:t>
            </w:r>
          </w:p>
        </w:tc>
        <w:tc>
          <w:tcPr>
            <w:tcW w:w="1800" w:type="dxa"/>
            <w:vAlign w:val="center"/>
          </w:tcPr>
          <w:p w14:paraId="5B23F8E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03D77AF2">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综合评分法</w:t>
            </w:r>
          </w:p>
        </w:tc>
      </w:tr>
      <w:tr w14:paraId="5E075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D0BC18B">
            <w:pPr>
              <w:snapToGrid w:val="0"/>
              <w:jc w:val="center"/>
              <w:rPr>
                <w:rFonts w:ascii="宋体"/>
                <w:snapToGrid w:val="0"/>
                <w:color w:val="auto"/>
                <w:kern w:val="0"/>
                <w:highlight w:val="none"/>
              </w:rPr>
            </w:pPr>
            <w:r>
              <w:rPr>
                <w:rFonts w:ascii="宋体" w:hAnsi="宋体" w:cs="宋体"/>
                <w:snapToGrid w:val="0"/>
                <w:color w:val="auto"/>
                <w:kern w:val="0"/>
                <w:highlight w:val="none"/>
              </w:rPr>
              <w:t>10</w:t>
            </w:r>
          </w:p>
        </w:tc>
        <w:tc>
          <w:tcPr>
            <w:tcW w:w="1800" w:type="dxa"/>
            <w:vAlign w:val="center"/>
          </w:tcPr>
          <w:p w14:paraId="2B55F4A6">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664583F1">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详见磋商公告</w:t>
            </w:r>
          </w:p>
        </w:tc>
      </w:tr>
      <w:tr w14:paraId="5EE96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CEA5D13">
            <w:pPr>
              <w:snapToGrid w:val="0"/>
              <w:jc w:val="center"/>
              <w:rPr>
                <w:rFonts w:ascii="宋体"/>
                <w:snapToGrid w:val="0"/>
                <w:color w:val="auto"/>
                <w:kern w:val="0"/>
                <w:highlight w:val="none"/>
              </w:rPr>
            </w:pPr>
            <w:r>
              <w:rPr>
                <w:rFonts w:ascii="宋体" w:hAnsi="宋体" w:cs="宋体"/>
                <w:snapToGrid w:val="0"/>
                <w:color w:val="auto"/>
                <w:kern w:val="0"/>
                <w:highlight w:val="none"/>
              </w:rPr>
              <w:t>11</w:t>
            </w:r>
          </w:p>
        </w:tc>
        <w:tc>
          <w:tcPr>
            <w:tcW w:w="1800" w:type="dxa"/>
            <w:vAlign w:val="center"/>
          </w:tcPr>
          <w:p w14:paraId="0FC162D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2673AD6B">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47D477F2">
            <w:pPr>
              <w:snapToGrid w:val="0"/>
              <w:ind w:firstLine="420" w:firstLineChars="200"/>
              <w:rPr>
                <w:rFonts w:ascii="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21162C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5714EF9">
            <w:pPr>
              <w:snapToGrid w:val="0"/>
              <w:jc w:val="center"/>
              <w:rPr>
                <w:rFonts w:ascii="宋体"/>
                <w:snapToGrid w:val="0"/>
                <w:color w:val="auto"/>
                <w:kern w:val="0"/>
                <w:highlight w:val="none"/>
              </w:rPr>
            </w:pPr>
            <w:r>
              <w:rPr>
                <w:rFonts w:ascii="宋体" w:hAnsi="宋体" w:cs="宋体"/>
                <w:snapToGrid w:val="0"/>
                <w:color w:val="auto"/>
                <w:kern w:val="0"/>
                <w:highlight w:val="none"/>
              </w:rPr>
              <w:t>12</w:t>
            </w:r>
          </w:p>
        </w:tc>
        <w:tc>
          <w:tcPr>
            <w:tcW w:w="1800" w:type="dxa"/>
            <w:vAlign w:val="center"/>
          </w:tcPr>
          <w:p w14:paraId="4FDFC33E">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7B8469EE">
            <w:pPr>
              <w:snapToGrid w:val="0"/>
              <w:ind w:firstLine="420" w:firstLineChars="200"/>
              <w:rPr>
                <w:rFonts w:ascii="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w:t>
            </w:r>
            <w:r>
              <w:rPr>
                <w:rFonts w:ascii="宋体" w:hAnsi="宋体" w:cs="宋体"/>
                <w:snapToGrid w:val="0"/>
                <w:color w:val="auto"/>
                <w:kern w:val="0"/>
                <w:highlight w:val="none"/>
              </w:rPr>
              <w:t>90</w:t>
            </w:r>
            <w:r>
              <w:rPr>
                <w:rFonts w:hint="eastAsia" w:ascii="宋体" w:hAnsi="宋体" w:cs="宋体"/>
                <w:snapToGrid w:val="0"/>
                <w:color w:val="auto"/>
                <w:kern w:val="0"/>
                <w:highlight w:val="none"/>
              </w:rPr>
              <w:t>天。供应商的响应文件中承诺的响应文件有效期少于磋商文件中载明的响应文件有效期的，磋商无效。</w:t>
            </w:r>
          </w:p>
        </w:tc>
      </w:tr>
      <w:tr w14:paraId="00ACC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648" w:type="dxa"/>
            <w:vAlign w:val="center"/>
          </w:tcPr>
          <w:p w14:paraId="44EEEF12">
            <w:pPr>
              <w:snapToGrid w:val="0"/>
              <w:jc w:val="center"/>
              <w:rPr>
                <w:rFonts w:ascii="宋体"/>
                <w:snapToGrid w:val="0"/>
                <w:color w:val="auto"/>
                <w:kern w:val="0"/>
                <w:highlight w:val="none"/>
              </w:rPr>
            </w:pPr>
            <w:r>
              <w:rPr>
                <w:rFonts w:ascii="宋体" w:hAnsi="宋体" w:cs="宋体"/>
                <w:snapToGrid w:val="0"/>
                <w:color w:val="auto"/>
                <w:kern w:val="0"/>
                <w:highlight w:val="none"/>
              </w:rPr>
              <w:t>13</w:t>
            </w:r>
          </w:p>
        </w:tc>
        <w:tc>
          <w:tcPr>
            <w:tcW w:w="1800" w:type="dxa"/>
            <w:vAlign w:val="center"/>
          </w:tcPr>
          <w:p w14:paraId="23A0732F">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vAlign w:val="center"/>
          </w:tcPr>
          <w:p w14:paraId="5D6E0254">
            <w:pPr>
              <w:widowControl/>
              <w:ind w:firstLine="420" w:firstLineChars="200"/>
              <w:jc w:val="left"/>
              <w:rPr>
                <w:rFonts w:hint="default" w:hAnsi="宋体" w:eastAsia="宋体" w:cs="Times New Roman"/>
                <w:color w:val="auto"/>
                <w:kern w:val="0"/>
                <w:highlight w:val="none"/>
                <w:lang w:val="en-US" w:eastAsia="zh-CN"/>
              </w:rPr>
            </w:pPr>
            <w:r>
              <w:rPr>
                <w:rFonts w:hint="eastAsia" w:hAnsi="宋体" w:cs="Times New Roman"/>
                <w:color w:val="auto"/>
                <w:kern w:val="0"/>
                <w:highlight w:val="none"/>
                <w:lang w:val="en-US" w:eastAsia="zh-CN"/>
              </w:rPr>
              <w:t>各标段</w:t>
            </w:r>
            <w:r>
              <w:rPr>
                <w:rFonts w:hint="default" w:hAnsi="宋体" w:eastAsia="宋体" w:cs="Times New Roman"/>
                <w:color w:val="auto"/>
                <w:kern w:val="0"/>
                <w:highlight w:val="none"/>
                <w:lang w:val="en-US" w:eastAsia="zh-CN"/>
              </w:rPr>
              <w:t>中标人在收到中标通知书后，需向采购人提供</w:t>
            </w:r>
            <w:r>
              <w:rPr>
                <w:rFonts w:hint="eastAsia" w:hAnsi="宋体" w:cs="Times New Roman"/>
                <w:color w:val="auto"/>
                <w:kern w:val="0"/>
                <w:highlight w:val="none"/>
                <w:lang w:val="en-US" w:eastAsia="zh-CN"/>
              </w:rPr>
              <w:t>该标段</w:t>
            </w:r>
            <w:r>
              <w:rPr>
                <w:rFonts w:hint="default" w:hAnsi="宋体" w:eastAsia="宋体" w:cs="Times New Roman"/>
                <w:color w:val="auto"/>
                <w:kern w:val="0"/>
                <w:highlight w:val="none"/>
                <w:lang w:val="en-US" w:eastAsia="zh-CN"/>
              </w:rPr>
              <w:t>合同总价</w:t>
            </w:r>
            <w:r>
              <w:rPr>
                <w:rFonts w:hint="default" w:hAnsi="宋体" w:eastAsia="宋体" w:cs="Times New Roman"/>
                <w:color w:val="auto"/>
                <w:kern w:val="0"/>
                <w:highlight w:val="none"/>
                <w:u w:val="single"/>
                <w:lang w:val="en-US" w:eastAsia="zh-CN"/>
              </w:rPr>
              <w:t>1%</w:t>
            </w:r>
            <w:r>
              <w:rPr>
                <w:rFonts w:hint="default" w:hAnsi="宋体" w:eastAsia="宋体" w:cs="Times New Roman"/>
                <w:color w:val="auto"/>
                <w:kern w:val="0"/>
                <w:highlight w:val="none"/>
                <w:lang w:val="en-US" w:eastAsia="zh-CN"/>
              </w:rPr>
              <w:t>的履约保证金，在签订合同的前3日内一次性递交。（投标人应当以支票、汇票、本票或者金融机构、保险公司、担保机构出具的保函等非现金形式提交）履约保证金在合同期满后首月一次性退还，不计息。</w:t>
            </w:r>
          </w:p>
        </w:tc>
      </w:tr>
      <w:tr w14:paraId="32F197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CE03639">
            <w:pPr>
              <w:snapToGrid w:val="0"/>
              <w:jc w:val="center"/>
              <w:rPr>
                <w:rFonts w:ascii="宋体"/>
                <w:snapToGrid w:val="0"/>
                <w:color w:val="auto"/>
                <w:kern w:val="0"/>
                <w:highlight w:val="none"/>
              </w:rPr>
            </w:pPr>
            <w:r>
              <w:rPr>
                <w:rFonts w:ascii="宋体" w:hAnsi="宋体" w:cs="宋体"/>
                <w:snapToGrid w:val="0"/>
                <w:color w:val="auto"/>
                <w:kern w:val="0"/>
                <w:highlight w:val="none"/>
              </w:rPr>
              <w:t>14</w:t>
            </w:r>
          </w:p>
        </w:tc>
        <w:tc>
          <w:tcPr>
            <w:tcW w:w="1800" w:type="dxa"/>
            <w:vAlign w:val="center"/>
          </w:tcPr>
          <w:p w14:paraId="05458D9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5835DF17">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浙江省政府采购网、</w:t>
            </w:r>
            <w:r>
              <w:rPr>
                <w:rFonts w:hAnsi="宋体"/>
                <w:color w:val="auto"/>
                <w:kern w:val="0"/>
                <w:highlight w:val="none"/>
              </w:rPr>
              <w:t xml:space="preserve"> </w:t>
            </w:r>
            <w:r>
              <w:rPr>
                <w:rFonts w:hint="eastAsia" w:hAnsi="宋体"/>
                <w:color w:val="auto"/>
                <w:kern w:val="0"/>
                <w:highlight w:val="none"/>
              </w:rPr>
              <w:t>绍兴市上虞区公共资源交易中心网站</w:t>
            </w:r>
          </w:p>
        </w:tc>
      </w:tr>
      <w:tr w14:paraId="01B20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C176E41">
            <w:pPr>
              <w:snapToGrid w:val="0"/>
              <w:jc w:val="center"/>
              <w:rPr>
                <w:rFonts w:ascii="宋体"/>
                <w:color w:val="auto"/>
                <w:highlight w:val="none"/>
              </w:rPr>
            </w:pPr>
            <w:r>
              <w:rPr>
                <w:rFonts w:ascii="宋体" w:hAnsi="宋体" w:cs="宋体"/>
                <w:color w:val="auto"/>
                <w:highlight w:val="none"/>
              </w:rPr>
              <w:t>15</w:t>
            </w:r>
          </w:p>
        </w:tc>
        <w:tc>
          <w:tcPr>
            <w:tcW w:w="1800" w:type="dxa"/>
            <w:vAlign w:val="center"/>
          </w:tcPr>
          <w:p w14:paraId="3220FBC7">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25BEFB37">
            <w:pPr>
              <w:ind w:firstLine="420" w:firstLineChars="200"/>
              <w:jc w:val="left"/>
              <w:rPr>
                <w:rFonts w:ascii="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25E587CD">
            <w:pPr>
              <w:ind w:firstLine="420" w:firstLineChars="200"/>
              <w:jc w:val="left"/>
              <w:rPr>
                <w:rFonts w:ascii="宋体"/>
                <w:color w:val="auto"/>
                <w:highlight w:val="none"/>
              </w:rPr>
            </w:pPr>
            <w:r>
              <w:rPr>
                <w:rFonts w:hint="eastAsia" w:ascii="宋体" w:hAnsi="宋体" w:cs="宋体"/>
                <w:color w:val="auto"/>
                <w:highlight w:val="none"/>
              </w:rPr>
              <w:t>供应商认为磋商文件使自己的权益受到损害的，可以在磋商文件公告期限届满之日起</w:t>
            </w:r>
            <w:r>
              <w:rPr>
                <w:rFonts w:ascii="宋体" w:hAnsi="宋体" w:cs="宋体"/>
                <w:color w:val="auto"/>
                <w:highlight w:val="none"/>
              </w:rPr>
              <w:t>7</w:t>
            </w:r>
            <w:r>
              <w:rPr>
                <w:rFonts w:hint="eastAsia" w:ascii="宋体" w:hAnsi="宋体" w:cs="宋体"/>
                <w:color w:val="auto"/>
                <w:highlight w:val="none"/>
              </w:rPr>
              <w:t>个工作日内，以书面形式向采购人和采购代理机构提出质疑。供应商在法定质疑期内应一次性提出针对同一采购程序环节的质疑。</w:t>
            </w:r>
          </w:p>
          <w:p w14:paraId="0A86A4DB">
            <w:pPr>
              <w:ind w:firstLine="420" w:firstLineChars="200"/>
              <w:jc w:val="left"/>
              <w:rPr>
                <w:rFonts w:ascii="宋体"/>
                <w:color w:val="auto"/>
                <w:highlight w:val="none"/>
              </w:rPr>
            </w:pPr>
            <w:r>
              <w:rPr>
                <w:rFonts w:hint="eastAsia" w:ascii="宋体" w:hAnsi="宋体" w:cs="宋体"/>
                <w:color w:val="auto"/>
                <w:highlight w:val="none"/>
              </w:rPr>
              <w:t>供应商如认为采购过程使自身的合法权益受到损害的，应于各采购程序环节结束之日起七个工作日内以书面形式向采购机构提出质疑；</w:t>
            </w:r>
          </w:p>
          <w:p w14:paraId="77103A29">
            <w:pPr>
              <w:snapToGrid w:val="0"/>
              <w:ind w:firstLine="420" w:firstLineChars="200"/>
              <w:jc w:val="left"/>
              <w:rPr>
                <w:rFonts w:ascii="宋体"/>
                <w:snapToGrid w:val="0"/>
                <w:color w:val="auto"/>
                <w:kern w:val="0"/>
                <w:highlight w:val="none"/>
              </w:rPr>
            </w:pPr>
            <w:r>
              <w:rPr>
                <w:rFonts w:hint="eastAsia" w:ascii="宋体" w:hAnsi="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11E013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27A88A3">
            <w:pPr>
              <w:snapToGrid w:val="0"/>
              <w:jc w:val="center"/>
              <w:rPr>
                <w:rFonts w:ascii="宋体"/>
                <w:snapToGrid w:val="0"/>
                <w:color w:val="auto"/>
                <w:kern w:val="0"/>
                <w:highlight w:val="none"/>
              </w:rPr>
            </w:pPr>
            <w:r>
              <w:rPr>
                <w:rFonts w:ascii="宋体" w:hAnsi="宋体" w:cs="宋体"/>
                <w:snapToGrid w:val="0"/>
                <w:color w:val="auto"/>
                <w:kern w:val="0"/>
                <w:highlight w:val="none"/>
              </w:rPr>
              <w:t>16</w:t>
            </w:r>
          </w:p>
        </w:tc>
        <w:tc>
          <w:tcPr>
            <w:tcW w:w="1800" w:type="dxa"/>
            <w:vAlign w:val="center"/>
          </w:tcPr>
          <w:p w14:paraId="5879E6C2">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2D39B259">
            <w:pPr>
              <w:snapToGrid w:val="0"/>
              <w:ind w:firstLine="420" w:firstLineChars="200"/>
              <w:jc w:val="left"/>
              <w:rPr>
                <w:rFonts w:ascii="宋体"/>
                <w:snapToGrid w:val="0"/>
                <w:color w:val="auto"/>
                <w:kern w:val="0"/>
                <w:highlight w:val="none"/>
              </w:rPr>
            </w:pPr>
            <w:r>
              <w:rPr>
                <w:rFonts w:hint="eastAsia" w:ascii="宋体" w:hAnsi="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7A1F7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2D0D31A">
            <w:pPr>
              <w:snapToGrid w:val="0"/>
              <w:jc w:val="center"/>
              <w:rPr>
                <w:rFonts w:ascii="宋体"/>
                <w:snapToGrid w:val="0"/>
                <w:color w:val="auto"/>
                <w:kern w:val="0"/>
                <w:highlight w:val="none"/>
              </w:rPr>
            </w:pPr>
            <w:r>
              <w:rPr>
                <w:rFonts w:ascii="宋体" w:hAnsi="宋体" w:cs="宋体"/>
                <w:snapToGrid w:val="0"/>
                <w:color w:val="auto"/>
                <w:kern w:val="0"/>
                <w:highlight w:val="none"/>
              </w:rPr>
              <w:t>17</w:t>
            </w:r>
          </w:p>
        </w:tc>
        <w:tc>
          <w:tcPr>
            <w:tcW w:w="1800" w:type="dxa"/>
            <w:vAlign w:val="center"/>
          </w:tcPr>
          <w:p w14:paraId="499A81F0">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4A98D528">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0BE30766">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DAC68C6">
            <w:pPr>
              <w:pStyle w:val="16"/>
              <w:snapToGrid w:val="0"/>
              <w:ind w:firstLine="420" w:firstLineChars="200"/>
              <w:jc w:val="left"/>
              <w:rPr>
                <w:rFonts w:hAnsi="宋体" w:cs="Times New Roman"/>
                <w:color w:val="auto"/>
                <w:kern w:val="0"/>
                <w:highlight w:val="none"/>
              </w:rPr>
            </w:pPr>
            <w:r>
              <w:rPr>
                <w:rFonts w:hint="eastAsia" w:hAnsi="宋体"/>
                <w:color w:val="auto"/>
                <w:kern w:val="0"/>
                <w:highlight w:val="none"/>
              </w:rPr>
              <w:t>质疑、投诉人未按前列进行质疑、投诉（申诉），均属于扰乱政府采购市场不良行为。</w:t>
            </w:r>
          </w:p>
          <w:p w14:paraId="4C222E5C">
            <w:pPr>
              <w:pStyle w:val="16"/>
              <w:snapToGrid w:val="0"/>
              <w:ind w:firstLine="420" w:firstLineChars="200"/>
              <w:jc w:val="left"/>
              <w:rPr>
                <w:rFonts w:hAnsi="宋体" w:cs="Times New Roman"/>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”的条款均为实质性要求，不响应的响应文件将作无效标处理。</w:t>
            </w:r>
          </w:p>
        </w:tc>
      </w:tr>
      <w:tr w14:paraId="0C2C5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579180F7">
            <w:pPr>
              <w:snapToGrid w:val="0"/>
              <w:jc w:val="center"/>
              <w:rPr>
                <w:rFonts w:ascii="宋体"/>
                <w:snapToGrid w:val="0"/>
                <w:color w:val="auto"/>
                <w:kern w:val="0"/>
                <w:highlight w:val="none"/>
              </w:rPr>
            </w:pPr>
            <w:r>
              <w:rPr>
                <w:rFonts w:ascii="宋体" w:hAnsi="宋体" w:cs="宋体"/>
                <w:snapToGrid w:val="0"/>
                <w:color w:val="auto"/>
                <w:kern w:val="0"/>
                <w:highlight w:val="none"/>
              </w:rPr>
              <w:t>1</w:t>
            </w:r>
            <w:r>
              <w:rPr>
                <w:rFonts w:hint="eastAsia" w:ascii="宋体" w:hAnsi="宋体" w:cs="宋体"/>
                <w:snapToGrid w:val="0"/>
                <w:color w:val="auto"/>
                <w:kern w:val="0"/>
                <w:highlight w:val="none"/>
              </w:rPr>
              <w:t>8</w:t>
            </w:r>
          </w:p>
        </w:tc>
        <w:tc>
          <w:tcPr>
            <w:tcW w:w="1800" w:type="dxa"/>
            <w:vAlign w:val="center"/>
          </w:tcPr>
          <w:p w14:paraId="0FBBA5A1">
            <w:pPr>
              <w:snapToGrid w:val="0"/>
              <w:jc w:val="center"/>
              <w:rPr>
                <w:rFonts w:ascii="宋体"/>
                <w:color w:val="auto"/>
                <w:highlight w:val="none"/>
              </w:rPr>
            </w:pPr>
            <w:r>
              <w:rPr>
                <w:rFonts w:hint="eastAsia" w:ascii="宋体" w:hAnsi="宋体" w:cs="宋体"/>
                <w:color w:val="auto"/>
                <w:highlight w:val="none"/>
              </w:rPr>
              <w:t>支</w:t>
            </w:r>
          </w:p>
          <w:p w14:paraId="6B5A7A09">
            <w:pPr>
              <w:snapToGrid w:val="0"/>
              <w:jc w:val="center"/>
              <w:rPr>
                <w:rFonts w:ascii="宋体"/>
                <w:color w:val="auto"/>
                <w:highlight w:val="none"/>
              </w:rPr>
            </w:pPr>
            <w:r>
              <w:rPr>
                <w:rFonts w:hint="eastAsia" w:ascii="宋体" w:hAnsi="宋体" w:cs="宋体"/>
                <w:color w:val="auto"/>
                <w:highlight w:val="none"/>
              </w:rPr>
              <w:t>持</w:t>
            </w:r>
          </w:p>
          <w:p w14:paraId="1D696FED">
            <w:pPr>
              <w:snapToGrid w:val="0"/>
              <w:jc w:val="center"/>
              <w:rPr>
                <w:rFonts w:ascii="宋体"/>
                <w:color w:val="auto"/>
                <w:highlight w:val="none"/>
              </w:rPr>
            </w:pPr>
            <w:r>
              <w:rPr>
                <w:rFonts w:hint="eastAsia" w:ascii="宋体" w:hAnsi="宋体" w:cs="宋体"/>
                <w:color w:val="auto"/>
                <w:highlight w:val="none"/>
              </w:rPr>
              <w:t>中</w:t>
            </w:r>
          </w:p>
          <w:p w14:paraId="04F4D4F2">
            <w:pPr>
              <w:snapToGrid w:val="0"/>
              <w:jc w:val="center"/>
              <w:rPr>
                <w:rFonts w:ascii="宋体"/>
                <w:color w:val="auto"/>
                <w:highlight w:val="none"/>
              </w:rPr>
            </w:pPr>
            <w:r>
              <w:rPr>
                <w:rFonts w:hint="eastAsia" w:ascii="宋体" w:hAnsi="宋体" w:cs="宋体"/>
                <w:color w:val="auto"/>
                <w:highlight w:val="none"/>
              </w:rPr>
              <w:t>小</w:t>
            </w:r>
          </w:p>
          <w:p w14:paraId="02123E4D">
            <w:pPr>
              <w:snapToGrid w:val="0"/>
              <w:jc w:val="center"/>
              <w:rPr>
                <w:rFonts w:ascii="宋体"/>
                <w:color w:val="auto"/>
                <w:highlight w:val="none"/>
              </w:rPr>
            </w:pPr>
            <w:r>
              <w:rPr>
                <w:rFonts w:hint="eastAsia" w:ascii="宋体" w:hAnsi="宋体" w:cs="宋体"/>
                <w:color w:val="auto"/>
                <w:highlight w:val="none"/>
              </w:rPr>
              <w:t>企</w:t>
            </w:r>
          </w:p>
          <w:p w14:paraId="70F86496">
            <w:pPr>
              <w:snapToGrid w:val="0"/>
              <w:jc w:val="center"/>
              <w:rPr>
                <w:rFonts w:ascii="宋体"/>
                <w:color w:val="auto"/>
                <w:highlight w:val="none"/>
              </w:rPr>
            </w:pPr>
            <w:r>
              <w:rPr>
                <w:rFonts w:hint="eastAsia" w:ascii="宋体" w:hAnsi="宋体" w:cs="宋体"/>
                <w:color w:val="auto"/>
                <w:highlight w:val="none"/>
              </w:rPr>
              <w:t>业</w:t>
            </w:r>
          </w:p>
          <w:p w14:paraId="7BBD79A7">
            <w:pPr>
              <w:snapToGrid w:val="0"/>
              <w:jc w:val="center"/>
              <w:rPr>
                <w:rFonts w:ascii="宋体"/>
                <w:color w:val="auto"/>
                <w:highlight w:val="none"/>
              </w:rPr>
            </w:pPr>
          </w:p>
        </w:tc>
        <w:tc>
          <w:tcPr>
            <w:tcW w:w="6682" w:type="dxa"/>
            <w:vAlign w:val="center"/>
          </w:tcPr>
          <w:p w14:paraId="5889BD57">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085F9357">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21959808">
            <w:pPr>
              <w:bidi w:val="0"/>
              <w:spacing w:line="240" w:lineRule="auto"/>
              <w:ind w:firstLine="420" w:firstLineChars="200"/>
              <w:rPr>
                <w:color w:val="auto"/>
                <w:highlight w:val="none"/>
              </w:rPr>
            </w:pPr>
            <w:r>
              <w:rPr>
                <w:rFonts w:hint="eastAsia"/>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00C5F694">
            <w:pPr>
              <w:bidi w:val="0"/>
              <w:spacing w:line="240" w:lineRule="auto"/>
              <w:ind w:firstLine="420" w:firstLineChars="200"/>
              <w:rPr>
                <w:color w:val="auto"/>
                <w:highlight w:val="none"/>
              </w:rPr>
            </w:pPr>
            <w:r>
              <w:rPr>
                <w:color w:val="auto"/>
                <w:highlight w:val="none"/>
              </w:rPr>
              <w:t>在服务采购项目中，服务由小微企业承接，即提供服务的人员为小微企业依照《中华人民共和国劳动合同法》订立劳动合同的从业人员。</w:t>
            </w:r>
          </w:p>
          <w:p w14:paraId="72AE539A">
            <w:pPr>
              <w:bidi w:val="0"/>
              <w:ind w:firstLine="420" w:firstLineChars="200"/>
              <w:rPr>
                <w:color w:val="auto"/>
                <w:highlight w:val="none"/>
              </w:rPr>
            </w:pPr>
            <w:bookmarkStart w:id="10" w:name="_Toc16526"/>
            <w:r>
              <w:rPr>
                <w:rFonts w:hint="eastAsia"/>
                <w:color w:val="auto"/>
                <w:highlight w:val="none"/>
              </w:rPr>
              <w:t>联合体各方均为小型、微型企业的，联合体视同为小型、微型企业。</w:t>
            </w:r>
            <w:bookmarkEnd w:id="10"/>
          </w:p>
          <w:p w14:paraId="042FA0E7">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65AC59">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3B048855">
            <w:pPr>
              <w:ind w:firstLine="420" w:firstLineChars="200"/>
              <w:rPr>
                <w:rFonts w:ascii="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12EDE4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050F14E3">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5C6E1AC9">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5605D84B">
            <w:pPr>
              <w:autoSpaceDN w:val="0"/>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招标代理服务费由成交供应商支付，按下列服务招标差额定率累进法计算方式</w:t>
            </w:r>
            <w:r>
              <w:rPr>
                <w:rFonts w:hint="eastAsia" w:ascii="宋体" w:hAnsi="宋体" w:cs="宋体"/>
                <w:snapToGrid w:val="0"/>
                <w:color w:val="auto"/>
                <w:kern w:val="0"/>
                <w:highlight w:val="none"/>
                <w:lang w:val="en-US" w:eastAsia="zh-CN"/>
              </w:rPr>
              <w:t>分标段</w:t>
            </w:r>
            <w:r>
              <w:rPr>
                <w:rFonts w:hint="eastAsia" w:ascii="宋体" w:hAnsi="宋体" w:cs="宋体"/>
                <w:snapToGrid w:val="0"/>
                <w:color w:val="auto"/>
                <w:kern w:val="0"/>
                <w:highlight w:val="none"/>
              </w:rPr>
              <w:t>计取。</w:t>
            </w:r>
          </w:p>
          <w:tbl>
            <w:tblPr>
              <w:tblStyle w:val="28"/>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6F0495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03E3F286">
                  <w:pPr>
                    <w:jc w:val="center"/>
                    <w:rPr>
                      <w:rFonts w:ascii="宋体" w:hAnsi="宋体" w:cs="宋体"/>
                      <w:color w:val="auto"/>
                      <w:highlight w:val="none"/>
                    </w:rPr>
                  </w:pPr>
                  <w:r>
                    <w:rPr>
                      <w:rFonts w:hint="eastAsia" w:ascii="宋体" w:hAnsi="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vAlign w:val="center"/>
                </w:tcPr>
                <w:p w14:paraId="54217F66">
                  <w:pPr>
                    <w:pStyle w:val="26"/>
                    <w:jc w:val="center"/>
                    <w:rPr>
                      <w:color w:val="auto"/>
                      <w:sz w:val="21"/>
                      <w:szCs w:val="21"/>
                      <w:highlight w:val="none"/>
                    </w:rPr>
                  </w:pPr>
                  <w:r>
                    <w:rPr>
                      <w:rFonts w:hint="eastAsia"/>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vAlign w:val="center"/>
                </w:tcPr>
                <w:p w14:paraId="79B2113E">
                  <w:pPr>
                    <w:jc w:val="center"/>
                    <w:rPr>
                      <w:rFonts w:ascii="宋体" w:hAnsi="宋体" w:cs="宋体"/>
                      <w:color w:val="auto"/>
                      <w:highlight w:val="none"/>
                    </w:rPr>
                  </w:pPr>
                  <w:r>
                    <w:rPr>
                      <w:rFonts w:hint="eastAsia" w:ascii="宋体" w:hAnsi="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vAlign w:val="center"/>
                </w:tcPr>
                <w:p w14:paraId="7A74CA8B">
                  <w:pPr>
                    <w:jc w:val="center"/>
                    <w:rPr>
                      <w:rFonts w:ascii="宋体" w:hAnsi="宋体" w:cs="宋体"/>
                      <w:color w:val="auto"/>
                      <w:highlight w:val="none"/>
                    </w:rPr>
                  </w:pPr>
                  <w:r>
                    <w:rPr>
                      <w:rFonts w:hint="eastAsia" w:ascii="宋体" w:hAnsi="宋体" w:cs="宋体"/>
                      <w:color w:val="auto"/>
                      <w:highlight w:val="none"/>
                    </w:rPr>
                    <w:t>工程招标</w:t>
                  </w:r>
                </w:p>
              </w:tc>
            </w:tr>
            <w:tr w14:paraId="77557C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B8A90AB">
                  <w:pPr>
                    <w:jc w:val="center"/>
                    <w:rPr>
                      <w:rFonts w:ascii="宋体" w:hAnsi="宋体" w:cs="宋体"/>
                      <w:color w:val="auto"/>
                      <w:highlight w:val="none"/>
                    </w:rPr>
                  </w:pPr>
                  <w:r>
                    <w:rPr>
                      <w:rFonts w:hint="eastAsia" w:ascii="宋体" w:hAnsi="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vAlign w:val="center"/>
                </w:tcPr>
                <w:p w14:paraId="40AC572B">
                  <w:pPr>
                    <w:jc w:val="center"/>
                    <w:rPr>
                      <w:rFonts w:ascii="宋体" w:hAnsi="宋体" w:cs="宋体"/>
                      <w:color w:val="auto"/>
                      <w:highlight w:val="none"/>
                    </w:rPr>
                  </w:pPr>
                  <w:r>
                    <w:rPr>
                      <w:rFonts w:hint="eastAsia" w:ascii="宋体" w:hAnsi="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vAlign w:val="center"/>
                </w:tcPr>
                <w:p w14:paraId="068392E9">
                  <w:pPr>
                    <w:jc w:val="center"/>
                    <w:rPr>
                      <w:rFonts w:ascii="宋体" w:hAnsi="宋体" w:cs="宋体"/>
                      <w:color w:val="auto"/>
                      <w:highlight w:val="none"/>
                    </w:rPr>
                  </w:pPr>
                  <w:r>
                    <w:rPr>
                      <w:rFonts w:hint="eastAsia" w:ascii="宋体" w:hAnsi="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vAlign w:val="center"/>
                </w:tcPr>
                <w:p w14:paraId="72287EB3">
                  <w:pPr>
                    <w:jc w:val="center"/>
                    <w:rPr>
                      <w:rFonts w:ascii="宋体" w:hAnsi="宋体" w:cs="宋体"/>
                      <w:color w:val="auto"/>
                      <w:highlight w:val="none"/>
                    </w:rPr>
                  </w:pPr>
                  <w:r>
                    <w:rPr>
                      <w:rFonts w:hint="eastAsia" w:ascii="宋体" w:hAnsi="宋体" w:cs="宋体"/>
                      <w:color w:val="auto"/>
                      <w:highlight w:val="none"/>
                    </w:rPr>
                    <w:t>1.0％</w:t>
                  </w:r>
                </w:p>
              </w:tc>
            </w:tr>
            <w:tr w14:paraId="4A97F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31BBFBA">
                  <w:pPr>
                    <w:jc w:val="center"/>
                    <w:rPr>
                      <w:rFonts w:ascii="宋体" w:hAnsi="宋体" w:cs="宋体"/>
                      <w:color w:val="auto"/>
                      <w:highlight w:val="none"/>
                    </w:rPr>
                  </w:pPr>
                  <w:r>
                    <w:rPr>
                      <w:rFonts w:hint="eastAsia" w:ascii="宋体" w:hAnsi="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vAlign w:val="center"/>
                </w:tcPr>
                <w:p w14:paraId="6C4F7A27">
                  <w:pPr>
                    <w:jc w:val="center"/>
                    <w:rPr>
                      <w:rFonts w:ascii="宋体" w:hAnsi="宋体" w:cs="宋体"/>
                      <w:color w:val="auto"/>
                      <w:highlight w:val="none"/>
                    </w:rPr>
                  </w:pPr>
                  <w:r>
                    <w:rPr>
                      <w:rFonts w:hint="eastAsia" w:ascii="宋体" w:hAnsi="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vAlign w:val="center"/>
                </w:tcPr>
                <w:p w14:paraId="63555914">
                  <w:pPr>
                    <w:jc w:val="center"/>
                    <w:rPr>
                      <w:rFonts w:ascii="宋体" w:hAnsi="宋体" w:cs="宋体"/>
                      <w:color w:val="auto"/>
                      <w:highlight w:val="none"/>
                    </w:rPr>
                  </w:pPr>
                  <w:r>
                    <w:rPr>
                      <w:rFonts w:hint="eastAsia" w:ascii="宋体" w:hAnsi="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vAlign w:val="center"/>
                </w:tcPr>
                <w:p w14:paraId="41582561">
                  <w:pPr>
                    <w:jc w:val="center"/>
                    <w:rPr>
                      <w:rFonts w:ascii="宋体" w:hAnsi="宋体" w:cs="宋体"/>
                      <w:color w:val="auto"/>
                      <w:highlight w:val="none"/>
                    </w:rPr>
                  </w:pPr>
                  <w:r>
                    <w:rPr>
                      <w:rFonts w:hint="eastAsia" w:ascii="宋体" w:hAnsi="宋体" w:cs="宋体"/>
                      <w:color w:val="auto"/>
                      <w:highlight w:val="none"/>
                    </w:rPr>
                    <w:t>0.7％</w:t>
                  </w:r>
                </w:p>
              </w:tc>
            </w:tr>
            <w:tr w14:paraId="7F3036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81339D0">
                  <w:pPr>
                    <w:jc w:val="center"/>
                    <w:rPr>
                      <w:rFonts w:ascii="宋体" w:hAnsi="宋体" w:cs="宋体"/>
                      <w:color w:val="auto"/>
                      <w:highlight w:val="none"/>
                    </w:rPr>
                  </w:pPr>
                  <w:r>
                    <w:rPr>
                      <w:rFonts w:hint="eastAsia" w:ascii="宋体" w:hAnsi="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vAlign w:val="center"/>
                </w:tcPr>
                <w:p w14:paraId="792C489F">
                  <w:pPr>
                    <w:jc w:val="center"/>
                    <w:rPr>
                      <w:rFonts w:ascii="宋体" w:hAnsi="宋体" w:cs="宋体"/>
                      <w:color w:val="auto"/>
                      <w:highlight w:val="none"/>
                    </w:rPr>
                  </w:pPr>
                  <w:r>
                    <w:rPr>
                      <w:rFonts w:hint="eastAsia" w:ascii="宋体" w:hAnsi="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vAlign w:val="center"/>
                </w:tcPr>
                <w:p w14:paraId="28E38896">
                  <w:pPr>
                    <w:jc w:val="center"/>
                    <w:rPr>
                      <w:rFonts w:ascii="宋体" w:hAnsi="宋体" w:cs="宋体"/>
                      <w:color w:val="auto"/>
                      <w:highlight w:val="none"/>
                    </w:rPr>
                  </w:pPr>
                  <w:r>
                    <w:rPr>
                      <w:rFonts w:hint="eastAsia" w:ascii="宋体" w:hAnsi="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vAlign w:val="center"/>
                </w:tcPr>
                <w:p w14:paraId="4699BE76">
                  <w:pPr>
                    <w:jc w:val="center"/>
                    <w:rPr>
                      <w:rFonts w:ascii="宋体" w:hAnsi="宋体" w:cs="宋体"/>
                      <w:color w:val="auto"/>
                      <w:highlight w:val="none"/>
                    </w:rPr>
                  </w:pPr>
                  <w:r>
                    <w:rPr>
                      <w:rFonts w:hint="eastAsia" w:ascii="宋体" w:hAnsi="宋体" w:cs="宋体"/>
                      <w:color w:val="auto"/>
                      <w:highlight w:val="none"/>
                    </w:rPr>
                    <w:t>0.55％</w:t>
                  </w:r>
                </w:p>
              </w:tc>
            </w:tr>
            <w:tr w14:paraId="2BADEC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0249D836">
                  <w:pPr>
                    <w:jc w:val="center"/>
                    <w:rPr>
                      <w:rFonts w:ascii="宋体" w:hAnsi="宋体" w:cs="宋体"/>
                      <w:color w:val="auto"/>
                      <w:highlight w:val="none"/>
                    </w:rPr>
                  </w:pPr>
                  <w:r>
                    <w:rPr>
                      <w:rFonts w:hint="eastAsia" w:ascii="宋体" w:hAnsi="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vAlign w:val="center"/>
                </w:tcPr>
                <w:p w14:paraId="0D7DED2A">
                  <w:pPr>
                    <w:jc w:val="center"/>
                    <w:rPr>
                      <w:rFonts w:ascii="宋体" w:hAnsi="宋体" w:cs="宋体"/>
                      <w:color w:val="auto"/>
                      <w:highlight w:val="none"/>
                    </w:rPr>
                  </w:pPr>
                  <w:r>
                    <w:rPr>
                      <w:rFonts w:hint="eastAsia" w:ascii="宋体" w:hAnsi="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vAlign w:val="center"/>
                </w:tcPr>
                <w:p w14:paraId="52EE33F9">
                  <w:pPr>
                    <w:jc w:val="center"/>
                    <w:rPr>
                      <w:rFonts w:ascii="宋体" w:hAnsi="宋体" w:cs="宋体"/>
                      <w:color w:val="auto"/>
                      <w:highlight w:val="none"/>
                    </w:rPr>
                  </w:pPr>
                  <w:r>
                    <w:rPr>
                      <w:rFonts w:hint="eastAsia" w:ascii="宋体" w:hAnsi="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vAlign w:val="center"/>
                </w:tcPr>
                <w:p w14:paraId="5CA1C5FC">
                  <w:pPr>
                    <w:jc w:val="center"/>
                    <w:rPr>
                      <w:rFonts w:ascii="宋体" w:hAnsi="宋体" w:cs="宋体"/>
                      <w:color w:val="auto"/>
                      <w:highlight w:val="none"/>
                    </w:rPr>
                  </w:pPr>
                  <w:r>
                    <w:rPr>
                      <w:rFonts w:hint="eastAsia" w:ascii="宋体" w:hAnsi="宋体" w:cs="宋体"/>
                      <w:color w:val="auto"/>
                      <w:highlight w:val="none"/>
                    </w:rPr>
                    <w:t>0.35％</w:t>
                  </w:r>
                </w:p>
              </w:tc>
            </w:tr>
            <w:tr w14:paraId="50D794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5E90B63E">
                  <w:pPr>
                    <w:jc w:val="center"/>
                    <w:rPr>
                      <w:rFonts w:ascii="宋体" w:hAnsi="宋体" w:cs="宋体"/>
                      <w:color w:val="auto"/>
                      <w:highlight w:val="none"/>
                    </w:rPr>
                  </w:pPr>
                  <w:r>
                    <w:rPr>
                      <w:rFonts w:hint="eastAsia" w:ascii="宋体" w:hAnsi="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vAlign w:val="center"/>
                </w:tcPr>
                <w:p w14:paraId="329C3F34">
                  <w:pPr>
                    <w:jc w:val="center"/>
                    <w:rPr>
                      <w:rFonts w:ascii="宋体" w:hAnsi="宋体" w:cs="宋体"/>
                      <w:color w:val="auto"/>
                      <w:highlight w:val="none"/>
                    </w:rPr>
                  </w:pPr>
                  <w:r>
                    <w:rPr>
                      <w:rFonts w:hint="eastAsia" w:ascii="宋体" w:hAnsi="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vAlign w:val="center"/>
                </w:tcPr>
                <w:p w14:paraId="280882FF">
                  <w:pPr>
                    <w:jc w:val="center"/>
                    <w:rPr>
                      <w:rFonts w:ascii="宋体" w:hAnsi="宋体" w:cs="宋体"/>
                      <w:color w:val="auto"/>
                      <w:highlight w:val="none"/>
                    </w:rPr>
                  </w:pPr>
                  <w:r>
                    <w:rPr>
                      <w:rFonts w:hint="eastAsia" w:ascii="宋体" w:hAnsi="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vAlign w:val="center"/>
                </w:tcPr>
                <w:p w14:paraId="53717C8D">
                  <w:pPr>
                    <w:jc w:val="center"/>
                    <w:rPr>
                      <w:rFonts w:ascii="宋体" w:hAnsi="宋体" w:cs="宋体"/>
                      <w:color w:val="auto"/>
                      <w:highlight w:val="none"/>
                    </w:rPr>
                  </w:pPr>
                  <w:r>
                    <w:rPr>
                      <w:rFonts w:hint="eastAsia" w:ascii="宋体" w:hAnsi="宋体" w:cs="宋体"/>
                      <w:color w:val="auto"/>
                      <w:highlight w:val="none"/>
                    </w:rPr>
                    <w:t>0.2％</w:t>
                  </w:r>
                </w:p>
              </w:tc>
            </w:tr>
            <w:tr w14:paraId="25F957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1FB5D3BC">
                  <w:pPr>
                    <w:jc w:val="center"/>
                    <w:rPr>
                      <w:rFonts w:ascii="宋体" w:hAnsi="宋体" w:cs="宋体"/>
                      <w:color w:val="auto"/>
                      <w:highlight w:val="none"/>
                    </w:rPr>
                  </w:pPr>
                  <w:r>
                    <w:rPr>
                      <w:rFonts w:hint="eastAsia" w:ascii="宋体" w:hAnsi="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vAlign w:val="center"/>
                </w:tcPr>
                <w:p w14:paraId="1551D2F5">
                  <w:pPr>
                    <w:jc w:val="center"/>
                    <w:rPr>
                      <w:rFonts w:ascii="宋体" w:hAnsi="宋体" w:cs="宋体"/>
                      <w:color w:val="auto"/>
                      <w:highlight w:val="none"/>
                    </w:rPr>
                  </w:pPr>
                  <w:r>
                    <w:rPr>
                      <w:rFonts w:hint="eastAsia" w:ascii="宋体" w:hAnsi="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vAlign w:val="center"/>
                </w:tcPr>
                <w:p w14:paraId="42E691B3">
                  <w:pPr>
                    <w:jc w:val="center"/>
                    <w:rPr>
                      <w:rFonts w:ascii="宋体" w:hAnsi="宋体" w:cs="宋体"/>
                      <w:color w:val="auto"/>
                      <w:highlight w:val="none"/>
                    </w:rPr>
                  </w:pPr>
                  <w:r>
                    <w:rPr>
                      <w:rFonts w:hint="eastAsia" w:ascii="宋体" w:hAnsi="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vAlign w:val="center"/>
                </w:tcPr>
                <w:p w14:paraId="3B909303">
                  <w:pPr>
                    <w:jc w:val="center"/>
                    <w:rPr>
                      <w:rFonts w:ascii="宋体" w:hAnsi="宋体" w:cs="宋体"/>
                      <w:color w:val="auto"/>
                      <w:highlight w:val="none"/>
                    </w:rPr>
                  </w:pPr>
                  <w:r>
                    <w:rPr>
                      <w:rFonts w:hint="eastAsia" w:ascii="宋体" w:hAnsi="宋体" w:cs="宋体"/>
                      <w:color w:val="auto"/>
                      <w:highlight w:val="none"/>
                    </w:rPr>
                    <w:t>0.05％</w:t>
                  </w:r>
                </w:p>
              </w:tc>
            </w:tr>
            <w:tr w14:paraId="61E559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2FC797A2">
                  <w:pPr>
                    <w:jc w:val="center"/>
                    <w:rPr>
                      <w:rFonts w:ascii="宋体" w:hAnsi="宋体" w:cs="宋体"/>
                      <w:color w:val="auto"/>
                      <w:highlight w:val="none"/>
                    </w:rPr>
                  </w:pPr>
                  <w:r>
                    <w:rPr>
                      <w:rFonts w:hint="eastAsia" w:ascii="宋体" w:hAnsi="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vAlign w:val="center"/>
                </w:tcPr>
                <w:p w14:paraId="480F133A">
                  <w:pPr>
                    <w:jc w:val="center"/>
                    <w:rPr>
                      <w:rFonts w:ascii="宋体" w:hAnsi="宋体" w:cs="宋体"/>
                      <w:color w:val="auto"/>
                      <w:highlight w:val="none"/>
                    </w:rPr>
                  </w:pPr>
                  <w:r>
                    <w:rPr>
                      <w:rFonts w:hint="eastAsia" w:ascii="宋体" w:hAnsi="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vAlign w:val="center"/>
                </w:tcPr>
                <w:p w14:paraId="65E3F1EB">
                  <w:pPr>
                    <w:jc w:val="center"/>
                    <w:rPr>
                      <w:rFonts w:ascii="宋体" w:hAnsi="宋体" w:cs="宋体"/>
                      <w:color w:val="auto"/>
                      <w:highlight w:val="none"/>
                    </w:rPr>
                  </w:pPr>
                  <w:r>
                    <w:rPr>
                      <w:rFonts w:hint="eastAsia" w:ascii="宋体" w:hAnsi="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vAlign w:val="center"/>
                </w:tcPr>
                <w:p w14:paraId="65010F51">
                  <w:pPr>
                    <w:jc w:val="center"/>
                    <w:rPr>
                      <w:rFonts w:ascii="宋体" w:hAnsi="宋体" w:cs="宋体"/>
                      <w:color w:val="auto"/>
                      <w:highlight w:val="none"/>
                    </w:rPr>
                  </w:pPr>
                  <w:r>
                    <w:rPr>
                      <w:rFonts w:hint="eastAsia" w:ascii="宋体" w:hAnsi="宋体" w:cs="宋体"/>
                      <w:color w:val="auto"/>
                      <w:highlight w:val="none"/>
                    </w:rPr>
                    <w:t>0.01％</w:t>
                  </w:r>
                </w:p>
              </w:tc>
            </w:tr>
          </w:tbl>
          <w:p w14:paraId="276E502B">
            <w:pPr>
              <w:spacing w:line="34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结算方式及时间为：在领取中标通知书前由成交供应商一次性向采购代理机构付清。</w:t>
            </w:r>
          </w:p>
        </w:tc>
      </w:tr>
      <w:tr w14:paraId="3CD048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22AF978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20</w:t>
            </w:r>
          </w:p>
        </w:tc>
        <w:tc>
          <w:tcPr>
            <w:tcW w:w="1800" w:type="dxa"/>
            <w:vAlign w:val="center"/>
          </w:tcPr>
          <w:p w14:paraId="53A37E4A">
            <w:pPr>
              <w:snapToGrid w:val="0"/>
              <w:jc w:val="center"/>
              <w:rPr>
                <w:rFonts w:ascii="宋体"/>
                <w:color w:val="auto"/>
                <w:highlight w:val="none"/>
              </w:rPr>
            </w:pPr>
            <w:r>
              <w:rPr>
                <w:rFonts w:hint="eastAsia" w:ascii="宋体" w:hAnsi="宋体" w:cs="宋体"/>
                <w:color w:val="auto"/>
                <w:highlight w:val="none"/>
              </w:rPr>
              <w:t>是否允许分包</w:t>
            </w:r>
          </w:p>
        </w:tc>
        <w:tc>
          <w:tcPr>
            <w:tcW w:w="6682" w:type="dxa"/>
            <w:vAlign w:val="center"/>
          </w:tcPr>
          <w:p w14:paraId="2E6C547E">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673740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1319DE9C">
            <w:pPr>
              <w:snapToGrid w:val="0"/>
              <w:jc w:val="center"/>
              <w:rPr>
                <w:rFonts w:ascii="宋体"/>
                <w:snapToGrid w:val="0"/>
                <w:color w:val="auto"/>
                <w:kern w:val="0"/>
                <w:highlight w:val="none"/>
              </w:rPr>
            </w:pPr>
            <w:r>
              <w:rPr>
                <w:rFonts w:hint="eastAsia" w:ascii="宋体" w:hAnsi="宋体" w:cs="宋体"/>
                <w:snapToGrid w:val="0"/>
                <w:color w:val="auto"/>
                <w:kern w:val="0"/>
                <w:highlight w:val="none"/>
              </w:rPr>
              <w:t>21</w:t>
            </w:r>
          </w:p>
        </w:tc>
        <w:tc>
          <w:tcPr>
            <w:tcW w:w="1800" w:type="dxa"/>
            <w:tcBorders>
              <w:top w:val="single" w:color="auto" w:sz="4" w:space="0"/>
            </w:tcBorders>
            <w:vAlign w:val="center"/>
          </w:tcPr>
          <w:p w14:paraId="4669B532">
            <w:pPr>
              <w:snapToGrid w:val="0"/>
              <w:jc w:val="center"/>
              <w:rPr>
                <w:rFonts w:ascii="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1676CEA2">
            <w:pPr>
              <w:ind w:firstLine="420" w:firstLineChars="200"/>
              <w:rPr>
                <w:rFonts w:ascii="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不需要</w:t>
            </w:r>
            <w:r>
              <w:rPr>
                <w:rFonts w:hint="eastAsia" w:ascii="宋体" w:hAnsi="宋体" w:cs="宋体"/>
                <w:color w:val="auto"/>
                <w:highlight w:val="none"/>
              </w:rPr>
              <w:t>提供演示。</w:t>
            </w:r>
          </w:p>
        </w:tc>
      </w:tr>
      <w:tr w14:paraId="181199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5E2527B6">
            <w:pPr>
              <w:snapToGrid w:val="0"/>
              <w:jc w:val="center"/>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22EEC049">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预付款</w:t>
            </w:r>
          </w:p>
          <w:p w14:paraId="2D4BAA32">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3DF63761">
            <w:pP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本项目涉及预付款，预付款比例为</w:t>
            </w:r>
            <w:r>
              <w:rPr>
                <w:rFonts w:hint="eastAsia" w:ascii="宋体" w:hAnsi="宋体" w:cs="宋体"/>
                <w:color w:val="auto"/>
                <w:highlight w:val="none"/>
                <w:u w:val="single"/>
                <w:lang w:val="en-US" w:eastAsia="zh-CN"/>
              </w:rPr>
              <w:t xml:space="preserve">  40  %</w:t>
            </w:r>
          </w:p>
        </w:tc>
      </w:tr>
      <w:tr w14:paraId="588A9B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2A00F1DB">
            <w:pPr>
              <w:snapToGrid w:val="0"/>
              <w:jc w:val="center"/>
              <w:rPr>
                <w:rFonts w:hint="eastAsia" w:ascii="宋体" w:hAnsi="宋体" w:cs="宋体"/>
                <w:snapToGrid w:val="0"/>
                <w:color w:val="auto"/>
                <w:kern w:val="0"/>
                <w:highlight w:val="none"/>
              </w:rPr>
            </w:pPr>
          </w:p>
        </w:tc>
        <w:tc>
          <w:tcPr>
            <w:tcW w:w="1800" w:type="dxa"/>
            <w:vMerge w:val="continue"/>
            <w:vAlign w:val="center"/>
          </w:tcPr>
          <w:p w14:paraId="3C1F3BA7">
            <w:pPr>
              <w:snapToGrid w:val="0"/>
              <w:jc w:val="center"/>
              <w:rPr>
                <w:rFonts w:hint="eastAsia" w:ascii="宋体" w:hAnsi="宋体" w:cs="宋体"/>
                <w:color w:val="auto"/>
                <w:highlight w:val="none"/>
              </w:rPr>
            </w:pPr>
          </w:p>
        </w:tc>
        <w:tc>
          <w:tcPr>
            <w:tcW w:w="6682" w:type="dxa"/>
            <w:tcBorders>
              <w:top w:val="single" w:color="auto" w:sz="4" w:space="0"/>
            </w:tcBorders>
            <w:vAlign w:val="center"/>
          </w:tcPr>
          <w:p w14:paraId="41EA986D">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4F98118E">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04FC3E09">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310A6764">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6267F7D4">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7BABD5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9C8E59">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3</w:t>
            </w:r>
          </w:p>
        </w:tc>
        <w:tc>
          <w:tcPr>
            <w:tcW w:w="1800" w:type="dxa"/>
            <w:vAlign w:val="center"/>
          </w:tcPr>
          <w:p w14:paraId="6F8881E5">
            <w:pPr>
              <w:snapToGrid w:val="0"/>
              <w:jc w:val="center"/>
              <w:rPr>
                <w:rFonts w:ascii="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3E14FFD3">
            <w:pPr>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、查询渠道：信用中国（网址：</w:t>
            </w:r>
            <w:r>
              <w:rPr>
                <w:rFonts w:ascii="宋体" w:hAnsi="宋体" w:cs="宋体"/>
                <w:color w:val="auto"/>
                <w:highlight w:val="none"/>
              </w:rPr>
              <w:t>http://www.creditchina.gov.cn</w:t>
            </w:r>
            <w:r>
              <w:rPr>
                <w:rFonts w:hint="eastAsia" w:ascii="宋体" w:hAnsi="宋体" w:cs="宋体"/>
                <w:color w:val="auto"/>
                <w:highlight w:val="none"/>
              </w:rPr>
              <w:t>）、中国政府采购网</w:t>
            </w:r>
            <w:r>
              <w:rPr>
                <w:rFonts w:ascii="宋体" w:hAnsi="宋体" w:cs="宋体"/>
                <w:color w:val="auto"/>
                <w:highlight w:val="none"/>
              </w:rPr>
              <w:t>(</w:t>
            </w:r>
            <w:r>
              <w:rPr>
                <w:rFonts w:hint="eastAsia" w:ascii="宋体" w:hAnsi="宋体" w:cs="宋体"/>
                <w:color w:val="auto"/>
                <w:highlight w:val="none"/>
              </w:rPr>
              <w:t>网址：</w:t>
            </w:r>
            <w:r>
              <w:rPr>
                <w:rFonts w:ascii="宋体" w:hAnsi="宋体" w:cs="宋体"/>
                <w:color w:val="auto"/>
                <w:highlight w:val="none"/>
              </w:rPr>
              <w:t>http://www.ccgp.gov.cn</w:t>
            </w:r>
            <w:r>
              <w:rPr>
                <w:rFonts w:hint="eastAsia" w:ascii="宋体" w:hAnsi="宋体" w:cs="宋体"/>
                <w:color w:val="auto"/>
                <w:highlight w:val="none"/>
              </w:rPr>
              <w:t>）。</w:t>
            </w:r>
          </w:p>
          <w:p w14:paraId="00C10901">
            <w:pPr>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、截止时点：开标后评标前。</w:t>
            </w:r>
          </w:p>
          <w:p w14:paraId="2151D8E6">
            <w:pPr>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、信用信息查询记录和证据留存的具体方式：由采购组织机构在规定查询时间内打印信用信息查询记录并归入项目档案。</w:t>
            </w:r>
          </w:p>
          <w:p w14:paraId="7BE1670B">
            <w:pPr>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7D2B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DEAA555">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4</w:t>
            </w:r>
          </w:p>
        </w:tc>
        <w:tc>
          <w:tcPr>
            <w:tcW w:w="1800" w:type="dxa"/>
            <w:vAlign w:val="center"/>
          </w:tcPr>
          <w:p w14:paraId="07371919">
            <w:pPr>
              <w:snapToGrid w:val="0"/>
              <w:jc w:val="center"/>
              <w:rPr>
                <w:rFonts w:ascii="宋体"/>
                <w:color w:val="auto"/>
                <w:highlight w:val="none"/>
              </w:rPr>
            </w:pPr>
            <w:r>
              <w:rPr>
                <w:rFonts w:hint="eastAsia" w:ascii="宋体" w:hAnsi="宋体" w:cs="宋体"/>
                <w:color w:val="auto"/>
                <w:highlight w:val="none"/>
              </w:rPr>
              <w:t>金融支持</w:t>
            </w:r>
          </w:p>
        </w:tc>
        <w:tc>
          <w:tcPr>
            <w:tcW w:w="6682" w:type="dxa"/>
            <w:vAlign w:val="center"/>
          </w:tcPr>
          <w:p w14:paraId="7D79E670">
            <w:pPr>
              <w:ind w:firstLine="420" w:firstLineChars="200"/>
              <w:rPr>
                <w:rFonts w:ascii="宋体"/>
                <w:color w:val="auto"/>
                <w:highlight w:val="none"/>
              </w:rPr>
            </w:pPr>
            <w:r>
              <w:rPr>
                <w:rFonts w:hint="eastAsia" w:ascii="宋体" w:hAnsi="宋体" w:cs="宋体"/>
                <w:color w:val="auto"/>
                <w:highlight w:val="none"/>
              </w:rPr>
              <w:t>为支持和促进中小企业发展，进一步发挥政府采购政策功能，浙江省财政厅出台浙财采监〔</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 xml:space="preserve">3 </w:t>
            </w:r>
            <w:r>
              <w:rPr>
                <w:rFonts w:hint="eastAsia" w:ascii="宋体" w:hAnsi="宋体" w:cs="宋体"/>
                <w:color w:val="auto"/>
                <w:highlight w:val="none"/>
              </w:rPr>
              <w:t>号文件，企业若有融资意向，可</w:t>
            </w:r>
            <w:r>
              <w:rPr>
                <w:rFonts w:hint="eastAsia" w:ascii="宋体" w:hAnsi="宋体" w:cs="宋体"/>
                <w:color w:val="auto"/>
                <w:highlight w:val="none"/>
                <w:lang w:eastAsia="zh-CN"/>
              </w:rPr>
              <w:t>登录</w:t>
            </w:r>
            <w:r>
              <w:rPr>
                <w:rFonts w:hint="eastAsia" w:ascii="宋体" w:hAnsi="宋体" w:cs="宋体"/>
                <w:color w:val="auto"/>
                <w:highlight w:val="none"/>
              </w:rPr>
              <w:t>政采云平台融资服务（</w:t>
            </w:r>
            <w:r>
              <w:rPr>
                <w:rFonts w:ascii="宋体" w:hAnsi="宋体" w:cs="宋体"/>
                <w:color w:val="auto"/>
                <w:highlight w:val="none"/>
              </w:rPr>
              <w:t>https://jinrong.zcygov.cn/</w:t>
            </w:r>
            <w:r>
              <w:rPr>
                <w:rFonts w:hint="eastAsia" w:ascii="宋体" w:hAnsi="宋体" w:cs="宋体"/>
                <w:color w:val="auto"/>
                <w:highlight w:val="none"/>
              </w:rPr>
              <w:t>），查看相应融资政策文件及各相关银行服务方案。</w:t>
            </w:r>
          </w:p>
        </w:tc>
      </w:tr>
      <w:tr w14:paraId="38B5B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780BD050">
            <w:pPr>
              <w:snapToGrid w:val="0"/>
              <w:jc w:val="center"/>
              <w:rPr>
                <w:rFonts w:hint="eastAsia" w:ascii="宋体" w:eastAsia="宋体"/>
                <w:snapToGrid w:val="0"/>
                <w:color w:val="auto"/>
                <w:kern w:val="0"/>
                <w:highlight w:val="none"/>
                <w:lang w:eastAsia="zh-CN"/>
              </w:rPr>
            </w:pPr>
            <w:r>
              <w:rPr>
                <w:rFonts w:hint="eastAsia" w:ascii="宋体" w:hAnsi="宋体" w:cs="宋体"/>
                <w:snapToGrid w:val="0"/>
                <w:color w:val="auto"/>
                <w:kern w:val="0"/>
                <w:highlight w:val="none"/>
              </w:rPr>
              <w:t>2</w:t>
            </w:r>
            <w:r>
              <w:rPr>
                <w:rFonts w:hint="eastAsia" w:ascii="宋体" w:hAnsi="宋体" w:cs="宋体"/>
                <w:snapToGrid w:val="0"/>
                <w:color w:val="auto"/>
                <w:kern w:val="0"/>
                <w:highlight w:val="none"/>
                <w:lang w:val="en-US" w:eastAsia="zh-CN"/>
              </w:rPr>
              <w:t>5</w:t>
            </w:r>
          </w:p>
        </w:tc>
        <w:tc>
          <w:tcPr>
            <w:tcW w:w="1800" w:type="dxa"/>
            <w:tcBorders>
              <w:bottom w:val="double" w:color="auto" w:sz="4" w:space="0"/>
            </w:tcBorders>
            <w:vAlign w:val="center"/>
          </w:tcPr>
          <w:p w14:paraId="49393EE5">
            <w:pPr>
              <w:snapToGrid w:val="0"/>
              <w:jc w:val="center"/>
              <w:rPr>
                <w:rFonts w:ascii="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29E1447A">
            <w:pPr>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本磋商文件要求提供的身份证复印件皆需提供正反面，否则按不提供处理。</w:t>
            </w:r>
          </w:p>
          <w:p w14:paraId="1391775F">
            <w:pPr>
              <w:ind w:firstLine="420" w:firstLineChars="200"/>
              <w:rPr>
                <w:rFonts w:ascii="宋体"/>
                <w:b/>
                <w:bCs/>
                <w:color w:val="auto"/>
                <w:highlight w:val="none"/>
              </w:rPr>
            </w:pPr>
            <w:r>
              <w:rPr>
                <w:rFonts w:hint="eastAsia"/>
                <w:color w:val="auto"/>
                <w:highlight w:val="none"/>
                <w:lang w:val="en-US" w:eastAsia="zh-CN"/>
              </w:rPr>
              <w:t>2、本项目货物如涉及柴油动力移动源，柴油动力移动源应当符合低排放要求。</w:t>
            </w:r>
          </w:p>
        </w:tc>
      </w:tr>
    </w:tbl>
    <w:p w14:paraId="236E9F5B">
      <w:pPr>
        <w:pStyle w:val="4"/>
        <w:spacing w:line="360" w:lineRule="auto"/>
        <w:rPr>
          <w:rFonts w:ascii="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4728F15B">
      <w:pPr>
        <w:pStyle w:val="3"/>
        <w:numPr>
          <w:ilvl w:val="0"/>
          <w:numId w:val="8"/>
        </w:numPr>
        <w:spacing w:line="336" w:lineRule="auto"/>
        <w:jc w:val="center"/>
        <w:rPr>
          <w:rFonts w:hAnsi="宋体" w:cs="Times New Roman"/>
          <w:color w:val="auto"/>
          <w:highlight w:val="none"/>
        </w:rPr>
      </w:pPr>
      <w:r>
        <w:rPr>
          <w:rFonts w:hAnsi="宋体"/>
          <w:color w:val="auto"/>
          <w:highlight w:val="none"/>
        </w:rPr>
        <w:t xml:space="preserve"> </w:t>
      </w:r>
      <w:bookmarkStart w:id="11" w:name="_Toc25187"/>
      <w:bookmarkStart w:id="12" w:name="_Toc27280"/>
      <w:r>
        <w:rPr>
          <w:rFonts w:hint="eastAsia" w:hAnsi="宋体"/>
          <w:color w:val="auto"/>
          <w:highlight w:val="none"/>
        </w:rPr>
        <w:t>总则</w:t>
      </w:r>
      <w:bookmarkEnd w:id="11"/>
      <w:bookmarkEnd w:id="12"/>
    </w:p>
    <w:p w14:paraId="39DF8A13">
      <w:pPr>
        <w:spacing w:line="336" w:lineRule="auto"/>
        <w:ind w:firstLine="480" w:firstLineChars="200"/>
        <w:rPr>
          <w:color w:val="auto"/>
          <w:highlight w:val="none"/>
        </w:rPr>
      </w:pPr>
      <w:r>
        <w:rPr>
          <w:rFonts w:hint="eastAsia" w:cs="宋体"/>
          <w:color w:val="auto"/>
          <w:sz w:val="24"/>
          <w:szCs w:val="24"/>
          <w:highlight w:val="none"/>
        </w:rPr>
        <w:t>本次招标工作是按照《中华人民共和国政府采购法》、《中华人民共和国政府采购法实施条例》</w:t>
      </w:r>
      <w:r>
        <w:rPr>
          <w:rFonts w:hint="eastAsia" w:cs="宋体"/>
          <w:color w:val="auto"/>
          <w:sz w:val="24"/>
          <w:szCs w:val="24"/>
          <w:highlight w:val="none"/>
          <w:lang w:eastAsia="zh-CN"/>
        </w:rPr>
        <w:t>、</w:t>
      </w:r>
      <w:r>
        <w:rPr>
          <w:rFonts w:hint="eastAsia" w:cs="宋体"/>
          <w:color w:val="auto"/>
          <w:sz w:val="24"/>
          <w:szCs w:val="24"/>
          <w:highlight w:val="none"/>
        </w:rPr>
        <w:t>《政府采购竞争性磋商采购方式管理暂行办法》等相关法律、组织和实施，并由政府采购管理部门指导和监督。</w:t>
      </w:r>
    </w:p>
    <w:p w14:paraId="1349947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、适用范围</w:t>
      </w:r>
    </w:p>
    <w:p w14:paraId="53879A7A">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本次磋商工作仅适用于</w:t>
      </w:r>
      <w:r>
        <w:rPr>
          <w:rFonts w:hint="eastAsia" w:ascii="宋体" w:hAnsi="宋体" w:cs="宋体"/>
          <w:color w:val="auto"/>
          <w:sz w:val="24"/>
          <w:szCs w:val="24"/>
          <w:highlight w:val="none"/>
          <w:u w:val="single"/>
          <w:lang w:eastAsia="zh-CN"/>
        </w:rPr>
        <w:t>2025年大宗食品定点委托检验定点服务项目</w:t>
      </w:r>
      <w:r>
        <w:rPr>
          <w:rFonts w:hint="eastAsia" w:ascii="宋体" w:hAnsi="宋体" w:cs="宋体"/>
          <w:color w:val="auto"/>
          <w:sz w:val="24"/>
          <w:szCs w:val="24"/>
          <w:highlight w:val="none"/>
        </w:rPr>
        <w:t>。</w:t>
      </w:r>
    </w:p>
    <w:p w14:paraId="29CC770E">
      <w:pPr>
        <w:pStyle w:val="10"/>
        <w:spacing w:line="336" w:lineRule="auto"/>
        <w:ind w:firstLine="480" w:firstLineChars="200"/>
        <w:rPr>
          <w:color w:val="auto"/>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本项目采购方式采用竞争性磋商方式。</w:t>
      </w:r>
    </w:p>
    <w:p w14:paraId="798599B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、定义</w:t>
      </w:r>
    </w:p>
    <w:p w14:paraId="7628C9C6">
      <w:pPr>
        <w:spacing w:line="336"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采购人”系指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绍兴市上虞区市场监督管理局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。采购人委托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为本项目采购代理机构。</w:t>
      </w:r>
    </w:p>
    <w:p w14:paraId="1F9A1D1D">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“磋商供应商”系指响应本次采购，参加本次竞争性磋商的供应商。</w:t>
      </w:r>
    </w:p>
    <w:p w14:paraId="3AC6B375">
      <w:pPr>
        <w:spacing w:line="336"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45DFD2E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、采购项目概况</w:t>
      </w:r>
      <w:r>
        <w:rPr>
          <w:rFonts w:ascii="宋体"/>
          <w:b/>
          <w:bCs/>
          <w:color w:val="auto"/>
          <w:sz w:val="24"/>
          <w:szCs w:val="24"/>
          <w:highlight w:val="none"/>
        </w:rPr>
        <w:tab/>
      </w:r>
      <w:r>
        <w:rPr>
          <w:rFonts w:ascii="宋体"/>
          <w:b/>
          <w:bCs/>
          <w:color w:val="auto"/>
          <w:sz w:val="24"/>
          <w:szCs w:val="24"/>
          <w:highlight w:val="none"/>
        </w:rPr>
        <w:tab/>
      </w:r>
    </w:p>
    <w:p w14:paraId="1FF42052">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三</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部分。</w:t>
      </w:r>
    </w:p>
    <w:p w14:paraId="6737A4D8">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、合格的磋商供应商</w:t>
      </w:r>
    </w:p>
    <w:p w14:paraId="36415D92">
      <w:pPr>
        <w:spacing w:line="336" w:lineRule="auto"/>
        <w:ind w:firstLine="480" w:firstLineChars="200"/>
        <w:rPr>
          <w:rFonts w:ascii="宋体"/>
          <w:color w:val="auto"/>
          <w:sz w:val="24"/>
          <w:szCs w:val="24"/>
          <w:highlight w:val="none"/>
        </w:rPr>
      </w:pPr>
      <w:bookmarkStart w:id="13" w:name="_Toc209520993"/>
      <w:bookmarkStart w:id="14" w:name="_Toc197053926"/>
      <w:bookmarkStart w:id="15" w:name="_Toc204683265"/>
      <w:bookmarkStart w:id="16" w:name="_Toc197156227"/>
      <w:bookmarkStart w:id="17" w:name="_Toc197657950"/>
      <w:bookmarkStart w:id="18" w:name="_Toc208913145"/>
      <w:bookmarkStart w:id="19" w:name="_Toc197163261"/>
      <w:bookmarkStart w:id="20" w:name="_Toc209504018"/>
      <w:bookmarkStart w:id="21" w:name="_Toc209435242"/>
      <w:bookmarkStart w:id="22" w:name="_Toc211412066"/>
      <w:bookmarkStart w:id="23" w:name="_Toc193523219"/>
      <w:bookmarkStart w:id="24" w:name="_Toc207946571"/>
      <w:bookmarkStart w:id="25" w:name="_Toc208287611"/>
      <w:bookmarkStart w:id="26" w:name="_Toc193538208"/>
      <w:r>
        <w:rPr>
          <w:rFonts w:hint="eastAsia" w:ascii="宋体" w:hAnsi="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908C9F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、磋商费用</w:t>
      </w:r>
    </w:p>
    <w:p w14:paraId="4D387554">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28474A7F">
      <w:pPr>
        <w:pStyle w:val="3"/>
        <w:numPr>
          <w:ilvl w:val="0"/>
          <w:numId w:val="8"/>
        </w:numPr>
        <w:spacing w:line="336" w:lineRule="auto"/>
        <w:jc w:val="center"/>
        <w:rPr>
          <w:rFonts w:cs="Times New Roman"/>
          <w:color w:val="auto"/>
          <w:highlight w:val="none"/>
        </w:rPr>
      </w:pPr>
      <w:bookmarkStart w:id="27" w:name="_Toc32689"/>
      <w:bookmarkStart w:id="28" w:name="_Toc416992151"/>
      <w:bookmarkStart w:id="29" w:name="_Toc25923"/>
      <w:r>
        <w:rPr>
          <w:color w:val="auto"/>
          <w:highlight w:val="none"/>
        </w:rPr>
        <w:t xml:space="preserve"> </w:t>
      </w:r>
      <w:bookmarkStart w:id="30" w:name="_Toc11814"/>
      <w:bookmarkStart w:id="31" w:name="_Toc24818"/>
      <w:r>
        <w:rPr>
          <w:rFonts w:hint="eastAsia"/>
          <w:color w:val="auto"/>
          <w:highlight w:val="none"/>
        </w:rPr>
        <w:t>竞争性磋商文件</w:t>
      </w:r>
      <w:bookmarkEnd w:id="27"/>
      <w:bookmarkEnd w:id="28"/>
      <w:bookmarkEnd w:id="29"/>
      <w:bookmarkEnd w:id="30"/>
      <w:bookmarkEnd w:id="31"/>
    </w:p>
    <w:p w14:paraId="36D66FA0">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6</w:t>
      </w:r>
      <w:r>
        <w:rPr>
          <w:rFonts w:hint="eastAsia" w:ascii="宋体" w:hAnsi="宋体" w:cs="宋体"/>
          <w:b/>
          <w:bCs/>
          <w:color w:val="auto"/>
          <w:sz w:val="24"/>
          <w:szCs w:val="24"/>
          <w:highlight w:val="none"/>
        </w:rPr>
        <w:t>、磋商文件的组成</w:t>
      </w:r>
    </w:p>
    <w:p w14:paraId="50F8145B">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6.1</w:t>
      </w:r>
      <w:r>
        <w:rPr>
          <w:rFonts w:hint="eastAsia" w:ascii="宋体" w:hAnsi="宋体" w:cs="宋体"/>
          <w:color w:val="auto"/>
          <w:sz w:val="24"/>
          <w:szCs w:val="24"/>
          <w:highlight w:val="none"/>
        </w:rPr>
        <w:t>本磋商文件包括目录所示内容及所有按本须知发出的补充资料（如果有）。</w:t>
      </w:r>
    </w:p>
    <w:p w14:paraId="71E20F2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6.2</w:t>
      </w:r>
      <w:r>
        <w:rPr>
          <w:rFonts w:hint="eastAsia" w:ascii="宋体" w:hAnsi="宋体" w:cs="宋体"/>
          <w:color w:val="auto"/>
          <w:sz w:val="24"/>
          <w:szCs w:val="24"/>
          <w:highlight w:val="none"/>
        </w:rPr>
        <w:t>除上述所列内容外，采购人及采购代理机构的任何工作人员对磋商供应商所作的任何口头解释、介绍、答复，只能供磋商供应商参考，对采购人和磋商供应商无任何约束力。</w:t>
      </w:r>
    </w:p>
    <w:p w14:paraId="5FF4AC97">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磋商供应商应仔细阅读磋商文件的所有内容，按照文件要求提交响应文件，并保证所提交的全部资料的真实性。不按磋商文件的要求提供的响应文件和资料，可能导致磋商被拒绝。</w:t>
      </w:r>
    </w:p>
    <w:p w14:paraId="6B8A49E3">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6.4</w:t>
      </w:r>
      <w:r>
        <w:rPr>
          <w:rFonts w:hint="eastAsia" w:ascii="宋体" w:hAnsi="宋体" w:cs="宋体"/>
          <w:color w:val="auto"/>
          <w:sz w:val="24"/>
          <w:szCs w:val="24"/>
          <w:highlight w:val="none"/>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035A6089">
      <w:pPr>
        <w:adjustRightInd w:val="0"/>
        <w:spacing w:line="336"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7</w:t>
      </w:r>
      <w:r>
        <w:rPr>
          <w:rFonts w:hint="eastAsia" w:ascii="宋体" w:hAnsi="宋体" w:cs="宋体"/>
          <w:b/>
          <w:bCs/>
          <w:color w:val="auto"/>
          <w:sz w:val="24"/>
          <w:szCs w:val="24"/>
          <w:highlight w:val="none"/>
        </w:rPr>
        <w:t>、磋商文件的澄清与修改</w:t>
      </w:r>
    </w:p>
    <w:p w14:paraId="5E7C8DE2">
      <w:pPr>
        <w:pStyle w:val="12"/>
        <w:spacing w:line="336" w:lineRule="auto"/>
        <w:ind w:firstLine="480" w:firstLineChars="200"/>
        <w:rPr>
          <w:rFonts w:cs="Times New Roman"/>
          <w:color w:val="auto"/>
          <w:highlight w:val="none"/>
        </w:rPr>
      </w:pPr>
      <w:r>
        <w:rPr>
          <w:color w:val="auto"/>
          <w:highlight w:val="none"/>
        </w:rPr>
        <w:t>7.1</w:t>
      </w:r>
      <w:r>
        <w:rPr>
          <w:rFonts w:hint="eastAsia"/>
          <w:color w:val="auto"/>
          <w:highlight w:val="none"/>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5AAB72F4">
      <w:pPr>
        <w:pStyle w:val="12"/>
        <w:spacing w:line="336" w:lineRule="auto"/>
        <w:ind w:right="-252" w:rightChars="-120" w:firstLine="480" w:firstLineChars="200"/>
        <w:rPr>
          <w:rFonts w:cs="Times New Roman"/>
          <w:color w:val="auto"/>
          <w:highlight w:val="none"/>
        </w:rPr>
      </w:pPr>
      <w:r>
        <w:rPr>
          <w:color w:val="auto"/>
          <w:highlight w:val="none"/>
        </w:rPr>
        <w:t>7.2</w:t>
      </w:r>
      <w:r>
        <w:rPr>
          <w:rFonts w:hint="eastAsia"/>
          <w:color w:val="auto"/>
          <w:highlight w:val="none"/>
        </w:rPr>
        <w:t>磋商供应商要求解释或澄清的问题应以书面形式，并加盖公章、写明日期。</w:t>
      </w:r>
    </w:p>
    <w:p w14:paraId="5459C19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7.3</w:t>
      </w:r>
      <w:r>
        <w:rPr>
          <w:rFonts w:hint="eastAsia" w:ascii="宋体" w:hAnsi="宋体" w:cs="宋体"/>
          <w:color w:val="auto"/>
          <w:sz w:val="24"/>
          <w:szCs w:val="24"/>
          <w:highlight w:val="none"/>
        </w:rPr>
        <w:t>提交响应文件截止之日前，采购人、采购代理机构或者磋商小组可以对已发出的磋商文件进行必要的澄清或者修改，澄清或者修改的内容作为磋商文件的组成部分。</w:t>
      </w:r>
    </w:p>
    <w:p w14:paraId="071E4806">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rPr>
        <w:t>竞争性磋商文件的澄清修改文件及更正补充公告，请自行登录浙江政府采购网或绍兴市上虞区公共资源交易中心网站，在采购公告页面中下载。</w:t>
      </w:r>
    </w:p>
    <w:p w14:paraId="00178CC3">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rPr>
        <w:t>澄清或者修改的内容可能影响响应文件编制的，采购人、采购代理机构将在提交响应文件截止时间至少</w:t>
      </w:r>
      <w:r>
        <w:rPr>
          <w:rFonts w:ascii="宋体" w:hAnsi="宋体" w:cs="宋体"/>
          <w:color w:val="auto"/>
          <w:sz w:val="24"/>
          <w:szCs w:val="24"/>
          <w:highlight w:val="none"/>
        </w:rPr>
        <w:t>5</w:t>
      </w:r>
      <w:r>
        <w:rPr>
          <w:rFonts w:hint="eastAsia" w:ascii="宋体" w:hAnsi="宋体" w:cs="宋体"/>
          <w:color w:val="auto"/>
          <w:sz w:val="24"/>
          <w:szCs w:val="24"/>
          <w:highlight w:val="none"/>
        </w:rPr>
        <w:t>日前，以公告形式通知所有获取磋商文件的供应商；不足</w:t>
      </w:r>
      <w:r>
        <w:rPr>
          <w:rFonts w:ascii="宋体" w:hAnsi="宋体" w:cs="宋体"/>
          <w:color w:val="auto"/>
          <w:sz w:val="24"/>
          <w:szCs w:val="24"/>
          <w:highlight w:val="none"/>
        </w:rPr>
        <w:t>5</w:t>
      </w:r>
      <w:r>
        <w:rPr>
          <w:rFonts w:hint="eastAsia" w:ascii="宋体" w:hAnsi="宋体" w:cs="宋体"/>
          <w:color w:val="auto"/>
          <w:sz w:val="24"/>
          <w:szCs w:val="24"/>
          <w:highlight w:val="none"/>
        </w:rPr>
        <w:t>日的，采购人、采购代理机构可能会顺延提交首次响应文件截止时间。澄清或者修改的内容未对原磋商文件作出重大修改或不会影响响应文件编制的，递交首次响应文件截止时间不变。</w:t>
      </w:r>
    </w:p>
    <w:p w14:paraId="315238C5">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rPr>
        <w:t>竞争性磋商文件澄清、答复、修改、补充的内容为竞争性磋商文件的组成部分。</w:t>
      </w:r>
    </w:p>
    <w:p w14:paraId="1F89AA55">
      <w:pPr>
        <w:pStyle w:val="4"/>
        <w:spacing w:line="336" w:lineRule="auto"/>
        <w:rPr>
          <w:rFonts w:ascii="宋体"/>
          <w:color w:val="auto"/>
          <w:sz w:val="24"/>
          <w:szCs w:val="24"/>
          <w:highlight w:val="none"/>
        </w:rPr>
      </w:pPr>
      <w:r>
        <w:rPr>
          <w:rFonts w:ascii="宋体" w:hAnsi="宋体" w:cs="宋体"/>
          <w:color w:val="auto"/>
          <w:sz w:val="24"/>
          <w:szCs w:val="24"/>
          <w:highlight w:val="none"/>
        </w:rPr>
        <w:t>7.7</w:t>
      </w:r>
      <w:r>
        <w:rPr>
          <w:rFonts w:hint="eastAsia" w:ascii="宋体" w:hAnsi="宋体" w:cs="宋体"/>
          <w:color w:val="auto"/>
          <w:sz w:val="24"/>
          <w:szCs w:val="24"/>
          <w:highlight w:val="none"/>
        </w:rPr>
        <w:t>磋商文件发售截止日后，经采购人同意后购买磋商文件的磋商供应商不得对磋商文件和补充文件提出答疑或质疑。</w:t>
      </w:r>
    </w:p>
    <w:p w14:paraId="38A2648B">
      <w:pPr>
        <w:pStyle w:val="3"/>
        <w:numPr>
          <w:ilvl w:val="0"/>
          <w:numId w:val="8"/>
        </w:numPr>
        <w:spacing w:line="336" w:lineRule="auto"/>
        <w:jc w:val="center"/>
        <w:rPr>
          <w:rFonts w:cs="Times New Roman"/>
          <w:color w:val="auto"/>
          <w:highlight w:val="none"/>
        </w:rPr>
      </w:pPr>
      <w:bookmarkStart w:id="32" w:name="_Toc26603"/>
      <w:bookmarkStart w:id="33" w:name="_Toc7126"/>
      <w:bookmarkStart w:id="34" w:name="_Toc6273"/>
      <w:bookmarkStart w:id="35" w:name="_Toc26027"/>
      <w:bookmarkStart w:id="36" w:name="_Toc6457"/>
      <w:bookmarkStart w:id="37" w:name="_Toc1202"/>
      <w:bookmarkStart w:id="38" w:name="_Toc8860"/>
      <w:bookmarkStart w:id="39" w:name="_Toc1828"/>
      <w:bookmarkStart w:id="40" w:name="_Toc23135"/>
      <w:bookmarkStart w:id="41" w:name="_Toc1729"/>
      <w:bookmarkStart w:id="42" w:name="_Toc10810"/>
      <w:bookmarkStart w:id="43" w:name="_Toc11692"/>
      <w:bookmarkStart w:id="44" w:name="_Toc14650"/>
      <w:bookmarkStart w:id="45" w:name="_Toc31748"/>
      <w:bookmarkStart w:id="46" w:name="_Toc24622"/>
      <w:bookmarkStart w:id="47" w:name="_Toc18702"/>
      <w:bookmarkStart w:id="48" w:name="_Toc391298957"/>
      <w:bookmarkStart w:id="49" w:name="_Toc6079"/>
      <w:bookmarkStart w:id="50" w:name="_Toc11093"/>
      <w:bookmarkStart w:id="51" w:name="_Toc11669"/>
      <w:bookmarkStart w:id="52" w:name="_Toc10669"/>
      <w:bookmarkStart w:id="53" w:name="_Toc23975"/>
      <w:r>
        <w:rPr>
          <w:color w:val="auto"/>
          <w:highlight w:val="none"/>
        </w:rPr>
        <w:t xml:space="preserve"> </w:t>
      </w:r>
      <w:bookmarkStart w:id="54" w:name="_Toc11515"/>
      <w:bookmarkStart w:id="55" w:name="_Toc12700"/>
      <w:r>
        <w:rPr>
          <w:rFonts w:hint="eastAsia"/>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7A7205A">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、要求</w:t>
      </w:r>
    </w:p>
    <w:p w14:paraId="7407F35C">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0DEFA4C0">
      <w:pPr>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8.2</w:t>
      </w:r>
      <w:r>
        <w:rPr>
          <w:rFonts w:hint="eastAsia" w:ascii="宋体" w:hAnsi="宋体" w:cs="宋体"/>
          <w:color w:val="auto"/>
          <w:sz w:val="24"/>
          <w:szCs w:val="24"/>
          <w:highlight w:val="none"/>
        </w:rPr>
        <w:t>报价</w:t>
      </w:r>
    </w:p>
    <w:p w14:paraId="7B8B6720">
      <w:pPr>
        <w:spacing w:line="336" w:lineRule="auto"/>
        <w:ind w:firstLine="480" w:firstLineChars="200"/>
        <w:rPr>
          <w:rFonts w:ascii="宋体"/>
          <w:b/>
          <w:bCs/>
          <w:color w:val="auto"/>
          <w:sz w:val="24"/>
          <w:szCs w:val="24"/>
          <w:highlight w:val="none"/>
          <w:shd w:val="clear" w:color="FFFFFF" w:fill="D9D9D9"/>
        </w:rPr>
      </w:pPr>
      <w:r>
        <w:rPr>
          <w:rFonts w:ascii="宋体" w:hAnsi="宋体" w:cs="宋体"/>
          <w:color w:val="auto"/>
          <w:sz w:val="24"/>
          <w:szCs w:val="24"/>
          <w:highlight w:val="none"/>
        </w:rPr>
        <w:t>8.2.1</w:t>
      </w:r>
      <w:r>
        <w:rPr>
          <w:rFonts w:hint="eastAsia" w:ascii="宋体" w:hAnsi="宋体" w:cs="宋体"/>
          <w:color w:val="auto"/>
          <w:sz w:val="24"/>
          <w:szCs w:val="24"/>
          <w:highlight w:val="none"/>
        </w:rPr>
        <w:t>本次报价非一次性报价，报价币种为人民币。在磋商后根据磋商情况（包括细化采购方案和要求，增补部分采购内容等），供应商须二次报价（最终报价），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21F2DD04">
      <w:pPr>
        <w:pStyle w:val="58"/>
        <w:tabs>
          <w:tab w:val="left" w:pos="0"/>
        </w:tabs>
        <w:spacing w:line="336" w:lineRule="auto"/>
        <w:ind w:firstLine="480"/>
        <w:rPr>
          <w:rFonts w:ascii="宋体"/>
          <w:color w:val="auto"/>
          <w:highlight w:val="none"/>
          <w:u w:val="single"/>
        </w:rPr>
      </w:pPr>
      <w:r>
        <w:rPr>
          <w:rFonts w:ascii="宋体" w:hAnsi="宋体" w:cs="宋体"/>
          <w:color w:val="auto"/>
          <w:highlight w:val="none"/>
          <w:u w:val="none"/>
        </w:rPr>
        <w:t>8.2.2</w:t>
      </w:r>
      <w:r>
        <w:rPr>
          <w:rFonts w:hint="eastAsia" w:ascii="宋体" w:hAnsi="宋体" w:cs="宋体"/>
          <w:color w:val="auto"/>
          <w:highlight w:val="none"/>
          <w:u w:val="single"/>
        </w:rPr>
        <w:t>投标报价应包含项目所需全部服务，不得缺漏，是履行合同的最终价格</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包括但不限于抽检人员差旅费（含交通费、住宿费、出差伙食补助费）</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机械、易耗抽样工具购置费、检测费、材料费、运输费、样品购买费用、招标代理费、</w:t>
      </w:r>
      <w:r>
        <w:rPr>
          <w:rFonts w:hint="eastAsia" w:ascii="宋体" w:hAnsi="宋体" w:cs="宋体"/>
          <w:color w:val="auto"/>
          <w:highlight w:val="none"/>
          <w:u w:val="single"/>
          <w:lang w:eastAsia="zh-CN"/>
        </w:rPr>
        <w:t>税费等一切费用。</w:t>
      </w:r>
      <w:r>
        <w:rPr>
          <w:rFonts w:hint="eastAsia" w:cs="宋体"/>
          <w:color w:val="auto"/>
          <w:highlight w:val="none"/>
        </w:rPr>
        <w:t>投标报价为供应商所能承受的最低、最终报价，供应商不得再要求追加任何费用。</w:t>
      </w:r>
    </w:p>
    <w:p w14:paraId="414856BA">
      <w:pPr>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7CBDA65A">
      <w:pPr>
        <w:spacing w:line="336" w:lineRule="auto"/>
        <w:ind w:firstLine="480" w:firstLineChars="200"/>
        <w:rPr>
          <w:rFonts w:ascii="宋体"/>
          <w:color w:val="auto"/>
          <w:highlight w:val="none"/>
        </w:rPr>
      </w:pPr>
      <w:r>
        <w:rPr>
          <w:rFonts w:ascii="宋体" w:hAnsi="宋体" w:cs="宋体"/>
          <w:color w:val="auto"/>
          <w:sz w:val="24"/>
          <w:szCs w:val="24"/>
          <w:highlight w:val="none"/>
        </w:rPr>
        <w:t>8.2.3</w:t>
      </w:r>
      <w:r>
        <w:rPr>
          <w:rFonts w:hint="eastAsia" w:ascii="宋体" w:hAnsi="宋体" w:cs="宋体"/>
          <w:color w:val="auto"/>
          <w:sz w:val="24"/>
          <w:szCs w:val="24"/>
          <w:highlight w:val="none"/>
        </w:rPr>
        <w:t>供应商的报价作为供应商计算单价或总价的依据，应是完成技术文件中的所有要求，不得以任何理由予以重复，供应商对报价若有说明应在报价一览表备注处注明。任何有选择的报价方案及价格将不予接受。</w:t>
      </w:r>
    </w:p>
    <w:p w14:paraId="2EFE2A03">
      <w:pPr>
        <w:pStyle w:val="16"/>
        <w:spacing w:line="336" w:lineRule="auto"/>
        <w:ind w:firstLine="482" w:firstLineChars="200"/>
        <w:rPr>
          <w:rFonts w:hAnsi="宋体" w:cs="Times New Roman"/>
          <w:b/>
          <w:bCs/>
          <w:color w:val="auto"/>
          <w:sz w:val="24"/>
          <w:szCs w:val="24"/>
          <w:highlight w:val="none"/>
          <w:u w:val="single"/>
        </w:rPr>
      </w:pPr>
      <w:r>
        <w:rPr>
          <w:rFonts w:hAnsi="宋体"/>
          <w:b/>
          <w:bCs/>
          <w:color w:val="auto"/>
          <w:sz w:val="24"/>
          <w:szCs w:val="24"/>
          <w:highlight w:val="none"/>
        </w:rPr>
        <w:t>9</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w:t>
      </w:r>
      <w:r>
        <w:rPr>
          <w:rFonts w:hAnsi="宋体"/>
          <w:b/>
          <w:bCs/>
          <w:color w:val="auto"/>
          <w:sz w:val="24"/>
          <w:szCs w:val="24"/>
          <w:highlight w:val="none"/>
          <w:u w:val="single"/>
        </w:rPr>
        <w:t>-</w:t>
      </w:r>
      <w:r>
        <w:rPr>
          <w:rFonts w:hint="eastAsia" w:hAnsi="宋体"/>
          <w:b/>
          <w:bCs/>
          <w:color w:val="auto"/>
          <w:sz w:val="24"/>
          <w:szCs w:val="24"/>
          <w:highlight w:val="none"/>
          <w:u w:val="single"/>
        </w:rPr>
        <w:t>政府采购项目电子交易操作指南》进行操作：</w:t>
      </w:r>
      <w:r>
        <w:rPr>
          <w:rFonts w:hAnsi="宋体"/>
          <w:b/>
          <w:bCs/>
          <w:color w:val="auto"/>
          <w:sz w:val="24"/>
          <w:szCs w:val="24"/>
          <w:highlight w:val="none"/>
          <w:u w:val="single"/>
        </w:rPr>
        <w:t>https://help.zcygov.cn/web/site_2/2018/12-28/2573.html</w:t>
      </w:r>
      <w:r>
        <w:rPr>
          <w:rFonts w:hint="eastAsia" w:hAnsi="宋体"/>
          <w:b/>
          <w:bCs/>
          <w:color w:val="auto"/>
          <w:sz w:val="24"/>
          <w:szCs w:val="24"/>
          <w:highlight w:val="none"/>
          <w:u w:val="single"/>
        </w:rPr>
        <w:t>）</w:t>
      </w:r>
    </w:p>
    <w:p w14:paraId="2D3E265C">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响应文件应当包括以下主要内容：资格文件、商务技术文件、报价文件。</w:t>
      </w:r>
    </w:p>
    <w:p w14:paraId="252F60F0">
      <w:pPr>
        <w:pStyle w:val="58"/>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资格文件包括以下内容：</w:t>
      </w:r>
    </w:p>
    <w:p w14:paraId="772CEB61">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3AAEE86D">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rPr>
        <w:t>营业执照</w:t>
      </w:r>
      <w:r>
        <w:rPr>
          <w:rFonts w:ascii="宋体" w:hAnsi="宋体" w:cs="宋体"/>
          <w:color w:val="auto"/>
          <w:highlight w:val="none"/>
        </w:rPr>
        <w:t>(</w:t>
      </w:r>
      <w:r>
        <w:rPr>
          <w:rFonts w:hint="eastAsia" w:ascii="宋体" w:hAnsi="宋体" w:cs="宋体"/>
          <w:color w:val="auto"/>
          <w:highlight w:val="none"/>
        </w:rPr>
        <w:t>或事业法人登记证或其他工商等登记证明材料</w:t>
      </w:r>
      <w:r>
        <w:rPr>
          <w:rFonts w:ascii="宋体" w:hAnsi="宋体" w:cs="宋体"/>
          <w:color w:val="auto"/>
          <w:highlight w:val="none"/>
        </w:rPr>
        <w:t>)</w:t>
      </w:r>
      <w:r>
        <w:rPr>
          <w:rFonts w:hint="eastAsia" w:ascii="宋体" w:hAnsi="宋体" w:cs="宋体"/>
          <w:color w:val="auto"/>
          <w:highlight w:val="none"/>
        </w:rPr>
        <w:t>复印件、税务登记证</w:t>
      </w:r>
      <w:r>
        <w:rPr>
          <w:rFonts w:ascii="宋体" w:hAnsi="宋体" w:cs="宋体"/>
          <w:color w:val="auto"/>
          <w:highlight w:val="none"/>
        </w:rPr>
        <w:t>(</w:t>
      </w:r>
      <w:r>
        <w:rPr>
          <w:rFonts w:hint="eastAsia" w:ascii="宋体" w:hAnsi="宋体" w:cs="宋体"/>
          <w:color w:val="auto"/>
          <w:highlight w:val="none"/>
        </w:rPr>
        <w:t>或其它缴纳证明材料</w:t>
      </w:r>
      <w:r>
        <w:rPr>
          <w:rFonts w:ascii="宋体" w:hAnsi="宋体" w:cs="宋体"/>
          <w:color w:val="auto"/>
          <w:highlight w:val="none"/>
        </w:rPr>
        <w:t>)</w:t>
      </w:r>
      <w:r>
        <w:rPr>
          <w:rFonts w:hint="eastAsia" w:ascii="宋体" w:hAnsi="宋体" w:cs="宋体"/>
          <w:color w:val="auto"/>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1C80A50D">
      <w:pPr>
        <w:pStyle w:val="58"/>
        <w:spacing w:before="0" w:line="336" w:lineRule="auto"/>
        <w:ind w:firstLine="480"/>
        <w:rPr>
          <w:rFonts w:ascii="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A5DFE61">
      <w:pPr>
        <w:pStyle w:val="58"/>
        <w:numPr>
          <w:ilvl w:val="0"/>
          <w:numId w:val="10"/>
        </w:numPr>
        <w:spacing w:before="0" w:line="336" w:lineRule="auto"/>
        <w:ind w:firstLine="480"/>
        <w:rPr>
          <w:rFonts w:hint="eastAsia"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58964361">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rPr>
        <w:t>投标人承诺函（格式见附件）</w:t>
      </w:r>
      <w:r>
        <w:rPr>
          <w:rFonts w:hint="eastAsia" w:ascii="宋体" w:hAnsi="宋体" w:cs="宋体"/>
          <w:color w:val="auto"/>
          <w:highlight w:val="none"/>
          <w:lang w:eastAsia="zh-CN"/>
        </w:rPr>
        <w:t>；</w:t>
      </w:r>
    </w:p>
    <w:p w14:paraId="7366FEC4">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中小企业声明函（格式见附件）；</w:t>
      </w:r>
    </w:p>
    <w:p w14:paraId="02F14406">
      <w:pPr>
        <w:pStyle w:val="58"/>
        <w:numPr>
          <w:ilvl w:val="0"/>
          <w:numId w:val="10"/>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残疾人福利性单位声明函(如有)（格式见附件）；</w:t>
      </w:r>
    </w:p>
    <w:p w14:paraId="55798EDB">
      <w:pPr>
        <w:pStyle w:val="58"/>
        <w:numPr>
          <w:ilvl w:val="0"/>
          <w:numId w:val="10"/>
        </w:numPr>
        <w:spacing w:before="0" w:line="336" w:lineRule="auto"/>
        <w:ind w:firstLine="480"/>
        <w:rPr>
          <w:rFonts w:ascii="宋体"/>
          <w:color w:val="auto"/>
          <w:highlight w:val="none"/>
        </w:rPr>
      </w:pPr>
      <w:r>
        <w:rPr>
          <w:rFonts w:hint="eastAsia" w:ascii="宋体" w:hAnsi="宋体" w:cs="宋体"/>
          <w:color w:val="auto"/>
          <w:highlight w:val="none"/>
          <w:lang w:val="en-US" w:eastAsia="zh-CN"/>
        </w:rPr>
        <w:t>监狱企业证明文件(如有)（格式见附件）。</w:t>
      </w:r>
    </w:p>
    <w:p w14:paraId="77E70D22">
      <w:pPr>
        <w:pStyle w:val="58"/>
        <w:numPr>
          <w:ilvl w:val="0"/>
          <w:numId w:val="9"/>
        </w:numPr>
        <w:spacing w:before="0" w:line="336" w:lineRule="auto"/>
        <w:ind w:firstLine="480"/>
        <w:rPr>
          <w:rFonts w:ascii="宋体"/>
          <w:color w:val="auto"/>
          <w:highlight w:val="none"/>
        </w:rPr>
      </w:pPr>
      <w:r>
        <w:rPr>
          <w:rFonts w:hint="eastAsia" w:ascii="宋体" w:hAnsi="宋体" w:cs="宋体"/>
          <w:color w:val="auto"/>
          <w:highlight w:val="none"/>
          <w:lang w:val="en-US" w:eastAsia="zh-CN"/>
        </w:rPr>
        <w:t>商务</w:t>
      </w:r>
      <w:r>
        <w:rPr>
          <w:rFonts w:hint="eastAsia" w:ascii="宋体" w:hAnsi="宋体" w:cs="宋体"/>
          <w:color w:val="auto"/>
          <w:highlight w:val="none"/>
        </w:rPr>
        <w:t>技术文件，本次磋商需要供应商提供以下项所列的技术文件：</w:t>
      </w:r>
    </w:p>
    <w:p w14:paraId="323F1762">
      <w:pPr>
        <w:pStyle w:val="58"/>
        <w:numPr>
          <w:ilvl w:val="0"/>
          <w:numId w:val="11"/>
        </w:numPr>
        <w:spacing w:before="0" w:line="336" w:lineRule="auto"/>
        <w:ind w:firstLine="480"/>
        <w:rPr>
          <w:rFonts w:hint="eastAsia" w:ascii="宋体"/>
          <w:color w:val="auto"/>
          <w:highlight w:val="none"/>
        </w:rPr>
      </w:pPr>
      <w:r>
        <w:rPr>
          <w:rFonts w:hint="eastAsia" w:ascii="宋体"/>
          <w:color w:val="auto"/>
          <w:highlight w:val="none"/>
        </w:rPr>
        <w:t>评分对应表（格式见附件，主要用于评委对应评分内容）</w:t>
      </w:r>
      <w:r>
        <w:rPr>
          <w:rFonts w:hint="eastAsia" w:ascii="宋体"/>
          <w:color w:val="auto"/>
          <w:highlight w:val="none"/>
          <w:lang w:eastAsia="zh-CN"/>
        </w:rPr>
        <w:t>；</w:t>
      </w:r>
    </w:p>
    <w:p w14:paraId="0CAF5275">
      <w:pPr>
        <w:pStyle w:val="58"/>
        <w:numPr>
          <w:ilvl w:val="0"/>
          <w:numId w:val="11"/>
        </w:numPr>
        <w:spacing w:before="0" w:line="336" w:lineRule="auto"/>
        <w:ind w:firstLine="480"/>
        <w:rPr>
          <w:rFonts w:hint="eastAsia" w:ascii="宋体"/>
          <w:color w:val="auto"/>
          <w:highlight w:val="none"/>
        </w:rPr>
      </w:pPr>
      <w:r>
        <w:rPr>
          <w:rFonts w:hint="eastAsia" w:ascii="宋体"/>
          <w:color w:val="auto"/>
          <w:highlight w:val="none"/>
        </w:rPr>
        <w:t>供应商商务技术文件中资信分自评表（格式见附件）；</w:t>
      </w:r>
    </w:p>
    <w:p w14:paraId="1C7994D1">
      <w:pPr>
        <w:pStyle w:val="58"/>
        <w:numPr>
          <w:ilvl w:val="0"/>
          <w:numId w:val="11"/>
        </w:numPr>
        <w:spacing w:before="0" w:line="336" w:lineRule="auto"/>
        <w:ind w:firstLine="480"/>
        <w:rPr>
          <w:rFonts w:hint="eastAsia" w:ascii="宋体"/>
          <w:color w:val="auto"/>
          <w:highlight w:val="none"/>
        </w:rPr>
      </w:pPr>
      <w:r>
        <w:rPr>
          <w:rFonts w:hint="eastAsia" w:ascii="宋体"/>
          <w:color w:val="auto"/>
          <w:highlight w:val="none"/>
        </w:rPr>
        <w:t>磋商项目明细清单（格式见附件）；</w:t>
      </w:r>
    </w:p>
    <w:p w14:paraId="3C248EA7">
      <w:pPr>
        <w:pStyle w:val="58"/>
        <w:numPr>
          <w:ilvl w:val="0"/>
          <w:numId w:val="11"/>
        </w:numPr>
        <w:spacing w:before="0" w:line="336" w:lineRule="auto"/>
        <w:ind w:firstLine="480"/>
        <w:rPr>
          <w:rFonts w:hint="eastAsia" w:ascii="宋体"/>
          <w:color w:val="auto"/>
          <w:highlight w:val="none"/>
        </w:rPr>
      </w:pPr>
      <w:r>
        <w:rPr>
          <w:rFonts w:hint="eastAsia" w:ascii="宋体"/>
          <w:color w:val="auto"/>
          <w:highlight w:val="none"/>
        </w:rPr>
        <w:t>技术响应及建议表（格式见附件）；</w:t>
      </w:r>
    </w:p>
    <w:p w14:paraId="6F991D8C">
      <w:pPr>
        <w:pStyle w:val="58"/>
        <w:numPr>
          <w:ilvl w:val="0"/>
          <w:numId w:val="11"/>
        </w:numPr>
        <w:spacing w:before="0" w:line="336" w:lineRule="auto"/>
        <w:ind w:firstLine="480"/>
        <w:rPr>
          <w:rFonts w:ascii="宋体"/>
          <w:color w:val="auto"/>
          <w:highlight w:val="none"/>
        </w:rPr>
      </w:pPr>
      <w:r>
        <w:rPr>
          <w:rFonts w:hint="eastAsia" w:ascii="宋体"/>
          <w:color w:val="auto"/>
          <w:highlight w:val="none"/>
        </w:rPr>
        <w:t>商务响应表（格式见附件）；</w:t>
      </w:r>
    </w:p>
    <w:p w14:paraId="082D1EC0">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项目理解；</w:t>
      </w:r>
    </w:p>
    <w:p w14:paraId="240D03A0">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技术服务方案；</w:t>
      </w:r>
    </w:p>
    <w:p w14:paraId="5A84C512">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应急处置方案；</w:t>
      </w:r>
    </w:p>
    <w:p w14:paraId="12776FAB">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固定工作场所；</w:t>
      </w:r>
    </w:p>
    <w:p w14:paraId="085D5914">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拟投入设备情况；</w:t>
      </w:r>
    </w:p>
    <w:p w14:paraId="02C5B1B3">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项目组人员配置；</w:t>
      </w:r>
    </w:p>
    <w:p w14:paraId="190FA559">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管理制度；</w:t>
      </w:r>
    </w:p>
    <w:p w14:paraId="5557E236">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质量保障措施及服务承诺；</w:t>
      </w:r>
    </w:p>
    <w:p w14:paraId="3408A176">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售后服务；</w:t>
      </w:r>
    </w:p>
    <w:p w14:paraId="0080D2B5">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供应商业绩；</w:t>
      </w:r>
    </w:p>
    <w:p w14:paraId="5794662D">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认证证书；</w:t>
      </w:r>
    </w:p>
    <w:p w14:paraId="51C3BFE7">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供应商实力；</w:t>
      </w:r>
    </w:p>
    <w:p w14:paraId="530475A2">
      <w:pPr>
        <w:pStyle w:val="58"/>
        <w:numPr>
          <w:ilvl w:val="0"/>
          <w:numId w:val="11"/>
        </w:numPr>
        <w:spacing w:before="0" w:line="336" w:lineRule="auto"/>
        <w:ind w:firstLine="480"/>
        <w:rPr>
          <w:rFonts w:hint="eastAsia" w:ascii="宋体" w:hAnsi="宋体" w:cs="宋体"/>
          <w:color w:val="auto"/>
          <w:highlight w:val="none"/>
          <w:lang w:val="en-US" w:eastAsia="zh-CN"/>
        </w:rPr>
      </w:pPr>
      <w:r>
        <w:rPr>
          <w:rFonts w:hint="eastAsia" w:ascii="宋体" w:hAnsi="宋体" w:cs="宋体"/>
          <w:color w:val="auto"/>
          <w:highlight w:val="none"/>
          <w:lang w:val="en-US" w:eastAsia="zh-CN"/>
        </w:rPr>
        <w:t>项目组人员清单（格式见附件）；</w:t>
      </w:r>
    </w:p>
    <w:p w14:paraId="40F68507">
      <w:pPr>
        <w:pStyle w:val="58"/>
        <w:numPr>
          <w:ilvl w:val="0"/>
          <w:numId w:val="11"/>
        </w:numPr>
        <w:spacing w:before="0" w:line="336" w:lineRule="auto"/>
        <w:ind w:firstLine="480"/>
        <w:rPr>
          <w:rFonts w:ascii="宋体" w:hAnsi="宋体" w:cs="宋体"/>
          <w:color w:val="auto"/>
          <w:highlight w:val="none"/>
        </w:rPr>
      </w:pPr>
      <w:r>
        <w:rPr>
          <w:rFonts w:hint="eastAsia" w:ascii="宋体" w:hAnsi="宋体" w:cs="宋体"/>
          <w:color w:val="auto"/>
          <w:highlight w:val="none"/>
        </w:rPr>
        <w:t>供应商认为需要的其他文件资料。</w:t>
      </w:r>
      <w:r>
        <w:rPr>
          <w:rFonts w:ascii="宋体" w:hAnsi="宋体" w:cs="宋体"/>
          <w:color w:val="auto"/>
          <w:highlight w:val="none"/>
        </w:rPr>
        <w:t xml:space="preserve"> </w:t>
      </w:r>
    </w:p>
    <w:p w14:paraId="1623A256">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注：以上内容应与评标办法中内容具有一致性。</w:t>
      </w:r>
    </w:p>
    <w:p w14:paraId="5CA1AF0B">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21BDC6E">
      <w:pPr>
        <w:pStyle w:val="58"/>
        <w:tabs>
          <w:tab w:val="left" w:pos="0"/>
        </w:tabs>
        <w:spacing w:before="0" w:line="336" w:lineRule="auto"/>
        <w:ind w:firstLine="480"/>
        <w:rPr>
          <w:rFonts w:ascii="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6AED4BB7">
      <w:pPr>
        <w:pStyle w:val="58"/>
        <w:numPr>
          <w:ilvl w:val="0"/>
          <w:numId w:val="9"/>
        </w:numPr>
        <w:spacing w:before="0" w:line="336" w:lineRule="auto"/>
        <w:ind w:firstLine="480"/>
        <w:rPr>
          <w:rFonts w:ascii="宋体"/>
          <w:color w:val="auto"/>
          <w:highlight w:val="none"/>
        </w:rPr>
      </w:pPr>
      <w:r>
        <w:rPr>
          <w:rFonts w:hint="eastAsia" w:ascii="宋体" w:hAnsi="宋体" w:cs="宋体"/>
          <w:color w:val="auto"/>
          <w:highlight w:val="none"/>
        </w:rPr>
        <w:t>报价文件包括以下内容：</w:t>
      </w:r>
    </w:p>
    <w:p w14:paraId="25F90D71">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磋商函（格式见附件）；</w:t>
      </w:r>
    </w:p>
    <w:p w14:paraId="35DE1374">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报价一览表（格式见附件）；</w:t>
      </w:r>
    </w:p>
    <w:p w14:paraId="6FD0DEF9">
      <w:pPr>
        <w:pStyle w:val="58"/>
        <w:numPr>
          <w:ilvl w:val="0"/>
          <w:numId w:val="12"/>
        </w:numPr>
        <w:spacing w:before="0" w:line="336" w:lineRule="auto"/>
        <w:ind w:firstLine="480"/>
        <w:rPr>
          <w:rFonts w:ascii="宋体"/>
          <w:color w:val="auto"/>
          <w:highlight w:val="none"/>
        </w:rPr>
      </w:pPr>
      <w:r>
        <w:rPr>
          <w:rFonts w:hint="eastAsia" w:ascii="宋体" w:hAnsi="宋体" w:cs="宋体"/>
          <w:color w:val="auto"/>
          <w:highlight w:val="none"/>
        </w:rPr>
        <w:t>磋商报价明细表（格式见附件）。</w:t>
      </w:r>
    </w:p>
    <w:p w14:paraId="61816BB9">
      <w:pPr>
        <w:pStyle w:val="58"/>
        <w:spacing w:before="0" w:line="336" w:lineRule="auto"/>
        <w:ind w:firstLine="241" w:firstLineChars="100"/>
        <w:rPr>
          <w:rFonts w:ascii="宋体"/>
          <w:b/>
          <w:bCs/>
          <w:color w:val="auto"/>
          <w:highlight w:val="none"/>
          <w:u w:val="single"/>
        </w:rPr>
      </w:pPr>
      <w:r>
        <w:rPr>
          <w:rFonts w:hint="eastAsia" w:ascii="宋体" w:hAnsi="宋体" w:cs="宋体"/>
          <w:b/>
          <w:bCs/>
          <w:color w:val="auto"/>
          <w:highlight w:val="none"/>
          <w:u w:val="single"/>
        </w:rPr>
        <w:t>注：“资格文件”、“</w:t>
      </w:r>
      <w:r>
        <w:rPr>
          <w:rFonts w:hint="eastAsia" w:ascii="宋体" w:hAnsi="宋体" w:cs="宋体"/>
          <w:b/>
          <w:bCs/>
          <w:color w:val="auto"/>
          <w:highlight w:val="none"/>
          <w:u w:val="single"/>
          <w:lang w:val="en-US" w:eastAsia="zh-CN"/>
        </w:rPr>
        <w:t>商务技术文件</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、“报价文件”须分</w:t>
      </w:r>
      <w:r>
        <w:rPr>
          <w:rFonts w:hint="eastAsia" w:ascii="宋体" w:hAnsi="宋体" w:cs="宋体"/>
          <w:b/>
          <w:bCs/>
          <w:color w:val="auto"/>
          <w:highlight w:val="none"/>
          <w:u w:val="single"/>
          <w:lang w:val="en-US" w:eastAsia="zh-CN"/>
        </w:rPr>
        <w:t>3</w:t>
      </w:r>
      <w:r>
        <w:rPr>
          <w:rFonts w:hint="eastAsia" w:ascii="宋体" w:hAnsi="宋体" w:cs="宋体"/>
          <w:b/>
          <w:bCs/>
          <w:color w:val="auto"/>
          <w:highlight w:val="none"/>
          <w:u w:val="single"/>
        </w:rPr>
        <w:t>个</w:t>
      </w:r>
      <w:r>
        <w:rPr>
          <w:rFonts w:ascii="宋体" w:hAnsi="宋体" w:cs="宋体"/>
          <w:b/>
          <w:bCs/>
          <w:color w:val="auto"/>
          <w:highlight w:val="none"/>
          <w:u w:val="single"/>
        </w:rPr>
        <w:t>PDF</w:t>
      </w:r>
      <w:r>
        <w:rPr>
          <w:rFonts w:hint="eastAsia" w:ascii="宋体" w:hAnsi="宋体" w:cs="宋体"/>
          <w:b/>
          <w:bCs/>
          <w:color w:val="auto"/>
          <w:highlight w:val="none"/>
          <w:u w:val="single"/>
        </w:rPr>
        <w:t>格式分别导入。</w:t>
      </w:r>
    </w:p>
    <w:p w14:paraId="3D20FB59">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10</w:t>
      </w:r>
      <w:r>
        <w:rPr>
          <w:rFonts w:hint="eastAsia" w:ascii="宋体" w:hAnsi="宋体" w:cs="宋体"/>
          <w:b/>
          <w:bCs/>
          <w:color w:val="auto"/>
          <w:highlight w:val="none"/>
        </w:rPr>
        <w:t>、响应文件有效期</w:t>
      </w:r>
    </w:p>
    <w:p w14:paraId="683DA6BB">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10.1 </w:t>
      </w:r>
      <w:r>
        <w:rPr>
          <w:rFonts w:hint="eastAsia" w:ascii="宋体" w:hAnsi="宋体" w:cs="宋体"/>
          <w:color w:val="auto"/>
          <w:highlight w:val="none"/>
        </w:rPr>
        <w:t>响应文件未在磋商响应截止时间前完成传输的或者未按时解密的，视为放弃磋商；响应文件解密失败后未提供备份文件或者备份文件也出现异常情况无法进行评审的，亦视为放弃磋商。</w:t>
      </w:r>
    </w:p>
    <w:p w14:paraId="1D635921">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10.2 </w:t>
      </w:r>
      <w:r>
        <w:rPr>
          <w:rFonts w:hint="eastAsia" w:ascii="宋体" w:hAnsi="宋体" w:cs="宋体"/>
          <w:color w:val="auto"/>
          <w:highlight w:val="none"/>
        </w:rPr>
        <w:t>响应文件上传后，自磋商响应截止日期起，在前附表所列的磋商响应文件有效期内有效。</w:t>
      </w:r>
    </w:p>
    <w:p w14:paraId="2192CAC8">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10.3 </w:t>
      </w:r>
      <w:r>
        <w:rPr>
          <w:rFonts w:hint="eastAsia" w:ascii="宋体" w:hAnsi="宋体" w:cs="宋体"/>
          <w:color w:val="auto"/>
          <w:highlight w:val="none"/>
        </w:rPr>
        <w:t>在原定有效期满之前，如果出现特殊情况，采购代理机构可以以书面形式向磋商供应商提出延长磋商有效期的要求，磋商供应商对此须以书面形式予以答复。</w:t>
      </w:r>
    </w:p>
    <w:p w14:paraId="62C6D4C6">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11</w:t>
      </w:r>
      <w:r>
        <w:rPr>
          <w:rFonts w:hint="eastAsia" w:ascii="宋体" w:hAnsi="宋体" w:cs="宋体"/>
          <w:b/>
          <w:bCs/>
          <w:color w:val="auto"/>
          <w:highlight w:val="none"/>
        </w:rPr>
        <w:t>、供应商如有下列情况之一者列入不良行为记录：</w:t>
      </w:r>
    </w:p>
    <w:p w14:paraId="14293603">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rPr>
        <w:t>供应商在磋商响应文件有效期内撤回投标的；</w:t>
      </w:r>
    </w:p>
    <w:p w14:paraId="3C5193AA">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供应商或中标候选人放弃中标或中标候选人资格的；</w:t>
      </w:r>
    </w:p>
    <w:p w14:paraId="2F117631">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擅自修改或拒绝接受已经确认的条款；</w:t>
      </w:r>
    </w:p>
    <w:p w14:paraId="4202C292">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成交供应商未按规定与采购人签订合同；</w:t>
      </w:r>
    </w:p>
    <w:p w14:paraId="62C84AF1">
      <w:pPr>
        <w:pStyle w:val="58"/>
        <w:spacing w:before="0" w:line="336" w:lineRule="auto"/>
        <w:ind w:left="420" w:leftChars="200" w:firstLine="0" w:firstLineChars="0"/>
        <w:rPr>
          <w:rFonts w:ascii="宋体" w:hAnsi="宋体" w:cs="宋体"/>
          <w:color w:val="auto"/>
          <w:highlight w:val="none"/>
        </w:rPr>
      </w:pPr>
      <w:r>
        <w:rPr>
          <w:rFonts w:ascii="宋体" w:hAnsi="宋体" w:cs="宋体"/>
          <w:color w:val="auto"/>
          <w:highlight w:val="none"/>
        </w:rPr>
        <w:t>11.</w:t>
      </w: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szCs w:val="24"/>
          <w:highlight w:val="none"/>
        </w:rPr>
        <w:t>未按规定提供履约保证金；</w:t>
      </w:r>
    </w:p>
    <w:p w14:paraId="491B94C8">
      <w:pPr>
        <w:pStyle w:val="58"/>
        <w:spacing w:before="0" w:line="336" w:lineRule="auto"/>
        <w:ind w:left="420" w:leftChars="200" w:firstLine="0" w:firstLineChars="0"/>
        <w:rPr>
          <w:rFonts w:ascii="宋体"/>
          <w:color w:val="auto"/>
          <w:highlight w:val="none"/>
        </w:rPr>
      </w:pPr>
      <w:r>
        <w:rPr>
          <w:rFonts w:hint="eastAsia" w:ascii="宋体" w:hAnsi="宋体" w:cs="宋体"/>
          <w:color w:val="auto"/>
          <w:highlight w:val="none"/>
          <w:lang w:val="en-US" w:eastAsia="zh-CN"/>
        </w:rPr>
        <w:t>11.6</w:t>
      </w:r>
      <w:r>
        <w:rPr>
          <w:rFonts w:hint="eastAsia" w:ascii="宋体" w:hAnsi="宋体" w:cs="宋体"/>
          <w:color w:val="auto"/>
          <w:highlight w:val="none"/>
        </w:rPr>
        <w:t>供应商采取提供虚假资料等不正当手段的；</w:t>
      </w:r>
    </w:p>
    <w:p w14:paraId="77541884">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11.</w:t>
      </w:r>
      <w:r>
        <w:rPr>
          <w:rFonts w:hint="eastAsia" w:ascii="宋体" w:hAnsi="宋体" w:cs="宋体"/>
          <w:color w:val="auto"/>
          <w:highlight w:val="none"/>
          <w:lang w:val="en-US" w:eastAsia="zh-CN"/>
        </w:rPr>
        <w:t>7</w:t>
      </w:r>
      <w:r>
        <w:rPr>
          <w:rFonts w:ascii="宋体" w:hAnsi="宋体" w:cs="宋体"/>
          <w:color w:val="auto"/>
          <w:highlight w:val="none"/>
        </w:rPr>
        <w:t xml:space="preserve"> </w:t>
      </w:r>
      <w:r>
        <w:rPr>
          <w:rFonts w:hint="eastAsia" w:ascii="宋体" w:hAnsi="宋体" w:cs="宋体"/>
          <w:color w:val="auto"/>
          <w:highlight w:val="none"/>
        </w:rPr>
        <w:t>供应商在投标过程中串通投标的。</w:t>
      </w:r>
    </w:p>
    <w:p w14:paraId="7786490C">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12</w:t>
      </w:r>
      <w:r>
        <w:rPr>
          <w:rFonts w:hint="eastAsia" w:ascii="宋体" w:hAnsi="宋体" w:cs="宋体"/>
          <w:b/>
          <w:bCs/>
          <w:color w:val="auto"/>
          <w:highlight w:val="none"/>
        </w:rPr>
        <w:t>、响应文件的编制和签署</w:t>
      </w:r>
    </w:p>
    <w:p w14:paraId="29029578">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按磋商文件</w:t>
      </w:r>
      <w:r>
        <w:rPr>
          <w:rFonts w:ascii="宋体" w:hAnsi="宋体" w:cs="宋体"/>
          <w:color w:val="auto"/>
          <w:highlight w:val="none"/>
        </w:rPr>
        <w:t>9.1</w:t>
      </w:r>
      <w:r>
        <w:rPr>
          <w:rFonts w:hint="eastAsia" w:ascii="宋体" w:hAnsi="宋体" w:cs="宋体"/>
          <w:color w:val="auto"/>
          <w:highlight w:val="none"/>
        </w:rPr>
        <w:t>条、</w:t>
      </w:r>
      <w:r>
        <w:rPr>
          <w:rFonts w:ascii="宋体" w:hAnsi="宋体" w:cs="宋体"/>
          <w:color w:val="auto"/>
          <w:highlight w:val="none"/>
        </w:rPr>
        <w:t>9.2</w:t>
      </w:r>
      <w:r>
        <w:rPr>
          <w:rFonts w:hint="eastAsia" w:ascii="宋体" w:hAnsi="宋体" w:cs="宋体"/>
          <w:color w:val="auto"/>
          <w:highlight w:val="none"/>
        </w:rPr>
        <w:t>条、</w:t>
      </w:r>
      <w:r>
        <w:rPr>
          <w:rFonts w:ascii="宋体" w:hAnsi="宋体" w:cs="宋体"/>
          <w:color w:val="auto"/>
          <w:highlight w:val="none"/>
        </w:rPr>
        <w:t>9.3</w:t>
      </w:r>
      <w:r>
        <w:rPr>
          <w:rFonts w:hint="eastAsia" w:ascii="宋体" w:hAnsi="宋体" w:cs="宋体"/>
          <w:color w:val="auto"/>
          <w:highlight w:val="none"/>
        </w:rPr>
        <w:t>条要求提供的各种文件，响应文件分为资格文件、商务技术文件和报价文件三部分。</w:t>
      </w:r>
    </w:p>
    <w:p w14:paraId="31D19F9B">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响应文件须按附件格式要求进行电子签章，供应商应写全称。（电子磋商响应文件中所须加盖公章部分均应采用电子签章）</w:t>
      </w:r>
    </w:p>
    <w:p w14:paraId="0CF6A656">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12.3 </w:t>
      </w:r>
      <w:r>
        <w:rPr>
          <w:rFonts w:hint="eastAsia" w:ascii="宋体" w:hAnsi="宋体" w:cs="宋体"/>
          <w:color w:val="auto"/>
          <w:highlight w:val="none"/>
        </w:rPr>
        <w:t>全套响应文件应无涂改和行间插字，除非这些删改是根据采购代理机构要求进行，或者是供应商造成的必须修改的错误。所修改处应由法定代表人或其授权代表签字盖章予以确认。</w:t>
      </w:r>
    </w:p>
    <w:p w14:paraId="624A48EC">
      <w:pPr>
        <w:pStyle w:val="58"/>
        <w:spacing w:before="0" w:line="336" w:lineRule="auto"/>
        <w:ind w:left="420" w:leftChars="200" w:firstLine="0" w:firstLineChars="0"/>
        <w:rPr>
          <w:rFonts w:ascii="宋体"/>
          <w:color w:val="auto"/>
          <w:highlight w:val="none"/>
        </w:rPr>
      </w:pPr>
      <w:r>
        <w:rPr>
          <w:rFonts w:ascii="宋体" w:hAnsi="宋体" w:cs="宋体"/>
          <w:color w:val="auto"/>
          <w:highlight w:val="none"/>
        </w:rPr>
        <w:t xml:space="preserve">12.4 </w:t>
      </w:r>
      <w:r>
        <w:rPr>
          <w:rFonts w:hint="eastAsia" w:ascii="宋体" w:hAnsi="宋体" w:cs="宋体"/>
          <w:color w:val="auto"/>
          <w:highlight w:val="none"/>
        </w:rPr>
        <w:t>由于字迹模糊或表达不清引起的后果由供应商负责。</w:t>
      </w:r>
    </w:p>
    <w:p w14:paraId="614AC718">
      <w:pPr>
        <w:pStyle w:val="58"/>
        <w:spacing w:before="0" w:line="336" w:lineRule="auto"/>
        <w:ind w:left="420" w:leftChars="200" w:firstLine="0" w:firstLineChars="0"/>
        <w:rPr>
          <w:rFonts w:ascii="宋体"/>
          <w:b/>
          <w:bCs/>
          <w:color w:val="auto"/>
          <w:highlight w:val="none"/>
        </w:rPr>
      </w:pPr>
      <w:r>
        <w:rPr>
          <w:rFonts w:ascii="宋体" w:hAnsi="宋体" w:cs="宋体"/>
          <w:b/>
          <w:bCs/>
          <w:color w:val="auto"/>
          <w:highlight w:val="none"/>
        </w:rPr>
        <w:t>13</w:t>
      </w:r>
      <w:r>
        <w:rPr>
          <w:rFonts w:hint="eastAsia" w:ascii="宋体" w:hAnsi="宋体" w:cs="宋体"/>
          <w:b/>
          <w:bCs/>
          <w:color w:val="auto"/>
          <w:highlight w:val="none"/>
        </w:rPr>
        <w:t>、响应文件的形式</w:t>
      </w:r>
    </w:p>
    <w:p w14:paraId="0D106080">
      <w:pPr>
        <w:pStyle w:val="58"/>
        <w:spacing w:before="0" w:line="336" w:lineRule="auto"/>
        <w:ind w:left="420" w:leftChars="200" w:firstLine="0" w:firstLineChars="0"/>
        <w:rPr>
          <w:rFonts w:ascii="宋体"/>
          <w:color w:val="auto"/>
          <w:highlight w:val="none"/>
        </w:rPr>
      </w:pPr>
      <w:r>
        <w:rPr>
          <w:rFonts w:hint="eastAsia" w:ascii="宋体" w:hAnsi="宋体" w:cs="宋体"/>
          <w:color w:val="auto"/>
          <w:highlight w:val="none"/>
        </w:rPr>
        <w:t>响应文件为电子磋商响应文件，电子磋商响应文件按“政采云供应商项目采购</w:t>
      </w:r>
      <w:r>
        <w:rPr>
          <w:rFonts w:ascii="宋体" w:cs="宋体"/>
          <w:color w:val="auto"/>
          <w:highlight w:val="none"/>
        </w:rPr>
        <w:t>-</w:t>
      </w:r>
      <w:r>
        <w:rPr>
          <w:rFonts w:hint="eastAsia" w:ascii="宋体" w:hAnsi="宋体" w:cs="宋体"/>
          <w:color w:val="auto"/>
          <w:highlight w:val="none"/>
        </w:rPr>
        <w:t>电子招投标操作指南”及本磋商文件要求制作、加密传输。</w:t>
      </w:r>
    </w:p>
    <w:p w14:paraId="421B1424">
      <w:pPr>
        <w:pStyle w:val="3"/>
        <w:numPr>
          <w:ilvl w:val="0"/>
          <w:numId w:val="8"/>
        </w:numPr>
        <w:spacing w:line="336" w:lineRule="auto"/>
        <w:jc w:val="center"/>
        <w:rPr>
          <w:rFonts w:cs="Times New Roman"/>
          <w:color w:val="auto"/>
          <w:highlight w:val="none"/>
        </w:rPr>
      </w:pPr>
      <w:bookmarkStart w:id="56" w:name="_Toc1420"/>
      <w:r>
        <w:rPr>
          <w:color w:val="auto"/>
          <w:highlight w:val="none"/>
        </w:rPr>
        <w:t xml:space="preserve"> </w:t>
      </w:r>
      <w:bookmarkStart w:id="57" w:name="_Toc28961"/>
      <w:bookmarkStart w:id="58" w:name="_Toc21266"/>
      <w:r>
        <w:rPr>
          <w:rFonts w:hint="eastAsia"/>
          <w:color w:val="auto"/>
          <w:highlight w:val="none"/>
        </w:rPr>
        <w:t>响应文件的递交</w:t>
      </w:r>
      <w:bookmarkEnd w:id="56"/>
      <w:bookmarkEnd w:id="57"/>
      <w:bookmarkEnd w:id="58"/>
    </w:p>
    <w:p w14:paraId="66F8DFA0">
      <w:pPr>
        <w:pStyle w:val="16"/>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14</w:t>
      </w:r>
      <w:r>
        <w:rPr>
          <w:rFonts w:hint="eastAsia" w:hAnsi="宋体"/>
          <w:b/>
          <w:bCs/>
          <w:color w:val="auto"/>
          <w:sz w:val="24"/>
          <w:szCs w:val="24"/>
          <w:highlight w:val="none"/>
        </w:rPr>
        <w:t>、磋商响应截止期</w:t>
      </w:r>
    </w:p>
    <w:p w14:paraId="4162B5A8">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00A426C">
      <w:pPr>
        <w:pStyle w:val="58"/>
        <w:numPr>
          <w:ilvl w:val="0"/>
          <w:numId w:val="13"/>
        </w:numPr>
        <w:spacing w:before="0" w:line="336" w:lineRule="auto"/>
        <w:ind w:firstLine="480"/>
        <w:rPr>
          <w:rFonts w:ascii="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48CEB8FA">
      <w:pPr>
        <w:pStyle w:val="16"/>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、响应文件的修改、撤销</w:t>
      </w:r>
    </w:p>
    <w:p w14:paraId="3091C21B">
      <w:pPr>
        <w:pStyle w:val="16"/>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5A4C5E0">
      <w:pPr>
        <w:pStyle w:val="3"/>
        <w:numPr>
          <w:ilvl w:val="0"/>
          <w:numId w:val="8"/>
        </w:numPr>
        <w:spacing w:line="336" w:lineRule="auto"/>
        <w:jc w:val="center"/>
        <w:rPr>
          <w:rFonts w:hAnsi="宋体" w:cs="Times New Roman"/>
          <w:color w:val="auto"/>
          <w:highlight w:val="none"/>
        </w:rPr>
      </w:pPr>
      <w:r>
        <w:rPr>
          <w:color w:val="auto"/>
          <w:highlight w:val="none"/>
        </w:rPr>
        <w:t xml:space="preserve"> </w:t>
      </w:r>
      <w:bookmarkStart w:id="59" w:name="_Toc30517"/>
      <w:bookmarkStart w:id="60" w:name="_Toc24120"/>
      <w:r>
        <w:rPr>
          <w:rFonts w:hint="eastAsia"/>
          <w:color w:val="auto"/>
          <w:highlight w:val="none"/>
        </w:rPr>
        <w:t>磋商无效的情形</w:t>
      </w:r>
      <w:bookmarkEnd w:id="59"/>
      <w:bookmarkEnd w:id="60"/>
    </w:p>
    <w:p w14:paraId="13EFF4C9">
      <w:pPr>
        <w:pStyle w:val="16"/>
        <w:snapToGrid w:val="0"/>
        <w:spacing w:line="336"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16</w:t>
      </w:r>
      <w:r>
        <w:rPr>
          <w:rFonts w:hint="eastAsia" w:hAnsi="宋体"/>
          <w:b/>
          <w:bCs/>
          <w:color w:val="auto"/>
          <w:sz w:val="24"/>
          <w:szCs w:val="24"/>
          <w:highlight w:val="none"/>
        </w:rPr>
        <w:t>、无效响应</w:t>
      </w:r>
    </w:p>
    <w:p w14:paraId="6C8A90E6">
      <w:pPr>
        <w:pStyle w:val="16"/>
        <w:snapToGrid w:val="0"/>
        <w:spacing w:line="336" w:lineRule="auto"/>
        <w:ind w:firstLine="480" w:firstLineChars="200"/>
        <w:rPr>
          <w:rFonts w:hAnsi="宋体" w:cs="Times New Roman"/>
          <w:color w:val="auto"/>
          <w:sz w:val="24"/>
          <w:szCs w:val="24"/>
          <w:highlight w:val="none"/>
        </w:rPr>
      </w:pPr>
      <w:r>
        <w:rPr>
          <w:rFonts w:hint="eastAsia" w:hAnsi="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441B77D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w:t>
      </w:r>
      <w:r>
        <w:rPr>
          <w:rFonts w:hint="eastAsia" w:ascii="宋体" w:hAnsi="宋体" w:cs="宋体"/>
          <w:b/>
          <w:bCs/>
          <w:color w:val="auto"/>
          <w:sz w:val="24"/>
          <w:szCs w:val="24"/>
          <w:highlight w:val="none"/>
        </w:rPr>
        <w:t>未按照磋商文件规定要求签署、盖章的；</w:t>
      </w:r>
    </w:p>
    <w:p w14:paraId="57FB83D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16.2</w:t>
      </w:r>
      <w:r>
        <w:rPr>
          <w:rFonts w:hint="eastAsia" w:ascii="宋体" w:hAnsi="宋体" w:cs="宋体"/>
          <w:b/>
          <w:bCs/>
          <w:color w:val="auto"/>
          <w:sz w:val="24"/>
          <w:szCs w:val="24"/>
          <w:highlight w:val="none"/>
        </w:rPr>
        <w:t>《法定代表人授权书》填写不全、错误、未加盖供应商公章（公章和签字或盖章缺一不可）；</w:t>
      </w:r>
      <w:r>
        <w:rPr>
          <w:rFonts w:ascii="宋体" w:hAnsi="宋体" w:cs="宋体"/>
          <w:b/>
          <w:bCs/>
          <w:color w:val="auto"/>
          <w:sz w:val="24"/>
          <w:szCs w:val="24"/>
          <w:highlight w:val="none"/>
        </w:rPr>
        <w:t xml:space="preserve"> </w:t>
      </w:r>
    </w:p>
    <w:p w14:paraId="06D51E9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16.3</w:t>
      </w:r>
      <w:r>
        <w:rPr>
          <w:rFonts w:hint="eastAsia" w:ascii="宋体" w:hAnsi="宋体" w:cs="宋体"/>
          <w:b/>
          <w:bCs/>
          <w:color w:val="auto"/>
          <w:sz w:val="24"/>
          <w:szCs w:val="24"/>
          <w:highlight w:val="none"/>
        </w:rPr>
        <w:t>个体工商户的身份证明与营业执照不一致的；</w:t>
      </w:r>
    </w:p>
    <w:p w14:paraId="17F353D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16.4</w:t>
      </w:r>
      <w:r>
        <w:rPr>
          <w:rFonts w:hint="eastAsia" w:ascii="宋体" w:hAnsi="宋体" w:cs="宋体"/>
          <w:b/>
          <w:bCs/>
          <w:color w:val="auto"/>
          <w:sz w:val="24"/>
          <w:szCs w:val="24"/>
          <w:highlight w:val="none"/>
        </w:rPr>
        <w:t>响应文件中的磋商函未加盖供应商的企业公章或填写不全的；</w:t>
      </w:r>
    </w:p>
    <w:p w14:paraId="6C3ED48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16.5</w:t>
      </w:r>
      <w:r>
        <w:rPr>
          <w:rFonts w:hint="eastAsia" w:ascii="宋体" w:hAnsi="宋体" w:cs="宋体"/>
          <w:b/>
          <w:bCs/>
          <w:color w:val="auto"/>
          <w:sz w:val="24"/>
          <w:szCs w:val="24"/>
          <w:highlight w:val="none"/>
        </w:rPr>
        <w:t>报价一经涂改，未在涂改处加盖投标单位公章或者未经法定代表人或其授权代表签字或盖章的；</w:t>
      </w:r>
    </w:p>
    <w:p w14:paraId="7D35ED31">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16.6</w:t>
      </w:r>
      <w:r>
        <w:rPr>
          <w:rFonts w:hint="eastAsia" w:ascii="宋体" w:hAnsi="宋体" w:cs="宋体"/>
          <w:b/>
          <w:bCs/>
          <w:color w:val="auto"/>
          <w:sz w:val="24"/>
          <w:szCs w:val="24"/>
          <w:highlight w:val="none"/>
        </w:rPr>
        <w:t>因未按规定的格式填写，内容不全或主要实质性内容字迹模糊辨认不清</w:t>
      </w:r>
      <w:r>
        <w:rPr>
          <w:rFonts w:ascii="宋体" w:cs="宋体"/>
          <w:b/>
          <w:bCs/>
          <w:color w:val="auto"/>
          <w:sz w:val="24"/>
          <w:szCs w:val="24"/>
          <w:highlight w:val="none"/>
        </w:rPr>
        <w:t>,</w:t>
      </w:r>
      <w:r>
        <w:rPr>
          <w:rFonts w:hint="eastAsia" w:ascii="宋体" w:hAnsi="宋体" w:cs="宋体"/>
          <w:b/>
          <w:bCs/>
          <w:color w:val="auto"/>
          <w:sz w:val="24"/>
          <w:szCs w:val="24"/>
          <w:highlight w:val="none"/>
        </w:rPr>
        <w:t>经评标委员会认定为无法评审的；</w:t>
      </w:r>
    </w:p>
    <w:p w14:paraId="6DE5CCB9">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16.7</w:t>
      </w:r>
      <w:r>
        <w:rPr>
          <w:rFonts w:hint="eastAsia" w:ascii="宋体" w:hAnsi="宋体" w:cs="宋体"/>
          <w:b/>
          <w:bCs/>
          <w:color w:val="auto"/>
          <w:sz w:val="24"/>
          <w:szCs w:val="24"/>
          <w:highlight w:val="none"/>
        </w:rPr>
        <w:t>出现同一标的物或本次采购产品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内的主要产品</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重要组成部分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出现技术、商务描述不一致或前后描述不一致，经评标委员会认定后为无法评审的；</w:t>
      </w:r>
    </w:p>
    <w:p w14:paraId="157E864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16.8</w:t>
      </w:r>
      <w:r>
        <w:rPr>
          <w:rFonts w:hint="eastAsia" w:ascii="宋体" w:hAnsi="宋体" w:cs="宋体"/>
          <w:b/>
          <w:bCs/>
          <w:color w:val="auto"/>
          <w:sz w:val="24"/>
          <w:szCs w:val="24"/>
          <w:highlight w:val="none"/>
        </w:rPr>
        <w:t>响应详细配置清单响应表不真实填写或弄虚作假的；改变磋商文件提供的清单中的计量单位、工程数量；</w:t>
      </w:r>
    </w:p>
    <w:p w14:paraId="2DEA8042">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16.9</w:t>
      </w:r>
      <w:r>
        <w:rPr>
          <w:rFonts w:hint="eastAsia" w:ascii="宋体" w:hAnsi="宋体" w:cs="宋体"/>
          <w:b/>
          <w:bCs/>
          <w:color w:val="auto"/>
          <w:sz w:val="24"/>
          <w:szCs w:val="24"/>
          <w:highlight w:val="none"/>
        </w:rPr>
        <w:t>对采购产品技术规格未详细应答，致使其技术文件无法评审的；</w:t>
      </w:r>
    </w:p>
    <w:p w14:paraId="7C71173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16.10</w:t>
      </w:r>
      <w:r>
        <w:rPr>
          <w:rFonts w:hint="eastAsia" w:ascii="宋体" w:hAnsi="宋体" w:cs="宋体"/>
          <w:b/>
          <w:bCs/>
          <w:color w:val="auto"/>
          <w:sz w:val="24"/>
          <w:szCs w:val="24"/>
          <w:highlight w:val="none"/>
        </w:rPr>
        <w:t>响应文件有采购方不能接受的条件；</w:t>
      </w:r>
    </w:p>
    <w:p w14:paraId="60B139B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16.11</w:t>
      </w:r>
      <w:r>
        <w:rPr>
          <w:rFonts w:hint="eastAsia" w:ascii="宋体" w:hAnsi="宋体" w:cs="宋体"/>
          <w:b/>
          <w:bCs/>
          <w:color w:val="auto"/>
          <w:sz w:val="24"/>
          <w:szCs w:val="24"/>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48A038A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16.12</w:t>
      </w:r>
      <w:r>
        <w:rPr>
          <w:rFonts w:hint="eastAsia" w:ascii="宋体" w:hAnsi="宋体" w:cs="宋体"/>
          <w:b/>
          <w:bCs/>
          <w:color w:val="auto"/>
          <w:sz w:val="24"/>
          <w:szCs w:val="24"/>
          <w:highlight w:val="none"/>
        </w:rPr>
        <w:t>磋商报价超过预算金额或最高限价的；</w:t>
      </w:r>
    </w:p>
    <w:p w14:paraId="0287CE4E">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16.13</w:t>
      </w:r>
      <w:r>
        <w:rPr>
          <w:rFonts w:hint="eastAsia" w:ascii="宋体" w:hAnsi="宋体" w:cs="宋体"/>
          <w:b/>
          <w:bCs/>
          <w:color w:val="auto"/>
          <w:sz w:val="24"/>
          <w:szCs w:val="24"/>
          <w:highlight w:val="none"/>
        </w:rPr>
        <w:t>响应文件“商务技术文件资料”部分中出现《报价一览表》或《磋商报价明细表》相关内容的；</w:t>
      </w:r>
    </w:p>
    <w:p w14:paraId="270FAE28">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16.14</w:t>
      </w:r>
      <w:r>
        <w:rPr>
          <w:rFonts w:hint="eastAsia" w:ascii="宋体" w:hAnsi="宋体" w:cs="宋体"/>
          <w:b/>
          <w:bCs/>
          <w:color w:val="auto"/>
          <w:sz w:val="24"/>
          <w:szCs w:val="24"/>
          <w:highlight w:val="none"/>
        </w:rPr>
        <w:t>评标委员会认定有重大偏差或实质性不响应磋商文件要求的，即“★”的关键性指标及技术参数要求负偏离或缺漏；</w:t>
      </w:r>
    </w:p>
    <w:p w14:paraId="65AA0C9F">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16.15</w:t>
      </w:r>
      <w:r>
        <w:rPr>
          <w:rFonts w:hint="eastAsia" w:ascii="宋体" w:hAnsi="宋体" w:cs="宋体"/>
          <w:b/>
          <w:bCs/>
          <w:color w:val="auto"/>
          <w:sz w:val="24"/>
          <w:szCs w:val="24"/>
          <w:highlight w:val="none"/>
        </w:rPr>
        <w:t>供应商拒绝按磋商文件规定的修正原则对响应文件进行修改的；</w:t>
      </w:r>
    </w:p>
    <w:p w14:paraId="43F8A964">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w:t>
      </w:r>
      <w:r>
        <w:rPr>
          <w:rFonts w:hint="eastAsia" w:ascii="宋体" w:hAnsi="宋体" w:cs="宋体"/>
          <w:b/>
          <w:bCs/>
          <w:color w:val="auto"/>
          <w:sz w:val="24"/>
          <w:szCs w:val="24"/>
          <w:highlight w:val="none"/>
        </w:rPr>
        <w:t>有下列情形之一的，视为供应商串通投标，其投标无效：</w:t>
      </w:r>
    </w:p>
    <w:p w14:paraId="40F94793">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16.16.1</w:t>
      </w:r>
      <w:r>
        <w:rPr>
          <w:rFonts w:hint="eastAsia" w:ascii="宋体" w:hAnsi="宋体" w:cs="宋体"/>
          <w:b/>
          <w:bCs/>
          <w:color w:val="auto"/>
          <w:sz w:val="24"/>
          <w:szCs w:val="24"/>
          <w:highlight w:val="none"/>
        </w:rPr>
        <w:t>不同供应商的响应文件由同一单位或者个人编制；</w:t>
      </w:r>
    </w:p>
    <w:p w14:paraId="1073140A">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16.16.2</w:t>
      </w:r>
      <w:r>
        <w:rPr>
          <w:rFonts w:hint="eastAsia" w:ascii="宋体" w:hAnsi="宋体" w:cs="宋体"/>
          <w:b/>
          <w:bCs/>
          <w:color w:val="auto"/>
          <w:sz w:val="24"/>
          <w:szCs w:val="24"/>
          <w:highlight w:val="none"/>
        </w:rPr>
        <w:t>不同供应商委托同一单位或者个人办理投标事宜；</w:t>
      </w:r>
    </w:p>
    <w:p w14:paraId="0352467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16.16.3</w:t>
      </w:r>
      <w:r>
        <w:rPr>
          <w:rFonts w:hint="eastAsia" w:ascii="宋体" w:hAnsi="宋体" w:cs="宋体"/>
          <w:b/>
          <w:bCs/>
          <w:color w:val="auto"/>
          <w:sz w:val="24"/>
          <w:szCs w:val="24"/>
          <w:highlight w:val="none"/>
        </w:rPr>
        <w:t>不同供应商的响应文件载明的项目管理成员或者联系人员为同一人；</w:t>
      </w:r>
    </w:p>
    <w:p w14:paraId="672CB29B">
      <w:pPr>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16.16.4</w:t>
      </w:r>
      <w:r>
        <w:rPr>
          <w:rFonts w:hint="eastAsia" w:ascii="宋体" w:hAnsi="宋体" w:cs="宋体"/>
          <w:b/>
          <w:bCs/>
          <w:color w:val="auto"/>
          <w:sz w:val="24"/>
          <w:szCs w:val="24"/>
          <w:highlight w:val="none"/>
        </w:rPr>
        <w:t>不同供应商的响应文件异常一致或者投标报价呈规律性差异；</w:t>
      </w:r>
    </w:p>
    <w:p w14:paraId="4DE6DC72">
      <w:pPr>
        <w:spacing w:line="336" w:lineRule="auto"/>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16.16.5</w:t>
      </w:r>
      <w:r>
        <w:rPr>
          <w:rFonts w:hint="eastAsia" w:ascii="宋体" w:hAnsi="宋体" w:cs="宋体"/>
          <w:b/>
          <w:bCs/>
          <w:color w:val="auto"/>
          <w:sz w:val="24"/>
          <w:szCs w:val="24"/>
          <w:highlight w:val="none"/>
        </w:rPr>
        <w:t>不同供应商提供的响应文件出自同一终端设备的，或在相同</w:t>
      </w:r>
      <w:r>
        <w:rPr>
          <w:rFonts w:ascii="宋体" w:hAnsi="宋体" w:cs="宋体"/>
          <w:b/>
          <w:bCs/>
          <w:color w:val="auto"/>
          <w:sz w:val="24"/>
          <w:szCs w:val="24"/>
          <w:highlight w:val="none"/>
        </w:rPr>
        <w:t>Internet</w:t>
      </w:r>
      <w:r>
        <w:rPr>
          <w:rFonts w:hint="eastAsia" w:ascii="宋体" w:hAnsi="宋体" w:cs="宋体"/>
          <w:b/>
          <w:bCs/>
          <w:color w:val="auto"/>
          <w:sz w:val="24"/>
          <w:szCs w:val="24"/>
          <w:highlight w:val="none"/>
        </w:rPr>
        <w:t>主机分配地址（相同</w:t>
      </w:r>
      <w:r>
        <w:rPr>
          <w:rFonts w:ascii="宋体" w:hAnsi="宋体" w:cs="宋体"/>
          <w:b/>
          <w:bCs/>
          <w:color w:val="auto"/>
          <w:sz w:val="24"/>
          <w:szCs w:val="24"/>
          <w:highlight w:val="none"/>
        </w:rPr>
        <w:t>IP</w:t>
      </w:r>
      <w:r>
        <w:rPr>
          <w:rFonts w:hint="eastAsia" w:ascii="宋体" w:hAnsi="宋体" w:cs="宋体"/>
          <w:b/>
          <w:bCs/>
          <w:color w:val="auto"/>
          <w:sz w:val="24"/>
          <w:szCs w:val="24"/>
          <w:highlight w:val="none"/>
        </w:rPr>
        <w:t>地址）报名或网上投标的，且经询标澄清供应商无令人信服的理由和可靠证据证明其合理性的，经评标委员会半数以上成员确认有串通投标嫌疑的。</w:t>
      </w:r>
    </w:p>
    <w:p w14:paraId="14C7F885">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rPr>
        <w:t xml:space="preserve"> 其他违反法律、法规的情形。</w:t>
      </w:r>
    </w:p>
    <w:p w14:paraId="77CB1246">
      <w:pPr>
        <w:pStyle w:val="3"/>
        <w:numPr>
          <w:ilvl w:val="0"/>
          <w:numId w:val="8"/>
        </w:numPr>
        <w:spacing w:line="336" w:lineRule="auto"/>
        <w:jc w:val="center"/>
        <w:rPr>
          <w:rFonts w:cs="Times New Roman"/>
          <w:color w:val="auto"/>
          <w:highlight w:val="none"/>
        </w:rPr>
      </w:pPr>
      <w:r>
        <w:rPr>
          <w:color w:val="auto"/>
          <w:highlight w:val="none"/>
        </w:rPr>
        <w:t xml:space="preserve"> </w:t>
      </w:r>
      <w:bookmarkStart w:id="61" w:name="_Toc19329"/>
      <w:bookmarkStart w:id="62" w:name="_Toc21752"/>
      <w:r>
        <w:rPr>
          <w:rFonts w:hint="eastAsia"/>
          <w:color w:val="auto"/>
          <w:highlight w:val="none"/>
        </w:rPr>
        <w:t>采购中止的情形</w:t>
      </w:r>
      <w:bookmarkEnd w:id="61"/>
      <w:bookmarkEnd w:id="62"/>
    </w:p>
    <w:p w14:paraId="7CD5C295">
      <w:pPr>
        <w:pStyle w:val="16"/>
        <w:spacing w:line="336" w:lineRule="auto"/>
        <w:ind w:left="420" w:leftChars="200"/>
        <w:rPr>
          <w:rFonts w:hAnsi="宋体" w:cs="Times New Roman"/>
          <w:b/>
          <w:bCs/>
          <w:color w:val="auto"/>
          <w:sz w:val="24"/>
          <w:szCs w:val="24"/>
          <w:highlight w:val="none"/>
        </w:rPr>
      </w:pPr>
      <w:r>
        <w:rPr>
          <w:rFonts w:hAnsi="宋体"/>
          <w:b/>
          <w:bCs/>
          <w:color w:val="auto"/>
          <w:sz w:val="24"/>
          <w:szCs w:val="24"/>
          <w:highlight w:val="none"/>
        </w:rPr>
        <w:t>17</w:t>
      </w:r>
      <w:r>
        <w:rPr>
          <w:rFonts w:hint="eastAsia" w:hAnsi="宋体"/>
          <w:b/>
          <w:bCs/>
          <w:color w:val="auto"/>
          <w:sz w:val="24"/>
          <w:szCs w:val="24"/>
          <w:highlight w:val="none"/>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00C6AF83">
      <w:pPr>
        <w:pStyle w:val="58"/>
        <w:tabs>
          <w:tab w:val="left" w:pos="0"/>
        </w:tabs>
        <w:spacing w:before="0" w:line="336" w:lineRule="auto"/>
        <w:ind w:left="420" w:leftChars="200" w:firstLine="0" w:firstLineChars="0"/>
        <w:rPr>
          <w:rFonts w:ascii="宋体"/>
          <w:color w:val="auto"/>
          <w:highlight w:val="none"/>
          <w:lang w:val="zh-CN"/>
        </w:rPr>
      </w:pPr>
      <w:r>
        <w:rPr>
          <w:rFonts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6B1B7B02">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6C62E580">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7115A99B">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5955A164">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病毒发作导致不能进行正常操作的；</w:t>
      </w:r>
      <w:r>
        <w:rPr>
          <w:rFonts w:ascii="宋体" w:hAnsi="宋体" w:cs="宋体"/>
          <w:color w:val="auto"/>
          <w:sz w:val="24"/>
          <w:szCs w:val="24"/>
          <w:highlight w:val="none"/>
        </w:rPr>
        <w:t xml:space="preserve"> </w:t>
      </w:r>
    </w:p>
    <w:p w14:paraId="71CEAA05">
      <w:pPr>
        <w:numPr>
          <w:ilvl w:val="0"/>
          <w:numId w:val="14"/>
        </w:numPr>
        <w:tabs>
          <w:tab w:val="left" w:pos="0"/>
        </w:tabs>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46B23DB2">
      <w:pPr>
        <w:pStyle w:val="58"/>
        <w:tabs>
          <w:tab w:val="left" w:pos="0"/>
        </w:tabs>
        <w:spacing w:before="0" w:line="336" w:lineRule="auto"/>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03D0CBD">
      <w:pPr>
        <w:pStyle w:val="3"/>
        <w:numPr>
          <w:ilvl w:val="0"/>
          <w:numId w:val="8"/>
        </w:numPr>
        <w:spacing w:line="336" w:lineRule="auto"/>
        <w:jc w:val="center"/>
        <w:rPr>
          <w:rFonts w:cs="Times New Roman"/>
          <w:color w:val="auto"/>
          <w:highlight w:val="none"/>
        </w:rPr>
      </w:pPr>
      <w:r>
        <w:rPr>
          <w:color w:val="auto"/>
          <w:highlight w:val="none"/>
        </w:rPr>
        <w:t xml:space="preserve"> </w:t>
      </w:r>
      <w:bookmarkStart w:id="63" w:name="_Toc14029"/>
      <w:bookmarkStart w:id="64" w:name="_Toc15795"/>
      <w:r>
        <w:rPr>
          <w:rFonts w:hint="eastAsia"/>
          <w:color w:val="auto"/>
          <w:highlight w:val="none"/>
        </w:rPr>
        <w:t>确定成交供应商与签订合同</w:t>
      </w:r>
      <w:bookmarkEnd w:id="63"/>
      <w:bookmarkEnd w:id="64"/>
    </w:p>
    <w:p w14:paraId="5073CA39">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、推荐成交候选供应商</w:t>
      </w:r>
    </w:p>
    <w:p w14:paraId="40D26B24">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18.1 </w:t>
      </w:r>
      <w:r>
        <w:rPr>
          <w:rFonts w:hint="eastAsia" w:ascii="宋体" w:hAnsi="宋体" w:cs="宋体"/>
          <w:color w:val="auto"/>
          <w:sz w:val="24"/>
          <w:szCs w:val="24"/>
          <w:highlight w:val="none"/>
        </w:rPr>
        <w:t>磋商小组应当根据综合评分情况，按照评审得分由高到低顺序推荐</w:t>
      </w:r>
      <w:r>
        <w:rPr>
          <w:rFonts w:ascii="宋体" w:hAnsi="宋体" w:cs="宋体"/>
          <w:color w:val="auto"/>
          <w:sz w:val="24"/>
          <w:szCs w:val="24"/>
          <w:highlight w:val="none"/>
        </w:rPr>
        <w:t>1</w:t>
      </w:r>
      <w:r>
        <w:rPr>
          <w:rFonts w:hint="eastAsia" w:ascii="宋体" w:hAnsi="宋体" w:cs="宋体"/>
          <w:color w:val="auto"/>
          <w:sz w:val="24"/>
          <w:szCs w:val="24"/>
          <w:highlight w:val="none"/>
        </w:rPr>
        <w:t>名或以上成交候选供应商，并编写评审报告。评审得分相同的，按照最后报价由低到高的顺序推荐。评审得分且最后报价相同的，按照技术指标优劣顺序推荐。</w:t>
      </w:r>
    </w:p>
    <w:p w14:paraId="053D1740">
      <w:pPr>
        <w:snapToGri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18.2 </w:t>
      </w:r>
      <w:r>
        <w:rPr>
          <w:rFonts w:hint="eastAsia" w:ascii="宋体" w:hAnsi="宋体" w:cs="宋体"/>
          <w:color w:val="auto"/>
          <w:sz w:val="24"/>
          <w:szCs w:val="24"/>
          <w:highlight w:val="none"/>
        </w:rPr>
        <w:t>采购代理机构应当在评审结束后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个工作日内将评审报告送采购人确认。</w:t>
      </w:r>
    </w:p>
    <w:p w14:paraId="2F7B4A7F">
      <w:pPr>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19</w:t>
      </w:r>
      <w:r>
        <w:rPr>
          <w:rFonts w:hint="eastAsia" w:ascii="宋体" w:hAnsi="宋体" w:cs="宋体"/>
          <w:b/>
          <w:bCs/>
          <w:color w:val="auto"/>
          <w:sz w:val="24"/>
          <w:szCs w:val="24"/>
          <w:highlight w:val="none"/>
        </w:rPr>
        <w:t>、确定成交供应商</w:t>
      </w:r>
    </w:p>
    <w:p w14:paraId="79FB5A69">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采购人应当在收到评审报告后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0428A2F">
      <w:pPr>
        <w:adjustRightInd w:val="0"/>
        <w:spacing w:line="336" w:lineRule="auto"/>
        <w:ind w:firstLine="480" w:firstLineChars="200"/>
        <w:rPr>
          <w:rFonts w:ascii="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采购人或者采购代理机构应当在成交供应商确定后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个工作日内，在省级以上财政部门指定的政府采购信息发布媒体上公告成交结果，同时向成交供应商发出成交通知书。</w:t>
      </w:r>
    </w:p>
    <w:p w14:paraId="3C2621C9">
      <w:pPr>
        <w:adjustRightIn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20</w:t>
      </w:r>
      <w:r>
        <w:rPr>
          <w:rFonts w:hint="eastAsia" w:ascii="宋体" w:hAnsi="宋体" w:cs="宋体"/>
          <w:b/>
          <w:bCs/>
          <w:color w:val="auto"/>
          <w:sz w:val="24"/>
          <w:szCs w:val="24"/>
          <w:highlight w:val="none"/>
        </w:rPr>
        <w:t>、签订合同</w:t>
      </w:r>
    </w:p>
    <w:p w14:paraId="628F4496">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20.1. </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日内，按照磋商文件确定的合同文本以及采购标的、规格型号、采购金额、采购数量、技术和服务要求等事项签订政府采购合同。</w:t>
      </w:r>
    </w:p>
    <w:p w14:paraId="72384625">
      <w:pPr>
        <w:pStyle w:val="58"/>
        <w:snapToGrid w:val="0"/>
        <w:spacing w:before="0" w:line="336" w:lineRule="auto"/>
        <w:ind w:firstLine="480"/>
        <w:rPr>
          <w:rFonts w:ascii="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成交供应商拒绝签订政府采购合同的，采购人可以按照《政府采购竞争性磋商采购方式管理暂行办法》（财库〔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214</w:t>
      </w:r>
      <w:r>
        <w:rPr>
          <w:rFonts w:hint="eastAsia" w:ascii="宋体" w:hAnsi="宋体" w:cs="宋体"/>
          <w:color w:val="auto"/>
          <w:highlight w:val="none"/>
        </w:rPr>
        <w:t>号）第二十八条第二款规定的原则确定其他供应商作为成交供应商并签订政府采购合同，也可以重新开展采购活动。拒绝签订政府采购合同的成交供应商不得参加对该项目重新开展的采购活动。</w:t>
      </w:r>
    </w:p>
    <w:p w14:paraId="4EA0F493">
      <w:pPr>
        <w:adjustRightInd w:val="0"/>
        <w:snapToGrid w:val="0"/>
        <w:spacing w:line="336"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21</w:t>
      </w:r>
      <w:r>
        <w:rPr>
          <w:rFonts w:hint="eastAsia" w:ascii="宋体" w:hAnsi="宋体" w:cs="宋体"/>
          <w:b/>
          <w:bCs/>
          <w:color w:val="auto"/>
          <w:sz w:val="24"/>
          <w:szCs w:val="24"/>
          <w:highlight w:val="none"/>
        </w:rPr>
        <w:t>、解释权</w:t>
      </w:r>
    </w:p>
    <w:p w14:paraId="399C05EF">
      <w:pPr>
        <w:adjustRightInd w:val="0"/>
        <w:spacing w:line="336"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绍兴市上虞区市场监督管理局</w:t>
      </w:r>
      <w:r>
        <w:rPr>
          <w:rFonts w:hint="eastAsia" w:ascii="宋体" w:hAnsi="宋体" w:cs="宋体"/>
          <w:color w:val="auto"/>
          <w:sz w:val="24"/>
          <w:szCs w:val="24"/>
          <w:highlight w:val="none"/>
        </w:rPr>
        <w:t>和</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浙江宇康工程管理咨询有限公司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AAAD3D2">
      <w:pPr>
        <w:pStyle w:val="2"/>
        <w:jc w:val="center"/>
        <w:rPr>
          <w:rFonts w:cs="Times New Roman"/>
          <w:color w:val="auto"/>
          <w:sz w:val="36"/>
          <w:szCs w:val="36"/>
          <w:highlight w:val="none"/>
        </w:rPr>
      </w:pPr>
      <w:r>
        <w:rPr>
          <w:color w:val="auto"/>
          <w:sz w:val="36"/>
          <w:szCs w:val="36"/>
          <w:highlight w:val="none"/>
        </w:rPr>
        <w:br w:type="page"/>
      </w:r>
      <w:bookmarkStart w:id="65" w:name="_Toc29134"/>
      <w:bookmarkStart w:id="66" w:name="_Toc21248"/>
      <w:r>
        <w:rPr>
          <w:rFonts w:hint="eastAsia"/>
          <w:color w:val="auto"/>
          <w:sz w:val="36"/>
          <w:szCs w:val="36"/>
          <w:highlight w:val="none"/>
        </w:rPr>
        <w:t xml:space="preserve">第三部分 </w:t>
      </w:r>
      <w:r>
        <w:rPr>
          <w:rFonts w:hint="eastAsia" w:cs="宋体"/>
          <w:color w:val="auto"/>
          <w:sz w:val="36"/>
          <w:szCs w:val="36"/>
          <w:highlight w:val="none"/>
        </w:rPr>
        <w:t>采购内容及要求</w:t>
      </w:r>
      <w:bookmarkEnd w:id="65"/>
      <w:bookmarkEnd w:id="66"/>
    </w:p>
    <w:p w14:paraId="65D26DF0">
      <w:pPr>
        <w:pStyle w:val="3"/>
        <w:jc w:val="center"/>
        <w:rPr>
          <w:color w:val="auto"/>
          <w:highlight w:val="none"/>
        </w:rPr>
      </w:pPr>
      <w:bookmarkStart w:id="67" w:name="_Toc25073"/>
      <w:bookmarkStart w:id="68" w:name="_Toc28058"/>
      <w:bookmarkStart w:id="69" w:name="_Toc15284"/>
      <w:r>
        <w:rPr>
          <w:rFonts w:hint="eastAsia"/>
          <w:color w:val="auto"/>
          <w:highlight w:val="none"/>
        </w:rPr>
        <w:t xml:space="preserve">第一章 </w:t>
      </w:r>
      <w:bookmarkStart w:id="70" w:name="_Toc506107120"/>
      <w:r>
        <w:rPr>
          <w:rFonts w:hint="eastAsia"/>
          <w:color w:val="auto"/>
          <w:highlight w:val="none"/>
        </w:rPr>
        <w:t>采购内容及要求</w:t>
      </w:r>
      <w:bookmarkEnd w:id="67"/>
      <w:bookmarkEnd w:id="68"/>
      <w:bookmarkEnd w:id="70"/>
    </w:p>
    <w:p w14:paraId="2E7D28B5">
      <w:pPr>
        <w:spacing w:line="500" w:lineRule="exact"/>
        <w:ind w:firstLine="482" w:firstLineChars="200"/>
        <w:rPr>
          <w:rFonts w:hint="eastAsia" w:ascii="宋体" w:hAnsi="Times New Roman" w:eastAsia="宋体" w:cs="Times New Roman"/>
          <w:b/>
          <w:bCs/>
          <w:color w:val="auto"/>
          <w:kern w:val="0"/>
          <w:sz w:val="24"/>
          <w:highlight w:val="none"/>
          <w:lang w:eastAsia="zh-CN"/>
        </w:rPr>
      </w:pPr>
      <w:r>
        <w:rPr>
          <w:rFonts w:hint="eastAsia" w:ascii="宋体" w:hAnsi="Times New Roman" w:eastAsia="宋体" w:cs="Times New Roman"/>
          <w:b/>
          <w:bCs/>
          <w:color w:val="auto"/>
          <w:kern w:val="0"/>
          <w:sz w:val="24"/>
          <w:highlight w:val="none"/>
          <w:lang w:eastAsia="zh-CN"/>
        </w:rPr>
        <w:t>一、项目概况</w:t>
      </w:r>
    </w:p>
    <w:p w14:paraId="41D18CF4">
      <w:pPr>
        <w:spacing w:line="500" w:lineRule="exact"/>
        <w:ind w:firstLine="480" w:firstLineChars="200"/>
        <w:rPr>
          <w:rFonts w:hint="default" w:ascii="宋体" w:hAnsi="Times New Roman" w:eastAsia="宋体" w:cs="Times New Roman"/>
          <w:color w:val="auto"/>
          <w:kern w:val="0"/>
          <w:sz w:val="24"/>
          <w:highlight w:val="none"/>
          <w:lang w:val="en-US" w:eastAsia="zh-CN"/>
        </w:rPr>
      </w:pPr>
      <w:r>
        <w:rPr>
          <w:rFonts w:hint="default" w:ascii="宋体" w:hAnsi="Times New Roman" w:eastAsia="宋体" w:cs="Times New Roman"/>
          <w:color w:val="auto"/>
          <w:kern w:val="0"/>
          <w:sz w:val="24"/>
          <w:highlight w:val="none"/>
          <w:lang w:val="en-US" w:eastAsia="zh-CN"/>
        </w:rPr>
        <w:t> 为贯彻党中央、国务院决策部署，根据《中华人民共和国食品安全法》等法律法规</w:t>
      </w:r>
      <w:r>
        <w:rPr>
          <w:rFonts w:hint="eastAsia" w:ascii="宋体" w:hAnsi="Times New Roman" w:eastAsia="宋体" w:cs="Times New Roman"/>
          <w:color w:val="auto"/>
          <w:kern w:val="0"/>
          <w:sz w:val="24"/>
          <w:highlight w:val="none"/>
          <w:lang w:val="en-US" w:eastAsia="zh-CN"/>
        </w:rPr>
        <w:t>，</w:t>
      </w:r>
      <w:r>
        <w:rPr>
          <w:rFonts w:hint="default" w:ascii="宋体" w:hAnsi="Times New Roman" w:eastAsia="宋体" w:cs="Times New Roman"/>
          <w:color w:val="auto"/>
          <w:kern w:val="0"/>
          <w:sz w:val="24"/>
          <w:highlight w:val="none"/>
          <w:lang w:val="en-US" w:eastAsia="zh-CN"/>
        </w:rPr>
        <w:t>加强食品安全监督管理，保障公众身体健康和生命安全，</w:t>
      </w:r>
      <w:r>
        <w:rPr>
          <w:rFonts w:hint="eastAsia" w:ascii="宋体" w:hAnsi="Times New Roman" w:eastAsia="宋体" w:cs="Times New Roman"/>
          <w:color w:val="auto"/>
          <w:kern w:val="0"/>
          <w:sz w:val="24"/>
          <w:highlight w:val="none"/>
          <w:lang w:val="en-US" w:eastAsia="zh-CN"/>
        </w:rPr>
        <w:t>拟</w:t>
      </w:r>
      <w:r>
        <w:rPr>
          <w:rFonts w:hint="default" w:ascii="宋体" w:hAnsi="Times New Roman" w:eastAsia="宋体" w:cs="Times New Roman"/>
          <w:color w:val="auto"/>
          <w:kern w:val="0"/>
          <w:sz w:val="24"/>
          <w:highlight w:val="none"/>
          <w:lang w:val="en-US" w:eastAsia="zh-CN"/>
        </w:rPr>
        <w:t>组织开展食品安全抽样检验工作。</w:t>
      </w:r>
    </w:p>
    <w:p w14:paraId="0EF2BAA5">
      <w:pPr>
        <w:spacing w:line="500" w:lineRule="exact"/>
        <w:ind w:firstLine="482" w:firstLineChars="200"/>
        <w:rPr>
          <w:rFonts w:hint="eastAsia" w:ascii="宋体" w:hAnsi="Times New Roman" w:eastAsia="宋体" w:cs="Times New Roman"/>
          <w:b/>
          <w:bCs/>
          <w:color w:val="auto"/>
          <w:kern w:val="0"/>
          <w:sz w:val="24"/>
          <w:highlight w:val="none"/>
          <w:lang w:eastAsia="zh-CN"/>
        </w:rPr>
      </w:pPr>
      <w:bookmarkStart w:id="71" w:name="_Toc408233853"/>
      <w:r>
        <w:rPr>
          <w:rFonts w:hint="eastAsia" w:ascii="宋体" w:hAnsi="Times New Roman" w:eastAsia="宋体" w:cs="Times New Roman"/>
          <w:b/>
          <w:bCs/>
          <w:color w:val="auto"/>
          <w:kern w:val="0"/>
          <w:sz w:val="24"/>
          <w:highlight w:val="none"/>
          <w:lang w:eastAsia="zh-CN"/>
        </w:rPr>
        <w:t>二、监测批次</w:t>
      </w:r>
      <w:bookmarkEnd w:id="71"/>
      <w:r>
        <w:rPr>
          <w:rFonts w:hint="eastAsia" w:ascii="宋体" w:hAnsi="Times New Roman" w:eastAsia="宋体" w:cs="Times New Roman"/>
          <w:b/>
          <w:bCs/>
          <w:color w:val="auto"/>
          <w:kern w:val="0"/>
          <w:sz w:val="24"/>
          <w:highlight w:val="none"/>
          <w:lang w:eastAsia="zh-CN"/>
        </w:rPr>
        <w:t>及品种</w:t>
      </w:r>
    </w:p>
    <w:p w14:paraId="067CAF12">
      <w:pPr>
        <w:spacing w:line="5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计划</w:t>
      </w:r>
      <w:r>
        <w:rPr>
          <w:rFonts w:hint="eastAsia" w:ascii="宋体" w:hAnsi="宋体" w:cs="宋体"/>
          <w:color w:val="auto"/>
          <w:sz w:val="24"/>
          <w:szCs w:val="24"/>
          <w:highlight w:val="none"/>
        </w:rPr>
        <w:t>抽检</w:t>
      </w:r>
      <w:r>
        <w:rPr>
          <w:rFonts w:hint="eastAsia" w:ascii="宋体" w:hAnsi="宋体" w:cs="宋体"/>
          <w:color w:val="auto"/>
          <w:sz w:val="24"/>
          <w:szCs w:val="24"/>
          <w:highlight w:val="none"/>
          <w:lang w:val="en-US" w:eastAsia="zh-CN"/>
        </w:rPr>
        <w:t>标段一1600</w:t>
      </w:r>
      <w:r>
        <w:rPr>
          <w:rFonts w:hint="eastAsia" w:ascii="宋体" w:hAnsi="宋体" w:cs="宋体"/>
          <w:color w:val="auto"/>
          <w:sz w:val="24"/>
          <w:szCs w:val="24"/>
          <w:highlight w:val="none"/>
        </w:rPr>
        <w:t>批次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其中包括百官、崧厦、盖北（包括杭州湾园区）、东关、小越、永和、驿亭、谢塘等8个乡镇（街道)。</w:t>
      </w:r>
    </w:p>
    <w:p w14:paraId="2C5BB7DD">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计划</w:t>
      </w:r>
      <w:r>
        <w:rPr>
          <w:rFonts w:hint="eastAsia" w:ascii="宋体" w:hAnsi="宋体" w:cs="宋体"/>
          <w:color w:val="auto"/>
          <w:sz w:val="24"/>
          <w:szCs w:val="24"/>
          <w:highlight w:val="none"/>
        </w:rPr>
        <w:t>抽检</w:t>
      </w:r>
      <w:r>
        <w:rPr>
          <w:rFonts w:hint="eastAsia" w:ascii="宋体" w:hAnsi="宋体" w:cs="宋体"/>
          <w:color w:val="auto"/>
          <w:sz w:val="24"/>
          <w:szCs w:val="24"/>
          <w:highlight w:val="none"/>
          <w:lang w:val="en-US" w:eastAsia="zh-CN"/>
        </w:rPr>
        <w:t>标段二1600</w:t>
      </w:r>
      <w:r>
        <w:rPr>
          <w:rFonts w:hint="eastAsia" w:ascii="宋体" w:hAnsi="宋体" w:cs="宋体"/>
          <w:color w:val="auto"/>
          <w:sz w:val="24"/>
          <w:szCs w:val="24"/>
          <w:highlight w:val="none"/>
        </w:rPr>
        <w:t>批次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其中包括</w:t>
      </w:r>
      <w:r>
        <w:rPr>
          <w:rFonts w:hint="eastAsia" w:hAnsi="宋体" w:cs="Times New Roman"/>
          <w:color w:val="auto"/>
          <w:sz w:val="24"/>
          <w:szCs w:val="24"/>
          <w:highlight w:val="none"/>
          <w:lang w:val="en-US" w:eastAsia="zh-CN"/>
        </w:rPr>
        <w:t>曹娥、丰惠、章镇、道墟、梁湖、上浦、汤浦、长塘、岭南、下管、陈溪、丁宅等12个乡镇（街道)。</w:t>
      </w:r>
    </w:p>
    <w:p w14:paraId="08CDE997">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包括上虞范围内的大宗食用农产品和食品流通、餐饮、生产三个环节，采用国家食品安全抽样检验信息系统进行抽检。具体监测品种以部门抽检计划为准，费用不作调整。</w:t>
      </w:r>
    </w:p>
    <w:p w14:paraId="5C0B63AC">
      <w:pPr>
        <w:pStyle w:val="27"/>
        <w:widowControl w:val="0"/>
        <w:snapToGrid w:val="0"/>
        <w:spacing w:line="500" w:lineRule="exact"/>
        <w:ind w:firstLine="482" w:firstLineChars="200"/>
        <w:jc w:val="left"/>
        <w:rPr>
          <w:rFonts w:ascii="宋体" w:hAnsi="宋体" w:cs="宋体"/>
          <w:color w:val="auto"/>
          <w:szCs w:val="24"/>
          <w:highlight w:val="none"/>
          <w:lang w:val="en-US"/>
        </w:rPr>
      </w:pPr>
      <w:r>
        <w:rPr>
          <w:rFonts w:hint="eastAsia" w:ascii="宋体" w:hAnsi="宋体" w:cs="宋体"/>
          <w:color w:val="auto"/>
          <w:szCs w:val="24"/>
          <w:highlight w:val="none"/>
          <w:lang w:val="en-US" w:eastAsia="zh-CN"/>
        </w:rPr>
        <w:t>三</w:t>
      </w:r>
      <w:r>
        <w:rPr>
          <w:rFonts w:hint="eastAsia" w:ascii="宋体" w:hAnsi="宋体" w:cs="宋体"/>
          <w:color w:val="auto"/>
          <w:szCs w:val="24"/>
          <w:highlight w:val="none"/>
          <w:lang w:val="en-US"/>
        </w:rPr>
        <w:t>、监测要求</w:t>
      </w:r>
    </w:p>
    <w:p w14:paraId="43E84D7B">
      <w:pPr>
        <w:pStyle w:val="27"/>
        <w:widowControl w:val="0"/>
        <w:snapToGrid w:val="0"/>
        <w:spacing w:line="500" w:lineRule="exact"/>
        <w:ind w:firstLine="480" w:firstLineChars="200"/>
        <w:jc w:val="left"/>
        <w:rPr>
          <w:rFonts w:hint="eastAsia" w:ascii="宋体" w:hAnsi="宋体" w:eastAsia="宋体" w:cs="宋体"/>
          <w:b w:val="0"/>
          <w:bCs/>
          <w:iCs/>
          <w:color w:val="auto"/>
          <w:sz w:val="24"/>
          <w:szCs w:val="24"/>
          <w:highlight w:val="none"/>
          <w:lang w:val="en-US" w:eastAsia="zh-CN" w:bidi="ar-SA"/>
        </w:rPr>
      </w:pPr>
      <w:r>
        <w:rPr>
          <w:rFonts w:hint="eastAsia" w:ascii="宋体" w:hAnsi="宋体" w:eastAsia="宋体" w:cs="宋体"/>
          <w:b w:val="0"/>
          <w:bCs/>
          <w:iCs/>
          <w:color w:val="auto"/>
          <w:sz w:val="24"/>
          <w:szCs w:val="24"/>
          <w:highlight w:val="none"/>
          <w:lang w:val="en-US" w:eastAsia="zh-CN" w:bidi="ar-SA"/>
        </w:rPr>
        <w:t>1、抽检产品的具体检验项目、检验依据、检测方法、判定原则以及抽样方法、基数和数量，原则上参照市场监管总局最新版《国家食品安全监督抽检实施细则》的规定和</w:t>
      </w:r>
      <w:r>
        <w:rPr>
          <w:rFonts w:hint="eastAsia" w:ascii="宋体" w:hAnsi="宋体" w:cs="宋体"/>
          <w:b w:val="0"/>
          <w:bCs/>
          <w:iCs/>
          <w:color w:val="auto"/>
          <w:sz w:val="24"/>
          <w:szCs w:val="24"/>
          <w:highlight w:val="none"/>
          <w:lang w:val="en-US" w:eastAsia="zh-CN" w:bidi="ar-SA"/>
        </w:rPr>
        <w:t>地方政策文件</w:t>
      </w:r>
      <w:r>
        <w:rPr>
          <w:rFonts w:hint="eastAsia" w:ascii="宋体" w:hAnsi="宋体" w:eastAsia="宋体" w:cs="宋体"/>
          <w:b w:val="0"/>
          <w:bCs/>
          <w:iCs/>
          <w:color w:val="auto"/>
          <w:sz w:val="24"/>
          <w:szCs w:val="24"/>
          <w:highlight w:val="none"/>
          <w:lang w:val="en-US" w:eastAsia="zh-CN" w:bidi="ar-SA"/>
        </w:rPr>
        <w:t>计划执行，</w:t>
      </w:r>
      <w:r>
        <w:rPr>
          <w:rFonts w:hint="eastAsia" w:ascii="宋体" w:hAnsi="宋体" w:cs="宋体"/>
          <w:b w:val="0"/>
          <w:bCs/>
          <w:iCs/>
          <w:color w:val="auto"/>
          <w:sz w:val="24"/>
          <w:szCs w:val="24"/>
          <w:highlight w:val="none"/>
          <w:lang w:val="en-US" w:eastAsia="zh-CN" w:bidi="ar-SA"/>
        </w:rPr>
        <w:t>采购人</w:t>
      </w:r>
      <w:r>
        <w:rPr>
          <w:rFonts w:hint="eastAsia" w:ascii="宋体" w:hAnsi="宋体" w:eastAsia="宋体" w:cs="宋体"/>
          <w:b w:val="0"/>
          <w:bCs/>
          <w:iCs/>
          <w:color w:val="auto"/>
          <w:sz w:val="24"/>
          <w:szCs w:val="24"/>
          <w:highlight w:val="none"/>
          <w:lang w:val="en-US" w:eastAsia="zh-CN" w:bidi="ar-SA"/>
        </w:rPr>
        <w:t>有特殊要求的，按</w:t>
      </w:r>
      <w:r>
        <w:rPr>
          <w:rFonts w:hint="eastAsia" w:ascii="宋体" w:hAnsi="宋体" w:cs="宋体"/>
          <w:b w:val="0"/>
          <w:bCs/>
          <w:iCs/>
          <w:color w:val="auto"/>
          <w:sz w:val="24"/>
          <w:szCs w:val="24"/>
          <w:highlight w:val="none"/>
          <w:lang w:val="en-US" w:eastAsia="zh-CN" w:bidi="ar-SA"/>
        </w:rPr>
        <w:t>采购人</w:t>
      </w:r>
      <w:r>
        <w:rPr>
          <w:rFonts w:hint="eastAsia" w:ascii="宋体" w:hAnsi="宋体" w:eastAsia="宋体" w:cs="宋体"/>
          <w:b w:val="0"/>
          <w:bCs/>
          <w:iCs/>
          <w:color w:val="auto"/>
          <w:sz w:val="24"/>
          <w:szCs w:val="24"/>
          <w:highlight w:val="none"/>
          <w:lang w:val="en-US" w:eastAsia="zh-CN" w:bidi="ar-SA"/>
        </w:rPr>
        <w:t>要求执行。</w:t>
      </w:r>
    </w:p>
    <w:p w14:paraId="31071219">
      <w:pPr>
        <w:keepNext w:val="0"/>
        <w:keepLines w:val="0"/>
        <w:widowControl/>
        <w:suppressLineNumbers w:val="0"/>
        <w:spacing w:before="0" w:beforeAutospacing="0" w:after="0" w:afterAutospacing="0" w:line="500" w:lineRule="exact"/>
        <w:ind w:left="0" w:right="0"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lang w:val="en-GB"/>
        </w:rPr>
        <w:t>2</w:t>
      </w:r>
      <w:r>
        <w:rPr>
          <w:rFonts w:hint="eastAsia" w:ascii="宋体" w:hAnsi="宋体" w:eastAsia="宋体" w:cs="宋体"/>
          <w:b w:val="0"/>
          <w:bCs/>
          <w:iCs/>
          <w:color w:val="auto"/>
          <w:kern w:val="2"/>
          <w:sz w:val="24"/>
          <w:szCs w:val="24"/>
          <w:highlight w:val="none"/>
          <w:lang w:val="en-GB" w:eastAsia="zh-CN" w:bidi="ar-SA"/>
        </w:rPr>
        <w:t>、</w:t>
      </w:r>
      <w:r>
        <w:rPr>
          <w:rFonts w:hint="eastAsia" w:ascii="宋体" w:hAnsi="宋体" w:eastAsia="宋体" w:cs="宋体"/>
          <w:b w:val="0"/>
          <w:bCs/>
          <w:iCs/>
          <w:color w:val="auto"/>
          <w:kern w:val="2"/>
          <w:sz w:val="24"/>
          <w:szCs w:val="24"/>
          <w:highlight w:val="none"/>
          <w:lang w:val="en-US" w:eastAsia="zh-CN" w:bidi="ar-SA"/>
        </w:rPr>
        <w:t>根据《食品安全抽样检验管理办法》（第15号令）规定</w:t>
      </w:r>
      <w:r>
        <w:rPr>
          <w:rFonts w:hint="eastAsia" w:ascii="宋体" w:hAnsi="宋体" w:cs="宋体"/>
          <w:b w:val="0"/>
          <w:bCs/>
          <w:iCs/>
          <w:color w:val="auto"/>
          <w:kern w:val="2"/>
          <w:sz w:val="24"/>
          <w:szCs w:val="24"/>
          <w:highlight w:val="none"/>
          <w:lang w:val="en-US" w:eastAsia="zh-CN" w:bidi="ar-SA"/>
        </w:rPr>
        <w:t>，</w:t>
      </w:r>
      <w:r>
        <w:rPr>
          <w:rFonts w:hint="eastAsia" w:ascii="宋体" w:hAnsi="宋体" w:eastAsia="宋体" w:cs="宋体"/>
          <w:b w:val="0"/>
          <w:bCs/>
          <w:iCs/>
          <w:color w:val="auto"/>
          <w:kern w:val="2"/>
          <w:sz w:val="24"/>
          <w:szCs w:val="24"/>
          <w:highlight w:val="none"/>
          <w:lang w:val="en-US" w:eastAsia="zh-CN" w:bidi="ar-SA"/>
        </w:rPr>
        <w:t>自收到样品之日起20个工作日内出具检验报告，针对应急要求</w:t>
      </w:r>
      <w:r>
        <w:rPr>
          <w:rFonts w:hint="eastAsia" w:ascii="宋体" w:hAnsi="宋体" w:cs="宋体"/>
          <w:b w:val="0"/>
          <w:bCs/>
          <w:iCs/>
          <w:color w:val="auto"/>
          <w:kern w:val="2"/>
          <w:sz w:val="24"/>
          <w:szCs w:val="24"/>
          <w:highlight w:val="none"/>
          <w:lang w:val="en-US" w:eastAsia="zh-CN" w:bidi="ar-SA"/>
        </w:rPr>
        <w:t>、</w:t>
      </w:r>
      <w:r>
        <w:rPr>
          <w:rFonts w:hint="eastAsia" w:ascii="宋体" w:hAnsi="宋体" w:eastAsia="宋体" w:cs="宋体"/>
          <w:b w:val="0"/>
          <w:bCs/>
          <w:iCs/>
          <w:color w:val="auto"/>
          <w:kern w:val="2"/>
          <w:sz w:val="24"/>
          <w:szCs w:val="24"/>
          <w:highlight w:val="none"/>
          <w:lang w:val="en-US" w:eastAsia="zh-CN" w:bidi="ar-SA"/>
        </w:rPr>
        <w:t>加急等任务，应在</w:t>
      </w:r>
      <w:r>
        <w:rPr>
          <w:rFonts w:hint="eastAsia" w:ascii="宋体" w:hAnsi="宋体" w:cs="宋体"/>
          <w:b w:val="0"/>
          <w:bCs/>
          <w:iCs/>
          <w:color w:val="auto"/>
          <w:kern w:val="2"/>
          <w:sz w:val="24"/>
          <w:szCs w:val="24"/>
          <w:highlight w:val="none"/>
          <w:lang w:val="en-US" w:eastAsia="zh-CN" w:bidi="ar-SA"/>
        </w:rPr>
        <w:t>采购人规定时间</w:t>
      </w:r>
      <w:r>
        <w:rPr>
          <w:rFonts w:hint="eastAsia" w:ascii="宋体" w:hAnsi="宋体" w:eastAsia="宋体" w:cs="宋体"/>
          <w:b w:val="0"/>
          <w:bCs/>
          <w:iCs/>
          <w:color w:val="auto"/>
          <w:kern w:val="2"/>
          <w:sz w:val="24"/>
          <w:szCs w:val="24"/>
          <w:highlight w:val="none"/>
          <w:lang w:val="en-US" w:eastAsia="zh-CN" w:bidi="ar-SA"/>
        </w:rPr>
        <w:t>内出具报告。</w:t>
      </w:r>
    </w:p>
    <w:p w14:paraId="613C4945">
      <w:pPr>
        <w:pStyle w:val="4"/>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GB"/>
        </w:rPr>
        <w:t>抽检全部要求通过</w:t>
      </w:r>
      <w:r>
        <w:rPr>
          <w:rFonts w:hint="eastAsia" w:ascii="宋体" w:hAnsi="宋体" w:cs="宋体"/>
          <w:color w:val="auto"/>
          <w:sz w:val="24"/>
          <w:szCs w:val="24"/>
          <w:highlight w:val="none"/>
        </w:rPr>
        <w:t>国家食品安全抽样检验信息系统进行</w:t>
      </w:r>
      <w:r>
        <w:rPr>
          <w:rFonts w:hint="eastAsia" w:ascii="宋体" w:hAnsi="宋体" w:cs="宋体"/>
          <w:color w:val="auto"/>
          <w:sz w:val="24"/>
          <w:szCs w:val="24"/>
          <w:highlight w:val="none"/>
          <w:lang w:val="en-GB"/>
        </w:rPr>
        <w:t>操作，并在规定时间内在</w:t>
      </w:r>
      <w:r>
        <w:rPr>
          <w:rFonts w:hint="eastAsia" w:ascii="宋体" w:hAnsi="宋体" w:cs="宋体"/>
          <w:color w:val="auto"/>
          <w:sz w:val="24"/>
          <w:szCs w:val="24"/>
          <w:highlight w:val="none"/>
        </w:rPr>
        <w:t>国家食品安全抽样检验信息系统</w:t>
      </w:r>
      <w:r>
        <w:rPr>
          <w:rFonts w:hint="eastAsia" w:ascii="宋体" w:hAnsi="宋体" w:cs="宋体"/>
          <w:color w:val="auto"/>
          <w:sz w:val="24"/>
          <w:szCs w:val="24"/>
          <w:highlight w:val="none"/>
          <w:lang w:val="en-GB"/>
        </w:rPr>
        <w:t>出具报告，每月向采购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val="en-GB"/>
        </w:rPr>
        <w:t>报送相关抽检汇总表，每半年和一年向采购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val="en-GB"/>
        </w:rPr>
        <w:t>报送抽检质量分析报告和风险分析报告。 省局对省“食品安全风险管理平台”上有要求的需满足其要求。</w:t>
      </w:r>
    </w:p>
    <w:p w14:paraId="53D58787">
      <w:pPr>
        <w:spacing w:line="5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、其他要求</w:t>
      </w:r>
    </w:p>
    <w:p w14:paraId="2F1F9ADD">
      <w:pPr>
        <w:pStyle w:val="27"/>
        <w:widowControl w:val="0"/>
        <w:snapToGrid w:val="0"/>
        <w:spacing w:line="500" w:lineRule="exact"/>
        <w:ind w:firstLine="480" w:firstLineChars="200"/>
        <w:jc w:val="left"/>
        <w:rPr>
          <w:rFonts w:hint="eastAsia" w:ascii="宋体" w:hAnsi="宋体" w:eastAsia="宋体" w:cs="宋体"/>
          <w:b w:val="0"/>
          <w:color w:val="auto"/>
          <w:sz w:val="24"/>
          <w:szCs w:val="24"/>
          <w:highlight w:val="none"/>
          <w:lang w:val="en-GB" w:eastAsia="zh-CN" w:bidi="ar-SA"/>
        </w:rPr>
      </w:pPr>
      <w:r>
        <w:rPr>
          <w:rFonts w:hint="eastAsia" w:ascii="宋体" w:hAnsi="宋体" w:eastAsia="宋体" w:cs="宋体"/>
          <w:b w:val="0"/>
          <w:color w:val="auto"/>
          <w:sz w:val="24"/>
          <w:szCs w:val="24"/>
          <w:highlight w:val="none"/>
          <w:lang w:val="en-GB" w:eastAsia="zh-CN" w:bidi="ar-SA"/>
        </w:rPr>
        <w:t>1、</w:t>
      </w:r>
      <w:r>
        <w:rPr>
          <w:rFonts w:hint="eastAsia" w:ascii="宋体" w:hAnsi="宋体" w:cs="宋体"/>
          <w:b w:val="0"/>
          <w:color w:val="auto"/>
          <w:sz w:val="24"/>
          <w:szCs w:val="24"/>
          <w:highlight w:val="none"/>
          <w:lang w:val="en-US" w:eastAsia="zh-CN" w:bidi="ar-SA"/>
        </w:rPr>
        <w:t>供应商</w:t>
      </w:r>
      <w:r>
        <w:rPr>
          <w:rFonts w:hint="eastAsia" w:ascii="宋体" w:hAnsi="宋体" w:eastAsia="宋体" w:cs="宋体"/>
          <w:b w:val="0"/>
          <w:color w:val="auto"/>
          <w:sz w:val="24"/>
          <w:szCs w:val="24"/>
          <w:highlight w:val="none"/>
          <w:lang w:val="en-GB" w:eastAsia="zh-CN" w:bidi="ar-SA"/>
        </w:rPr>
        <w:t>必须满足健康浙江市级考核要求，监督性抽检检测参数覆盖率达到95%以上。</w:t>
      </w:r>
    </w:p>
    <w:p w14:paraId="62CB08F1">
      <w:pPr>
        <w:spacing w:line="360" w:lineRule="auto"/>
        <w:ind w:firstLine="480" w:firstLineChars="200"/>
        <w:jc w:val="left"/>
        <w:outlineLvl w:val="0"/>
        <w:rPr>
          <w:rFonts w:hint="eastAsia" w:ascii="宋体" w:hAnsi="宋体" w:eastAsia="宋体" w:cs="宋体"/>
          <w:b w:val="0"/>
          <w:color w:val="auto"/>
          <w:sz w:val="24"/>
          <w:szCs w:val="24"/>
          <w:highlight w:val="none"/>
          <w:lang w:val="en-GB" w:eastAsia="zh-CN" w:bidi="ar-SA"/>
        </w:rPr>
      </w:pPr>
      <w:r>
        <w:rPr>
          <w:rFonts w:hint="eastAsia" w:ascii="宋体" w:hAnsi="宋体" w:cs="宋体"/>
          <w:b w:val="0"/>
          <w:color w:val="auto"/>
          <w:sz w:val="24"/>
          <w:szCs w:val="24"/>
          <w:highlight w:val="none"/>
          <w:lang w:val="en-US" w:eastAsia="zh-CN" w:bidi="ar-SA"/>
        </w:rPr>
        <w:t>2</w:t>
      </w:r>
      <w:r>
        <w:rPr>
          <w:rFonts w:hint="eastAsia" w:ascii="宋体" w:hAnsi="宋体" w:eastAsia="宋体" w:cs="宋体"/>
          <w:b w:val="0"/>
          <w:color w:val="auto"/>
          <w:sz w:val="24"/>
          <w:szCs w:val="24"/>
          <w:highlight w:val="none"/>
          <w:lang w:val="en-GB" w:eastAsia="zh-CN" w:bidi="ar-SA"/>
        </w:rPr>
        <w:t>、样品由</w:t>
      </w:r>
      <w:r>
        <w:rPr>
          <w:rFonts w:hint="eastAsia" w:ascii="宋体" w:hAnsi="宋体" w:cs="宋体"/>
          <w:b w:val="0"/>
          <w:color w:val="auto"/>
          <w:sz w:val="24"/>
          <w:szCs w:val="24"/>
          <w:highlight w:val="none"/>
          <w:lang w:val="en-US" w:eastAsia="zh-CN" w:bidi="ar-SA"/>
        </w:rPr>
        <w:t>抽样</w:t>
      </w:r>
      <w:r>
        <w:rPr>
          <w:rFonts w:hint="eastAsia" w:ascii="宋体" w:hAnsi="宋体" w:eastAsia="宋体" w:cs="宋体"/>
          <w:b w:val="0"/>
          <w:color w:val="auto"/>
          <w:sz w:val="24"/>
          <w:szCs w:val="24"/>
          <w:highlight w:val="none"/>
          <w:lang w:val="en-GB" w:eastAsia="zh-CN" w:bidi="ar-SA"/>
        </w:rPr>
        <w:t>人员统一采集，严格按照规定的抽样方法抽取样品，食用农产品的抽样场所覆盖各类餐饮单位、各类超市、商店、农贸市场等业态。批次</w:t>
      </w:r>
      <w:r>
        <w:rPr>
          <w:rFonts w:hint="eastAsia" w:ascii="宋体" w:hAnsi="宋体" w:cs="宋体"/>
          <w:b w:val="0"/>
          <w:color w:val="auto"/>
          <w:sz w:val="24"/>
          <w:szCs w:val="24"/>
          <w:highlight w:val="none"/>
          <w:lang w:val="en-US" w:eastAsia="zh-CN" w:bidi="ar-SA"/>
        </w:rPr>
        <w:t>数量如若</w:t>
      </w:r>
      <w:r>
        <w:rPr>
          <w:rFonts w:hint="eastAsia" w:ascii="宋体" w:hAnsi="宋体" w:eastAsia="宋体" w:cs="宋体"/>
          <w:b w:val="0"/>
          <w:color w:val="auto"/>
          <w:sz w:val="24"/>
          <w:szCs w:val="24"/>
          <w:highlight w:val="none"/>
          <w:lang w:val="en-GB" w:eastAsia="zh-CN" w:bidi="ar-SA"/>
        </w:rPr>
        <w:t>不足，</w:t>
      </w:r>
      <w:r>
        <w:rPr>
          <w:rFonts w:hint="eastAsia" w:ascii="宋体" w:hAnsi="宋体" w:cs="宋体"/>
          <w:b w:val="0"/>
          <w:color w:val="auto"/>
          <w:sz w:val="24"/>
          <w:szCs w:val="24"/>
          <w:highlight w:val="none"/>
          <w:lang w:val="en-US" w:eastAsia="zh-CN" w:bidi="ar-SA"/>
        </w:rPr>
        <w:t>可</w:t>
      </w:r>
      <w:r>
        <w:rPr>
          <w:rFonts w:hint="eastAsia" w:ascii="宋体" w:hAnsi="宋体" w:eastAsia="宋体" w:cs="宋体"/>
          <w:b w:val="0"/>
          <w:color w:val="auto"/>
          <w:sz w:val="24"/>
          <w:szCs w:val="24"/>
          <w:highlight w:val="none"/>
          <w:lang w:val="en-GB" w:eastAsia="zh-CN" w:bidi="ar-SA"/>
        </w:rPr>
        <w:t>增加相应业态的品种</w:t>
      </w:r>
      <w:r>
        <w:rPr>
          <w:rFonts w:hint="eastAsia" w:ascii="宋体" w:hAnsi="宋体" w:cs="宋体"/>
          <w:b w:val="0"/>
          <w:color w:val="auto"/>
          <w:sz w:val="24"/>
          <w:szCs w:val="24"/>
          <w:highlight w:val="none"/>
          <w:lang w:val="en-US" w:eastAsia="zh-CN" w:bidi="ar-SA"/>
        </w:rPr>
        <w:t>进行</w:t>
      </w:r>
      <w:r>
        <w:rPr>
          <w:rFonts w:hint="eastAsia" w:ascii="宋体" w:hAnsi="宋体" w:eastAsia="宋体" w:cs="宋体"/>
          <w:b w:val="0"/>
          <w:color w:val="auto"/>
          <w:sz w:val="24"/>
          <w:szCs w:val="24"/>
          <w:highlight w:val="none"/>
          <w:lang w:val="en-GB" w:eastAsia="zh-CN" w:bidi="ar-SA"/>
        </w:rPr>
        <w:t>补足。抽取样品需由检验机构协助，买样费由抽样单位支付。食品安全抽样工作应当遵守随机选取抽样对象、随机确定抽样人员的要求，并按相关检验细则、标准要求抽取适量样品；按要求填写抽样单，上传相关抽样照片，并由被抽样单位负责人及</w:t>
      </w:r>
      <w:r>
        <w:rPr>
          <w:rFonts w:hint="eastAsia" w:ascii="宋体" w:hAnsi="宋体" w:cs="宋体"/>
          <w:b w:val="0"/>
          <w:color w:val="auto"/>
          <w:sz w:val="24"/>
          <w:szCs w:val="24"/>
          <w:highlight w:val="none"/>
          <w:lang w:val="en-US" w:eastAsia="zh-CN" w:bidi="ar-SA"/>
        </w:rPr>
        <w:t>抽样</w:t>
      </w:r>
      <w:r>
        <w:rPr>
          <w:rFonts w:hint="eastAsia" w:ascii="宋体" w:hAnsi="宋体" w:eastAsia="宋体" w:cs="宋体"/>
          <w:b w:val="0"/>
          <w:color w:val="auto"/>
          <w:sz w:val="24"/>
          <w:szCs w:val="24"/>
          <w:highlight w:val="none"/>
          <w:lang w:val="en-GB" w:eastAsia="zh-CN" w:bidi="ar-SA"/>
        </w:rPr>
        <w:t>人员签名；检验机构需按要求交接被抽样样品，并按要求运输样品。</w:t>
      </w:r>
    </w:p>
    <w:p w14:paraId="232776D5">
      <w:pPr>
        <w:spacing w:line="360" w:lineRule="auto"/>
        <w:ind w:firstLine="480" w:firstLineChars="200"/>
        <w:jc w:val="left"/>
        <w:outlineLvl w:val="0"/>
        <w:rPr>
          <w:rFonts w:hint="eastAsia" w:ascii="宋体" w:hAnsi="宋体" w:eastAsia="宋体" w:cs="宋体"/>
          <w:b w:val="0"/>
          <w:color w:val="auto"/>
          <w:sz w:val="24"/>
          <w:szCs w:val="24"/>
          <w:highlight w:val="none"/>
          <w:lang w:val="en-GB" w:eastAsia="zh-CN" w:bidi="ar-SA"/>
        </w:rPr>
      </w:pPr>
      <w:r>
        <w:rPr>
          <w:rFonts w:hint="eastAsia" w:ascii="宋体" w:hAnsi="宋体" w:cs="宋体"/>
          <w:b w:val="0"/>
          <w:color w:val="auto"/>
          <w:sz w:val="24"/>
          <w:szCs w:val="24"/>
          <w:highlight w:val="none"/>
          <w:lang w:val="en-US" w:eastAsia="zh-CN" w:bidi="ar-SA"/>
        </w:rPr>
        <w:t>3</w:t>
      </w:r>
      <w:r>
        <w:rPr>
          <w:rFonts w:hint="eastAsia" w:ascii="宋体" w:hAnsi="宋体" w:eastAsia="宋体" w:cs="宋体"/>
          <w:b w:val="0"/>
          <w:color w:val="auto"/>
          <w:sz w:val="24"/>
          <w:szCs w:val="24"/>
          <w:highlight w:val="none"/>
          <w:lang w:val="en-GB" w:eastAsia="zh-CN" w:bidi="ar-SA"/>
        </w:rPr>
        <w:t>、</w:t>
      </w:r>
      <w:r>
        <w:rPr>
          <w:rFonts w:hint="eastAsia" w:ascii="宋体" w:hAnsi="宋体" w:eastAsia="宋体" w:cs="宋体"/>
          <w:b w:val="0"/>
          <w:color w:val="auto"/>
          <w:sz w:val="24"/>
          <w:szCs w:val="24"/>
          <w:highlight w:val="none"/>
          <w:lang w:val="en-US" w:eastAsia="zh-CN" w:bidi="ar-SA"/>
        </w:rPr>
        <w:t>供应商</w:t>
      </w:r>
      <w:r>
        <w:rPr>
          <w:rFonts w:hint="eastAsia" w:ascii="宋体" w:hAnsi="宋体" w:eastAsia="宋体" w:cs="宋体"/>
          <w:b w:val="0"/>
          <w:color w:val="auto"/>
          <w:sz w:val="24"/>
          <w:szCs w:val="24"/>
          <w:highlight w:val="none"/>
          <w:lang w:val="en-GB" w:eastAsia="zh-CN" w:bidi="ar-SA"/>
        </w:rPr>
        <w:t>需协助</w:t>
      </w:r>
      <w:r>
        <w:rPr>
          <w:rFonts w:hint="eastAsia" w:ascii="宋体" w:hAnsi="宋体" w:eastAsia="宋体" w:cs="宋体"/>
          <w:b w:val="0"/>
          <w:color w:val="auto"/>
          <w:sz w:val="24"/>
          <w:szCs w:val="24"/>
          <w:highlight w:val="none"/>
          <w:lang w:val="en-US" w:eastAsia="zh-CN" w:bidi="ar-SA"/>
        </w:rPr>
        <w:t>采购</w:t>
      </w:r>
      <w:r>
        <w:rPr>
          <w:rFonts w:hint="eastAsia" w:ascii="宋体" w:hAnsi="宋体" w:cs="宋体"/>
          <w:b w:val="0"/>
          <w:color w:val="auto"/>
          <w:sz w:val="24"/>
          <w:szCs w:val="24"/>
          <w:highlight w:val="none"/>
          <w:lang w:val="en-US" w:eastAsia="zh-CN" w:bidi="ar-SA"/>
        </w:rPr>
        <w:t>人</w:t>
      </w:r>
      <w:r>
        <w:rPr>
          <w:rFonts w:hint="eastAsia" w:ascii="宋体" w:hAnsi="宋体" w:eastAsia="宋体" w:cs="宋体"/>
          <w:b w:val="0"/>
          <w:color w:val="auto"/>
          <w:sz w:val="24"/>
          <w:szCs w:val="24"/>
          <w:highlight w:val="none"/>
          <w:lang w:val="en-GB" w:eastAsia="zh-CN" w:bidi="ar-SA"/>
        </w:rPr>
        <w:t>完成所有食品监督抽样工作。</w:t>
      </w:r>
    </w:p>
    <w:p w14:paraId="5CEF52BE">
      <w:pPr>
        <w:spacing w:line="360" w:lineRule="auto"/>
        <w:ind w:firstLine="480" w:firstLineChars="200"/>
        <w:jc w:val="left"/>
        <w:outlineLvl w:val="0"/>
        <w:rPr>
          <w:rFonts w:hint="eastAsia" w:ascii="宋体" w:hAnsi="宋体" w:eastAsia="宋体" w:cs="宋体"/>
          <w:b w:val="0"/>
          <w:color w:val="auto"/>
          <w:sz w:val="24"/>
          <w:szCs w:val="24"/>
          <w:highlight w:val="none"/>
          <w:lang w:val="en-GB" w:eastAsia="zh-CN" w:bidi="ar-SA"/>
        </w:rPr>
      </w:pPr>
      <w:r>
        <w:rPr>
          <w:rFonts w:hint="eastAsia" w:ascii="宋体" w:hAnsi="宋体" w:cs="宋体"/>
          <w:b w:val="0"/>
          <w:color w:val="auto"/>
          <w:sz w:val="24"/>
          <w:szCs w:val="24"/>
          <w:highlight w:val="none"/>
          <w:lang w:val="en-US" w:eastAsia="zh-CN" w:bidi="ar-SA"/>
        </w:rPr>
        <w:t>4、</w:t>
      </w:r>
      <w:r>
        <w:rPr>
          <w:rFonts w:hint="eastAsia" w:cs="Times New Roman"/>
          <w:b w:val="0"/>
          <w:bCs/>
          <w:color w:val="auto"/>
          <w:sz w:val="24"/>
          <w:highlight w:val="none"/>
          <w:lang w:val="en-US" w:eastAsia="zh-CN"/>
        </w:rPr>
        <w:t>采购人购买样品时，买样费由中标人垫付，中标人凭采购人购买样品时出具的绍兴市上虞区食品抽检买样单每半年进行结算。</w:t>
      </w:r>
    </w:p>
    <w:p w14:paraId="367F1773">
      <w:pPr>
        <w:spacing w:line="50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、验收要求</w:t>
      </w:r>
    </w:p>
    <w:p w14:paraId="442CAD6A">
      <w:pPr>
        <w:pStyle w:val="4"/>
        <w:spacing w:line="360" w:lineRule="auto"/>
        <w:rPr>
          <w:rFonts w:hint="eastAsia" w:ascii="宋体" w:hAnsi="宋体" w:cs="宋体"/>
          <w:bCs/>
          <w:color w:val="auto"/>
          <w:kern w:val="44"/>
          <w:sz w:val="24"/>
          <w:szCs w:val="24"/>
          <w:highlight w:val="none"/>
        </w:rPr>
      </w:pPr>
      <w:r>
        <w:rPr>
          <w:rFonts w:hint="eastAsia" w:ascii="宋体" w:hAnsi="宋体" w:cs="宋体"/>
          <w:bCs/>
          <w:color w:val="auto"/>
          <w:kern w:val="44"/>
          <w:sz w:val="24"/>
          <w:szCs w:val="24"/>
          <w:highlight w:val="none"/>
        </w:rPr>
        <w:t>按照国家相关质量标准、技术规范要求、合同规定的验收标准及招、投标文件的要求，</w:t>
      </w:r>
      <w:r>
        <w:rPr>
          <w:rFonts w:hint="eastAsia" w:ascii="宋体" w:hAnsi="宋体" w:cs="宋体"/>
          <w:bCs/>
          <w:color w:val="auto"/>
          <w:kern w:val="44"/>
          <w:sz w:val="24"/>
          <w:szCs w:val="24"/>
          <w:highlight w:val="none"/>
          <w:lang w:val="en-US" w:eastAsia="zh-CN"/>
        </w:rPr>
        <w:t>由采购人</w:t>
      </w:r>
      <w:r>
        <w:rPr>
          <w:rFonts w:hint="eastAsia" w:ascii="宋体" w:hAnsi="宋体" w:cs="宋体"/>
          <w:bCs/>
          <w:color w:val="auto"/>
          <w:kern w:val="44"/>
          <w:sz w:val="24"/>
          <w:szCs w:val="24"/>
          <w:highlight w:val="none"/>
        </w:rPr>
        <w:t>组织相关部门、人员进行验收。</w:t>
      </w:r>
    </w:p>
    <w:p w14:paraId="71C195F3">
      <w:pPr>
        <w:numPr>
          <w:ilvl w:val="0"/>
          <w:numId w:val="15"/>
        </w:numPr>
        <w:spacing w:line="50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服务期限</w:t>
      </w:r>
    </w:p>
    <w:p w14:paraId="6758E3CB">
      <w:pPr>
        <w:pStyle w:val="4"/>
        <w:spacing w:line="360" w:lineRule="auto"/>
        <w:rPr>
          <w:rFonts w:hint="default" w:ascii="宋体" w:hAnsi="宋体" w:eastAsia="宋体" w:cs="宋体"/>
          <w:bCs/>
          <w:color w:val="auto"/>
          <w:kern w:val="44"/>
          <w:sz w:val="24"/>
          <w:szCs w:val="24"/>
          <w:highlight w:val="none"/>
          <w:lang w:val="en-US" w:eastAsia="zh-CN"/>
        </w:rPr>
      </w:pPr>
      <w:r>
        <w:rPr>
          <w:rFonts w:hint="eastAsia" w:ascii="宋体" w:hAnsi="宋体" w:eastAsia="宋体" w:cs="宋体"/>
          <w:bCs/>
          <w:color w:val="auto"/>
          <w:kern w:val="44"/>
          <w:sz w:val="24"/>
          <w:szCs w:val="24"/>
          <w:highlight w:val="none"/>
          <w:lang w:val="en-US" w:eastAsia="zh-CN"/>
        </w:rPr>
        <w:t>自合同签订之日起一年。</w:t>
      </w:r>
    </w:p>
    <w:p w14:paraId="08C5615F">
      <w:pPr>
        <w:numPr>
          <w:ilvl w:val="0"/>
          <w:numId w:val="0"/>
        </w:numPr>
        <w:rPr>
          <w:rFonts w:hint="default"/>
          <w:color w:val="auto"/>
          <w:highlight w:val="none"/>
          <w:lang w:val="en-US" w:eastAsia="zh-CN"/>
        </w:rPr>
      </w:pPr>
    </w:p>
    <w:p w14:paraId="36B71C01">
      <w:pPr>
        <w:pStyle w:val="4"/>
        <w:rPr>
          <w:rFonts w:hint="eastAsia"/>
          <w:color w:val="auto"/>
          <w:highlight w:val="none"/>
          <w:lang w:val="en-US" w:eastAsia="zh-CN"/>
        </w:rPr>
      </w:pPr>
      <w:bookmarkStart w:id="72" w:name="_Toc12256"/>
      <w:bookmarkStart w:id="73" w:name="_Toc22912"/>
      <w:bookmarkStart w:id="74" w:name="_Toc21027"/>
      <w:bookmarkStart w:id="75" w:name="_Toc506107121"/>
    </w:p>
    <w:p w14:paraId="61AFAE71">
      <w:pPr>
        <w:pStyle w:val="3"/>
        <w:numPr>
          <w:ilvl w:val="0"/>
          <w:numId w:val="0"/>
        </w:numPr>
        <w:bidi w:val="0"/>
        <w:ind w:leftChars="0"/>
        <w:jc w:val="center"/>
        <w:rPr>
          <w:color w:val="auto"/>
          <w:highlight w:val="none"/>
        </w:rPr>
      </w:pPr>
      <w:bookmarkStart w:id="76" w:name="_Toc18762"/>
      <w:r>
        <w:rPr>
          <w:rFonts w:hint="eastAsia"/>
          <w:color w:val="auto"/>
          <w:highlight w:val="none"/>
          <w:lang w:val="en-US" w:eastAsia="zh-CN"/>
        </w:rPr>
        <w:t xml:space="preserve">第二章 </w:t>
      </w:r>
      <w:r>
        <w:rPr>
          <w:rFonts w:hint="eastAsia"/>
          <w:color w:val="auto"/>
          <w:highlight w:val="none"/>
        </w:rPr>
        <w:t>付款方式及要求</w:t>
      </w:r>
      <w:bookmarkEnd w:id="72"/>
      <w:bookmarkEnd w:id="73"/>
      <w:bookmarkEnd w:id="74"/>
      <w:bookmarkEnd w:id="75"/>
      <w:bookmarkEnd w:id="76"/>
    </w:p>
    <w:p w14:paraId="4CFD5995">
      <w:pPr>
        <w:spacing w:line="500" w:lineRule="exact"/>
        <w:ind w:firstLine="602" w:firstLineChars="250"/>
        <w:rPr>
          <w:rFonts w:hint="default"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一、付款方式：</w:t>
      </w:r>
    </w:p>
    <w:p w14:paraId="2B8B9D03">
      <w:pPr>
        <w:spacing w:line="500" w:lineRule="exact"/>
        <w:ind w:firstLine="600" w:firstLineChars="250"/>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（1）合同签订且具备实施条件后七个工作日内支付合同价款的40%。</w:t>
      </w:r>
    </w:p>
    <w:p w14:paraId="518D50FF">
      <w:pPr>
        <w:spacing w:line="500" w:lineRule="exact"/>
        <w:ind w:firstLine="600" w:firstLineChars="250"/>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（2）待中标人完成项目全部工作内容并经由采购人验收合格后一次性付清余款。</w:t>
      </w:r>
    </w:p>
    <w:p w14:paraId="2B1B9952">
      <w:pPr>
        <w:spacing w:line="500" w:lineRule="exact"/>
        <w:ind w:firstLine="600" w:firstLineChars="250"/>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（3）批次总量增加的，按中标价进行结算</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但采购金额不得超过原</w:t>
      </w:r>
      <w:r>
        <w:rPr>
          <w:rFonts w:hint="eastAsia" w:cs="Times New Roman"/>
          <w:b w:val="0"/>
          <w:bCs/>
          <w:color w:val="auto"/>
          <w:sz w:val="24"/>
          <w:highlight w:val="none"/>
          <w:lang w:val="en-US" w:eastAsia="zh-CN"/>
        </w:rPr>
        <w:t>合同</w:t>
      </w:r>
      <w:r>
        <w:rPr>
          <w:rFonts w:hint="eastAsia" w:ascii="Times New Roman" w:hAnsi="Times New Roman" w:eastAsia="宋体" w:cs="Times New Roman"/>
          <w:b w:val="0"/>
          <w:bCs/>
          <w:color w:val="auto"/>
          <w:sz w:val="24"/>
          <w:highlight w:val="none"/>
          <w:lang w:val="en-US" w:eastAsia="zh-CN"/>
        </w:rPr>
        <w:t>采购金额的百分之十。</w:t>
      </w:r>
    </w:p>
    <w:p w14:paraId="0796BEBF">
      <w:pPr>
        <w:spacing w:line="500" w:lineRule="exact"/>
        <w:ind w:firstLine="602" w:firstLineChars="250"/>
        <w:rPr>
          <w:rFonts w:hint="eastAsia" w:ascii="宋体"/>
          <w:b/>
          <w:bCs/>
          <w:color w:val="auto"/>
          <w:kern w:val="0"/>
          <w:sz w:val="24"/>
          <w:highlight w:val="none"/>
          <w:lang w:val="en-US" w:eastAsia="zh-CN"/>
        </w:rPr>
      </w:pPr>
      <w:r>
        <w:rPr>
          <w:rFonts w:hint="eastAsia" w:ascii="宋体"/>
          <w:b/>
          <w:bCs/>
          <w:color w:val="auto"/>
          <w:kern w:val="0"/>
          <w:sz w:val="24"/>
          <w:highlight w:val="none"/>
          <w:lang w:val="en-US" w:eastAsia="zh-CN"/>
        </w:rPr>
        <w:t>二、付款要求：</w:t>
      </w:r>
    </w:p>
    <w:p w14:paraId="261DAAA4">
      <w:pPr>
        <w:spacing w:line="500" w:lineRule="exact"/>
        <w:ind w:firstLine="600" w:firstLineChars="250"/>
        <w:rPr>
          <w:rFonts w:hint="eastAsia" w:ascii="宋体" w:eastAsia="宋体"/>
          <w:color w:val="auto"/>
          <w:kern w:val="0"/>
          <w:sz w:val="24"/>
          <w:highlight w:val="none"/>
          <w:lang w:eastAsia="zh-CN"/>
        </w:rPr>
      </w:pPr>
      <w:r>
        <w:rPr>
          <w:rFonts w:hint="eastAsia" w:ascii="宋体"/>
          <w:color w:val="auto"/>
          <w:kern w:val="0"/>
          <w:sz w:val="24"/>
          <w:highlight w:val="none"/>
          <w:lang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p>
    <w:p w14:paraId="2E722BB4">
      <w:pPr>
        <w:spacing w:line="500" w:lineRule="exact"/>
        <w:ind w:firstLine="600" w:firstLineChars="250"/>
        <w:rPr>
          <w:rFonts w:hint="default"/>
          <w:color w:val="auto"/>
          <w:highlight w:val="none"/>
          <w:lang w:val="en-US" w:eastAsia="zh-CN"/>
        </w:rPr>
        <w:sectPr>
          <w:pgSz w:w="11906" w:h="16838"/>
          <w:pgMar w:top="1417" w:right="1417" w:bottom="1417" w:left="1587" w:header="851" w:footer="992" w:gutter="0"/>
          <w:cols w:space="720" w:num="1"/>
          <w:docGrid w:type="lines" w:linePitch="312" w:charSpace="0"/>
        </w:sectPr>
      </w:pPr>
      <w:r>
        <w:rPr>
          <w:rFonts w:ascii="宋体" w:hAnsi="宋体"/>
          <w:color w:val="auto"/>
          <w:sz w:val="24"/>
          <w:highlight w:val="none"/>
        </w:rPr>
        <w:br w:type="page"/>
      </w:r>
    </w:p>
    <w:p w14:paraId="6CA086C8">
      <w:pPr>
        <w:pStyle w:val="2"/>
        <w:jc w:val="center"/>
        <w:rPr>
          <w:rFonts w:cs="Times New Roman"/>
          <w:color w:val="auto"/>
          <w:sz w:val="36"/>
          <w:szCs w:val="36"/>
          <w:highlight w:val="none"/>
        </w:rPr>
      </w:pPr>
      <w:bookmarkStart w:id="77" w:name="_Toc17073"/>
      <w:r>
        <w:rPr>
          <w:rFonts w:hint="eastAsia" w:cs="宋体"/>
          <w:color w:val="auto"/>
          <w:sz w:val="36"/>
          <w:szCs w:val="36"/>
          <w:highlight w:val="none"/>
        </w:rPr>
        <w:t>第四部分 磋商原则及磋商方法</w:t>
      </w:r>
      <w:bookmarkEnd w:id="69"/>
      <w:bookmarkEnd w:id="77"/>
    </w:p>
    <w:p w14:paraId="109895D5">
      <w:pPr>
        <w:pStyle w:val="3"/>
        <w:numPr>
          <w:ilvl w:val="0"/>
          <w:numId w:val="16"/>
        </w:numPr>
        <w:jc w:val="center"/>
        <w:rPr>
          <w:rFonts w:cs="Times New Roman"/>
          <w:color w:val="auto"/>
          <w:highlight w:val="none"/>
        </w:rPr>
      </w:pPr>
      <w:bookmarkStart w:id="78" w:name="_Toc1265"/>
      <w:r>
        <w:rPr>
          <w:rFonts w:hint="eastAsia"/>
          <w:color w:val="auto"/>
          <w:highlight w:val="none"/>
        </w:rPr>
        <w:t xml:space="preserve"> </w:t>
      </w:r>
      <w:bookmarkStart w:id="79" w:name="_Toc1029"/>
      <w:r>
        <w:rPr>
          <w:rFonts w:hint="eastAsia"/>
          <w:color w:val="auto"/>
          <w:highlight w:val="none"/>
        </w:rPr>
        <w:t>磋商原则</w:t>
      </w:r>
      <w:bookmarkEnd w:id="78"/>
      <w:bookmarkEnd w:id="79"/>
    </w:p>
    <w:p w14:paraId="3EC339C2">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、本次竞争性磋商本着公平、公正、科学、择优的原则，邀请各磋商方参加报价。</w:t>
      </w:r>
    </w:p>
    <w:p w14:paraId="3CA4BB26">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04AFB900">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、磋商小组按照统一的磋商原则和磋商方法，用同一标准对所有响应性文件进行评审。</w:t>
      </w:r>
    </w:p>
    <w:p w14:paraId="5563B331">
      <w:pPr>
        <w:pStyle w:val="16"/>
        <w:spacing w:line="360" w:lineRule="auto"/>
        <w:ind w:firstLine="482" w:firstLineChars="200"/>
        <w:rPr>
          <w:rFonts w:hAnsi="宋体" w:cs="Times New Roman"/>
          <w:b/>
          <w:bCs/>
          <w:color w:val="auto"/>
          <w:sz w:val="24"/>
          <w:szCs w:val="24"/>
          <w:highlight w:val="none"/>
        </w:rPr>
      </w:pPr>
      <w:r>
        <w:rPr>
          <w:rFonts w:hAnsi="宋体"/>
          <w:b/>
          <w:bCs/>
          <w:color w:val="auto"/>
          <w:sz w:val="24"/>
          <w:szCs w:val="24"/>
          <w:highlight w:val="none"/>
        </w:rPr>
        <w:t>4</w:t>
      </w:r>
      <w:r>
        <w:rPr>
          <w:rFonts w:hint="eastAsia" w:hAnsi="宋体"/>
          <w:b/>
          <w:bCs/>
          <w:color w:val="auto"/>
          <w:sz w:val="24"/>
          <w:szCs w:val="24"/>
          <w:highlight w:val="none"/>
        </w:rPr>
        <w:t>、评审</w:t>
      </w:r>
    </w:p>
    <w:p w14:paraId="79A06C95">
      <w:pPr>
        <w:pStyle w:val="16"/>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4.1</w:t>
      </w:r>
      <w:r>
        <w:rPr>
          <w:rFonts w:hint="eastAsia" w:hAnsi="宋体"/>
          <w:color w:val="auto"/>
          <w:sz w:val="24"/>
          <w:szCs w:val="24"/>
          <w:highlight w:val="none"/>
        </w:rPr>
        <w:t>在磋商响应截止时间前按规定提交响应文件的供应商在三家（含）以上的，由采购人或采购代理机构组织进行开标。</w:t>
      </w:r>
    </w:p>
    <w:p w14:paraId="1D6148C1">
      <w:pPr>
        <w:pStyle w:val="16"/>
        <w:spacing w:line="360" w:lineRule="auto"/>
        <w:ind w:firstLine="482" w:firstLineChars="200"/>
        <w:rPr>
          <w:rFonts w:hAnsi="宋体" w:cs="Times New Roman"/>
          <w:color w:val="auto"/>
          <w:sz w:val="24"/>
          <w:szCs w:val="24"/>
          <w:highlight w:val="none"/>
        </w:rPr>
      </w:pPr>
      <w:r>
        <w:rPr>
          <w:rFonts w:hAnsi="宋体"/>
          <w:b/>
          <w:bCs/>
          <w:color w:val="auto"/>
          <w:sz w:val="24"/>
          <w:szCs w:val="24"/>
          <w:highlight w:val="none"/>
        </w:rPr>
        <w:t>4.2</w:t>
      </w:r>
      <w:r>
        <w:rPr>
          <w:rFonts w:hint="eastAsia" w:hAnsi="宋体"/>
          <w:b/>
          <w:bCs/>
          <w:color w:val="auto"/>
          <w:sz w:val="24"/>
          <w:szCs w:val="24"/>
          <w:highlight w:val="none"/>
        </w:rPr>
        <w:t>供应商登录政采云平台，用“项目采购</w:t>
      </w:r>
      <w:r>
        <w:rPr>
          <w:rFonts w:hAnsi="宋体"/>
          <w:b/>
          <w:bCs/>
          <w:color w:val="auto"/>
          <w:sz w:val="24"/>
          <w:szCs w:val="24"/>
          <w:highlight w:val="none"/>
        </w:rPr>
        <w:t>-</w:t>
      </w:r>
      <w:r>
        <w:rPr>
          <w:rFonts w:hint="eastAsia" w:hAnsi="宋体"/>
          <w:b/>
          <w:bCs/>
          <w:color w:val="auto"/>
          <w:sz w:val="24"/>
          <w:szCs w:val="24"/>
          <w:highlight w:val="none"/>
        </w:rPr>
        <w:t>开标评标”功能对电子磋商响应文件进行在线解密。在线解密电子磋商响应文件时间为开标时间起</w:t>
      </w:r>
      <w:r>
        <w:rPr>
          <w:rFonts w:hAnsi="宋体"/>
          <w:b/>
          <w:bCs/>
          <w:color w:val="auto"/>
          <w:sz w:val="24"/>
          <w:szCs w:val="24"/>
          <w:highlight w:val="none"/>
        </w:rPr>
        <w:t>30</w:t>
      </w:r>
      <w:r>
        <w:rPr>
          <w:rFonts w:hint="eastAsia" w:hAnsi="宋体"/>
          <w:b/>
          <w:bCs/>
          <w:color w:val="auto"/>
          <w:sz w:val="24"/>
          <w:szCs w:val="24"/>
          <w:highlight w:val="none"/>
        </w:rPr>
        <w:t>分钟内。若电子磋商响应文件解密失败，则由采购代理机构工作人员上传供应商提供的备份文件。</w:t>
      </w:r>
      <w:r>
        <w:rPr>
          <w:rFonts w:hint="eastAsia" w:hAnsi="宋体"/>
          <w:color w:val="auto"/>
          <w:sz w:val="24"/>
          <w:szCs w:val="24"/>
          <w:highlight w:val="none"/>
        </w:rPr>
        <w:t>备份文件（后缀名为</w:t>
      </w:r>
      <w:r>
        <w:rPr>
          <w:rFonts w:hAnsi="宋体"/>
          <w:color w:val="auto"/>
          <w:sz w:val="24"/>
          <w:szCs w:val="24"/>
          <w:highlight w:val="none"/>
        </w:rPr>
        <w:t>.bfbs</w:t>
      </w:r>
      <w:r>
        <w:rPr>
          <w:rFonts w:hint="eastAsia" w:hAnsi="宋体"/>
          <w:color w:val="auto"/>
          <w:sz w:val="24"/>
          <w:szCs w:val="24"/>
          <w:highlight w:val="none"/>
        </w:rPr>
        <w:t>）须存储在</w:t>
      </w:r>
      <w:r>
        <w:rPr>
          <w:rFonts w:hAnsi="宋体"/>
          <w:color w:val="auto"/>
          <w:sz w:val="24"/>
          <w:szCs w:val="24"/>
          <w:highlight w:val="none"/>
        </w:rPr>
        <w:t>U</w:t>
      </w:r>
      <w:r>
        <w:rPr>
          <w:rFonts w:hint="eastAsia" w:hAnsi="宋体"/>
          <w:color w:val="auto"/>
          <w:sz w:val="24"/>
          <w:szCs w:val="24"/>
          <w:highlight w:val="none"/>
        </w:rPr>
        <w:t>盘中，与上传的电子磋商响应文件一致，用信封进行密封并盖章</w:t>
      </w:r>
      <w:r>
        <w:rPr>
          <w:rFonts w:hint="eastAsia" w:hAnsi="宋体"/>
          <w:b/>
          <w:bCs/>
          <w:color w:val="auto"/>
          <w:sz w:val="24"/>
          <w:szCs w:val="24"/>
          <w:highlight w:val="none"/>
        </w:rPr>
        <w:t>（信封内仅需放入存储备份文件的</w:t>
      </w:r>
      <w:r>
        <w:rPr>
          <w:rFonts w:hAnsi="宋体"/>
          <w:b/>
          <w:bCs/>
          <w:color w:val="auto"/>
          <w:sz w:val="24"/>
          <w:szCs w:val="24"/>
          <w:highlight w:val="none"/>
        </w:rPr>
        <w:t>U</w:t>
      </w:r>
      <w:r>
        <w:rPr>
          <w:rFonts w:hint="eastAsia" w:hAnsi="宋体"/>
          <w:b/>
          <w:bCs/>
          <w:color w:val="auto"/>
          <w:sz w:val="24"/>
          <w:szCs w:val="24"/>
          <w:highlight w:val="none"/>
        </w:rPr>
        <w:t>盘）</w:t>
      </w:r>
      <w:r>
        <w:rPr>
          <w:rFonts w:hint="eastAsia" w:hAnsi="宋体"/>
          <w:color w:val="auto"/>
          <w:sz w:val="24"/>
          <w:szCs w:val="24"/>
          <w:highlight w:val="none"/>
        </w:rPr>
        <w:t>，由授权代表在磋商响应截止时间前递交至开标地点。</w:t>
      </w:r>
    </w:p>
    <w:p w14:paraId="125035E5">
      <w:pPr>
        <w:pStyle w:val="16"/>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4.3</w:t>
      </w:r>
      <w:r>
        <w:rPr>
          <w:rFonts w:hint="eastAsia" w:hAnsi="宋体"/>
          <w:color w:val="auto"/>
          <w:sz w:val="24"/>
          <w:szCs w:val="24"/>
          <w:highlight w:val="none"/>
        </w:rPr>
        <w:t>采购人按磋商文件规定的时间、地点公开开标。开标仪式由采购人或采购代理机构主持及有关人员参加。</w:t>
      </w:r>
    </w:p>
    <w:p w14:paraId="4FEED5B9">
      <w:pPr>
        <w:pStyle w:val="58"/>
        <w:spacing w:before="0"/>
        <w:ind w:firstLine="480"/>
        <w:rPr>
          <w:rFonts w:ascii="宋体"/>
          <w:color w:val="auto"/>
          <w:highlight w:val="none"/>
        </w:rPr>
      </w:pPr>
      <w:r>
        <w:rPr>
          <w:rFonts w:ascii="宋体" w:hAnsi="宋体" w:cs="宋体"/>
          <w:color w:val="auto"/>
          <w:highlight w:val="none"/>
        </w:rPr>
        <w:t>4.4</w:t>
      </w:r>
      <w:r>
        <w:rPr>
          <w:rFonts w:hint="eastAsia" w:ascii="宋体" w:hAnsi="宋体" w:cs="宋体"/>
          <w:color w:val="auto"/>
          <w:highlight w:val="none"/>
        </w:rPr>
        <w:t>本项目为电子投标项目，供应商一般不需要参加现场投标和开标，若供应商需要指派授权代表递交备份文件，则授权代表应随身携带法定代表人授权书原件于</w:t>
      </w:r>
      <w:r>
        <w:rPr>
          <w:rFonts w:hint="eastAsia" w:hAnsi="宋体" w:cs="宋体"/>
          <w:color w:val="auto"/>
          <w:highlight w:val="none"/>
        </w:rPr>
        <w:t>磋商响应</w:t>
      </w:r>
      <w:r>
        <w:rPr>
          <w:rFonts w:hint="eastAsia" w:ascii="宋体" w:hAnsi="宋体" w:cs="宋体"/>
          <w:color w:val="auto"/>
          <w:highlight w:val="none"/>
        </w:rPr>
        <w:t>截止时间前到达开标地点递交备份文件。若电子磋商响应文件正常解锁，则</w:t>
      </w:r>
      <w:r>
        <w:rPr>
          <w:rFonts w:ascii="宋体" w:hAnsi="宋体" w:cs="宋体"/>
          <w:color w:val="auto"/>
          <w:highlight w:val="none"/>
        </w:rPr>
        <w:t>U</w:t>
      </w:r>
      <w:r>
        <w:rPr>
          <w:rFonts w:hint="eastAsia" w:ascii="宋体" w:hAnsi="宋体" w:cs="宋体"/>
          <w:color w:val="auto"/>
          <w:highlight w:val="none"/>
        </w:rPr>
        <w:t>盘退还给供应商；若解锁失败，则由采购代理机构将</w:t>
      </w:r>
      <w:r>
        <w:rPr>
          <w:rFonts w:ascii="宋体" w:hAnsi="宋体" w:cs="宋体"/>
          <w:color w:val="auto"/>
          <w:highlight w:val="none"/>
        </w:rPr>
        <w:t>U</w:t>
      </w:r>
      <w:r>
        <w:rPr>
          <w:rFonts w:hint="eastAsia" w:ascii="宋体" w:hAnsi="宋体" w:cs="宋体"/>
          <w:color w:val="auto"/>
          <w:highlight w:val="none"/>
        </w:rPr>
        <w:t>盘中的备份文件上传，该</w:t>
      </w:r>
      <w:r>
        <w:rPr>
          <w:rFonts w:ascii="宋体" w:hAnsi="宋体" w:cs="宋体"/>
          <w:color w:val="auto"/>
          <w:highlight w:val="none"/>
        </w:rPr>
        <w:t>U</w:t>
      </w:r>
      <w:r>
        <w:rPr>
          <w:rFonts w:hint="eastAsia" w:ascii="宋体" w:hAnsi="宋体" w:cs="宋体"/>
          <w:color w:val="auto"/>
          <w:highlight w:val="none"/>
        </w:rPr>
        <w:t>盘将由采购代理机构保存。</w:t>
      </w:r>
    </w:p>
    <w:p w14:paraId="47C2CDBC">
      <w:pPr>
        <w:pStyle w:val="58"/>
        <w:spacing w:before="0"/>
        <w:ind w:firstLine="480"/>
        <w:rPr>
          <w:rFonts w:ascii="宋体"/>
          <w:color w:val="auto"/>
          <w:highlight w:val="none"/>
        </w:rPr>
      </w:pPr>
      <w:r>
        <w:rPr>
          <w:rFonts w:ascii="宋体" w:hAnsi="宋体" w:cs="宋体"/>
          <w:color w:val="auto"/>
          <w:highlight w:val="none"/>
        </w:rPr>
        <w:t>4.5</w:t>
      </w:r>
      <w:r>
        <w:rPr>
          <w:rFonts w:hint="eastAsia" w:ascii="宋体" w:hAnsi="宋体" w:cs="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674982">
      <w:pPr>
        <w:spacing w:line="360" w:lineRule="auto"/>
        <w:ind w:firstLine="48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、组建磋商小组</w:t>
      </w:r>
    </w:p>
    <w:p w14:paraId="4D87C93F">
      <w:pPr>
        <w:pStyle w:val="58"/>
        <w:spacing w:before="0"/>
        <w:ind w:firstLine="480"/>
        <w:rPr>
          <w:rFonts w:ascii="宋体"/>
          <w:color w:val="auto"/>
          <w:highlight w:val="none"/>
        </w:rPr>
      </w:pPr>
      <w:r>
        <w:rPr>
          <w:rFonts w:ascii="宋体" w:hAnsi="宋体" w:cs="宋体"/>
          <w:color w:val="auto"/>
          <w:highlight w:val="none"/>
        </w:rPr>
        <w:t>5.1</w:t>
      </w:r>
      <w:r>
        <w:rPr>
          <w:rFonts w:hint="eastAsia" w:ascii="宋体" w:hAnsi="宋体" w:cs="宋体"/>
          <w:color w:val="auto"/>
          <w:highlight w:val="none"/>
        </w:rPr>
        <w:t>磋商小组由采购人代表和评审专家共</w:t>
      </w:r>
      <w:r>
        <w:rPr>
          <w:rFonts w:ascii="宋体" w:hAnsi="宋体" w:cs="宋体"/>
          <w:color w:val="auto"/>
          <w:highlight w:val="none"/>
        </w:rPr>
        <w:t>3</w:t>
      </w:r>
      <w:r>
        <w:rPr>
          <w:rFonts w:hint="eastAsia" w:ascii="宋体" w:hAnsi="宋体" w:cs="宋体"/>
          <w:color w:val="auto"/>
          <w:highlight w:val="none"/>
        </w:rPr>
        <w:t>人或以上单数组成，其中评审专家人数不少于磋商小组成员总数的</w:t>
      </w:r>
      <w:r>
        <w:rPr>
          <w:rFonts w:ascii="宋体" w:hAnsi="宋体" w:cs="宋体"/>
          <w:color w:val="auto"/>
          <w:highlight w:val="none"/>
        </w:rPr>
        <w:t>2/3</w:t>
      </w:r>
      <w:r>
        <w:rPr>
          <w:rFonts w:hint="eastAsia" w:ascii="宋体" w:hAnsi="宋体" w:cs="宋体"/>
          <w:color w:val="auto"/>
          <w:highlight w:val="none"/>
        </w:rPr>
        <w:t>。</w:t>
      </w:r>
    </w:p>
    <w:p w14:paraId="159FB43B">
      <w:pPr>
        <w:pStyle w:val="58"/>
        <w:tabs>
          <w:tab w:val="left" w:pos="0"/>
        </w:tabs>
        <w:spacing w:before="0"/>
        <w:ind w:firstLine="480"/>
        <w:rPr>
          <w:rFonts w:ascii="宋体"/>
          <w:color w:val="auto"/>
          <w:highlight w:val="none"/>
          <w:lang w:val="zh-CN"/>
        </w:rPr>
      </w:pPr>
      <w:r>
        <w:rPr>
          <w:rFonts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72ED1FD9">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5D979639">
      <w:pPr>
        <w:pStyle w:val="3"/>
        <w:numPr>
          <w:ilvl w:val="0"/>
          <w:numId w:val="16"/>
        </w:numPr>
        <w:jc w:val="center"/>
        <w:rPr>
          <w:rFonts w:cs="Times New Roman"/>
          <w:color w:val="auto"/>
          <w:highlight w:val="none"/>
        </w:rPr>
      </w:pPr>
      <w:r>
        <w:rPr>
          <w:color w:val="auto"/>
          <w:highlight w:val="none"/>
        </w:rPr>
        <w:t xml:space="preserve"> </w:t>
      </w:r>
      <w:bookmarkStart w:id="80" w:name="_Toc32418"/>
      <w:bookmarkStart w:id="81" w:name="_Toc10093"/>
      <w:r>
        <w:rPr>
          <w:rFonts w:hint="eastAsia"/>
          <w:color w:val="auto"/>
          <w:highlight w:val="none"/>
        </w:rPr>
        <w:t>磋商程序</w:t>
      </w:r>
      <w:bookmarkEnd w:id="80"/>
      <w:bookmarkEnd w:id="81"/>
    </w:p>
    <w:p w14:paraId="52B1D7C9">
      <w:pPr>
        <w:snapToGrid w:val="0"/>
        <w:spacing w:line="360" w:lineRule="auto"/>
        <w:ind w:firstLine="48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、对所有响应文件的初审</w:t>
      </w:r>
    </w:p>
    <w:p w14:paraId="67CA431F">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资格审查</w:t>
      </w:r>
    </w:p>
    <w:p w14:paraId="0F51AD2F">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）开标后，磋商小组将依法对供应商的资格进行审查。</w:t>
      </w:r>
    </w:p>
    <w:p w14:paraId="1A889396">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）磋商小组依据法律法规和磋商文件的规定，对供应商的基本资格条件、特定资格条件进行审查。</w:t>
      </w:r>
    </w:p>
    <w:p w14:paraId="034AFDD7">
      <w:pPr>
        <w:adjustRightInd w:val="0"/>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color w:val="auto"/>
          <w:sz w:val="24"/>
          <w:szCs w:val="24"/>
          <w:highlight w:val="none"/>
        </w:rPr>
        <w:t>.</w:t>
      </w:r>
    </w:p>
    <w:p w14:paraId="3EB34F7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）采购人或采购代理机构将通过“信用中国”网站</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1100E010">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）磋商小组出具《供应商资格审查意见表》，供应商未按照磋商文件要求提供与基本资格条件、特定资格条件相应的有效资格证明材料的，视为供应商不具备磋商文件中规定的资格要求，其磋商无效。</w:t>
      </w:r>
    </w:p>
    <w:p w14:paraId="63B46457">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符合性审查：磋商小组依据磋商文件的规定，从响应文件的有效性、完整性和对磋商文件的响应程度进行审查，以确定是否对磋商文件的要求作出实质性响应。出现以下情况的，视为符合性不通过，磋商无效。</w:t>
      </w:r>
    </w:p>
    <w:p w14:paraId="09E56622">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）响应文件无法定代表人或其委托授权代表签名或盖章。</w:t>
      </w:r>
    </w:p>
    <w:p w14:paraId="4E0BEE14">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）响应文件内容虚假的。</w:t>
      </w:r>
    </w:p>
    <w:p w14:paraId="6BA15524">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）响应文件有采购人不能接受的附加条件的。</w:t>
      </w:r>
    </w:p>
    <w:p w14:paraId="74360E2D">
      <w:pPr>
        <w:adjustRightInd w:val="0"/>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）磋商有效期、服务期等商务条款不能满足磋商文件要求的。</w:t>
      </w:r>
    </w:p>
    <w:p w14:paraId="14764493">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）投标价格超出预算或最高限价，导致采购单位无法支付的。</w:t>
      </w:r>
    </w:p>
    <w:p w14:paraId="3FF89A93">
      <w:pPr>
        <w:widowControl/>
        <w:spacing w:line="360" w:lineRule="auto"/>
        <w:ind w:firstLine="482"/>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）磋商文件明确规定的其他无效条款的。</w:t>
      </w:r>
    </w:p>
    <w:p w14:paraId="1C47449B">
      <w:pPr>
        <w:adjustRightInd w:val="0"/>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9B21E">
      <w:pPr>
        <w:pStyle w:val="58"/>
        <w:tabs>
          <w:tab w:val="left" w:pos="0"/>
        </w:tabs>
        <w:spacing w:before="0"/>
        <w:ind w:firstLine="480"/>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磋商小组要求供应商澄清、说明或者更正响应文件应当以书面形式发出。供应商的澄清、说明或者更正应当由法定代表人或其授权代表签字或者加盖公章。由授权代表签字的，应当附法定代表人授权书。</w:t>
      </w:r>
    </w:p>
    <w:p w14:paraId="5F1130BA">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lang w:val="zh-CN"/>
        </w:rPr>
        <w:t>、磋商</w:t>
      </w:r>
    </w:p>
    <w:p w14:paraId="3760B645">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初审合格的供应商进入下一步的磋商活动。</w:t>
      </w:r>
    </w:p>
    <w:p w14:paraId="274BB00E">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14:paraId="1A69D833">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以递交响应文件的时间先后决定磋商顺序。磋商时先听取由供应商拟派的项目负责人就项目采购的重点内容进行磋商，磋商过程中由磋商小组成员提出相关问题，并由供应商拟派项目负责人进行回复与承诺。</w:t>
      </w:r>
      <w:r>
        <w:rPr>
          <w:rFonts w:ascii="宋体" w:hAnsi="宋体" w:cs="宋体"/>
          <w:color w:val="auto"/>
          <w:sz w:val="24"/>
          <w:szCs w:val="24"/>
          <w:highlight w:val="none"/>
        </w:rPr>
        <w:t xml:space="preserve"> </w:t>
      </w:r>
    </w:p>
    <w:p w14:paraId="2B9EA914">
      <w:pPr>
        <w:snapToGrid w:val="0"/>
        <w:spacing w:line="360" w:lineRule="auto"/>
        <w:ind w:firstLine="48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在磋商过程中，磋商小组可以根据磋商文件和磋商情况实质性变动采购需求中的技术、服务要求以及合同草案条款。实质性变动的内容，须经采购人代表确认。</w:t>
      </w:r>
    </w:p>
    <w:p w14:paraId="0EDBFF62">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2.5 </w:t>
      </w:r>
      <w:r>
        <w:rPr>
          <w:rFonts w:hint="eastAsia" w:ascii="宋体" w:hAnsi="宋体" w:cs="宋体"/>
          <w:color w:val="auto"/>
          <w:sz w:val="24"/>
          <w:szCs w:val="24"/>
          <w:highlight w:val="none"/>
        </w:rPr>
        <w:t>磋商文件作出的实质性变动是磋商文件的有效组成部分，磋商小组应当及时以书面形式同时通知所有参加磋商的供应商。</w:t>
      </w:r>
    </w:p>
    <w:p w14:paraId="2265081D">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2.6 </w:t>
      </w:r>
      <w:r>
        <w:rPr>
          <w:rFonts w:hint="eastAsia" w:ascii="宋体" w:hAnsi="宋体" w:cs="宋体"/>
          <w:color w:val="auto"/>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B3D0065">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符合《政府采购竞争性磋商采购方式管理暂行办法》（财库〔</w:t>
      </w:r>
      <w:r>
        <w:rPr>
          <w:rFonts w:ascii="宋体" w:hAnsi="宋体" w:cs="宋体"/>
          <w:color w:val="auto"/>
          <w:sz w:val="24"/>
          <w:szCs w:val="24"/>
          <w:highlight w:val="none"/>
        </w:rPr>
        <w:t>2014</w:t>
      </w:r>
      <w:r>
        <w:rPr>
          <w:rFonts w:hint="eastAsia" w:ascii="宋体" w:hAnsi="宋体" w:cs="宋体"/>
          <w:color w:val="auto"/>
          <w:sz w:val="24"/>
          <w:szCs w:val="24"/>
          <w:highlight w:val="none"/>
        </w:rPr>
        <w:t>〕</w:t>
      </w:r>
      <w:r>
        <w:rPr>
          <w:rFonts w:ascii="宋体" w:hAnsi="宋体" w:cs="宋体"/>
          <w:color w:val="auto"/>
          <w:sz w:val="24"/>
          <w:szCs w:val="24"/>
          <w:highlight w:val="none"/>
        </w:rPr>
        <w:t>214</w:t>
      </w:r>
      <w:r>
        <w:rPr>
          <w:rFonts w:hint="eastAsia" w:ascii="宋体" w:hAnsi="宋体" w:cs="宋体"/>
          <w:color w:val="auto"/>
          <w:sz w:val="24"/>
          <w:szCs w:val="24"/>
          <w:highlight w:val="none"/>
        </w:rPr>
        <w:t>号）第三条第四项即“市场竞争不充分的科研项目，以及需要扶持的科技成果转化项目”情形的，提交最后报价的供应商可以为</w:t>
      </w:r>
      <w:r>
        <w:rPr>
          <w:rFonts w:ascii="宋体" w:hAnsi="宋体" w:cs="宋体"/>
          <w:color w:val="auto"/>
          <w:sz w:val="24"/>
          <w:szCs w:val="24"/>
          <w:highlight w:val="none"/>
        </w:rPr>
        <w:t>2</w:t>
      </w:r>
      <w:r>
        <w:rPr>
          <w:rFonts w:hint="eastAsia" w:ascii="宋体" w:hAnsi="宋体" w:cs="宋体"/>
          <w:color w:val="auto"/>
          <w:sz w:val="24"/>
          <w:szCs w:val="24"/>
          <w:highlight w:val="none"/>
        </w:rPr>
        <w:t>家。</w:t>
      </w:r>
    </w:p>
    <w:p w14:paraId="44802E8A">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2.8 </w:t>
      </w:r>
      <w:r>
        <w:rPr>
          <w:rFonts w:hint="eastAsia" w:ascii="宋体" w:hAnsi="宋体" w:cs="宋体"/>
          <w:color w:val="auto"/>
          <w:sz w:val="24"/>
          <w:szCs w:val="24"/>
          <w:highlight w:val="none"/>
        </w:rPr>
        <w:t>采用竞争性磋商采购方式采购的政府购买服务项目（含政府和社会资本合作项目），在采购过程中符合要求的供应商（社会资本）只有</w:t>
      </w:r>
      <w:r>
        <w:rPr>
          <w:rFonts w:ascii="宋体" w:hAnsi="宋体" w:cs="宋体"/>
          <w:color w:val="auto"/>
          <w:sz w:val="24"/>
          <w:szCs w:val="24"/>
          <w:highlight w:val="none"/>
        </w:rPr>
        <w:t>2</w:t>
      </w:r>
      <w:r>
        <w:rPr>
          <w:rFonts w:hint="eastAsia" w:ascii="宋体" w:hAnsi="宋体" w:cs="宋体"/>
          <w:color w:val="auto"/>
          <w:sz w:val="24"/>
          <w:szCs w:val="24"/>
          <w:highlight w:val="none"/>
        </w:rPr>
        <w:t>家的，竞争性磋商采购活动可以继续进行。采购过程中符合要求的供应商（社会资本）只有</w:t>
      </w:r>
      <w:r>
        <w:rPr>
          <w:rFonts w:ascii="宋体" w:hAnsi="宋体" w:cs="宋体"/>
          <w:color w:val="auto"/>
          <w:sz w:val="24"/>
          <w:szCs w:val="24"/>
          <w:highlight w:val="none"/>
        </w:rPr>
        <w:t>1</w:t>
      </w:r>
      <w:r>
        <w:rPr>
          <w:rFonts w:hint="eastAsia" w:ascii="宋体" w:hAnsi="宋体" w:cs="宋体"/>
          <w:color w:val="auto"/>
          <w:sz w:val="24"/>
          <w:szCs w:val="24"/>
          <w:highlight w:val="none"/>
        </w:rPr>
        <w:t>家的，采购人（项目实施机构）或者采购代理机构应当终止竞争性磋商采购活动，发布项目终止公告并说明原因，重新开展采购活动。</w:t>
      </w:r>
    </w:p>
    <w:p w14:paraId="59BCF57C">
      <w:pPr>
        <w:snapToGrid w:val="0"/>
        <w:spacing w:line="360" w:lineRule="auto"/>
        <w:ind w:firstLine="480"/>
        <w:rPr>
          <w:rFonts w:ascii="宋体"/>
          <w:b/>
          <w:bCs/>
          <w:color w:val="auto"/>
          <w:sz w:val="24"/>
          <w:szCs w:val="24"/>
          <w:highlight w:val="none"/>
          <w:lang w:val="zh-CN"/>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lang w:val="zh-CN"/>
        </w:rPr>
        <w:t>、最后报价</w:t>
      </w:r>
    </w:p>
    <w:p w14:paraId="0D890BBF">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商务技术汇总后，供应商开启报价文件，磋商小组应当要求所有实质性响应的供应商在规定时间内提交最后报价。</w:t>
      </w:r>
    </w:p>
    <w:p w14:paraId="11DA4371">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最后报价是供应商响应文件的有效组成部分，若最后报价高于响应文件报价文件报价，则以第一次报价计入评分。</w:t>
      </w:r>
    </w:p>
    <w:p w14:paraId="77A572C0">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已提交响应文件的供应商，在提交最后报价之前，若因磋商文件实质性变动导致供应商无法满足采购需求的，允许供应商退出磋商。</w:t>
      </w:r>
    </w:p>
    <w:p w14:paraId="34EFA780">
      <w:pPr>
        <w:pStyle w:val="4"/>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、电子评标</w:t>
      </w:r>
    </w:p>
    <w:p w14:paraId="089E162C">
      <w:pPr>
        <w:pStyle w:val="4"/>
        <w:spacing w:line="360" w:lineRule="auto"/>
        <w:ind w:firstLine="0"/>
        <w:rPr>
          <w:rFonts w:ascii="宋体"/>
          <w:color w:val="auto"/>
          <w:sz w:val="24"/>
          <w:szCs w:val="24"/>
          <w:highlight w:val="none"/>
        </w:rPr>
      </w:pPr>
      <w:r>
        <w:rPr>
          <w:rFonts w:ascii="宋体" w:hAnsi="宋体" w:cs="宋体"/>
          <w:color w:val="auto"/>
          <w:sz w:val="24"/>
          <w:szCs w:val="24"/>
          <w:highlight w:val="none"/>
        </w:rPr>
        <w:t xml:space="preserve">    4.1</w:t>
      </w:r>
      <w:r>
        <w:rPr>
          <w:rFonts w:hint="eastAsia" w:ascii="宋体" w:hAnsi="宋体" w:cs="宋体"/>
          <w:color w:val="auto"/>
          <w:sz w:val="24"/>
          <w:szCs w:val="24"/>
          <w:highlight w:val="none"/>
        </w:rPr>
        <w:t>磋商活动由采购代理机构主持</w:t>
      </w:r>
      <w:r>
        <w:rPr>
          <w:rFonts w:ascii="宋体" w:cs="宋体"/>
          <w:color w:val="auto"/>
          <w:sz w:val="24"/>
          <w:szCs w:val="24"/>
          <w:highlight w:val="none"/>
        </w:rPr>
        <w:t>,</w:t>
      </w:r>
      <w:r>
        <w:rPr>
          <w:rFonts w:hint="eastAsia" w:ascii="宋体" w:hAnsi="宋体" w:cs="宋体"/>
          <w:color w:val="auto"/>
          <w:sz w:val="24"/>
          <w:szCs w:val="24"/>
          <w:highlight w:val="none"/>
        </w:rPr>
        <w:t>磋商响应截止时间后</w:t>
      </w:r>
      <w:r>
        <w:rPr>
          <w:rFonts w:ascii="宋体" w:cs="宋体"/>
          <w:color w:val="auto"/>
          <w:sz w:val="24"/>
          <w:szCs w:val="24"/>
          <w:highlight w:val="none"/>
        </w:rPr>
        <w:t>,</w:t>
      </w:r>
      <w:r>
        <w:rPr>
          <w:rFonts w:hint="eastAsia" w:ascii="宋体" w:hAnsi="宋体" w:cs="宋体"/>
          <w:color w:val="auto"/>
          <w:sz w:val="24"/>
          <w:szCs w:val="24"/>
          <w:highlight w:val="none"/>
        </w:rPr>
        <w:t>供应商登录政采云平台对电子响应文件进行在线解密；</w:t>
      </w:r>
    </w:p>
    <w:p w14:paraId="4694AA6F">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响应文件解密结束</w:t>
      </w:r>
      <w:r>
        <w:rPr>
          <w:rFonts w:ascii="宋体" w:cs="宋体"/>
          <w:color w:val="auto"/>
          <w:sz w:val="24"/>
          <w:szCs w:val="24"/>
          <w:highlight w:val="none"/>
        </w:rPr>
        <w:t>,</w:t>
      </w:r>
      <w:r>
        <w:rPr>
          <w:rFonts w:hint="eastAsia" w:ascii="宋体" w:hAnsi="宋体" w:cs="宋体"/>
          <w:color w:val="auto"/>
          <w:sz w:val="24"/>
          <w:szCs w:val="24"/>
          <w:highlight w:val="none"/>
        </w:rPr>
        <w:t>开启响应文件</w:t>
      </w:r>
      <w:r>
        <w:rPr>
          <w:rFonts w:ascii="宋体" w:cs="宋体"/>
          <w:color w:val="auto"/>
          <w:sz w:val="24"/>
          <w:szCs w:val="24"/>
          <w:highlight w:val="none"/>
        </w:rPr>
        <w:t>,</w:t>
      </w:r>
      <w:r>
        <w:rPr>
          <w:rFonts w:hint="eastAsia" w:ascii="宋体" w:hAnsi="宋体" w:cs="宋体"/>
          <w:color w:val="auto"/>
          <w:sz w:val="24"/>
          <w:szCs w:val="24"/>
          <w:highlight w:val="none"/>
        </w:rPr>
        <w:t>磋商小组对资格和商务技术响应文件进行资格审查和符合性审查；</w:t>
      </w:r>
    </w:p>
    <w:p w14:paraId="07B9A90B">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供应商按递交磋商响应文件的前后顺序决定磋商的顺序</w:t>
      </w:r>
      <w:r>
        <w:rPr>
          <w:rFonts w:ascii="宋体" w:cs="宋体"/>
          <w:color w:val="auto"/>
          <w:sz w:val="24"/>
          <w:szCs w:val="24"/>
          <w:highlight w:val="none"/>
        </w:rPr>
        <w:t>,</w:t>
      </w:r>
      <w:r>
        <w:rPr>
          <w:rFonts w:hint="eastAsia" w:ascii="宋体" w:hAnsi="宋体" w:cs="宋体"/>
          <w:color w:val="auto"/>
          <w:sz w:val="24"/>
          <w:szCs w:val="24"/>
          <w:highlight w:val="none"/>
        </w:rPr>
        <w:t>就价格、服务等认为需要磋商的内容进行磋商</w:t>
      </w:r>
      <w:r>
        <w:rPr>
          <w:rFonts w:ascii="宋体" w:cs="宋体"/>
          <w:color w:val="auto"/>
          <w:sz w:val="24"/>
          <w:szCs w:val="24"/>
          <w:highlight w:val="none"/>
        </w:rPr>
        <w:t>,</w:t>
      </w:r>
      <w:r>
        <w:rPr>
          <w:rFonts w:hint="eastAsia" w:ascii="宋体" w:hAnsi="宋体" w:cs="宋体"/>
          <w:color w:val="auto"/>
          <w:sz w:val="24"/>
          <w:szCs w:val="24"/>
          <w:highlight w:val="none"/>
        </w:rPr>
        <w:t>供应商逐家回答磋商小组的提问</w:t>
      </w:r>
      <w:r>
        <w:rPr>
          <w:rFonts w:ascii="宋体" w:cs="宋体"/>
          <w:color w:val="auto"/>
          <w:sz w:val="24"/>
          <w:szCs w:val="24"/>
          <w:highlight w:val="none"/>
        </w:rPr>
        <w:t>,</w:t>
      </w:r>
      <w:r>
        <w:rPr>
          <w:rFonts w:hint="eastAsia" w:ascii="宋体" w:hAnsi="宋体" w:cs="宋体"/>
          <w:color w:val="auto"/>
          <w:sz w:val="24"/>
          <w:szCs w:val="24"/>
          <w:highlight w:val="none"/>
        </w:rPr>
        <w:t>供应商作出最终承诺；</w:t>
      </w:r>
    </w:p>
    <w:p w14:paraId="68DC14FA">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磋商小组对商务技术响应文件进行评审；</w:t>
      </w:r>
    </w:p>
    <w:p w14:paraId="34B0D4B7">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4.5</w:t>
      </w:r>
      <w:r>
        <w:rPr>
          <w:rFonts w:hint="eastAsia" w:ascii="宋体" w:hAnsi="宋体" w:cs="宋体"/>
          <w:color w:val="auto"/>
          <w:sz w:val="24"/>
          <w:szCs w:val="24"/>
          <w:highlight w:val="none"/>
        </w:rPr>
        <w:t>商务技术汇总后，供应商开启报价文件，进行磋商二次报价（最终报价），</w:t>
      </w:r>
      <w:r>
        <w:rPr>
          <w:rFonts w:hint="eastAsia" w:ascii="宋体" w:hAnsi="宋体" w:cs="宋体"/>
          <w:b/>
          <w:bCs/>
          <w:color w:val="auto"/>
          <w:sz w:val="24"/>
          <w:szCs w:val="24"/>
          <w:highlight w:val="none"/>
        </w:rPr>
        <w:t>如果供应商在规定时间</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分钟内未提交第二次报价，视该供应商放弃本次投标，作无效标处理</w:t>
      </w:r>
      <w:r>
        <w:rPr>
          <w:rFonts w:hint="eastAsia" w:ascii="宋体" w:hAnsi="宋体" w:cs="宋体"/>
          <w:color w:val="auto"/>
          <w:sz w:val="24"/>
          <w:szCs w:val="24"/>
          <w:highlight w:val="none"/>
        </w:rPr>
        <w:t>；</w:t>
      </w:r>
    </w:p>
    <w:p w14:paraId="67E8AFE3">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4.6</w:t>
      </w:r>
      <w:r>
        <w:rPr>
          <w:rFonts w:hint="eastAsia" w:ascii="宋体" w:hAnsi="宋体" w:cs="宋体"/>
          <w:color w:val="auto"/>
          <w:sz w:val="24"/>
          <w:szCs w:val="24"/>
          <w:highlight w:val="none"/>
        </w:rPr>
        <w:t>在系统上开启最终报价情况；</w:t>
      </w:r>
    </w:p>
    <w:p w14:paraId="6D75ED9E">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4.7</w:t>
      </w:r>
      <w:r>
        <w:rPr>
          <w:rFonts w:hint="eastAsia" w:ascii="宋体" w:hAnsi="宋体" w:cs="宋体"/>
          <w:color w:val="auto"/>
          <w:sz w:val="24"/>
          <w:szCs w:val="24"/>
          <w:highlight w:val="none"/>
        </w:rPr>
        <w:t>磋商小组对报价情况进行评审；</w:t>
      </w:r>
    </w:p>
    <w:p w14:paraId="36DF811A">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4.8</w:t>
      </w:r>
      <w:r>
        <w:rPr>
          <w:rFonts w:hint="eastAsia" w:ascii="宋体" w:hAnsi="宋体" w:cs="宋体"/>
          <w:color w:val="auto"/>
          <w:sz w:val="24"/>
          <w:szCs w:val="24"/>
          <w:highlight w:val="none"/>
        </w:rPr>
        <w:t>在系统上公开资格和商务技术评审结果；</w:t>
      </w:r>
    </w:p>
    <w:p w14:paraId="1D1B57FA">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4.9</w:t>
      </w:r>
      <w:r>
        <w:rPr>
          <w:rFonts w:hint="eastAsia" w:ascii="宋体" w:hAnsi="宋体" w:cs="宋体"/>
          <w:color w:val="auto"/>
          <w:sz w:val="24"/>
          <w:szCs w:val="24"/>
          <w:highlight w:val="none"/>
        </w:rPr>
        <w:t>在系统上公布评审结果。</w:t>
      </w:r>
    </w:p>
    <w:p w14:paraId="0D56D065">
      <w:pPr>
        <w:pStyle w:val="4"/>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4.10</w:t>
      </w:r>
      <w:r>
        <w:rPr>
          <w:rFonts w:hint="eastAsia" w:ascii="宋体" w:hAnsi="宋体" w:cs="宋体"/>
          <w:color w:val="auto"/>
          <w:sz w:val="24"/>
          <w:szCs w:val="24"/>
          <w:highlight w:val="none"/>
        </w:rPr>
        <w:t>开标会结束。</w:t>
      </w:r>
    </w:p>
    <w:p w14:paraId="26DE6A98">
      <w:pPr>
        <w:snapToGrid w:val="0"/>
        <w:spacing w:line="360" w:lineRule="auto"/>
        <w:ind w:firstLine="480" w:firstLineChars="200"/>
        <w:rPr>
          <w:rFonts w:ascii="宋体"/>
          <w:b/>
          <w:bCs/>
          <w:color w:val="auto"/>
          <w:sz w:val="24"/>
          <w:szCs w:val="24"/>
          <w:highlight w:val="none"/>
        </w:rPr>
      </w:pPr>
      <w:r>
        <w:rPr>
          <w:rFonts w:hint="eastAsia" w:ascii="宋体" w:hAnsi="宋体" w:cs="宋体"/>
          <w:color w:val="auto"/>
          <w:sz w:val="24"/>
          <w:szCs w:val="24"/>
          <w:highlight w:val="none"/>
        </w:rPr>
        <w:t>特别说明</w:t>
      </w:r>
      <w:r>
        <w:rPr>
          <w:rFonts w:ascii="宋体" w:hAnsi="宋体" w:cs="宋体"/>
          <w:color w:val="auto"/>
          <w:sz w:val="24"/>
          <w:szCs w:val="24"/>
          <w:highlight w:val="none"/>
        </w:rPr>
        <w:t>:</w:t>
      </w:r>
      <w:r>
        <w:rPr>
          <w:rFonts w:hint="eastAsia" w:ascii="宋体" w:hAnsi="宋体" w:cs="宋体"/>
          <w:color w:val="auto"/>
          <w:sz w:val="24"/>
          <w:szCs w:val="24"/>
          <w:highlight w:val="none"/>
        </w:rPr>
        <w:t>政采云如对电子化开标及评审程序有调整的</w:t>
      </w:r>
      <w:r>
        <w:rPr>
          <w:rFonts w:ascii="宋体" w:cs="宋体"/>
          <w:color w:val="auto"/>
          <w:sz w:val="24"/>
          <w:szCs w:val="24"/>
          <w:highlight w:val="none"/>
        </w:rPr>
        <w:t>,</w:t>
      </w:r>
      <w:r>
        <w:rPr>
          <w:rFonts w:hint="eastAsia" w:ascii="宋体" w:hAnsi="宋体" w:cs="宋体"/>
          <w:color w:val="auto"/>
          <w:sz w:val="24"/>
          <w:szCs w:val="24"/>
          <w:highlight w:val="none"/>
        </w:rPr>
        <w:t>按调整后的程序操作。</w:t>
      </w:r>
    </w:p>
    <w:p w14:paraId="5FD1E83D">
      <w:pPr>
        <w:snapToGrid w:val="0"/>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hint="eastAsia" w:ascii="宋体" w:hAnsi="宋体" w:cs="宋体"/>
          <w:b/>
          <w:bCs/>
          <w:color w:val="auto"/>
          <w:sz w:val="24"/>
          <w:szCs w:val="24"/>
          <w:highlight w:val="none"/>
        </w:rPr>
        <w:t>综合评分</w:t>
      </w:r>
    </w:p>
    <w:p w14:paraId="5107A31E">
      <w:pPr>
        <w:tabs>
          <w:tab w:val="left" w:pos="-1080"/>
          <w:tab w:val="left" w:pos="180"/>
          <w:tab w:val="left" w:pos="1080"/>
        </w:tabs>
        <w:snapToGrid w:val="0"/>
        <w:spacing w:line="360" w:lineRule="auto"/>
        <w:ind w:firstLine="480"/>
        <w:rPr>
          <w:rFonts w:ascii="宋体"/>
          <w:color w:val="auto"/>
          <w:kern w:val="0"/>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本评标办法采用综合评标法，由商务技术分和报价分合计组成，其中商务技术分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80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分、报价分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20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分；满分为</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2691E59E">
      <w:pPr>
        <w:spacing w:line="360" w:lineRule="auto"/>
        <w:ind w:firstLine="48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经初步评审合格的响应文件，磋商小组根据竞争性磋商文件确定的评审标准和方法，对其商务技术部分作进一步评审、比较、打分。</w:t>
      </w:r>
    </w:p>
    <w:p w14:paraId="3107C9AF">
      <w:pPr>
        <w:pStyle w:val="16"/>
        <w:spacing w:line="360" w:lineRule="auto"/>
        <w:ind w:firstLine="480" w:firstLineChars="200"/>
        <w:rPr>
          <w:rFonts w:hAnsi="宋体" w:cs="Times New Roman"/>
          <w:color w:val="auto"/>
          <w:sz w:val="24"/>
          <w:szCs w:val="24"/>
          <w:highlight w:val="none"/>
        </w:rPr>
      </w:pPr>
      <w:r>
        <w:rPr>
          <w:rFonts w:hAnsi="宋体"/>
          <w:color w:val="auto"/>
          <w:sz w:val="24"/>
          <w:szCs w:val="24"/>
          <w:highlight w:val="none"/>
        </w:rPr>
        <w:t>5.3</w:t>
      </w:r>
      <w:r>
        <w:rPr>
          <w:rFonts w:hint="eastAsia" w:hAnsi="宋体"/>
          <w:color w:val="auto"/>
          <w:sz w:val="24"/>
          <w:szCs w:val="24"/>
          <w:highlight w:val="none"/>
        </w:rPr>
        <w:t>磋商小组成员首先分别对每个供应商商务技术部分进行评审打分，然后计算出算术平均值（保留</w:t>
      </w:r>
      <w:r>
        <w:rPr>
          <w:rFonts w:hAnsi="宋体"/>
          <w:color w:val="auto"/>
          <w:sz w:val="24"/>
          <w:szCs w:val="24"/>
          <w:highlight w:val="none"/>
        </w:rPr>
        <w:t>2</w:t>
      </w:r>
      <w:r>
        <w:rPr>
          <w:rFonts w:hint="eastAsia" w:hAnsi="宋体"/>
          <w:color w:val="auto"/>
          <w:sz w:val="24"/>
          <w:szCs w:val="24"/>
          <w:highlight w:val="none"/>
        </w:rPr>
        <w:t>位小数），即为供应商的商务技术得分，后计算二次报价，计算公式：投标价格分</w:t>
      </w:r>
      <w:r>
        <w:rPr>
          <w:rFonts w:hAnsi="宋体"/>
          <w:color w:val="auto"/>
          <w:sz w:val="24"/>
          <w:szCs w:val="24"/>
          <w:highlight w:val="none"/>
        </w:rPr>
        <w:t>=(</w:t>
      </w:r>
      <w:r>
        <w:rPr>
          <w:rFonts w:hint="eastAsia" w:hAnsi="宋体"/>
          <w:color w:val="auto"/>
          <w:sz w:val="24"/>
          <w:szCs w:val="24"/>
          <w:highlight w:val="none"/>
        </w:rPr>
        <w:t>最佳报价</w:t>
      </w:r>
      <w:r>
        <w:rPr>
          <w:rFonts w:hAnsi="宋体"/>
          <w:color w:val="auto"/>
          <w:sz w:val="24"/>
          <w:szCs w:val="24"/>
          <w:highlight w:val="none"/>
        </w:rPr>
        <w:t>/</w:t>
      </w:r>
      <w:r>
        <w:rPr>
          <w:rFonts w:hint="eastAsia" w:hAnsi="宋体"/>
          <w:color w:val="auto"/>
          <w:sz w:val="24"/>
          <w:szCs w:val="24"/>
          <w:highlight w:val="none"/>
        </w:rPr>
        <w:t>投标报价</w:t>
      </w:r>
      <w:r>
        <w:rPr>
          <w:rFonts w:hAnsi="宋体"/>
          <w:color w:val="auto"/>
          <w:sz w:val="24"/>
          <w:szCs w:val="24"/>
          <w:highlight w:val="none"/>
        </w:rPr>
        <w:t>)*</w:t>
      </w:r>
      <w:r>
        <w:rPr>
          <w:rFonts w:hint="eastAsia" w:hAnsi="宋体"/>
          <w:color w:val="auto"/>
          <w:sz w:val="24"/>
          <w:szCs w:val="24"/>
          <w:highlight w:val="none"/>
        </w:rPr>
        <w:t>价格权值</w:t>
      </w:r>
      <w:r>
        <w:rPr>
          <w:rFonts w:hAnsi="宋体"/>
          <w:color w:val="auto"/>
          <w:sz w:val="24"/>
          <w:szCs w:val="24"/>
          <w:highlight w:val="none"/>
        </w:rPr>
        <w:t>*100</w:t>
      </w:r>
      <w:r>
        <w:rPr>
          <w:rFonts w:hint="eastAsia" w:hAnsi="宋体"/>
          <w:color w:val="auto"/>
          <w:sz w:val="24"/>
          <w:szCs w:val="24"/>
          <w:highlight w:val="none"/>
        </w:rPr>
        <w:t>。，综合得分</w:t>
      </w:r>
      <w:r>
        <w:rPr>
          <w:rFonts w:hAnsi="宋体"/>
          <w:color w:val="auto"/>
          <w:sz w:val="24"/>
          <w:szCs w:val="24"/>
          <w:highlight w:val="none"/>
        </w:rPr>
        <w:t>=</w:t>
      </w:r>
      <w:r>
        <w:rPr>
          <w:rFonts w:hint="eastAsia" w:hAnsi="宋体"/>
          <w:color w:val="auto"/>
          <w:sz w:val="24"/>
          <w:szCs w:val="24"/>
          <w:highlight w:val="none"/>
        </w:rPr>
        <w:t>商务技术分</w:t>
      </w:r>
      <w:r>
        <w:rPr>
          <w:rFonts w:hAnsi="宋体"/>
          <w:color w:val="auto"/>
          <w:sz w:val="24"/>
          <w:szCs w:val="24"/>
          <w:highlight w:val="none"/>
        </w:rPr>
        <w:t>+</w:t>
      </w:r>
      <w:r>
        <w:rPr>
          <w:rFonts w:hint="eastAsia" w:hAnsi="宋体"/>
          <w:color w:val="auto"/>
          <w:sz w:val="24"/>
          <w:szCs w:val="24"/>
          <w:highlight w:val="none"/>
        </w:rPr>
        <w:t>报价分，以综合得分（保留</w:t>
      </w:r>
      <w:r>
        <w:rPr>
          <w:rFonts w:hAnsi="宋体"/>
          <w:color w:val="auto"/>
          <w:sz w:val="24"/>
          <w:szCs w:val="24"/>
          <w:highlight w:val="none"/>
        </w:rPr>
        <w:t>2</w:t>
      </w:r>
      <w:r>
        <w:rPr>
          <w:rFonts w:hint="eastAsia" w:hAnsi="宋体"/>
          <w:color w:val="auto"/>
          <w:sz w:val="24"/>
          <w:szCs w:val="24"/>
          <w:highlight w:val="none"/>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051E4D9">
      <w:pPr>
        <w:pStyle w:val="16"/>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6</w:t>
      </w:r>
      <w:r>
        <w:rPr>
          <w:rFonts w:hint="eastAsia" w:hAnsi="宋体"/>
          <w:b/>
          <w:bCs/>
          <w:color w:val="auto"/>
          <w:sz w:val="24"/>
          <w:szCs w:val="24"/>
          <w:highlight w:val="none"/>
        </w:rPr>
        <w:t>、修正原则</w:t>
      </w:r>
    </w:p>
    <w:p w14:paraId="58F86B7D">
      <w:pPr>
        <w:pStyle w:val="58"/>
        <w:spacing w:before="0"/>
        <w:ind w:left="420" w:leftChars="200" w:firstLine="0" w:firstLineChars="0"/>
        <w:rPr>
          <w:rFonts w:ascii="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6CE60B4F">
      <w:pPr>
        <w:pStyle w:val="58"/>
        <w:tabs>
          <w:tab w:val="left" w:pos="0"/>
        </w:tabs>
        <w:spacing w:before="0"/>
        <w:ind w:firstLine="480"/>
        <w:rPr>
          <w:rFonts w:ascii="宋体"/>
          <w:color w:val="auto"/>
          <w:highlight w:val="none"/>
          <w:lang w:val="zh-CN"/>
        </w:rPr>
      </w:pPr>
      <w:r>
        <w:rPr>
          <w:rFonts w:ascii="宋体" w:hAnsi="宋体" w:cs="宋体"/>
          <w:color w:val="auto"/>
          <w:highlight w:val="none"/>
        </w:rPr>
        <w:t>6.1</w:t>
      </w:r>
      <w:r>
        <w:rPr>
          <w:rFonts w:hint="eastAsia" w:ascii="宋体" w:hAnsi="宋体" w:cs="宋体"/>
          <w:color w:val="auto"/>
          <w:highlight w:val="none"/>
        </w:rPr>
        <w:t>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536B6753">
      <w:pPr>
        <w:pStyle w:val="58"/>
        <w:tabs>
          <w:tab w:val="left" w:pos="0"/>
        </w:tabs>
        <w:spacing w:before="0"/>
        <w:ind w:firstLine="480"/>
        <w:rPr>
          <w:rFonts w:ascii="宋体"/>
          <w:color w:val="auto"/>
          <w:highlight w:val="none"/>
          <w:lang w:val="zh-CN"/>
        </w:rPr>
      </w:pPr>
      <w:r>
        <w:rPr>
          <w:rFonts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353FC658">
      <w:pPr>
        <w:pStyle w:val="58"/>
        <w:tabs>
          <w:tab w:val="left" w:pos="0"/>
        </w:tabs>
        <w:spacing w:before="0"/>
        <w:ind w:firstLine="480"/>
        <w:rPr>
          <w:rFonts w:ascii="宋体"/>
          <w:color w:val="auto"/>
          <w:highlight w:val="none"/>
          <w:lang w:val="zh-CN"/>
        </w:rPr>
      </w:pPr>
      <w:r>
        <w:rPr>
          <w:rFonts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2FB547F5">
      <w:pPr>
        <w:pStyle w:val="58"/>
        <w:tabs>
          <w:tab w:val="left" w:pos="0"/>
        </w:tabs>
        <w:spacing w:before="0"/>
        <w:ind w:firstLine="480"/>
        <w:rPr>
          <w:rFonts w:ascii="宋体"/>
          <w:color w:val="auto"/>
          <w:highlight w:val="none"/>
          <w:lang w:val="zh-CN"/>
        </w:rPr>
      </w:pPr>
      <w:r>
        <w:rPr>
          <w:rFonts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1A167FFE">
      <w:pPr>
        <w:pStyle w:val="58"/>
        <w:spacing w:before="0"/>
        <w:ind w:firstLine="480"/>
        <w:rPr>
          <w:rFonts w:ascii="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w:t>
      </w:r>
      <w:r>
        <w:rPr>
          <w:rFonts w:ascii="宋体" w:hAnsi="宋体" w:cs="宋体"/>
          <w:color w:val="auto"/>
          <w:highlight w:val="none"/>
          <w:lang w:val="zh-CN"/>
        </w:rPr>
        <w:t>87</w:t>
      </w:r>
      <w:r>
        <w:rPr>
          <w:rFonts w:hint="eastAsia" w:ascii="宋体" w:hAnsi="宋体" w:cs="宋体"/>
          <w:color w:val="auto"/>
          <w:highlight w:val="none"/>
          <w:lang w:val="zh-CN"/>
        </w:rPr>
        <w:t>号令</w:t>
      </w:r>
      <w:r>
        <w:rPr>
          <w:rFonts w:ascii="宋体" w:hAnsi="宋体" w:cs="宋体"/>
          <w:color w:val="auto"/>
          <w:highlight w:val="none"/>
          <w:lang w:val="zh-CN"/>
        </w:rPr>
        <w:t xml:space="preserve"> </w:t>
      </w:r>
      <w:r>
        <w:rPr>
          <w:rFonts w:hint="eastAsia" w:ascii="宋体" w:hAnsi="宋体" w:cs="宋体"/>
          <w:color w:val="auto"/>
          <w:highlight w:val="none"/>
          <w:lang w:val="zh-CN"/>
        </w:rPr>
        <w:t>《政府采购</w:t>
      </w:r>
      <w:r>
        <w:rPr>
          <w:rFonts w:hint="eastAsia" w:ascii="宋体" w:hAnsi="宋体" w:cs="宋体"/>
          <w:color w:val="auto"/>
          <w:highlight w:val="none"/>
          <w:lang w:val="en-US" w:eastAsia="zh-CN"/>
        </w:rPr>
        <w:t>货物</w:t>
      </w:r>
      <w:r>
        <w:rPr>
          <w:rFonts w:hint="eastAsia" w:ascii="宋体" w:hAnsi="宋体" w:cs="宋体"/>
          <w:color w:val="auto"/>
          <w:highlight w:val="none"/>
          <w:lang w:val="zh-CN"/>
        </w:rPr>
        <w:t>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1C5E2BC2">
      <w:pPr>
        <w:pStyle w:val="16"/>
        <w:spacing w:line="360" w:lineRule="auto"/>
        <w:ind w:left="420" w:leftChars="200"/>
        <w:rPr>
          <w:rFonts w:hAnsi="宋体" w:cs="Times New Roman"/>
          <w:b/>
          <w:bCs/>
          <w:color w:val="auto"/>
          <w:sz w:val="24"/>
          <w:szCs w:val="24"/>
          <w:highlight w:val="none"/>
        </w:rPr>
      </w:pPr>
      <w:r>
        <w:rPr>
          <w:rFonts w:hAnsi="宋体"/>
          <w:b/>
          <w:bCs/>
          <w:color w:val="auto"/>
          <w:sz w:val="24"/>
          <w:szCs w:val="24"/>
          <w:highlight w:val="none"/>
        </w:rPr>
        <w:t>7</w:t>
      </w:r>
      <w:r>
        <w:rPr>
          <w:rFonts w:hint="eastAsia" w:hAnsi="宋体"/>
          <w:b/>
          <w:bCs/>
          <w:color w:val="auto"/>
          <w:sz w:val="24"/>
          <w:szCs w:val="24"/>
          <w:highlight w:val="none"/>
        </w:rPr>
        <w:t>、响应文件的澄清</w:t>
      </w:r>
    </w:p>
    <w:p w14:paraId="7586A40E">
      <w:pPr>
        <w:pStyle w:val="58"/>
        <w:tabs>
          <w:tab w:val="left" w:pos="0"/>
        </w:tabs>
        <w:spacing w:before="0"/>
        <w:ind w:firstLine="480"/>
        <w:rPr>
          <w:rFonts w:ascii="宋体"/>
          <w:color w:val="auto"/>
          <w:highlight w:val="none"/>
          <w:lang w:val="zh-CN"/>
        </w:rPr>
      </w:pPr>
      <w:r>
        <w:rPr>
          <w:rFonts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5F3DE17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45D969CC">
      <w:pPr>
        <w:pStyle w:val="3"/>
        <w:numPr>
          <w:ilvl w:val="0"/>
          <w:numId w:val="16"/>
        </w:numPr>
        <w:jc w:val="center"/>
        <w:rPr>
          <w:rFonts w:cs="Times New Roman"/>
          <w:color w:val="auto"/>
          <w:highlight w:val="none"/>
        </w:rPr>
      </w:pPr>
      <w:r>
        <w:rPr>
          <w:color w:val="auto"/>
          <w:highlight w:val="none"/>
        </w:rPr>
        <w:t xml:space="preserve"> </w:t>
      </w:r>
      <w:bookmarkStart w:id="82" w:name="_Toc12816"/>
      <w:bookmarkStart w:id="83" w:name="_Toc15731"/>
      <w:r>
        <w:rPr>
          <w:rFonts w:hint="eastAsia"/>
          <w:color w:val="auto"/>
          <w:highlight w:val="none"/>
        </w:rPr>
        <w:t>注意事项</w:t>
      </w:r>
      <w:bookmarkEnd w:id="82"/>
      <w:bookmarkEnd w:id="83"/>
    </w:p>
    <w:p w14:paraId="1C33133B">
      <w:pPr>
        <w:pStyle w:val="4"/>
        <w:spacing w:line="360" w:lineRule="auto"/>
        <w:rPr>
          <w:b/>
          <w:bCs/>
          <w:color w:val="auto"/>
          <w:sz w:val="24"/>
          <w:szCs w:val="24"/>
          <w:highlight w:val="none"/>
        </w:rPr>
      </w:pPr>
      <w:r>
        <w:rPr>
          <w:rFonts w:hint="eastAsia"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6EC9013F">
      <w:pPr>
        <w:pStyle w:val="3"/>
        <w:numPr>
          <w:ilvl w:val="0"/>
          <w:numId w:val="17"/>
        </w:numPr>
        <w:jc w:val="center"/>
        <w:rPr>
          <w:rFonts w:cs="Times New Roman"/>
          <w:color w:val="auto"/>
          <w:highlight w:val="none"/>
        </w:rPr>
      </w:pPr>
      <w:r>
        <w:rPr>
          <w:color w:val="auto"/>
          <w:highlight w:val="none"/>
        </w:rPr>
        <w:t xml:space="preserve"> </w:t>
      </w:r>
      <w:bookmarkStart w:id="84" w:name="_Toc13782"/>
      <w:bookmarkStart w:id="85" w:name="_Toc30132"/>
      <w:r>
        <w:rPr>
          <w:rFonts w:hint="eastAsia"/>
          <w:color w:val="auto"/>
          <w:highlight w:val="none"/>
        </w:rPr>
        <w:t>评分细则</w:t>
      </w:r>
      <w:bookmarkEnd w:id="84"/>
      <w:bookmarkEnd w:id="85"/>
    </w:p>
    <w:p w14:paraId="4F088159">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p>
    <w:p w14:paraId="09D8BFF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73E0B3C0">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、本次采购最高限价规定如下：</w:t>
      </w:r>
    </w:p>
    <w:p w14:paraId="7F318C86">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本项目投标报价的最高限价</w:t>
      </w:r>
      <w:r>
        <w:rPr>
          <w:rFonts w:hint="eastAsia" w:ascii="宋体" w:hAnsi="宋体" w:cs="宋体"/>
          <w:b/>
          <w:bCs/>
          <w:color w:val="auto"/>
          <w:sz w:val="24"/>
          <w:szCs w:val="24"/>
          <w:highlight w:val="none"/>
        </w:rPr>
        <w:t>为人民币</w:t>
      </w:r>
      <w:r>
        <w:rPr>
          <w:rFonts w:hint="eastAsia" w:ascii="宋体" w:hAnsi="宋体" w:cs="宋体"/>
          <w:b/>
          <w:bCs/>
          <w:color w:val="auto"/>
          <w:sz w:val="24"/>
          <w:szCs w:val="24"/>
          <w:highlight w:val="none"/>
          <w:u w:val="single"/>
          <w:lang w:val="en-US" w:eastAsia="zh-CN"/>
        </w:rPr>
        <w:t>贰佰捌拾捌万元</w:t>
      </w:r>
      <w:r>
        <w:rPr>
          <w:rFonts w:hint="eastAsia" w:ascii="宋体" w:hAnsi="宋体" w:cs="宋体"/>
          <w:b/>
          <w:bCs/>
          <w:color w:val="auto"/>
          <w:sz w:val="24"/>
          <w:szCs w:val="24"/>
          <w:highlight w:val="none"/>
          <w:u w:val="single"/>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2880000</w:t>
      </w:r>
      <w:r>
        <w:rPr>
          <w:rFonts w:ascii="宋体" w:hAnsi="宋体" w:cs="宋体"/>
          <w:b/>
          <w:bCs/>
          <w:color w:val="auto"/>
          <w:sz w:val="24"/>
          <w:szCs w:val="24"/>
          <w:highlight w:val="none"/>
          <w:u w:val="single"/>
        </w:rPr>
        <w:t xml:space="preserve">.00 </w:t>
      </w:r>
      <w:r>
        <w:rPr>
          <w:rFonts w:hint="eastAsia" w:ascii="宋体" w:hAnsi="宋体" w:cs="宋体"/>
          <w:b/>
          <w:bCs/>
          <w:color w:val="auto"/>
          <w:sz w:val="24"/>
          <w:szCs w:val="24"/>
          <w:highlight w:val="none"/>
        </w:rPr>
        <w:t>元）。</w:t>
      </w:r>
    </w:p>
    <w:p w14:paraId="18772E29">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标</w:t>
      </w:r>
      <w:r>
        <w:rPr>
          <w:rFonts w:hint="eastAsia" w:ascii="宋体" w:hAnsi="宋体" w:cs="宋体"/>
          <w:b/>
          <w:bCs/>
          <w:color w:val="auto"/>
          <w:sz w:val="24"/>
          <w:szCs w:val="24"/>
          <w:highlight w:val="none"/>
          <w:lang w:val="en-US" w:eastAsia="zh-CN"/>
        </w:rPr>
        <w:t>段一</w:t>
      </w:r>
      <w:r>
        <w:rPr>
          <w:rFonts w:hint="eastAsia" w:ascii="宋体" w:hAnsi="宋体" w:cs="宋体"/>
          <w:b/>
          <w:bCs/>
          <w:color w:val="auto"/>
          <w:sz w:val="24"/>
          <w:szCs w:val="24"/>
          <w:highlight w:val="none"/>
        </w:rPr>
        <w:t>最高限价为人民币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壹佰肆拾肆万</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14400</w:t>
      </w:r>
      <w:r>
        <w:rPr>
          <w:rFonts w:hint="eastAsia" w:ascii="宋体" w:hAnsi="宋体" w:cs="宋体"/>
          <w:b/>
          <w:bCs/>
          <w:color w:val="auto"/>
          <w:sz w:val="24"/>
          <w:szCs w:val="24"/>
          <w:highlight w:val="none"/>
          <w:u w:val="single"/>
        </w:rPr>
        <w:t>00.00</w:t>
      </w:r>
      <w:r>
        <w:rPr>
          <w:rFonts w:hint="eastAsia" w:ascii="宋体" w:hAnsi="宋体" w:cs="宋体"/>
          <w:b/>
          <w:bCs/>
          <w:color w:val="auto"/>
          <w:sz w:val="24"/>
          <w:szCs w:val="24"/>
          <w:highlight w:val="none"/>
        </w:rPr>
        <w:t>元）；</w:t>
      </w:r>
    </w:p>
    <w:p w14:paraId="0A195845">
      <w:pPr>
        <w:spacing w:line="360" w:lineRule="auto"/>
        <w:ind w:firstLine="482" w:firstLineChars="200"/>
        <w:rPr>
          <w:rFonts w:hint="eastAsia" w:eastAsia="宋体"/>
          <w:color w:val="auto"/>
          <w:highlight w:val="none"/>
          <w:u w:val="single"/>
          <w:lang w:val="en-US" w:eastAsia="zh-CN"/>
        </w:rPr>
      </w:pPr>
      <w:r>
        <w:rPr>
          <w:rFonts w:hint="eastAsia" w:ascii="宋体" w:hAnsi="宋体" w:cs="宋体"/>
          <w:b/>
          <w:bCs/>
          <w:color w:val="auto"/>
          <w:sz w:val="24"/>
          <w:szCs w:val="24"/>
          <w:highlight w:val="none"/>
        </w:rPr>
        <w:t>标</w:t>
      </w:r>
      <w:r>
        <w:rPr>
          <w:rFonts w:hint="eastAsia" w:ascii="宋体" w:hAnsi="宋体" w:cs="宋体"/>
          <w:b/>
          <w:bCs/>
          <w:color w:val="auto"/>
          <w:sz w:val="24"/>
          <w:szCs w:val="24"/>
          <w:highlight w:val="none"/>
          <w:lang w:val="en-US" w:eastAsia="zh-CN"/>
        </w:rPr>
        <w:t>段</w:t>
      </w:r>
      <w:r>
        <w:rPr>
          <w:rFonts w:hint="eastAsia" w:ascii="宋体" w:hAnsi="宋体" w:cs="宋体"/>
          <w:b/>
          <w:bCs/>
          <w:color w:val="auto"/>
          <w:sz w:val="24"/>
          <w:szCs w:val="24"/>
          <w:highlight w:val="none"/>
        </w:rPr>
        <w:t>二最高限价为人民币</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壹佰肆拾肆万</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val="en-US" w:eastAsia="zh-CN"/>
        </w:rPr>
        <w:t>整</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1440</w:t>
      </w:r>
      <w:r>
        <w:rPr>
          <w:rFonts w:hint="eastAsia" w:ascii="宋体" w:hAnsi="宋体" w:cs="宋体"/>
          <w:b/>
          <w:bCs/>
          <w:color w:val="auto"/>
          <w:sz w:val="24"/>
          <w:szCs w:val="24"/>
          <w:highlight w:val="none"/>
          <w:u w:val="single"/>
        </w:rPr>
        <w:t>000.00</w:t>
      </w:r>
      <w:r>
        <w:rPr>
          <w:rFonts w:hint="eastAsia" w:ascii="宋体" w:hAnsi="宋体" w:cs="宋体"/>
          <w:b/>
          <w:bCs/>
          <w:color w:val="auto"/>
          <w:sz w:val="24"/>
          <w:szCs w:val="24"/>
          <w:highlight w:val="none"/>
        </w:rPr>
        <w:t>元）</w:t>
      </w:r>
      <w:r>
        <w:rPr>
          <w:rFonts w:hint="eastAsia" w:ascii="宋体" w:hAnsi="宋体" w:cs="宋体"/>
          <w:b/>
          <w:bCs/>
          <w:color w:val="auto"/>
          <w:sz w:val="24"/>
          <w:szCs w:val="24"/>
          <w:highlight w:val="none"/>
          <w:lang w:eastAsia="zh-CN"/>
        </w:rPr>
        <w:t>。</w:t>
      </w:r>
    </w:p>
    <w:p w14:paraId="75DE70C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、供应商的报价在最高限价内的，为有效报价。</w:t>
      </w:r>
    </w:p>
    <w:p w14:paraId="77660677">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、本次评标设有最佳报价。最佳报价确定方式：根据所有入围供应商有效报价中的最低报价作为最佳报价。</w:t>
      </w:r>
    </w:p>
    <w:p w14:paraId="5DA6669A">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53F2391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投标价格分</w:t>
      </w:r>
      <w:r>
        <w:rPr>
          <w:rFonts w:ascii="宋体" w:hAnsi="宋体" w:cs="宋体"/>
          <w:color w:val="auto"/>
          <w:sz w:val="24"/>
          <w:szCs w:val="24"/>
          <w:highlight w:val="none"/>
        </w:rPr>
        <w:t>=(</w:t>
      </w:r>
      <w:r>
        <w:rPr>
          <w:rFonts w:hint="eastAsia" w:ascii="宋体" w:hAnsi="宋体" w:cs="宋体"/>
          <w:color w:val="auto"/>
          <w:sz w:val="24"/>
          <w:szCs w:val="24"/>
          <w:highlight w:val="none"/>
        </w:rPr>
        <w:t>最佳报价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w:t>
      </w:r>
      <w:r>
        <w:rPr>
          <w:rFonts w:hint="eastAsia" w:ascii="宋体" w:hAnsi="宋体" w:cs="宋体"/>
          <w:color w:val="auto"/>
          <w:sz w:val="24"/>
          <w:szCs w:val="24"/>
          <w:highlight w:val="none"/>
        </w:rPr>
        <w:t>价格权值</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4248064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34E91555">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w:t>
      </w:r>
      <w:r>
        <w:rPr>
          <w:rFonts w:ascii="宋体" w:cs="宋体"/>
          <w:color w:val="auto"/>
          <w:sz w:val="24"/>
          <w:szCs w:val="24"/>
          <w:highlight w:val="none"/>
        </w:rPr>
        <w:t>0</w:t>
      </w:r>
      <w:r>
        <w:rPr>
          <w:rFonts w:hint="eastAsia" w:ascii="宋体" w:hAnsi="宋体" w:cs="宋体"/>
          <w:color w:val="auto"/>
          <w:sz w:val="24"/>
          <w:szCs w:val="24"/>
          <w:highlight w:val="none"/>
        </w:rPr>
        <w:t>”元，视同赠送）</w:t>
      </w:r>
      <w:r>
        <w:rPr>
          <w:rFonts w:ascii="宋体" w:cs="宋体"/>
          <w:color w:val="auto"/>
          <w:sz w:val="24"/>
          <w:szCs w:val="24"/>
          <w:highlight w:val="none"/>
        </w:rPr>
        <w:t>,</w:t>
      </w:r>
      <w:r>
        <w:rPr>
          <w:rFonts w:hint="eastAsia" w:ascii="宋体" w:hAnsi="宋体" w:cs="宋体"/>
          <w:color w:val="auto"/>
          <w:sz w:val="24"/>
          <w:szCs w:val="24"/>
          <w:highlight w:val="none"/>
        </w:rPr>
        <w:t>如出现则做</w:t>
      </w:r>
      <w:r>
        <w:rPr>
          <w:rFonts w:hint="eastAsia" w:ascii="宋体" w:hAnsi="宋体" w:cs="宋体"/>
          <w:b/>
          <w:bCs/>
          <w:color w:val="auto"/>
          <w:sz w:val="24"/>
          <w:szCs w:val="24"/>
          <w:highlight w:val="none"/>
        </w:rPr>
        <w:t>无效响应</w:t>
      </w:r>
      <w:r>
        <w:rPr>
          <w:rFonts w:hint="eastAsia" w:ascii="宋体" w:hAnsi="宋体" w:cs="宋体"/>
          <w:color w:val="auto"/>
          <w:sz w:val="24"/>
          <w:szCs w:val="24"/>
          <w:highlight w:val="none"/>
        </w:rPr>
        <w:t>处理。</w:t>
      </w:r>
    </w:p>
    <w:p w14:paraId="45462B88">
      <w:pPr>
        <w:autoSpaceDE w:val="0"/>
        <w:autoSpaceDN w:val="0"/>
        <w:spacing w:line="360" w:lineRule="auto"/>
        <w:ind w:firstLine="48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w:t>
      </w:r>
      <w:r>
        <w:rPr>
          <w:rFonts w:hint="eastAsia" w:ascii="Arial" w:hAnsi="Arial"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B56034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81AAD62">
      <w:pPr>
        <w:spacing w:line="360" w:lineRule="auto"/>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7D5C7919">
      <w:pPr>
        <w:spacing w:line="360" w:lineRule="auto"/>
        <w:ind w:firstLine="480" w:firstLineChars="200"/>
        <w:rPr>
          <w:rFonts w:ascii="宋体"/>
          <w:color w:val="auto"/>
          <w:sz w:val="24"/>
          <w:szCs w:val="24"/>
          <w:highlight w:val="none"/>
        </w:rPr>
      </w:pPr>
      <w:r>
        <w:rPr>
          <w:rFonts w:hint="eastAsia" w:ascii="宋体" w:hAnsi="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cs="宋体"/>
          <w:color w:val="auto"/>
          <w:sz w:val="24"/>
          <w:szCs w:val="24"/>
          <w:highlight w:val="none"/>
        </w:rPr>
        <w:t>。</w:t>
      </w:r>
    </w:p>
    <w:p w14:paraId="54832401">
      <w:pPr>
        <w:numPr>
          <w:ilvl w:val="0"/>
          <w:numId w:val="18"/>
        </w:num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80</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lang w:eastAsia="zh-CN"/>
        </w:rPr>
        <w:t>（</w:t>
      </w:r>
      <w:r>
        <w:rPr>
          <w:rFonts w:hint="eastAsia" w:ascii="宋体" w:hAnsi="宋体" w:cs="宋体"/>
          <w:b/>
          <w:bCs/>
          <w:color w:val="auto"/>
          <w:sz w:val="24"/>
          <w:highlight w:val="none"/>
        </w:rPr>
        <w:t>各标段</w:t>
      </w:r>
      <w:r>
        <w:rPr>
          <w:rFonts w:hint="eastAsia" w:ascii="宋体" w:hAnsi="宋体" w:cs="宋体"/>
          <w:b/>
          <w:bCs/>
          <w:color w:val="auto"/>
          <w:sz w:val="24"/>
          <w:highlight w:val="none"/>
          <w:lang w:val="en-US" w:eastAsia="zh-CN"/>
        </w:rPr>
        <w:t>标准</w:t>
      </w:r>
      <w:r>
        <w:rPr>
          <w:rFonts w:hint="eastAsia" w:ascii="宋体" w:hAnsi="宋体" w:cs="宋体"/>
          <w:b/>
          <w:bCs/>
          <w:color w:val="auto"/>
          <w:sz w:val="24"/>
          <w:highlight w:val="none"/>
        </w:rPr>
        <w:t>相同</w:t>
      </w:r>
      <w:r>
        <w:rPr>
          <w:rFonts w:hint="eastAsia" w:ascii="宋体" w:hAnsi="宋体" w:cs="宋体"/>
          <w:b/>
          <w:bCs/>
          <w:color w:val="auto"/>
          <w:sz w:val="24"/>
          <w:szCs w:val="24"/>
          <w:highlight w:val="none"/>
          <w:lang w:eastAsia="zh-CN"/>
        </w:rPr>
        <w:t>）</w:t>
      </w:r>
    </w:p>
    <w:p w14:paraId="327373D7">
      <w:pPr>
        <w:numPr>
          <w:ilvl w:val="0"/>
          <w:numId w:val="0"/>
        </w:numPr>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1、评分细则</w:t>
      </w:r>
    </w:p>
    <w:tbl>
      <w:tblPr>
        <w:tblStyle w:val="28"/>
        <w:tblpPr w:leftFromText="180" w:rightFromText="180" w:vertAnchor="text" w:tblpXSpec="center" w:tblpY="1"/>
        <w:tblOverlap w:val="never"/>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017"/>
        <w:gridCol w:w="6462"/>
        <w:gridCol w:w="962"/>
      </w:tblGrid>
      <w:tr w14:paraId="4469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14" w:type="dxa"/>
            <w:gridSpan w:val="2"/>
            <w:tcBorders>
              <w:left w:val="single" w:color="auto" w:sz="4" w:space="0"/>
              <w:right w:val="single" w:color="auto" w:sz="4" w:space="0"/>
            </w:tcBorders>
            <w:vAlign w:val="center"/>
          </w:tcPr>
          <w:p w14:paraId="72C8B112">
            <w:pPr>
              <w:spacing w:line="360" w:lineRule="auto"/>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评分项目</w:t>
            </w:r>
          </w:p>
        </w:tc>
        <w:tc>
          <w:tcPr>
            <w:tcW w:w="6462" w:type="dxa"/>
            <w:tcBorders>
              <w:left w:val="single" w:color="auto" w:sz="4" w:space="0"/>
              <w:right w:val="single" w:color="auto" w:sz="4" w:space="0"/>
            </w:tcBorders>
            <w:vAlign w:val="center"/>
          </w:tcPr>
          <w:p w14:paraId="26D76B1B">
            <w:pPr>
              <w:spacing w:line="360" w:lineRule="auto"/>
              <w:ind w:firstLine="482" w:firstLineChars="200"/>
              <w:jc w:val="center"/>
              <w:rPr>
                <w:rFonts w:hint="eastAsia" w:ascii="宋体" w:hAnsi="宋体" w:cs="宋体"/>
                <w:b/>
                <w:bCs/>
                <w:color w:val="auto"/>
                <w:sz w:val="24"/>
                <w:highlight w:val="none"/>
                <w:lang w:val="en-US" w:eastAsia="zh-CN"/>
              </w:rPr>
            </w:pPr>
            <w:r>
              <w:rPr>
                <w:rFonts w:hint="eastAsia" w:ascii="宋体" w:hAnsi="宋体" w:cs="宋体"/>
                <w:b/>
                <w:bCs/>
                <w:color w:val="auto"/>
                <w:sz w:val="24"/>
                <w:szCs w:val="24"/>
                <w:highlight w:val="none"/>
              </w:rPr>
              <w:t>评标要点及说明</w:t>
            </w:r>
          </w:p>
        </w:tc>
        <w:tc>
          <w:tcPr>
            <w:tcW w:w="962" w:type="dxa"/>
            <w:tcBorders>
              <w:top w:val="single" w:color="auto" w:sz="4" w:space="0"/>
              <w:left w:val="single" w:color="auto" w:sz="4" w:space="0"/>
              <w:right w:val="single" w:color="auto" w:sz="4" w:space="0"/>
            </w:tcBorders>
            <w:vAlign w:val="center"/>
          </w:tcPr>
          <w:p w14:paraId="23A92049">
            <w:pPr>
              <w:spacing w:line="360" w:lineRule="auto"/>
              <w:jc w:val="center"/>
              <w:rPr>
                <w:rFonts w:hint="eastAsia" w:ascii="宋体" w:hAnsi="宋体" w:cs="宋体"/>
                <w:b/>
                <w:bCs/>
                <w:color w:val="auto"/>
                <w:sz w:val="24"/>
                <w:highlight w:val="none"/>
                <w:lang w:val="en-US" w:eastAsia="zh-CN"/>
              </w:rPr>
            </w:pPr>
            <w:r>
              <w:rPr>
                <w:rFonts w:hint="eastAsia" w:ascii="宋体" w:hAnsi="宋体" w:cs="宋体"/>
                <w:b/>
                <w:bCs/>
                <w:color w:val="auto"/>
                <w:sz w:val="24"/>
                <w:szCs w:val="24"/>
                <w:highlight w:val="none"/>
              </w:rPr>
              <w:t>分值</w:t>
            </w:r>
          </w:p>
        </w:tc>
      </w:tr>
      <w:tr w14:paraId="422F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14" w:type="dxa"/>
            <w:gridSpan w:val="2"/>
            <w:tcBorders>
              <w:left w:val="single" w:color="auto" w:sz="4" w:space="0"/>
              <w:right w:val="single" w:color="auto" w:sz="4" w:space="0"/>
            </w:tcBorders>
            <w:vAlign w:val="center"/>
          </w:tcPr>
          <w:p w14:paraId="3B369005">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项目理解</w:t>
            </w:r>
          </w:p>
        </w:tc>
        <w:tc>
          <w:tcPr>
            <w:tcW w:w="6462" w:type="dxa"/>
            <w:tcBorders>
              <w:left w:val="single" w:color="auto" w:sz="4" w:space="0"/>
              <w:right w:val="single" w:color="auto" w:sz="4" w:space="0"/>
            </w:tcBorders>
            <w:vAlign w:val="center"/>
          </w:tcPr>
          <w:p w14:paraId="1CA1730C">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评委根据供应商对本项目背景及工作内容进行阐述，根据阐述内容的完成性、科学性、与实际情况的匹配程度进行评分。</w:t>
            </w:r>
          </w:p>
        </w:tc>
        <w:tc>
          <w:tcPr>
            <w:tcW w:w="962" w:type="dxa"/>
            <w:tcBorders>
              <w:top w:val="single" w:color="auto" w:sz="4" w:space="0"/>
              <w:left w:val="single" w:color="auto" w:sz="4" w:space="0"/>
              <w:right w:val="single" w:color="auto" w:sz="4" w:space="0"/>
            </w:tcBorders>
            <w:vAlign w:val="center"/>
          </w:tcPr>
          <w:p w14:paraId="6F9118F8">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7068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14" w:type="dxa"/>
            <w:gridSpan w:val="2"/>
            <w:vMerge w:val="restart"/>
            <w:tcBorders>
              <w:left w:val="single" w:color="auto" w:sz="4" w:space="0"/>
              <w:right w:val="single" w:color="auto" w:sz="4" w:space="0"/>
            </w:tcBorders>
            <w:vAlign w:val="center"/>
          </w:tcPr>
          <w:p w14:paraId="1293C017">
            <w:pPr>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方案</w:t>
            </w:r>
          </w:p>
        </w:tc>
        <w:tc>
          <w:tcPr>
            <w:tcW w:w="6462" w:type="dxa"/>
            <w:tcBorders>
              <w:left w:val="single" w:color="auto" w:sz="4" w:space="0"/>
              <w:right w:val="single" w:color="auto" w:sz="4" w:space="0"/>
            </w:tcBorders>
            <w:vAlign w:val="center"/>
          </w:tcPr>
          <w:p w14:paraId="618D3BC0">
            <w:pPr>
              <w:bidi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供应商提供承担食品抽检任务的</w:t>
            </w:r>
            <w:r>
              <w:rPr>
                <w:rFonts w:hint="eastAsia" w:ascii="宋体" w:hAnsi="宋体" w:cs="宋体"/>
                <w:color w:val="auto"/>
                <w:sz w:val="24"/>
                <w:szCs w:val="24"/>
                <w:highlight w:val="none"/>
                <w:lang w:val="en-US" w:eastAsia="zh-CN"/>
              </w:rPr>
              <w:t>总体</w:t>
            </w:r>
            <w:r>
              <w:rPr>
                <w:rFonts w:hint="eastAsia" w:ascii="宋体" w:hAnsi="宋体" w:eastAsia="宋体" w:cs="宋体"/>
                <w:color w:val="auto"/>
                <w:sz w:val="24"/>
                <w:szCs w:val="24"/>
                <w:highlight w:val="none"/>
                <w:lang w:val="en-US" w:eastAsia="zh-CN"/>
              </w:rPr>
              <w:t>工作方案</w:t>
            </w:r>
            <w:r>
              <w:rPr>
                <w:rFonts w:hint="eastAsia" w:ascii="宋体" w:hAnsi="宋体" w:cs="宋体"/>
                <w:color w:val="auto"/>
                <w:sz w:val="24"/>
                <w:szCs w:val="24"/>
                <w:highlight w:val="none"/>
                <w:lang w:val="en-US" w:eastAsia="zh-CN"/>
              </w:rPr>
              <w:t>是否详尽、合理进行打分。</w:t>
            </w:r>
          </w:p>
        </w:tc>
        <w:tc>
          <w:tcPr>
            <w:tcW w:w="962" w:type="dxa"/>
            <w:tcBorders>
              <w:top w:val="single" w:color="auto" w:sz="4" w:space="0"/>
              <w:left w:val="single" w:color="auto" w:sz="4" w:space="0"/>
              <w:right w:val="single" w:color="auto" w:sz="4" w:space="0"/>
            </w:tcBorders>
            <w:vAlign w:val="center"/>
          </w:tcPr>
          <w:p w14:paraId="29E0A720">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0D18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14" w:type="dxa"/>
            <w:gridSpan w:val="2"/>
            <w:vMerge w:val="continue"/>
            <w:tcBorders>
              <w:left w:val="single" w:color="auto" w:sz="4" w:space="0"/>
              <w:right w:val="single" w:color="auto" w:sz="4" w:space="0"/>
            </w:tcBorders>
            <w:vAlign w:val="center"/>
          </w:tcPr>
          <w:p w14:paraId="1D32906C">
            <w:pPr>
              <w:bidi w:val="0"/>
              <w:spacing w:line="360" w:lineRule="auto"/>
              <w:jc w:val="center"/>
              <w:rPr>
                <w:rFonts w:hint="eastAsia" w:ascii="宋体" w:hAnsi="宋体" w:eastAsia="宋体" w:cs="宋体"/>
                <w:color w:val="auto"/>
                <w:sz w:val="24"/>
                <w:szCs w:val="24"/>
                <w:highlight w:val="none"/>
                <w:lang w:val="en-US" w:eastAsia="zh-CN"/>
              </w:rPr>
            </w:pPr>
          </w:p>
        </w:tc>
        <w:tc>
          <w:tcPr>
            <w:tcW w:w="6462" w:type="dxa"/>
            <w:tcBorders>
              <w:left w:val="single" w:color="auto" w:sz="4" w:space="0"/>
              <w:right w:val="single" w:color="auto" w:sz="4" w:space="0"/>
            </w:tcBorders>
            <w:vAlign w:val="center"/>
          </w:tcPr>
          <w:p w14:paraId="380142CF">
            <w:pPr>
              <w:bidi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w:t>
            </w:r>
            <w:r>
              <w:rPr>
                <w:rFonts w:hint="eastAsia" w:ascii="宋体" w:hAnsi="宋体" w:cs="宋体"/>
                <w:color w:val="auto"/>
                <w:sz w:val="24"/>
                <w:szCs w:val="24"/>
                <w:highlight w:val="none"/>
                <w:lang w:val="en-US" w:eastAsia="zh-CN"/>
              </w:rPr>
              <w:t>提出的计划抽样安排</w:t>
            </w:r>
            <w:r>
              <w:rPr>
                <w:rFonts w:hint="eastAsia" w:ascii="宋体" w:hAnsi="宋体" w:eastAsia="宋体" w:cs="宋体"/>
                <w:color w:val="auto"/>
                <w:sz w:val="24"/>
                <w:szCs w:val="24"/>
                <w:highlight w:val="none"/>
              </w:rPr>
              <w:t>进行打分</w:t>
            </w:r>
            <w:r>
              <w:rPr>
                <w:rFonts w:hint="eastAsia" w:ascii="宋体" w:hAnsi="宋体" w:cs="宋体"/>
                <w:color w:val="auto"/>
                <w:sz w:val="24"/>
                <w:szCs w:val="24"/>
                <w:highlight w:val="none"/>
                <w:lang w:eastAsia="zh-CN"/>
              </w:rPr>
              <w:t>。</w:t>
            </w:r>
          </w:p>
        </w:tc>
        <w:tc>
          <w:tcPr>
            <w:tcW w:w="962" w:type="dxa"/>
            <w:tcBorders>
              <w:top w:val="single" w:color="auto" w:sz="4" w:space="0"/>
              <w:left w:val="single" w:color="auto" w:sz="4" w:space="0"/>
              <w:right w:val="single" w:color="auto" w:sz="4" w:space="0"/>
            </w:tcBorders>
            <w:vAlign w:val="center"/>
          </w:tcPr>
          <w:p w14:paraId="503BA39A">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r>
      <w:tr w14:paraId="34BF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14" w:type="dxa"/>
            <w:gridSpan w:val="2"/>
            <w:vMerge w:val="continue"/>
            <w:tcBorders>
              <w:left w:val="single" w:color="auto" w:sz="4" w:space="0"/>
              <w:right w:val="single" w:color="auto" w:sz="4" w:space="0"/>
            </w:tcBorders>
            <w:vAlign w:val="center"/>
          </w:tcPr>
          <w:p w14:paraId="5CA5A6DE">
            <w:pPr>
              <w:bidi w:val="0"/>
              <w:spacing w:line="360" w:lineRule="auto"/>
              <w:jc w:val="center"/>
              <w:rPr>
                <w:rFonts w:hint="eastAsia" w:ascii="宋体" w:hAnsi="宋体" w:eastAsia="宋体" w:cs="宋体"/>
                <w:color w:val="auto"/>
                <w:sz w:val="24"/>
                <w:szCs w:val="24"/>
                <w:highlight w:val="none"/>
                <w:lang w:val="en-US" w:eastAsia="zh-CN"/>
              </w:rPr>
            </w:pPr>
          </w:p>
        </w:tc>
        <w:tc>
          <w:tcPr>
            <w:tcW w:w="6462" w:type="dxa"/>
            <w:tcBorders>
              <w:left w:val="single" w:color="auto" w:sz="4" w:space="0"/>
              <w:right w:val="single" w:color="auto" w:sz="4" w:space="0"/>
            </w:tcBorders>
            <w:vAlign w:val="center"/>
          </w:tcPr>
          <w:p w14:paraId="77F97CAA">
            <w:pPr>
              <w:bidi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w:t>
            </w:r>
            <w:r>
              <w:rPr>
                <w:rFonts w:hint="eastAsia" w:ascii="宋体" w:hAnsi="宋体" w:cs="宋体"/>
                <w:color w:val="auto"/>
                <w:sz w:val="24"/>
                <w:szCs w:val="24"/>
                <w:highlight w:val="none"/>
                <w:lang w:val="en-US" w:eastAsia="zh-CN"/>
              </w:rPr>
              <w:t>提出的样品物流运输安排</w:t>
            </w:r>
            <w:r>
              <w:rPr>
                <w:rFonts w:hint="eastAsia" w:ascii="宋体" w:hAnsi="宋体" w:eastAsia="宋体" w:cs="宋体"/>
                <w:color w:val="auto"/>
                <w:sz w:val="24"/>
                <w:szCs w:val="24"/>
                <w:highlight w:val="none"/>
              </w:rPr>
              <w:t>进行打分</w:t>
            </w:r>
            <w:r>
              <w:rPr>
                <w:rFonts w:hint="eastAsia" w:ascii="宋体" w:hAnsi="宋体" w:cs="宋体"/>
                <w:color w:val="auto"/>
                <w:sz w:val="24"/>
                <w:szCs w:val="24"/>
                <w:highlight w:val="none"/>
                <w:lang w:eastAsia="zh-CN"/>
              </w:rPr>
              <w:t>。</w:t>
            </w:r>
          </w:p>
        </w:tc>
        <w:tc>
          <w:tcPr>
            <w:tcW w:w="962" w:type="dxa"/>
            <w:tcBorders>
              <w:top w:val="single" w:color="auto" w:sz="4" w:space="0"/>
              <w:left w:val="single" w:color="auto" w:sz="4" w:space="0"/>
              <w:right w:val="single" w:color="auto" w:sz="4" w:space="0"/>
            </w:tcBorders>
            <w:vAlign w:val="center"/>
          </w:tcPr>
          <w:p w14:paraId="0BB4955B">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r>
      <w:tr w14:paraId="73FE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14" w:type="dxa"/>
            <w:gridSpan w:val="2"/>
            <w:vMerge w:val="continue"/>
            <w:tcBorders>
              <w:left w:val="single" w:color="auto" w:sz="4" w:space="0"/>
              <w:right w:val="single" w:color="auto" w:sz="4" w:space="0"/>
            </w:tcBorders>
            <w:vAlign w:val="center"/>
          </w:tcPr>
          <w:p w14:paraId="5EBFF6F2">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p>
        </w:tc>
        <w:tc>
          <w:tcPr>
            <w:tcW w:w="6462" w:type="dxa"/>
            <w:tcBorders>
              <w:left w:val="single" w:color="auto" w:sz="4" w:space="0"/>
              <w:right w:val="single" w:color="auto" w:sz="4" w:space="0"/>
            </w:tcBorders>
            <w:vAlign w:val="center"/>
          </w:tcPr>
          <w:p w14:paraId="7F0600E0">
            <w:pPr>
              <w:bidi w:val="0"/>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w:t>
            </w:r>
            <w:r>
              <w:rPr>
                <w:rFonts w:hint="eastAsia" w:ascii="宋体" w:hAnsi="宋体" w:cs="宋体"/>
                <w:color w:val="auto"/>
                <w:sz w:val="24"/>
                <w:szCs w:val="24"/>
                <w:highlight w:val="none"/>
                <w:lang w:val="en-US" w:eastAsia="zh-CN"/>
              </w:rPr>
              <w:t>提供的检验过程工作方案</w:t>
            </w:r>
            <w:r>
              <w:rPr>
                <w:rFonts w:hint="eastAsia" w:ascii="宋体" w:hAnsi="宋体" w:eastAsia="宋体" w:cs="宋体"/>
                <w:color w:val="auto"/>
                <w:sz w:val="24"/>
                <w:szCs w:val="24"/>
                <w:highlight w:val="none"/>
              </w:rPr>
              <w:t>进行打分</w:t>
            </w:r>
            <w:r>
              <w:rPr>
                <w:rFonts w:hint="eastAsia" w:ascii="宋体" w:hAnsi="宋体" w:cs="宋体"/>
                <w:color w:val="auto"/>
                <w:sz w:val="24"/>
                <w:szCs w:val="24"/>
                <w:highlight w:val="none"/>
                <w:lang w:eastAsia="zh-CN"/>
              </w:rPr>
              <w:t>。</w:t>
            </w:r>
          </w:p>
        </w:tc>
        <w:tc>
          <w:tcPr>
            <w:tcW w:w="962" w:type="dxa"/>
            <w:tcBorders>
              <w:top w:val="single" w:color="auto" w:sz="4" w:space="0"/>
              <w:left w:val="single" w:color="auto" w:sz="4" w:space="0"/>
              <w:right w:val="single" w:color="auto" w:sz="4" w:space="0"/>
            </w:tcBorders>
            <w:vAlign w:val="center"/>
          </w:tcPr>
          <w:p w14:paraId="42EBD583">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r>
      <w:tr w14:paraId="3D70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14" w:type="dxa"/>
            <w:gridSpan w:val="2"/>
            <w:vMerge w:val="continue"/>
            <w:tcBorders>
              <w:left w:val="single" w:color="auto" w:sz="4" w:space="0"/>
              <w:right w:val="single" w:color="auto" w:sz="4" w:space="0"/>
            </w:tcBorders>
            <w:vAlign w:val="center"/>
          </w:tcPr>
          <w:p w14:paraId="6763919C">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p>
        </w:tc>
        <w:tc>
          <w:tcPr>
            <w:tcW w:w="6462" w:type="dxa"/>
            <w:tcBorders>
              <w:left w:val="single" w:color="auto" w:sz="4" w:space="0"/>
              <w:right w:val="single" w:color="auto" w:sz="4" w:space="0"/>
            </w:tcBorders>
            <w:vAlign w:val="center"/>
          </w:tcPr>
          <w:p w14:paraId="192EC356">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评委</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w:t>
            </w:r>
            <w:r>
              <w:rPr>
                <w:rFonts w:hint="eastAsia" w:ascii="宋体" w:hAnsi="宋体" w:cs="宋体"/>
                <w:color w:val="auto"/>
                <w:sz w:val="24"/>
                <w:szCs w:val="24"/>
                <w:highlight w:val="none"/>
                <w:lang w:val="en-US" w:eastAsia="zh-CN"/>
              </w:rPr>
              <w:t>提供的样品保存、处置方案</w:t>
            </w:r>
            <w:r>
              <w:rPr>
                <w:rFonts w:hint="eastAsia" w:ascii="宋体" w:hAnsi="宋体" w:eastAsia="宋体" w:cs="宋体"/>
                <w:color w:val="auto"/>
                <w:sz w:val="24"/>
                <w:szCs w:val="24"/>
                <w:highlight w:val="none"/>
              </w:rPr>
              <w:t>进行打分</w:t>
            </w:r>
            <w:r>
              <w:rPr>
                <w:rFonts w:hint="eastAsia" w:ascii="宋体" w:hAnsi="宋体" w:cs="宋体"/>
                <w:color w:val="auto"/>
                <w:sz w:val="24"/>
                <w:szCs w:val="24"/>
                <w:highlight w:val="none"/>
                <w:lang w:eastAsia="zh-CN"/>
              </w:rPr>
              <w:t>。</w:t>
            </w:r>
          </w:p>
        </w:tc>
        <w:tc>
          <w:tcPr>
            <w:tcW w:w="962" w:type="dxa"/>
            <w:tcBorders>
              <w:top w:val="single" w:color="auto" w:sz="4" w:space="0"/>
              <w:left w:val="single" w:color="auto" w:sz="4" w:space="0"/>
              <w:right w:val="single" w:color="auto" w:sz="4" w:space="0"/>
            </w:tcBorders>
            <w:vAlign w:val="center"/>
          </w:tcPr>
          <w:p w14:paraId="3460B68C">
            <w:pPr>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r>
      <w:tr w14:paraId="40DE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14" w:type="dxa"/>
            <w:gridSpan w:val="2"/>
            <w:tcBorders>
              <w:left w:val="single" w:color="auto" w:sz="4" w:space="0"/>
              <w:right w:val="single" w:color="auto" w:sz="4" w:space="0"/>
            </w:tcBorders>
            <w:vAlign w:val="center"/>
          </w:tcPr>
          <w:p w14:paraId="5487933A">
            <w:pPr>
              <w:bidi w:val="0"/>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应急处置方案</w:t>
            </w:r>
          </w:p>
        </w:tc>
        <w:tc>
          <w:tcPr>
            <w:tcW w:w="6462" w:type="dxa"/>
            <w:tcBorders>
              <w:left w:val="single" w:color="auto" w:sz="4" w:space="0"/>
              <w:right w:val="single" w:color="auto" w:sz="4" w:space="0"/>
            </w:tcBorders>
            <w:vAlign w:val="center"/>
          </w:tcPr>
          <w:p w14:paraId="15897D88">
            <w:pPr>
              <w:bidi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评委根据供应商针对食品安全突发检测任务提出的相应应急处置方案的可行性、合理性进行打分。</w:t>
            </w:r>
          </w:p>
        </w:tc>
        <w:tc>
          <w:tcPr>
            <w:tcW w:w="962" w:type="dxa"/>
            <w:tcBorders>
              <w:top w:val="single" w:color="auto" w:sz="4" w:space="0"/>
              <w:left w:val="single" w:color="auto" w:sz="4" w:space="0"/>
              <w:right w:val="single" w:color="auto" w:sz="4" w:space="0"/>
            </w:tcBorders>
            <w:vAlign w:val="center"/>
          </w:tcPr>
          <w:p w14:paraId="6AF6F251">
            <w:pPr>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1323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14" w:type="dxa"/>
            <w:gridSpan w:val="2"/>
            <w:tcBorders>
              <w:left w:val="single" w:color="auto" w:sz="4" w:space="0"/>
              <w:right w:val="single" w:color="auto" w:sz="4" w:space="0"/>
            </w:tcBorders>
            <w:vAlign w:val="center"/>
          </w:tcPr>
          <w:p w14:paraId="6375139B">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固定工作场所</w:t>
            </w:r>
          </w:p>
        </w:tc>
        <w:tc>
          <w:tcPr>
            <w:tcW w:w="6462" w:type="dxa"/>
            <w:tcBorders>
              <w:left w:val="single" w:color="auto" w:sz="4" w:space="0"/>
              <w:right w:val="single" w:color="auto" w:sz="4" w:space="0"/>
            </w:tcBorders>
            <w:vAlign w:val="center"/>
          </w:tcPr>
          <w:p w14:paraId="6C2AF136">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供应商须具备开展食品检验所必需的且能够独立调配使用的固定工作场所。</w:t>
            </w:r>
            <w:r>
              <w:rPr>
                <w:rFonts w:hint="eastAsia" w:ascii="宋体" w:hAnsi="宋体" w:cs="宋体"/>
                <w:color w:val="auto"/>
                <w:sz w:val="24"/>
                <w:szCs w:val="24"/>
                <w:highlight w:val="none"/>
                <w:lang w:val="en-US" w:eastAsia="zh-CN"/>
              </w:rPr>
              <w:t>评委</w:t>
            </w:r>
            <w:r>
              <w:rPr>
                <w:rFonts w:hint="default"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供应商提供的</w:t>
            </w:r>
            <w:r>
              <w:rPr>
                <w:rFonts w:hint="default" w:ascii="宋体" w:hAnsi="宋体" w:eastAsia="宋体" w:cs="宋体"/>
                <w:color w:val="auto"/>
                <w:sz w:val="24"/>
                <w:szCs w:val="24"/>
                <w:highlight w:val="none"/>
                <w:lang w:val="en-US" w:eastAsia="zh-CN"/>
              </w:rPr>
              <w:t>与工作相适应的检测场地面积、具体布局等情况进行评分</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 </w:t>
            </w:r>
          </w:p>
          <w:p w14:paraId="0F4AF18F">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供应商须</w:t>
            </w:r>
            <w:r>
              <w:rPr>
                <w:rFonts w:hint="default"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房屋产权</w:t>
            </w:r>
            <w:r>
              <w:rPr>
                <w:rFonts w:hint="default" w:ascii="宋体" w:hAnsi="宋体" w:eastAsia="宋体" w:cs="宋体"/>
                <w:color w:val="auto"/>
                <w:sz w:val="24"/>
                <w:szCs w:val="24"/>
                <w:highlight w:val="none"/>
                <w:lang w:val="en-US" w:eastAsia="zh-CN"/>
              </w:rPr>
              <w:t>证明</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highlight w:val="none"/>
                <w:lang w:val="en-US" w:eastAsia="zh-CN"/>
              </w:rPr>
              <w:t>如为租赁的需同时提供</w:t>
            </w:r>
            <w:r>
              <w:rPr>
                <w:rFonts w:hint="default" w:ascii="宋体" w:hAnsi="宋体" w:eastAsia="宋体" w:cs="宋体"/>
                <w:color w:val="auto"/>
                <w:sz w:val="24"/>
                <w:szCs w:val="24"/>
                <w:highlight w:val="none"/>
                <w:lang w:val="en-US" w:eastAsia="zh-CN"/>
              </w:rPr>
              <w:t>长期房屋</w:t>
            </w:r>
            <w:r>
              <w:rPr>
                <w:rFonts w:hint="eastAsia" w:ascii="宋体" w:hAnsi="宋体" w:cs="宋体"/>
                <w:color w:val="auto"/>
                <w:kern w:val="0"/>
                <w:sz w:val="24"/>
                <w:highlight w:val="none"/>
                <w:lang w:val="en-US" w:eastAsia="zh-CN"/>
              </w:rPr>
              <w:t>租赁合同复印件并加盖供应商公章</w:t>
            </w:r>
            <w:r>
              <w:rPr>
                <w:rFonts w:hint="default" w:ascii="宋体" w:hAnsi="宋体" w:eastAsia="宋体" w:cs="宋体"/>
                <w:color w:val="auto"/>
                <w:sz w:val="24"/>
                <w:szCs w:val="24"/>
                <w:highlight w:val="none"/>
                <w:lang w:val="en-US" w:eastAsia="zh-CN"/>
              </w:rPr>
              <w:t>，标注面积的场地平面图及布局图</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实景照片，并加盖供应商</w:t>
            </w:r>
            <w:r>
              <w:rPr>
                <w:rFonts w:hint="eastAsia" w:ascii="宋体" w:hAnsi="宋体" w:cs="宋体"/>
                <w:color w:val="auto"/>
                <w:sz w:val="24"/>
                <w:szCs w:val="24"/>
                <w:highlight w:val="none"/>
                <w:lang w:val="en-US" w:eastAsia="zh-CN"/>
              </w:rPr>
              <w:t>单位</w:t>
            </w:r>
            <w:r>
              <w:rPr>
                <w:rFonts w:hint="default" w:ascii="宋体" w:hAnsi="宋体" w:eastAsia="宋体" w:cs="宋体"/>
                <w:color w:val="auto"/>
                <w:sz w:val="24"/>
                <w:szCs w:val="24"/>
                <w:highlight w:val="none"/>
                <w:lang w:val="en-US" w:eastAsia="zh-CN"/>
              </w:rPr>
              <w:t>公章。</w:t>
            </w:r>
          </w:p>
        </w:tc>
        <w:tc>
          <w:tcPr>
            <w:tcW w:w="962" w:type="dxa"/>
            <w:tcBorders>
              <w:top w:val="single" w:color="auto" w:sz="4" w:space="0"/>
              <w:left w:val="single" w:color="auto" w:sz="4" w:space="0"/>
              <w:right w:val="single" w:color="auto" w:sz="4" w:space="0"/>
            </w:tcBorders>
            <w:vAlign w:val="center"/>
          </w:tcPr>
          <w:p w14:paraId="00EB757E">
            <w:pPr>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5604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14" w:type="dxa"/>
            <w:gridSpan w:val="2"/>
            <w:vMerge w:val="restart"/>
            <w:tcBorders>
              <w:left w:val="single" w:color="auto" w:sz="4" w:space="0"/>
              <w:right w:val="single" w:color="auto" w:sz="4" w:space="0"/>
            </w:tcBorders>
            <w:vAlign w:val="center"/>
          </w:tcPr>
          <w:p w14:paraId="51899C0C">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拟投入设备情况</w:t>
            </w:r>
          </w:p>
        </w:tc>
        <w:tc>
          <w:tcPr>
            <w:tcW w:w="6462" w:type="dxa"/>
            <w:tcBorders>
              <w:left w:val="single" w:color="auto" w:sz="4" w:space="0"/>
              <w:right w:val="single" w:color="auto" w:sz="4" w:space="0"/>
            </w:tcBorders>
            <w:vAlign w:val="center"/>
          </w:tcPr>
          <w:p w14:paraId="2FFA2CF6">
            <w:pPr>
              <w:spacing w:line="360" w:lineRule="auto"/>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sz w:val="24"/>
                <w:szCs w:val="24"/>
                <w:highlight w:val="none"/>
                <w:lang w:val="en-US" w:eastAsia="zh-CN"/>
              </w:rPr>
              <w:t>评委根据供应具备</w:t>
            </w:r>
            <w:r>
              <w:rPr>
                <w:rFonts w:hint="eastAsia" w:ascii="宋体" w:hAnsi="宋体" w:cs="宋体"/>
                <w:color w:val="auto"/>
                <w:sz w:val="24"/>
                <w:szCs w:val="24"/>
                <w:highlight w:val="none"/>
              </w:rPr>
              <w:t>检测仪器设备且满足检测需求的情况</w:t>
            </w:r>
            <w:r>
              <w:rPr>
                <w:rFonts w:hint="eastAsia" w:ascii="宋体" w:hAnsi="宋体" w:cs="宋体"/>
                <w:color w:val="auto"/>
                <w:sz w:val="24"/>
                <w:szCs w:val="24"/>
                <w:highlight w:val="none"/>
                <w:lang w:val="en-US" w:eastAsia="zh-CN"/>
              </w:rPr>
              <w:t>进行打分</w:t>
            </w:r>
            <w:r>
              <w:rPr>
                <w:rFonts w:hint="eastAsia" w:ascii="宋体" w:hAnsi="宋体" w:cs="宋体"/>
                <w:color w:val="auto"/>
                <w:sz w:val="24"/>
                <w:szCs w:val="24"/>
                <w:highlight w:val="none"/>
              </w:rPr>
              <w:t>：气质联用仪、串联液质联用仪、电感耦合等离子体质谱仪、电感耦合等离子体光谱仪、气相色谱</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液相色谱</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仪、PCR仪、原子吸收分光光度计、原子荧光分光光度计、原子荧光形态分析仪、离子色谱仪</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每拥有一项得0.5分，</w:t>
            </w:r>
            <w:r>
              <w:rPr>
                <w:rFonts w:hint="eastAsia" w:ascii="宋体" w:hAnsi="宋体" w:cs="宋体"/>
                <w:color w:val="auto"/>
                <w:sz w:val="24"/>
                <w:szCs w:val="24"/>
                <w:highlight w:val="none"/>
              </w:rPr>
              <w:t>设备齐全的得5分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若为租赁的，每项得分减半</w:t>
            </w:r>
            <w:r>
              <w:rPr>
                <w:rFonts w:hint="eastAsia" w:ascii="宋体" w:hAnsi="宋体" w:cs="宋体"/>
                <w:color w:val="auto"/>
                <w:sz w:val="24"/>
                <w:szCs w:val="24"/>
                <w:highlight w:val="none"/>
                <w:lang w:eastAsia="zh-CN"/>
              </w:rPr>
              <w:t>。</w:t>
            </w:r>
          </w:p>
          <w:p w14:paraId="7C6D6939">
            <w:pPr>
              <w:bidi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须</w:t>
            </w:r>
            <w:r>
              <w:rPr>
                <w:rFonts w:hint="eastAsia" w:ascii="宋体" w:hAnsi="宋体" w:cs="宋体"/>
                <w:color w:val="auto"/>
                <w:kern w:val="0"/>
                <w:sz w:val="24"/>
                <w:highlight w:val="none"/>
              </w:rPr>
              <w:t>提供设备清单、照片、购置发票、校准报告、检定证书等证明材料</w:t>
            </w:r>
            <w:r>
              <w:rPr>
                <w:rFonts w:hint="eastAsia" w:ascii="宋体" w:hAnsi="宋体" w:cs="宋体"/>
                <w:color w:val="auto"/>
                <w:kern w:val="0"/>
                <w:sz w:val="24"/>
                <w:highlight w:val="none"/>
                <w:lang w:val="en-US" w:eastAsia="zh-CN"/>
              </w:rPr>
              <w:t>并加盖供应商单位公章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如为租赁的需同时提供租赁合同或协议复印件并加盖供应商公章</w:t>
            </w:r>
            <w:r>
              <w:rPr>
                <w:rFonts w:hint="eastAsia" w:ascii="宋体" w:hAnsi="宋体" w:cs="宋体"/>
                <w:color w:val="auto"/>
                <w:kern w:val="0"/>
                <w:sz w:val="24"/>
                <w:highlight w:val="none"/>
              </w:rPr>
              <w:t>。</w:t>
            </w:r>
          </w:p>
        </w:tc>
        <w:tc>
          <w:tcPr>
            <w:tcW w:w="962" w:type="dxa"/>
            <w:tcBorders>
              <w:top w:val="single" w:color="auto" w:sz="4" w:space="0"/>
              <w:left w:val="single" w:color="auto" w:sz="4" w:space="0"/>
              <w:right w:val="single" w:color="auto" w:sz="4" w:space="0"/>
            </w:tcBorders>
            <w:vAlign w:val="center"/>
          </w:tcPr>
          <w:p w14:paraId="5E69FB0A">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6291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14" w:type="dxa"/>
            <w:gridSpan w:val="2"/>
            <w:vMerge w:val="continue"/>
            <w:tcBorders>
              <w:left w:val="single" w:color="auto" w:sz="4" w:space="0"/>
              <w:right w:val="single" w:color="auto" w:sz="4" w:space="0"/>
            </w:tcBorders>
            <w:vAlign w:val="center"/>
          </w:tcPr>
          <w:p w14:paraId="6A7D4487">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p>
        </w:tc>
        <w:tc>
          <w:tcPr>
            <w:tcW w:w="6462" w:type="dxa"/>
            <w:tcBorders>
              <w:left w:val="single" w:color="auto" w:sz="4" w:space="0"/>
              <w:right w:val="single" w:color="auto" w:sz="4" w:space="0"/>
            </w:tcBorders>
            <w:vAlign w:val="center"/>
          </w:tcPr>
          <w:p w14:paraId="2D3401B0">
            <w:pPr>
              <w:bidi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配备现场采集摄像信息执法仪</w:t>
            </w:r>
            <w:r>
              <w:rPr>
                <w:rFonts w:hint="eastAsia" w:ascii="宋体" w:hAnsi="宋体" w:cs="宋体"/>
                <w:color w:val="auto"/>
                <w:kern w:val="0"/>
                <w:sz w:val="24"/>
                <w:highlight w:val="none"/>
                <w:lang w:val="en-US" w:eastAsia="zh-CN"/>
              </w:rPr>
              <w:t>能</w:t>
            </w:r>
            <w:r>
              <w:rPr>
                <w:rFonts w:hint="eastAsia" w:ascii="宋体" w:hAnsi="宋体" w:cs="宋体"/>
                <w:color w:val="auto"/>
                <w:kern w:val="0"/>
                <w:sz w:val="24"/>
                <w:highlight w:val="none"/>
              </w:rPr>
              <w:t>证明抽样工作的公正、合规性</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每拥有一台得0.5分，最高得2分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若为租赁的，每项得分减半</w:t>
            </w:r>
            <w:r>
              <w:rPr>
                <w:rFonts w:hint="eastAsia" w:ascii="宋体" w:hAnsi="宋体" w:cs="宋体"/>
                <w:color w:val="auto"/>
                <w:kern w:val="0"/>
                <w:sz w:val="24"/>
                <w:highlight w:val="none"/>
              </w:rPr>
              <w:t>。</w:t>
            </w:r>
          </w:p>
          <w:p w14:paraId="2FABA4A5">
            <w:pPr>
              <w:bidi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须</w:t>
            </w:r>
            <w:r>
              <w:rPr>
                <w:rFonts w:hint="eastAsia" w:ascii="宋体" w:hAnsi="宋体" w:cs="宋体"/>
                <w:color w:val="auto"/>
                <w:kern w:val="0"/>
                <w:sz w:val="24"/>
                <w:highlight w:val="none"/>
              </w:rPr>
              <w:t>提供设备清单、照片、购置发票等相关证明材料</w:t>
            </w:r>
            <w:r>
              <w:rPr>
                <w:rFonts w:hint="eastAsia" w:ascii="宋体" w:hAnsi="宋体" w:cs="宋体"/>
                <w:color w:val="auto"/>
                <w:kern w:val="0"/>
                <w:sz w:val="24"/>
                <w:highlight w:val="none"/>
                <w:lang w:val="en-US" w:eastAsia="zh-CN"/>
              </w:rPr>
              <w:t>并加盖供应商单位公章，如为租赁的需同时提供租赁合同或协议复印件并加盖供应商公章</w:t>
            </w:r>
            <w:r>
              <w:rPr>
                <w:rFonts w:hint="eastAsia" w:ascii="宋体" w:hAnsi="宋体" w:cs="宋体"/>
                <w:color w:val="auto"/>
                <w:kern w:val="0"/>
                <w:sz w:val="24"/>
                <w:highlight w:val="none"/>
              </w:rPr>
              <w:t>。</w:t>
            </w:r>
          </w:p>
        </w:tc>
        <w:tc>
          <w:tcPr>
            <w:tcW w:w="962" w:type="dxa"/>
            <w:tcBorders>
              <w:top w:val="single" w:color="auto" w:sz="4" w:space="0"/>
              <w:left w:val="single" w:color="auto" w:sz="4" w:space="0"/>
              <w:right w:val="single" w:color="auto" w:sz="4" w:space="0"/>
            </w:tcBorders>
            <w:vAlign w:val="center"/>
          </w:tcPr>
          <w:p w14:paraId="5665CF92">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p>
        </w:tc>
      </w:tr>
      <w:tr w14:paraId="1BB2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714" w:type="dxa"/>
            <w:gridSpan w:val="2"/>
            <w:vMerge w:val="continue"/>
            <w:tcBorders>
              <w:left w:val="single" w:color="auto" w:sz="4" w:space="0"/>
              <w:right w:val="single" w:color="auto" w:sz="4" w:space="0"/>
            </w:tcBorders>
            <w:vAlign w:val="center"/>
          </w:tcPr>
          <w:p w14:paraId="79FE0AD2">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p>
        </w:tc>
        <w:tc>
          <w:tcPr>
            <w:tcW w:w="6462" w:type="dxa"/>
            <w:tcBorders>
              <w:left w:val="single" w:color="auto" w:sz="4" w:space="0"/>
              <w:right w:val="single" w:color="auto" w:sz="4" w:space="0"/>
            </w:tcBorders>
            <w:vAlign w:val="center"/>
          </w:tcPr>
          <w:p w14:paraId="76ACCE36">
            <w:pPr>
              <w:bidi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供应商拟投入的每辆食品专用采样车中配备车载冰箱的每个得1分，最高得4分。</w:t>
            </w:r>
          </w:p>
          <w:p w14:paraId="6A047F4C">
            <w:pPr>
              <w:bidi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注：须提供机动车行驶证、车辆照片、</w:t>
            </w:r>
            <w:r>
              <w:rPr>
                <w:rFonts w:hint="eastAsia" w:ascii="宋体" w:hAnsi="宋体" w:cs="宋体"/>
                <w:color w:val="auto"/>
                <w:sz w:val="24"/>
                <w:szCs w:val="24"/>
                <w:highlight w:val="none"/>
              </w:rPr>
              <w:t>车载冰箱发票</w:t>
            </w:r>
            <w:r>
              <w:rPr>
                <w:rFonts w:hint="eastAsia" w:ascii="宋体" w:hAnsi="宋体" w:cs="宋体"/>
                <w:color w:val="auto"/>
                <w:kern w:val="0"/>
                <w:sz w:val="24"/>
                <w:highlight w:val="none"/>
                <w:lang w:val="en-US" w:eastAsia="zh-CN"/>
              </w:rPr>
              <w:t>，若为租赁车辆需同时提供租赁合同并加盖供应商单位公章。</w:t>
            </w:r>
          </w:p>
        </w:tc>
        <w:tc>
          <w:tcPr>
            <w:tcW w:w="962" w:type="dxa"/>
            <w:tcBorders>
              <w:top w:val="single" w:color="auto" w:sz="4" w:space="0"/>
              <w:left w:val="single" w:color="auto" w:sz="4" w:space="0"/>
              <w:right w:val="single" w:color="auto" w:sz="4" w:space="0"/>
            </w:tcBorders>
            <w:vAlign w:val="center"/>
          </w:tcPr>
          <w:p w14:paraId="0DB27BCD">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p>
        </w:tc>
      </w:tr>
      <w:tr w14:paraId="6026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714" w:type="dxa"/>
            <w:gridSpan w:val="2"/>
            <w:vMerge w:val="restart"/>
            <w:tcBorders>
              <w:left w:val="single" w:color="auto" w:sz="4" w:space="0"/>
              <w:right w:val="single" w:color="auto" w:sz="4" w:space="0"/>
            </w:tcBorders>
            <w:vAlign w:val="center"/>
          </w:tcPr>
          <w:p w14:paraId="404843CD">
            <w:pPr>
              <w:spacing w:line="24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Times New Roman"/>
                <w:color w:val="auto"/>
                <w:sz w:val="24"/>
                <w:highlight w:val="none"/>
                <w:lang w:val="en-US" w:eastAsia="zh-CN"/>
              </w:rPr>
              <w:t>项目组人员配置</w:t>
            </w:r>
          </w:p>
        </w:tc>
        <w:tc>
          <w:tcPr>
            <w:tcW w:w="6462" w:type="dxa"/>
            <w:tcBorders>
              <w:left w:val="single" w:color="auto" w:sz="4" w:space="0"/>
              <w:right w:val="single" w:color="auto" w:sz="4" w:space="0"/>
            </w:tcBorders>
            <w:vAlign w:val="center"/>
          </w:tcPr>
          <w:p w14:paraId="2765D509">
            <w:pPr>
              <w:spacing w:line="312" w:lineRule="auto"/>
              <w:ind w:firstLine="480" w:firstLineChars="200"/>
              <w:rPr>
                <w:color w:val="auto"/>
                <w:highlight w:val="none"/>
              </w:rPr>
            </w:pPr>
            <w:r>
              <w:rPr>
                <w:rFonts w:hint="eastAsia" w:ascii="宋体" w:hAnsi="宋体" w:eastAsia="宋体" w:cs="宋体"/>
                <w:color w:val="auto"/>
                <w:sz w:val="24"/>
                <w:highlight w:val="none"/>
                <w:lang w:val="en-US" w:eastAsia="zh-CN"/>
              </w:rPr>
              <w:t>评委根据供应商拟投入本项目的项目负责人的学历、证书、工作经验等情况进行打分。</w:t>
            </w:r>
          </w:p>
          <w:p w14:paraId="1136B205">
            <w:pPr>
              <w:spacing w:line="312" w:lineRule="auto"/>
              <w:ind w:firstLine="480" w:firstLineChars="200"/>
              <w:rPr>
                <w:rFonts w:hint="default" w:eastAsia="宋体"/>
                <w:color w:val="auto"/>
                <w:highlight w:val="none"/>
                <w:lang w:val="en-US" w:eastAsia="zh-CN"/>
              </w:rPr>
            </w:pPr>
            <w:r>
              <w:rPr>
                <w:rFonts w:hint="eastAsia" w:ascii="宋体" w:hAnsi="宋体" w:cs="宋体"/>
                <w:color w:val="auto"/>
                <w:kern w:val="0"/>
                <w:sz w:val="24"/>
                <w:highlight w:val="none"/>
                <w:lang w:val="en-US" w:eastAsia="zh-CN"/>
              </w:rPr>
              <w:t>注：须提供证书扫描件和社保证明等佐证材料并加盖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宋体" w:hAnsi="宋体" w:cs="宋体"/>
                <w:color w:val="auto"/>
                <w:kern w:val="0"/>
                <w:sz w:val="24"/>
                <w:highlight w:val="none"/>
                <w:lang w:val="en-US" w:eastAsia="zh-CN"/>
              </w:rPr>
              <w:t>单位公章。</w:t>
            </w:r>
          </w:p>
        </w:tc>
        <w:tc>
          <w:tcPr>
            <w:tcW w:w="962" w:type="dxa"/>
            <w:tcBorders>
              <w:top w:val="single" w:color="auto" w:sz="4" w:space="0"/>
              <w:left w:val="single" w:color="auto" w:sz="4" w:space="0"/>
              <w:right w:val="single" w:color="auto" w:sz="4" w:space="0"/>
            </w:tcBorders>
            <w:vAlign w:val="center"/>
          </w:tcPr>
          <w:p w14:paraId="14DE73C8">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0DFB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714" w:type="dxa"/>
            <w:gridSpan w:val="2"/>
            <w:vMerge w:val="continue"/>
            <w:tcBorders>
              <w:left w:val="single" w:color="auto" w:sz="4" w:space="0"/>
              <w:right w:val="single" w:color="auto" w:sz="4" w:space="0"/>
            </w:tcBorders>
            <w:vAlign w:val="center"/>
          </w:tcPr>
          <w:p w14:paraId="74C74B88">
            <w:pPr>
              <w:spacing w:line="240" w:lineRule="auto"/>
              <w:jc w:val="center"/>
              <w:rPr>
                <w:rFonts w:hint="default" w:ascii="宋体" w:hAnsi="宋体" w:eastAsia="宋体" w:cs="宋体"/>
                <w:b w:val="0"/>
                <w:bCs w:val="0"/>
                <w:color w:val="auto"/>
                <w:kern w:val="2"/>
                <w:sz w:val="24"/>
                <w:szCs w:val="24"/>
                <w:highlight w:val="none"/>
                <w:lang w:val="en-US" w:eastAsia="zh-CN" w:bidi="ar-SA"/>
              </w:rPr>
            </w:pPr>
          </w:p>
        </w:tc>
        <w:tc>
          <w:tcPr>
            <w:tcW w:w="6462" w:type="dxa"/>
            <w:tcBorders>
              <w:left w:val="single" w:color="auto" w:sz="4" w:space="0"/>
              <w:right w:val="single" w:color="auto" w:sz="4" w:space="0"/>
            </w:tcBorders>
            <w:vAlign w:val="center"/>
          </w:tcPr>
          <w:p w14:paraId="6D6DB38D">
            <w:pPr>
              <w:spacing w:line="312" w:lineRule="auto"/>
              <w:ind w:firstLine="480" w:firstLineChars="200"/>
              <w:rPr>
                <w:color w:val="auto"/>
                <w:highlight w:val="none"/>
              </w:rPr>
            </w:pPr>
            <w:r>
              <w:rPr>
                <w:rFonts w:hint="eastAsia" w:ascii="宋体" w:hAnsi="宋体" w:eastAsia="宋体" w:cs="宋体"/>
                <w:color w:val="auto"/>
                <w:sz w:val="24"/>
                <w:highlight w:val="none"/>
                <w:lang w:val="en-US" w:eastAsia="zh-CN"/>
              </w:rPr>
              <w:t>评委根据供应商拟投入本项目的项目团队成员</w:t>
            </w:r>
            <w:r>
              <w:rPr>
                <w:rFonts w:hint="eastAsia" w:ascii="宋体" w:hAnsi="宋体" w:cs="宋体"/>
                <w:color w:val="auto"/>
                <w:sz w:val="24"/>
                <w:highlight w:val="none"/>
                <w:lang w:val="en-US" w:eastAsia="zh-CN"/>
              </w:rPr>
              <w:t>（除项目负责人）</w:t>
            </w:r>
            <w:r>
              <w:rPr>
                <w:rFonts w:hint="eastAsia" w:ascii="宋体" w:hAnsi="宋体" w:eastAsia="宋体" w:cs="宋体"/>
                <w:color w:val="auto"/>
                <w:sz w:val="24"/>
                <w:highlight w:val="none"/>
                <w:lang w:val="en-US" w:eastAsia="zh-CN"/>
              </w:rPr>
              <w:t>的学历、证书、工作经验等情况进行打分。</w:t>
            </w:r>
          </w:p>
          <w:p w14:paraId="4A0028D0">
            <w:pPr>
              <w:spacing w:line="312" w:lineRule="auto"/>
              <w:ind w:firstLine="480" w:firstLineChars="200"/>
              <w:rPr>
                <w:rFonts w:hint="eastAsia"/>
                <w:color w:val="auto"/>
                <w:highlight w:val="none"/>
              </w:rPr>
            </w:pPr>
            <w:r>
              <w:rPr>
                <w:rFonts w:hint="eastAsia" w:ascii="宋体" w:hAnsi="宋体" w:cs="宋体"/>
                <w:color w:val="auto"/>
                <w:kern w:val="0"/>
                <w:sz w:val="24"/>
                <w:highlight w:val="none"/>
                <w:lang w:val="en-US" w:eastAsia="zh-CN"/>
              </w:rPr>
              <w:t>注：须提供证书扫描件和社保证明等佐证材料并加盖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宋体" w:hAnsi="宋体" w:cs="宋体"/>
                <w:color w:val="auto"/>
                <w:kern w:val="0"/>
                <w:sz w:val="24"/>
                <w:highlight w:val="none"/>
                <w:lang w:val="en-US" w:eastAsia="zh-CN"/>
              </w:rPr>
              <w:t>单位公章。</w:t>
            </w:r>
          </w:p>
        </w:tc>
        <w:tc>
          <w:tcPr>
            <w:tcW w:w="962" w:type="dxa"/>
            <w:tcBorders>
              <w:top w:val="single" w:color="auto" w:sz="4" w:space="0"/>
              <w:left w:val="single" w:color="auto" w:sz="4" w:space="0"/>
              <w:right w:val="single" w:color="auto" w:sz="4" w:space="0"/>
            </w:tcBorders>
            <w:vAlign w:val="center"/>
          </w:tcPr>
          <w:p w14:paraId="78184621">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7229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14" w:type="dxa"/>
            <w:gridSpan w:val="2"/>
            <w:tcBorders>
              <w:left w:val="single" w:color="auto" w:sz="4" w:space="0"/>
              <w:right w:val="single" w:color="auto" w:sz="4" w:space="0"/>
            </w:tcBorders>
            <w:vAlign w:val="center"/>
          </w:tcPr>
          <w:p w14:paraId="77D8B240">
            <w:pPr>
              <w:bidi w:val="0"/>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管理制度</w:t>
            </w:r>
          </w:p>
        </w:tc>
        <w:tc>
          <w:tcPr>
            <w:tcW w:w="6462" w:type="dxa"/>
            <w:tcBorders>
              <w:left w:val="single" w:color="auto" w:sz="4" w:space="0"/>
              <w:right w:val="single" w:color="auto" w:sz="4" w:space="0"/>
            </w:tcBorders>
            <w:vAlign w:val="center"/>
          </w:tcPr>
          <w:p w14:paraId="73478E5A">
            <w:pPr>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评委根据供应商</w:t>
            </w:r>
            <w:r>
              <w:rPr>
                <w:rFonts w:hint="eastAsia" w:ascii="宋体" w:hAnsi="宋体" w:cs="宋体"/>
                <w:color w:val="auto"/>
                <w:sz w:val="24"/>
                <w:szCs w:val="24"/>
                <w:highlight w:val="none"/>
              </w:rPr>
              <w:t>是否具有完善的食品安全检验工作制度、检验责任追究制度等在项目实施过程中的安全保障措施以及质量控制管理制度的优劣性进行综合打分。</w:t>
            </w:r>
          </w:p>
        </w:tc>
        <w:tc>
          <w:tcPr>
            <w:tcW w:w="962" w:type="dxa"/>
            <w:tcBorders>
              <w:top w:val="single" w:color="auto" w:sz="4" w:space="0"/>
              <w:left w:val="single" w:color="auto" w:sz="4" w:space="0"/>
              <w:right w:val="single" w:color="auto" w:sz="4" w:space="0"/>
            </w:tcBorders>
            <w:vAlign w:val="center"/>
          </w:tcPr>
          <w:p w14:paraId="06AF6301">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5B5D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14" w:type="dxa"/>
            <w:gridSpan w:val="2"/>
            <w:tcBorders>
              <w:left w:val="single" w:color="auto" w:sz="4" w:space="0"/>
              <w:right w:val="single" w:color="auto" w:sz="4" w:space="0"/>
            </w:tcBorders>
            <w:vAlign w:val="center"/>
          </w:tcPr>
          <w:p w14:paraId="26BB5A29">
            <w:pPr>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sz w:val="24"/>
                <w:highlight w:val="none"/>
              </w:rPr>
              <w:t>质量保障措施及服务承诺</w:t>
            </w:r>
          </w:p>
        </w:tc>
        <w:tc>
          <w:tcPr>
            <w:tcW w:w="6462" w:type="dxa"/>
            <w:tcBorders>
              <w:left w:val="single" w:color="auto" w:sz="4" w:space="0"/>
              <w:right w:val="single" w:color="auto" w:sz="4" w:space="0"/>
            </w:tcBorders>
            <w:vAlign w:val="center"/>
          </w:tcPr>
          <w:p w14:paraId="4DAC2CF3">
            <w:pPr>
              <w:bidi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评委根据供应商提供的服务质量保障措施、相关服务承诺等内容的全面性、合理性、可行性进行打分。</w:t>
            </w:r>
          </w:p>
        </w:tc>
        <w:tc>
          <w:tcPr>
            <w:tcW w:w="962" w:type="dxa"/>
            <w:tcBorders>
              <w:top w:val="single" w:color="auto" w:sz="4" w:space="0"/>
              <w:left w:val="single" w:color="auto" w:sz="4" w:space="0"/>
              <w:right w:val="single" w:color="auto" w:sz="4" w:space="0"/>
            </w:tcBorders>
            <w:vAlign w:val="center"/>
          </w:tcPr>
          <w:p w14:paraId="7C4B4860">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5DF0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14" w:type="dxa"/>
            <w:gridSpan w:val="2"/>
            <w:tcBorders>
              <w:left w:val="single" w:color="auto" w:sz="4" w:space="0"/>
              <w:right w:val="single" w:color="auto" w:sz="4" w:space="0"/>
            </w:tcBorders>
            <w:vAlign w:val="center"/>
          </w:tcPr>
          <w:p w14:paraId="083DA53F">
            <w:pPr>
              <w:bidi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w:t>
            </w:r>
          </w:p>
        </w:tc>
        <w:tc>
          <w:tcPr>
            <w:tcW w:w="6462" w:type="dxa"/>
            <w:tcBorders>
              <w:left w:val="single" w:color="auto" w:sz="4" w:space="0"/>
              <w:right w:val="single" w:color="auto" w:sz="4" w:space="0"/>
            </w:tcBorders>
            <w:vAlign w:val="center"/>
          </w:tcPr>
          <w:p w14:paraId="49F02AFE">
            <w:pPr>
              <w:bidi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评委</w:t>
            </w:r>
            <w:r>
              <w:rPr>
                <w:rFonts w:hint="default" w:ascii="宋体" w:hAnsi="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针对本项目</w:t>
            </w:r>
            <w:r>
              <w:rPr>
                <w:rFonts w:hint="eastAsia" w:ascii="宋体" w:hAnsi="宋体" w:cs="宋体"/>
                <w:color w:val="auto"/>
                <w:sz w:val="24"/>
                <w:szCs w:val="24"/>
                <w:highlight w:val="none"/>
                <w:lang w:val="en-US" w:eastAsia="zh-CN"/>
              </w:rPr>
              <w:t>制定的</w:t>
            </w:r>
            <w:r>
              <w:rPr>
                <w:rFonts w:hint="default" w:ascii="宋体" w:hAnsi="宋体" w:cs="宋体"/>
                <w:color w:val="auto"/>
                <w:sz w:val="24"/>
                <w:szCs w:val="24"/>
                <w:highlight w:val="none"/>
                <w:lang w:val="en-US" w:eastAsia="zh-CN"/>
              </w:rPr>
              <w:t>售后服务方案的合理及完善程度</w:t>
            </w:r>
            <w:r>
              <w:rPr>
                <w:rFonts w:hint="eastAsia" w:ascii="宋体" w:hAnsi="宋体" w:cs="宋体"/>
                <w:color w:val="auto"/>
                <w:sz w:val="24"/>
                <w:szCs w:val="24"/>
                <w:highlight w:val="none"/>
                <w:lang w:val="en-US" w:eastAsia="zh-CN"/>
              </w:rPr>
              <w:t>进行打</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,不提供售后服务的不得分。</w:t>
            </w:r>
          </w:p>
        </w:tc>
        <w:tc>
          <w:tcPr>
            <w:tcW w:w="962" w:type="dxa"/>
            <w:tcBorders>
              <w:top w:val="single" w:color="auto" w:sz="4" w:space="0"/>
              <w:left w:val="single" w:color="auto" w:sz="4" w:space="0"/>
              <w:right w:val="single" w:color="auto" w:sz="4" w:space="0"/>
            </w:tcBorders>
            <w:vAlign w:val="center"/>
          </w:tcPr>
          <w:p w14:paraId="75DFABF4">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6E29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7" w:type="dxa"/>
            <w:vMerge w:val="restart"/>
            <w:tcBorders>
              <w:left w:val="single" w:color="auto" w:sz="4" w:space="0"/>
              <w:right w:val="single" w:color="auto" w:sz="4" w:space="0"/>
            </w:tcBorders>
            <w:vAlign w:val="center"/>
          </w:tcPr>
          <w:p w14:paraId="06F1922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商务资信</w:t>
            </w:r>
          </w:p>
        </w:tc>
        <w:tc>
          <w:tcPr>
            <w:tcW w:w="1017" w:type="dxa"/>
            <w:tcBorders>
              <w:left w:val="single" w:color="auto" w:sz="4" w:space="0"/>
              <w:right w:val="single" w:color="auto" w:sz="4" w:space="0"/>
            </w:tcBorders>
            <w:vAlign w:val="center"/>
          </w:tcPr>
          <w:p w14:paraId="1902A3F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供应商业绩</w:t>
            </w:r>
          </w:p>
        </w:tc>
        <w:tc>
          <w:tcPr>
            <w:tcW w:w="6462" w:type="dxa"/>
            <w:tcBorders>
              <w:left w:val="single" w:color="auto" w:sz="4" w:space="0"/>
              <w:right w:val="single" w:color="auto" w:sz="4" w:space="0"/>
            </w:tcBorders>
            <w:vAlign w:val="center"/>
          </w:tcPr>
          <w:p w14:paraId="76B3D154">
            <w:pPr>
              <w:spacing w:line="360" w:lineRule="auto"/>
              <w:jc w:val="left"/>
              <w:rPr>
                <w:rFonts w:hint="eastAsia" w:ascii="宋体" w:hAnsi="宋体" w:eastAsia="宋体" w:cs="宋体"/>
                <w:color w:val="auto"/>
                <w:kern w:val="2"/>
                <w:sz w:val="24"/>
                <w:szCs w:val="21"/>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供应商业绩</w:t>
            </w:r>
            <w:r>
              <w:rPr>
                <w:rFonts w:hint="eastAsia" w:ascii="宋体" w:hAnsi="宋体" w:cs="宋体"/>
                <w:b/>
                <w:bCs/>
                <w:color w:val="auto"/>
                <w:sz w:val="24"/>
                <w:highlight w:val="none"/>
              </w:rPr>
              <w:t>（具体详见商务要求表）</w:t>
            </w:r>
          </w:p>
        </w:tc>
        <w:tc>
          <w:tcPr>
            <w:tcW w:w="962" w:type="dxa"/>
            <w:tcBorders>
              <w:top w:val="single" w:color="auto" w:sz="4" w:space="0"/>
              <w:left w:val="single" w:color="auto" w:sz="4" w:space="0"/>
              <w:bottom w:val="single" w:color="auto" w:sz="4" w:space="0"/>
              <w:right w:val="single" w:color="auto" w:sz="4" w:space="0"/>
            </w:tcBorders>
            <w:vAlign w:val="center"/>
          </w:tcPr>
          <w:p w14:paraId="7BEFE43C">
            <w:pPr>
              <w:widowControl/>
              <w:spacing w:line="360" w:lineRule="auto"/>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2</w:t>
            </w:r>
          </w:p>
        </w:tc>
      </w:tr>
      <w:tr w14:paraId="3BE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vMerge w:val="continue"/>
            <w:tcBorders>
              <w:left w:val="single" w:color="auto" w:sz="4" w:space="0"/>
              <w:right w:val="single" w:color="auto" w:sz="4" w:space="0"/>
            </w:tcBorders>
            <w:vAlign w:val="center"/>
          </w:tcPr>
          <w:p w14:paraId="5B01F5F3">
            <w:pPr>
              <w:spacing w:line="360" w:lineRule="auto"/>
              <w:jc w:val="center"/>
              <w:rPr>
                <w:rFonts w:hint="eastAsia" w:ascii="宋体" w:hAnsi="宋体" w:cs="宋体"/>
                <w:color w:val="auto"/>
                <w:sz w:val="24"/>
                <w:szCs w:val="24"/>
                <w:highlight w:val="none"/>
              </w:rPr>
            </w:pPr>
          </w:p>
        </w:tc>
        <w:tc>
          <w:tcPr>
            <w:tcW w:w="1017" w:type="dxa"/>
            <w:tcBorders>
              <w:left w:val="single" w:color="auto" w:sz="4" w:space="0"/>
              <w:right w:val="single" w:color="auto" w:sz="4" w:space="0"/>
            </w:tcBorders>
            <w:vAlign w:val="center"/>
          </w:tcPr>
          <w:p w14:paraId="709F5A2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认证证书</w:t>
            </w:r>
          </w:p>
        </w:tc>
        <w:tc>
          <w:tcPr>
            <w:tcW w:w="6462" w:type="dxa"/>
            <w:tcBorders>
              <w:left w:val="single" w:color="auto" w:sz="4" w:space="0"/>
              <w:right w:val="single" w:color="auto" w:sz="4" w:space="0"/>
            </w:tcBorders>
            <w:vAlign w:val="center"/>
          </w:tcPr>
          <w:p w14:paraId="19ABD871">
            <w:pPr>
              <w:spacing w:line="360" w:lineRule="auto"/>
              <w:jc w:val="left"/>
              <w:rPr>
                <w:rFonts w:hint="eastAsia" w:ascii="宋体" w:hAnsi="宋体" w:eastAsia="宋体" w:cs="宋体"/>
                <w:color w:val="auto"/>
                <w:kern w:val="2"/>
                <w:sz w:val="24"/>
                <w:szCs w:val="21"/>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认证证书</w:t>
            </w:r>
            <w:r>
              <w:rPr>
                <w:rFonts w:hint="eastAsia" w:ascii="宋体" w:hAnsi="宋体" w:cs="宋体"/>
                <w:b/>
                <w:bCs/>
                <w:color w:val="auto"/>
                <w:sz w:val="24"/>
                <w:highlight w:val="none"/>
              </w:rPr>
              <w:t>（具体详见商务要求表）</w:t>
            </w:r>
          </w:p>
        </w:tc>
        <w:tc>
          <w:tcPr>
            <w:tcW w:w="962" w:type="dxa"/>
            <w:tcBorders>
              <w:top w:val="single" w:color="auto" w:sz="4" w:space="0"/>
              <w:left w:val="single" w:color="auto" w:sz="4" w:space="0"/>
              <w:bottom w:val="single" w:color="auto" w:sz="4" w:space="0"/>
              <w:right w:val="single" w:color="auto" w:sz="4" w:space="0"/>
            </w:tcBorders>
            <w:vAlign w:val="center"/>
          </w:tcPr>
          <w:p w14:paraId="74E16517">
            <w:pPr>
              <w:widowControl/>
              <w:spacing w:line="360" w:lineRule="auto"/>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szCs w:val="21"/>
                <w:highlight w:val="none"/>
                <w:lang w:val="en-US" w:eastAsia="zh-CN" w:bidi="ar-SA"/>
              </w:rPr>
              <w:t>4</w:t>
            </w:r>
          </w:p>
        </w:tc>
      </w:tr>
      <w:tr w14:paraId="6133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7" w:type="dxa"/>
            <w:vMerge w:val="continue"/>
            <w:tcBorders>
              <w:left w:val="single" w:color="auto" w:sz="4" w:space="0"/>
              <w:right w:val="single" w:color="auto" w:sz="4" w:space="0"/>
            </w:tcBorders>
            <w:vAlign w:val="center"/>
          </w:tcPr>
          <w:p w14:paraId="74806361">
            <w:pPr>
              <w:spacing w:line="360" w:lineRule="auto"/>
              <w:jc w:val="center"/>
              <w:rPr>
                <w:rFonts w:hint="eastAsia" w:ascii="宋体" w:hAnsi="宋体" w:cs="宋体"/>
                <w:color w:val="auto"/>
                <w:sz w:val="24"/>
                <w:szCs w:val="24"/>
                <w:highlight w:val="none"/>
              </w:rPr>
            </w:pPr>
          </w:p>
        </w:tc>
        <w:tc>
          <w:tcPr>
            <w:tcW w:w="1017" w:type="dxa"/>
            <w:tcBorders>
              <w:left w:val="single" w:color="auto" w:sz="4" w:space="0"/>
              <w:right w:val="single" w:color="auto" w:sz="4" w:space="0"/>
            </w:tcBorders>
            <w:vAlign w:val="center"/>
          </w:tcPr>
          <w:p w14:paraId="00BA399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供应商实力</w:t>
            </w:r>
          </w:p>
        </w:tc>
        <w:tc>
          <w:tcPr>
            <w:tcW w:w="6462" w:type="dxa"/>
            <w:tcBorders>
              <w:left w:val="single" w:color="auto" w:sz="4" w:space="0"/>
              <w:right w:val="single" w:color="auto" w:sz="4" w:space="0"/>
            </w:tcBorders>
            <w:vAlign w:val="center"/>
          </w:tcPr>
          <w:p w14:paraId="0CB6090A">
            <w:pPr>
              <w:spacing w:line="360" w:lineRule="auto"/>
              <w:jc w:val="left"/>
              <w:rPr>
                <w:rFonts w:hint="eastAsia" w:ascii="宋体" w:hAnsi="宋体" w:eastAsia="宋体" w:cs="宋体"/>
                <w:color w:val="auto"/>
                <w:kern w:val="2"/>
                <w:sz w:val="24"/>
                <w:szCs w:val="21"/>
                <w:highlight w:val="none"/>
                <w:lang w:val="en-US" w:eastAsia="zh-CN" w:bidi="ar-SA"/>
              </w:rPr>
            </w:pPr>
            <w:r>
              <w:rPr>
                <w:rFonts w:hint="eastAsia" w:ascii="宋体" w:hAnsi="宋体" w:cs="宋体"/>
                <w:b w:val="0"/>
                <w:bCs w:val="0"/>
                <w:color w:val="auto"/>
                <w:sz w:val="24"/>
                <w:highlight w:val="none"/>
                <w:lang w:val="en-US" w:eastAsia="zh-CN"/>
              </w:rPr>
              <w:t>供应商实力</w:t>
            </w:r>
            <w:r>
              <w:rPr>
                <w:rFonts w:hint="eastAsia" w:ascii="宋体" w:hAnsi="宋体" w:cs="宋体"/>
                <w:b/>
                <w:bCs/>
                <w:color w:val="auto"/>
                <w:sz w:val="24"/>
                <w:highlight w:val="none"/>
              </w:rPr>
              <w:t>（具体详见商务要求表）</w:t>
            </w:r>
          </w:p>
        </w:tc>
        <w:tc>
          <w:tcPr>
            <w:tcW w:w="962" w:type="dxa"/>
            <w:tcBorders>
              <w:top w:val="single" w:color="auto" w:sz="4" w:space="0"/>
              <w:left w:val="single" w:color="auto" w:sz="4" w:space="0"/>
              <w:bottom w:val="single" w:color="auto" w:sz="4" w:space="0"/>
              <w:right w:val="single" w:color="auto" w:sz="4" w:space="0"/>
            </w:tcBorders>
            <w:vAlign w:val="center"/>
          </w:tcPr>
          <w:p w14:paraId="5B0D00A9">
            <w:pPr>
              <w:widowControl/>
              <w:spacing w:line="360" w:lineRule="auto"/>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szCs w:val="24"/>
                <w:highlight w:val="none"/>
                <w:lang w:val="en-US" w:eastAsia="zh-CN"/>
              </w:rPr>
              <w:t>2</w:t>
            </w:r>
          </w:p>
        </w:tc>
      </w:tr>
    </w:tbl>
    <w:p w14:paraId="0223E63A">
      <w:pPr>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2、商务要求表</w:t>
      </w:r>
      <w:r>
        <w:rPr>
          <w:rFonts w:hint="eastAsia" w:ascii="宋体" w:hAnsi="宋体" w:cs="宋体"/>
          <w:color w:val="auto"/>
          <w:sz w:val="24"/>
          <w:szCs w:val="24"/>
          <w:highlight w:val="none"/>
        </w:rPr>
        <w:t>（对应评分标准）</w:t>
      </w:r>
    </w:p>
    <w:tbl>
      <w:tblPr>
        <w:tblStyle w:val="2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066"/>
        <w:gridCol w:w="6009"/>
        <w:gridCol w:w="925"/>
      </w:tblGrid>
      <w:tr w14:paraId="6F71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162" w:type="dxa"/>
            <w:vMerge w:val="restart"/>
            <w:tcBorders>
              <w:left w:val="single" w:color="auto" w:sz="4" w:space="0"/>
              <w:right w:val="single" w:color="auto" w:sz="4" w:space="0"/>
            </w:tcBorders>
            <w:vAlign w:val="center"/>
          </w:tcPr>
          <w:p w14:paraId="448847B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资信</w:t>
            </w:r>
          </w:p>
          <w:p w14:paraId="7414FC1A">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（8分）</w:t>
            </w:r>
          </w:p>
        </w:tc>
        <w:tc>
          <w:tcPr>
            <w:tcW w:w="1066" w:type="dxa"/>
            <w:tcBorders>
              <w:left w:val="single" w:color="auto" w:sz="4" w:space="0"/>
              <w:right w:val="single" w:color="auto" w:sz="4" w:space="0"/>
            </w:tcBorders>
            <w:vAlign w:val="center"/>
          </w:tcPr>
          <w:p w14:paraId="13C0489F">
            <w:pPr>
              <w:widowControl/>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供应商业绩</w:t>
            </w:r>
          </w:p>
        </w:tc>
        <w:tc>
          <w:tcPr>
            <w:tcW w:w="6009" w:type="dxa"/>
            <w:tcBorders>
              <w:top w:val="single" w:color="auto" w:sz="4" w:space="0"/>
              <w:left w:val="single" w:color="auto" w:sz="4" w:space="0"/>
              <w:bottom w:val="single" w:color="auto" w:sz="4" w:space="0"/>
              <w:right w:val="single" w:color="auto" w:sz="4" w:space="0"/>
            </w:tcBorders>
            <w:vAlign w:val="center"/>
          </w:tcPr>
          <w:p w14:paraId="39E1ECD0">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自202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年1月1日以来（以合同签订时间为准）已完成的与本项目类似业绩的每个</w:t>
            </w:r>
            <w:r>
              <w:rPr>
                <w:rFonts w:hint="eastAsia" w:asciiTheme="minorEastAsia" w:hAnsiTheme="minorEastAsia" w:eastAsiaTheme="minorEastAsia" w:cstheme="minorEastAsia"/>
                <w:color w:val="auto"/>
                <w:sz w:val="24"/>
                <w:szCs w:val="24"/>
                <w:highlight w:val="none"/>
                <w:lang w:val="en-US" w:eastAsia="zh-CN"/>
              </w:rPr>
              <w:t>得1分，最高得2分</w:t>
            </w:r>
            <w:r>
              <w:rPr>
                <w:rFonts w:hint="eastAsia" w:asciiTheme="minorEastAsia" w:hAnsiTheme="minorEastAsia" w:eastAsiaTheme="minorEastAsia" w:cstheme="minorEastAsia"/>
                <w:color w:val="auto"/>
                <w:sz w:val="24"/>
                <w:szCs w:val="24"/>
                <w:highlight w:val="none"/>
              </w:rPr>
              <w:t>。</w:t>
            </w:r>
          </w:p>
          <w:p w14:paraId="5467FCE1">
            <w:pPr>
              <w:adjustRightInd w:val="0"/>
              <w:snapToGrid w:val="0"/>
              <w:spacing w:line="360" w:lineRule="auto"/>
              <w:ind w:firstLine="480" w:firstLineChars="200"/>
              <w:jc w:val="lef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注：须同时</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中标通知书及</w:t>
            </w:r>
            <w:r>
              <w:rPr>
                <w:rFonts w:hint="eastAsia" w:asciiTheme="minorEastAsia" w:hAnsiTheme="minorEastAsia" w:eastAsiaTheme="minorEastAsia" w:cstheme="minorEastAsia"/>
                <w:color w:val="auto"/>
                <w:sz w:val="24"/>
                <w:szCs w:val="24"/>
                <w:highlight w:val="none"/>
              </w:rPr>
              <w:t>合同</w:t>
            </w:r>
            <w:r>
              <w:rPr>
                <w:rFonts w:hint="eastAsia" w:asciiTheme="minorEastAsia" w:hAnsiTheme="minorEastAsia" w:eastAsiaTheme="minorEastAsia" w:cstheme="minorEastAsia"/>
                <w:color w:val="auto"/>
                <w:sz w:val="24"/>
                <w:szCs w:val="24"/>
                <w:highlight w:val="none"/>
                <w:lang w:eastAsia="zh-CN"/>
              </w:rPr>
              <w:t>扫描件</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加盖</w:t>
            </w:r>
            <w:r>
              <w:rPr>
                <w:rFonts w:hint="eastAsia" w:asciiTheme="minorEastAsia" w:hAnsiTheme="minorEastAsia" w:eastAsiaTheme="minorEastAsia" w:cstheme="minorEastAsia"/>
                <w:color w:val="auto"/>
                <w:sz w:val="24"/>
                <w:szCs w:val="24"/>
                <w:highlight w:val="none"/>
                <w:lang w:val="en-US" w:eastAsia="zh-CN"/>
              </w:rPr>
              <w:t>供应商单位</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w:t>
            </w:r>
            <w:r>
              <w:rPr>
                <w:rFonts w:hint="eastAsia" w:asciiTheme="minorEastAsia" w:hAnsiTheme="minorEastAsia" w:eastAsiaTheme="minorEastAsia" w:cstheme="minorEastAsia"/>
                <w:color w:val="auto"/>
                <w:sz w:val="24"/>
                <w:szCs w:val="24"/>
                <w:highlight w:val="none"/>
                <w:lang w:eastAsia="zh-CN"/>
              </w:rPr>
              <w:t>不得分。</w:t>
            </w:r>
          </w:p>
        </w:tc>
        <w:tc>
          <w:tcPr>
            <w:tcW w:w="925" w:type="dxa"/>
            <w:tcBorders>
              <w:left w:val="single" w:color="auto" w:sz="4" w:space="0"/>
              <w:right w:val="single" w:color="auto" w:sz="4" w:space="0"/>
            </w:tcBorders>
            <w:vAlign w:val="center"/>
          </w:tcPr>
          <w:p w14:paraId="138DF9DE">
            <w:pPr>
              <w:adjustRightInd w:val="0"/>
              <w:snapToGrid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r>
      <w:tr w14:paraId="19FF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162" w:type="dxa"/>
            <w:vMerge w:val="continue"/>
            <w:tcBorders>
              <w:left w:val="single" w:color="auto" w:sz="4" w:space="0"/>
              <w:right w:val="single" w:color="auto" w:sz="4" w:space="0"/>
            </w:tcBorders>
            <w:vAlign w:val="center"/>
          </w:tcPr>
          <w:p w14:paraId="068D780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066" w:type="dxa"/>
            <w:vMerge w:val="restart"/>
            <w:tcBorders>
              <w:left w:val="single" w:color="auto" w:sz="4" w:space="0"/>
              <w:right w:val="single" w:color="auto" w:sz="4" w:space="0"/>
            </w:tcBorders>
            <w:vAlign w:val="center"/>
          </w:tcPr>
          <w:p w14:paraId="37D1AD79">
            <w:pPr>
              <w:widowControl/>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认证证书</w:t>
            </w:r>
          </w:p>
        </w:tc>
        <w:tc>
          <w:tcPr>
            <w:tcW w:w="6009" w:type="dxa"/>
            <w:tcBorders>
              <w:top w:val="single" w:color="auto" w:sz="4" w:space="0"/>
              <w:left w:val="single" w:color="auto" w:sz="4" w:space="0"/>
              <w:bottom w:val="single" w:color="auto" w:sz="4" w:space="0"/>
              <w:right w:val="single" w:color="auto" w:sz="4" w:space="0"/>
            </w:tcBorders>
            <w:vAlign w:val="center"/>
          </w:tcPr>
          <w:p w14:paraId="01A7286D">
            <w:pPr>
              <w:adjustRightInd w:val="0"/>
              <w:snapToGrid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eastAsia="zh-CN"/>
              </w:rPr>
              <w:t>具有</w:t>
            </w:r>
            <w:r>
              <w:rPr>
                <w:rFonts w:hint="eastAsia" w:ascii="宋体" w:hAnsi="宋体"/>
                <w:color w:val="auto"/>
                <w:sz w:val="24"/>
                <w:szCs w:val="24"/>
                <w:highlight w:val="none"/>
                <w:lang w:val="en-US" w:eastAsia="zh-CN"/>
              </w:rPr>
              <w:t>有效期内的</w:t>
            </w:r>
            <w:r>
              <w:rPr>
                <w:rFonts w:hint="eastAsia" w:ascii="宋体" w:hAnsi="宋体"/>
                <w:color w:val="auto"/>
                <w:sz w:val="24"/>
                <w:szCs w:val="24"/>
                <w:highlight w:val="none"/>
                <w:lang w:eastAsia="zh-CN"/>
              </w:rPr>
              <w:t>质量管理体系认证</w:t>
            </w:r>
            <w:r>
              <w:rPr>
                <w:rFonts w:hint="eastAsia" w:ascii="宋体" w:hAnsi="宋体"/>
                <w:color w:val="auto"/>
                <w:sz w:val="24"/>
                <w:szCs w:val="24"/>
                <w:highlight w:val="none"/>
                <w:lang w:val="en-US" w:eastAsia="zh-CN"/>
              </w:rPr>
              <w:t>证书</w:t>
            </w:r>
            <w:r>
              <w:rPr>
                <w:rFonts w:hint="eastAsia" w:ascii="宋体" w:hAnsi="宋体"/>
                <w:color w:val="auto"/>
                <w:sz w:val="24"/>
                <w:szCs w:val="24"/>
                <w:highlight w:val="none"/>
                <w:lang w:eastAsia="zh-CN"/>
              </w:rPr>
              <w:t>、环境管理体系认证</w:t>
            </w:r>
            <w:r>
              <w:rPr>
                <w:rFonts w:hint="eastAsia" w:ascii="宋体" w:hAnsi="宋体"/>
                <w:color w:val="auto"/>
                <w:sz w:val="24"/>
                <w:szCs w:val="24"/>
                <w:highlight w:val="none"/>
                <w:lang w:val="en-US" w:eastAsia="zh-CN"/>
              </w:rPr>
              <w:t>证书</w:t>
            </w:r>
            <w:r>
              <w:rPr>
                <w:rFonts w:hint="eastAsia" w:ascii="宋体" w:hAnsi="宋体"/>
                <w:color w:val="auto"/>
                <w:sz w:val="24"/>
                <w:szCs w:val="24"/>
                <w:highlight w:val="none"/>
                <w:lang w:eastAsia="zh-CN"/>
              </w:rPr>
              <w:t>、职业健康安全管理体系认证证书</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lang w:eastAsia="zh-CN"/>
              </w:rPr>
              <w:t>每个得</w:t>
            </w:r>
            <w:r>
              <w:rPr>
                <w:rFonts w:hint="eastAsia" w:ascii="宋体" w:hAnsi="宋体"/>
                <w:color w:val="auto"/>
                <w:sz w:val="24"/>
                <w:szCs w:val="24"/>
                <w:highlight w:val="none"/>
                <w:lang w:val="en-US" w:eastAsia="zh-CN"/>
              </w:rPr>
              <w:t>1分，最高得3分。</w:t>
            </w:r>
          </w:p>
          <w:p w14:paraId="2DDFF8B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auto"/>
                <w:sz w:val="24"/>
                <w:szCs w:val="24"/>
                <w:highlight w:val="none"/>
                <w:lang w:val="en-US" w:eastAsia="zh-CN"/>
              </w:rPr>
              <w:t>注：</w:t>
            </w:r>
            <w:r>
              <w:rPr>
                <w:rFonts w:hint="eastAsia" w:ascii="宋体" w:hAnsi="宋体" w:cs="宋体"/>
                <w:color w:val="auto"/>
                <w:sz w:val="24"/>
                <w:szCs w:val="24"/>
                <w:highlight w:val="none"/>
                <w:lang w:val="en-US" w:eastAsia="zh-CN"/>
              </w:rPr>
              <w:t>须</w:t>
            </w:r>
            <w:r>
              <w:rPr>
                <w:rFonts w:hint="eastAsia" w:ascii="宋体" w:hAnsi="宋体"/>
                <w:color w:val="auto"/>
                <w:sz w:val="24"/>
                <w:szCs w:val="24"/>
                <w:highlight w:val="none"/>
                <w:lang w:val="en-US" w:eastAsia="zh-CN"/>
              </w:rPr>
              <w:t>提供有效期内的证书复印件并加盖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宋体" w:hAnsi="宋体"/>
                <w:color w:val="auto"/>
                <w:sz w:val="24"/>
                <w:szCs w:val="24"/>
                <w:highlight w:val="none"/>
                <w:lang w:val="en-US" w:eastAsia="zh-CN"/>
              </w:rPr>
              <w:t>单位公章。</w:t>
            </w:r>
          </w:p>
        </w:tc>
        <w:tc>
          <w:tcPr>
            <w:tcW w:w="925" w:type="dxa"/>
            <w:tcBorders>
              <w:left w:val="single" w:color="auto" w:sz="4" w:space="0"/>
              <w:right w:val="single" w:color="auto" w:sz="4" w:space="0"/>
            </w:tcBorders>
            <w:vAlign w:val="center"/>
          </w:tcPr>
          <w:p w14:paraId="2C774F96">
            <w:pPr>
              <w:adjustRightInd w:val="0"/>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0CE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62" w:type="dxa"/>
            <w:vMerge w:val="continue"/>
            <w:tcBorders>
              <w:left w:val="single" w:color="auto" w:sz="4" w:space="0"/>
              <w:right w:val="single" w:color="auto" w:sz="4" w:space="0"/>
            </w:tcBorders>
            <w:vAlign w:val="center"/>
          </w:tcPr>
          <w:p w14:paraId="710B9A0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066" w:type="dxa"/>
            <w:vMerge w:val="continue"/>
            <w:tcBorders>
              <w:left w:val="single" w:color="auto" w:sz="4" w:space="0"/>
              <w:right w:val="single" w:color="auto" w:sz="4" w:space="0"/>
            </w:tcBorders>
            <w:vAlign w:val="center"/>
          </w:tcPr>
          <w:p w14:paraId="5F320A60">
            <w:pPr>
              <w:widowControl/>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6009" w:type="dxa"/>
            <w:tcBorders>
              <w:top w:val="single" w:color="auto" w:sz="4" w:space="0"/>
              <w:left w:val="single" w:color="auto" w:sz="4" w:space="0"/>
              <w:bottom w:val="single" w:color="auto" w:sz="4" w:space="0"/>
              <w:right w:val="single" w:color="auto" w:sz="4" w:space="0"/>
            </w:tcBorders>
            <w:vAlign w:val="center"/>
          </w:tcPr>
          <w:p w14:paraId="7EF87B6D">
            <w:pPr>
              <w:adjustRightInd w:val="0"/>
              <w:snapToGrid w:val="0"/>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lang w:eastAsia="zh-CN"/>
              </w:rPr>
              <w:t>具有</w:t>
            </w:r>
            <w:r>
              <w:rPr>
                <w:rFonts w:hint="eastAsia" w:ascii="宋体" w:hAnsi="宋体"/>
                <w:color w:val="auto"/>
                <w:sz w:val="24"/>
                <w:szCs w:val="24"/>
                <w:highlight w:val="none"/>
                <w:lang w:val="en-US" w:eastAsia="zh-CN"/>
              </w:rPr>
              <w:t>有效期内的CNAS证书的</w:t>
            </w:r>
            <w:r>
              <w:rPr>
                <w:rFonts w:hint="eastAsia" w:ascii="宋体" w:hAnsi="宋体"/>
                <w:color w:val="auto"/>
                <w:sz w:val="24"/>
                <w:szCs w:val="24"/>
                <w:highlight w:val="none"/>
                <w:lang w:eastAsia="zh-CN"/>
              </w:rPr>
              <w:t>得</w:t>
            </w:r>
            <w:r>
              <w:rPr>
                <w:rFonts w:hint="eastAsia" w:ascii="宋体" w:hAnsi="宋体"/>
                <w:color w:val="auto"/>
                <w:sz w:val="24"/>
                <w:szCs w:val="24"/>
                <w:highlight w:val="none"/>
                <w:lang w:val="en-US" w:eastAsia="zh-CN"/>
              </w:rPr>
              <w:t>1分。</w:t>
            </w:r>
          </w:p>
          <w:p w14:paraId="1C06A3DF">
            <w:pPr>
              <w:adjustRightInd w:val="0"/>
              <w:snapToGrid w:val="0"/>
              <w:spacing w:line="360" w:lineRule="auto"/>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w:t>
            </w:r>
            <w:r>
              <w:rPr>
                <w:rFonts w:hint="eastAsia" w:ascii="宋体" w:hAnsi="宋体" w:cs="宋体"/>
                <w:color w:val="auto"/>
                <w:sz w:val="24"/>
                <w:szCs w:val="24"/>
                <w:highlight w:val="none"/>
                <w:lang w:val="en-US" w:eastAsia="zh-CN"/>
              </w:rPr>
              <w:t>须</w:t>
            </w:r>
            <w:r>
              <w:rPr>
                <w:rFonts w:hint="eastAsia" w:ascii="宋体" w:hAnsi="宋体"/>
                <w:color w:val="auto"/>
                <w:sz w:val="24"/>
                <w:szCs w:val="24"/>
                <w:highlight w:val="none"/>
                <w:lang w:val="en-US" w:eastAsia="zh-CN"/>
              </w:rPr>
              <w:t>提供有效期内的证书复印件并加盖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宋体" w:hAnsi="宋体"/>
                <w:color w:val="auto"/>
                <w:sz w:val="24"/>
                <w:szCs w:val="24"/>
                <w:highlight w:val="none"/>
                <w:lang w:val="en-US" w:eastAsia="zh-CN"/>
              </w:rPr>
              <w:t>单位公章。</w:t>
            </w:r>
          </w:p>
        </w:tc>
        <w:tc>
          <w:tcPr>
            <w:tcW w:w="925" w:type="dxa"/>
            <w:tcBorders>
              <w:left w:val="single" w:color="auto" w:sz="4" w:space="0"/>
              <w:right w:val="single" w:color="auto" w:sz="4" w:space="0"/>
            </w:tcBorders>
            <w:vAlign w:val="center"/>
          </w:tcPr>
          <w:p w14:paraId="5E55BA0D">
            <w:pPr>
              <w:adjustRightInd w:val="0"/>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r>
      <w:tr w14:paraId="7BFF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162" w:type="dxa"/>
            <w:vMerge w:val="continue"/>
            <w:tcBorders>
              <w:left w:val="single" w:color="auto" w:sz="4" w:space="0"/>
              <w:right w:val="single" w:color="auto" w:sz="4" w:space="0"/>
            </w:tcBorders>
            <w:vAlign w:val="center"/>
          </w:tcPr>
          <w:p w14:paraId="4C3AB5D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066" w:type="dxa"/>
            <w:tcBorders>
              <w:left w:val="single" w:color="auto" w:sz="4" w:space="0"/>
              <w:right w:val="single" w:color="auto" w:sz="4" w:space="0"/>
            </w:tcBorders>
            <w:vAlign w:val="center"/>
          </w:tcPr>
          <w:p w14:paraId="188A41D6">
            <w:pPr>
              <w:widowControl/>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供应商实力</w:t>
            </w:r>
          </w:p>
        </w:tc>
        <w:tc>
          <w:tcPr>
            <w:tcW w:w="6009" w:type="dxa"/>
            <w:tcBorders>
              <w:top w:val="single" w:color="auto" w:sz="4" w:space="0"/>
              <w:left w:val="single" w:color="auto" w:sz="4" w:space="0"/>
              <w:bottom w:val="single" w:color="auto" w:sz="4" w:space="0"/>
              <w:right w:val="single" w:color="auto" w:sz="4" w:space="0"/>
            </w:tcBorders>
            <w:vAlign w:val="center"/>
          </w:tcPr>
          <w:p w14:paraId="67812148">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自2022年1月1日以来，供应商承担或参与过省级及以上食品相关科研课题或地方标准（或国家标准或行业标准）制修订研究的，得2分。</w:t>
            </w:r>
          </w:p>
          <w:p w14:paraId="449867BA">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注：须提供相关证明材料复印件并加盖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kern w:val="2"/>
                <w:sz w:val="24"/>
                <w:szCs w:val="24"/>
                <w:highlight w:val="none"/>
                <w:lang w:val="en-US" w:eastAsia="zh-CN" w:bidi="ar-SA"/>
              </w:rPr>
              <w:t>单位公章。</w:t>
            </w:r>
          </w:p>
        </w:tc>
        <w:tc>
          <w:tcPr>
            <w:tcW w:w="925" w:type="dxa"/>
            <w:tcBorders>
              <w:left w:val="single" w:color="auto" w:sz="4" w:space="0"/>
              <w:right w:val="single" w:color="auto" w:sz="4" w:space="0"/>
            </w:tcBorders>
            <w:vAlign w:val="center"/>
          </w:tcPr>
          <w:p w14:paraId="3BF7C7D4">
            <w:pPr>
              <w:adjustRightInd w:val="0"/>
              <w:snapToGrid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r>
    </w:tbl>
    <w:p w14:paraId="694AB7B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w:t>
      </w:r>
    </w:p>
    <w:p w14:paraId="699F1239">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438BCBD6">
      <w:pPr>
        <w:spacing w:line="360" w:lineRule="auto"/>
        <w:ind w:firstLine="480" w:firstLineChars="200"/>
        <w:rPr>
          <w:rFonts w:cs="宋体"/>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6" w:name="_Toc8033"/>
      <w:bookmarkStart w:id="87" w:name="_Toc4517"/>
      <w:r>
        <w:rPr>
          <w:rFonts w:hint="eastAsia" w:cs="宋体"/>
          <w:color w:val="auto"/>
          <w:sz w:val="36"/>
          <w:szCs w:val="36"/>
          <w:highlight w:val="none"/>
        </w:rPr>
        <w:br w:type="page"/>
      </w:r>
    </w:p>
    <w:p w14:paraId="6F6186C9">
      <w:pPr>
        <w:pStyle w:val="2"/>
        <w:jc w:val="center"/>
        <w:rPr>
          <w:rFonts w:ascii="宋体" w:cs="Times New Roman"/>
          <w:color w:val="auto"/>
          <w:highlight w:val="none"/>
        </w:rPr>
      </w:pPr>
      <w:bookmarkStart w:id="88" w:name="_Toc11453"/>
      <w:r>
        <w:rPr>
          <w:rFonts w:hint="eastAsia" w:cs="宋体"/>
          <w:color w:val="auto"/>
          <w:sz w:val="36"/>
          <w:szCs w:val="36"/>
          <w:highlight w:val="none"/>
        </w:rPr>
        <w:t>第五部分</w:t>
      </w:r>
      <w:r>
        <w:rPr>
          <w:color w:val="auto"/>
          <w:sz w:val="36"/>
          <w:szCs w:val="36"/>
          <w:highlight w:val="none"/>
        </w:rPr>
        <w:t xml:space="preserve"> </w:t>
      </w:r>
      <w:r>
        <w:rPr>
          <w:rFonts w:hint="eastAsia" w:cs="宋体"/>
          <w:color w:val="auto"/>
          <w:sz w:val="36"/>
          <w:szCs w:val="36"/>
          <w:highlight w:val="none"/>
        </w:rPr>
        <w:t>采购合同</w:t>
      </w:r>
      <w:bookmarkEnd w:id="86"/>
      <w:bookmarkEnd w:id="87"/>
      <w:bookmarkEnd w:id="88"/>
    </w:p>
    <w:p w14:paraId="6EEA194E">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合同编号：（</w:t>
      </w:r>
      <w:r>
        <w:rPr>
          <w:rFonts w:hint="eastAsia" w:cs="Times New Roman"/>
          <w:b w:val="0"/>
          <w:bCs/>
          <w:color w:val="auto"/>
          <w:sz w:val="24"/>
          <w:highlight w:val="none"/>
          <w:lang w:val="en-US" w:eastAsia="zh-CN"/>
        </w:rPr>
        <w:t>2025</w:t>
      </w:r>
      <w:r>
        <w:rPr>
          <w:rFonts w:hint="eastAsia" w:ascii="Times New Roman" w:hAnsi="Times New Roman" w:eastAsia="宋体" w:cs="Times New Roman"/>
          <w:b w:val="0"/>
          <w:bCs/>
          <w:color w:val="auto"/>
          <w:sz w:val="24"/>
          <w:highlight w:val="none"/>
          <w:lang w:val="en-US" w:eastAsia="zh-CN"/>
        </w:rPr>
        <w:t>）第</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号</w:t>
      </w:r>
    </w:p>
    <w:p w14:paraId="33FEDC76">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签订日期：</w:t>
      </w:r>
      <w:r>
        <w:rPr>
          <w:rFonts w:hint="eastAsia" w:cs="Times New Roman"/>
          <w:b w:val="0"/>
          <w:bCs/>
          <w:color w:val="auto"/>
          <w:sz w:val="24"/>
          <w:highlight w:val="none"/>
          <w:lang w:val="en-US" w:eastAsia="zh-CN"/>
        </w:rPr>
        <w:t>2025</w:t>
      </w:r>
      <w:r>
        <w:rPr>
          <w:rFonts w:hint="eastAsia" w:ascii="Times New Roman" w:hAnsi="Times New Roman" w:eastAsia="宋体" w:cs="Times New Roman"/>
          <w:b w:val="0"/>
          <w:bCs/>
          <w:color w:val="auto"/>
          <w:sz w:val="24"/>
          <w:highlight w:val="none"/>
          <w:lang w:val="en-US" w:eastAsia="zh-CN"/>
        </w:rPr>
        <w:t>年</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月</w:t>
      </w:r>
      <w:r>
        <w:rPr>
          <w:rFonts w:hint="eastAsia"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lang w:val="en-US" w:eastAsia="zh-CN"/>
        </w:rPr>
        <w:t>日</w:t>
      </w:r>
    </w:p>
    <w:p w14:paraId="6E111AA2">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Times New Roman" w:hAnsi="Times New Roman" w:eastAsia="宋体" w:cs="Times New Roman"/>
          <w:b w:val="0"/>
          <w:bCs/>
          <w:color w:val="auto"/>
          <w:sz w:val="24"/>
          <w:highlight w:val="none"/>
          <w:u w:val="single"/>
          <w:lang w:val="en-US" w:eastAsia="zh-CN"/>
        </w:rPr>
      </w:pPr>
      <w:r>
        <w:rPr>
          <w:rFonts w:hint="eastAsia" w:ascii="Times New Roman" w:hAnsi="Times New Roman" w:eastAsia="宋体" w:cs="Times New Roman"/>
          <w:b w:val="0"/>
          <w:bCs/>
          <w:color w:val="auto"/>
          <w:sz w:val="24"/>
          <w:highlight w:val="none"/>
          <w:lang w:val="en-US" w:eastAsia="zh-CN"/>
        </w:rPr>
        <w:t>甲方：</w:t>
      </w:r>
      <w:r>
        <w:rPr>
          <w:rFonts w:hint="eastAsia" w:ascii="Times New Roman" w:hAnsi="Times New Roman" w:eastAsia="宋体" w:cs="Times New Roman"/>
          <w:b w:val="0"/>
          <w:bCs/>
          <w:color w:val="auto"/>
          <w:sz w:val="24"/>
          <w:highlight w:val="none"/>
          <w:u w:val="single"/>
          <w:lang w:val="en-US" w:eastAsia="zh-CN"/>
        </w:rPr>
        <w:t>　　　　　　　　　　　　　　　　　　　　　　　</w:t>
      </w:r>
    </w:p>
    <w:p w14:paraId="68ABAB75">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乙方：</w:t>
      </w:r>
      <w:r>
        <w:rPr>
          <w:rFonts w:hint="eastAsia" w:ascii="Times New Roman" w:hAnsi="Times New Roman" w:eastAsia="宋体" w:cs="Times New Roman"/>
          <w:b w:val="0"/>
          <w:bCs/>
          <w:color w:val="auto"/>
          <w:sz w:val="24"/>
          <w:highlight w:val="none"/>
          <w:u w:val="single"/>
          <w:lang w:val="en-US" w:eastAsia="zh-CN"/>
        </w:rPr>
        <w:t>　　　　　　　　　　　　　　　　　　　　　　　</w:t>
      </w:r>
    </w:p>
    <w:p w14:paraId="7A0E0428">
      <w:pPr>
        <w:keepNext w:val="0"/>
        <w:keepLines w:val="0"/>
        <w:pageBreakBefore w:val="0"/>
        <w:widowControl w:val="0"/>
        <w:kinsoku/>
        <w:wordWrap/>
        <w:overflowPunct/>
        <w:topLinePunct w:val="0"/>
        <w:autoSpaceDE/>
        <w:autoSpaceDN/>
        <w:bidi w:val="0"/>
        <w:adjustRightInd/>
        <w:snapToGrid/>
        <w:spacing w:line="500" w:lineRule="exact"/>
        <w:ind w:firstLine="600" w:firstLineChars="250"/>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根据《中华人民共和国民法典》、政府采购编号为FSJZCS2025001招标文件、</w:t>
      </w:r>
      <w:r>
        <w:rPr>
          <w:rFonts w:hint="eastAsia" w:cs="Times New Roman"/>
          <w:b w:val="0"/>
          <w:bCs/>
          <w:color w:val="auto"/>
          <w:sz w:val="24"/>
          <w:highlight w:val="none"/>
          <w:lang w:val="en-US" w:eastAsia="zh-CN"/>
        </w:rPr>
        <w:t>乙方投标</w:t>
      </w:r>
      <w:r>
        <w:rPr>
          <w:rFonts w:hint="eastAsia" w:ascii="Times New Roman" w:hAnsi="Times New Roman" w:eastAsia="宋体" w:cs="Times New Roman"/>
          <w:b w:val="0"/>
          <w:bCs/>
          <w:color w:val="auto"/>
          <w:sz w:val="24"/>
          <w:highlight w:val="none"/>
          <w:lang w:val="en-US" w:eastAsia="zh-CN"/>
        </w:rPr>
        <w:t>文件的规定，经</w:t>
      </w:r>
      <w:r>
        <w:rPr>
          <w:rFonts w:hint="eastAsia" w:cs="Times New Roman"/>
          <w:b w:val="0"/>
          <w:bCs/>
          <w:color w:val="auto"/>
          <w:sz w:val="24"/>
          <w:highlight w:val="none"/>
          <w:lang w:val="en-US" w:eastAsia="zh-CN"/>
        </w:rPr>
        <w:t>竞争性磋商</w:t>
      </w:r>
      <w:r>
        <w:rPr>
          <w:rFonts w:hint="eastAsia" w:ascii="Times New Roman" w:hAnsi="Times New Roman" w:eastAsia="宋体" w:cs="Times New Roman"/>
          <w:b w:val="0"/>
          <w:bCs/>
          <w:color w:val="auto"/>
          <w:sz w:val="24"/>
          <w:highlight w:val="none"/>
          <w:lang w:val="en-US" w:eastAsia="zh-CN"/>
        </w:rPr>
        <w:t xml:space="preserve">采购，签订本合同。 </w:t>
      </w:r>
    </w:p>
    <w:p w14:paraId="5F7FB01B">
      <w:pPr>
        <w:pStyle w:val="4"/>
        <w:spacing w:line="360" w:lineRule="auto"/>
        <w:rPr>
          <w:rFonts w:hint="default" w:ascii="宋体" w:hAnsi="宋体" w:eastAsia="宋体" w:cs="宋体"/>
          <w:b/>
          <w:bCs w:val="0"/>
          <w:color w:val="auto"/>
          <w:kern w:val="44"/>
          <w:sz w:val="24"/>
          <w:szCs w:val="24"/>
          <w:highlight w:val="none"/>
          <w:lang w:val="en-US" w:eastAsia="zh-CN"/>
        </w:rPr>
      </w:pPr>
      <w:r>
        <w:rPr>
          <w:rFonts w:hint="default" w:ascii="宋体" w:hAnsi="宋体" w:eastAsia="宋体" w:cs="宋体"/>
          <w:b/>
          <w:bCs w:val="0"/>
          <w:color w:val="auto"/>
          <w:kern w:val="44"/>
          <w:sz w:val="24"/>
          <w:szCs w:val="24"/>
          <w:highlight w:val="none"/>
          <w:lang w:val="en-US" w:eastAsia="zh-CN"/>
        </w:rPr>
        <w:t>一、项目概况</w:t>
      </w:r>
    </w:p>
    <w:p w14:paraId="0EB14886">
      <w:pPr>
        <w:pStyle w:val="4"/>
        <w:spacing w:line="360" w:lineRule="auto"/>
        <w:rPr>
          <w:rFonts w:hint="default" w:ascii="宋体" w:hAnsi="宋体" w:eastAsia="宋体" w:cs="宋体"/>
          <w:bCs/>
          <w:color w:val="auto"/>
          <w:kern w:val="44"/>
          <w:sz w:val="24"/>
          <w:szCs w:val="24"/>
          <w:highlight w:val="none"/>
          <w:lang w:val="en-US" w:eastAsia="zh-CN"/>
        </w:rPr>
      </w:pPr>
      <w:r>
        <w:rPr>
          <w:rFonts w:hint="default" w:ascii="宋体" w:hAnsi="宋体" w:eastAsia="宋体" w:cs="宋体"/>
          <w:bCs/>
          <w:color w:val="auto"/>
          <w:kern w:val="44"/>
          <w:sz w:val="24"/>
          <w:szCs w:val="24"/>
          <w:highlight w:val="none"/>
          <w:lang w:val="en-US" w:eastAsia="zh-CN"/>
        </w:rPr>
        <w:t> 为贯彻党中央、国务院决策部署，根据《中华人民共和国食品安全法》等法律法规，加强食品安全监督管理，保障公众身体健康和生命安全，拟组织开展食品安全抽样检验工作。</w:t>
      </w:r>
    </w:p>
    <w:p w14:paraId="54ACEBF3">
      <w:pPr>
        <w:pStyle w:val="4"/>
        <w:spacing w:line="360" w:lineRule="auto"/>
        <w:rPr>
          <w:rFonts w:hint="default" w:ascii="宋体" w:hAnsi="宋体" w:eastAsia="宋体" w:cs="宋体"/>
          <w:b/>
          <w:bCs w:val="0"/>
          <w:color w:val="auto"/>
          <w:kern w:val="44"/>
          <w:sz w:val="24"/>
          <w:szCs w:val="24"/>
          <w:highlight w:val="none"/>
          <w:lang w:val="en-US" w:eastAsia="zh-CN"/>
        </w:rPr>
      </w:pPr>
      <w:r>
        <w:rPr>
          <w:rFonts w:hint="default" w:ascii="宋体" w:hAnsi="宋体" w:eastAsia="宋体" w:cs="宋体"/>
          <w:b/>
          <w:bCs w:val="0"/>
          <w:color w:val="auto"/>
          <w:kern w:val="44"/>
          <w:sz w:val="24"/>
          <w:szCs w:val="24"/>
          <w:highlight w:val="none"/>
          <w:lang w:val="en-US" w:eastAsia="zh-CN"/>
        </w:rPr>
        <w:t>二、监测批次及品种</w:t>
      </w:r>
    </w:p>
    <w:p w14:paraId="2BE69406">
      <w:pPr>
        <w:pStyle w:val="4"/>
        <w:spacing w:line="360" w:lineRule="auto"/>
        <w:rPr>
          <w:rFonts w:hint="default" w:ascii="宋体" w:hAnsi="宋体" w:eastAsia="宋体" w:cs="宋体"/>
          <w:bCs/>
          <w:color w:val="auto"/>
          <w:kern w:val="44"/>
          <w:sz w:val="24"/>
          <w:szCs w:val="24"/>
          <w:highlight w:val="none"/>
          <w:lang w:val="en-US" w:eastAsia="zh-CN"/>
        </w:rPr>
      </w:pPr>
      <w:r>
        <w:rPr>
          <w:rFonts w:hint="eastAsia" w:ascii="宋体" w:hAnsi="宋体" w:cs="宋体"/>
          <w:bCs/>
          <w:color w:val="auto"/>
          <w:kern w:val="44"/>
          <w:sz w:val="24"/>
          <w:szCs w:val="24"/>
          <w:highlight w:val="none"/>
          <w:lang w:val="en-US" w:eastAsia="zh-CN"/>
        </w:rPr>
        <w:t>2025</w:t>
      </w:r>
      <w:r>
        <w:rPr>
          <w:rFonts w:hint="default" w:ascii="宋体" w:hAnsi="宋体" w:eastAsia="宋体" w:cs="宋体"/>
          <w:bCs/>
          <w:color w:val="auto"/>
          <w:kern w:val="44"/>
          <w:sz w:val="24"/>
          <w:szCs w:val="24"/>
          <w:highlight w:val="none"/>
          <w:lang w:val="en-US" w:eastAsia="zh-CN"/>
        </w:rPr>
        <w:t>年计划抽检标段</w:t>
      </w:r>
      <w:r>
        <w:rPr>
          <w:rFonts w:hint="default" w:ascii="宋体" w:hAnsi="宋体" w:eastAsia="宋体" w:cs="宋体"/>
          <w:bCs/>
          <w:color w:val="auto"/>
          <w:kern w:val="44"/>
          <w:sz w:val="24"/>
          <w:szCs w:val="24"/>
          <w:highlight w:val="none"/>
          <w:u w:val="single"/>
          <w:lang w:val="en-US" w:eastAsia="zh-CN"/>
        </w:rPr>
        <w:t xml:space="preserve">    </w:t>
      </w:r>
      <w:r>
        <w:rPr>
          <w:rFonts w:hint="default" w:ascii="宋体" w:hAnsi="宋体" w:eastAsia="宋体" w:cs="宋体"/>
          <w:bCs/>
          <w:color w:val="auto"/>
          <w:kern w:val="44"/>
          <w:sz w:val="24"/>
          <w:szCs w:val="24"/>
          <w:highlight w:val="none"/>
          <w:lang w:val="en-US" w:eastAsia="zh-CN"/>
        </w:rPr>
        <w:t>1600批次。其中包括</w:t>
      </w:r>
      <w:r>
        <w:rPr>
          <w:rFonts w:hint="default" w:ascii="宋体" w:hAnsi="宋体" w:eastAsia="宋体" w:cs="宋体"/>
          <w:bCs/>
          <w:color w:val="auto"/>
          <w:kern w:val="44"/>
          <w:sz w:val="24"/>
          <w:szCs w:val="24"/>
          <w:highlight w:val="none"/>
          <w:u w:val="single"/>
          <w:lang w:val="en-US" w:eastAsia="zh-CN"/>
        </w:rPr>
        <w:t xml:space="preserve">                  </w:t>
      </w:r>
      <w:r>
        <w:rPr>
          <w:rFonts w:hint="default" w:ascii="宋体" w:hAnsi="宋体" w:eastAsia="宋体" w:cs="宋体"/>
          <w:bCs/>
          <w:color w:val="auto"/>
          <w:kern w:val="44"/>
          <w:sz w:val="24"/>
          <w:szCs w:val="24"/>
          <w:highlight w:val="none"/>
          <w:lang w:val="en-US" w:eastAsia="zh-CN"/>
        </w:rPr>
        <w:t>等片区内的大宗食用农产品和食品流通、餐饮、生产三个环节，采用国家食品安全抽样检验信息系统进行抽检。具体监测品种以部门抽检计划为准，费用不作调整。</w:t>
      </w:r>
    </w:p>
    <w:p w14:paraId="128FF8D5">
      <w:pPr>
        <w:pStyle w:val="4"/>
        <w:spacing w:line="360" w:lineRule="auto"/>
        <w:rPr>
          <w:rFonts w:hint="default" w:ascii="宋体" w:hAnsi="宋体" w:eastAsia="宋体" w:cs="宋体"/>
          <w:b/>
          <w:bCs w:val="0"/>
          <w:color w:val="auto"/>
          <w:kern w:val="44"/>
          <w:sz w:val="24"/>
          <w:szCs w:val="24"/>
          <w:highlight w:val="none"/>
          <w:lang w:val="en-US" w:eastAsia="zh-CN"/>
        </w:rPr>
      </w:pPr>
      <w:r>
        <w:rPr>
          <w:rFonts w:hint="default" w:ascii="宋体" w:hAnsi="宋体" w:eastAsia="宋体" w:cs="宋体"/>
          <w:b/>
          <w:bCs w:val="0"/>
          <w:color w:val="auto"/>
          <w:kern w:val="44"/>
          <w:sz w:val="24"/>
          <w:szCs w:val="24"/>
          <w:highlight w:val="none"/>
          <w:lang w:val="en-US" w:eastAsia="zh-CN"/>
        </w:rPr>
        <w:t>三、监测要求</w:t>
      </w:r>
    </w:p>
    <w:p w14:paraId="0B99A3F9">
      <w:pPr>
        <w:pStyle w:val="4"/>
        <w:spacing w:line="360" w:lineRule="auto"/>
        <w:rPr>
          <w:rFonts w:hint="default" w:ascii="宋体" w:hAnsi="宋体" w:eastAsia="宋体" w:cs="宋体"/>
          <w:bCs/>
          <w:color w:val="auto"/>
          <w:kern w:val="44"/>
          <w:sz w:val="24"/>
          <w:szCs w:val="24"/>
          <w:highlight w:val="none"/>
          <w:lang w:val="en-US" w:eastAsia="zh-CN"/>
        </w:rPr>
      </w:pPr>
      <w:r>
        <w:rPr>
          <w:rFonts w:hint="default" w:ascii="宋体" w:hAnsi="宋体" w:eastAsia="宋体" w:cs="宋体"/>
          <w:bCs/>
          <w:color w:val="auto"/>
          <w:kern w:val="44"/>
          <w:sz w:val="24"/>
          <w:szCs w:val="24"/>
          <w:highlight w:val="none"/>
          <w:lang w:val="en-US" w:eastAsia="zh-CN"/>
        </w:rPr>
        <w:t>1、抽检产品的具体检验项目、检验依据、检测方法、判定原则以及抽样方法、基数和数量，原则上参照市场监管总局最新版《国家食品安全监督抽检实施细则》的规定和地方政策文件计划执行，甲方有特殊要求的，按甲方要求执行。</w:t>
      </w:r>
    </w:p>
    <w:p w14:paraId="3EE27383">
      <w:pPr>
        <w:pStyle w:val="4"/>
        <w:spacing w:line="360" w:lineRule="auto"/>
        <w:rPr>
          <w:rFonts w:hint="default" w:ascii="宋体" w:hAnsi="宋体" w:eastAsia="宋体" w:cs="宋体"/>
          <w:bCs/>
          <w:color w:val="auto"/>
          <w:kern w:val="44"/>
          <w:sz w:val="24"/>
          <w:szCs w:val="24"/>
          <w:highlight w:val="none"/>
          <w:lang w:val="en-US" w:eastAsia="zh-CN"/>
        </w:rPr>
      </w:pPr>
      <w:r>
        <w:rPr>
          <w:rFonts w:hint="default" w:ascii="宋体" w:hAnsi="宋体" w:eastAsia="宋体" w:cs="宋体"/>
          <w:bCs/>
          <w:color w:val="auto"/>
          <w:kern w:val="44"/>
          <w:sz w:val="24"/>
          <w:szCs w:val="24"/>
          <w:highlight w:val="none"/>
          <w:lang w:val="en-US" w:eastAsia="zh-CN"/>
        </w:rPr>
        <w:t>2、根据《食品安全抽样检验管理办法》（第15号令）规定，自收到样品之日起20个工作日内出具检验报告，针对应急要求、加急等任务，应在甲方规定时间内出具报告。</w:t>
      </w:r>
    </w:p>
    <w:p w14:paraId="2F4E4411">
      <w:pPr>
        <w:pStyle w:val="4"/>
        <w:spacing w:line="360" w:lineRule="auto"/>
        <w:rPr>
          <w:rFonts w:hint="default" w:ascii="宋体" w:hAnsi="宋体" w:eastAsia="宋体" w:cs="宋体"/>
          <w:bCs/>
          <w:color w:val="auto"/>
          <w:kern w:val="44"/>
          <w:sz w:val="24"/>
          <w:szCs w:val="24"/>
          <w:highlight w:val="none"/>
          <w:lang w:val="en-US" w:eastAsia="zh-CN"/>
        </w:rPr>
      </w:pPr>
      <w:r>
        <w:rPr>
          <w:rFonts w:hint="default" w:ascii="宋体" w:hAnsi="宋体" w:eastAsia="宋体" w:cs="宋体"/>
          <w:bCs/>
          <w:color w:val="auto"/>
          <w:kern w:val="44"/>
          <w:sz w:val="24"/>
          <w:szCs w:val="24"/>
          <w:highlight w:val="none"/>
          <w:lang w:val="en-US" w:eastAsia="zh-CN"/>
        </w:rPr>
        <w:t>3、抽检全部要求通过国家食品安全抽样检验信息系统进行操作，并在规定时间内在国家食品安全抽样检验信息系统出具报告，每月向甲方报送相关抽检汇总表，每半年和一年向甲方报送抽检质量分析报告和风险分析报告。省局对省“食品安全风险管理平台”上有要求的需满足其要求。</w:t>
      </w:r>
    </w:p>
    <w:p w14:paraId="7433A790">
      <w:pPr>
        <w:pStyle w:val="4"/>
        <w:spacing w:line="360" w:lineRule="auto"/>
        <w:rPr>
          <w:rFonts w:hint="default" w:ascii="宋体" w:hAnsi="宋体" w:eastAsia="宋体" w:cs="宋体"/>
          <w:b/>
          <w:bCs w:val="0"/>
          <w:color w:val="auto"/>
          <w:kern w:val="44"/>
          <w:sz w:val="24"/>
          <w:szCs w:val="24"/>
          <w:highlight w:val="none"/>
          <w:lang w:val="en-US" w:eastAsia="zh-CN"/>
        </w:rPr>
      </w:pPr>
      <w:r>
        <w:rPr>
          <w:rFonts w:hint="default" w:ascii="宋体" w:hAnsi="宋体" w:eastAsia="宋体" w:cs="宋体"/>
          <w:b/>
          <w:bCs w:val="0"/>
          <w:color w:val="auto"/>
          <w:kern w:val="44"/>
          <w:sz w:val="24"/>
          <w:szCs w:val="24"/>
          <w:highlight w:val="none"/>
          <w:lang w:val="en-US" w:eastAsia="zh-CN"/>
        </w:rPr>
        <w:t>四、其他要求</w:t>
      </w:r>
    </w:p>
    <w:p w14:paraId="573A6B86">
      <w:pPr>
        <w:pStyle w:val="4"/>
        <w:spacing w:line="360" w:lineRule="auto"/>
        <w:rPr>
          <w:rFonts w:hint="default" w:ascii="宋体" w:hAnsi="宋体" w:eastAsia="宋体" w:cs="宋体"/>
          <w:bCs/>
          <w:color w:val="auto"/>
          <w:kern w:val="44"/>
          <w:sz w:val="24"/>
          <w:szCs w:val="24"/>
          <w:highlight w:val="none"/>
          <w:lang w:val="en-US" w:eastAsia="zh-CN"/>
        </w:rPr>
      </w:pPr>
      <w:r>
        <w:rPr>
          <w:rFonts w:hint="default" w:ascii="宋体" w:hAnsi="宋体" w:eastAsia="宋体" w:cs="宋体"/>
          <w:bCs/>
          <w:color w:val="auto"/>
          <w:kern w:val="44"/>
          <w:sz w:val="24"/>
          <w:szCs w:val="24"/>
          <w:highlight w:val="none"/>
          <w:lang w:val="en-US" w:eastAsia="zh-CN"/>
        </w:rPr>
        <w:t>1、乙方必须满足健康浙江市级考核要求，监督性抽检检测参数覆盖率达到95%以上。</w:t>
      </w:r>
    </w:p>
    <w:p w14:paraId="5E9EB2E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b w:val="0"/>
          <w:bCs/>
          <w:color w:val="auto"/>
          <w:sz w:val="24"/>
          <w:highlight w:val="none"/>
          <w:lang w:val="en-US" w:eastAsia="zh-CN"/>
        </w:rPr>
      </w:pPr>
      <w:r>
        <w:rPr>
          <w:rFonts w:hint="default" w:ascii="宋体" w:hAnsi="宋体" w:eastAsia="宋体" w:cs="宋体"/>
          <w:bCs/>
          <w:color w:val="auto"/>
          <w:kern w:val="44"/>
          <w:sz w:val="24"/>
          <w:szCs w:val="24"/>
          <w:highlight w:val="none"/>
          <w:lang w:val="en-US" w:eastAsia="zh-CN"/>
        </w:rPr>
        <w:t>2、样品由抽样人员统一采集，严格按照规定的抽样方法抽取样品，食用农产品的抽样场所覆盖各类餐饮单位、各类超市、商店、农贸市场等业态。批次数量如若不足，可增加相应业态的品种进行补足。抽取样品需由检验机构协助，买样费由抽样单位支付。食品安全抽样工作应当遵守随机选取抽样对象、随机确定抽样人员的要求，并按相关检验细则、标准要求抽取适量样品；按要求填写抽样单，上传相关抽样照片，并由被抽样单位负责人及抽样人员签名；检验机构需按</w:t>
      </w:r>
      <w:r>
        <w:rPr>
          <w:rFonts w:hint="default" w:ascii="Times New Roman" w:hAnsi="Times New Roman" w:eastAsia="宋体" w:cs="Times New Roman"/>
          <w:b w:val="0"/>
          <w:bCs/>
          <w:color w:val="auto"/>
          <w:sz w:val="24"/>
          <w:highlight w:val="none"/>
          <w:lang w:val="en-US" w:eastAsia="zh-CN"/>
        </w:rPr>
        <w:t>要求交接被抽样样品，并按要求运输样品。</w:t>
      </w:r>
    </w:p>
    <w:p w14:paraId="132C7E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3、乙方需协助甲方完成所有食品监督抽样工作。</w:t>
      </w:r>
    </w:p>
    <w:p w14:paraId="6D6C49C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4、甲方购买样品时，买样费由乙方垫付，乙方凭甲方购买样品时出具的绍兴市上虞区食品抽检买样单每半年进行结算。</w:t>
      </w:r>
    </w:p>
    <w:p w14:paraId="2A32299C">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五、验收要求</w:t>
      </w:r>
    </w:p>
    <w:p w14:paraId="30379A7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按照国家相关质量标准、技术规范要求、合同规定的验收标准及招、投标文件的要求，由采购人组织相关部门、人员进行验收。</w:t>
      </w:r>
    </w:p>
    <w:p w14:paraId="449B0F85">
      <w:pPr>
        <w:numPr>
          <w:ilvl w:val="0"/>
          <w:numId w:val="19"/>
        </w:numPr>
        <w:spacing w:line="50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服务期限</w:t>
      </w:r>
    </w:p>
    <w:p w14:paraId="5CFA6D04">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b w:val="0"/>
          <w:bCs/>
          <w:color w:val="auto"/>
          <w:sz w:val="24"/>
          <w:highlight w:val="none"/>
          <w:lang w:val="en-US" w:eastAsia="zh-CN"/>
        </w:rPr>
      </w:pPr>
      <w:r>
        <w:rPr>
          <w:rFonts w:hint="eastAsia" w:ascii="宋体" w:hAnsi="宋体" w:eastAsia="宋体" w:cs="宋体"/>
          <w:bCs/>
          <w:color w:val="auto"/>
          <w:kern w:val="44"/>
          <w:sz w:val="24"/>
          <w:szCs w:val="24"/>
          <w:highlight w:val="none"/>
          <w:lang w:val="en-US" w:eastAsia="zh-CN"/>
        </w:rPr>
        <w:t>项目服务期一年，</w:t>
      </w:r>
      <w:r>
        <w:rPr>
          <w:rFonts w:hint="eastAsia" w:ascii="宋体" w:hAnsi="宋体" w:eastAsia="宋体" w:cs="宋体"/>
          <w:bCs/>
          <w:color w:val="auto"/>
          <w:kern w:val="44"/>
          <w:sz w:val="24"/>
          <w:szCs w:val="24"/>
          <w:highlight w:val="none"/>
          <w:u w:val="single"/>
          <w:lang w:val="en-US" w:eastAsia="zh-CN"/>
        </w:rPr>
        <w:t xml:space="preserve">    </w:t>
      </w:r>
      <w:r>
        <w:rPr>
          <w:rFonts w:hint="eastAsia" w:ascii="宋体" w:hAnsi="宋体" w:eastAsia="宋体" w:cs="宋体"/>
          <w:bCs/>
          <w:color w:val="auto"/>
          <w:kern w:val="44"/>
          <w:sz w:val="24"/>
          <w:szCs w:val="24"/>
          <w:highlight w:val="none"/>
          <w:lang w:val="en-US" w:eastAsia="zh-CN"/>
        </w:rPr>
        <w:t>年</w:t>
      </w:r>
      <w:r>
        <w:rPr>
          <w:rFonts w:hint="eastAsia" w:ascii="宋体" w:hAnsi="宋体" w:eastAsia="宋体" w:cs="宋体"/>
          <w:bCs/>
          <w:color w:val="auto"/>
          <w:kern w:val="44"/>
          <w:sz w:val="24"/>
          <w:szCs w:val="24"/>
          <w:highlight w:val="none"/>
          <w:u w:val="single"/>
          <w:lang w:val="en-US" w:eastAsia="zh-CN"/>
        </w:rPr>
        <w:t xml:space="preserve">   </w:t>
      </w:r>
      <w:r>
        <w:rPr>
          <w:rFonts w:hint="eastAsia" w:ascii="宋体" w:hAnsi="宋体" w:eastAsia="宋体" w:cs="宋体"/>
          <w:bCs/>
          <w:color w:val="auto"/>
          <w:kern w:val="44"/>
          <w:sz w:val="24"/>
          <w:szCs w:val="24"/>
          <w:highlight w:val="none"/>
          <w:lang w:val="en-US" w:eastAsia="zh-CN"/>
        </w:rPr>
        <w:t>月</w:t>
      </w:r>
      <w:r>
        <w:rPr>
          <w:rFonts w:hint="eastAsia" w:ascii="宋体" w:hAnsi="宋体" w:eastAsia="宋体" w:cs="宋体"/>
          <w:bCs/>
          <w:color w:val="auto"/>
          <w:kern w:val="44"/>
          <w:sz w:val="24"/>
          <w:szCs w:val="24"/>
          <w:highlight w:val="none"/>
          <w:u w:val="single"/>
          <w:lang w:val="en-US" w:eastAsia="zh-CN"/>
        </w:rPr>
        <w:t xml:space="preserve">   </w:t>
      </w:r>
      <w:r>
        <w:rPr>
          <w:rFonts w:hint="eastAsia" w:ascii="宋体" w:hAnsi="宋体" w:eastAsia="宋体" w:cs="宋体"/>
          <w:bCs/>
          <w:color w:val="auto"/>
          <w:kern w:val="44"/>
          <w:sz w:val="24"/>
          <w:szCs w:val="24"/>
          <w:highlight w:val="none"/>
          <w:lang w:val="en-US" w:eastAsia="zh-CN"/>
        </w:rPr>
        <w:t>日起至</w:t>
      </w:r>
      <w:r>
        <w:rPr>
          <w:rFonts w:hint="eastAsia" w:ascii="宋体" w:hAnsi="宋体" w:eastAsia="宋体" w:cs="宋体"/>
          <w:bCs/>
          <w:color w:val="auto"/>
          <w:kern w:val="44"/>
          <w:sz w:val="24"/>
          <w:szCs w:val="24"/>
          <w:highlight w:val="none"/>
          <w:u w:val="single"/>
          <w:lang w:val="en-US" w:eastAsia="zh-CN"/>
        </w:rPr>
        <w:t xml:space="preserve">   </w:t>
      </w:r>
      <w:r>
        <w:rPr>
          <w:rFonts w:hint="eastAsia" w:ascii="宋体" w:hAnsi="宋体" w:eastAsia="宋体" w:cs="宋体"/>
          <w:bCs/>
          <w:color w:val="auto"/>
          <w:kern w:val="44"/>
          <w:sz w:val="24"/>
          <w:szCs w:val="24"/>
          <w:highlight w:val="none"/>
          <w:lang w:val="en-US" w:eastAsia="zh-CN"/>
        </w:rPr>
        <w:t>年</w:t>
      </w:r>
      <w:r>
        <w:rPr>
          <w:rFonts w:hint="eastAsia" w:ascii="宋体" w:hAnsi="宋体" w:eastAsia="宋体" w:cs="宋体"/>
          <w:bCs/>
          <w:color w:val="auto"/>
          <w:kern w:val="44"/>
          <w:sz w:val="24"/>
          <w:szCs w:val="24"/>
          <w:highlight w:val="none"/>
          <w:u w:val="single"/>
          <w:lang w:val="en-US" w:eastAsia="zh-CN"/>
        </w:rPr>
        <w:t xml:space="preserve">   </w:t>
      </w:r>
      <w:r>
        <w:rPr>
          <w:rFonts w:hint="eastAsia" w:ascii="宋体" w:hAnsi="宋体" w:eastAsia="宋体" w:cs="宋体"/>
          <w:bCs/>
          <w:color w:val="auto"/>
          <w:kern w:val="44"/>
          <w:sz w:val="24"/>
          <w:szCs w:val="24"/>
          <w:highlight w:val="none"/>
          <w:lang w:val="en-US" w:eastAsia="zh-CN"/>
        </w:rPr>
        <w:t>月</w:t>
      </w:r>
      <w:r>
        <w:rPr>
          <w:rFonts w:hint="eastAsia" w:ascii="宋体" w:hAnsi="宋体" w:eastAsia="宋体" w:cs="宋体"/>
          <w:bCs/>
          <w:color w:val="auto"/>
          <w:kern w:val="44"/>
          <w:sz w:val="24"/>
          <w:szCs w:val="24"/>
          <w:highlight w:val="none"/>
          <w:u w:val="single"/>
          <w:lang w:val="en-US" w:eastAsia="zh-CN"/>
        </w:rPr>
        <w:t xml:space="preserve">   </w:t>
      </w:r>
      <w:r>
        <w:rPr>
          <w:rFonts w:hint="eastAsia" w:ascii="宋体" w:hAnsi="宋体" w:eastAsia="宋体" w:cs="宋体"/>
          <w:bCs/>
          <w:color w:val="auto"/>
          <w:kern w:val="44"/>
          <w:sz w:val="24"/>
          <w:szCs w:val="24"/>
          <w:highlight w:val="none"/>
          <w:lang w:val="en-US" w:eastAsia="zh-CN"/>
        </w:rPr>
        <w:t>日止。</w:t>
      </w:r>
    </w:p>
    <w:p w14:paraId="3777693E">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ascii="宋体"/>
          <w:b/>
          <w:bCs/>
          <w:color w:val="auto"/>
          <w:kern w:val="0"/>
          <w:sz w:val="24"/>
          <w:highlight w:val="none"/>
        </w:rPr>
      </w:pPr>
      <w:r>
        <w:rPr>
          <w:rFonts w:hint="eastAsia" w:ascii="宋体"/>
          <w:b/>
          <w:bCs/>
          <w:color w:val="auto"/>
          <w:kern w:val="0"/>
          <w:sz w:val="24"/>
          <w:highlight w:val="none"/>
          <w:lang w:val="en-US" w:eastAsia="zh-CN"/>
        </w:rPr>
        <w:t>七</w:t>
      </w:r>
      <w:r>
        <w:rPr>
          <w:rFonts w:hint="eastAsia" w:ascii="宋体"/>
          <w:b/>
          <w:bCs/>
          <w:color w:val="auto"/>
          <w:kern w:val="0"/>
          <w:sz w:val="24"/>
          <w:highlight w:val="none"/>
        </w:rPr>
        <w:t>、合同金额</w:t>
      </w:r>
      <w:r>
        <w:rPr>
          <w:rFonts w:hint="eastAsia" w:ascii="宋体"/>
          <w:b/>
          <w:bCs/>
          <w:color w:val="auto"/>
          <w:kern w:val="0"/>
          <w:sz w:val="24"/>
          <w:highlight w:val="none"/>
          <w:lang w:val="en-US" w:eastAsia="zh-CN"/>
        </w:rPr>
        <w:t>及付款方式</w:t>
      </w:r>
      <w:r>
        <w:rPr>
          <w:rFonts w:hint="eastAsia" w:ascii="宋体"/>
          <w:b/>
          <w:bCs/>
          <w:color w:val="auto"/>
          <w:kern w:val="0"/>
          <w:sz w:val="24"/>
          <w:highlight w:val="none"/>
        </w:rPr>
        <w:t>：</w:t>
      </w:r>
    </w:p>
    <w:p w14:paraId="4E1ADC0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eastAsia="宋体"/>
          <w:color w:val="auto"/>
          <w:kern w:val="0"/>
          <w:sz w:val="24"/>
          <w:highlight w:val="none"/>
          <w:lang w:val="en-US" w:eastAsia="zh-CN"/>
        </w:rPr>
      </w:pPr>
      <w:r>
        <w:rPr>
          <w:rFonts w:hint="eastAsia" w:ascii="宋体"/>
          <w:color w:val="auto"/>
          <w:kern w:val="0"/>
          <w:sz w:val="24"/>
          <w:highlight w:val="none"/>
          <w:lang w:val="en-US" w:eastAsia="zh-CN"/>
        </w:rPr>
        <w:t>1、合同金额</w:t>
      </w:r>
      <w:r>
        <w:rPr>
          <w:rFonts w:hint="eastAsia" w:ascii="宋体"/>
          <w:color w:val="auto"/>
          <w:kern w:val="0"/>
          <w:sz w:val="24"/>
          <w:highlight w:val="none"/>
        </w:rPr>
        <w:t>：</w:t>
      </w:r>
      <w:r>
        <w:rPr>
          <w:rFonts w:hint="eastAsia" w:ascii="宋体"/>
          <w:color w:val="auto"/>
          <w:kern w:val="0"/>
          <w:sz w:val="24"/>
          <w:highlight w:val="none"/>
          <w:lang w:val="en-US" w:eastAsia="zh-CN"/>
        </w:rPr>
        <w:t>大写人民币</w:t>
      </w:r>
      <w:r>
        <w:rPr>
          <w:rFonts w:hint="eastAsia" w:ascii="宋体"/>
          <w:color w:val="auto"/>
          <w:kern w:val="0"/>
          <w:sz w:val="24"/>
          <w:highlight w:val="none"/>
          <w:u w:val="single"/>
        </w:rPr>
        <w:t xml:space="preserve">     </w:t>
      </w:r>
      <w:r>
        <w:rPr>
          <w:rFonts w:hint="eastAsia" w:ascii="宋体"/>
          <w:color w:val="auto"/>
          <w:kern w:val="0"/>
          <w:sz w:val="24"/>
          <w:highlight w:val="none"/>
          <w:u w:val="single"/>
          <w:lang w:val="en-US" w:eastAsia="zh-CN"/>
        </w:rPr>
        <w:t xml:space="preserve">            </w:t>
      </w:r>
      <w:r>
        <w:rPr>
          <w:rFonts w:hint="eastAsia" w:ascii="宋体"/>
          <w:color w:val="auto"/>
          <w:kern w:val="0"/>
          <w:sz w:val="24"/>
          <w:highlight w:val="none"/>
          <w:u w:val="single"/>
        </w:rPr>
        <w:t xml:space="preserve"> </w:t>
      </w:r>
      <w:r>
        <w:rPr>
          <w:rFonts w:hint="eastAsia" w:ascii="宋体"/>
          <w:color w:val="auto"/>
          <w:kern w:val="0"/>
          <w:sz w:val="24"/>
          <w:highlight w:val="none"/>
          <w:u w:val="single"/>
          <w:lang w:val="en-US" w:eastAsia="zh-CN"/>
        </w:rPr>
        <w:t xml:space="preserve">   </w:t>
      </w:r>
      <w:r>
        <w:rPr>
          <w:rFonts w:hint="eastAsia" w:ascii="宋体"/>
          <w:color w:val="auto"/>
          <w:kern w:val="0"/>
          <w:sz w:val="24"/>
          <w:highlight w:val="none"/>
          <w:u w:val="single"/>
        </w:rPr>
        <w:t xml:space="preserve">  </w:t>
      </w:r>
      <w:r>
        <w:rPr>
          <w:rFonts w:hint="eastAsia" w:ascii="宋体"/>
          <w:color w:val="auto"/>
          <w:kern w:val="0"/>
          <w:sz w:val="24"/>
          <w:highlight w:val="none"/>
        </w:rPr>
        <w:t>整（</w:t>
      </w:r>
      <w:r>
        <w:rPr>
          <w:rFonts w:hint="eastAsia" w:ascii="宋体"/>
          <w:color w:val="auto"/>
          <w:kern w:val="0"/>
          <w:sz w:val="24"/>
          <w:highlight w:val="none"/>
          <w:lang w:val="en-US" w:eastAsia="zh-CN"/>
        </w:rPr>
        <w:t>¥</w:t>
      </w:r>
      <w:r>
        <w:rPr>
          <w:rFonts w:hint="eastAsia" w:ascii="宋体"/>
          <w:color w:val="auto"/>
          <w:kern w:val="0"/>
          <w:sz w:val="24"/>
          <w:highlight w:val="none"/>
        </w:rPr>
        <w:t>：</w:t>
      </w:r>
      <w:r>
        <w:rPr>
          <w:rFonts w:hint="eastAsia" w:ascii="宋体"/>
          <w:color w:val="auto"/>
          <w:kern w:val="0"/>
          <w:sz w:val="24"/>
          <w:highlight w:val="none"/>
          <w:u w:val="single"/>
        </w:rPr>
        <w:t xml:space="preserve">        </w:t>
      </w:r>
      <w:r>
        <w:rPr>
          <w:rFonts w:hint="eastAsia" w:ascii="宋体"/>
          <w:color w:val="auto"/>
          <w:kern w:val="0"/>
          <w:sz w:val="24"/>
          <w:highlight w:val="none"/>
        </w:rPr>
        <w:t>）。</w:t>
      </w:r>
      <w:r>
        <w:rPr>
          <w:rFonts w:hint="eastAsia" w:ascii="Times New Roman" w:hAnsi="Times New Roman" w:eastAsia="宋体" w:cs="Times New Roman"/>
          <w:b w:val="0"/>
          <w:bCs/>
          <w:color w:val="auto"/>
          <w:sz w:val="24"/>
          <w:highlight w:val="none"/>
          <w:lang w:val="en-US" w:eastAsia="zh-CN"/>
        </w:rPr>
        <w:t>包含项目所需全部服务，不得缺漏，是履行合同的最终价格</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包括但不限于抽检人员差旅费（含交通费、住宿费、出差伙食补助费）、机械、易耗抽样工具购置费、检测费、材料费、运输费、样品购买费用、招标代理费、税费等一切费用。</w:t>
      </w:r>
    </w:p>
    <w:p w14:paraId="7435056F">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2、付款方式：</w:t>
      </w:r>
    </w:p>
    <w:p w14:paraId="4A274D7C">
      <w:pPr>
        <w:spacing w:line="500" w:lineRule="exact"/>
        <w:ind w:firstLine="600" w:firstLineChars="250"/>
        <w:rPr>
          <w:rFonts w:hint="eastAsia" w:cs="Times New Roman"/>
          <w:b w:val="0"/>
          <w:bCs/>
          <w:color w:val="auto"/>
          <w:sz w:val="24"/>
          <w:highlight w:val="none"/>
          <w:lang w:val="en-US" w:eastAsia="zh-CN"/>
        </w:rPr>
      </w:pPr>
      <w:r>
        <w:rPr>
          <w:rFonts w:hint="eastAsia" w:cs="Times New Roman"/>
          <w:b w:val="0"/>
          <w:bCs/>
          <w:color w:val="auto"/>
          <w:sz w:val="24"/>
          <w:highlight w:val="none"/>
          <w:lang w:val="en-US" w:eastAsia="zh-CN"/>
        </w:rPr>
        <w:t>（1）合同签订且具备实施条件后七个工作日内支付合同价款的40%。</w:t>
      </w:r>
    </w:p>
    <w:p w14:paraId="0FD01441">
      <w:pPr>
        <w:spacing w:line="500" w:lineRule="exact"/>
        <w:ind w:firstLine="600" w:firstLineChars="250"/>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（2）待中标人完成项目全部工作内容并经由采购人验收合格后一次性付清余款。</w:t>
      </w:r>
    </w:p>
    <w:p w14:paraId="173BC4DD">
      <w:pPr>
        <w:spacing w:line="500" w:lineRule="exact"/>
        <w:ind w:firstLine="600" w:firstLineChars="250"/>
        <w:rPr>
          <w:rFonts w:hint="default"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（3）</w:t>
      </w:r>
      <w:r>
        <w:rPr>
          <w:rFonts w:hint="eastAsia" w:ascii="Times New Roman" w:hAnsi="Times New Roman" w:eastAsia="宋体" w:cs="Times New Roman"/>
          <w:b w:val="0"/>
          <w:bCs/>
          <w:color w:val="auto"/>
          <w:sz w:val="24"/>
          <w:highlight w:val="none"/>
          <w:lang w:val="en-US" w:eastAsia="zh-CN"/>
        </w:rPr>
        <w:t>批次总量增加的，按中标价进行结算</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但采购金额不得超过原</w:t>
      </w:r>
      <w:r>
        <w:rPr>
          <w:rFonts w:hint="eastAsia" w:cs="Times New Roman"/>
          <w:b w:val="0"/>
          <w:bCs/>
          <w:color w:val="auto"/>
          <w:sz w:val="24"/>
          <w:highlight w:val="none"/>
          <w:lang w:val="en-US" w:eastAsia="zh-CN"/>
        </w:rPr>
        <w:t>合同</w:t>
      </w:r>
      <w:r>
        <w:rPr>
          <w:rFonts w:hint="eastAsia" w:ascii="Times New Roman" w:hAnsi="Times New Roman" w:eastAsia="宋体" w:cs="Times New Roman"/>
          <w:b w:val="0"/>
          <w:bCs/>
          <w:color w:val="auto"/>
          <w:sz w:val="24"/>
          <w:highlight w:val="none"/>
          <w:lang w:val="en-US" w:eastAsia="zh-CN"/>
        </w:rPr>
        <w:t>采购金额的百分之十。</w:t>
      </w:r>
    </w:p>
    <w:p w14:paraId="63A2E3E4">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3、付款要求：</w:t>
      </w:r>
    </w:p>
    <w:p w14:paraId="5DF6719F">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乙方在收款之前，应向甲方提供等额、合法、有效的发票，甲方凭发票付款。如乙方未按约定提供发票的，甲方有权拒绝付款，直至收到乙方提交的相应发票为止，在此情况下，甲方不承担逾期付款违约责任。</w:t>
      </w:r>
    </w:p>
    <w:p w14:paraId="1C68AC19">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00" w:lineRule="exact"/>
        <w:ind w:leftChars="200"/>
        <w:jc w:val="left"/>
        <w:textAlignment w:val="auto"/>
        <w:rPr>
          <w:rFonts w:hint="eastAsia" w:cs="Times New Roman"/>
          <w:b/>
          <w:bCs w:val="0"/>
          <w:color w:val="auto"/>
          <w:sz w:val="24"/>
          <w:highlight w:val="none"/>
          <w:lang w:val="en-US" w:eastAsia="zh-CN"/>
        </w:rPr>
      </w:pPr>
      <w:r>
        <w:rPr>
          <w:rFonts w:hint="eastAsia" w:cs="Times New Roman"/>
          <w:b/>
          <w:bCs w:val="0"/>
          <w:color w:val="auto"/>
          <w:sz w:val="24"/>
          <w:highlight w:val="none"/>
          <w:lang w:val="en-US" w:eastAsia="zh-CN"/>
        </w:rPr>
        <w:t>八、履约保证金</w:t>
      </w:r>
    </w:p>
    <w:p w14:paraId="761EDB6E">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乙方在收到中标通知书后，需向甲方提供</w:t>
      </w:r>
      <w:r>
        <w:rPr>
          <w:rFonts w:hint="default"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u w:val="single"/>
          <w:lang w:val="en-US" w:eastAsia="zh-CN"/>
        </w:rPr>
        <w:t xml:space="preserve">  </w:t>
      </w:r>
      <w:r>
        <w:rPr>
          <w:rFonts w:hint="default" w:ascii="Times New Roman" w:hAnsi="Times New Roman" w:eastAsia="宋体" w:cs="Times New Roman"/>
          <w:b w:val="0"/>
          <w:bCs/>
          <w:color w:val="auto"/>
          <w:sz w:val="24"/>
          <w:highlight w:val="none"/>
          <w:u w:val="single"/>
          <w:lang w:val="en-US" w:eastAsia="zh-CN"/>
        </w:rPr>
        <w:t>　</w:t>
      </w:r>
      <w:r>
        <w:rPr>
          <w:rFonts w:hint="eastAsia" w:ascii="Times New Roman" w:hAnsi="Times New Roman" w:eastAsia="宋体" w:cs="Times New Roman"/>
          <w:b w:val="0"/>
          <w:bCs/>
          <w:color w:val="auto"/>
          <w:sz w:val="24"/>
          <w:highlight w:val="none"/>
          <w:u w:val="none"/>
          <w:lang w:val="en-US" w:eastAsia="zh-CN"/>
        </w:rPr>
        <w:t>元</w:t>
      </w:r>
      <w:r>
        <w:rPr>
          <w:rFonts w:hint="default" w:ascii="Times New Roman" w:hAnsi="Times New Roman" w:eastAsia="宋体" w:cs="Times New Roman"/>
          <w:b w:val="0"/>
          <w:bCs/>
          <w:color w:val="auto"/>
          <w:sz w:val="24"/>
          <w:highlight w:val="none"/>
          <w:lang w:val="en-US" w:eastAsia="zh-CN"/>
        </w:rPr>
        <w:t>的履约保证金，在双方签订合同的前3日内一次性递交。（乙方应当以支票、汇票、本票或者金融机构、保险公司、担保机构出具的保函等非现金形式提交）履约保证金在合同期满后首月一次性退还，不计息。</w:t>
      </w:r>
    </w:p>
    <w:p w14:paraId="56B63F54">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cs="Times New Roman"/>
          <w:b/>
          <w:bCs w:val="0"/>
          <w:color w:val="auto"/>
          <w:sz w:val="24"/>
          <w:highlight w:val="none"/>
          <w:lang w:val="en-US" w:eastAsia="zh-CN"/>
        </w:rPr>
        <w:t>九</w:t>
      </w:r>
      <w:r>
        <w:rPr>
          <w:rFonts w:hint="eastAsia" w:ascii="Times New Roman" w:hAnsi="Times New Roman" w:eastAsia="宋体" w:cs="Times New Roman"/>
          <w:b/>
          <w:bCs w:val="0"/>
          <w:color w:val="auto"/>
          <w:sz w:val="24"/>
          <w:highlight w:val="none"/>
          <w:lang w:val="en-US" w:eastAsia="zh-CN"/>
        </w:rPr>
        <w:t>、违约责任</w:t>
      </w:r>
    </w:p>
    <w:p w14:paraId="35A63A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1、</w:t>
      </w:r>
      <w:r>
        <w:rPr>
          <w:rFonts w:hint="eastAsia" w:ascii="Times New Roman" w:hAnsi="Times New Roman" w:eastAsia="宋体" w:cs="Times New Roman"/>
          <w:b w:val="0"/>
          <w:bCs/>
          <w:color w:val="auto"/>
          <w:sz w:val="24"/>
          <w:highlight w:val="none"/>
          <w:lang w:val="en-US" w:eastAsia="zh-CN"/>
        </w:rPr>
        <w:t>乙方所履行的服务质量或服务数量不符合合同规定及采购文件规定的，甲方有权中止接受服务，单方面解除合同，且相关损失由乙方承担。</w:t>
      </w:r>
    </w:p>
    <w:p w14:paraId="7F000E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2未经甲方同意，乙方不得将抽样、检测数据对外泄露。</w:t>
      </w:r>
    </w:p>
    <w:p w14:paraId="092CD4BB">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cs="Times New Roman"/>
          <w:b/>
          <w:bCs w:val="0"/>
          <w:color w:val="auto"/>
          <w:sz w:val="24"/>
          <w:highlight w:val="none"/>
          <w:lang w:val="en-US" w:eastAsia="zh-CN"/>
        </w:rPr>
      </w:pPr>
      <w:r>
        <w:rPr>
          <w:rFonts w:hint="eastAsia" w:cs="Times New Roman"/>
          <w:b/>
          <w:bCs w:val="0"/>
          <w:color w:val="auto"/>
          <w:sz w:val="24"/>
          <w:highlight w:val="none"/>
          <w:lang w:val="en-US" w:eastAsia="zh-CN"/>
        </w:rPr>
        <w:t>十</w:t>
      </w:r>
      <w:r>
        <w:rPr>
          <w:rFonts w:hint="eastAsia" w:ascii="Times New Roman" w:hAnsi="Times New Roman" w:eastAsia="宋体" w:cs="Times New Roman"/>
          <w:b/>
          <w:bCs w:val="0"/>
          <w:color w:val="auto"/>
          <w:sz w:val="24"/>
          <w:highlight w:val="none"/>
          <w:lang w:val="en-US" w:eastAsia="zh-CN"/>
        </w:rPr>
        <w:t>、合同的变更与终止</w:t>
      </w:r>
    </w:p>
    <w:p w14:paraId="6A7C0A31">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1、合同的变更与提前终止必须采用书面形式；</w:t>
      </w:r>
    </w:p>
    <w:p w14:paraId="56C54BFC">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2、本合同规定的服务内容完成并递交成果，结算完成，合同自行终止；</w:t>
      </w:r>
    </w:p>
    <w:p w14:paraId="12782180">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3、在合同履行过程中，如遇不可抗的因素，双方协商以补充合同方式解决；</w:t>
      </w:r>
    </w:p>
    <w:p w14:paraId="0C11A9C1">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4、合同内容变更、提前终止必须提前一个月书面通知对方。</w:t>
      </w:r>
    </w:p>
    <w:p w14:paraId="59676EE3">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十</w:t>
      </w:r>
      <w:r>
        <w:rPr>
          <w:rFonts w:hint="eastAsia" w:cs="Times New Roman"/>
          <w:b/>
          <w:bCs w:val="0"/>
          <w:color w:val="auto"/>
          <w:sz w:val="24"/>
          <w:highlight w:val="none"/>
          <w:lang w:val="en-US" w:eastAsia="zh-CN"/>
        </w:rPr>
        <w:t>一</w:t>
      </w:r>
      <w:r>
        <w:rPr>
          <w:rFonts w:hint="eastAsia" w:ascii="Times New Roman" w:hAnsi="Times New Roman" w:eastAsia="宋体" w:cs="Times New Roman"/>
          <w:b/>
          <w:bCs w:val="0"/>
          <w:color w:val="auto"/>
          <w:sz w:val="24"/>
          <w:highlight w:val="none"/>
          <w:lang w:val="en-US" w:eastAsia="zh-CN"/>
        </w:rPr>
        <w:t>、合同解除</w:t>
      </w:r>
    </w:p>
    <w:p w14:paraId="7BDE2034">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1、乙方不得把本项目转包给第三方，否则甲方单方无条件终止合同。</w:t>
      </w:r>
    </w:p>
    <w:p w14:paraId="0CEC2997">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2、乙方严重失职造成甲方的重大损失，甲方可以单方无条件解除合同，并按违约责任要求赔偿。</w:t>
      </w:r>
    </w:p>
    <w:p w14:paraId="4E9E7E72">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3、乙方发生严重违约后，在乙方收到甲方书面通知一个月内仍不能采取补救措施及行动，甲方可以单方面解除合同。</w:t>
      </w:r>
    </w:p>
    <w:p w14:paraId="17D51B4F">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十</w:t>
      </w:r>
      <w:r>
        <w:rPr>
          <w:rFonts w:hint="eastAsia" w:ascii="Times New Roman" w:hAnsi="Times New Roman" w:cs="Times New Roman"/>
          <w:b/>
          <w:bCs w:val="0"/>
          <w:color w:val="auto"/>
          <w:sz w:val="24"/>
          <w:highlight w:val="none"/>
          <w:lang w:val="en-US" w:eastAsia="zh-CN"/>
        </w:rPr>
        <w:t>二</w:t>
      </w:r>
      <w:r>
        <w:rPr>
          <w:rFonts w:hint="eastAsia" w:ascii="Times New Roman" w:hAnsi="Times New Roman" w:eastAsia="宋体" w:cs="Times New Roman"/>
          <w:b/>
          <w:bCs w:val="0"/>
          <w:color w:val="auto"/>
          <w:sz w:val="24"/>
          <w:highlight w:val="none"/>
          <w:lang w:val="en-US" w:eastAsia="zh-CN"/>
        </w:rPr>
        <w:t>、不可抗力事件处理</w:t>
      </w:r>
    </w:p>
    <w:p w14:paraId="329169EE">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1</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在合同有效期内，任何一方因不可抗力事件导致不能履行合同，则合同履行期可延长，其延长期与不可抗力影响期相同。</w:t>
      </w:r>
    </w:p>
    <w:p w14:paraId="16BBE560">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不可抗力事件发生后，应立即通知对方，并寄送有关权威机构出具的证明。</w:t>
      </w:r>
    </w:p>
    <w:p w14:paraId="0D97759D">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3</w:t>
      </w:r>
      <w:r>
        <w:rPr>
          <w:rFonts w:hint="eastAsia" w:cs="Times New Roman"/>
          <w:b w:val="0"/>
          <w:bCs/>
          <w:color w:val="auto"/>
          <w:sz w:val="24"/>
          <w:highlight w:val="none"/>
          <w:lang w:val="en-US" w:eastAsia="zh-CN"/>
        </w:rPr>
        <w:t>、</w:t>
      </w:r>
      <w:r>
        <w:rPr>
          <w:rFonts w:hint="eastAsia" w:ascii="Times New Roman" w:hAnsi="Times New Roman" w:eastAsia="宋体" w:cs="Times New Roman"/>
          <w:b w:val="0"/>
          <w:bCs/>
          <w:color w:val="auto"/>
          <w:sz w:val="24"/>
          <w:highlight w:val="none"/>
          <w:lang w:val="en-US" w:eastAsia="zh-CN"/>
        </w:rPr>
        <w:t>不可抗力事件延续120天以上，双方应通过友好协商，确定是否继续履行合同。</w:t>
      </w:r>
    </w:p>
    <w:p w14:paraId="4FD156A1">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十</w:t>
      </w:r>
      <w:r>
        <w:rPr>
          <w:rFonts w:hint="eastAsia" w:ascii="Times New Roman" w:hAnsi="Times New Roman" w:cs="Times New Roman"/>
          <w:b/>
          <w:bCs w:val="0"/>
          <w:color w:val="auto"/>
          <w:sz w:val="24"/>
          <w:highlight w:val="none"/>
          <w:lang w:val="en-US" w:eastAsia="zh-CN"/>
        </w:rPr>
        <w:t>三</w:t>
      </w:r>
      <w:r>
        <w:rPr>
          <w:rFonts w:hint="eastAsia" w:ascii="Times New Roman" w:hAnsi="Times New Roman" w:eastAsia="宋体" w:cs="Times New Roman"/>
          <w:b/>
          <w:bCs w:val="0"/>
          <w:color w:val="auto"/>
          <w:sz w:val="24"/>
          <w:highlight w:val="none"/>
          <w:lang w:val="en-US" w:eastAsia="zh-CN"/>
        </w:rPr>
        <w:t>、诉讼</w:t>
      </w:r>
    </w:p>
    <w:p w14:paraId="454D961A">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双方在执行合同中所发生的一切争议，应通过协商解决。如协商不成，可向</w:t>
      </w:r>
      <w:r>
        <w:rPr>
          <w:rFonts w:hint="eastAsia" w:cs="Times New Roman"/>
          <w:b w:val="0"/>
          <w:bCs/>
          <w:color w:val="auto"/>
          <w:sz w:val="24"/>
          <w:highlight w:val="none"/>
          <w:lang w:val="en-US" w:eastAsia="zh-CN"/>
        </w:rPr>
        <w:t>上虞区人民</w:t>
      </w:r>
      <w:r>
        <w:rPr>
          <w:rFonts w:hint="eastAsia" w:ascii="Times New Roman" w:hAnsi="Times New Roman" w:eastAsia="宋体" w:cs="Times New Roman"/>
          <w:b w:val="0"/>
          <w:bCs/>
          <w:color w:val="auto"/>
          <w:sz w:val="24"/>
          <w:highlight w:val="none"/>
          <w:lang w:val="en-US" w:eastAsia="zh-CN"/>
        </w:rPr>
        <w:t>法院起诉。</w:t>
      </w:r>
    </w:p>
    <w:p w14:paraId="61F39CC8">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hint="default" w:ascii="Times New Roman" w:hAnsi="Times New Roman" w:eastAsia="宋体" w:cs="Times New Roman"/>
          <w:b/>
          <w:bCs w:val="0"/>
          <w:color w:val="auto"/>
          <w:sz w:val="24"/>
          <w:highlight w:val="none"/>
          <w:lang w:val="en-US" w:eastAsia="zh-CN"/>
        </w:rPr>
      </w:pPr>
      <w:r>
        <w:rPr>
          <w:rFonts w:hint="eastAsia" w:ascii="Times New Roman" w:hAnsi="Times New Roman" w:eastAsia="宋体" w:cs="Times New Roman"/>
          <w:b/>
          <w:bCs w:val="0"/>
          <w:color w:val="auto"/>
          <w:sz w:val="24"/>
          <w:highlight w:val="none"/>
          <w:lang w:val="en-US" w:eastAsia="zh-CN"/>
        </w:rPr>
        <w:t>十</w:t>
      </w:r>
      <w:r>
        <w:rPr>
          <w:rFonts w:hint="eastAsia" w:cs="Times New Roman"/>
          <w:b/>
          <w:bCs w:val="0"/>
          <w:color w:val="auto"/>
          <w:sz w:val="24"/>
          <w:highlight w:val="none"/>
          <w:lang w:val="en-US" w:eastAsia="zh-CN"/>
        </w:rPr>
        <w:t>四</w:t>
      </w:r>
      <w:r>
        <w:rPr>
          <w:rFonts w:hint="eastAsia" w:ascii="Times New Roman" w:hAnsi="Times New Roman" w:eastAsia="宋体" w:cs="Times New Roman"/>
          <w:b/>
          <w:bCs w:val="0"/>
          <w:color w:val="auto"/>
          <w:sz w:val="24"/>
          <w:highlight w:val="none"/>
          <w:lang w:val="en-US" w:eastAsia="zh-CN"/>
        </w:rPr>
        <w:t>、附则</w:t>
      </w:r>
    </w:p>
    <w:p w14:paraId="660BBCBA">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1、本项目货物如涉及柴油动力移动源，柴油动力移动源应当符合低排放要求。</w:t>
      </w:r>
    </w:p>
    <w:p w14:paraId="3253D772">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2、本合同由双方代表签字，加盖双方公章或合同专用章即生效。全部成果交接完毕和服务费结算完成后，本合同终止</w:t>
      </w:r>
      <w:r>
        <w:rPr>
          <w:rFonts w:hint="eastAsia" w:cs="Times New Roman"/>
          <w:b w:val="0"/>
          <w:bCs/>
          <w:color w:val="auto"/>
          <w:sz w:val="24"/>
          <w:highlight w:val="none"/>
          <w:lang w:val="en-US" w:eastAsia="zh-CN"/>
        </w:rPr>
        <w:t>。</w:t>
      </w:r>
    </w:p>
    <w:p w14:paraId="471A540E">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b w:val="0"/>
          <w:bCs/>
          <w:color w:val="auto"/>
          <w:sz w:val="24"/>
          <w:highlight w:val="none"/>
          <w:lang w:val="en-US" w:eastAsia="zh-CN"/>
        </w:rPr>
      </w:pPr>
      <w:r>
        <w:rPr>
          <w:rFonts w:hint="eastAsia" w:cs="Times New Roman"/>
          <w:b w:val="0"/>
          <w:bCs/>
          <w:color w:val="auto"/>
          <w:sz w:val="24"/>
          <w:highlight w:val="none"/>
          <w:lang w:val="en-US" w:eastAsia="zh-CN"/>
        </w:rPr>
        <w:t>3、本合同下每个建设项目消防验收服务具体要求签订单项协议</w:t>
      </w:r>
      <w:r>
        <w:rPr>
          <w:rFonts w:hint="eastAsia" w:ascii="Times New Roman" w:hAnsi="Times New Roman" w:eastAsia="宋体" w:cs="Times New Roman"/>
          <w:b w:val="0"/>
          <w:bCs/>
          <w:color w:val="auto"/>
          <w:sz w:val="24"/>
          <w:highlight w:val="none"/>
          <w:lang w:val="en-US" w:eastAsia="zh-CN"/>
        </w:rPr>
        <w:t>。</w:t>
      </w:r>
    </w:p>
    <w:p w14:paraId="46F60E9C">
      <w:pPr>
        <w:keepNext w:val="0"/>
        <w:keepLines w:val="0"/>
        <w:pageBreakBefore w:val="0"/>
        <w:widowControl w:val="0"/>
        <w:tabs>
          <w:tab w:val="left" w:pos="840"/>
        </w:tabs>
        <w:kinsoku/>
        <w:wordWrap/>
        <w:overflowPunct/>
        <w:topLinePunct w:val="0"/>
        <w:autoSpaceDE/>
        <w:autoSpaceDN/>
        <w:bidi w:val="0"/>
        <w:adjustRightInd/>
        <w:snapToGrid/>
        <w:spacing w:line="500" w:lineRule="exact"/>
        <w:ind w:firstLine="482" w:firstLineChars="200"/>
        <w:jc w:val="left"/>
        <w:textAlignment w:val="auto"/>
        <w:rPr>
          <w:rFonts w:hint="eastAsia" w:ascii="Times New Roman" w:hAnsi="Times New Roman" w:eastAsia="宋体" w:cs="Times New Roman"/>
          <w:b/>
          <w:bCs w:val="0"/>
          <w:color w:val="auto"/>
          <w:sz w:val="24"/>
          <w:highlight w:val="none"/>
          <w:lang w:val="en-US" w:eastAsia="zh-CN"/>
        </w:rPr>
      </w:pPr>
      <w:r>
        <w:rPr>
          <w:rFonts w:hint="eastAsia" w:cs="Times New Roman"/>
          <w:b/>
          <w:bCs w:val="0"/>
          <w:color w:val="auto"/>
          <w:sz w:val="24"/>
          <w:highlight w:val="none"/>
          <w:lang w:val="en-US" w:eastAsia="zh-CN"/>
        </w:rPr>
        <w:t>4</w:t>
      </w:r>
      <w:r>
        <w:rPr>
          <w:rFonts w:hint="eastAsia" w:ascii="Times New Roman" w:hAnsi="Times New Roman" w:eastAsia="宋体" w:cs="Times New Roman"/>
          <w:b/>
          <w:bCs w:val="0"/>
          <w:color w:val="auto"/>
          <w:sz w:val="24"/>
          <w:highlight w:val="none"/>
          <w:lang w:val="en-US" w:eastAsia="zh-CN"/>
        </w:rPr>
        <w:t>、本合同一式</w:t>
      </w:r>
      <w:r>
        <w:rPr>
          <w:rFonts w:hint="eastAsia" w:ascii="Times New Roman" w:hAnsi="Times New Roman" w:eastAsia="宋体" w:cs="Times New Roman"/>
          <w:b/>
          <w:bCs w:val="0"/>
          <w:color w:val="auto"/>
          <w:sz w:val="24"/>
          <w:highlight w:val="none"/>
          <w:u w:val="single"/>
          <w:lang w:val="en-US" w:eastAsia="zh-CN"/>
        </w:rPr>
        <w:t xml:space="preserve">　　　 </w:t>
      </w:r>
      <w:r>
        <w:rPr>
          <w:rFonts w:hint="eastAsia" w:ascii="Times New Roman" w:hAnsi="Times New Roman" w:eastAsia="宋体" w:cs="Times New Roman"/>
          <w:b/>
          <w:bCs w:val="0"/>
          <w:color w:val="auto"/>
          <w:sz w:val="24"/>
          <w:highlight w:val="none"/>
          <w:lang w:val="en-US" w:eastAsia="zh-CN"/>
        </w:rPr>
        <w:t>份，</w:t>
      </w:r>
      <w:r>
        <w:rPr>
          <w:rFonts w:hint="eastAsia" w:cs="Times New Roman"/>
          <w:b/>
          <w:bCs w:val="0"/>
          <w:color w:val="auto"/>
          <w:sz w:val="24"/>
          <w:highlight w:val="none"/>
          <w:lang w:val="en-US" w:eastAsia="zh-CN"/>
        </w:rPr>
        <w:t>甲乙双方</w:t>
      </w:r>
      <w:r>
        <w:rPr>
          <w:rFonts w:hint="eastAsia" w:ascii="Times New Roman" w:hAnsi="Times New Roman" w:eastAsia="宋体" w:cs="Times New Roman"/>
          <w:b/>
          <w:bCs w:val="0"/>
          <w:color w:val="auto"/>
          <w:sz w:val="24"/>
          <w:highlight w:val="none"/>
          <w:lang w:val="en-US" w:eastAsia="zh-CN"/>
        </w:rPr>
        <w:t>各执</w:t>
      </w:r>
      <w:r>
        <w:rPr>
          <w:rFonts w:hint="eastAsia" w:cs="Times New Roman"/>
          <w:b/>
          <w:bCs w:val="0"/>
          <w:color w:val="auto"/>
          <w:sz w:val="24"/>
          <w:highlight w:val="none"/>
          <w:lang w:val="en-US" w:eastAsia="zh-CN"/>
        </w:rPr>
        <w:t>贰</w:t>
      </w:r>
      <w:r>
        <w:rPr>
          <w:rFonts w:hint="eastAsia" w:ascii="Times New Roman" w:hAnsi="Times New Roman" w:eastAsia="宋体" w:cs="Times New Roman"/>
          <w:b/>
          <w:bCs w:val="0"/>
          <w:color w:val="auto"/>
          <w:sz w:val="24"/>
          <w:highlight w:val="none"/>
          <w:lang w:val="en-US" w:eastAsia="zh-CN"/>
        </w:rPr>
        <w:t>份，并由</w:t>
      </w:r>
      <w:r>
        <w:rPr>
          <w:rFonts w:hint="eastAsia" w:cs="Times New Roman"/>
          <w:b/>
          <w:bCs w:val="0"/>
          <w:color w:val="auto"/>
          <w:sz w:val="24"/>
          <w:highlight w:val="none"/>
          <w:lang w:val="en-US" w:eastAsia="zh-CN"/>
        </w:rPr>
        <w:t>甲方</w:t>
      </w:r>
      <w:r>
        <w:rPr>
          <w:rFonts w:hint="eastAsia" w:ascii="Times New Roman" w:hAnsi="Times New Roman" w:eastAsia="宋体" w:cs="Times New Roman"/>
          <w:b/>
          <w:bCs w:val="0"/>
          <w:color w:val="auto"/>
          <w:sz w:val="24"/>
          <w:highlight w:val="none"/>
          <w:lang w:val="en-US" w:eastAsia="zh-CN"/>
        </w:rPr>
        <w:t>在30日内做好政采云平台网上合同创建及备案。</w:t>
      </w:r>
    </w:p>
    <w:tbl>
      <w:tblPr>
        <w:tblStyle w:val="2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1EBC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233DA50E">
            <w:pPr>
              <w:spacing w:line="360" w:lineRule="auto"/>
              <w:jc w:val="center"/>
              <w:rPr>
                <w:rFonts w:ascii="宋体"/>
                <w:color w:val="auto"/>
                <w:sz w:val="24"/>
                <w:szCs w:val="24"/>
                <w:highlight w:val="none"/>
              </w:rPr>
            </w:pPr>
            <w:r>
              <w:rPr>
                <w:rFonts w:hint="eastAsia" w:ascii="宋体"/>
                <w:color w:val="auto"/>
                <w:sz w:val="24"/>
                <w:szCs w:val="24"/>
                <w:highlight w:val="none"/>
              </w:rPr>
              <w:t>甲方单位</w:t>
            </w:r>
          </w:p>
        </w:tc>
        <w:tc>
          <w:tcPr>
            <w:tcW w:w="2340" w:type="dxa"/>
            <w:tcBorders>
              <w:top w:val="single" w:color="auto" w:sz="4" w:space="0"/>
              <w:left w:val="single" w:color="auto" w:sz="4" w:space="0"/>
              <w:bottom w:val="single" w:color="auto" w:sz="4" w:space="0"/>
              <w:right w:val="single" w:color="auto" w:sz="4" w:space="0"/>
            </w:tcBorders>
            <w:noWrap/>
            <w:vAlign w:val="center"/>
          </w:tcPr>
          <w:p w14:paraId="077A627B">
            <w:pPr>
              <w:spacing w:line="360" w:lineRule="auto"/>
              <w:jc w:val="center"/>
              <w:rPr>
                <w:rFonts w:ascii="宋体"/>
                <w:color w:val="auto"/>
                <w:sz w:val="24"/>
                <w:szCs w:val="24"/>
                <w:highlight w:val="none"/>
              </w:rPr>
            </w:pPr>
            <w:r>
              <w:rPr>
                <w:rFonts w:hint="eastAsia" w:ascii="宋体"/>
                <w:color w:val="auto"/>
                <w:sz w:val="24"/>
                <w:szCs w:val="24"/>
                <w:highlight w:val="none"/>
              </w:rPr>
              <w:t>（盖章）</w:t>
            </w:r>
          </w:p>
        </w:tc>
        <w:tc>
          <w:tcPr>
            <w:tcW w:w="1620" w:type="dxa"/>
            <w:tcBorders>
              <w:top w:val="single" w:color="auto" w:sz="4" w:space="0"/>
              <w:left w:val="single" w:color="auto" w:sz="4" w:space="0"/>
              <w:bottom w:val="single" w:color="auto" w:sz="4" w:space="0"/>
              <w:right w:val="single" w:color="auto" w:sz="4" w:space="0"/>
            </w:tcBorders>
            <w:noWrap/>
            <w:vAlign w:val="center"/>
          </w:tcPr>
          <w:p w14:paraId="728AE0A3">
            <w:pPr>
              <w:spacing w:line="360" w:lineRule="auto"/>
              <w:jc w:val="center"/>
              <w:rPr>
                <w:rFonts w:ascii="宋体"/>
                <w:color w:val="auto"/>
                <w:sz w:val="24"/>
                <w:szCs w:val="24"/>
                <w:highlight w:val="none"/>
              </w:rPr>
            </w:pPr>
            <w:r>
              <w:rPr>
                <w:rFonts w:hint="eastAsia" w:ascii="宋体"/>
                <w:color w:val="auto"/>
                <w:sz w:val="24"/>
                <w:szCs w:val="24"/>
                <w:highlight w:val="none"/>
              </w:rPr>
              <w:t>乙方单位</w:t>
            </w:r>
          </w:p>
        </w:tc>
        <w:tc>
          <w:tcPr>
            <w:tcW w:w="2700" w:type="dxa"/>
            <w:tcBorders>
              <w:top w:val="single" w:color="auto" w:sz="4" w:space="0"/>
              <w:left w:val="single" w:color="auto" w:sz="4" w:space="0"/>
              <w:bottom w:val="single" w:color="auto" w:sz="4" w:space="0"/>
              <w:right w:val="single" w:color="auto" w:sz="4" w:space="0"/>
            </w:tcBorders>
            <w:noWrap/>
            <w:vAlign w:val="center"/>
          </w:tcPr>
          <w:p w14:paraId="62DB3791">
            <w:pPr>
              <w:spacing w:line="360" w:lineRule="auto"/>
              <w:jc w:val="center"/>
              <w:rPr>
                <w:rFonts w:ascii="宋体"/>
                <w:color w:val="auto"/>
                <w:sz w:val="24"/>
                <w:szCs w:val="24"/>
                <w:highlight w:val="none"/>
              </w:rPr>
            </w:pPr>
            <w:r>
              <w:rPr>
                <w:rFonts w:hint="eastAsia" w:ascii="宋体"/>
                <w:color w:val="auto"/>
                <w:sz w:val="24"/>
                <w:szCs w:val="24"/>
                <w:highlight w:val="none"/>
              </w:rPr>
              <w:t>（盖章）</w:t>
            </w:r>
          </w:p>
        </w:tc>
      </w:tr>
      <w:tr w14:paraId="04B8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366D36B0">
            <w:pPr>
              <w:spacing w:line="360" w:lineRule="auto"/>
              <w:jc w:val="center"/>
              <w:rPr>
                <w:rFonts w:ascii="宋体"/>
                <w:color w:val="auto"/>
                <w:sz w:val="24"/>
                <w:szCs w:val="24"/>
                <w:highlight w:val="none"/>
              </w:rPr>
            </w:pPr>
            <w:r>
              <w:rPr>
                <w:rFonts w:hint="eastAsia" w:ascii="宋体"/>
                <w:color w:val="auto"/>
                <w:sz w:val="24"/>
                <w:szCs w:val="24"/>
                <w:highlight w:val="none"/>
              </w:rPr>
              <w:t>代表签名</w:t>
            </w:r>
          </w:p>
        </w:tc>
        <w:tc>
          <w:tcPr>
            <w:tcW w:w="2340" w:type="dxa"/>
            <w:tcBorders>
              <w:top w:val="single" w:color="auto" w:sz="4" w:space="0"/>
              <w:left w:val="single" w:color="auto" w:sz="4" w:space="0"/>
              <w:bottom w:val="single" w:color="auto" w:sz="4" w:space="0"/>
              <w:right w:val="single" w:color="auto" w:sz="4" w:space="0"/>
            </w:tcBorders>
            <w:noWrap/>
            <w:vAlign w:val="center"/>
          </w:tcPr>
          <w:p w14:paraId="1946B805">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48EACD1C">
            <w:pPr>
              <w:spacing w:line="360" w:lineRule="auto"/>
              <w:jc w:val="center"/>
              <w:rPr>
                <w:rFonts w:ascii="宋体"/>
                <w:color w:val="auto"/>
                <w:sz w:val="24"/>
                <w:szCs w:val="24"/>
                <w:highlight w:val="none"/>
              </w:rPr>
            </w:pPr>
            <w:r>
              <w:rPr>
                <w:rFonts w:hint="eastAsia" w:ascii="宋体"/>
                <w:color w:val="auto"/>
                <w:sz w:val="24"/>
                <w:szCs w:val="24"/>
                <w:highlight w:val="none"/>
              </w:rPr>
              <w:t>代表签名</w:t>
            </w:r>
          </w:p>
        </w:tc>
        <w:tc>
          <w:tcPr>
            <w:tcW w:w="2700" w:type="dxa"/>
            <w:tcBorders>
              <w:top w:val="single" w:color="auto" w:sz="4" w:space="0"/>
              <w:left w:val="single" w:color="auto" w:sz="4" w:space="0"/>
              <w:bottom w:val="single" w:color="auto" w:sz="4" w:space="0"/>
              <w:right w:val="single" w:color="auto" w:sz="4" w:space="0"/>
            </w:tcBorders>
            <w:noWrap/>
            <w:vAlign w:val="center"/>
          </w:tcPr>
          <w:p w14:paraId="249338EC">
            <w:pPr>
              <w:spacing w:line="360" w:lineRule="auto"/>
              <w:jc w:val="center"/>
              <w:rPr>
                <w:rFonts w:ascii="宋体"/>
                <w:color w:val="auto"/>
                <w:sz w:val="24"/>
                <w:szCs w:val="24"/>
                <w:highlight w:val="none"/>
              </w:rPr>
            </w:pPr>
          </w:p>
        </w:tc>
      </w:tr>
      <w:tr w14:paraId="7289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635ACA8D">
            <w:pPr>
              <w:spacing w:line="360" w:lineRule="auto"/>
              <w:jc w:val="center"/>
              <w:rPr>
                <w:rFonts w:ascii="宋体"/>
                <w:color w:val="auto"/>
                <w:sz w:val="24"/>
                <w:szCs w:val="24"/>
                <w:highlight w:val="none"/>
              </w:rPr>
            </w:pPr>
            <w:r>
              <w:rPr>
                <w:rFonts w:hint="eastAsia" w:ascii="宋体"/>
                <w:color w:val="auto"/>
                <w:sz w:val="24"/>
                <w:szCs w:val="24"/>
                <w:highlight w:val="none"/>
              </w:rPr>
              <w:t>地址</w:t>
            </w:r>
          </w:p>
        </w:tc>
        <w:tc>
          <w:tcPr>
            <w:tcW w:w="2340" w:type="dxa"/>
            <w:tcBorders>
              <w:top w:val="single" w:color="auto" w:sz="4" w:space="0"/>
              <w:left w:val="single" w:color="auto" w:sz="4" w:space="0"/>
              <w:bottom w:val="single" w:color="auto" w:sz="4" w:space="0"/>
              <w:right w:val="single" w:color="auto" w:sz="4" w:space="0"/>
            </w:tcBorders>
            <w:noWrap/>
            <w:vAlign w:val="center"/>
          </w:tcPr>
          <w:p w14:paraId="6AFB78E9">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5387116A">
            <w:pPr>
              <w:spacing w:line="360" w:lineRule="auto"/>
              <w:jc w:val="center"/>
              <w:rPr>
                <w:rFonts w:ascii="宋体"/>
                <w:color w:val="auto"/>
                <w:sz w:val="24"/>
                <w:szCs w:val="24"/>
                <w:highlight w:val="none"/>
              </w:rPr>
            </w:pPr>
            <w:r>
              <w:rPr>
                <w:rFonts w:hint="eastAsia" w:ascii="宋体"/>
                <w:color w:val="auto"/>
                <w:sz w:val="24"/>
                <w:szCs w:val="24"/>
                <w:highlight w:val="none"/>
              </w:rPr>
              <w:t>地址</w:t>
            </w:r>
          </w:p>
        </w:tc>
        <w:tc>
          <w:tcPr>
            <w:tcW w:w="2700" w:type="dxa"/>
            <w:tcBorders>
              <w:top w:val="single" w:color="auto" w:sz="4" w:space="0"/>
              <w:left w:val="single" w:color="auto" w:sz="4" w:space="0"/>
              <w:bottom w:val="single" w:color="auto" w:sz="4" w:space="0"/>
              <w:right w:val="single" w:color="auto" w:sz="4" w:space="0"/>
            </w:tcBorders>
            <w:noWrap/>
            <w:vAlign w:val="center"/>
          </w:tcPr>
          <w:p w14:paraId="1FE1B425">
            <w:pPr>
              <w:spacing w:line="360" w:lineRule="auto"/>
              <w:jc w:val="center"/>
              <w:rPr>
                <w:rFonts w:ascii="宋体"/>
                <w:color w:val="auto"/>
                <w:sz w:val="24"/>
                <w:szCs w:val="24"/>
                <w:highlight w:val="none"/>
              </w:rPr>
            </w:pPr>
          </w:p>
        </w:tc>
      </w:tr>
      <w:tr w14:paraId="0CCC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1ECAB341">
            <w:pPr>
              <w:spacing w:line="360" w:lineRule="auto"/>
              <w:jc w:val="center"/>
              <w:rPr>
                <w:rFonts w:ascii="宋体"/>
                <w:color w:val="auto"/>
                <w:sz w:val="24"/>
                <w:szCs w:val="24"/>
                <w:highlight w:val="none"/>
              </w:rPr>
            </w:pPr>
            <w:r>
              <w:rPr>
                <w:rFonts w:hint="eastAsia" w:ascii="宋体"/>
                <w:color w:val="auto"/>
                <w:sz w:val="24"/>
                <w:szCs w:val="24"/>
                <w:highlight w:val="none"/>
              </w:rPr>
              <w:t>电话</w:t>
            </w:r>
          </w:p>
        </w:tc>
        <w:tc>
          <w:tcPr>
            <w:tcW w:w="2340" w:type="dxa"/>
            <w:tcBorders>
              <w:top w:val="single" w:color="auto" w:sz="4" w:space="0"/>
              <w:left w:val="single" w:color="auto" w:sz="4" w:space="0"/>
              <w:bottom w:val="single" w:color="auto" w:sz="4" w:space="0"/>
              <w:right w:val="single" w:color="auto" w:sz="4" w:space="0"/>
            </w:tcBorders>
            <w:noWrap/>
            <w:vAlign w:val="center"/>
          </w:tcPr>
          <w:p w14:paraId="4C6CD2F9">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56B7B6F3">
            <w:pPr>
              <w:spacing w:line="360" w:lineRule="auto"/>
              <w:jc w:val="center"/>
              <w:rPr>
                <w:rFonts w:ascii="宋体"/>
                <w:color w:val="auto"/>
                <w:sz w:val="24"/>
                <w:szCs w:val="24"/>
                <w:highlight w:val="none"/>
              </w:rPr>
            </w:pPr>
            <w:r>
              <w:rPr>
                <w:rFonts w:hint="eastAsia" w:ascii="宋体"/>
                <w:color w:val="auto"/>
                <w:sz w:val="24"/>
                <w:szCs w:val="24"/>
                <w:highlight w:val="none"/>
              </w:rPr>
              <w:t>电话</w:t>
            </w:r>
          </w:p>
        </w:tc>
        <w:tc>
          <w:tcPr>
            <w:tcW w:w="2700" w:type="dxa"/>
            <w:tcBorders>
              <w:top w:val="single" w:color="auto" w:sz="4" w:space="0"/>
              <w:left w:val="single" w:color="auto" w:sz="4" w:space="0"/>
              <w:bottom w:val="single" w:color="auto" w:sz="4" w:space="0"/>
              <w:right w:val="single" w:color="auto" w:sz="4" w:space="0"/>
            </w:tcBorders>
            <w:noWrap/>
            <w:vAlign w:val="center"/>
          </w:tcPr>
          <w:p w14:paraId="23DE64B6">
            <w:pPr>
              <w:spacing w:line="360" w:lineRule="auto"/>
              <w:jc w:val="center"/>
              <w:rPr>
                <w:rFonts w:ascii="宋体"/>
                <w:color w:val="auto"/>
                <w:sz w:val="24"/>
                <w:szCs w:val="24"/>
                <w:highlight w:val="none"/>
              </w:rPr>
            </w:pPr>
          </w:p>
        </w:tc>
      </w:tr>
      <w:tr w14:paraId="78EB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7A07D613">
            <w:pPr>
              <w:spacing w:line="360" w:lineRule="auto"/>
              <w:jc w:val="center"/>
              <w:rPr>
                <w:rFonts w:ascii="宋体"/>
                <w:color w:val="auto"/>
                <w:sz w:val="24"/>
                <w:szCs w:val="24"/>
                <w:highlight w:val="none"/>
              </w:rPr>
            </w:pPr>
            <w:r>
              <w:rPr>
                <w:rFonts w:hint="eastAsia" w:ascii="宋体"/>
                <w:color w:val="auto"/>
                <w:sz w:val="24"/>
                <w:szCs w:val="24"/>
                <w:highlight w:val="none"/>
              </w:rPr>
              <w:t>开户银行</w:t>
            </w:r>
          </w:p>
        </w:tc>
        <w:tc>
          <w:tcPr>
            <w:tcW w:w="2340" w:type="dxa"/>
            <w:tcBorders>
              <w:top w:val="single" w:color="auto" w:sz="4" w:space="0"/>
              <w:left w:val="single" w:color="auto" w:sz="4" w:space="0"/>
              <w:bottom w:val="single" w:color="auto" w:sz="4" w:space="0"/>
              <w:right w:val="single" w:color="auto" w:sz="4" w:space="0"/>
            </w:tcBorders>
            <w:noWrap/>
            <w:vAlign w:val="center"/>
          </w:tcPr>
          <w:p w14:paraId="1507C18A">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9A9FF8D">
            <w:pPr>
              <w:spacing w:line="360" w:lineRule="auto"/>
              <w:jc w:val="center"/>
              <w:rPr>
                <w:rFonts w:ascii="宋体"/>
                <w:color w:val="auto"/>
                <w:sz w:val="24"/>
                <w:szCs w:val="24"/>
                <w:highlight w:val="none"/>
              </w:rPr>
            </w:pPr>
            <w:r>
              <w:rPr>
                <w:rFonts w:hint="eastAsia" w:ascii="宋体"/>
                <w:color w:val="auto"/>
                <w:sz w:val="24"/>
                <w:szCs w:val="24"/>
                <w:highlight w:val="none"/>
              </w:rPr>
              <w:t>开户银行</w:t>
            </w:r>
          </w:p>
        </w:tc>
        <w:tc>
          <w:tcPr>
            <w:tcW w:w="2700" w:type="dxa"/>
            <w:tcBorders>
              <w:top w:val="single" w:color="auto" w:sz="4" w:space="0"/>
              <w:left w:val="single" w:color="auto" w:sz="4" w:space="0"/>
              <w:bottom w:val="single" w:color="auto" w:sz="4" w:space="0"/>
              <w:right w:val="single" w:color="auto" w:sz="4" w:space="0"/>
            </w:tcBorders>
            <w:noWrap/>
            <w:vAlign w:val="center"/>
          </w:tcPr>
          <w:p w14:paraId="205E6E33">
            <w:pPr>
              <w:spacing w:line="360" w:lineRule="auto"/>
              <w:jc w:val="center"/>
              <w:rPr>
                <w:rFonts w:ascii="宋体"/>
                <w:color w:val="auto"/>
                <w:sz w:val="24"/>
                <w:szCs w:val="24"/>
                <w:highlight w:val="none"/>
              </w:rPr>
            </w:pPr>
          </w:p>
        </w:tc>
      </w:tr>
      <w:tr w14:paraId="60C5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1440" w:type="dxa"/>
            <w:tcBorders>
              <w:top w:val="single" w:color="auto" w:sz="4" w:space="0"/>
              <w:left w:val="single" w:color="auto" w:sz="4" w:space="0"/>
              <w:bottom w:val="single" w:color="auto" w:sz="4" w:space="0"/>
              <w:right w:val="single" w:color="auto" w:sz="4" w:space="0"/>
            </w:tcBorders>
            <w:noWrap/>
            <w:vAlign w:val="center"/>
          </w:tcPr>
          <w:p w14:paraId="1DCD5BCC">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账号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649278A6">
            <w:pPr>
              <w:spacing w:line="360" w:lineRule="auto"/>
              <w:jc w:val="center"/>
              <w:rPr>
                <w:rFonts w:ascii="宋体"/>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14:paraId="7CA7807A">
            <w:pPr>
              <w:spacing w:line="360" w:lineRule="auto"/>
              <w:jc w:val="center"/>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账号</w:t>
            </w:r>
          </w:p>
        </w:tc>
        <w:tc>
          <w:tcPr>
            <w:tcW w:w="2700" w:type="dxa"/>
            <w:tcBorders>
              <w:top w:val="single" w:color="auto" w:sz="4" w:space="0"/>
              <w:left w:val="single" w:color="auto" w:sz="4" w:space="0"/>
              <w:bottom w:val="single" w:color="auto" w:sz="4" w:space="0"/>
              <w:right w:val="single" w:color="auto" w:sz="4" w:space="0"/>
            </w:tcBorders>
            <w:noWrap/>
            <w:vAlign w:val="center"/>
          </w:tcPr>
          <w:p w14:paraId="6B2DDA08">
            <w:pPr>
              <w:spacing w:line="360" w:lineRule="auto"/>
              <w:jc w:val="center"/>
              <w:rPr>
                <w:rFonts w:ascii="宋体"/>
                <w:color w:val="auto"/>
                <w:sz w:val="24"/>
                <w:szCs w:val="24"/>
                <w:highlight w:val="none"/>
              </w:rPr>
            </w:pPr>
          </w:p>
        </w:tc>
      </w:tr>
    </w:tbl>
    <w:p w14:paraId="43720422">
      <w:pPr>
        <w:spacing w:line="360" w:lineRule="auto"/>
        <w:rPr>
          <w:color w:val="auto"/>
          <w:highlight w:val="none"/>
        </w:rPr>
      </w:pPr>
      <w:r>
        <w:rPr>
          <w:color w:val="auto"/>
          <w:highlight w:val="none"/>
        </w:rPr>
        <w:br w:type="page"/>
      </w:r>
    </w:p>
    <w:p w14:paraId="2B81C0BA">
      <w:pPr>
        <w:pStyle w:val="2"/>
        <w:jc w:val="center"/>
        <w:rPr>
          <w:rFonts w:cs="Times New Roman"/>
          <w:color w:val="auto"/>
          <w:sz w:val="36"/>
          <w:szCs w:val="36"/>
          <w:highlight w:val="none"/>
        </w:rPr>
      </w:pPr>
      <w:bookmarkStart w:id="89" w:name="_Toc7690"/>
      <w:bookmarkStart w:id="90" w:name="_Toc28272"/>
      <w:bookmarkStart w:id="91" w:name="_Toc4669"/>
      <w:r>
        <w:rPr>
          <w:rFonts w:hint="eastAsia" w:cs="宋体"/>
          <w:color w:val="auto"/>
          <w:sz w:val="36"/>
          <w:szCs w:val="36"/>
          <w:highlight w:val="none"/>
        </w:rPr>
        <w:t>第六部分</w:t>
      </w:r>
      <w:r>
        <w:rPr>
          <w:color w:val="auto"/>
          <w:sz w:val="36"/>
          <w:szCs w:val="36"/>
          <w:highlight w:val="none"/>
        </w:rPr>
        <w:t xml:space="preserve"> </w:t>
      </w:r>
      <w:r>
        <w:rPr>
          <w:rFonts w:hint="eastAsia" w:cs="宋体"/>
          <w:color w:val="auto"/>
          <w:sz w:val="36"/>
          <w:szCs w:val="36"/>
          <w:highlight w:val="none"/>
        </w:rPr>
        <w:t>应提交的有关格式范例</w:t>
      </w:r>
      <w:bookmarkEnd w:id="89"/>
      <w:bookmarkEnd w:id="90"/>
      <w:bookmarkEnd w:id="91"/>
    </w:p>
    <w:p w14:paraId="0480CB42">
      <w:pPr>
        <w:rPr>
          <w:color w:val="auto"/>
          <w:highlight w:val="none"/>
        </w:rPr>
      </w:pPr>
    </w:p>
    <w:p w14:paraId="2EB9773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个</w:t>
      </w:r>
      <w:r>
        <w:rPr>
          <w:rFonts w:ascii="宋体" w:hAnsi="宋体" w:cs="宋体"/>
          <w:b/>
          <w:bCs/>
          <w:color w:val="auto"/>
          <w:sz w:val="24"/>
          <w:szCs w:val="24"/>
          <w:highlight w:val="none"/>
        </w:rPr>
        <w:t>PDF</w:t>
      </w:r>
      <w:r>
        <w:rPr>
          <w:rFonts w:hint="eastAsia" w:ascii="宋体" w:hAnsi="宋体" w:cs="宋体"/>
          <w:b/>
          <w:bCs/>
          <w:color w:val="auto"/>
          <w:sz w:val="24"/>
          <w:szCs w:val="24"/>
          <w:highlight w:val="none"/>
        </w:rPr>
        <w:t>格式分别导入。</w:t>
      </w:r>
    </w:p>
    <w:p w14:paraId="2E992B72">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13557751">
      <w:pPr>
        <w:spacing w:line="360" w:lineRule="auto"/>
        <w:jc w:val="center"/>
        <w:rPr>
          <w:rFonts w:ascii="宋体"/>
          <w:b/>
          <w:bCs/>
          <w:color w:val="auto"/>
          <w:kern w:val="0"/>
          <w:sz w:val="36"/>
          <w:szCs w:val="36"/>
          <w:highlight w:val="none"/>
        </w:rPr>
      </w:pPr>
      <w:r>
        <w:rPr>
          <w:rFonts w:ascii="宋体"/>
          <w:b/>
          <w:bCs/>
          <w:color w:val="auto"/>
          <w:sz w:val="24"/>
          <w:szCs w:val="24"/>
          <w:highlight w:val="none"/>
        </w:rPr>
        <w:br w:type="page"/>
      </w:r>
      <w:r>
        <w:rPr>
          <w:rFonts w:hint="eastAsia" w:ascii="宋体" w:hAnsi="宋体" w:cs="宋体"/>
          <w:b/>
          <w:bCs/>
          <w:color w:val="auto"/>
          <w:kern w:val="0"/>
          <w:sz w:val="36"/>
          <w:szCs w:val="36"/>
          <w:highlight w:val="none"/>
        </w:rPr>
        <w:t>资格文件部分</w:t>
      </w:r>
    </w:p>
    <w:p w14:paraId="7837A86A">
      <w:pPr>
        <w:spacing w:line="360" w:lineRule="auto"/>
        <w:jc w:val="center"/>
        <w:rPr>
          <w:rFonts w:ascii="宋体"/>
          <w:b/>
          <w:bCs/>
          <w:color w:val="auto"/>
          <w:kern w:val="0"/>
          <w:sz w:val="36"/>
          <w:szCs w:val="36"/>
          <w:highlight w:val="none"/>
        </w:rPr>
      </w:pPr>
    </w:p>
    <w:p w14:paraId="31D0A8A4">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2128A62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）法定代表人授权书；（格式见附件）</w:t>
      </w:r>
    </w:p>
    <w:p w14:paraId="3153614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（2）营业执照</w:t>
      </w:r>
      <w:r>
        <w:rPr>
          <w:rFonts w:ascii="宋体" w:hAnsi="宋体" w:cs="宋体"/>
          <w:color w:val="auto"/>
          <w:sz w:val="24"/>
          <w:szCs w:val="24"/>
          <w:highlight w:val="none"/>
        </w:rPr>
        <w:t>(</w:t>
      </w:r>
      <w:r>
        <w:rPr>
          <w:rFonts w:hint="eastAsia" w:ascii="宋体" w:hAnsi="宋体" w:cs="宋体"/>
          <w:color w:val="auto"/>
          <w:sz w:val="24"/>
          <w:szCs w:val="24"/>
          <w:highlight w:val="none"/>
        </w:rPr>
        <w:t>或事业法人登记证或其他工商等登记证明材料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复印件、税务登记证</w:t>
      </w:r>
      <w:r>
        <w:rPr>
          <w:rFonts w:ascii="宋体" w:hAnsi="宋体" w:cs="宋体"/>
          <w:color w:val="auto"/>
          <w:sz w:val="24"/>
          <w:szCs w:val="24"/>
          <w:highlight w:val="none"/>
        </w:rPr>
        <w:t>(</w:t>
      </w:r>
      <w:r>
        <w:rPr>
          <w:rFonts w:hint="eastAsia" w:ascii="宋体" w:hAnsi="宋体" w:cs="宋体"/>
          <w:color w:val="auto"/>
          <w:sz w:val="24"/>
          <w:szCs w:val="24"/>
          <w:highlight w:val="none"/>
        </w:rPr>
        <w:t>或其它缴纳证明材料</w:t>
      </w:r>
      <w:r>
        <w:rPr>
          <w:rFonts w:ascii="宋体" w:hAnsi="宋体" w:cs="宋体"/>
          <w:color w:val="auto"/>
          <w:sz w:val="24"/>
          <w:szCs w:val="24"/>
          <w:highlight w:val="none"/>
        </w:rPr>
        <w:t>)</w:t>
      </w:r>
      <w:r>
        <w:rPr>
          <w:rFonts w:hint="eastAsia" w:ascii="宋体" w:hAnsi="宋体" w:cs="宋体"/>
          <w:color w:val="auto"/>
          <w:sz w:val="24"/>
          <w:szCs w:val="24"/>
          <w:highlight w:val="none"/>
        </w:rPr>
        <w:t>复印件、社保登记证（或其它缴纳证明材料）复印件；实施“五证合一、一照一码”登记制度改革的，只需提供改革后取得的营业执照复印件；事业单位的，则提供有效的《事业单位法人证书》副本复印件并加盖单位公章；</w:t>
      </w:r>
    </w:p>
    <w:p w14:paraId="48C9BEC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85C0FB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（3）具有履行合同所必需的产品和专业技术能力的承诺函；</w:t>
      </w:r>
    </w:p>
    <w:p w14:paraId="14ED2132">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（4）投标人承诺函（格式见附件）</w:t>
      </w:r>
      <w:r>
        <w:rPr>
          <w:rFonts w:hint="eastAsia" w:ascii="宋体" w:hAnsi="宋体" w:cs="宋体"/>
          <w:color w:val="auto"/>
          <w:sz w:val="24"/>
          <w:szCs w:val="24"/>
          <w:highlight w:val="none"/>
          <w:lang w:eastAsia="zh-CN"/>
        </w:rPr>
        <w:t>；</w:t>
      </w:r>
    </w:p>
    <w:p w14:paraId="58DCFEC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中小企业声明函（格式见附件）；</w:t>
      </w:r>
    </w:p>
    <w:p w14:paraId="283EBF1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）残疾人福利性单位声明函(如有)（格式见附件）；</w:t>
      </w:r>
    </w:p>
    <w:p w14:paraId="3B69C1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）监狱企业证明文件(如有)（格式见附件）。</w:t>
      </w:r>
    </w:p>
    <w:p w14:paraId="311A3AA7">
      <w:pPr>
        <w:pStyle w:val="12"/>
        <w:ind w:firstLine="486"/>
        <w:rPr>
          <w:rFonts w:cs="Times New Roman"/>
          <w:color w:val="auto"/>
          <w:highlight w:val="none"/>
        </w:rPr>
      </w:pPr>
    </w:p>
    <w:p w14:paraId="066D6C00">
      <w:pPr>
        <w:pStyle w:val="12"/>
        <w:ind w:firstLine="486"/>
        <w:rPr>
          <w:rFonts w:cs="Times New Roman"/>
          <w:color w:val="auto"/>
          <w:highlight w:val="none"/>
        </w:rPr>
      </w:pPr>
    </w:p>
    <w:p w14:paraId="18E9DB71">
      <w:pPr>
        <w:rPr>
          <w:rFonts w:ascii="宋体"/>
          <w:color w:val="auto"/>
          <w:highlight w:val="none"/>
        </w:rPr>
      </w:pPr>
      <w:r>
        <w:rPr>
          <w:rFonts w:ascii="宋体"/>
          <w:color w:val="auto"/>
          <w:highlight w:val="none"/>
        </w:rPr>
        <w:br w:type="page"/>
      </w:r>
      <w:bookmarkStart w:id="92" w:name="_Toc24699"/>
    </w:p>
    <w:p w14:paraId="34099025">
      <w:pPr>
        <w:rPr>
          <w:b/>
          <w:bCs/>
          <w:color w:val="auto"/>
          <w:sz w:val="24"/>
          <w:szCs w:val="24"/>
          <w:highlight w:val="none"/>
        </w:rPr>
      </w:pPr>
      <w:r>
        <w:rPr>
          <w:rFonts w:hint="eastAsia" w:cs="宋体"/>
          <w:b/>
          <w:bCs/>
          <w:color w:val="auto"/>
          <w:sz w:val="24"/>
          <w:szCs w:val="24"/>
          <w:highlight w:val="none"/>
        </w:rPr>
        <w:t>附件一：</w:t>
      </w:r>
    </w:p>
    <w:p w14:paraId="36D4CFC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法定代表人授权书</w:t>
      </w:r>
      <w:bookmarkEnd w:id="92"/>
    </w:p>
    <w:p w14:paraId="4ADFB3E8">
      <w:pPr>
        <w:pStyle w:val="4"/>
        <w:spacing w:line="360" w:lineRule="auto"/>
        <w:rPr>
          <w:rFonts w:ascii="宋体"/>
          <w:color w:val="auto"/>
          <w:highlight w:val="none"/>
        </w:rPr>
      </w:pPr>
    </w:p>
    <w:p w14:paraId="2B9BA6F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绍兴市上虞区市场监督管理局</w:t>
      </w:r>
      <w:r>
        <w:rPr>
          <w:rFonts w:hint="eastAsia" w:ascii="宋体" w:hAnsi="宋体" w:cs="宋体"/>
          <w:color w:val="auto"/>
          <w:sz w:val="24"/>
          <w:szCs w:val="24"/>
          <w:highlight w:val="none"/>
        </w:rPr>
        <w:t>：</w:t>
      </w:r>
    </w:p>
    <w:p w14:paraId="51A4705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2BEC9608">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（供应商全称）</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2D52D0D8">
      <w:pPr>
        <w:spacing w:line="360" w:lineRule="auto"/>
        <w:ind w:firstLine="480" w:firstLineChars="200"/>
        <w:rPr>
          <w:rFonts w:ascii="宋体"/>
          <w:color w:val="auto"/>
          <w:sz w:val="24"/>
          <w:szCs w:val="24"/>
          <w:highlight w:val="none"/>
        </w:rPr>
      </w:pPr>
    </w:p>
    <w:p w14:paraId="6AC2872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法定代表人签字：</w:t>
      </w:r>
    </w:p>
    <w:p w14:paraId="4E3E1B4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供应商全称：（盖章）</w:t>
      </w:r>
    </w:p>
    <w:p w14:paraId="6A343D7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日期：</w:t>
      </w:r>
    </w:p>
    <w:p w14:paraId="26172E4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附：</w:t>
      </w:r>
    </w:p>
    <w:p w14:paraId="722ADC1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授权代表姓名：</w:t>
      </w:r>
    </w:p>
    <w:p w14:paraId="6529910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职务：</w:t>
      </w:r>
    </w:p>
    <w:p w14:paraId="7C69089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详细通讯地址：</w:t>
      </w:r>
    </w:p>
    <w:p w14:paraId="0DC5CCFB">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传真：</w:t>
      </w:r>
    </w:p>
    <w:p w14:paraId="7209ED29">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电话：</w:t>
      </w:r>
    </w:p>
    <w:p w14:paraId="4D4D588C">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邮政编码：</w:t>
      </w:r>
    </w:p>
    <w:p w14:paraId="68B5ADB5">
      <w:pPr>
        <w:pStyle w:val="16"/>
        <w:snapToGrid w:val="0"/>
        <w:spacing w:line="360" w:lineRule="auto"/>
        <w:rPr>
          <w:rFonts w:hAnsi="宋体" w:cs="Times New Roman"/>
          <w:color w:val="auto"/>
          <w:sz w:val="24"/>
          <w:szCs w:val="24"/>
          <w:highlight w:val="none"/>
        </w:rPr>
      </w:pPr>
    </w:p>
    <w:p w14:paraId="1D705661">
      <w:pPr>
        <w:pStyle w:val="16"/>
        <w:snapToGrid w:val="0"/>
        <w:spacing w:line="360" w:lineRule="auto"/>
        <w:rPr>
          <w:rFonts w:hAnsi="宋体" w:cs="Times New Roman"/>
          <w:color w:val="auto"/>
          <w:sz w:val="24"/>
          <w:szCs w:val="24"/>
          <w:highlight w:val="none"/>
        </w:rPr>
      </w:pPr>
    </w:p>
    <w:p w14:paraId="06B3208F">
      <w:pPr>
        <w:pStyle w:val="16"/>
        <w:snapToGrid w:val="0"/>
        <w:spacing w:line="360" w:lineRule="auto"/>
        <w:rPr>
          <w:rFonts w:hAnsi="宋体" w:cs="Times New Roman"/>
          <w:color w:val="auto"/>
          <w:sz w:val="24"/>
          <w:szCs w:val="24"/>
          <w:highlight w:val="none"/>
        </w:rPr>
      </w:pPr>
    </w:p>
    <w:p w14:paraId="672413ED">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50AE9909">
      <w:pPr>
        <w:spacing w:line="360" w:lineRule="auto"/>
        <w:rPr>
          <w:rFonts w:ascii="宋体"/>
          <w:b/>
          <w:bCs/>
          <w:color w:val="auto"/>
          <w:sz w:val="24"/>
          <w:szCs w:val="24"/>
          <w:highlight w:val="none"/>
        </w:rPr>
      </w:pPr>
    </w:p>
    <w:p w14:paraId="60D18957">
      <w:pPr>
        <w:pStyle w:val="12"/>
        <w:ind w:firstLine="486"/>
        <w:rPr>
          <w:rFonts w:cs="Times New Roman"/>
          <w:color w:val="auto"/>
          <w:highlight w:val="none"/>
        </w:rPr>
      </w:pPr>
    </w:p>
    <w:p w14:paraId="6F91310A">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ascii="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65DA1BF8">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rPr>
        <w:t>投 标</w:t>
      </w: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eastAsia="zh-CN"/>
        </w:rPr>
        <w:t>人</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64DDE840">
      <w:pPr>
        <w:pStyle w:val="11"/>
        <w:rPr>
          <w:color w:val="auto"/>
          <w:highlight w:val="none"/>
        </w:rPr>
      </w:pPr>
    </w:p>
    <w:p w14:paraId="6B3E80D9">
      <w:pPr>
        <w:rPr>
          <w:color w:val="auto"/>
          <w:highlight w:val="none"/>
        </w:rPr>
      </w:pPr>
    </w:p>
    <w:p w14:paraId="6E13724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绍兴市上虞区市场监督管理局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63A35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浙江宇康工程管理咨询有限公司：</w:t>
      </w:r>
    </w:p>
    <w:p w14:paraId="7CEFCB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2113CD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11C3B4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14782B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181E3F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2546D2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01212E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209E53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2E4C69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956FF6F">
      <w:pPr>
        <w:pStyle w:val="58"/>
        <w:numPr>
          <w:ilvl w:val="0"/>
          <w:numId w:val="0"/>
        </w:numPr>
        <w:spacing w:before="0"/>
        <w:ind w:firstLine="480" w:firstLineChars="200"/>
        <w:jc w:val="left"/>
        <w:rPr>
          <w:rFonts w:hint="eastAsia" w:ascii="宋体" w:hAnsi="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cs="宋体"/>
          <w:color w:val="auto"/>
          <w:szCs w:val="24"/>
          <w:highlight w:val="none"/>
          <w:lang w:val="en-US" w:eastAsia="zh-CN"/>
        </w:rPr>
        <w:t>具有良好的商业信誉和健全的财务会计制度；</w:t>
      </w:r>
    </w:p>
    <w:p w14:paraId="0149D1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7045A406">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3100110A">
      <w:pPr>
        <w:spacing w:line="360" w:lineRule="auto"/>
        <w:ind w:firstLine="480" w:firstLineChars="200"/>
        <w:rPr>
          <w:rFonts w:hint="eastAsia" w:ascii="宋体" w:hAnsi="宋体" w:eastAsia="宋体" w:cs="宋体"/>
          <w:color w:val="auto"/>
          <w:sz w:val="24"/>
          <w:highlight w:val="none"/>
        </w:rPr>
      </w:pPr>
    </w:p>
    <w:p w14:paraId="2AE9F144">
      <w:pPr>
        <w:pStyle w:val="12"/>
        <w:rPr>
          <w:rFonts w:hint="eastAsia" w:ascii="宋体" w:hAnsi="宋体" w:eastAsia="宋体" w:cs="宋体"/>
          <w:color w:val="auto"/>
          <w:highlight w:val="none"/>
        </w:rPr>
      </w:pPr>
    </w:p>
    <w:p w14:paraId="2F53E8DC">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6D7A7FF4">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5616F82">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6D3C2DED">
      <w:pPr>
        <w:spacing w:line="360" w:lineRule="auto"/>
        <w:jc w:val="left"/>
        <w:rPr>
          <w:rFonts w:hint="eastAsia" w:ascii="宋体" w:hAnsi="宋体" w:cs="宋体"/>
          <w:b/>
          <w:bCs/>
          <w:color w:val="auto"/>
          <w:sz w:val="24"/>
          <w:szCs w:val="24"/>
          <w:highlight w:val="none"/>
          <w:lang w:val="zh-CN"/>
        </w:rPr>
      </w:pPr>
    </w:p>
    <w:p w14:paraId="0B2998A7">
      <w:pPr>
        <w:spacing w:line="360" w:lineRule="auto"/>
        <w:jc w:val="left"/>
        <w:rPr>
          <w:rFonts w:ascii="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val="zh-CN"/>
        </w:rPr>
        <w:t>：</w:t>
      </w:r>
    </w:p>
    <w:p w14:paraId="45490A9E">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w:t>
      </w:r>
    </w:p>
    <w:p w14:paraId="2A7FBDE7">
      <w:pPr>
        <w:spacing w:line="288" w:lineRule="auto"/>
        <w:ind w:firstLine="480" w:firstLineChars="200"/>
        <w:jc w:val="left"/>
        <w:rPr>
          <w:rFonts w:hint="eastAsia" w:ascii="宋体" w:hAnsi="宋体" w:cs="宋体"/>
          <w:color w:val="auto"/>
          <w:sz w:val="24"/>
          <w:szCs w:val="24"/>
          <w:highlight w:val="none"/>
        </w:rPr>
      </w:pPr>
    </w:p>
    <w:p w14:paraId="69676623">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E3D2E3C">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其他未列明行业</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12C422DA">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1E9CA395">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2774F7D0">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7DB5FD2F">
      <w:pPr>
        <w:spacing w:line="288" w:lineRule="auto"/>
        <w:ind w:right="420" w:firstLine="4320" w:firstLineChars="1800"/>
        <w:rPr>
          <w:rFonts w:ascii="宋体" w:hAnsi="宋体" w:cs="宋体"/>
          <w:color w:val="auto"/>
          <w:sz w:val="24"/>
          <w:szCs w:val="24"/>
          <w:highlight w:val="none"/>
        </w:rPr>
      </w:pPr>
    </w:p>
    <w:p w14:paraId="7579A935">
      <w:pPr>
        <w:spacing w:line="288" w:lineRule="auto"/>
        <w:ind w:right="420" w:firstLine="4320" w:firstLineChars="1800"/>
        <w:rPr>
          <w:rFonts w:ascii="宋体" w:hAnsi="宋体" w:cs="宋体"/>
          <w:color w:val="auto"/>
          <w:sz w:val="24"/>
          <w:szCs w:val="24"/>
          <w:highlight w:val="none"/>
        </w:rPr>
      </w:pPr>
    </w:p>
    <w:p w14:paraId="2D292CA6">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5C56F37B">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05716501">
      <w:pPr>
        <w:pStyle w:val="4"/>
        <w:spacing w:line="288" w:lineRule="auto"/>
        <w:rPr>
          <w:rFonts w:ascii="宋体" w:hAnsi="宋体" w:cs="宋体"/>
          <w:color w:val="auto"/>
          <w:sz w:val="24"/>
          <w:szCs w:val="24"/>
          <w:highlight w:val="none"/>
        </w:rPr>
      </w:pPr>
    </w:p>
    <w:p w14:paraId="621F1C96">
      <w:pPr>
        <w:spacing w:line="288" w:lineRule="auto"/>
        <w:ind w:firstLine="480" w:firstLineChars="200"/>
        <w:jc w:val="left"/>
        <w:rPr>
          <w:rFonts w:ascii="宋体" w:hAnsi="宋体" w:cs="宋体"/>
          <w:color w:val="auto"/>
          <w:sz w:val="24"/>
          <w:szCs w:val="24"/>
          <w:highlight w:val="none"/>
        </w:rPr>
      </w:pPr>
    </w:p>
    <w:p w14:paraId="4A993379">
      <w:pPr>
        <w:spacing w:line="288" w:lineRule="auto"/>
        <w:ind w:firstLine="480" w:firstLineChars="200"/>
        <w:jc w:val="left"/>
        <w:rPr>
          <w:rFonts w:ascii="宋体" w:hAnsi="宋体" w:cs="宋体"/>
          <w:color w:val="auto"/>
          <w:sz w:val="24"/>
          <w:szCs w:val="24"/>
          <w:highlight w:val="none"/>
        </w:rPr>
      </w:pPr>
    </w:p>
    <w:p w14:paraId="5351ED2A">
      <w:pPr>
        <w:spacing w:line="288" w:lineRule="auto"/>
        <w:ind w:firstLine="480" w:firstLineChars="200"/>
        <w:jc w:val="left"/>
        <w:rPr>
          <w:rFonts w:ascii="宋体" w:hAnsi="宋体" w:cs="宋体"/>
          <w:color w:val="auto"/>
          <w:sz w:val="24"/>
          <w:szCs w:val="24"/>
          <w:highlight w:val="none"/>
        </w:rPr>
      </w:pPr>
    </w:p>
    <w:p w14:paraId="6EA6078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4838A44B">
      <w:pPr>
        <w:widowControl/>
        <w:snapToGrid w:val="0"/>
        <w:spacing w:line="324" w:lineRule="auto"/>
        <w:ind w:firstLine="480" w:firstLineChars="200"/>
        <w:jc w:val="left"/>
        <w:rPr>
          <w:rFonts w:ascii="宋体"/>
          <w:color w:val="auto"/>
          <w:sz w:val="24"/>
          <w:szCs w:val="24"/>
          <w:highlight w:val="none"/>
        </w:rPr>
      </w:pPr>
    </w:p>
    <w:p w14:paraId="16A627FD">
      <w:pPr>
        <w:pStyle w:val="3"/>
        <w:spacing w:line="360" w:lineRule="auto"/>
        <w:jc w:val="center"/>
        <w:rPr>
          <w:rFonts w:hAnsi="宋体" w:cs="Times New Roman"/>
          <w:color w:val="auto"/>
          <w:sz w:val="24"/>
          <w:szCs w:val="24"/>
          <w:highlight w:val="none"/>
        </w:rPr>
      </w:pPr>
    </w:p>
    <w:p w14:paraId="77801FF9">
      <w:pPr>
        <w:pStyle w:val="3"/>
        <w:spacing w:line="360" w:lineRule="auto"/>
        <w:jc w:val="center"/>
        <w:rPr>
          <w:rFonts w:hAnsi="宋体" w:cs="Times New Roman"/>
          <w:color w:val="auto"/>
          <w:sz w:val="24"/>
          <w:szCs w:val="24"/>
          <w:highlight w:val="none"/>
        </w:rPr>
      </w:pPr>
    </w:p>
    <w:p w14:paraId="64F8813D">
      <w:pPr>
        <w:jc w:val="center"/>
        <w:rPr>
          <w:color w:val="auto"/>
          <w:highlight w:val="none"/>
          <w:lang w:val="zh-CN"/>
        </w:rPr>
      </w:pPr>
      <w:bookmarkStart w:id="93" w:name="_Toc2071"/>
      <w:bookmarkStart w:id="94" w:name="_Toc30916"/>
      <w:bookmarkStart w:id="95" w:name="_Toc3295"/>
      <w:r>
        <w:rPr>
          <w:rFonts w:hAnsi="宋体"/>
          <w:color w:val="auto"/>
          <w:highlight w:val="none"/>
        </w:rPr>
        <w:br w:type="page"/>
      </w:r>
      <w:bookmarkEnd w:id="93"/>
      <w:bookmarkEnd w:id="94"/>
      <w:bookmarkEnd w:id="95"/>
    </w:p>
    <w:p w14:paraId="1D99022B">
      <w:pPr>
        <w:rPr>
          <w:b/>
          <w:bCs/>
          <w:color w:val="auto"/>
          <w:sz w:val="24"/>
          <w:szCs w:val="24"/>
          <w:highlight w:val="none"/>
          <w:lang w:val="zh-CN"/>
        </w:rPr>
      </w:pPr>
      <w:bookmarkStart w:id="96" w:name="_Toc9715"/>
      <w:bookmarkStart w:id="97" w:name="_Toc31472"/>
      <w:bookmarkStart w:id="98" w:name="_Toc25017"/>
      <w:bookmarkStart w:id="99" w:name="_Toc16150"/>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四</w:t>
      </w:r>
      <w:r>
        <w:rPr>
          <w:rFonts w:hint="eastAsia" w:cs="宋体"/>
          <w:b/>
          <w:bCs/>
          <w:color w:val="auto"/>
          <w:sz w:val="24"/>
          <w:szCs w:val="24"/>
          <w:highlight w:val="none"/>
        </w:rPr>
        <w:t>：</w:t>
      </w:r>
    </w:p>
    <w:p w14:paraId="4E86C0C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96"/>
      <w:bookmarkEnd w:id="97"/>
      <w:bookmarkEnd w:id="98"/>
      <w:bookmarkEnd w:id="99"/>
    </w:p>
    <w:p w14:paraId="37F8A889">
      <w:pPr>
        <w:widowControl/>
        <w:snapToGrid w:val="0"/>
        <w:spacing w:line="324" w:lineRule="auto"/>
        <w:ind w:firstLine="480" w:firstLineChars="200"/>
        <w:jc w:val="center"/>
        <w:rPr>
          <w:rFonts w:ascii="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54B2F4BD">
      <w:pPr>
        <w:spacing w:line="588" w:lineRule="exact"/>
        <w:rPr>
          <w:rFonts w:ascii="宋体"/>
          <w:b/>
          <w:bCs/>
          <w:color w:val="auto"/>
          <w:spacing w:val="6"/>
          <w:sz w:val="30"/>
          <w:szCs w:val="30"/>
          <w:highlight w:val="none"/>
        </w:rPr>
      </w:pPr>
    </w:p>
    <w:p w14:paraId="69A9A587">
      <w:pPr>
        <w:spacing w:line="588"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民政部</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项目采购活动提供本单位服务，或者提供其他残疾人福利性单位提供的服务。本单位对上述声明的真实性负责。如有虚假，将依法承担相应责任。</w:t>
      </w:r>
    </w:p>
    <w:p w14:paraId="56E32FE3">
      <w:pPr>
        <w:pStyle w:val="3"/>
        <w:rPr>
          <w:rFonts w:cs="Times New Roman"/>
          <w:color w:val="auto"/>
          <w:highlight w:val="none"/>
        </w:rPr>
      </w:pPr>
    </w:p>
    <w:p w14:paraId="1F7A6BAF">
      <w:pPr>
        <w:pStyle w:val="4"/>
        <w:rPr>
          <w:color w:val="auto"/>
          <w:highlight w:val="none"/>
        </w:rPr>
      </w:pPr>
    </w:p>
    <w:p w14:paraId="74F0514F">
      <w:pPr>
        <w:spacing w:line="588" w:lineRule="exact"/>
        <w:rPr>
          <w:rFonts w:ascii="宋体"/>
          <w:color w:val="auto"/>
          <w:sz w:val="24"/>
          <w:szCs w:val="24"/>
          <w:highlight w:val="none"/>
        </w:rPr>
      </w:pPr>
    </w:p>
    <w:p w14:paraId="55AB835B">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00B839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EB2AE7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1F9099E">
      <w:pPr>
        <w:rPr>
          <w:b/>
          <w:bCs/>
          <w:color w:val="auto"/>
          <w:sz w:val="24"/>
          <w:szCs w:val="24"/>
          <w:highlight w:val="none"/>
          <w:lang w:val="zh-CN"/>
        </w:rPr>
      </w:pPr>
      <w:bookmarkStart w:id="100" w:name="_Toc24"/>
      <w:bookmarkStart w:id="101" w:name="_Toc5441"/>
      <w:bookmarkStart w:id="102" w:name="_Toc2386"/>
      <w:bookmarkStart w:id="103" w:name="_Toc15966"/>
      <w:r>
        <w:rPr>
          <w:color w:val="auto"/>
          <w:sz w:val="24"/>
          <w:szCs w:val="24"/>
          <w:highlight w:val="none"/>
          <w:lang w:val="zh-CN"/>
        </w:rPr>
        <w:br w:type="page"/>
      </w: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五</w:t>
      </w:r>
      <w:r>
        <w:rPr>
          <w:rFonts w:hint="eastAsia" w:cs="宋体"/>
          <w:b/>
          <w:bCs/>
          <w:color w:val="auto"/>
          <w:sz w:val="24"/>
          <w:szCs w:val="24"/>
          <w:highlight w:val="none"/>
        </w:rPr>
        <w:t>：</w:t>
      </w:r>
    </w:p>
    <w:p w14:paraId="61026C6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监狱企业证明文件</w:t>
      </w:r>
      <w:bookmarkEnd w:id="100"/>
      <w:bookmarkEnd w:id="101"/>
      <w:bookmarkEnd w:id="102"/>
      <w:bookmarkEnd w:id="103"/>
    </w:p>
    <w:p w14:paraId="499685C7">
      <w:pPr>
        <w:widowControl/>
        <w:snapToGri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0E71EA40">
      <w:pPr>
        <w:widowControl/>
        <w:snapToGrid w:val="0"/>
        <w:spacing w:line="324" w:lineRule="auto"/>
        <w:jc w:val="center"/>
        <w:rPr>
          <w:rFonts w:ascii="宋体"/>
          <w:color w:val="auto"/>
          <w:kern w:val="0"/>
          <w:sz w:val="24"/>
          <w:szCs w:val="24"/>
          <w:highlight w:val="none"/>
        </w:rPr>
      </w:pPr>
    </w:p>
    <w:p w14:paraId="316197FC">
      <w:pPr>
        <w:spacing w:line="588" w:lineRule="exact"/>
        <w:ind w:firstLine="480" w:firstLineChars="200"/>
        <w:rPr>
          <w:rFonts w:ascii="宋体"/>
          <w:color w:val="auto"/>
          <w:sz w:val="24"/>
          <w:szCs w:val="24"/>
          <w:highlight w:val="none"/>
        </w:rPr>
      </w:pPr>
    </w:p>
    <w:p w14:paraId="4B5ED79C">
      <w:pPr>
        <w:adjustRightInd w:val="0"/>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r>
        <w:rPr>
          <w:rFonts w:ascii="宋体" w:hAnsi="宋体" w:cs="宋体"/>
          <w:color w:val="auto"/>
          <w:sz w:val="24"/>
          <w:szCs w:val="24"/>
          <w:highlight w:val="none"/>
        </w:rPr>
        <w:t xml:space="preserve">  </w:t>
      </w:r>
    </w:p>
    <w:p w14:paraId="618BCF08">
      <w:pPr>
        <w:pStyle w:val="3"/>
        <w:rPr>
          <w:rFonts w:cs="Times New Roman"/>
          <w:color w:val="auto"/>
          <w:highlight w:val="none"/>
        </w:rPr>
      </w:pPr>
    </w:p>
    <w:p w14:paraId="73E84BE7">
      <w:pPr>
        <w:pStyle w:val="4"/>
        <w:rPr>
          <w:color w:val="auto"/>
          <w:highlight w:val="none"/>
        </w:rPr>
      </w:pPr>
    </w:p>
    <w:p w14:paraId="149C468A">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093E67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556A28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63625EF">
      <w:pPr>
        <w:pStyle w:val="10"/>
        <w:ind w:firstLine="0" w:firstLineChars="0"/>
        <w:rPr>
          <w:color w:val="auto"/>
          <w:highlight w:val="none"/>
        </w:rPr>
      </w:pPr>
    </w:p>
    <w:p w14:paraId="57876F67">
      <w:pPr>
        <w:rPr>
          <w:rFonts w:ascii="宋体" w:hAnsi="宋体" w:cs="宋体"/>
          <w:color w:val="auto"/>
          <w:sz w:val="24"/>
          <w:szCs w:val="24"/>
          <w:highlight w:val="none"/>
        </w:rPr>
      </w:pPr>
    </w:p>
    <w:p w14:paraId="15551314">
      <w:pPr>
        <w:spacing w:line="360" w:lineRule="auto"/>
        <w:ind w:left="3780" w:leftChars="1800" w:firstLine="480" w:firstLineChars="200"/>
        <w:rPr>
          <w:rFonts w:ascii="宋体"/>
          <w:color w:val="auto"/>
          <w:sz w:val="24"/>
          <w:szCs w:val="24"/>
          <w:highlight w:val="none"/>
        </w:rPr>
      </w:pPr>
    </w:p>
    <w:p w14:paraId="5F0BE399">
      <w:pPr>
        <w:pStyle w:val="4"/>
        <w:rPr>
          <w:rFonts w:ascii="宋体"/>
          <w:color w:val="auto"/>
          <w:sz w:val="24"/>
          <w:szCs w:val="24"/>
          <w:highlight w:val="none"/>
        </w:rPr>
      </w:pPr>
    </w:p>
    <w:p w14:paraId="270C6B98">
      <w:pPr>
        <w:rPr>
          <w:rFonts w:ascii="宋体"/>
          <w:color w:val="auto"/>
          <w:sz w:val="24"/>
          <w:szCs w:val="24"/>
          <w:highlight w:val="none"/>
        </w:rPr>
      </w:pPr>
    </w:p>
    <w:p w14:paraId="5B46C6EC">
      <w:pPr>
        <w:pStyle w:val="4"/>
        <w:rPr>
          <w:rFonts w:ascii="宋体"/>
          <w:color w:val="auto"/>
          <w:sz w:val="24"/>
          <w:szCs w:val="24"/>
          <w:highlight w:val="none"/>
        </w:rPr>
      </w:pPr>
    </w:p>
    <w:p w14:paraId="3D1F9C3B">
      <w:pPr>
        <w:rPr>
          <w:rFonts w:ascii="宋体"/>
          <w:color w:val="auto"/>
          <w:sz w:val="24"/>
          <w:szCs w:val="24"/>
          <w:highlight w:val="none"/>
        </w:rPr>
      </w:pPr>
    </w:p>
    <w:p w14:paraId="3389214C">
      <w:pPr>
        <w:pStyle w:val="4"/>
        <w:rPr>
          <w:rFonts w:ascii="宋体"/>
          <w:color w:val="auto"/>
          <w:sz w:val="24"/>
          <w:szCs w:val="24"/>
          <w:highlight w:val="none"/>
        </w:rPr>
      </w:pPr>
    </w:p>
    <w:p w14:paraId="76822BB5">
      <w:pPr>
        <w:rPr>
          <w:rFonts w:ascii="宋体"/>
          <w:color w:val="auto"/>
          <w:sz w:val="24"/>
          <w:szCs w:val="24"/>
          <w:highlight w:val="none"/>
        </w:rPr>
      </w:pPr>
    </w:p>
    <w:p w14:paraId="4E9D4E8E">
      <w:pPr>
        <w:pStyle w:val="4"/>
        <w:rPr>
          <w:rFonts w:ascii="宋体"/>
          <w:color w:val="auto"/>
          <w:sz w:val="24"/>
          <w:szCs w:val="24"/>
          <w:highlight w:val="none"/>
        </w:rPr>
      </w:pPr>
    </w:p>
    <w:p w14:paraId="7775F614">
      <w:pPr>
        <w:rPr>
          <w:rFonts w:ascii="宋体"/>
          <w:color w:val="auto"/>
          <w:sz w:val="24"/>
          <w:szCs w:val="24"/>
          <w:highlight w:val="none"/>
        </w:rPr>
      </w:pPr>
    </w:p>
    <w:p w14:paraId="156F2CDB">
      <w:pPr>
        <w:pStyle w:val="4"/>
        <w:rPr>
          <w:rFonts w:ascii="宋体"/>
          <w:color w:val="auto"/>
          <w:sz w:val="24"/>
          <w:szCs w:val="24"/>
          <w:highlight w:val="none"/>
        </w:rPr>
      </w:pPr>
    </w:p>
    <w:p w14:paraId="0374E8E1">
      <w:pPr>
        <w:rPr>
          <w:rFonts w:ascii="宋体"/>
          <w:color w:val="auto"/>
          <w:sz w:val="24"/>
          <w:szCs w:val="24"/>
          <w:highlight w:val="none"/>
        </w:rPr>
      </w:pPr>
    </w:p>
    <w:p w14:paraId="7EC9A29D">
      <w:pPr>
        <w:pStyle w:val="4"/>
        <w:rPr>
          <w:rFonts w:ascii="宋体"/>
          <w:color w:val="auto"/>
          <w:sz w:val="24"/>
          <w:szCs w:val="24"/>
          <w:highlight w:val="none"/>
        </w:rPr>
      </w:pPr>
    </w:p>
    <w:p w14:paraId="57ABC5F8">
      <w:pPr>
        <w:rPr>
          <w:rFonts w:ascii="宋体"/>
          <w:color w:val="auto"/>
          <w:sz w:val="24"/>
          <w:szCs w:val="24"/>
          <w:highlight w:val="none"/>
        </w:rPr>
      </w:pPr>
    </w:p>
    <w:p w14:paraId="463F360F">
      <w:pPr>
        <w:pStyle w:val="4"/>
        <w:rPr>
          <w:rFonts w:ascii="宋体"/>
          <w:color w:val="auto"/>
          <w:sz w:val="24"/>
          <w:szCs w:val="24"/>
          <w:highlight w:val="none"/>
        </w:rPr>
      </w:pPr>
    </w:p>
    <w:p w14:paraId="50516ABB">
      <w:pPr>
        <w:rPr>
          <w:rFonts w:ascii="宋体"/>
          <w:color w:val="auto"/>
          <w:sz w:val="24"/>
          <w:szCs w:val="24"/>
          <w:highlight w:val="none"/>
        </w:rPr>
      </w:pPr>
    </w:p>
    <w:p w14:paraId="21B92DA4">
      <w:pPr>
        <w:pStyle w:val="4"/>
        <w:rPr>
          <w:rFonts w:ascii="宋体"/>
          <w:color w:val="auto"/>
          <w:sz w:val="24"/>
          <w:szCs w:val="24"/>
          <w:highlight w:val="none"/>
        </w:rPr>
      </w:pPr>
    </w:p>
    <w:p w14:paraId="2F3DA68C">
      <w:pPr>
        <w:rPr>
          <w:rFonts w:ascii="宋体"/>
          <w:color w:val="auto"/>
          <w:sz w:val="24"/>
          <w:szCs w:val="24"/>
          <w:highlight w:val="none"/>
        </w:rPr>
      </w:pPr>
    </w:p>
    <w:p w14:paraId="23718F11">
      <w:pPr>
        <w:pStyle w:val="4"/>
        <w:rPr>
          <w:rFonts w:ascii="宋体"/>
          <w:color w:val="auto"/>
          <w:sz w:val="24"/>
          <w:szCs w:val="24"/>
          <w:highlight w:val="none"/>
        </w:rPr>
      </w:pPr>
    </w:p>
    <w:p w14:paraId="4BC85142">
      <w:pPr>
        <w:rPr>
          <w:rFonts w:ascii="宋体"/>
          <w:color w:val="auto"/>
          <w:sz w:val="24"/>
          <w:szCs w:val="24"/>
          <w:highlight w:val="none"/>
        </w:rPr>
      </w:pPr>
    </w:p>
    <w:p w14:paraId="19B2B4A0">
      <w:pPr>
        <w:pStyle w:val="4"/>
        <w:rPr>
          <w:rFonts w:ascii="宋体"/>
          <w:color w:val="auto"/>
          <w:sz w:val="24"/>
          <w:szCs w:val="24"/>
          <w:highlight w:val="none"/>
        </w:rPr>
      </w:pPr>
    </w:p>
    <w:p w14:paraId="1032268B">
      <w:pPr>
        <w:rPr>
          <w:rFonts w:ascii="宋体"/>
          <w:color w:val="auto"/>
          <w:sz w:val="24"/>
          <w:szCs w:val="24"/>
          <w:highlight w:val="none"/>
        </w:rPr>
      </w:pPr>
    </w:p>
    <w:p w14:paraId="14DE778B">
      <w:pPr>
        <w:pStyle w:val="4"/>
        <w:rPr>
          <w:color w:val="auto"/>
          <w:highlight w:val="none"/>
        </w:rPr>
      </w:pPr>
    </w:p>
    <w:p w14:paraId="70BA0CC7">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545EA030">
      <w:pPr>
        <w:spacing w:line="360" w:lineRule="auto"/>
        <w:jc w:val="center"/>
        <w:rPr>
          <w:rFonts w:ascii="宋体"/>
          <w:b/>
          <w:bCs/>
          <w:color w:val="auto"/>
          <w:kern w:val="0"/>
          <w:sz w:val="36"/>
          <w:szCs w:val="36"/>
          <w:highlight w:val="none"/>
        </w:rPr>
      </w:pPr>
    </w:p>
    <w:p w14:paraId="5B9AFEB4">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11174EDC">
      <w:pPr>
        <w:pStyle w:val="12"/>
        <w:ind w:left="426" w:firstLine="486"/>
        <w:rPr>
          <w:rFonts w:cs="Times New Roman"/>
          <w:color w:val="auto"/>
          <w:highlight w:val="none"/>
        </w:rPr>
      </w:pPr>
    </w:p>
    <w:p w14:paraId="0FA63ED4">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14:paraId="30949B74">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供应商商务技术文件中资信分自评表（格式见附件）；</w:t>
      </w:r>
    </w:p>
    <w:p w14:paraId="33E6CDBE">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磋商项目明细清单（格式见附件）；</w:t>
      </w:r>
    </w:p>
    <w:p w14:paraId="032FE5FC">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技术响应及建议表（格式见附件）；</w:t>
      </w:r>
    </w:p>
    <w:p w14:paraId="453D07BB">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商务响应表（格式见附件）；</w:t>
      </w:r>
    </w:p>
    <w:p w14:paraId="25A5CD6E">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项目理解；</w:t>
      </w:r>
    </w:p>
    <w:p w14:paraId="3B0A1879">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技术服务方案；</w:t>
      </w:r>
    </w:p>
    <w:p w14:paraId="79FB0D1C">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应急处置方案；</w:t>
      </w:r>
    </w:p>
    <w:p w14:paraId="744FE8ED">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固定工作场所；</w:t>
      </w:r>
    </w:p>
    <w:p w14:paraId="5A9DACB3">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拟投入设备情况；</w:t>
      </w:r>
    </w:p>
    <w:p w14:paraId="35730B7A">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项目组人员配置；</w:t>
      </w:r>
    </w:p>
    <w:p w14:paraId="508AC086">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管理制度；</w:t>
      </w:r>
    </w:p>
    <w:p w14:paraId="3E22E134">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质量保障措施及服务承诺；</w:t>
      </w:r>
    </w:p>
    <w:p w14:paraId="4FF01D65">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p w14:paraId="4BDBD80C">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供应商业绩；</w:t>
      </w:r>
    </w:p>
    <w:p w14:paraId="08A15805">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认证证书；</w:t>
      </w:r>
    </w:p>
    <w:p w14:paraId="7470E4B4">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供应商实力；</w:t>
      </w:r>
    </w:p>
    <w:p w14:paraId="5FB9893E">
      <w:pPr>
        <w:numPr>
          <w:ilvl w:val="0"/>
          <w:numId w:val="2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项目组人员清单（格式见附件）；</w:t>
      </w:r>
    </w:p>
    <w:p w14:paraId="213756B8">
      <w:pPr>
        <w:numPr>
          <w:ilvl w:val="0"/>
          <w:numId w:val="2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供应商认为需要的其他文件资料。</w:t>
      </w:r>
    </w:p>
    <w:p w14:paraId="02E46974">
      <w:pPr>
        <w:rPr>
          <w:rFonts w:ascii="宋体"/>
          <w:color w:val="auto"/>
          <w:sz w:val="28"/>
          <w:szCs w:val="28"/>
          <w:highlight w:val="none"/>
        </w:rPr>
      </w:pPr>
    </w:p>
    <w:p w14:paraId="3868F107">
      <w:pPr>
        <w:pStyle w:val="3"/>
        <w:rPr>
          <w:rFonts w:ascii="宋体"/>
          <w:color w:val="auto"/>
          <w:sz w:val="28"/>
          <w:szCs w:val="28"/>
          <w:highlight w:val="none"/>
        </w:rPr>
      </w:pPr>
    </w:p>
    <w:p w14:paraId="2EFA7D8D">
      <w:pPr>
        <w:rPr>
          <w:rFonts w:ascii="宋体"/>
          <w:color w:val="auto"/>
          <w:sz w:val="28"/>
          <w:szCs w:val="28"/>
          <w:highlight w:val="none"/>
        </w:rPr>
      </w:pPr>
      <w:r>
        <w:rPr>
          <w:rFonts w:ascii="宋体"/>
          <w:color w:val="auto"/>
          <w:sz w:val="28"/>
          <w:szCs w:val="28"/>
          <w:highlight w:val="none"/>
        </w:rPr>
        <w:br w:type="page"/>
      </w:r>
    </w:p>
    <w:p w14:paraId="73B218DE">
      <w:pPr>
        <w:snapToGrid w:val="0"/>
        <w:spacing w:before="50" w:after="50"/>
        <w:jc w:val="left"/>
        <w:rPr>
          <w:rFonts w:ascii="宋体"/>
          <w:b/>
          <w:bCs/>
          <w:color w:val="auto"/>
          <w:sz w:val="24"/>
          <w:szCs w:val="24"/>
          <w:highlight w:val="none"/>
          <w:lang w:val="zh-CN"/>
        </w:rPr>
      </w:pPr>
      <w:bookmarkStart w:id="104" w:name="_Toc10131"/>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lang w:val="zh-CN"/>
        </w:rPr>
        <w:t>：</w:t>
      </w:r>
    </w:p>
    <w:p w14:paraId="52BD747D">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评分对应表</w:t>
      </w:r>
    </w:p>
    <w:p w14:paraId="02287B02">
      <w:pPr>
        <w:snapToGrid w:val="0"/>
        <w:spacing w:before="50"/>
        <w:jc w:val="center"/>
        <w:rPr>
          <w:rFonts w:ascii="宋体"/>
          <w:b/>
          <w:bCs/>
          <w:color w:val="auto"/>
          <w:sz w:val="32"/>
          <w:szCs w:val="32"/>
          <w:highlight w:val="none"/>
        </w:rPr>
      </w:pPr>
    </w:p>
    <w:p w14:paraId="4B1EE33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925A62F">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29CF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4077E8F">
            <w:pPr>
              <w:jc w:val="center"/>
              <w:rPr>
                <w:rFonts w:ascii="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B739BB7">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799AF5DD">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3DA55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3E996F9">
            <w:pPr>
              <w:jc w:val="center"/>
              <w:rPr>
                <w:rFonts w:ascii="宋体"/>
                <w:color w:val="auto"/>
                <w:sz w:val="24"/>
                <w:szCs w:val="24"/>
                <w:highlight w:val="none"/>
              </w:rPr>
            </w:pPr>
            <w:r>
              <w:rPr>
                <w:rFonts w:hint="eastAsia" w:ascii="宋体" w:hAnsi="宋体" w:cs="宋体"/>
                <w:color w:val="auto"/>
                <w:sz w:val="24"/>
                <w:szCs w:val="24"/>
                <w:highlight w:val="none"/>
              </w:rPr>
              <w:t>对应评分办法及评分标准</w:t>
            </w:r>
          </w:p>
          <w:p w14:paraId="3A7977B5">
            <w:pPr>
              <w:jc w:val="center"/>
              <w:rPr>
                <w:rFonts w:ascii="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22BFC799">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480DE94">
            <w:pPr>
              <w:jc w:val="center"/>
              <w:rPr>
                <w:rFonts w:ascii="宋体"/>
                <w:color w:val="auto"/>
                <w:sz w:val="24"/>
                <w:szCs w:val="24"/>
                <w:highlight w:val="none"/>
              </w:rPr>
            </w:pPr>
          </w:p>
        </w:tc>
      </w:tr>
      <w:tr w14:paraId="789FC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B03F86E">
            <w:pPr>
              <w:jc w:val="center"/>
              <w:rPr>
                <w:rFonts w:ascii="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0C262073">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D8FB2BD">
            <w:pPr>
              <w:jc w:val="center"/>
              <w:rPr>
                <w:rFonts w:ascii="宋体"/>
                <w:color w:val="auto"/>
                <w:sz w:val="24"/>
                <w:szCs w:val="24"/>
                <w:highlight w:val="none"/>
              </w:rPr>
            </w:pPr>
          </w:p>
        </w:tc>
      </w:tr>
      <w:tr w14:paraId="2F4FA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F21B028">
            <w:pPr>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6C5CD6C">
            <w:pPr>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B614120">
            <w:pPr>
              <w:jc w:val="center"/>
              <w:rPr>
                <w:rFonts w:ascii="宋体"/>
                <w:color w:val="auto"/>
                <w:sz w:val="24"/>
                <w:szCs w:val="24"/>
                <w:highlight w:val="none"/>
              </w:rPr>
            </w:pPr>
          </w:p>
        </w:tc>
      </w:tr>
      <w:tr w14:paraId="1832E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120620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6667AE8">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4FBBA45">
            <w:pPr>
              <w:spacing w:line="360" w:lineRule="auto"/>
              <w:ind w:firstLine="480" w:firstLineChars="200"/>
              <w:jc w:val="center"/>
              <w:rPr>
                <w:rFonts w:ascii="宋体"/>
                <w:color w:val="auto"/>
                <w:sz w:val="24"/>
                <w:szCs w:val="24"/>
                <w:highlight w:val="none"/>
              </w:rPr>
            </w:pPr>
          </w:p>
        </w:tc>
      </w:tr>
      <w:tr w14:paraId="50954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41804CC">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95C28B7">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7F6D3B1">
            <w:pPr>
              <w:spacing w:line="360" w:lineRule="auto"/>
              <w:ind w:firstLine="480" w:firstLineChars="200"/>
              <w:jc w:val="center"/>
              <w:rPr>
                <w:rFonts w:ascii="宋体"/>
                <w:color w:val="auto"/>
                <w:sz w:val="24"/>
                <w:szCs w:val="24"/>
                <w:highlight w:val="none"/>
              </w:rPr>
            </w:pPr>
          </w:p>
        </w:tc>
      </w:tr>
      <w:tr w14:paraId="71F66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D73E30F">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98FC67E">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FDC9C0A">
            <w:pPr>
              <w:spacing w:line="360" w:lineRule="auto"/>
              <w:ind w:firstLine="480" w:firstLineChars="200"/>
              <w:jc w:val="center"/>
              <w:rPr>
                <w:rFonts w:ascii="宋体"/>
                <w:color w:val="auto"/>
                <w:sz w:val="24"/>
                <w:szCs w:val="24"/>
                <w:highlight w:val="none"/>
              </w:rPr>
            </w:pPr>
          </w:p>
        </w:tc>
      </w:tr>
      <w:tr w14:paraId="40A6D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F893A2">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2319811">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41603C0">
            <w:pPr>
              <w:spacing w:line="360" w:lineRule="auto"/>
              <w:ind w:firstLine="480" w:firstLineChars="200"/>
              <w:jc w:val="center"/>
              <w:rPr>
                <w:rFonts w:ascii="宋体"/>
                <w:color w:val="auto"/>
                <w:sz w:val="24"/>
                <w:szCs w:val="24"/>
                <w:highlight w:val="none"/>
              </w:rPr>
            </w:pPr>
          </w:p>
        </w:tc>
      </w:tr>
      <w:tr w14:paraId="66858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068347B">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025EE58">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6FD2670">
            <w:pPr>
              <w:spacing w:line="360" w:lineRule="auto"/>
              <w:ind w:firstLine="480" w:firstLineChars="200"/>
              <w:jc w:val="center"/>
              <w:rPr>
                <w:rFonts w:ascii="宋体"/>
                <w:color w:val="auto"/>
                <w:sz w:val="24"/>
                <w:szCs w:val="24"/>
                <w:highlight w:val="none"/>
              </w:rPr>
            </w:pPr>
          </w:p>
        </w:tc>
      </w:tr>
      <w:tr w14:paraId="26137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2A5B445">
            <w:pPr>
              <w:spacing w:line="360" w:lineRule="auto"/>
              <w:ind w:firstLine="480" w:firstLineChars="200"/>
              <w:jc w:val="center"/>
              <w:rPr>
                <w:rFonts w:ascii="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5ADF83E">
            <w:pPr>
              <w:spacing w:line="360" w:lineRule="auto"/>
              <w:ind w:firstLine="480" w:firstLineChars="200"/>
              <w:jc w:val="center"/>
              <w:rPr>
                <w:rFonts w:ascii="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0EDBAF5">
            <w:pPr>
              <w:spacing w:line="360" w:lineRule="auto"/>
              <w:ind w:firstLine="480" w:firstLineChars="200"/>
              <w:jc w:val="center"/>
              <w:rPr>
                <w:rFonts w:ascii="宋体"/>
                <w:color w:val="auto"/>
                <w:sz w:val="24"/>
                <w:szCs w:val="24"/>
                <w:highlight w:val="none"/>
              </w:rPr>
            </w:pPr>
          </w:p>
        </w:tc>
      </w:tr>
    </w:tbl>
    <w:p w14:paraId="713D06C8">
      <w:pPr>
        <w:spacing w:line="360" w:lineRule="auto"/>
        <w:ind w:firstLine="480" w:firstLineChars="200"/>
        <w:rPr>
          <w:rFonts w:ascii="宋体"/>
          <w:color w:val="auto"/>
          <w:sz w:val="24"/>
          <w:szCs w:val="24"/>
          <w:highlight w:val="none"/>
        </w:rPr>
      </w:pPr>
    </w:p>
    <w:p w14:paraId="4F2AC393">
      <w:pPr>
        <w:spacing w:line="360" w:lineRule="auto"/>
        <w:ind w:left="3780" w:leftChars="1800" w:firstLine="480" w:firstLineChars="200"/>
        <w:rPr>
          <w:rFonts w:ascii="宋体"/>
          <w:color w:val="auto"/>
          <w:sz w:val="24"/>
          <w:szCs w:val="24"/>
          <w:highlight w:val="none"/>
        </w:rPr>
      </w:pPr>
    </w:p>
    <w:p w14:paraId="78763F4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BF2D58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1149F8E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C379633">
      <w:pPr>
        <w:rPr>
          <w:color w:val="auto"/>
          <w:highlight w:val="none"/>
          <w:lang w:val="zh-CN"/>
        </w:rPr>
      </w:pPr>
    </w:p>
    <w:p w14:paraId="4141A9CB">
      <w:pPr>
        <w:rPr>
          <w:b/>
          <w:bCs/>
          <w:color w:val="auto"/>
          <w:sz w:val="24"/>
          <w:szCs w:val="24"/>
          <w:highlight w:val="none"/>
          <w:lang w:val="zh-CN"/>
        </w:rPr>
      </w:pPr>
      <w:r>
        <w:rPr>
          <w:rFonts w:hint="eastAsia" w:cs="宋体"/>
          <w:b/>
          <w:bCs/>
          <w:color w:val="auto"/>
          <w:sz w:val="24"/>
          <w:szCs w:val="24"/>
          <w:highlight w:val="none"/>
          <w:lang w:val="zh-CN"/>
        </w:rPr>
        <w:t>附件</w:t>
      </w:r>
      <w:r>
        <w:rPr>
          <w:rFonts w:hint="eastAsia" w:cs="宋体"/>
          <w:b/>
          <w:bCs/>
          <w:color w:val="auto"/>
          <w:sz w:val="24"/>
          <w:szCs w:val="24"/>
          <w:highlight w:val="none"/>
          <w:lang w:val="en-US" w:eastAsia="zh-CN"/>
        </w:rPr>
        <w:t>七</w:t>
      </w:r>
      <w:r>
        <w:rPr>
          <w:rFonts w:hint="eastAsia" w:cs="宋体"/>
          <w:b/>
          <w:bCs/>
          <w:color w:val="auto"/>
          <w:sz w:val="24"/>
          <w:szCs w:val="24"/>
          <w:highlight w:val="none"/>
        </w:rPr>
        <w:t>：</w:t>
      </w:r>
    </w:p>
    <w:p w14:paraId="343E84C5">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04"/>
    </w:p>
    <w:p w14:paraId="60F71076">
      <w:pPr>
        <w:snapToGrid w:val="0"/>
        <w:spacing w:before="50"/>
        <w:jc w:val="center"/>
        <w:rPr>
          <w:rFonts w:ascii="宋体"/>
          <w:b/>
          <w:bCs/>
          <w:color w:val="auto"/>
          <w:sz w:val="32"/>
          <w:szCs w:val="32"/>
          <w:highlight w:val="none"/>
        </w:rPr>
      </w:pPr>
    </w:p>
    <w:p w14:paraId="6D882A8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6B05ED0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727EB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98C65C">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4EEE9D3C">
            <w:pPr>
              <w:jc w:val="center"/>
              <w:rPr>
                <w:rFonts w:ascii="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0E7D978C">
            <w:pPr>
              <w:jc w:val="center"/>
              <w:rPr>
                <w:rFonts w:ascii="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714E034D">
            <w:pPr>
              <w:jc w:val="center"/>
              <w:rPr>
                <w:rFonts w:ascii="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30F04B1B">
            <w:pPr>
              <w:jc w:val="center"/>
              <w:rPr>
                <w:rFonts w:ascii="宋体"/>
                <w:color w:val="auto"/>
                <w:sz w:val="24"/>
                <w:szCs w:val="24"/>
                <w:highlight w:val="none"/>
              </w:rPr>
            </w:pPr>
            <w:r>
              <w:rPr>
                <w:rFonts w:hint="eastAsia" w:ascii="宋体" w:hAnsi="宋体" w:cs="宋体"/>
                <w:color w:val="auto"/>
                <w:sz w:val="24"/>
                <w:szCs w:val="24"/>
                <w:highlight w:val="none"/>
              </w:rPr>
              <w:t>响应文件页码</w:t>
            </w:r>
          </w:p>
        </w:tc>
      </w:tr>
      <w:tr w14:paraId="62993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0B00336">
            <w:pPr>
              <w:jc w:val="center"/>
              <w:rPr>
                <w:rFonts w:ascii="宋体"/>
                <w:color w:val="auto"/>
                <w:sz w:val="24"/>
                <w:szCs w:val="24"/>
                <w:highlight w:val="none"/>
              </w:rPr>
            </w:pPr>
            <w:r>
              <w:rPr>
                <w:rFonts w:ascii="宋体" w:hAnsi="宋体" w:cs="宋体"/>
                <w:color w:val="auto"/>
                <w:sz w:val="24"/>
                <w:szCs w:val="24"/>
                <w:highlight w:val="none"/>
              </w:rPr>
              <w:t>1</w:t>
            </w:r>
          </w:p>
        </w:tc>
        <w:tc>
          <w:tcPr>
            <w:tcW w:w="2387" w:type="dxa"/>
          </w:tcPr>
          <w:p w14:paraId="75BC1969">
            <w:pPr>
              <w:jc w:val="center"/>
              <w:rPr>
                <w:rFonts w:ascii="宋体"/>
                <w:color w:val="auto"/>
                <w:sz w:val="24"/>
                <w:szCs w:val="24"/>
                <w:highlight w:val="none"/>
              </w:rPr>
            </w:pPr>
          </w:p>
        </w:tc>
        <w:tc>
          <w:tcPr>
            <w:tcW w:w="1462" w:type="dxa"/>
          </w:tcPr>
          <w:p w14:paraId="29A06336">
            <w:pPr>
              <w:jc w:val="center"/>
              <w:rPr>
                <w:rFonts w:ascii="宋体"/>
                <w:color w:val="auto"/>
                <w:sz w:val="24"/>
                <w:szCs w:val="24"/>
                <w:highlight w:val="none"/>
              </w:rPr>
            </w:pPr>
          </w:p>
        </w:tc>
        <w:tc>
          <w:tcPr>
            <w:tcW w:w="2415" w:type="dxa"/>
            <w:tcBorders>
              <w:right w:val="single" w:color="auto" w:sz="4" w:space="0"/>
            </w:tcBorders>
          </w:tcPr>
          <w:p w14:paraId="6EA06844">
            <w:pPr>
              <w:jc w:val="center"/>
              <w:rPr>
                <w:rFonts w:ascii="宋体"/>
                <w:color w:val="auto"/>
                <w:sz w:val="24"/>
                <w:szCs w:val="24"/>
                <w:highlight w:val="none"/>
              </w:rPr>
            </w:pPr>
          </w:p>
        </w:tc>
        <w:tc>
          <w:tcPr>
            <w:tcW w:w="1746" w:type="dxa"/>
            <w:tcBorders>
              <w:left w:val="single" w:color="auto" w:sz="4" w:space="0"/>
            </w:tcBorders>
          </w:tcPr>
          <w:p w14:paraId="28486C59">
            <w:pPr>
              <w:jc w:val="center"/>
              <w:rPr>
                <w:rFonts w:ascii="宋体"/>
                <w:color w:val="auto"/>
                <w:sz w:val="24"/>
                <w:szCs w:val="24"/>
                <w:highlight w:val="none"/>
              </w:rPr>
            </w:pPr>
          </w:p>
        </w:tc>
      </w:tr>
      <w:tr w14:paraId="1614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31F86A9">
            <w:pPr>
              <w:jc w:val="center"/>
              <w:rPr>
                <w:rFonts w:ascii="宋体"/>
                <w:color w:val="auto"/>
                <w:sz w:val="24"/>
                <w:szCs w:val="24"/>
                <w:highlight w:val="none"/>
              </w:rPr>
            </w:pPr>
            <w:r>
              <w:rPr>
                <w:rFonts w:ascii="宋体" w:hAnsi="宋体" w:cs="宋体"/>
                <w:color w:val="auto"/>
                <w:sz w:val="24"/>
                <w:szCs w:val="24"/>
                <w:highlight w:val="none"/>
              </w:rPr>
              <w:t>2</w:t>
            </w:r>
          </w:p>
        </w:tc>
        <w:tc>
          <w:tcPr>
            <w:tcW w:w="2387" w:type="dxa"/>
          </w:tcPr>
          <w:p w14:paraId="06A01A69">
            <w:pPr>
              <w:jc w:val="center"/>
              <w:rPr>
                <w:rFonts w:ascii="宋体"/>
                <w:color w:val="auto"/>
                <w:sz w:val="24"/>
                <w:szCs w:val="24"/>
                <w:highlight w:val="none"/>
              </w:rPr>
            </w:pPr>
          </w:p>
        </w:tc>
        <w:tc>
          <w:tcPr>
            <w:tcW w:w="1462" w:type="dxa"/>
          </w:tcPr>
          <w:p w14:paraId="3FD31337">
            <w:pPr>
              <w:jc w:val="center"/>
              <w:rPr>
                <w:rFonts w:ascii="宋体"/>
                <w:color w:val="auto"/>
                <w:sz w:val="24"/>
                <w:szCs w:val="24"/>
                <w:highlight w:val="none"/>
              </w:rPr>
            </w:pPr>
          </w:p>
        </w:tc>
        <w:tc>
          <w:tcPr>
            <w:tcW w:w="2415" w:type="dxa"/>
            <w:tcBorders>
              <w:right w:val="single" w:color="auto" w:sz="4" w:space="0"/>
            </w:tcBorders>
          </w:tcPr>
          <w:p w14:paraId="0331320F">
            <w:pPr>
              <w:jc w:val="center"/>
              <w:rPr>
                <w:rFonts w:ascii="宋体"/>
                <w:color w:val="auto"/>
                <w:sz w:val="24"/>
                <w:szCs w:val="24"/>
                <w:highlight w:val="none"/>
              </w:rPr>
            </w:pPr>
          </w:p>
        </w:tc>
        <w:tc>
          <w:tcPr>
            <w:tcW w:w="1746" w:type="dxa"/>
            <w:tcBorders>
              <w:left w:val="single" w:color="auto" w:sz="4" w:space="0"/>
            </w:tcBorders>
          </w:tcPr>
          <w:p w14:paraId="31D4E6AB">
            <w:pPr>
              <w:jc w:val="center"/>
              <w:rPr>
                <w:rFonts w:ascii="宋体"/>
                <w:color w:val="auto"/>
                <w:sz w:val="24"/>
                <w:szCs w:val="24"/>
                <w:highlight w:val="none"/>
              </w:rPr>
            </w:pPr>
          </w:p>
        </w:tc>
      </w:tr>
      <w:tr w14:paraId="1558D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121EF02">
            <w:pPr>
              <w:jc w:val="center"/>
              <w:rPr>
                <w:rFonts w:ascii="宋体"/>
                <w:color w:val="auto"/>
                <w:sz w:val="24"/>
                <w:szCs w:val="24"/>
                <w:highlight w:val="none"/>
              </w:rPr>
            </w:pPr>
            <w:r>
              <w:rPr>
                <w:rFonts w:ascii="宋体" w:hAnsi="宋体" w:cs="宋体"/>
                <w:color w:val="auto"/>
                <w:sz w:val="24"/>
                <w:szCs w:val="24"/>
                <w:highlight w:val="none"/>
              </w:rPr>
              <w:t>3</w:t>
            </w:r>
          </w:p>
        </w:tc>
        <w:tc>
          <w:tcPr>
            <w:tcW w:w="2387" w:type="dxa"/>
          </w:tcPr>
          <w:p w14:paraId="5D53868F">
            <w:pPr>
              <w:jc w:val="center"/>
              <w:rPr>
                <w:rFonts w:ascii="宋体"/>
                <w:color w:val="auto"/>
                <w:sz w:val="24"/>
                <w:szCs w:val="24"/>
                <w:highlight w:val="none"/>
              </w:rPr>
            </w:pPr>
          </w:p>
        </w:tc>
        <w:tc>
          <w:tcPr>
            <w:tcW w:w="1462" w:type="dxa"/>
          </w:tcPr>
          <w:p w14:paraId="79642F72">
            <w:pPr>
              <w:jc w:val="center"/>
              <w:rPr>
                <w:rFonts w:ascii="宋体"/>
                <w:color w:val="auto"/>
                <w:sz w:val="24"/>
                <w:szCs w:val="24"/>
                <w:highlight w:val="none"/>
              </w:rPr>
            </w:pPr>
          </w:p>
        </w:tc>
        <w:tc>
          <w:tcPr>
            <w:tcW w:w="2415" w:type="dxa"/>
            <w:tcBorders>
              <w:right w:val="single" w:color="auto" w:sz="4" w:space="0"/>
            </w:tcBorders>
          </w:tcPr>
          <w:p w14:paraId="03CE7CC5">
            <w:pPr>
              <w:jc w:val="center"/>
              <w:rPr>
                <w:rFonts w:ascii="宋体"/>
                <w:color w:val="auto"/>
                <w:sz w:val="24"/>
                <w:szCs w:val="24"/>
                <w:highlight w:val="none"/>
              </w:rPr>
            </w:pPr>
          </w:p>
        </w:tc>
        <w:tc>
          <w:tcPr>
            <w:tcW w:w="1746" w:type="dxa"/>
            <w:tcBorders>
              <w:left w:val="single" w:color="auto" w:sz="4" w:space="0"/>
            </w:tcBorders>
          </w:tcPr>
          <w:p w14:paraId="4CA537B8">
            <w:pPr>
              <w:jc w:val="center"/>
              <w:rPr>
                <w:rFonts w:ascii="宋体"/>
                <w:color w:val="auto"/>
                <w:sz w:val="24"/>
                <w:szCs w:val="24"/>
                <w:highlight w:val="none"/>
              </w:rPr>
            </w:pPr>
          </w:p>
        </w:tc>
      </w:tr>
      <w:tr w14:paraId="4948B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0352B9A">
            <w:pPr>
              <w:jc w:val="center"/>
              <w:rPr>
                <w:rFonts w:ascii="宋体"/>
                <w:color w:val="auto"/>
                <w:sz w:val="24"/>
                <w:szCs w:val="24"/>
                <w:highlight w:val="none"/>
              </w:rPr>
            </w:pPr>
            <w:r>
              <w:rPr>
                <w:rFonts w:ascii="宋体" w:hAnsi="宋体" w:cs="宋体"/>
                <w:color w:val="auto"/>
                <w:sz w:val="24"/>
                <w:szCs w:val="24"/>
                <w:highlight w:val="none"/>
              </w:rPr>
              <w:t>4</w:t>
            </w:r>
          </w:p>
        </w:tc>
        <w:tc>
          <w:tcPr>
            <w:tcW w:w="2387" w:type="dxa"/>
          </w:tcPr>
          <w:p w14:paraId="15F005A2">
            <w:pPr>
              <w:jc w:val="center"/>
              <w:rPr>
                <w:rFonts w:ascii="宋体"/>
                <w:color w:val="auto"/>
                <w:sz w:val="24"/>
                <w:szCs w:val="24"/>
                <w:highlight w:val="none"/>
              </w:rPr>
            </w:pPr>
          </w:p>
        </w:tc>
        <w:tc>
          <w:tcPr>
            <w:tcW w:w="1462" w:type="dxa"/>
          </w:tcPr>
          <w:p w14:paraId="13CA5118">
            <w:pPr>
              <w:jc w:val="center"/>
              <w:rPr>
                <w:rFonts w:ascii="宋体"/>
                <w:color w:val="auto"/>
                <w:sz w:val="24"/>
                <w:szCs w:val="24"/>
                <w:highlight w:val="none"/>
              </w:rPr>
            </w:pPr>
          </w:p>
        </w:tc>
        <w:tc>
          <w:tcPr>
            <w:tcW w:w="2415" w:type="dxa"/>
            <w:tcBorders>
              <w:right w:val="single" w:color="auto" w:sz="4" w:space="0"/>
            </w:tcBorders>
          </w:tcPr>
          <w:p w14:paraId="1FF70EA2">
            <w:pPr>
              <w:jc w:val="center"/>
              <w:rPr>
                <w:rFonts w:ascii="宋体"/>
                <w:color w:val="auto"/>
                <w:sz w:val="24"/>
                <w:szCs w:val="24"/>
                <w:highlight w:val="none"/>
              </w:rPr>
            </w:pPr>
          </w:p>
        </w:tc>
        <w:tc>
          <w:tcPr>
            <w:tcW w:w="1746" w:type="dxa"/>
            <w:tcBorders>
              <w:left w:val="single" w:color="auto" w:sz="4" w:space="0"/>
            </w:tcBorders>
          </w:tcPr>
          <w:p w14:paraId="380AA25A">
            <w:pPr>
              <w:jc w:val="center"/>
              <w:rPr>
                <w:rFonts w:ascii="宋体"/>
                <w:color w:val="auto"/>
                <w:sz w:val="24"/>
                <w:szCs w:val="24"/>
                <w:highlight w:val="none"/>
              </w:rPr>
            </w:pPr>
          </w:p>
        </w:tc>
      </w:tr>
      <w:tr w14:paraId="680B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2E1173E">
            <w:pPr>
              <w:jc w:val="center"/>
              <w:rPr>
                <w:rFonts w:ascii="宋体"/>
                <w:color w:val="auto"/>
                <w:sz w:val="24"/>
                <w:szCs w:val="24"/>
                <w:highlight w:val="none"/>
              </w:rPr>
            </w:pPr>
            <w:r>
              <w:rPr>
                <w:rFonts w:ascii="宋体" w:hAnsi="宋体" w:cs="宋体"/>
                <w:color w:val="auto"/>
                <w:sz w:val="24"/>
                <w:szCs w:val="24"/>
                <w:highlight w:val="none"/>
              </w:rPr>
              <w:t>5</w:t>
            </w:r>
          </w:p>
        </w:tc>
        <w:tc>
          <w:tcPr>
            <w:tcW w:w="2387" w:type="dxa"/>
          </w:tcPr>
          <w:p w14:paraId="2DACD286">
            <w:pPr>
              <w:jc w:val="center"/>
              <w:rPr>
                <w:rFonts w:ascii="宋体"/>
                <w:color w:val="auto"/>
                <w:sz w:val="24"/>
                <w:szCs w:val="24"/>
                <w:highlight w:val="none"/>
              </w:rPr>
            </w:pPr>
          </w:p>
        </w:tc>
        <w:tc>
          <w:tcPr>
            <w:tcW w:w="1462" w:type="dxa"/>
          </w:tcPr>
          <w:p w14:paraId="1CAD00C5">
            <w:pPr>
              <w:jc w:val="center"/>
              <w:rPr>
                <w:rFonts w:ascii="宋体"/>
                <w:color w:val="auto"/>
                <w:sz w:val="24"/>
                <w:szCs w:val="24"/>
                <w:highlight w:val="none"/>
              </w:rPr>
            </w:pPr>
          </w:p>
        </w:tc>
        <w:tc>
          <w:tcPr>
            <w:tcW w:w="2415" w:type="dxa"/>
            <w:tcBorders>
              <w:right w:val="single" w:color="auto" w:sz="4" w:space="0"/>
            </w:tcBorders>
          </w:tcPr>
          <w:p w14:paraId="4A97557B">
            <w:pPr>
              <w:jc w:val="center"/>
              <w:rPr>
                <w:rFonts w:ascii="宋体"/>
                <w:color w:val="auto"/>
                <w:sz w:val="24"/>
                <w:szCs w:val="24"/>
                <w:highlight w:val="none"/>
              </w:rPr>
            </w:pPr>
          </w:p>
        </w:tc>
        <w:tc>
          <w:tcPr>
            <w:tcW w:w="1746" w:type="dxa"/>
            <w:tcBorders>
              <w:left w:val="single" w:color="auto" w:sz="4" w:space="0"/>
            </w:tcBorders>
          </w:tcPr>
          <w:p w14:paraId="6D8E1448">
            <w:pPr>
              <w:jc w:val="center"/>
              <w:rPr>
                <w:rFonts w:ascii="宋体"/>
                <w:color w:val="auto"/>
                <w:sz w:val="24"/>
                <w:szCs w:val="24"/>
                <w:highlight w:val="none"/>
              </w:rPr>
            </w:pPr>
          </w:p>
        </w:tc>
      </w:tr>
      <w:tr w14:paraId="6E3B5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2D7452C">
            <w:pPr>
              <w:jc w:val="center"/>
              <w:rPr>
                <w:rFonts w:ascii="宋体"/>
                <w:color w:val="auto"/>
                <w:sz w:val="24"/>
                <w:szCs w:val="24"/>
                <w:highlight w:val="none"/>
              </w:rPr>
            </w:pPr>
            <w:r>
              <w:rPr>
                <w:rFonts w:ascii="宋体" w:hAnsi="宋体" w:cs="宋体"/>
                <w:color w:val="auto"/>
                <w:sz w:val="24"/>
                <w:szCs w:val="24"/>
                <w:highlight w:val="none"/>
              </w:rPr>
              <w:t>6</w:t>
            </w:r>
          </w:p>
        </w:tc>
        <w:tc>
          <w:tcPr>
            <w:tcW w:w="2387" w:type="dxa"/>
          </w:tcPr>
          <w:p w14:paraId="55668BBF">
            <w:pPr>
              <w:jc w:val="center"/>
              <w:rPr>
                <w:rFonts w:ascii="宋体"/>
                <w:color w:val="auto"/>
                <w:sz w:val="24"/>
                <w:szCs w:val="24"/>
                <w:highlight w:val="none"/>
              </w:rPr>
            </w:pPr>
          </w:p>
        </w:tc>
        <w:tc>
          <w:tcPr>
            <w:tcW w:w="1462" w:type="dxa"/>
          </w:tcPr>
          <w:p w14:paraId="6A607B18">
            <w:pPr>
              <w:jc w:val="center"/>
              <w:rPr>
                <w:rFonts w:ascii="宋体"/>
                <w:color w:val="auto"/>
                <w:sz w:val="24"/>
                <w:szCs w:val="24"/>
                <w:highlight w:val="none"/>
              </w:rPr>
            </w:pPr>
          </w:p>
        </w:tc>
        <w:tc>
          <w:tcPr>
            <w:tcW w:w="2415" w:type="dxa"/>
            <w:tcBorders>
              <w:right w:val="single" w:color="auto" w:sz="4" w:space="0"/>
            </w:tcBorders>
          </w:tcPr>
          <w:p w14:paraId="4A18BC70">
            <w:pPr>
              <w:jc w:val="center"/>
              <w:rPr>
                <w:rFonts w:ascii="宋体"/>
                <w:color w:val="auto"/>
                <w:sz w:val="24"/>
                <w:szCs w:val="24"/>
                <w:highlight w:val="none"/>
              </w:rPr>
            </w:pPr>
          </w:p>
        </w:tc>
        <w:tc>
          <w:tcPr>
            <w:tcW w:w="1746" w:type="dxa"/>
            <w:tcBorders>
              <w:left w:val="single" w:color="auto" w:sz="4" w:space="0"/>
            </w:tcBorders>
          </w:tcPr>
          <w:p w14:paraId="08F5FA57">
            <w:pPr>
              <w:jc w:val="center"/>
              <w:rPr>
                <w:rFonts w:ascii="宋体"/>
                <w:color w:val="auto"/>
                <w:sz w:val="24"/>
                <w:szCs w:val="24"/>
                <w:highlight w:val="none"/>
              </w:rPr>
            </w:pPr>
          </w:p>
        </w:tc>
      </w:tr>
      <w:tr w14:paraId="1D87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E7C2166">
            <w:pPr>
              <w:jc w:val="center"/>
              <w:rPr>
                <w:rFonts w:ascii="宋体"/>
                <w:color w:val="auto"/>
                <w:sz w:val="24"/>
                <w:szCs w:val="24"/>
                <w:highlight w:val="none"/>
              </w:rPr>
            </w:pPr>
            <w:r>
              <w:rPr>
                <w:rFonts w:ascii="宋体" w:hAnsi="宋体" w:cs="宋体"/>
                <w:color w:val="auto"/>
                <w:sz w:val="24"/>
                <w:szCs w:val="24"/>
                <w:highlight w:val="none"/>
              </w:rPr>
              <w:t>7</w:t>
            </w:r>
          </w:p>
        </w:tc>
        <w:tc>
          <w:tcPr>
            <w:tcW w:w="2387" w:type="dxa"/>
          </w:tcPr>
          <w:p w14:paraId="5938D410">
            <w:pPr>
              <w:jc w:val="center"/>
              <w:rPr>
                <w:rFonts w:ascii="宋体"/>
                <w:color w:val="auto"/>
                <w:sz w:val="24"/>
                <w:szCs w:val="24"/>
                <w:highlight w:val="none"/>
              </w:rPr>
            </w:pPr>
          </w:p>
        </w:tc>
        <w:tc>
          <w:tcPr>
            <w:tcW w:w="1462" w:type="dxa"/>
          </w:tcPr>
          <w:p w14:paraId="65B8A869">
            <w:pPr>
              <w:jc w:val="center"/>
              <w:rPr>
                <w:rFonts w:ascii="宋体"/>
                <w:color w:val="auto"/>
                <w:sz w:val="24"/>
                <w:szCs w:val="24"/>
                <w:highlight w:val="none"/>
              </w:rPr>
            </w:pPr>
          </w:p>
        </w:tc>
        <w:tc>
          <w:tcPr>
            <w:tcW w:w="2415" w:type="dxa"/>
            <w:tcBorders>
              <w:right w:val="single" w:color="auto" w:sz="4" w:space="0"/>
            </w:tcBorders>
          </w:tcPr>
          <w:p w14:paraId="23FF7A72">
            <w:pPr>
              <w:jc w:val="center"/>
              <w:rPr>
                <w:rFonts w:ascii="宋体"/>
                <w:color w:val="auto"/>
                <w:sz w:val="24"/>
                <w:szCs w:val="24"/>
                <w:highlight w:val="none"/>
              </w:rPr>
            </w:pPr>
          </w:p>
        </w:tc>
        <w:tc>
          <w:tcPr>
            <w:tcW w:w="1746" w:type="dxa"/>
            <w:tcBorders>
              <w:left w:val="single" w:color="auto" w:sz="4" w:space="0"/>
            </w:tcBorders>
          </w:tcPr>
          <w:p w14:paraId="33AFC492">
            <w:pPr>
              <w:jc w:val="center"/>
              <w:rPr>
                <w:rFonts w:ascii="宋体"/>
                <w:color w:val="auto"/>
                <w:sz w:val="24"/>
                <w:szCs w:val="24"/>
                <w:highlight w:val="none"/>
              </w:rPr>
            </w:pPr>
          </w:p>
        </w:tc>
      </w:tr>
      <w:tr w14:paraId="6D550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3DFC22B">
            <w:pPr>
              <w:jc w:val="center"/>
              <w:rPr>
                <w:rFonts w:ascii="宋体"/>
                <w:color w:val="auto"/>
                <w:sz w:val="24"/>
                <w:szCs w:val="24"/>
                <w:highlight w:val="none"/>
              </w:rPr>
            </w:pPr>
            <w:r>
              <w:rPr>
                <w:rFonts w:ascii="宋体" w:hAnsi="宋体" w:cs="宋体"/>
                <w:color w:val="auto"/>
                <w:sz w:val="24"/>
                <w:szCs w:val="24"/>
                <w:highlight w:val="none"/>
              </w:rPr>
              <w:t>8</w:t>
            </w:r>
          </w:p>
        </w:tc>
        <w:tc>
          <w:tcPr>
            <w:tcW w:w="2387" w:type="dxa"/>
          </w:tcPr>
          <w:p w14:paraId="326AC09E">
            <w:pPr>
              <w:jc w:val="center"/>
              <w:rPr>
                <w:rFonts w:ascii="宋体"/>
                <w:color w:val="auto"/>
                <w:sz w:val="24"/>
                <w:szCs w:val="24"/>
                <w:highlight w:val="none"/>
              </w:rPr>
            </w:pPr>
          </w:p>
        </w:tc>
        <w:tc>
          <w:tcPr>
            <w:tcW w:w="1462" w:type="dxa"/>
          </w:tcPr>
          <w:p w14:paraId="4A31AE08">
            <w:pPr>
              <w:jc w:val="center"/>
              <w:rPr>
                <w:rFonts w:ascii="宋体"/>
                <w:color w:val="auto"/>
                <w:sz w:val="24"/>
                <w:szCs w:val="24"/>
                <w:highlight w:val="none"/>
              </w:rPr>
            </w:pPr>
          </w:p>
        </w:tc>
        <w:tc>
          <w:tcPr>
            <w:tcW w:w="2415" w:type="dxa"/>
            <w:tcBorders>
              <w:right w:val="single" w:color="auto" w:sz="4" w:space="0"/>
            </w:tcBorders>
          </w:tcPr>
          <w:p w14:paraId="2D6CE9ED">
            <w:pPr>
              <w:jc w:val="center"/>
              <w:rPr>
                <w:rFonts w:ascii="宋体"/>
                <w:color w:val="auto"/>
                <w:sz w:val="24"/>
                <w:szCs w:val="24"/>
                <w:highlight w:val="none"/>
              </w:rPr>
            </w:pPr>
          </w:p>
        </w:tc>
        <w:tc>
          <w:tcPr>
            <w:tcW w:w="1746" w:type="dxa"/>
            <w:tcBorders>
              <w:left w:val="single" w:color="auto" w:sz="4" w:space="0"/>
            </w:tcBorders>
          </w:tcPr>
          <w:p w14:paraId="5872D202">
            <w:pPr>
              <w:jc w:val="center"/>
              <w:rPr>
                <w:rFonts w:ascii="宋体"/>
                <w:color w:val="auto"/>
                <w:sz w:val="24"/>
                <w:szCs w:val="24"/>
                <w:highlight w:val="none"/>
              </w:rPr>
            </w:pPr>
          </w:p>
        </w:tc>
      </w:tr>
      <w:tr w14:paraId="62D2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2955EF">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2387" w:type="dxa"/>
          </w:tcPr>
          <w:p w14:paraId="2CF34B1F">
            <w:pPr>
              <w:jc w:val="center"/>
              <w:rPr>
                <w:rFonts w:ascii="宋体"/>
                <w:color w:val="auto"/>
                <w:sz w:val="24"/>
                <w:szCs w:val="24"/>
                <w:highlight w:val="none"/>
              </w:rPr>
            </w:pPr>
          </w:p>
        </w:tc>
        <w:tc>
          <w:tcPr>
            <w:tcW w:w="1462" w:type="dxa"/>
          </w:tcPr>
          <w:p w14:paraId="6D99BCE4">
            <w:pPr>
              <w:jc w:val="center"/>
              <w:rPr>
                <w:rFonts w:ascii="宋体"/>
                <w:color w:val="auto"/>
                <w:sz w:val="24"/>
                <w:szCs w:val="24"/>
                <w:highlight w:val="none"/>
              </w:rPr>
            </w:pPr>
          </w:p>
        </w:tc>
        <w:tc>
          <w:tcPr>
            <w:tcW w:w="2415" w:type="dxa"/>
            <w:tcBorders>
              <w:right w:val="single" w:color="auto" w:sz="4" w:space="0"/>
            </w:tcBorders>
          </w:tcPr>
          <w:p w14:paraId="4CCF5BE3">
            <w:pPr>
              <w:jc w:val="center"/>
              <w:rPr>
                <w:rFonts w:ascii="宋体"/>
                <w:color w:val="auto"/>
                <w:sz w:val="24"/>
                <w:szCs w:val="24"/>
                <w:highlight w:val="none"/>
              </w:rPr>
            </w:pPr>
          </w:p>
        </w:tc>
        <w:tc>
          <w:tcPr>
            <w:tcW w:w="1746" w:type="dxa"/>
            <w:tcBorders>
              <w:left w:val="single" w:color="auto" w:sz="4" w:space="0"/>
            </w:tcBorders>
          </w:tcPr>
          <w:p w14:paraId="7BC47FD0">
            <w:pPr>
              <w:jc w:val="center"/>
              <w:rPr>
                <w:rFonts w:ascii="宋体"/>
                <w:color w:val="auto"/>
                <w:sz w:val="24"/>
                <w:szCs w:val="24"/>
                <w:highlight w:val="none"/>
              </w:rPr>
            </w:pPr>
          </w:p>
        </w:tc>
      </w:tr>
    </w:tbl>
    <w:p w14:paraId="1A12DC73">
      <w:pPr>
        <w:spacing w:line="360" w:lineRule="auto"/>
        <w:ind w:firstLine="480" w:firstLineChars="200"/>
        <w:rPr>
          <w:rFonts w:ascii="宋体"/>
          <w:color w:val="auto"/>
          <w:sz w:val="24"/>
          <w:szCs w:val="24"/>
          <w:highlight w:val="none"/>
        </w:rPr>
      </w:pPr>
    </w:p>
    <w:p w14:paraId="799DFDDC">
      <w:pPr>
        <w:spacing w:line="360" w:lineRule="auto"/>
        <w:ind w:left="3780" w:leftChars="1800" w:firstLine="480" w:firstLineChars="200"/>
        <w:rPr>
          <w:rFonts w:ascii="宋体"/>
          <w:color w:val="auto"/>
          <w:sz w:val="24"/>
          <w:szCs w:val="24"/>
          <w:highlight w:val="none"/>
        </w:rPr>
      </w:pPr>
    </w:p>
    <w:p w14:paraId="4A330E3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62A740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6817B60">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85D5A0B">
      <w:pPr>
        <w:snapToGrid w:val="0"/>
        <w:spacing w:before="50" w:afterLines="50"/>
        <w:jc w:val="left"/>
        <w:rPr>
          <w:rFonts w:ascii="宋体"/>
          <w:b/>
          <w:bCs/>
          <w:color w:val="auto"/>
          <w:sz w:val="24"/>
          <w:szCs w:val="24"/>
          <w:highlight w:val="none"/>
          <w:lang w:val="zh-CN"/>
        </w:rPr>
      </w:pPr>
      <w:r>
        <w:rPr>
          <w:rFonts w:ascii="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lang w:val="zh-CN"/>
        </w:rPr>
        <w:t>：</w:t>
      </w:r>
    </w:p>
    <w:p w14:paraId="0848CBC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投标项目明细清单</w:t>
      </w:r>
    </w:p>
    <w:p w14:paraId="1801678B">
      <w:pPr>
        <w:spacing w:line="360" w:lineRule="auto"/>
        <w:ind w:firstLine="480" w:firstLineChars="200"/>
        <w:rPr>
          <w:rFonts w:ascii="宋体"/>
          <w:color w:val="auto"/>
          <w:sz w:val="24"/>
          <w:szCs w:val="24"/>
          <w:highlight w:val="none"/>
        </w:rPr>
      </w:pPr>
    </w:p>
    <w:p w14:paraId="42B2984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1117B76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6705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0C235BF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B72229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D93F71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499C1A8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工作量</w:t>
            </w:r>
          </w:p>
        </w:tc>
      </w:tr>
      <w:tr w14:paraId="5C3E9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E4AAB8F">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63BB36FB">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A746C30">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053FD9C9">
            <w:pPr>
              <w:snapToGrid w:val="0"/>
              <w:spacing w:before="50" w:after="50"/>
              <w:jc w:val="center"/>
              <w:rPr>
                <w:rFonts w:ascii="宋体"/>
                <w:color w:val="auto"/>
                <w:sz w:val="24"/>
                <w:szCs w:val="24"/>
                <w:highlight w:val="none"/>
              </w:rPr>
            </w:pPr>
          </w:p>
        </w:tc>
      </w:tr>
      <w:tr w14:paraId="58DC9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1FDBD86">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0D0B22DF">
            <w:pPr>
              <w:snapToGrid w:val="0"/>
              <w:spacing w:before="50" w:after="50"/>
              <w:jc w:val="center"/>
              <w:rPr>
                <w:rFonts w:ascii="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B1E531B">
            <w:pPr>
              <w:snapToGrid w:val="0"/>
              <w:spacing w:before="50" w:after="50"/>
              <w:ind w:left="480" w:hanging="480"/>
              <w:jc w:val="center"/>
              <w:rPr>
                <w:rFonts w:ascii="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69C68CF4">
            <w:pPr>
              <w:snapToGrid w:val="0"/>
              <w:spacing w:before="50" w:after="50"/>
              <w:jc w:val="center"/>
              <w:rPr>
                <w:rFonts w:ascii="宋体"/>
                <w:color w:val="auto"/>
                <w:sz w:val="24"/>
                <w:szCs w:val="24"/>
                <w:highlight w:val="none"/>
              </w:rPr>
            </w:pPr>
          </w:p>
        </w:tc>
      </w:tr>
    </w:tbl>
    <w:p w14:paraId="379D6CDC">
      <w:pPr>
        <w:snapToGrid w:val="0"/>
        <w:spacing w:beforeLines="50"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2749CD87">
      <w:pPr>
        <w:pStyle w:val="12"/>
        <w:rPr>
          <w:rFonts w:cs="Times New Roman"/>
          <w:color w:val="auto"/>
          <w:highlight w:val="none"/>
        </w:rPr>
      </w:pPr>
    </w:p>
    <w:p w14:paraId="0464E9E1">
      <w:pPr>
        <w:pStyle w:val="12"/>
        <w:rPr>
          <w:rFonts w:cs="Times New Roman"/>
          <w:color w:val="auto"/>
          <w:highlight w:val="none"/>
        </w:rPr>
      </w:pPr>
    </w:p>
    <w:p w14:paraId="0C133C16">
      <w:pPr>
        <w:pStyle w:val="12"/>
        <w:rPr>
          <w:rFonts w:cs="Times New Roman"/>
          <w:color w:val="auto"/>
          <w:highlight w:val="none"/>
        </w:rPr>
      </w:pPr>
    </w:p>
    <w:p w14:paraId="31C35016">
      <w:pPr>
        <w:snapToGrid w:val="0"/>
        <w:spacing w:beforeLines="50"/>
        <w:rPr>
          <w:rFonts w:ascii="宋体"/>
          <w:color w:val="auto"/>
          <w:sz w:val="24"/>
          <w:szCs w:val="24"/>
          <w:highlight w:val="none"/>
        </w:rPr>
      </w:pPr>
    </w:p>
    <w:p w14:paraId="580C466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8F88DD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2A72C12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7FBAF42C">
      <w:pPr>
        <w:snapToGrid w:val="0"/>
        <w:spacing w:before="50" w:after="50"/>
        <w:rPr>
          <w:rFonts w:ascii="宋体"/>
          <w:color w:val="auto"/>
          <w:spacing w:val="20"/>
          <w:sz w:val="24"/>
          <w:szCs w:val="24"/>
          <w:highlight w:val="none"/>
        </w:rPr>
      </w:pPr>
    </w:p>
    <w:p w14:paraId="2E744E62">
      <w:pPr>
        <w:snapToGrid w:val="0"/>
        <w:spacing w:before="50" w:after="50"/>
        <w:rPr>
          <w:rFonts w:ascii="宋体"/>
          <w:color w:val="auto"/>
          <w:spacing w:val="20"/>
          <w:sz w:val="30"/>
          <w:szCs w:val="30"/>
          <w:highlight w:val="none"/>
        </w:rPr>
      </w:pPr>
    </w:p>
    <w:p w14:paraId="69BC2B68">
      <w:pPr>
        <w:pStyle w:val="12"/>
        <w:ind w:firstLine="686"/>
        <w:rPr>
          <w:rFonts w:cs="Times New Roman"/>
          <w:color w:val="auto"/>
          <w:spacing w:val="20"/>
          <w:sz w:val="30"/>
          <w:szCs w:val="30"/>
          <w:highlight w:val="none"/>
        </w:rPr>
      </w:pPr>
    </w:p>
    <w:p w14:paraId="28B01379">
      <w:pPr>
        <w:pStyle w:val="12"/>
        <w:ind w:firstLine="686"/>
        <w:rPr>
          <w:rFonts w:cs="Times New Roman"/>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22761DAD">
      <w:pPr>
        <w:rPr>
          <w:b/>
          <w:bCs/>
          <w:color w:val="auto"/>
          <w:sz w:val="24"/>
          <w:szCs w:val="24"/>
          <w:highlight w:val="none"/>
        </w:rPr>
      </w:pPr>
      <w:bookmarkStart w:id="105" w:name="_Toc2823"/>
      <w:r>
        <w:rPr>
          <w:rFonts w:hint="eastAsia" w:cs="宋体"/>
          <w:b/>
          <w:bCs/>
          <w:color w:val="auto"/>
          <w:sz w:val="24"/>
          <w:szCs w:val="24"/>
          <w:highlight w:val="none"/>
        </w:rPr>
        <w:t>附件</w:t>
      </w:r>
      <w:r>
        <w:rPr>
          <w:rFonts w:hint="eastAsia" w:cs="宋体"/>
          <w:b/>
          <w:bCs/>
          <w:color w:val="auto"/>
          <w:sz w:val="24"/>
          <w:szCs w:val="24"/>
          <w:highlight w:val="none"/>
          <w:lang w:val="en-US" w:eastAsia="zh-CN"/>
        </w:rPr>
        <w:t>九</w:t>
      </w:r>
      <w:r>
        <w:rPr>
          <w:rFonts w:hint="eastAsia" w:cs="宋体"/>
          <w:b/>
          <w:bCs/>
          <w:color w:val="auto"/>
          <w:sz w:val="24"/>
          <w:szCs w:val="24"/>
          <w:highlight w:val="none"/>
        </w:rPr>
        <w:t>：</w:t>
      </w:r>
    </w:p>
    <w:p w14:paraId="63C23198">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技术响应及建议表</w:t>
      </w:r>
      <w:bookmarkEnd w:id="105"/>
    </w:p>
    <w:p w14:paraId="73BB3C9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             </w:t>
      </w:r>
    </w:p>
    <w:p w14:paraId="57D4697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450BF09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0063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2BAC87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576B7885">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AEEE54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1B94D0E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65D19AB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偏离情况</w:t>
            </w:r>
          </w:p>
        </w:tc>
      </w:tr>
      <w:tr w14:paraId="5249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F075F63">
            <w:pPr>
              <w:snapToGrid w:val="0"/>
              <w:spacing w:before="50" w:after="50"/>
              <w:jc w:val="center"/>
              <w:rPr>
                <w:rFonts w:ascii="宋体"/>
                <w:color w:val="auto"/>
                <w:sz w:val="24"/>
                <w:szCs w:val="24"/>
                <w:highlight w:val="none"/>
              </w:rPr>
            </w:pPr>
          </w:p>
        </w:tc>
        <w:tc>
          <w:tcPr>
            <w:tcW w:w="1440" w:type="dxa"/>
            <w:vAlign w:val="center"/>
          </w:tcPr>
          <w:p w14:paraId="05F60597">
            <w:pPr>
              <w:snapToGrid w:val="0"/>
              <w:spacing w:before="50" w:after="50"/>
              <w:jc w:val="center"/>
              <w:rPr>
                <w:rFonts w:ascii="宋体"/>
                <w:color w:val="auto"/>
                <w:sz w:val="24"/>
                <w:szCs w:val="24"/>
                <w:highlight w:val="none"/>
              </w:rPr>
            </w:pPr>
          </w:p>
        </w:tc>
        <w:tc>
          <w:tcPr>
            <w:tcW w:w="1980" w:type="dxa"/>
            <w:vAlign w:val="center"/>
          </w:tcPr>
          <w:p w14:paraId="78C6E8DB">
            <w:pPr>
              <w:snapToGrid w:val="0"/>
              <w:spacing w:before="50" w:after="50"/>
              <w:jc w:val="center"/>
              <w:rPr>
                <w:rFonts w:ascii="宋体"/>
                <w:color w:val="auto"/>
                <w:sz w:val="24"/>
                <w:szCs w:val="24"/>
                <w:highlight w:val="none"/>
              </w:rPr>
            </w:pPr>
          </w:p>
        </w:tc>
        <w:tc>
          <w:tcPr>
            <w:tcW w:w="2520" w:type="dxa"/>
            <w:vAlign w:val="center"/>
          </w:tcPr>
          <w:p w14:paraId="32FBB237">
            <w:pPr>
              <w:snapToGrid w:val="0"/>
              <w:spacing w:before="50" w:after="50"/>
              <w:jc w:val="center"/>
              <w:rPr>
                <w:rFonts w:ascii="宋体"/>
                <w:color w:val="auto"/>
                <w:sz w:val="24"/>
                <w:szCs w:val="24"/>
                <w:highlight w:val="none"/>
              </w:rPr>
            </w:pPr>
          </w:p>
        </w:tc>
        <w:tc>
          <w:tcPr>
            <w:tcW w:w="1953" w:type="dxa"/>
            <w:vAlign w:val="center"/>
          </w:tcPr>
          <w:p w14:paraId="41A50E36">
            <w:pPr>
              <w:snapToGrid w:val="0"/>
              <w:spacing w:before="50" w:after="50"/>
              <w:jc w:val="center"/>
              <w:rPr>
                <w:rFonts w:ascii="宋体"/>
                <w:color w:val="auto"/>
                <w:sz w:val="24"/>
                <w:szCs w:val="24"/>
                <w:highlight w:val="none"/>
              </w:rPr>
            </w:pPr>
          </w:p>
        </w:tc>
      </w:tr>
      <w:tr w14:paraId="49E6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761BA4C">
            <w:pPr>
              <w:snapToGrid w:val="0"/>
              <w:spacing w:before="50" w:after="50"/>
              <w:jc w:val="center"/>
              <w:rPr>
                <w:rFonts w:ascii="宋体"/>
                <w:color w:val="auto"/>
                <w:sz w:val="24"/>
                <w:szCs w:val="24"/>
                <w:highlight w:val="none"/>
              </w:rPr>
            </w:pPr>
          </w:p>
        </w:tc>
        <w:tc>
          <w:tcPr>
            <w:tcW w:w="1440" w:type="dxa"/>
            <w:vAlign w:val="center"/>
          </w:tcPr>
          <w:p w14:paraId="55652318">
            <w:pPr>
              <w:snapToGrid w:val="0"/>
              <w:spacing w:before="50" w:after="50"/>
              <w:jc w:val="center"/>
              <w:rPr>
                <w:rFonts w:ascii="宋体"/>
                <w:color w:val="auto"/>
                <w:sz w:val="24"/>
                <w:szCs w:val="24"/>
                <w:highlight w:val="none"/>
              </w:rPr>
            </w:pPr>
          </w:p>
        </w:tc>
        <w:tc>
          <w:tcPr>
            <w:tcW w:w="1980" w:type="dxa"/>
            <w:vAlign w:val="center"/>
          </w:tcPr>
          <w:p w14:paraId="1F62E9DE">
            <w:pPr>
              <w:snapToGrid w:val="0"/>
              <w:spacing w:before="50" w:after="50"/>
              <w:jc w:val="center"/>
              <w:rPr>
                <w:rFonts w:ascii="宋体"/>
                <w:color w:val="auto"/>
                <w:sz w:val="24"/>
                <w:szCs w:val="24"/>
                <w:highlight w:val="none"/>
              </w:rPr>
            </w:pPr>
          </w:p>
        </w:tc>
        <w:tc>
          <w:tcPr>
            <w:tcW w:w="2520" w:type="dxa"/>
            <w:vAlign w:val="center"/>
          </w:tcPr>
          <w:p w14:paraId="371F64B4">
            <w:pPr>
              <w:snapToGrid w:val="0"/>
              <w:spacing w:before="50" w:after="50"/>
              <w:jc w:val="center"/>
              <w:rPr>
                <w:rFonts w:ascii="宋体"/>
                <w:color w:val="auto"/>
                <w:sz w:val="24"/>
                <w:szCs w:val="24"/>
                <w:highlight w:val="none"/>
              </w:rPr>
            </w:pPr>
          </w:p>
        </w:tc>
        <w:tc>
          <w:tcPr>
            <w:tcW w:w="1953" w:type="dxa"/>
            <w:vAlign w:val="center"/>
          </w:tcPr>
          <w:p w14:paraId="63B73688">
            <w:pPr>
              <w:snapToGrid w:val="0"/>
              <w:spacing w:before="50" w:after="50"/>
              <w:jc w:val="center"/>
              <w:rPr>
                <w:rFonts w:ascii="宋体"/>
                <w:color w:val="auto"/>
                <w:sz w:val="24"/>
                <w:szCs w:val="24"/>
                <w:highlight w:val="none"/>
              </w:rPr>
            </w:pPr>
          </w:p>
        </w:tc>
      </w:tr>
      <w:tr w14:paraId="5EF2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0C81525">
            <w:pPr>
              <w:snapToGrid w:val="0"/>
              <w:spacing w:before="50" w:after="50"/>
              <w:jc w:val="center"/>
              <w:rPr>
                <w:rFonts w:ascii="宋体"/>
                <w:color w:val="auto"/>
                <w:sz w:val="24"/>
                <w:szCs w:val="24"/>
                <w:highlight w:val="none"/>
              </w:rPr>
            </w:pPr>
          </w:p>
        </w:tc>
        <w:tc>
          <w:tcPr>
            <w:tcW w:w="1440" w:type="dxa"/>
            <w:vAlign w:val="center"/>
          </w:tcPr>
          <w:p w14:paraId="6128A8FD">
            <w:pPr>
              <w:snapToGrid w:val="0"/>
              <w:spacing w:before="50" w:after="50"/>
              <w:jc w:val="center"/>
              <w:rPr>
                <w:rFonts w:ascii="宋体"/>
                <w:color w:val="auto"/>
                <w:sz w:val="24"/>
                <w:szCs w:val="24"/>
                <w:highlight w:val="none"/>
              </w:rPr>
            </w:pPr>
          </w:p>
        </w:tc>
        <w:tc>
          <w:tcPr>
            <w:tcW w:w="1980" w:type="dxa"/>
            <w:vAlign w:val="center"/>
          </w:tcPr>
          <w:p w14:paraId="34234CBA">
            <w:pPr>
              <w:snapToGrid w:val="0"/>
              <w:spacing w:before="50" w:after="50"/>
              <w:jc w:val="center"/>
              <w:rPr>
                <w:rFonts w:ascii="宋体"/>
                <w:color w:val="auto"/>
                <w:sz w:val="24"/>
                <w:szCs w:val="24"/>
                <w:highlight w:val="none"/>
              </w:rPr>
            </w:pPr>
          </w:p>
        </w:tc>
        <w:tc>
          <w:tcPr>
            <w:tcW w:w="2520" w:type="dxa"/>
            <w:vAlign w:val="center"/>
          </w:tcPr>
          <w:p w14:paraId="6C1E8BF5">
            <w:pPr>
              <w:snapToGrid w:val="0"/>
              <w:spacing w:before="50" w:after="50"/>
              <w:jc w:val="center"/>
              <w:rPr>
                <w:rFonts w:ascii="宋体"/>
                <w:color w:val="auto"/>
                <w:sz w:val="24"/>
                <w:szCs w:val="24"/>
                <w:highlight w:val="none"/>
              </w:rPr>
            </w:pPr>
          </w:p>
        </w:tc>
        <w:tc>
          <w:tcPr>
            <w:tcW w:w="1953" w:type="dxa"/>
            <w:vAlign w:val="center"/>
          </w:tcPr>
          <w:p w14:paraId="2708AB35">
            <w:pPr>
              <w:snapToGrid w:val="0"/>
              <w:spacing w:before="50" w:after="50"/>
              <w:jc w:val="center"/>
              <w:rPr>
                <w:rFonts w:ascii="宋体"/>
                <w:color w:val="auto"/>
                <w:sz w:val="24"/>
                <w:szCs w:val="24"/>
                <w:highlight w:val="none"/>
              </w:rPr>
            </w:pPr>
          </w:p>
        </w:tc>
      </w:tr>
      <w:tr w14:paraId="2EA7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CF9EDE1">
            <w:pPr>
              <w:snapToGrid w:val="0"/>
              <w:spacing w:before="50" w:after="50"/>
              <w:jc w:val="center"/>
              <w:rPr>
                <w:rFonts w:ascii="宋体"/>
                <w:color w:val="auto"/>
                <w:sz w:val="24"/>
                <w:szCs w:val="24"/>
                <w:highlight w:val="none"/>
              </w:rPr>
            </w:pPr>
          </w:p>
        </w:tc>
        <w:tc>
          <w:tcPr>
            <w:tcW w:w="1440" w:type="dxa"/>
            <w:vAlign w:val="center"/>
          </w:tcPr>
          <w:p w14:paraId="51FA7AA6">
            <w:pPr>
              <w:snapToGrid w:val="0"/>
              <w:spacing w:before="50" w:after="50"/>
              <w:jc w:val="center"/>
              <w:rPr>
                <w:rFonts w:ascii="宋体"/>
                <w:color w:val="auto"/>
                <w:sz w:val="24"/>
                <w:szCs w:val="24"/>
                <w:highlight w:val="none"/>
              </w:rPr>
            </w:pPr>
          </w:p>
        </w:tc>
        <w:tc>
          <w:tcPr>
            <w:tcW w:w="1980" w:type="dxa"/>
            <w:vAlign w:val="center"/>
          </w:tcPr>
          <w:p w14:paraId="11949017">
            <w:pPr>
              <w:snapToGrid w:val="0"/>
              <w:spacing w:before="50" w:after="50"/>
              <w:jc w:val="center"/>
              <w:rPr>
                <w:rFonts w:ascii="宋体"/>
                <w:color w:val="auto"/>
                <w:sz w:val="24"/>
                <w:szCs w:val="24"/>
                <w:highlight w:val="none"/>
              </w:rPr>
            </w:pPr>
          </w:p>
        </w:tc>
        <w:tc>
          <w:tcPr>
            <w:tcW w:w="2520" w:type="dxa"/>
            <w:vAlign w:val="center"/>
          </w:tcPr>
          <w:p w14:paraId="0E61EB02">
            <w:pPr>
              <w:snapToGrid w:val="0"/>
              <w:spacing w:before="50" w:after="50"/>
              <w:jc w:val="center"/>
              <w:rPr>
                <w:rFonts w:ascii="宋体"/>
                <w:color w:val="auto"/>
                <w:sz w:val="24"/>
                <w:szCs w:val="24"/>
                <w:highlight w:val="none"/>
              </w:rPr>
            </w:pPr>
          </w:p>
        </w:tc>
        <w:tc>
          <w:tcPr>
            <w:tcW w:w="1953" w:type="dxa"/>
            <w:vAlign w:val="center"/>
          </w:tcPr>
          <w:p w14:paraId="4AF6E8EA">
            <w:pPr>
              <w:snapToGrid w:val="0"/>
              <w:spacing w:before="50" w:after="50"/>
              <w:jc w:val="center"/>
              <w:rPr>
                <w:rFonts w:ascii="宋体"/>
                <w:color w:val="auto"/>
                <w:sz w:val="24"/>
                <w:szCs w:val="24"/>
                <w:highlight w:val="none"/>
              </w:rPr>
            </w:pPr>
          </w:p>
        </w:tc>
      </w:tr>
      <w:tr w14:paraId="0CAF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A486DE3">
            <w:pPr>
              <w:snapToGrid w:val="0"/>
              <w:spacing w:before="50" w:after="50"/>
              <w:jc w:val="center"/>
              <w:rPr>
                <w:rFonts w:ascii="宋体"/>
                <w:color w:val="auto"/>
                <w:sz w:val="24"/>
                <w:szCs w:val="24"/>
                <w:highlight w:val="none"/>
              </w:rPr>
            </w:pPr>
          </w:p>
        </w:tc>
        <w:tc>
          <w:tcPr>
            <w:tcW w:w="1440" w:type="dxa"/>
            <w:vAlign w:val="center"/>
          </w:tcPr>
          <w:p w14:paraId="2B060495">
            <w:pPr>
              <w:snapToGrid w:val="0"/>
              <w:spacing w:before="50" w:after="50"/>
              <w:jc w:val="center"/>
              <w:rPr>
                <w:rFonts w:ascii="宋体"/>
                <w:color w:val="auto"/>
                <w:sz w:val="24"/>
                <w:szCs w:val="24"/>
                <w:highlight w:val="none"/>
              </w:rPr>
            </w:pPr>
          </w:p>
        </w:tc>
        <w:tc>
          <w:tcPr>
            <w:tcW w:w="1980" w:type="dxa"/>
            <w:vAlign w:val="center"/>
          </w:tcPr>
          <w:p w14:paraId="14C7F3B5">
            <w:pPr>
              <w:snapToGrid w:val="0"/>
              <w:spacing w:before="50" w:after="50"/>
              <w:jc w:val="center"/>
              <w:rPr>
                <w:rFonts w:ascii="宋体"/>
                <w:color w:val="auto"/>
                <w:sz w:val="24"/>
                <w:szCs w:val="24"/>
                <w:highlight w:val="none"/>
              </w:rPr>
            </w:pPr>
          </w:p>
        </w:tc>
        <w:tc>
          <w:tcPr>
            <w:tcW w:w="2520" w:type="dxa"/>
            <w:vAlign w:val="center"/>
          </w:tcPr>
          <w:p w14:paraId="6935EAB5">
            <w:pPr>
              <w:snapToGrid w:val="0"/>
              <w:spacing w:before="50" w:after="50"/>
              <w:jc w:val="center"/>
              <w:rPr>
                <w:rFonts w:ascii="宋体"/>
                <w:color w:val="auto"/>
                <w:sz w:val="24"/>
                <w:szCs w:val="24"/>
                <w:highlight w:val="none"/>
              </w:rPr>
            </w:pPr>
          </w:p>
        </w:tc>
        <w:tc>
          <w:tcPr>
            <w:tcW w:w="1953" w:type="dxa"/>
            <w:vAlign w:val="center"/>
          </w:tcPr>
          <w:p w14:paraId="034889D2">
            <w:pPr>
              <w:snapToGrid w:val="0"/>
              <w:spacing w:before="50" w:after="50"/>
              <w:jc w:val="center"/>
              <w:rPr>
                <w:rFonts w:ascii="宋体"/>
                <w:color w:val="auto"/>
                <w:sz w:val="24"/>
                <w:szCs w:val="24"/>
                <w:highlight w:val="none"/>
              </w:rPr>
            </w:pPr>
          </w:p>
        </w:tc>
      </w:tr>
      <w:tr w14:paraId="5D70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A8912A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5E1E0F43">
            <w:pPr>
              <w:spacing w:line="360" w:lineRule="auto"/>
              <w:jc w:val="center"/>
              <w:rPr>
                <w:rFonts w:ascii="宋体"/>
                <w:color w:val="auto"/>
                <w:sz w:val="24"/>
                <w:szCs w:val="24"/>
                <w:highlight w:val="none"/>
              </w:rPr>
            </w:pPr>
          </w:p>
        </w:tc>
      </w:tr>
    </w:tbl>
    <w:p w14:paraId="5AD3677C">
      <w:pPr>
        <w:snapToGrid w:val="0"/>
        <w:spacing w:line="360" w:lineRule="auto"/>
        <w:rPr>
          <w:rFonts w:ascii="宋体"/>
          <w:color w:val="auto"/>
          <w:sz w:val="24"/>
          <w:szCs w:val="24"/>
          <w:highlight w:val="none"/>
        </w:rPr>
      </w:pPr>
    </w:p>
    <w:p w14:paraId="409EC652">
      <w:pPr>
        <w:pStyle w:val="16"/>
        <w:spacing w:line="360" w:lineRule="auto"/>
        <w:rPr>
          <w:rFonts w:hAnsi="宋体" w:cs="Times New Roman"/>
          <w:color w:val="auto"/>
          <w:sz w:val="24"/>
          <w:szCs w:val="24"/>
          <w:highlight w:val="none"/>
        </w:rPr>
      </w:pPr>
      <w:r>
        <w:rPr>
          <w:rFonts w:hint="eastAsia" w:hAnsi="宋体"/>
          <w:color w:val="auto"/>
          <w:sz w:val="24"/>
          <w:szCs w:val="24"/>
          <w:highlight w:val="none"/>
        </w:rPr>
        <w:t>注：名称可基于项目清单根据供应商实际情况调整。</w:t>
      </w:r>
    </w:p>
    <w:p w14:paraId="7BBFB1DD">
      <w:pPr>
        <w:rPr>
          <w:rFonts w:ascii="宋体"/>
          <w:color w:val="auto"/>
          <w:sz w:val="24"/>
          <w:szCs w:val="24"/>
          <w:highlight w:val="none"/>
        </w:rPr>
      </w:pPr>
    </w:p>
    <w:p w14:paraId="6FA59CE9">
      <w:pPr>
        <w:pStyle w:val="12"/>
        <w:rPr>
          <w:rFonts w:cs="Times New Roman"/>
          <w:color w:val="auto"/>
          <w:highlight w:val="none"/>
        </w:rPr>
      </w:pPr>
    </w:p>
    <w:p w14:paraId="1FFDBD95">
      <w:pPr>
        <w:snapToGrid w:val="0"/>
        <w:spacing w:line="360" w:lineRule="auto"/>
        <w:rPr>
          <w:rFonts w:ascii="宋体"/>
          <w:color w:val="auto"/>
          <w:sz w:val="24"/>
          <w:szCs w:val="24"/>
          <w:highlight w:val="none"/>
        </w:rPr>
      </w:pPr>
    </w:p>
    <w:p w14:paraId="5107C767">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60F32EA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30AA6A8">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4D5D68ED">
      <w:pPr>
        <w:rPr>
          <w:color w:val="auto"/>
          <w:sz w:val="24"/>
          <w:szCs w:val="24"/>
          <w:highlight w:val="none"/>
        </w:rPr>
      </w:pPr>
      <w:r>
        <w:rPr>
          <w:color w:val="auto"/>
          <w:sz w:val="24"/>
          <w:szCs w:val="24"/>
          <w:highlight w:val="none"/>
        </w:rPr>
        <w:br w:type="page"/>
      </w:r>
    </w:p>
    <w:p w14:paraId="4C5CA174">
      <w:pPr>
        <w:rPr>
          <w:b/>
          <w:bCs/>
          <w:color w:val="auto"/>
          <w:sz w:val="24"/>
          <w:szCs w:val="24"/>
          <w:highlight w:val="none"/>
        </w:rPr>
      </w:pPr>
      <w:r>
        <w:rPr>
          <w:rFonts w:hint="eastAsia" w:cs="宋体"/>
          <w:b/>
          <w:bCs/>
          <w:color w:val="auto"/>
          <w:sz w:val="24"/>
          <w:szCs w:val="24"/>
          <w:highlight w:val="none"/>
        </w:rPr>
        <w:t>附件</w:t>
      </w:r>
      <w:r>
        <w:rPr>
          <w:rFonts w:hint="eastAsia" w:cs="宋体"/>
          <w:b/>
          <w:bCs/>
          <w:color w:val="auto"/>
          <w:sz w:val="24"/>
          <w:szCs w:val="24"/>
          <w:highlight w:val="none"/>
          <w:lang w:val="en-US" w:eastAsia="zh-CN"/>
        </w:rPr>
        <w:t>十</w:t>
      </w:r>
      <w:r>
        <w:rPr>
          <w:rFonts w:hint="eastAsia" w:cs="宋体"/>
          <w:b/>
          <w:bCs/>
          <w:color w:val="auto"/>
          <w:sz w:val="24"/>
          <w:szCs w:val="24"/>
          <w:highlight w:val="none"/>
        </w:rPr>
        <w:t>：</w:t>
      </w:r>
    </w:p>
    <w:p w14:paraId="1BBE7DAA">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商务响应表</w:t>
      </w:r>
    </w:p>
    <w:p w14:paraId="2EE76007">
      <w:pPr>
        <w:snapToGrid w:val="0"/>
        <w:spacing w:before="50"/>
        <w:jc w:val="center"/>
        <w:rPr>
          <w:rFonts w:ascii="宋体"/>
          <w:b/>
          <w:bCs/>
          <w:color w:val="auto"/>
          <w:sz w:val="32"/>
          <w:szCs w:val="32"/>
          <w:highlight w:val="none"/>
        </w:rPr>
      </w:pPr>
    </w:p>
    <w:p w14:paraId="6BDE151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5F177C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3943A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46F50F80">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6C7E839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02FE47E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是否</w:t>
            </w:r>
          </w:p>
          <w:p w14:paraId="08E2D5E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4315BB92">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供应商的承诺或说明</w:t>
            </w:r>
          </w:p>
        </w:tc>
      </w:tr>
      <w:tr w14:paraId="21BE9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73F0E64">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54D5BC6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57EFB1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744DC93">
            <w:pPr>
              <w:snapToGrid w:val="0"/>
              <w:spacing w:before="50" w:after="50"/>
              <w:jc w:val="center"/>
              <w:rPr>
                <w:rFonts w:ascii="宋体"/>
                <w:color w:val="auto"/>
                <w:sz w:val="24"/>
                <w:szCs w:val="24"/>
                <w:highlight w:val="none"/>
              </w:rPr>
            </w:pPr>
          </w:p>
        </w:tc>
      </w:tr>
      <w:tr w14:paraId="3B736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317E946">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645981B1">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F6AE116">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ABA5D11">
            <w:pPr>
              <w:snapToGrid w:val="0"/>
              <w:spacing w:before="50" w:after="50"/>
              <w:jc w:val="center"/>
              <w:rPr>
                <w:rFonts w:ascii="宋体"/>
                <w:color w:val="auto"/>
                <w:sz w:val="24"/>
                <w:szCs w:val="24"/>
                <w:highlight w:val="none"/>
              </w:rPr>
            </w:pPr>
          </w:p>
        </w:tc>
      </w:tr>
      <w:tr w14:paraId="02F05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12F4250C">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3990FA3C">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74A7047">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FC8482D">
            <w:pPr>
              <w:snapToGrid w:val="0"/>
              <w:spacing w:before="50" w:after="50"/>
              <w:jc w:val="center"/>
              <w:rPr>
                <w:rFonts w:ascii="宋体"/>
                <w:color w:val="auto"/>
                <w:sz w:val="24"/>
                <w:szCs w:val="24"/>
                <w:highlight w:val="none"/>
              </w:rPr>
            </w:pPr>
          </w:p>
        </w:tc>
      </w:tr>
      <w:tr w14:paraId="4A8A7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21FECA4">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B725ADB">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B0ABD93">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4FE3E48">
            <w:pPr>
              <w:snapToGrid w:val="0"/>
              <w:spacing w:before="50" w:after="50"/>
              <w:jc w:val="center"/>
              <w:rPr>
                <w:rFonts w:ascii="宋体"/>
                <w:color w:val="auto"/>
                <w:sz w:val="24"/>
                <w:szCs w:val="24"/>
                <w:highlight w:val="none"/>
              </w:rPr>
            </w:pPr>
          </w:p>
        </w:tc>
      </w:tr>
      <w:tr w14:paraId="4AB6C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4D989ED">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61E438A6">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2D13B5E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E88CD23">
            <w:pPr>
              <w:snapToGrid w:val="0"/>
              <w:spacing w:before="50" w:after="50"/>
              <w:jc w:val="center"/>
              <w:rPr>
                <w:rFonts w:ascii="宋体"/>
                <w:color w:val="auto"/>
                <w:sz w:val="24"/>
                <w:szCs w:val="24"/>
                <w:highlight w:val="none"/>
              </w:rPr>
            </w:pPr>
          </w:p>
        </w:tc>
      </w:tr>
      <w:tr w14:paraId="5B5F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B850F20">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3A014502">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E8B036F">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28344DA">
            <w:pPr>
              <w:snapToGrid w:val="0"/>
              <w:spacing w:before="50" w:after="50"/>
              <w:jc w:val="center"/>
              <w:rPr>
                <w:rFonts w:ascii="宋体"/>
                <w:color w:val="auto"/>
                <w:sz w:val="24"/>
                <w:szCs w:val="24"/>
                <w:highlight w:val="none"/>
              </w:rPr>
            </w:pPr>
          </w:p>
        </w:tc>
      </w:tr>
      <w:tr w14:paraId="1632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CE6D242">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0CFC6169">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15E7240">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D29410D">
            <w:pPr>
              <w:snapToGrid w:val="0"/>
              <w:spacing w:before="50" w:after="50"/>
              <w:jc w:val="center"/>
              <w:rPr>
                <w:rFonts w:ascii="宋体"/>
                <w:color w:val="auto"/>
                <w:sz w:val="24"/>
                <w:szCs w:val="24"/>
                <w:highlight w:val="none"/>
              </w:rPr>
            </w:pPr>
          </w:p>
        </w:tc>
      </w:tr>
      <w:tr w14:paraId="27888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30ADDB4D">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5692A65">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E2E16B2">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530226B">
            <w:pPr>
              <w:snapToGrid w:val="0"/>
              <w:spacing w:before="50" w:after="50"/>
              <w:jc w:val="center"/>
              <w:rPr>
                <w:rFonts w:ascii="宋体"/>
                <w:color w:val="auto"/>
                <w:sz w:val="24"/>
                <w:szCs w:val="24"/>
                <w:highlight w:val="none"/>
              </w:rPr>
            </w:pPr>
          </w:p>
        </w:tc>
      </w:tr>
      <w:tr w14:paraId="42CC0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1EAFDFED">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4BA5B527">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1B3338C">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3DFF82C1">
            <w:pPr>
              <w:snapToGrid w:val="0"/>
              <w:spacing w:before="50" w:after="50"/>
              <w:jc w:val="center"/>
              <w:rPr>
                <w:rFonts w:ascii="宋体"/>
                <w:color w:val="auto"/>
                <w:sz w:val="24"/>
                <w:szCs w:val="24"/>
                <w:highlight w:val="none"/>
              </w:rPr>
            </w:pPr>
          </w:p>
        </w:tc>
      </w:tr>
      <w:tr w14:paraId="62773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7A1E74A0">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DEB7921">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11D1E305">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555656C">
            <w:pPr>
              <w:snapToGrid w:val="0"/>
              <w:spacing w:before="50" w:after="50"/>
              <w:jc w:val="center"/>
              <w:rPr>
                <w:rFonts w:ascii="宋体"/>
                <w:color w:val="auto"/>
                <w:sz w:val="24"/>
                <w:szCs w:val="24"/>
                <w:highlight w:val="none"/>
              </w:rPr>
            </w:pPr>
          </w:p>
        </w:tc>
      </w:tr>
      <w:tr w14:paraId="0B335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686D506F">
            <w:pPr>
              <w:snapToGrid w:val="0"/>
              <w:spacing w:before="50" w:after="50"/>
              <w:jc w:val="center"/>
              <w:rPr>
                <w:rFonts w:ascii="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3E640455">
            <w:pPr>
              <w:snapToGrid w:val="0"/>
              <w:spacing w:before="50" w:after="50"/>
              <w:jc w:val="center"/>
              <w:rPr>
                <w:rFonts w:ascii="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659670D">
            <w:pPr>
              <w:snapToGrid w:val="0"/>
              <w:spacing w:before="50" w:after="50"/>
              <w:jc w:val="center"/>
              <w:rPr>
                <w:rFonts w:ascii="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74A5202A">
            <w:pPr>
              <w:snapToGrid w:val="0"/>
              <w:spacing w:before="50" w:after="50"/>
              <w:jc w:val="center"/>
              <w:rPr>
                <w:rFonts w:ascii="宋体"/>
                <w:color w:val="auto"/>
                <w:sz w:val="24"/>
                <w:szCs w:val="24"/>
                <w:highlight w:val="none"/>
              </w:rPr>
            </w:pPr>
          </w:p>
        </w:tc>
      </w:tr>
    </w:tbl>
    <w:p w14:paraId="2BD7768E">
      <w:pPr>
        <w:spacing w:line="360" w:lineRule="auto"/>
        <w:ind w:left="3780" w:leftChars="1800" w:firstLine="480" w:firstLineChars="200"/>
        <w:rPr>
          <w:rFonts w:ascii="宋体"/>
          <w:color w:val="auto"/>
          <w:sz w:val="24"/>
          <w:szCs w:val="24"/>
          <w:highlight w:val="none"/>
        </w:rPr>
      </w:pPr>
    </w:p>
    <w:p w14:paraId="28893D50">
      <w:pPr>
        <w:spacing w:line="360" w:lineRule="auto"/>
        <w:rPr>
          <w:rFonts w:ascii="宋体"/>
          <w:color w:val="auto"/>
          <w:sz w:val="24"/>
          <w:szCs w:val="24"/>
          <w:highlight w:val="none"/>
        </w:rPr>
      </w:pPr>
      <w:r>
        <w:rPr>
          <w:rFonts w:hint="eastAsia" w:ascii="宋体"/>
          <w:color w:val="auto"/>
          <w:sz w:val="24"/>
          <w:szCs w:val="24"/>
          <w:highlight w:val="none"/>
        </w:rPr>
        <w:t>注：</w:t>
      </w:r>
      <w:r>
        <w:rPr>
          <w:rFonts w:hint="eastAsia" w:ascii="宋体"/>
          <w:color w:val="auto"/>
          <w:sz w:val="24"/>
          <w:szCs w:val="24"/>
          <w:highlight w:val="none"/>
          <w:lang w:val="en-US" w:eastAsia="zh-CN"/>
        </w:rPr>
        <w:t>本表</w:t>
      </w:r>
      <w:r>
        <w:rPr>
          <w:rFonts w:hint="eastAsia" w:ascii="宋体"/>
          <w:color w:val="auto"/>
          <w:sz w:val="24"/>
          <w:szCs w:val="24"/>
          <w:highlight w:val="none"/>
        </w:rPr>
        <w:t>可根据供应商实际情况自行调整。</w:t>
      </w:r>
    </w:p>
    <w:p w14:paraId="380DD307">
      <w:pPr>
        <w:spacing w:line="360" w:lineRule="auto"/>
        <w:ind w:left="3780" w:leftChars="1800" w:firstLine="480" w:firstLineChars="200"/>
        <w:rPr>
          <w:rFonts w:ascii="宋体"/>
          <w:color w:val="auto"/>
          <w:sz w:val="24"/>
          <w:szCs w:val="24"/>
          <w:highlight w:val="none"/>
        </w:rPr>
      </w:pPr>
    </w:p>
    <w:p w14:paraId="774763A2">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97BE91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0A23124">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65E76EFA">
      <w:pPr>
        <w:snapToGrid w:val="0"/>
        <w:spacing w:before="50" w:after="50"/>
        <w:rPr>
          <w:rFonts w:ascii="宋体"/>
          <w:b/>
          <w:bCs/>
          <w:color w:val="auto"/>
          <w:sz w:val="24"/>
          <w:szCs w:val="24"/>
          <w:highlight w:val="none"/>
          <w:lang w:val="zh-CN"/>
        </w:rPr>
      </w:pPr>
      <w:r>
        <w:rPr>
          <w:rFonts w:ascii="宋体"/>
          <w:color w:val="auto"/>
          <w:sz w:val="24"/>
          <w:szCs w:val="24"/>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val="zh-CN"/>
        </w:rPr>
        <w:t>：</w:t>
      </w:r>
    </w:p>
    <w:p w14:paraId="682FFCC7">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项目组人员清单</w:t>
      </w:r>
    </w:p>
    <w:p w14:paraId="36FDF563">
      <w:pPr>
        <w:snapToGrid w:val="0"/>
        <w:spacing w:beforeLines="50" w:after="50"/>
        <w:jc w:val="center"/>
        <w:rPr>
          <w:rFonts w:ascii="宋体"/>
          <w:b/>
          <w:bCs/>
          <w:color w:val="auto"/>
          <w:sz w:val="30"/>
          <w:szCs w:val="30"/>
          <w:highlight w:val="none"/>
        </w:rPr>
      </w:pPr>
    </w:p>
    <w:p w14:paraId="226D44B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324E363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采购编号：</w:t>
      </w:r>
    </w:p>
    <w:tbl>
      <w:tblPr>
        <w:tblStyle w:val="28"/>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EFA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61B85D27">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EA59BF1">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4CCD94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05D43A3">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62963C2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2B1A88DD">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78358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7500B3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DEA5F9A">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D0BC4FE">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0D30C97">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3C1638B">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4BDEBD4">
            <w:pPr>
              <w:snapToGrid w:val="0"/>
              <w:spacing w:before="156" w:beforeLines="50" w:after="50" w:line="460" w:lineRule="exact"/>
              <w:rPr>
                <w:rFonts w:ascii="宋体"/>
                <w:color w:val="auto"/>
                <w:sz w:val="24"/>
                <w:szCs w:val="24"/>
                <w:highlight w:val="none"/>
              </w:rPr>
            </w:pPr>
          </w:p>
        </w:tc>
      </w:tr>
      <w:tr w14:paraId="38303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C0332B3">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41B35CE">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772FAA8">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D9A37C6">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B6F78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7AE4C0D">
            <w:pPr>
              <w:snapToGrid w:val="0"/>
              <w:spacing w:before="156" w:beforeLines="50" w:after="50" w:line="460" w:lineRule="exact"/>
              <w:rPr>
                <w:rFonts w:ascii="宋体"/>
                <w:color w:val="auto"/>
                <w:sz w:val="24"/>
                <w:szCs w:val="24"/>
                <w:highlight w:val="none"/>
              </w:rPr>
            </w:pPr>
          </w:p>
        </w:tc>
      </w:tr>
      <w:tr w14:paraId="311D6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555E917">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78E0AAC">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814C731">
            <w:pPr>
              <w:pStyle w:val="17"/>
              <w:snapToGrid w:val="0"/>
              <w:spacing w:before="156"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EE8128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2D5F32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33C1328">
            <w:pPr>
              <w:snapToGrid w:val="0"/>
              <w:spacing w:before="156" w:beforeLines="50" w:after="50" w:line="460" w:lineRule="exact"/>
              <w:rPr>
                <w:rFonts w:ascii="宋体"/>
                <w:color w:val="auto"/>
                <w:sz w:val="24"/>
                <w:szCs w:val="24"/>
                <w:highlight w:val="none"/>
              </w:rPr>
            </w:pPr>
          </w:p>
        </w:tc>
      </w:tr>
      <w:tr w14:paraId="2C5F7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884FC6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4A3915A">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9B0F74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28163DF">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22CF38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7330E35">
            <w:pPr>
              <w:snapToGrid w:val="0"/>
              <w:spacing w:before="156" w:beforeLines="50" w:after="50" w:line="460" w:lineRule="exact"/>
              <w:rPr>
                <w:rFonts w:ascii="宋体"/>
                <w:color w:val="auto"/>
                <w:sz w:val="24"/>
                <w:szCs w:val="24"/>
                <w:highlight w:val="none"/>
              </w:rPr>
            </w:pPr>
          </w:p>
        </w:tc>
      </w:tr>
      <w:tr w14:paraId="0F093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BDAE1F2">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0752D0B">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5CC9B22">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869016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471379C">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3CEB916">
            <w:pPr>
              <w:snapToGrid w:val="0"/>
              <w:spacing w:before="156" w:beforeLines="50" w:after="50" w:line="460" w:lineRule="exact"/>
              <w:rPr>
                <w:rFonts w:ascii="宋体"/>
                <w:color w:val="auto"/>
                <w:sz w:val="24"/>
                <w:szCs w:val="24"/>
                <w:highlight w:val="none"/>
              </w:rPr>
            </w:pPr>
          </w:p>
        </w:tc>
      </w:tr>
      <w:tr w14:paraId="24F1D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CED36E7">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E2362DF">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1A8B574">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E59D2F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E96E9F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4713D80">
            <w:pPr>
              <w:snapToGrid w:val="0"/>
              <w:spacing w:before="156" w:beforeLines="50" w:after="50" w:line="460" w:lineRule="exact"/>
              <w:rPr>
                <w:rFonts w:ascii="宋体"/>
                <w:color w:val="auto"/>
                <w:sz w:val="24"/>
                <w:szCs w:val="24"/>
                <w:highlight w:val="none"/>
              </w:rPr>
            </w:pPr>
          </w:p>
        </w:tc>
      </w:tr>
      <w:tr w14:paraId="049BF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F6FF6C7">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48DD11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175E455">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C6F1E42">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C5B2524">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18B7317">
            <w:pPr>
              <w:snapToGrid w:val="0"/>
              <w:spacing w:before="156" w:beforeLines="50" w:after="50" w:line="460" w:lineRule="exact"/>
              <w:rPr>
                <w:rFonts w:ascii="宋体"/>
                <w:color w:val="auto"/>
                <w:sz w:val="24"/>
                <w:szCs w:val="24"/>
                <w:highlight w:val="none"/>
              </w:rPr>
            </w:pPr>
          </w:p>
        </w:tc>
      </w:tr>
      <w:tr w14:paraId="5F981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A91929B">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0E99B2D">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C35A88D">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1728C08">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7230F93">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D03942B">
            <w:pPr>
              <w:snapToGrid w:val="0"/>
              <w:spacing w:before="156" w:beforeLines="50" w:after="50" w:line="460" w:lineRule="exact"/>
              <w:rPr>
                <w:rFonts w:ascii="宋体"/>
                <w:color w:val="auto"/>
                <w:sz w:val="24"/>
                <w:szCs w:val="24"/>
                <w:highlight w:val="none"/>
              </w:rPr>
            </w:pPr>
          </w:p>
        </w:tc>
      </w:tr>
      <w:tr w14:paraId="6374C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894C961">
            <w:pPr>
              <w:snapToGrid w:val="0"/>
              <w:spacing w:before="156"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7F86CF8">
            <w:pPr>
              <w:snapToGrid w:val="0"/>
              <w:spacing w:before="156"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A2163D3">
            <w:pPr>
              <w:snapToGrid w:val="0"/>
              <w:spacing w:before="156"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CCAB20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64C956E">
            <w:pPr>
              <w:snapToGrid w:val="0"/>
              <w:spacing w:before="156" w:beforeLines="50" w:after="50" w:line="460" w:lineRule="exact"/>
              <w:rPr>
                <w:rFonts w:ascii="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B333354">
            <w:pPr>
              <w:snapToGrid w:val="0"/>
              <w:spacing w:before="156" w:beforeLines="50" w:after="50" w:line="460" w:lineRule="exact"/>
              <w:rPr>
                <w:rFonts w:ascii="宋体"/>
                <w:color w:val="auto"/>
                <w:sz w:val="24"/>
                <w:szCs w:val="24"/>
                <w:highlight w:val="none"/>
              </w:rPr>
            </w:pPr>
          </w:p>
        </w:tc>
      </w:tr>
    </w:tbl>
    <w:p w14:paraId="54C074E3">
      <w:pPr>
        <w:spacing w:line="360" w:lineRule="auto"/>
        <w:ind w:firstLine="480" w:firstLineChars="200"/>
        <w:rPr>
          <w:rFonts w:ascii="宋体"/>
          <w:color w:val="auto"/>
          <w:sz w:val="24"/>
          <w:szCs w:val="24"/>
          <w:highlight w:val="none"/>
        </w:rPr>
      </w:pPr>
    </w:p>
    <w:p w14:paraId="2914F8E7">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0421EA09">
      <w:pPr>
        <w:pStyle w:val="12"/>
        <w:rPr>
          <w:rFonts w:cs="Times New Roman"/>
          <w:color w:val="auto"/>
          <w:highlight w:val="none"/>
        </w:rPr>
      </w:pPr>
    </w:p>
    <w:p w14:paraId="1E5EEBD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334E021">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6D4297B5">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5D86A0FD">
      <w:pPr>
        <w:spacing w:line="360" w:lineRule="auto"/>
        <w:jc w:val="center"/>
        <w:rPr>
          <w:rFonts w:ascii="宋体"/>
          <w:b/>
          <w:bCs/>
          <w:color w:val="auto"/>
          <w:kern w:val="0"/>
          <w:sz w:val="36"/>
          <w:szCs w:val="36"/>
          <w:highlight w:val="none"/>
        </w:rPr>
      </w:pPr>
      <w:r>
        <w:rPr>
          <w:rFonts w:ascii="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5E16F754">
      <w:pPr>
        <w:spacing w:line="360" w:lineRule="auto"/>
        <w:jc w:val="center"/>
        <w:rPr>
          <w:rFonts w:ascii="宋体"/>
          <w:b/>
          <w:bCs/>
          <w:color w:val="auto"/>
          <w:kern w:val="0"/>
          <w:sz w:val="36"/>
          <w:szCs w:val="36"/>
          <w:highlight w:val="none"/>
        </w:rPr>
      </w:pPr>
    </w:p>
    <w:p w14:paraId="2B3E20F5">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14:paraId="395A263A">
      <w:pPr>
        <w:pStyle w:val="12"/>
        <w:ind w:firstLine="723"/>
        <w:rPr>
          <w:rFonts w:cs="Times New Roman"/>
          <w:b/>
          <w:bCs/>
          <w:color w:val="auto"/>
          <w:kern w:val="0"/>
          <w:sz w:val="36"/>
          <w:szCs w:val="36"/>
          <w:highlight w:val="none"/>
        </w:rPr>
      </w:pPr>
    </w:p>
    <w:p w14:paraId="28A9582D">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）磋商函（格式见附件）；</w:t>
      </w:r>
    </w:p>
    <w:p w14:paraId="3157103D">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）报价一览表（格式见附件）；</w:t>
      </w:r>
    </w:p>
    <w:p w14:paraId="69AD401D">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）磋商报价明细表（格式见附件）。</w:t>
      </w:r>
    </w:p>
    <w:p w14:paraId="5D5EC320">
      <w:pPr>
        <w:rPr>
          <w:rFonts w:ascii="宋体"/>
          <w:color w:val="auto"/>
          <w:highlight w:val="none"/>
        </w:rPr>
      </w:pPr>
    </w:p>
    <w:p w14:paraId="403A47B4">
      <w:pPr>
        <w:rPr>
          <w:rFonts w:ascii="宋体"/>
          <w:color w:val="auto"/>
          <w:highlight w:val="none"/>
        </w:rPr>
      </w:pPr>
      <w:r>
        <w:rPr>
          <w:rFonts w:ascii="宋体"/>
          <w:color w:val="auto"/>
          <w:highlight w:val="none"/>
        </w:rPr>
        <w:br w:type="page"/>
      </w:r>
    </w:p>
    <w:p w14:paraId="30271097">
      <w:pPr>
        <w:rPr>
          <w:rFonts w:ascii="宋体"/>
          <w:b/>
          <w:bCs/>
          <w:color w:val="auto"/>
          <w:highlight w:val="none"/>
          <w:lang w:val="zh-CN"/>
        </w:rPr>
      </w:pPr>
      <w:bookmarkStart w:id="106" w:name="_Toc3094"/>
      <w:r>
        <w:rPr>
          <w:rFonts w:hint="eastAsia" w:cs="宋体"/>
          <w:b/>
          <w:bCs/>
          <w:color w:val="auto"/>
          <w:sz w:val="24"/>
          <w:szCs w:val="24"/>
          <w:highlight w:val="none"/>
          <w:lang w:val="zh-CN"/>
        </w:rPr>
        <w:t>附件</w:t>
      </w:r>
      <w:bookmarkStart w:id="107" w:name="_Toc130094924"/>
      <w:bookmarkStart w:id="108" w:name="_Toc98731770"/>
      <w:r>
        <w:rPr>
          <w:rFonts w:hint="eastAsia" w:cs="宋体"/>
          <w:b/>
          <w:bCs/>
          <w:color w:val="auto"/>
          <w:sz w:val="24"/>
          <w:szCs w:val="24"/>
          <w:highlight w:val="none"/>
          <w:lang w:val="en-US" w:eastAsia="zh-CN"/>
        </w:rPr>
        <w:t>十二</w:t>
      </w:r>
      <w:r>
        <w:rPr>
          <w:rFonts w:hint="eastAsia" w:cs="宋体"/>
          <w:b/>
          <w:bCs/>
          <w:color w:val="auto"/>
          <w:sz w:val="24"/>
          <w:szCs w:val="24"/>
          <w:highlight w:val="none"/>
        </w:rPr>
        <w:t>：</w:t>
      </w:r>
    </w:p>
    <w:p w14:paraId="0C739AF2">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商</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函</w:t>
      </w:r>
      <w:bookmarkEnd w:id="106"/>
      <w:bookmarkEnd w:id="107"/>
      <w:bookmarkEnd w:id="108"/>
    </w:p>
    <w:p w14:paraId="08C564B8">
      <w:pPr>
        <w:spacing w:line="360" w:lineRule="auto"/>
        <w:ind w:firstLine="480" w:firstLineChars="200"/>
        <w:rPr>
          <w:rFonts w:ascii="宋体"/>
          <w:color w:val="auto"/>
          <w:sz w:val="24"/>
          <w:szCs w:val="24"/>
          <w:highlight w:val="none"/>
          <w:u w:val="single"/>
        </w:rPr>
      </w:pPr>
    </w:p>
    <w:p w14:paraId="3E46CF0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eastAsia="zh-CN"/>
        </w:rPr>
        <w:t>绍兴市上虞区市场监督管理局</w:t>
      </w:r>
      <w:r>
        <w:rPr>
          <w:rFonts w:hint="eastAsia" w:ascii="宋体" w:hAnsi="宋体" w:cs="宋体"/>
          <w:color w:val="auto"/>
          <w:sz w:val="24"/>
          <w:szCs w:val="24"/>
          <w:highlight w:val="none"/>
        </w:rPr>
        <w:t>：</w:t>
      </w:r>
    </w:p>
    <w:p w14:paraId="03C29C5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浙江宇康工程管理咨询有限公司：</w:t>
      </w:r>
    </w:p>
    <w:p w14:paraId="08BC2A19">
      <w:pPr>
        <w:spacing w:line="360" w:lineRule="auto"/>
        <w:ind w:firstLine="480"/>
        <w:jc w:val="left"/>
        <w:rPr>
          <w:rFonts w:asci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5355B70C">
      <w:pPr>
        <w:spacing w:line="360" w:lineRule="auto"/>
        <w:ind w:firstLine="504" w:firstLineChars="240"/>
        <w:rPr>
          <w:rFonts w:ascii="宋体"/>
          <w:color w:val="auto"/>
          <w:sz w:val="24"/>
          <w:szCs w:val="24"/>
          <w:highlight w:val="none"/>
        </w:rPr>
      </w:pPr>
      <w:r>
        <w:rPr>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、一旦我单位中标，我单位愿意承接报价一览表中所列的技术服务，服务期为：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536F3A8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4105949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、一旦我单位中标，我们保证按照磋商文件的要求，完成服务。</w:t>
      </w:r>
    </w:p>
    <w:p w14:paraId="4CE57E2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363AD06C">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、除非另行达成协议并生效，你方的成交通知书和本磋商函将构成约束你我双方的合同。</w:t>
      </w:r>
    </w:p>
    <w:p w14:paraId="3BF882E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、我单位承诺，一旦发生磋商文件第二部分第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16DFAFFF">
      <w:pPr>
        <w:pStyle w:val="16"/>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40541274">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02356A3F">
      <w:pP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6C5D0A2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36CEA38E">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243C5C86">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760B4DD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21D1C69D">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A5FCF18">
      <w:pPr>
        <w:spacing w:line="360" w:lineRule="auto"/>
        <w:ind w:firstLine="5280" w:firstLineChars="2200"/>
        <w:rPr>
          <w:rFonts w:ascii="宋体"/>
          <w:color w:val="auto"/>
          <w:sz w:val="24"/>
          <w:szCs w:val="24"/>
          <w:highlight w:val="none"/>
        </w:rPr>
      </w:pPr>
    </w:p>
    <w:p w14:paraId="0AE3280D">
      <w:pPr>
        <w:rPr>
          <w:color w:val="auto"/>
          <w:sz w:val="24"/>
          <w:szCs w:val="24"/>
          <w:highlight w:val="none"/>
          <w:lang w:val="zh-CN"/>
        </w:rPr>
      </w:pPr>
      <w:bookmarkStart w:id="109" w:name="_Toc12011"/>
      <w:r>
        <w:rPr>
          <w:color w:val="auto"/>
          <w:sz w:val="24"/>
          <w:szCs w:val="24"/>
          <w:highlight w:val="none"/>
          <w:lang w:val="zh-CN"/>
        </w:rPr>
        <w:br w:type="page"/>
      </w:r>
    </w:p>
    <w:p w14:paraId="01176C4E">
      <w:pPr>
        <w:rPr>
          <w:b/>
          <w:bCs/>
          <w:color w:val="auto"/>
          <w:sz w:val="24"/>
          <w:szCs w:val="24"/>
          <w:highlight w:val="none"/>
          <w:lang w:val="zh-CN"/>
        </w:rPr>
      </w:pPr>
      <w:r>
        <w:rPr>
          <w:rFonts w:hint="eastAsia" w:cs="宋体"/>
          <w:b/>
          <w:bCs/>
          <w:color w:val="auto"/>
          <w:sz w:val="24"/>
          <w:szCs w:val="24"/>
          <w:highlight w:val="none"/>
          <w:lang w:val="zh-CN"/>
        </w:rPr>
        <w:t>附件</w:t>
      </w:r>
      <w:bookmarkStart w:id="110" w:name="_Toc98731771"/>
      <w:bookmarkStart w:id="111" w:name="_Toc130094925"/>
      <w:r>
        <w:rPr>
          <w:rFonts w:hint="eastAsia" w:cs="宋体"/>
          <w:b/>
          <w:bCs/>
          <w:color w:val="auto"/>
          <w:sz w:val="24"/>
          <w:szCs w:val="24"/>
          <w:highlight w:val="none"/>
        </w:rPr>
        <w:t>十</w:t>
      </w:r>
      <w:r>
        <w:rPr>
          <w:rFonts w:hint="eastAsia" w:cs="宋体"/>
          <w:b/>
          <w:bCs/>
          <w:color w:val="auto"/>
          <w:sz w:val="24"/>
          <w:szCs w:val="24"/>
          <w:highlight w:val="none"/>
          <w:lang w:val="en-US" w:eastAsia="zh-CN"/>
        </w:rPr>
        <w:t>三</w:t>
      </w:r>
      <w:r>
        <w:rPr>
          <w:rFonts w:hint="eastAsia" w:cs="宋体"/>
          <w:b/>
          <w:bCs/>
          <w:color w:val="auto"/>
          <w:sz w:val="24"/>
          <w:szCs w:val="24"/>
          <w:highlight w:val="none"/>
        </w:rPr>
        <w:t>：</w:t>
      </w:r>
    </w:p>
    <w:p w14:paraId="3634BCEF">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报价一览表</w:t>
      </w:r>
      <w:bookmarkEnd w:id="109"/>
      <w:bookmarkEnd w:id="110"/>
      <w:bookmarkEnd w:id="111"/>
    </w:p>
    <w:p w14:paraId="04374A26">
      <w:pPr>
        <w:pStyle w:val="16"/>
        <w:spacing w:line="360" w:lineRule="auto"/>
        <w:rPr>
          <w:rFonts w:hAnsi="宋体" w:cs="Times New Roman"/>
          <w:color w:val="auto"/>
          <w:sz w:val="24"/>
          <w:szCs w:val="24"/>
          <w:highlight w:val="none"/>
        </w:rPr>
      </w:pPr>
    </w:p>
    <w:p w14:paraId="2E7A9178">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544106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7C22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2089" w:type="dxa"/>
            <w:noWrap w:val="0"/>
            <w:vAlign w:val="center"/>
          </w:tcPr>
          <w:p w14:paraId="119026C9">
            <w:pPr>
              <w:pStyle w:val="16"/>
              <w:spacing w:line="360" w:lineRule="auto"/>
              <w:jc w:val="center"/>
              <w:rPr>
                <w:rFonts w:hint="eastAsia" w:hAnsi="宋体" w:cs="宋体"/>
                <w:b/>
                <w:bCs/>
                <w:color w:val="auto"/>
                <w:sz w:val="24"/>
                <w:highlight w:val="none"/>
              </w:rPr>
            </w:pPr>
            <w:r>
              <w:rPr>
                <w:rFonts w:hint="eastAsia" w:hAnsi="宋体" w:cs="宋体"/>
                <w:b/>
                <w:bCs/>
                <w:color w:val="auto"/>
                <w:sz w:val="24"/>
                <w:highlight w:val="none"/>
              </w:rPr>
              <w:t>投标报价</w:t>
            </w:r>
          </w:p>
        </w:tc>
        <w:tc>
          <w:tcPr>
            <w:tcW w:w="6707" w:type="dxa"/>
            <w:noWrap w:val="0"/>
            <w:vAlign w:val="center"/>
          </w:tcPr>
          <w:p w14:paraId="482E559A">
            <w:pPr>
              <w:pStyle w:val="16"/>
              <w:spacing w:line="360" w:lineRule="auto"/>
              <w:jc w:val="center"/>
              <w:rPr>
                <w:rFonts w:hint="eastAsia" w:hAnsi="宋体" w:cs="宋体"/>
                <w:b/>
                <w:bCs/>
                <w:color w:val="auto"/>
                <w:sz w:val="24"/>
                <w:highlight w:val="none"/>
              </w:rPr>
            </w:pPr>
            <w:r>
              <w:rPr>
                <w:rFonts w:hint="eastAsia" w:hAnsi="宋体" w:cs="宋体"/>
                <w:b/>
                <w:bCs/>
                <w:color w:val="auto"/>
                <w:sz w:val="24"/>
                <w:highlight w:val="none"/>
              </w:rPr>
              <w:t>大写：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元（小写：</w:t>
            </w:r>
            <w:r>
              <w:rPr>
                <w:rFonts w:hint="eastAsia" w:hAnsi="宋体" w:cs="宋体"/>
                <w:b/>
                <w:bCs/>
                <w:color w:val="auto"/>
                <w:sz w:val="24"/>
                <w:highlight w:val="none"/>
                <w:u w:val="single"/>
              </w:rPr>
              <w:t xml:space="preserve">　　　　 </w:t>
            </w:r>
            <w:r>
              <w:rPr>
                <w:rFonts w:hint="eastAsia" w:hAnsi="宋体" w:cs="宋体"/>
                <w:b/>
                <w:bCs/>
                <w:color w:val="auto"/>
                <w:sz w:val="24"/>
                <w:highlight w:val="none"/>
              </w:rPr>
              <w:t>元）</w:t>
            </w:r>
          </w:p>
        </w:tc>
      </w:tr>
      <w:tr w14:paraId="083D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noWrap w:val="0"/>
            <w:vAlign w:val="center"/>
          </w:tcPr>
          <w:p w14:paraId="5BCB809C">
            <w:pPr>
              <w:pStyle w:val="58"/>
              <w:tabs>
                <w:tab w:val="left" w:pos="0"/>
              </w:tabs>
              <w:spacing w:before="0"/>
              <w:ind w:firstLine="482" w:firstLineChars="200"/>
              <w:rPr>
                <w:rFonts w:hint="eastAsia" w:ascii="宋体" w:hAnsi="宋体" w:cs="宋体"/>
                <w:b/>
                <w:bCs/>
                <w:color w:val="auto"/>
                <w:highlight w:val="none"/>
              </w:rPr>
            </w:pPr>
            <w:r>
              <w:rPr>
                <w:rFonts w:hint="eastAsia" w:hAnsi="宋体" w:cs="Times New Roman"/>
                <w:b/>
                <w:bCs/>
                <w:color w:val="auto"/>
                <w:sz w:val="24"/>
                <w:szCs w:val="24"/>
                <w:highlight w:val="none"/>
              </w:rPr>
              <w:t>投标报价统一为人民币计价，本次报价方式为总价包干，</w:t>
            </w:r>
            <w:r>
              <w:rPr>
                <w:rFonts w:hint="eastAsia" w:hAnsi="宋体" w:cs="Times New Roman"/>
                <w:b/>
                <w:bCs/>
                <w:color w:val="auto"/>
                <w:sz w:val="24"/>
                <w:szCs w:val="24"/>
                <w:highlight w:val="none"/>
                <w:lang w:val="en-US" w:eastAsia="zh-CN"/>
              </w:rPr>
              <w:t>包括但不限于抽检人员差旅费（含交通费、住宿费、出差伙食补助费）</w:t>
            </w:r>
            <w:r>
              <w:rPr>
                <w:rFonts w:hint="eastAsia" w:hAnsi="宋体" w:cs="Times New Roman"/>
                <w:b/>
                <w:bCs/>
                <w:color w:val="auto"/>
                <w:sz w:val="24"/>
                <w:szCs w:val="24"/>
                <w:highlight w:val="none"/>
              </w:rPr>
              <w:t>、</w:t>
            </w:r>
            <w:r>
              <w:rPr>
                <w:rFonts w:hint="eastAsia" w:hAnsi="宋体" w:cs="Times New Roman"/>
                <w:b/>
                <w:bCs/>
                <w:color w:val="auto"/>
                <w:sz w:val="24"/>
                <w:szCs w:val="24"/>
                <w:highlight w:val="none"/>
                <w:lang w:val="en-US" w:eastAsia="zh-CN"/>
              </w:rPr>
              <w:t>机械、易耗抽样工具购置费、检测费、材料费、运输费、样品购买费用、招标代理费、</w:t>
            </w:r>
            <w:r>
              <w:rPr>
                <w:rFonts w:hint="eastAsia" w:hAnsi="宋体" w:cs="Times New Roman"/>
                <w:b/>
                <w:bCs/>
                <w:color w:val="auto"/>
                <w:sz w:val="24"/>
                <w:szCs w:val="24"/>
                <w:highlight w:val="none"/>
              </w:rPr>
              <w:t>税费等一切费用。凡供应商在报价中未列明但又为本次采购所必备的项目或遗漏项目，采购方将一律视为已包括在合同价中，在合同执行中将不予考虑。</w:t>
            </w:r>
          </w:p>
        </w:tc>
      </w:tr>
    </w:tbl>
    <w:p w14:paraId="5F9561C9">
      <w:pP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 xml:space="preserve">  </w:t>
      </w:r>
      <w:r>
        <w:rPr>
          <w:rFonts w:ascii="宋体" w:hAnsi="宋体" w:cs="宋体"/>
          <w:color w:val="auto"/>
          <w:sz w:val="24"/>
          <w:szCs w:val="24"/>
          <w:highlight w:val="none"/>
        </w:rPr>
        <w:t xml:space="preserve">            </w:t>
      </w:r>
    </w:p>
    <w:p w14:paraId="67646DB7">
      <w:pPr>
        <w:pStyle w:val="16"/>
        <w:spacing w:line="360" w:lineRule="auto"/>
        <w:rPr>
          <w:rFonts w:hAnsi="宋体" w:cs="Times New Roman"/>
          <w:color w:val="auto"/>
          <w:sz w:val="24"/>
          <w:szCs w:val="24"/>
          <w:highlight w:val="none"/>
        </w:rPr>
      </w:pPr>
    </w:p>
    <w:p w14:paraId="544719BB">
      <w:pPr>
        <w:pStyle w:val="16"/>
        <w:spacing w:line="360" w:lineRule="auto"/>
        <w:rPr>
          <w:rFonts w:hAnsi="宋体" w:cs="Times New Roman"/>
          <w:color w:val="auto"/>
          <w:sz w:val="24"/>
          <w:szCs w:val="24"/>
          <w:highlight w:val="none"/>
        </w:rPr>
      </w:pPr>
    </w:p>
    <w:p w14:paraId="0F69EE66">
      <w:pPr>
        <w:pStyle w:val="16"/>
        <w:spacing w:line="360" w:lineRule="auto"/>
        <w:rPr>
          <w:rFonts w:hAnsi="宋体" w:cs="Times New Roman"/>
          <w:color w:val="auto"/>
          <w:sz w:val="24"/>
          <w:szCs w:val="24"/>
          <w:highlight w:val="none"/>
        </w:rPr>
      </w:pPr>
    </w:p>
    <w:p w14:paraId="331F523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31BEFEBC">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5ABC4279">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供应商全称（公章）：</w:t>
      </w:r>
    </w:p>
    <w:p w14:paraId="157011C9">
      <w:pPr>
        <w:snapToGrid w:val="0"/>
        <w:spacing w:line="360" w:lineRule="auto"/>
        <w:ind w:firstLine="435"/>
        <w:rPr>
          <w:rFonts w:ascii="宋体"/>
          <w:color w:val="auto"/>
          <w:highlight w:val="none"/>
        </w:rPr>
      </w:pPr>
    </w:p>
    <w:p w14:paraId="79CDA441">
      <w:pPr>
        <w:rPr>
          <w:rFonts w:hint="eastAsia" w:ascii="宋体" w:hAnsi="宋体" w:cs="宋体"/>
          <w:b/>
          <w:bCs/>
          <w:color w:val="auto"/>
          <w:sz w:val="24"/>
          <w:szCs w:val="24"/>
          <w:highlight w:val="none"/>
          <w:lang w:val="zh-CN"/>
        </w:rPr>
      </w:pPr>
      <w:bookmarkStart w:id="112" w:name="_Toc7196"/>
      <w:r>
        <w:rPr>
          <w:rFonts w:hint="eastAsia" w:ascii="宋体" w:hAnsi="宋体" w:cs="宋体"/>
          <w:b/>
          <w:bCs/>
          <w:color w:val="auto"/>
          <w:sz w:val="24"/>
          <w:szCs w:val="24"/>
          <w:highlight w:val="none"/>
          <w:lang w:val="zh-CN"/>
        </w:rPr>
        <w:br w:type="page"/>
      </w:r>
    </w:p>
    <w:p w14:paraId="08A8AAD5">
      <w:pPr>
        <w:spacing w:line="360" w:lineRule="auto"/>
        <w:jc w:val="left"/>
        <w:rPr>
          <w:rFonts w:ascii="宋体"/>
          <w:b/>
          <w:bCs/>
          <w:color w:val="auto"/>
          <w:sz w:val="24"/>
          <w:szCs w:val="24"/>
          <w:highlight w:val="none"/>
          <w:lang w:val="zh-CN"/>
        </w:rPr>
      </w:pPr>
      <w:r>
        <w:rPr>
          <w:rFonts w:hint="eastAsia" w:ascii="宋体" w:hAnsi="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7C31CD46">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磋商报价明细表</w:t>
      </w:r>
    </w:p>
    <w:p w14:paraId="70AFEEC7">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14:paraId="799A870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ascii="宋体" w:hAnsi="宋体" w:cs="宋体"/>
          <w:color w:val="auto"/>
          <w:sz w:val="24"/>
          <w:szCs w:val="24"/>
          <w:highlight w:val="none"/>
        </w:rPr>
        <w:t xml:space="preserve">      </w:t>
      </w:r>
    </w:p>
    <w:tbl>
      <w:tblPr>
        <w:tblStyle w:val="28"/>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5A1D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177987BB">
            <w:pPr>
              <w:pStyle w:val="16"/>
              <w:spacing w:line="360" w:lineRule="auto"/>
              <w:jc w:val="center"/>
              <w:rPr>
                <w:rFonts w:hAnsi="宋体"/>
                <w:color w:val="auto"/>
                <w:sz w:val="24"/>
                <w:szCs w:val="24"/>
                <w:highlight w:val="none"/>
              </w:rPr>
            </w:pPr>
            <w:r>
              <w:rPr>
                <w:rFonts w:hint="eastAsia" w:hAnsi="宋体"/>
                <w:color w:val="auto"/>
                <w:sz w:val="24"/>
                <w:szCs w:val="24"/>
                <w:highlight w:val="none"/>
              </w:rPr>
              <w:t>序</w:t>
            </w:r>
          </w:p>
          <w:p w14:paraId="2EE5E48D">
            <w:pPr>
              <w:pStyle w:val="16"/>
              <w:spacing w:line="360" w:lineRule="auto"/>
              <w:jc w:val="center"/>
              <w:rPr>
                <w:rFonts w:hAnsi="宋体"/>
                <w:color w:val="auto"/>
                <w:sz w:val="24"/>
                <w:szCs w:val="24"/>
                <w:highlight w:val="none"/>
              </w:rPr>
            </w:pPr>
            <w:r>
              <w:rPr>
                <w:rFonts w:hint="eastAsia" w:hAnsi="宋体"/>
                <w:color w:val="auto"/>
                <w:sz w:val="24"/>
                <w:szCs w:val="24"/>
                <w:highlight w:val="none"/>
              </w:rPr>
              <w:t>号</w:t>
            </w:r>
          </w:p>
        </w:tc>
        <w:tc>
          <w:tcPr>
            <w:tcW w:w="1927" w:type="dxa"/>
            <w:vMerge w:val="restart"/>
            <w:vAlign w:val="center"/>
          </w:tcPr>
          <w:p w14:paraId="2CD48136">
            <w:pPr>
              <w:pStyle w:val="16"/>
              <w:spacing w:line="360" w:lineRule="auto"/>
              <w:jc w:val="center"/>
              <w:rPr>
                <w:rFonts w:hAnsi="宋体"/>
                <w:color w:val="auto"/>
                <w:sz w:val="24"/>
                <w:szCs w:val="24"/>
                <w:highlight w:val="none"/>
              </w:rPr>
            </w:pPr>
            <w:r>
              <w:rPr>
                <w:rFonts w:hint="eastAsia" w:hAnsi="宋体"/>
                <w:color w:val="auto"/>
                <w:sz w:val="24"/>
                <w:szCs w:val="24"/>
                <w:highlight w:val="none"/>
              </w:rPr>
              <w:t>名称</w:t>
            </w:r>
          </w:p>
        </w:tc>
        <w:tc>
          <w:tcPr>
            <w:tcW w:w="1065" w:type="dxa"/>
            <w:vMerge w:val="restart"/>
            <w:vAlign w:val="center"/>
          </w:tcPr>
          <w:p w14:paraId="1A536261">
            <w:pPr>
              <w:pStyle w:val="16"/>
              <w:spacing w:line="360" w:lineRule="auto"/>
              <w:jc w:val="center"/>
              <w:rPr>
                <w:rFonts w:hAnsi="宋体"/>
                <w:color w:val="auto"/>
                <w:sz w:val="24"/>
                <w:szCs w:val="24"/>
                <w:highlight w:val="none"/>
              </w:rPr>
            </w:pPr>
            <w:r>
              <w:rPr>
                <w:rFonts w:hint="eastAsia" w:hAnsi="宋体"/>
                <w:color w:val="auto"/>
                <w:sz w:val="24"/>
                <w:szCs w:val="24"/>
                <w:highlight w:val="none"/>
              </w:rPr>
              <w:t>内容</w:t>
            </w:r>
          </w:p>
        </w:tc>
        <w:tc>
          <w:tcPr>
            <w:tcW w:w="1755" w:type="dxa"/>
            <w:vMerge w:val="restart"/>
            <w:vAlign w:val="center"/>
          </w:tcPr>
          <w:p w14:paraId="2898D251">
            <w:pPr>
              <w:pStyle w:val="16"/>
              <w:spacing w:line="360" w:lineRule="auto"/>
              <w:jc w:val="center"/>
              <w:rPr>
                <w:rFonts w:hAnsi="宋体"/>
                <w:color w:val="auto"/>
                <w:sz w:val="24"/>
                <w:szCs w:val="24"/>
                <w:highlight w:val="none"/>
              </w:rPr>
            </w:pPr>
            <w:r>
              <w:rPr>
                <w:rFonts w:hint="eastAsia" w:hAnsi="宋体"/>
                <w:color w:val="auto"/>
                <w:sz w:val="24"/>
                <w:szCs w:val="24"/>
                <w:highlight w:val="none"/>
              </w:rPr>
              <w:t>其他</w:t>
            </w:r>
          </w:p>
        </w:tc>
        <w:tc>
          <w:tcPr>
            <w:tcW w:w="480" w:type="dxa"/>
            <w:vMerge w:val="restart"/>
            <w:vAlign w:val="center"/>
          </w:tcPr>
          <w:p w14:paraId="5F567A66">
            <w:pPr>
              <w:pStyle w:val="16"/>
              <w:spacing w:line="360" w:lineRule="auto"/>
              <w:jc w:val="center"/>
              <w:rPr>
                <w:rFonts w:hAnsi="宋体"/>
                <w:color w:val="auto"/>
                <w:sz w:val="24"/>
                <w:szCs w:val="24"/>
                <w:highlight w:val="none"/>
              </w:rPr>
            </w:pPr>
            <w:r>
              <w:rPr>
                <w:rFonts w:hint="eastAsia" w:hAnsi="宋体"/>
                <w:color w:val="auto"/>
                <w:sz w:val="24"/>
                <w:szCs w:val="24"/>
                <w:highlight w:val="none"/>
              </w:rPr>
              <w:t>单</w:t>
            </w:r>
          </w:p>
          <w:p w14:paraId="4C84A6E6">
            <w:pPr>
              <w:pStyle w:val="16"/>
              <w:spacing w:line="360" w:lineRule="auto"/>
              <w:jc w:val="center"/>
              <w:rPr>
                <w:rFonts w:hAnsi="宋体"/>
                <w:color w:val="auto"/>
                <w:sz w:val="24"/>
                <w:szCs w:val="24"/>
                <w:highlight w:val="none"/>
              </w:rPr>
            </w:pPr>
            <w:r>
              <w:rPr>
                <w:rFonts w:hint="eastAsia" w:hAnsi="宋体"/>
                <w:color w:val="auto"/>
                <w:sz w:val="24"/>
                <w:szCs w:val="24"/>
                <w:highlight w:val="none"/>
              </w:rPr>
              <w:t>位</w:t>
            </w:r>
          </w:p>
        </w:tc>
        <w:tc>
          <w:tcPr>
            <w:tcW w:w="1049" w:type="dxa"/>
            <w:vMerge w:val="restart"/>
            <w:vAlign w:val="center"/>
          </w:tcPr>
          <w:p w14:paraId="41132E42">
            <w:pPr>
              <w:pStyle w:val="16"/>
              <w:spacing w:line="360" w:lineRule="auto"/>
              <w:jc w:val="center"/>
              <w:rPr>
                <w:rFonts w:hAnsi="宋体"/>
                <w:color w:val="auto"/>
                <w:sz w:val="24"/>
                <w:szCs w:val="24"/>
                <w:highlight w:val="none"/>
              </w:rPr>
            </w:pPr>
            <w:r>
              <w:rPr>
                <w:rFonts w:hint="eastAsia" w:hAnsi="宋体"/>
                <w:color w:val="auto"/>
                <w:sz w:val="24"/>
                <w:szCs w:val="24"/>
                <w:highlight w:val="none"/>
              </w:rPr>
              <w:t>数量</w:t>
            </w:r>
          </w:p>
        </w:tc>
        <w:tc>
          <w:tcPr>
            <w:tcW w:w="2272" w:type="dxa"/>
            <w:gridSpan w:val="2"/>
            <w:vAlign w:val="center"/>
          </w:tcPr>
          <w:p w14:paraId="200147F5">
            <w:pPr>
              <w:pStyle w:val="16"/>
              <w:spacing w:line="360" w:lineRule="auto"/>
              <w:jc w:val="center"/>
              <w:rPr>
                <w:rFonts w:hAnsi="宋体"/>
                <w:color w:val="auto"/>
                <w:sz w:val="24"/>
                <w:szCs w:val="24"/>
                <w:highlight w:val="none"/>
              </w:rPr>
            </w:pPr>
            <w:r>
              <w:rPr>
                <w:rFonts w:hint="eastAsia" w:hAnsi="宋体"/>
                <w:color w:val="auto"/>
                <w:sz w:val="24"/>
                <w:szCs w:val="24"/>
                <w:highlight w:val="none"/>
              </w:rPr>
              <w:t>投标报价（元）</w:t>
            </w:r>
          </w:p>
        </w:tc>
      </w:tr>
      <w:tr w14:paraId="5661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0FCE5887">
            <w:pPr>
              <w:pStyle w:val="16"/>
              <w:spacing w:line="360" w:lineRule="auto"/>
              <w:jc w:val="center"/>
              <w:rPr>
                <w:rFonts w:hAnsi="宋体"/>
                <w:color w:val="auto"/>
                <w:sz w:val="24"/>
                <w:szCs w:val="24"/>
                <w:highlight w:val="none"/>
              </w:rPr>
            </w:pPr>
          </w:p>
        </w:tc>
        <w:tc>
          <w:tcPr>
            <w:tcW w:w="1927" w:type="dxa"/>
            <w:vMerge w:val="continue"/>
            <w:vAlign w:val="center"/>
          </w:tcPr>
          <w:p w14:paraId="2725DDE7">
            <w:pPr>
              <w:pStyle w:val="16"/>
              <w:spacing w:line="360" w:lineRule="auto"/>
              <w:jc w:val="center"/>
              <w:rPr>
                <w:rFonts w:hAnsi="宋体"/>
                <w:color w:val="auto"/>
                <w:sz w:val="24"/>
                <w:szCs w:val="24"/>
                <w:highlight w:val="none"/>
              </w:rPr>
            </w:pPr>
          </w:p>
        </w:tc>
        <w:tc>
          <w:tcPr>
            <w:tcW w:w="1065" w:type="dxa"/>
            <w:vMerge w:val="continue"/>
            <w:vAlign w:val="center"/>
          </w:tcPr>
          <w:p w14:paraId="303E7ECC">
            <w:pPr>
              <w:pStyle w:val="16"/>
              <w:spacing w:line="360" w:lineRule="auto"/>
              <w:jc w:val="center"/>
              <w:rPr>
                <w:rFonts w:hAnsi="宋体"/>
                <w:color w:val="auto"/>
                <w:sz w:val="24"/>
                <w:szCs w:val="24"/>
                <w:highlight w:val="none"/>
              </w:rPr>
            </w:pPr>
          </w:p>
        </w:tc>
        <w:tc>
          <w:tcPr>
            <w:tcW w:w="1755" w:type="dxa"/>
            <w:vMerge w:val="continue"/>
            <w:vAlign w:val="center"/>
          </w:tcPr>
          <w:p w14:paraId="354BD117">
            <w:pPr>
              <w:pStyle w:val="16"/>
              <w:spacing w:line="360" w:lineRule="auto"/>
              <w:jc w:val="center"/>
              <w:rPr>
                <w:rFonts w:hAnsi="宋体"/>
                <w:color w:val="auto"/>
                <w:sz w:val="24"/>
                <w:szCs w:val="24"/>
                <w:highlight w:val="none"/>
              </w:rPr>
            </w:pPr>
          </w:p>
        </w:tc>
        <w:tc>
          <w:tcPr>
            <w:tcW w:w="480" w:type="dxa"/>
            <w:vMerge w:val="continue"/>
            <w:vAlign w:val="center"/>
          </w:tcPr>
          <w:p w14:paraId="44601AA3">
            <w:pPr>
              <w:pStyle w:val="16"/>
              <w:spacing w:line="360" w:lineRule="auto"/>
              <w:jc w:val="center"/>
              <w:rPr>
                <w:rFonts w:hAnsi="宋体"/>
                <w:color w:val="auto"/>
                <w:sz w:val="24"/>
                <w:szCs w:val="24"/>
                <w:highlight w:val="none"/>
              </w:rPr>
            </w:pPr>
          </w:p>
        </w:tc>
        <w:tc>
          <w:tcPr>
            <w:tcW w:w="1049" w:type="dxa"/>
            <w:vMerge w:val="continue"/>
            <w:vAlign w:val="center"/>
          </w:tcPr>
          <w:p w14:paraId="4992E23D">
            <w:pPr>
              <w:pStyle w:val="16"/>
              <w:spacing w:line="360" w:lineRule="auto"/>
              <w:jc w:val="center"/>
              <w:rPr>
                <w:rFonts w:hAnsi="宋体"/>
                <w:color w:val="auto"/>
                <w:sz w:val="24"/>
                <w:szCs w:val="24"/>
                <w:highlight w:val="none"/>
              </w:rPr>
            </w:pPr>
          </w:p>
        </w:tc>
        <w:tc>
          <w:tcPr>
            <w:tcW w:w="1148" w:type="dxa"/>
            <w:vAlign w:val="center"/>
          </w:tcPr>
          <w:p w14:paraId="3E745FC3">
            <w:pPr>
              <w:pStyle w:val="16"/>
              <w:spacing w:line="360" w:lineRule="auto"/>
              <w:jc w:val="center"/>
              <w:rPr>
                <w:rFonts w:hAnsi="宋体"/>
                <w:color w:val="auto"/>
                <w:sz w:val="24"/>
                <w:szCs w:val="24"/>
                <w:highlight w:val="none"/>
              </w:rPr>
            </w:pPr>
            <w:r>
              <w:rPr>
                <w:rFonts w:hint="eastAsia" w:hAnsi="宋体"/>
                <w:color w:val="auto"/>
                <w:sz w:val="24"/>
                <w:szCs w:val="24"/>
                <w:highlight w:val="none"/>
              </w:rPr>
              <w:t>单价</w:t>
            </w:r>
          </w:p>
        </w:tc>
        <w:tc>
          <w:tcPr>
            <w:tcW w:w="1124" w:type="dxa"/>
            <w:vAlign w:val="center"/>
          </w:tcPr>
          <w:p w14:paraId="153077CF">
            <w:pPr>
              <w:pStyle w:val="16"/>
              <w:spacing w:line="360" w:lineRule="auto"/>
              <w:jc w:val="center"/>
              <w:rPr>
                <w:rFonts w:hAnsi="宋体"/>
                <w:color w:val="auto"/>
                <w:sz w:val="24"/>
                <w:szCs w:val="24"/>
                <w:highlight w:val="none"/>
              </w:rPr>
            </w:pPr>
            <w:r>
              <w:rPr>
                <w:rFonts w:hint="eastAsia" w:hAnsi="宋体"/>
                <w:color w:val="auto"/>
                <w:sz w:val="24"/>
                <w:szCs w:val="24"/>
                <w:highlight w:val="none"/>
              </w:rPr>
              <w:t>小计</w:t>
            </w:r>
          </w:p>
        </w:tc>
      </w:tr>
      <w:tr w14:paraId="36FE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9F9640C">
            <w:pPr>
              <w:pStyle w:val="16"/>
              <w:jc w:val="center"/>
              <w:rPr>
                <w:rFonts w:hAnsi="宋体"/>
                <w:color w:val="auto"/>
                <w:sz w:val="24"/>
                <w:szCs w:val="24"/>
                <w:highlight w:val="none"/>
              </w:rPr>
            </w:pPr>
            <w:r>
              <w:rPr>
                <w:rFonts w:hint="eastAsia" w:hAnsi="宋体"/>
                <w:color w:val="auto"/>
                <w:sz w:val="24"/>
                <w:szCs w:val="24"/>
                <w:highlight w:val="none"/>
              </w:rPr>
              <w:t>1</w:t>
            </w:r>
          </w:p>
        </w:tc>
        <w:tc>
          <w:tcPr>
            <w:tcW w:w="1927" w:type="dxa"/>
            <w:vAlign w:val="center"/>
          </w:tcPr>
          <w:p w14:paraId="3E3E3F98">
            <w:pPr>
              <w:pStyle w:val="16"/>
              <w:rPr>
                <w:rFonts w:hAnsi="宋体"/>
                <w:color w:val="auto"/>
                <w:sz w:val="24"/>
                <w:szCs w:val="24"/>
                <w:highlight w:val="none"/>
              </w:rPr>
            </w:pPr>
          </w:p>
        </w:tc>
        <w:tc>
          <w:tcPr>
            <w:tcW w:w="1065" w:type="dxa"/>
            <w:vAlign w:val="center"/>
          </w:tcPr>
          <w:p w14:paraId="662092C4">
            <w:pPr>
              <w:pStyle w:val="16"/>
              <w:spacing w:line="360" w:lineRule="auto"/>
              <w:rPr>
                <w:rFonts w:hAnsi="宋体"/>
                <w:b/>
                <w:bCs/>
                <w:color w:val="auto"/>
                <w:sz w:val="24"/>
                <w:szCs w:val="24"/>
                <w:highlight w:val="none"/>
              </w:rPr>
            </w:pPr>
          </w:p>
        </w:tc>
        <w:tc>
          <w:tcPr>
            <w:tcW w:w="1755" w:type="dxa"/>
            <w:vAlign w:val="center"/>
          </w:tcPr>
          <w:p w14:paraId="112DDF09">
            <w:pPr>
              <w:pStyle w:val="16"/>
              <w:spacing w:line="360" w:lineRule="auto"/>
              <w:rPr>
                <w:rFonts w:hAnsi="宋体"/>
                <w:b/>
                <w:bCs/>
                <w:color w:val="auto"/>
                <w:sz w:val="24"/>
                <w:szCs w:val="24"/>
                <w:highlight w:val="none"/>
              </w:rPr>
            </w:pPr>
          </w:p>
        </w:tc>
        <w:tc>
          <w:tcPr>
            <w:tcW w:w="480" w:type="dxa"/>
            <w:vAlign w:val="center"/>
          </w:tcPr>
          <w:p w14:paraId="31B82DA8">
            <w:pPr>
              <w:pStyle w:val="16"/>
              <w:spacing w:line="360" w:lineRule="auto"/>
              <w:rPr>
                <w:rFonts w:hint="eastAsia" w:hAnsi="宋体" w:eastAsia="宋体"/>
                <w:b w:val="0"/>
                <w:bCs w:val="0"/>
                <w:color w:val="auto"/>
                <w:sz w:val="24"/>
                <w:szCs w:val="24"/>
                <w:highlight w:val="none"/>
                <w:lang w:val="en-US" w:eastAsia="zh-CN"/>
              </w:rPr>
            </w:pPr>
          </w:p>
        </w:tc>
        <w:tc>
          <w:tcPr>
            <w:tcW w:w="1049" w:type="dxa"/>
            <w:vAlign w:val="center"/>
          </w:tcPr>
          <w:p w14:paraId="764A5AF8">
            <w:pPr>
              <w:pStyle w:val="16"/>
              <w:spacing w:line="360" w:lineRule="auto"/>
              <w:rPr>
                <w:rFonts w:hint="default" w:hAnsi="宋体" w:eastAsia="宋体"/>
                <w:b w:val="0"/>
                <w:bCs w:val="0"/>
                <w:color w:val="auto"/>
                <w:sz w:val="24"/>
                <w:szCs w:val="24"/>
                <w:highlight w:val="none"/>
                <w:lang w:val="en-US" w:eastAsia="zh-CN"/>
              </w:rPr>
            </w:pPr>
          </w:p>
        </w:tc>
        <w:tc>
          <w:tcPr>
            <w:tcW w:w="1148" w:type="dxa"/>
          </w:tcPr>
          <w:p w14:paraId="7E35C9B2">
            <w:pPr>
              <w:pStyle w:val="16"/>
              <w:spacing w:line="360" w:lineRule="auto"/>
              <w:rPr>
                <w:rFonts w:hAnsi="宋体"/>
                <w:color w:val="auto"/>
                <w:sz w:val="24"/>
                <w:szCs w:val="24"/>
                <w:highlight w:val="none"/>
              </w:rPr>
            </w:pPr>
          </w:p>
        </w:tc>
        <w:tc>
          <w:tcPr>
            <w:tcW w:w="1124" w:type="dxa"/>
          </w:tcPr>
          <w:p w14:paraId="7062D050">
            <w:pPr>
              <w:pStyle w:val="16"/>
              <w:spacing w:line="360" w:lineRule="auto"/>
              <w:rPr>
                <w:rFonts w:hAnsi="宋体"/>
                <w:color w:val="auto"/>
                <w:sz w:val="24"/>
                <w:szCs w:val="24"/>
                <w:highlight w:val="none"/>
              </w:rPr>
            </w:pPr>
          </w:p>
        </w:tc>
      </w:tr>
      <w:tr w14:paraId="23C3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41FB3103">
            <w:pPr>
              <w:pStyle w:val="16"/>
              <w:jc w:val="center"/>
              <w:rPr>
                <w:rFonts w:hAnsi="宋体"/>
                <w:color w:val="auto"/>
                <w:sz w:val="24"/>
                <w:szCs w:val="24"/>
                <w:highlight w:val="none"/>
              </w:rPr>
            </w:pPr>
            <w:r>
              <w:rPr>
                <w:rFonts w:hint="eastAsia" w:hAnsi="宋体"/>
                <w:color w:val="auto"/>
                <w:sz w:val="24"/>
                <w:szCs w:val="24"/>
                <w:highlight w:val="none"/>
              </w:rPr>
              <w:t>2</w:t>
            </w:r>
          </w:p>
        </w:tc>
        <w:tc>
          <w:tcPr>
            <w:tcW w:w="1927" w:type="dxa"/>
            <w:vAlign w:val="center"/>
          </w:tcPr>
          <w:p w14:paraId="75F1C781">
            <w:pPr>
              <w:pStyle w:val="16"/>
              <w:rPr>
                <w:rFonts w:hAnsi="宋体"/>
                <w:color w:val="auto"/>
                <w:sz w:val="24"/>
                <w:szCs w:val="24"/>
                <w:highlight w:val="none"/>
              </w:rPr>
            </w:pPr>
          </w:p>
        </w:tc>
        <w:tc>
          <w:tcPr>
            <w:tcW w:w="1065" w:type="dxa"/>
            <w:vAlign w:val="center"/>
          </w:tcPr>
          <w:p w14:paraId="5E791A8E">
            <w:pPr>
              <w:pStyle w:val="16"/>
              <w:spacing w:line="360" w:lineRule="auto"/>
              <w:rPr>
                <w:rFonts w:hAnsi="宋体"/>
                <w:b/>
                <w:bCs/>
                <w:color w:val="auto"/>
                <w:sz w:val="24"/>
                <w:szCs w:val="24"/>
                <w:highlight w:val="none"/>
              </w:rPr>
            </w:pPr>
          </w:p>
        </w:tc>
        <w:tc>
          <w:tcPr>
            <w:tcW w:w="1755" w:type="dxa"/>
            <w:vAlign w:val="center"/>
          </w:tcPr>
          <w:p w14:paraId="35DC52A0">
            <w:pPr>
              <w:pStyle w:val="16"/>
              <w:spacing w:line="360" w:lineRule="auto"/>
              <w:rPr>
                <w:rFonts w:hAnsi="宋体"/>
                <w:b/>
                <w:bCs/>
                <w:color w:val="auto"/>
                <w:sz w:val="24"/>
                <w:szCs w:val="24"/>
                <w:highlight w:val="none"/>
              </w:rPr>
            </w:pPr>
          </w:p>
        </w:tc>
        <w:tc>
          <w:tcPr>
            <w:tcW w:w="480" w:type="dxa"/>
            <w:vAlign w:val="center"/>
          </w:tcPr>
          <w:p w14:paraId="34DE0B1A">
            <w:pPr>
              <w:pStyle w:val="16"/>
              <w:spacing w:line="360" w:lineRule="auto"/>
              <w:rPr>
                <w:rFonts w:hint="eastAsia" w:hAnsi="宋体" w:eastAsia="宋体"/>
                <w:b w:val="0"/>
                <w:bCs w:val="0"/>
                <w:color w:val="auto"/>
                <w:sz w:val="24"/>
                <w:szCs w:val="24"/>
                <w:highlight w:val="none"/>
                <w:lang w:val="en-US" w:eastAsia="zh-CN"/>
              </w:rPr>
            </w:pPr>
          </w:p>
        </w:tc>
        <w:tc>
          <w:tcPr>
            <w:tcW w:w="1049" w:type="dxa"/>
            <w:vAlign w:val="center"/>
          </w:tcPr>
          <w:p w14:paraId="16AFA26F">
            <w:pPr>
              <w:pStyle w:val="16"/>
              <w:spacing w:line="360" w:lineRule="auto"/>
              <w:rPr>
                <w:rFonts w:hint="default" w:hAnsi="宋体" w:eastAsia="宋体"/>
                <w:b w:val="0"/>
                <w:bCs w:val="0"/>
                <w:color w:val="auto"/>
                <w:sz w:val="24"/>
                <w:szCs w:val="24"/>
                <w:highlight w:val="none"/>
                <w:lang w:val="en-US" w:eastAsia="zh-CN"/>
              </w:rPr>
            </w:pPr>
          </w:p>
        </w:tc>
        <w:tc>
          <w:tcPr>
            <w:tcW w:w="1148" w:type="dxa"/>
          </w:tcPr>
          <w:p w14:paraId="1BEE2F76">
            <w:pPr>
              <w:pStyle w:val="16"/>
              <w:spacing w:line="360" w:lineRule="auto"/>
              <w:rPr>
                <w:rFonts w:hAnsi="宋体"/>
                <w:color w:val="auto"/>
                <w:sz w:val="24"/>
                <w:szCs w:val="24"/>
                <w:highlight w:val="none"/>
              </w:rPr>
            </w:pPr>
          </w:p>
        </w:tc>
        <w:tc>
          <w:tcPr>
            <w:tcW w:w="1124" w:type="dxa"/>
          </w:tcPr>
          <w:p w14:paraId="0A170328">
            <w:pPr>
              <w:pStyle w:val="16"/>
              <w:spacing w:line="360" w:lineRule="auto"/>
              <w:rPr>
                <w:rFonts w:hAnsi="宋体"/>
                <w:color w:val="auto"/>
                <w:sz w:val="24"/>
                <w:szCs w:val="24"/>
                <w:highlight w:val="none"/>
              </w:rPr>
            </w:pPr>
          </w:p>
        </w:tc>
      </w:tr>
      <w:tr w14:paraId="44BC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19E4F8C2">
            <w:pPr>
              <w:pStyle w:val="16"/>
              <w:jc w:val="center"/>
              <w:rPr>
                <w:rFonts w:hAnsi="宋体"/>
                <w:color w:val="auto"/>
                <w:sz w:val="24"/>
                <w:szCs w:val="24"/>
                <w:highlight w:val="none"/>
              </w:rPr>
            </w:pPr>
            <w:r>
              <w:rPr>
                <w:rFonts w:hint="eastAsia" w:hAnsi="宋体"/>
                <w:color w:val="auto"/>
                <w:sz w:val="24"/>
                <w:szCs w:val="24"/>
                <w:highlight w:val="none"/>
              </w:rPr>
              <w:t>3</w:t>
            </w:r>
          </w:p>
        </w:tc>
        <w:tc>
          <w:tcPr>
            <w:tcW w:w="1927" w:type="dxa"/>
            <w:vAlign w:val="center"/>
          </w:tcPr>
          <w:p w14:paraId="7ED96BFC">
            <w:pPr>
              <w:pStyle w:val="16"/>
              <w:rPr>
                <w:rFonts w:hAnsi="宋体"/>
                <w:color w:val="auto"/>
                <w:sz w:val="24"/>
                <w:szCs w:val="24"/>
                <w:highlight w:val="none"/>
              </w:rPr>
            </w:pPr>
          </w:p>
        </w:tc>
        <w:tc>
          <w:tcPr>
            <w:tcW w:w="1065" w:type="dxa"/>
            <w:vAlign w:val="center"/>
          </w:tcPr>
          <w:p w14:paraId="20F2BF23">
            <w:pPr>
              <w:pStyle w:val="16"/>
              <w:spacing w:line="360" w:lineRule="auto"/>
              <w:rPr>
                <w:rFonts w:hAnsi="宋体"/>
                <w:b/>
                <w:bCs/>
                <w:color w:val="auto"/>
                <w:sz w:val="24"/>
                <w:szCs w:val="24"/>
                <w:highlight w:val="none"/>
              </w:rPr>
            </w:pPr>
          </w:p>
        </w:tc>
        <w:tc>
          <w:tcPr>
            <w:tcW w:w="1755" w:type="dxa"/>
            <w:vAlign w:val="center"/>
          </w:tcPr>
          <w:p w14:paraId="5CFD550B">
            <w:pPr>
              <w:pStyle w:val="16"/>
              <w:spacing w:line="360" w:lineRule="auto"/>
              <w:rPr>
                <w:rFonts w:hAnsi="宋体"/>
                <w:b/>
                <w:bCs/>
                <w:color w:val="auto"/>
                <w:sz w:val="24"/>
                <w:szCs w:val="24"/>
                <w:highlight w:val="none"/>
              </w:rPr>
            </w:pPr>
          </w:p>
        </w:tc>
        <w:tc>
          <w:tcPr>
            <w:tcW w:w="480" w:type="dxa"/>
            <w:vAlign w:val="center"/>
          </w:tcPr>
          <w:p w14:paraId="2CC63CAF">
            <w:pPr>
              <w:pStyle w:val="16"/>
              <w:spacing w:line="360" w:lineRule="auto"/>
              <w:rPr>
                <w:rFonts w:hAnsi="宋体"/>
                <w:b/>
                <w:bCs/>
                <w:color w:val="auto"/>
                <w:sz w:val="24"/>
                <w:szCs w:val="24"/>
                <w:highlight w:val="none"/>
              </w:rPr>
            </w:pPr>
          </w:p>
        </w:tc>
        <w:tc>
          <w:tcPr>
            <w:tcW w:w="1049" w:type="dxa"/>
            <w:vAlign w:val="center"/>
          </w:tcPr>
          <w:p w14:paraId="363E4F75">
            <w:pPr>
              <w:pStyle w:val="16"/>
              <w:spacing w:line="360" w:lineRule="auto"/>
              <w:rPr>
                <w:rFonts w:hAnsi="宋体"/>
                <w:b/>
                <w:bCs/>
                <w:color w:val="auto"/>
                <w:sz w:val="24"/>
                <w:szCs w:val="24"/>
                <w:highlight w:val="none"/>
              </w:rPr>
            </w:pPr>
          </w:p>
        </w:tc>
        <w:tc>
          <w:tcPr>
            <w:tcW w:w="1148" w:type="dxa"/>
          </w:tcPr>
          <w:p w14:paraId="21A6182E">
            <w:pPr>
              <w:pStyle w:val="16"/>
              <w:spacing w:line="360" w:lineRule="auto"/>
              <w:rPr>
                <w:rFonts w:hAnsi="宋体"/>
                <w:color w:val="auto"/>
                <w:sz w:val="24"/>
                <w:szCs w:val="24"/>
                <w:highlight w:val="none"/>
              </w:rPr>
            </w:pPr>
          </w:p>
        </w:tc>
        <w:tc>
          <w:tcPr>
            <w:tcW w:w="1124" w:type="dxa"/>
          </w:tcPr>
          <w:p w14:paraId="65BC36A0">
            <w:pPr>
              <w:pStyle w:val="16"/>
              <w:spacing w:line="360" w:lineRule="auto"/>
              <w:rPr>
                <w:rFonts w:hAnsi="宋体"/>
                <w:color w:val="auto"/>
                <w:sz w:val="24"/>
                <w:szCs w:val="24"/>
                <w:highlight w:val="none"/>
              </w:rPr>
            </w:pPr>
          </w:p>
        </w:tc>
      </w:tr>
      <w:tr w14:paraId="3194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96B6481">
            <w:pPr>
              <w:pStyle w:val="16"/>
              <w:jc w:val="center"/>
              <w:rPr>
                <w:rFonts w:hAnsi="宋体"/>
                <w:color w:val="auto"/>
                <w:sz w:val="24"/>
                <w:szCs w:val="24"/>
                <w:highlight w:val="none"/>
              </w:rPr>
            </w:pPr>
            <w:r>
              <w:rPr>
                <w:rFonts w:hint="eastAsia" w:hAnsi="宋体"/>
                <w:color w:val="auto"/>
                <w:sz w:val="24"/>
                <w:szCs w:val="24"/>
                <w:highlight w:val="none"/>
              </w:rPr>
              <w:t>4</w:t>
            </w:r>
          </w:p>
        </w:tc>
        <w:tc>
          <w:tcPr>
            <w:tcW w:w="1927" w:type="dxa"/>
            <w:vAlign w:val="center"/>
          </w:tcPr>
          <w:p w14:paraId="2C91A171">
            <w:pPr>
              <w:pStyle w:val="16"/>
              <w:rPr>
                <w:rFonts w:hAnsi="宋体"/>
                <w:color w:val="auto"/>
                <w:sz w:val="24"/>
                <w:szCs w:val="24"/>
                <w:highlight w:val="none"/>
              </w:rPr>
            </w:pPr>
          </w:p>
        </w:tc>
        <w:tc>
          <w:tcPr>
            <w:tcW w:w="1065" w:type="dxa"/>
            <w:vAlign w:val="center"/>
          </w:tcPr>
          <w:p w14:paraId="173614E3">
            <w:pPr>
              <w:pStyle w:val="16"/>
              <w:spacing w:line="360" w:lineRule="auto"/>
              <w:jc w:val="center"/>
              <w:rPr>
                <w:rFonts w:hAnsi="宋体"/>
                <w:color w:val="auto"/>
                <w:sz w:val="24"/>
                <w:szCs w:val="24"/>
                <w:highlight w:val="none"/>
              </w:rPr>
            </w:pPr>
          </w:p>
        </w:tc>
        <w:tc>
          <w:tcPr>
            <w:tcW w:w="1755" w:type="dxa"/>
            <w:vAlign w:val="center"/>
          </w:tcPr>
          <w:p w14:paraId="27D0D6C4">
            <w:pPr>
              <w:pStyle w:val="16"/>
              <w:spacing w:line="360" w:lineRule="auto"/>
              <w:jc w:val="center"/>
              <w:rPr>
                <w:rFonts w:hAnsi="宋体"/>
                <w:color w:val="auto"/>
                <w:sz w:val="24"/>
                <w:szCs w:val="24"/>
                <w:highlight w:val="none"/>
              </w:rPr>
            </w:pPr>
          </w:p>
        </w:tc>
        <w:tc>
          <w:tcPr>
            <w:tcW w:w="480" w:type="dxa"/>
            <w:vAlign w:val="center"/>
          </w:tcPr>
          <w:p w14:paraId="6844F9E9">
            <w:pPr>
              <w:pStyle w:val="16"/>
              <w:spacing w:line="360" w:lineRule="auto"/>
              <w:jc w:val="center"/>
              <w:rPr>
                <w:rFonts w:hAnsi="宋体"/>
                <w:color w:val="auto"/>
                <w:sz w:val="24"/>
                <w:szCs w:val="24"/>
                <w:highlight w:val="none"/>
              </w:rPr>
            </w:pPr>
          </w:p>
        </w:tc>
        <w:tc>
          <w:tcPr>
            <w:tcW w:w="1049" w:type="dxa"/>
            <w:vAlign w:val="center"/>
          </w:tcPr>
          <w:p w14:paraId="58D1949A">
            <w:pPr>
              <w:pStyle w:val="16"/>
              <w:spacing w:line="360" w:lineRule="auto"/>
              <w:jc w:val="center"/>
              <w:rPr>
                <w:rFonts w:hAnsi="宋体"/>
                <w:color w:val="auto"/>
                <w:sz w:val="24"/>
                <w:szCs w:val="24"/>
                <w:highlight w:val="none"/>
              </w:rPr>
            </w:pPr>
          </w:p>
        </w:tc>
        <w:tc>
          <w:tcPr>
            <w:tcW w:w="1148" w:type="dxa"/>
          </w:tcPr>
          <w:p w14:paraId="4110CCDC">
            <w:pPr>
              <w:pStyle w:val="16"/>
              <w:spacing w:line="360" w:lineRule="auto"/>
              <w:rPr>
                <w:rFonts w:hAnsi="宋体"/>
                <w:color w:val="auto"/>
                <w:sz w:val="24"/>
                <w:szCs w:val="24"/>
                <w:highlight w:val="none"/>
              </w:rPr>
            </w:pPr>
          </w:p>
        </w:tc>
        <w:tc>
          <w:tcPr>
            <w:tcW w:w="1124" w:type="dxa"/>
          </w:tcPr>
          <w:p w14:paraId="3C63241F">
            <w:pPr>
              <w:pStyle w:val="16"/>
              <w:spacing w:line="360" w:lineRule="auto"/>
              <w:rPr>
                <w:rFonts w:hAnsi="宋体"/>
                <w:color w:val="auto"/>
                <w:sz w:val="24"/>
                <w:szCs w:val="24"/>
                <w:highlight w:val="none"/>
              </w:rPr>
            </w:pPr>
          </w:p>
        </w:tc>
      </w:tr>
      <w:tr w14:paraId="190F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2BE12A25">
            <w:pPr>
              <w:pStyle w:val="16"/>
              <w:spacing w:line="360" w:lineRule="auto"/>
              <w:jc w:val="center"/>
              <w:rPr>
                <w:rFonts w:hAnsi="宋体"/>
                <w:color w:val="auto"/>
                <w:sz w:val="24"/>
                <w:szCs w:val="24"/>
                <w:highlight w:val="none"/>
              </w:rPr>
            </w:pPr>
            <w:r>
              <w:rPr>
                <w:rFonts w:hint="eastAsia" w:hAnsi="宋体"/>
                <w:color w:val="auto"/>
                <w:sz w:val="24"/>
                <w:szCs w:val="24"/>
                <w:highlight w:val="none"/>
              </w:rPr>
              <w:t>5</w:t>
            </w:r>
          </w:p>
        </w:tc>
        <w:tc>
          <w:tcPr>
            <w:tcW w:w="1927" w:type="dxa"/>
            <w:vAlign w:val="center"/>
          </w:tcPr>
          <w:p w14:paraId="6027E0D6">
            <w:pPr>
              <w:pStyle w:val="16"/>
              <w:spacing w:line="360" w:lineRule="auto"/>
              <w:jc w:val="center"/>
              <w:rPr>
                <w:rFonts w:hAnsi="宋体"/>
                <w:color w:val="auto"/>
                <w:sz w:val="24"/>
                <w:szCs w:val="24"/>
                <w:highlight w:val="none"/>
              </w:rPr>
            </w:pPr>
          </w:p>
        </w:tc>
        <w:tc>
          <w:tcPr>
            <w:tcW w:w="1065" w:type="dxa"/>
            <w:vAlign w:val="center"/>
          </w:tcPr>
          <w:p w14:paraId="4B5A692B">
            <w:pPr>
              <w:jc w:val="center"/>
              <w:rPr>
                <w:rFonts w:ascii="宋体" w:hAnsi="宋体" w:cs="宋体"/>
                <w:b/>
                <w:bCs/>
                <w:color w:val="auto"/>
                <w:sz w:val="24"/>
                <w:szCs w:val="24"/>
                <w:highlight w:val="none"/>
              </w:rPr>
            </w:pPr>
          </w:p>
        </w:tc>
        <w:tc>
          <w:tcPr>
            <w:tcW w:w="1755" w:type="dxa"/>
            <w:vAlign w:val="center"/>
          </w:tcPr>
          <w:p w14:paraId="518CF76E">
            <w:pPr>
              <w:jc w:val="center"/>
              <w:rPr>
                <w:rFonts w:ascii="宋体" w:hAnsi="宋体" w:cs="宋体"/>
                <w:b/>
                <w:bCs/>
                <w:color w:val="auto"/>
                <w:sz w:val="24"/>
                <w:szCs w:val="24"/>
                <w:highlight w:val="none"/>
              </w:rPr>
            </w:pPr>
          </w:p>
        </w:tc>
        <w:tc>
          <w:tcPr>
            <w:tcW w:w="480" w:type="dxa"/>
            <w:vAlign w:val="center"/>
          </w:tcPr>
          <w:p w14:paraId="409171EB">
            <w:pPr>
              <w:pStyle w:val="16"/>
              <w:spacing w:line="360" w:lineRule="auto"/>
              <w:jc w:val="center"/>
              <w:rPr>
                <w:rFonts w:hAnsi="宋体"/>
                <w:b/>
                <w:bCs/>
                <w:color w:val="auto"/>
                <w:sz w:val="24"/>
                <w:szCs w:val="24"/>
                <w:highlight w:val="none"/>
              </w:rPr>
            </w:pPr>
          </w:p>
        </w:tc>
        <w:tc>
          <w:tcPr>
            <w:tcW w:w="1049" w:type="dxa"/>
            <w:vAlign w:val="center"/>
          </w:tcPr>
          <w:p w14:paraId="7DD1576F">
            <w:pPr>
              <w:pStyle w:val="16"/>
              <w:spacing w:line="360" w:lineRule="auto"/>
              <w:jc w:val="center"/>
              <w:rPr>
                <w:rFonts w:hAnsi="宋体"/>
                <w:b/>
                <w:bCs/>
                <w:color w:val="auto"/>
                <w:sz w:val="24"/>
                <w:szCs w:val="24"/>
                <w:highlight w:val="none"/>
              </w:rPr>
            </w:pPr>
          </w:p>
        </w:tc>
        <w:tc>
          <w:tcPr>
            <w:tcW w:w="1148" w:type="dxa"/>
            <w:vAlign w:val="center"/>
          </w:tcPr>
          <w:p w14:paraId="1FD4DEB1">
            <w:pPr>
              <w:pStyle w:val="16"/>
              <w:spacing w:line="360" w:lineRule="auto"/>
              <w:jc w:val="center"/>
              <w:rPr>
                <w:rFonts w:hAnsi="宋体"/>
                <w:b/>
                <w:bCs/>
                <w:color w:val="auto"/>
                <w:sz w:val="24"/>
                <w:szCs w:val="24"/>
                <w:highlight w:val="none"/>
              </w:rPr>
            </w:pPr>
          </w:p>
        </w:tc>
        <w:tc>
          <w:tcPr>
            <w:tcW w:w="1124" w:type="dxa"/>
            <w:vAlign w:val="center"/>
          </w:tcPr>
          <w:p w14:paraId="5ED6E3ED">
            <w:pPr>
              <w:pStyle w:val="16"/>
              <w:spacing w:line="360" w:lineRule="auto"/>
              <w:jc w:val="center"/>
              <w:rPr>
                <w:rFonts w:hAnsi="宋体"/>
                <w:b/>
                <w:bCs/>
                <w:color w:val="auto"/>
                <w:sz w:val="24"/>
                <w:szCs w:val="24"/>
                <w:highlight w:val="none"/>
              </w:rPr>
            </w:pPr>
          </w:p>
        </w:tc>
      </w:tr>
      <w:tr w14:paraId="18E3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4F7A1D8A">
            <w:pPr>
              <w:pStyle w:val="16"/>
              <w:spacing w:line="360" w:lineRule="auto"/>
              <w:rPr>
                <w:rFonts w:hAnsi="宋体"/>
                <w:color w:val="auto"/>
                <w:sz w:val="24"/>
                <w:szCs w:val="24"/>
                <w:highlight w:val="none"/>
              </w:rPr>
            </w:pPr>
            <w:r>
              <w:rPr>
                <w:rFonts w:hint="eastAsia" w:hAnsi="宋体"/>
                <w:color w:val="auto"/>
                <w:sz w:val="24"/>
                <w:szCs w:val="24"/>
                <w:highlight w:val="none"/>
              </w:rPr>
              <w:t>…</w:t>
            </w:r>
          </w:p>
        </w:tc>
        <w:tc>
          <w:tcPr>
            <w:tcW w:w="1927" w:type="dxa"/>
            <w:vAlign w:val="center"/>
          </w:tcPr>
          <w:p w14:paraId="26389980">
            <w:pPr>
              <w:pStyle w:val="16"/>
              <w:spacing w:line="360" w:lineRule="auto"/>
              <w:jc w:val="center"/>
              <w:rPr>
                <w:rFonts w:hAnsi="宋体"/>
                <w:color w:val="auto"/>
                <w:sz w:val="24"/>
                <w:szCs w:val="24"/>
                <w:highlight w:val="none"/>
              </w:rPr>
            </w:pPr>
            <w:r>
              <w:rPr>
                <w:rFonts w:hint="eastAsia" w:hAnsi="宋体"/>
                <w:color w:val="auto"/>
                <w:sz w:val="24"/>
                <w:szCs w:val="24"/>
                <w:highlight w:val="none"/>
              </w:rPr>
              <w:t>……</w:t>
            </w:r>
          </w:p>
        </w:tc>
        <w:tc>
          <w:tcPr>
            <w:tcW w:w="1065" w:type="dxa"/>
            <w:vAlign w:val="center"/>
          </w:tcPr>
          <w:p w14:paraId="1A9B8E58">
            <w:pPr>
              <w:jc w:val="center"/>
              <w:rPr>
                <w:rFonts w:ascii="宋体" w:hAnsi="宋体" w:cs="宋体"/>
                <w:color w:val="auto"/>
                <w:sz w:val="24"/>
                <w:szCs w:val="24"/>
                <w:highlight w:val="none"/>
              </w:rPr>
            </w:pPr>
          </w:p>
        </w:tc>
        <w:tc>
          <w:tcPr>
            <w:tcW w:w="1755" w:type="dxa"/>
            <w:vAlign w:val="center"/>
          </w:tcPr>
          <w:p w14:paraId="5E041AB1">
            <w:pPr>
              <w:jc w:val="center"/>
              <w:rPr>
                <w:rFonts w:ascii="宋体" w:hAnsi="宋体" w:cs="宋体"/>
                <w:color w:val="auto"/>
                <w:sz w:val="24"/>
                <w:szCs w:val="24"/>
                <w:highlight w:val="none"/>
              </w:rPr>
            </w:pPr>
          </w:p>
        </w:tc>
        <w:tc>
          <w:tcPr>
            <w:tcW w:w="480" w:type="dxa"/>
            <w:vAlign w:val="center"/>
          </w:tcPr>
          <w:p w14:paraId="3CFAEF9C">
            <w:pPr>
              <w:pStyle w:val="16"/>
              <w:spacing w:line="360" w:lineRule="auto"/>
              <w:jc w:val="center"/>
              <w:rPr>
                <w:rFonts w:hAnsi="宋体"/>
                <w:color w:val="auto"/>
                <w:sz w:val="24"/>
                <w:szCs w:val="24"/>
                <w:highlight w:val="none"/>
              </w:rPr>
            </w:pPr>
          </w:p>
        </w:tc>
        <w:tc>
          <w:tcPr>
            <w:tcW w:w="1049" w:type="dxa"/>
            <w:vAlign w:val="center"/>
          </w:tcPr>
          <w:p w14:paraId="1600D5CD">
            <w:pPr>
              <w:pStyle w:val="16"/>
              <w:spacing w:line="360" w:lineRule="auto"/>
              <w:jc w:val="center"/>
              <w:rPr>
                <w:rFonts w:hAnsi="宋体"/>
                <w:color w:val="auto"/>
                <w:sz w:val="24"/>
                <w:szCs w:val="24"/>
                <w:highlight w:val="none"/>
              </w:rPr>
            </w:pPr>
          </w:p>
        </w:tc>
        <w:tc>
          <w:tcPr>
            <w:tcW w:w="1148" w:type="dxa"/>
          </w:tcPr>
          <w:p w14:paraId="1A1B8B5E">
            <w:pPr>
              <w:pStyle w:val="16"/>
              <w:spacing w:line="360" w:lineRule="auto"/>
              <w:rPr>
                <w:rFonts w:hAnsi="宋体"/>
                <w:color w:val="auto"/>
                <w:sz w:val="24"/>
                <w:szCs w:val="24"/>
                <w:highlight w:val="none"/>
              </w:rPr>
            </w:pPr>
          </w:p>
        </w:tc>
        <w:tc>
          <w:tcPr>
            <w:tcW w:w="1124" w:type="dxa"/>
          </w:tcPr>
          <w:p w14:paraId="001DAF02">
            <w:pPr>
              <w:pStyle w:val="16"/>
              <w:spacing w:line="360" w:lineRule="auto"/>
              <w:rPr>
                <w:rFonts w:hAnsi="宋体"/>
                <w:color w:val="auto"/>
                <w:sz w:val="24"/>
                <w:szCs w:val="24"/>
                <w:highlight w:val="none"/>
              </w:rPr>
            </w:pPr>
          </w:p>
        </w:tc>
      </w:tr>
      <w:tr w14:paraId="2646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201017A8">
            <w:pPr>
              <w:pStyle w:val="16"/>
              <w:spacing w:line="360" w:lineRule="auto"/>
              <w:jc w:val="center"/>
              <w:rPr>
                <w:rFonts w:hAnsi="宋体"/>
                <w:color w:val="auto"/>
                <w:sz w:val="24"/>
                <w:szCs w:val="24"/>
                <w:highlight w:val="none"/>
              </w:rPr>
            </w:pPr>
            <w:r>
              <w:rPr>
                <w:rFonts w:hint="eastAsia" w:hAnsi="宋体"/>
                <w:color w:val="auto"/>
                <w:sz w:val="24"/>
                <w:szCs w:val="24"/>
                <w:highlight w:val="none"/>
              </w:rPr>
              <w:t>投标总价</w:t>
            </w:r>
          </w:p>
        </w:tc>
        <w:tc>
          <w:tcPr>
            <w:tcW w:w="6621" w:type="dxa"/>
            <w:gridSpan w:val="6"/>
            <w:vAlign w:val="center"/>
          </w:tcPr>
          <w:p w14:paraId="2ABEACCE">
            <w:pPr>
              <w:pStyle w:val="16"/>
              <w:spacing w:line="360" w:lineRule="auto"/>
              <w:jc w:val="center"/>
              <w:rPr>
                <w:rFonts w:hAnsi="宋体"/>
                <w:color w:val="auto"/>
                <w:sz w:val="24"/>
                <w:szCs w:val="24"/>
                <w:highlight w:val="none"/>
              </w:rPr>
            </w:pPr>
            <w:r>
              <w:rPr>
                <w:rFonts w:hint="eastAsia" w:hAnsi="宋体"/>
                <w:color w:val="auto"/>
                <w:sz w:val="24"/>
                <w:szCs w:val="24"/>
                <w:highlight w:val="none"/>
              </w:rPr>
              <w:t>大写：</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元（小写：</w:t>
            </w:r>
            <w:r>
              <w:rPr>
                <w:rFonts w:hint="eastAsia" w:hAnsi="宋体"/>
                <w:color w:val="auto"/>
                <w:sz w:val="24"/>
                <w:szCs w:val="24"/>
                <w:highlight w:val="none"/>
                <w:u w:val="single"/>
              </w:rPr>
              <w:t>　　　　　</w:t>
            </w:r>
            <w:r>
              <w:rPr>
                <w:rFonts w:hint="eastAsia" w:hAnsi="宋体"/>
                <w:color w:val="auto"/>
                <w:sz w:val="24"/>
                <w:szCs w:val="24"/>
                <w:highlight w:val="none"/>
              </w:rPr>
              <w:t>）</w:t>
            </w:r>
          </w:p>
        </w:tc>
      </w:tr>
      <w:tr w14:paraId="4091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6FC7A61B">
            <w:pPr>
              <w:pStyle w:val="16"/>
              <w:spacing w:line="360" w:lineRule="auto"/>
              <w:ind w:firstLine="482" w:firstLineChars="200"/>
              <w:jc w:val="left"/>
              <w:rPr>
                <w:rFonts w:hAnsi="宋体"/>
                <w:color w:val="auto"/>
                <w:sz w:val="24"/>
                <w:szCs w:val="24"/>
                <w:highlight w:val="none"/>
              </w:rPr>
            </w:pPr>
            <w:r>
              <w:rPr>
                <w:rFonts w:hint="eastAsia" w:hAnsi="宋体" w:cs="Times New Roman"/>
                <w:b/>
                <w:bCs/>
                <w:color w:val="auto"/>
                <w:sz w:val="24"/>
                <w:szCs w:val="24"/>
                <w:highlight w:val="none"/>
              </w:rPr>
              <w:t>投标报价统一为人民币计价，本次报价方式为总价包干，</w:t>
            </w:r>
            <w:r>
              <w:rPr>
                <w:rFonts w:hint="eastAsia" w:hAnsi="宋体" w:cs="Times New Roman"/>
                <w:b/>
                <w:bCs/>
                <w:color w:val="auto"/>
                <w:sz w:val="24"/>
                <w:szCs w:val="24"/>
                <w:highlight w:val="none"/>
                <w:lang w:val="en-US" w:eastAsia="zh-CN"/>
              </w:rPr>
              <w:t>包括但不限于抽检人员差旅费（含交通费、住宿费、出差伙食补助费）</w:t>
            </w:r>
            <w:r>
              <w:rPr>
                <w:rFonts w:hint="eastAsia" w:hAnsi="宋体" w:cs="Times New Roman"/>
                <w:b/>
                <w:bCs/>
                <w:color w:val="auto"/>
                <w:sz w:val="24"/>
                <w:szCs w:val="24"/>
                <w:highlight w:val="none"/>
              </w:rPr>
              <w:t>、</w:t>
            </w:r>
            <w:r>
              <w:rPr>
                <w:rFonts w:hint="eastAsia" w:hAnsi="宋体" w:cs="Times New Roman"/>
                <w:b/>
                <w:bCs/>
                <w:color w:val="auto"/>
                <w:sz w:val="24"/>
                <w:szCs w:val="24"/>
                <w:highlight w:val="none"/>
                <w:lang w:val="en-US" w:eastAsia="zh-CN"/>
              </w:rPr>
              <w:t>机械、易耗抽样工具购置费、检测费、材料费、运输费、样品购买费用、招标代理费、</w:t>
            </w:r>
            <w:r>
              <w:rPr>
                <w:rFonts w:hint="eastAsia" w:hAnsi="宋体" w:cs="Times New Roman"/>
                <w:b/>
                <w:bCs/>
                <w:color w:val="auto"/>
                <w:sz w:val="24"/>
                <w:szCs w:val="24"/>
                <w:highlight w:val="none"/>
              </w:rPr>
              <w:t>税费等一切费用。凡供应商在报价中未列明但又为本次采购所必备的项目或遗漏项目，采购方将一律视为已包括在合同价中，在合同执行中将不予考虑。</w:t>
            </w:r>
          </w:p>
        </w:tc>
      </w:tr>
    </w:tbl>
    <w:p w14:paraId="2D74965E">
      <w:pPr>
        <w:pStyle w:val="16"/>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注：内容可根据供应商实际情况自行调整。</w:t>
      </w:r>
    </w:p>
    <w:p w14:paraId="189C5907">
      <w:pPr>
        <w:rPr>
          <w:rFonts w:hint="eastAsia" w:hAnsi="宋体"/>
          <w:color w:val="auto"/>
          <w:sz w:val="24"/>
          <w:szCs w:val="24"/>
          <w:highlight w:val="none"/>
        </w:rPr>
      </w:pPr>
    </w:p>
    <w:p w14:paraId="5A1A8F83">
      <w:pPr>
        <w:pStyle w:val="12"/>
        <w:rPr>
          <w:color w:val="auto"/>
          <w:highlight w:val="none"/>
        </w:rPr>
      </w:pPr>
    </w:p>
    <w:p w14:paraId="7C957593">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0B65414E">
      <w:pPr>
        <w:spacing w:line="360" w:lineRule="auto"/>
        <w:ind w:left="3780" w:leftChars="1800" w:firstLine="480" w:firstLineChars="200"/>
        <w:rPr>
          <w:rFonts w:asci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4A039FD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bookmarkEnd w:id="112"/>
    <w:p w14:paraId="2AD3D7B7">
      <w:pPr>
        <w:spacing w:line="360" w:lineRule="auto"/>
        <w:jc w:val="left"/>
        <w:rPr>
          <w:rFonts w:hint="eastAsia" w:ascii="宋体" w:hAnsi="宋体" w:cs="宋体"/>
          <w:b/>
          <w:bCs/>
          <w:color w:val="auto"/>
          <w:sz w:val="24"/>
          <w:szCs w:val="24"/>
          <w:highlight w:val="none"/>
          <w:lang w:val="zh-CN"/>
        </w:rPr>
      </w:pPr>
    </w:p>
    <w:p w14:paraId="54782F99">
      <w:pPr>
        <w:spacing w:line="360" w:lineRule="auto"/>
        <w:jc w:val="left"/>
        <w:rPr>
          <w:rFonts w:hint="eastAsia" w:ascii="宋体" w:hAnsi="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3DA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8AA76">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C2B79C">
                          <w:pPr>
                            <w:pStyle w:val="19"/>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15C2B79C">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68CC">
    <w:pPr>
      <w:pStyle w:val="19"/>
      <w:rPr>
        <w:rStyle w:val="3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0ADBA9F1">
                          <w:pPr>
                            <w:pStyle w:val="19"/>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0ADBA9F1">
                    <w:pPr>
                      <w:pStyle w:val="19"/>
                    </w:pPr>
                    <w:r>
                      <w:fldChar w:fldCharType="begin"/>
                    </w:r>
                    <w:r>
                      <w:instrText xml:space="preserve"> PAGE  \* MERGEFORMAT </w:instrText>
                    </w:r>
                    <w:r>
                      <w:fldChar w:fldCharType="separate"/>
                    </w:r>
                    <w:r>
                      <w:t>59</w:t>
                    </w:r>
                    <w:r>
                      <w:fldChar w:fldCharType="end"/>
                    </w:r>
                  </w:p>
                </w:txbxContent>
              </v:textbox>
            </v:shape>
          </w:pict>
        </mc:Fallback>
      </mc:AlternateContent>
    </w:r>
  </w:p>
  <w:p w14:paraId="558C93D9">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C872">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9C87"/>
    <w:multiLevelType w:val="singleLevel"/>
    <w:tmpl w:val="91799C87"/>
    <w:lvl w:ilvl="0" w:tentative="0">
      <w:start w:val="1"/>
      <w:numFmt w:val="decimal"/>
      <w:suff w:val="nothing"/>
      <w:lvlText w:val="（%1）"/>
      <w:lvlJc w:val="left"/>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4">
    <w:nsid w:val="F4396F3A"/>
    <w:multiLevelType w:val="singleLevel"/>
    <w:tmpl w:val="F4396F3A"/>
    <w:lvl w:ilvl="0" w:tentative="0">
      <w:start w:val="2"/>
      <w:numFmt w:val="chineseCounting"/>
      <w:suff w:val="nothing"/>
      <w:lvlText w:val="%1、"/>
      <w:lvlJc w:val="left"/>
      <w:rPr>
        <w:rFonts w:hint="eastAsia"/>
      </w:rPr>
    </w:lvl>
  </w:abstractNum>
  <w:abstractNum w:abstractNumId="5">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6">
    <w:nsid w:val="12F353C5"/>
    <w:multiLevelType w:val="singleLevel"/>
    <w:tmpl w:val="12F353C5"/>
    <w:lvl w:ilvl="0" w:tentative="0">
      <w:start w:val="1"/>
      <w:numFmt w:val="chineseCounting"/>
      <w:suff w:val="nothing"/>
      <w:lvlText w:val="%1、"/>
      <w:lvlJc w:val="left"/>
      <w:rPr>
        <w:rFonts w:hint="eastAsia"/>
      </w:rPr>
    </w:lvl>
  </w:abstractNum>
  <w:abstractNum w:abstractNumId="7">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8">
    <w:nsid w:val="1832AB82"/>
    <w:multiLevelType w:val="singleLevel"/>
    <w:tmpl w:val="1832AB82"/>
    <w:lvl w:ilvl="0" w:tentative="0">
      <w:start w:val="6"/>
      <w:numFmt w:val="chineseCounting"/>
      <w:suff w:val="nothing"/>
      <w:lvlText w:val="%1、"/>
      <w:lvlJc w:val="left"/>
      <w:rPr>
        <w:rFonts w:hint="eastAsia"/>
      </w:rPr>
    </w:lvl>
  </w:abstractNum>
  <w:abstractNum w:abstractNumId="9">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0">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1">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2">
    <w:nsid w:val="31213A5A"/>
    <w:multiLevelType w:val="singleLevel"/>
    <w:tmpl w:val="31213A5A"/>
    <w:lvl w:ilvl="0" w:tentative="0">
      <w:start w:val="4"/>
      <w:numFmt w:val="chineseCounting"/>
      <w:suff w:val="nothing"/>
      <w:lvlText w:val="%1、"/>
      <w:lvlJc w:val="left"/>
      <w:rPr>
        <w:rFonts w:hint="eastAsia"/>
      </w:rPr>
    </w:lvl>
  </w:abstractNum>
  <w:abstractNum w:abstractNumId="13">
    <w:nsid w:val="41495D5D"/>
    <w:multiLevelType w:val="singleLevel"/>
    <w:tmpl w:val="41495D5D"/>
    <w:lvl w:ilvl="0" w:tentative="0">
      <w:start w:val="6"/>
      <w:numFmt w:val="chineseCounting"/>
      <w:suff w:val="nothing"/>
      <w:lvlText w:val="%1、"/>
      <w:lvlJc w:val="left"/>
      <w:rPr>
        <w:rFonts w:hint="eastAsia"/>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5"/>
  </w:num>
  <w:num w:numId="2">
    <w:abstractNumId w:val="5"/>
  </w:num>
  <w:num w:numId="3">
    <w:abstractNumId w:val="17"/>
  </w:num>
  <w:num w:numId="4">
    <w:abstractNumId w:val="9"/>
  </w:num>
  <w:num w:numId="5">
    <w:abstractNumId w:val="19"/>
  </w:num>
  <w:num w:numId="6">
    <w:abstractNumId w:val="10"/>
  </w:num>
  <w:num w:numId="7">
    <w:abstractNumId w:val="18"/>
  </w:num>
  <w:num w:numId="8">
    <w:abstractNumId w:val="6"/>
  </w:num>
  <w:num w:numId="9">
    <w:abstractNumId w:val="7"/>
  </w:num>
  <w:num w:numId="10">
    <w:abstractNumId w:val="16"/>
  </w:num>
  <w:num w:numId="11">
    <w:abstractNumId w:val="14"/>
  </w:num>
  <w:num w:numId="12">
    <w:abstractNumId w:val="3"/>
  </w:num>
  <w:num w:numId="13">
    <w:abstractNumId w:val="1"/>
  </w:num>
  <w:num w:numId="14">
    <w:abstractNumId w:val="11"/>
  </w:num>
  <w:num w:numId="15">
    <w:abstractNumId w:val="13"/>
  </w:num>
  <w:num w:numId="16">
    <w:abstractNumId w:val="2"/>
  </w:num>
  <w:num w:numId="17">
    <w:abstractNumId w:val="12"/>
  </w:num>
  <w:num w:numId="18">
    <w:abstractNumId w:val="4"/>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jM2ZGZkNzgwZTAyMTBhZjNhNGNhN2E3ZGRiYmU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503"/>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1F5A"/>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444C32"/>
    <w:rsid w:val="0149271B"/>
    <w:rsid w:val="01A77E95"/>
    <w:rsid w:val="025E2E11"/>
    <w:rsid w:val="02710CE9"/>
    <w:rsid w:val="02C941D1"/>
    <w:rsid w:val="02F834C3"/>
    <w:rsid w:val="02FB0AA9"/>
    <w:rsid w:val="02FB1EF4"/>
    <w:rsid w:val="036526F5"/>
    <w:rsid w:val="03A870EA"/>
    <w:rsid w:val="03CF04D4"/>
    <w:rsid w:val="03E70B83"/>
    <w:rsid w:val="044134E4"/>
    <w:rsid w:val="0523406D"/>
    <w:rsid w:val="052D21DD"/>
    <w:rsid w:val="05D90274"/>
    <w:rsid w:val="06082700"/>
    <w:rsid w:val="061E70B0"/>
    <w:rsid w:val="07010B40"/>
    <w:rsid w:val="070A46E6"/>
    <w:rsid w:val="073C1416"/>
    <w:rsid w:val="07401E45"/>
    <w:rsid w:val="074C3C28"/>
    <w:rsid w:val="08D00067"/>
    <w:rsid w:val="090B4CBB"/>
    <w:rsid w:val="09A27D61"/>
    <w:rsid w:val="0A232C26"/>
    <w:rsid w:val="0A762AF0"/>
    <w:rsid w:val="0ABC596C"/>
    <w:rsid w:val="0B065E39"/>
    <w:rsid w:val="0B7F4E2B"/>
    <w:rsid w:val="0C3660B1"/>
    <w:rsid w:val="0C387BBC"/>
    <w:rsid w:val="0C7A6A78"/>
    <w:rsid w:val="0D094597"/>
    <w:rsid w:val="0E090AFD"/>
    <w:rsid w:val="0E22642F"/>
    <w:rsid w:val="0E2D1637"/>
    <w:rsid w:val="0E480625"/>
    <w:rsid w:val="0EA47DFC"/>
    <w:rsid w:val="0EA5368B"/>
    <w:rsid w:val="0EEA1524"/>
    <w:rsid w:val="0F126BB8"/>
    <w:rsid w:val="0F3C2EDB"/>
    <w:rsid w:val="0F9E5390"/>
    <w:rsid w:val="104145F9"/>
    <w:rsid w:val="10B64C1C"/>
    <w:rsid w:val="10BA6CED"/>
    <w:rsid w:val="10C8119F"/>
    <w:rsid w:val="10C9129C"/>
    <w:rsid w:val="10F13268"/>
    <w:rsid w:val="112014D4"/>
    <w:rsid w:val="113C27FB"/>
    <w:rsid w:val="113C3CF0"/>
    <w:rsid w:val="11AF1066"/>
    <w:rsid w:val="11CF6577"/>
    <w:rsid w:val="12130BAD"/>
    <w:rsid w:val="12240EE0"/>
    <w:rsid w:val="12313422"/>
    <w:rsid w:val="12792BFB"/>
    <w:rsid w:val="129F37E3"/>
    <w:rsid w:val="12DC05F0"/>
    <w:rsid w:val="12E30368"/>
    <w:rsid w:val="12FC45DD"/>
    <w:rsid w:val="13026586"/>
    <w:rsid w:val="13495BED"/>
    <w:rsid w:val="134B03A9"/>
    <w:rsid w:val="14223741"/>
    <w:rsid w:val="14257469"/>
    <w:rsid w:val="14F4180A"/>
    <w:rsid w:val="15576C06"/>
    <w:rsid w:val="155D552F"/>
    <w:rsid w:val="15610299"/>
    <w:rsid w:val="15703332"/>
    <w:rsid w:val="157D7686"/>
    <w:rsid w:val="15830AE2"/>
    <w:rsid w:val="15A07E8D"/>
    <w:rsid w:val="15BC6282"/>
    <w:rsid w:val="160A4670"/>
    <w:rsid w:val="1648774C"/>
    <w:rsid w:val="16B952CB"/>
    <w:rsid w:val="16EB43B2"/>
    <w:rsid w:val="174437E2"/>
    <w:rsid w:val="17B56564"/>
    <w:rsid w:val="17D3547E"/>
    <w:rsid w:val="17F0221E"/>
    <w:rsid w:val="19061AA7"/>
    <w:rsid w:val="190D09AE"/>
    <w:rsid w:val="194A559B"/>
    <w:rsid w:val="19B03AD9"/>
    <w:rsid w:val="19F50C37"/>
    <w:rsid w:val="1A00750A"/>
    <w:rsid w:val="1A156465"/>
    <w:rsid w:val="1A4D3F31"/>
    <w:rsid w:val="1A686CC5"/>
    <w:rsid w:val="1A877638"/>
    <w:rsid w:val="1AFB0A1E"/>
    <w:rsid w:val="1B155261"/>
    <w:rsid w:val="1B45310B"/>
    <w:rsid w:val="1B4A7538"/>
    <w:rsid w:val="1B4F1500"/>
    <w:rsid w:val="1B6755DD"/>
    <w:rsid w:val="1BC45F57"/>
    <w:rsid w:val="1BDB27A5"/>
    <w:rsid w:val="1C177D71"/>
    <w:rsid w:val="1CC33B3D"/>
    <w:rsid w:val="1CC874BD"/>
    <w:rsid w:val="1CFF0A9F"/>
    <w:rsid w:val="1D4560F4"/>
    <w:rsid w:val="1DC4257C"/>
    <w:rsid w:val="1DC74A1D"/>
    <w:rsid w:val="1DFA60A0"/>
    <w:rsid w:val="1E157011"/>
    <w:rsid w:val="1E302074"/>
    <w:rsid w:val="1E81588C"/>
    <w:rsid w:val="1E8C459E"/>
    <w:rsid w:val="1E934307"/>
    <w:rsid w:val="1EDA1EFB"/>
    <w:rsid w:val="1F05316A"/>
    <w:rsid w:val="1F1A7FE6"/>
    <w:rsid w:val="1F2B0346"/>
    <w:rsid w:val="1F431821"/>
    <w:rsid w:val="1F890C4B"/>
    <w:rsid w:val="1FD10B66"/>
    <w:rsid w:val="1FDA3069"/>
    <w:rsid w:val="20005C4C"/>
    <w:rsid w:val="20325FB5"/>
    <w:rsid w:val="205B73C3"/>
    <w:rsid w:val="20626028"/>
    <w:rsid w:val="20B44398"/>
    <w:rsid w:val="20D34487"/>
    <w:rsid w:val="20EB4820"/>
    <w:rsid w:val="215A3622"/>
    <w:rsid w:val="219416B8"/>
    <w:rsid w:val="21E205A5"/>
    <w:rsid w:val="21FF3D3B"/>
    <w:rsid w:val="220A1EFE"/>
    <w:rsid w:val="221E07B5"/>
    <w:rsid w:val="2231339B"/>
    <w:rsid w:val="22514430"/>
    <w:rsid w:val="226704C8"/>
    <w:rsid w:val="22D7095E"/>
    <w:rsid w:val="231057D9"/>
    <w:rsid w:val="23494C91"/>
    <w:rsid w:val="234B0952"/>
    <w:rsid w:val="23720885"/>
    <w:rsid w:val="239F10A8"/>
    <w:rsid w:val="24054003"/>
    <w:rsid w:val="24223821"/>
    <w:rsid w:val="24502B23"/>
    <w:rsid w:val="248E2E3A"/>
    <w:rsid w:val="24927B33"/>
    <w:rsid w:val="24EC5A47"/>
    <w:rsid w:val="250F2229"/>
    <w:rsid w:val="2515406A"/>
    <w:rsid w:val="25E164CD"/>
    <w:rsid w:val="26451EEA"/>
    <w:rsid w:val="26704F2E"/>
    <w:rsid w:val="269A56FB"/>
    <w:rsid w:val="26CF0AE9"/>
    <w:rsid w:val="27462836"/>
    <w:rsid w:val="27DC3878"/>
    <w:rsid w:val="2851418A"/>
    <w:rsid w:val="28AF339E"/>
    <w:rsid w:val="28C62F56"/>
    <w:rsid w:val="28D55F18"/>
    <w:rsid w:val="28DA203A"/>
    <w:rsid w:val="28E84A2F"/>
    <w:rsid w:val="28F0407A"/>
    <w:rsid w:val="29152822"/>
    <w:rsid w:val="291A7D32"/>
    <w:rsid w:val="29320499"/>
    <w:rsid w:val="29655706"/>
    <w:rsid w:val="29837904"/>
    <w:rsid w:val="29AC284E"/>
    <w:rsid w:val="29DA2B3A"/>
    <w:rsid w:val="2AB06233"/>
    <w:rsid w:val="2AD11B33"/>
    <w:rsid w:val="2B6C01DB"/>
    <w:rsid w:val="2BBA4829"/>
    <w:rsid w:val="2BBB1A74"/>
    <w:rsid w:val="2BF7A349"/>
    <w:rsid w:val="2C0E641B"/>
    <w:rsid w:val="2C263A29"/>
    <w:rsid w:val="2C3609A6"/>
    <w:rsid w:val="2CAE51CD"/>
    <w:rsid w:val="2CC23506"/>
    <w:rsid w:val="2CFB251F"/>
    <w:rsid w:val="2D053140"/>
    <w:rsid w:val="2D346E5C"/>
    <w:rsid w:val="2D66202B"/>
    <w:rsid w:val="2D720E3E"/>
    <w:rsid w:val="2E280C6F"/>
    <w:rsid w:val="2E664953"/>
    <w:rsid w:val="2E8A194C"/>
    <w:rsid w:val="2EB5699C"/>
    <w:rsid w:val="2F6E3D48"/>
    <w:rsid w:val="2FFC5273"/>
    <w:rsid w:val="30033080"/>
    <w:rsid w:val="300C0145"/>
    <w:rsid w:val="30110DE2"/>
    <w:rsid w:val="30474804"/>
    <w:rsid w:val="30955632"/>
    <w:rsid w:val="30FB7A19"/>
    <w:rsid w:val="310261A7"/>
    <w:rsid w:val="318D0B53"/>
    <w:rsid w:val="32560FAB"/>
    <w:rsid w:val="32A75185"/>
    <w:rsid w:val="33340B4D"/>
    <w:rsid w:val="335F41BA"/>
    <w:rsid w:val="336D3A71"/>
    <w:rsid w:val="33BA34B0"/>
    <w:rsid w:val="34367DA9"/>
    <w:rsid w:val="3477488D"/>
    <w:rsid w:val="349413EA"/>
    <w:rsid w:val="34C54BE3"/>
    <w:rsid w:val="34C574CF"/>
    <w:rsid w:val="350D6182"/>
    <w:rsid w:val="350F64CC"/>
    <w:rsid w:val="3598364F"/>
    <w:rsid w:val="3629776F"/>
    <w:rsid w:val="367C4935"/>
    <w:rsid w:val="36CE34E8"/>
    <w:rsid w:val="37020770"/>
    <w:rsid w:val="371150A0"/>
    <w:rsid w:val="37B838EA"/>
    <w:rsid w:val="37F0752F"/>
    <w:rsid w:val="38641F42"/>
    <w:rsid w:val="3904514B"/>
    <w:rsid w:val="39606472"/>
    <w:rsid w:val="396632C4"/>
    <w:rsid w:val="39BF365D"/>
    <w:rsid w:val="39FB6A6E"/>
    <w:rsid w:val="39FC282B"/>
    <w:rsid w:val="3A164E28"/>
    <w:rsid w:val="3A3B07FB"/>
    <w:rsid w:val="3A9C1064"/>
    <w:rsid w:val="3ACF16E5"/>
    <w:rsid w:val="3B0E1F66"/>
    <w:rsid w:val="3B1064BD"/>
    <w:rsid w:val="3B2C33D8"/>
    <w:rsid w:val="3B2C358C"/>
    <w:rsid w:val="3BBB2FE5"/>
    <w:rsid w:val="3BE04637"/>
    <w:rsid w:val="3BF15362"/>
    <w:rsid w:val="3C4D0229"/>
    <w:rsid w:val="3C6D4B9E"/>
    <w:rsid w:val="3CAD5C52"/>
    <w:rsid w:val="3CD27730"/>
    <w:rsid w:val="3D390470"/>
    <w:rsid w:val="3D4D11D6"/>
    <w:rsid w:val="3D593B6E"/>
    <w:rsid w:val="3D8C7B9F"/>
    <w:rsid w:val="3DC76F84"/>
    <w:rsid w:val="3DCE50EF"/>
    <w:rsid w:val="3DDF7E2A"/>
    <w:rsid w:val="3E1918E3"/>
    <w:rsid w:val="3E3759DF"/>
    <w:rsid w:val="3E96513D"/>
    <w:rsid w:val="3E98229E"/>
    <w:rsid w:val="3EA64B1B"/>
    <w:rsid w:val="3EE902D6"/>
    <w:rsid w:val="3F894898"/>
    <w:rsid w:val="4009784F"/>
    <w:rsid w:val="40E80A95"/>
    <w:rsid w:val="41131941"/>
    <w:rsid w:val="411E7DFD"/>
    <w:rsid w:val="41C50CBF"/>
    <w:rsid w:val="420270E5"/>
    <w:rsid w:val="42234900"/>
    <w:rsid w:val="42310D45"/>
    <w:rsid w:val="42562401"/>
    <w:rsid w:val="428D70FA"/>
    <w:rsid w:val="42914373"/>
    <w:rsid w:val="4297507F"/>
    <w:rsid w:val="42A44E8B"/>
    <w:rsid w:val="42F51E9D"/>
    <w:rsid w:val="430E78BD"/>
    <w:rsid w:val="43393B20"/>
    <w:rsid w:val="43495ACF"/>
    <w:rsid w:val="436C497E"/>
    <w:rsid w:val="43F54CF5"/>
    <w:rsid w:val="441E77D9"/>
    <w:rsid w:val="448D6A38"/>
    <w:rsid w:val="44A7387A"/>
    <w:rsid w:val="454D3269"/>
    <w:rsid w:val="45EC6591"/>
    <w:rsid w:val="464E523A"/>
    <w:rsid w:val="46562959"/>
    <w:rsid w:val="467F690A"/>
    <w:rsid w:val="46B85F59"/>
    <w:rsid w:val="46C644C3"/>
    <w:rsid w:val="46E961D3"/>
    <w:rsid w:val="47443388"/>
    <w:rsid w:val="475C0139"/>
    <w:rsid w:val="47D06A35"/>
    <w:rsid w:val="47EE3ABC"/>
    <w:rsid w:val="47EF50CB"/>
    <w:rsid w:val="48621071"/>
    <w:rsid w:val="48D136C9"/>
    <w:rsid w:val="492D7C31"/>
    <w:rsid w:val="495C25B9"/>
    <w:rsid w:val="49603C10"/>
    <w:rsid w:val="498B48F2"/>
    <w:rsid w:val="499D0869"/>
    <w:rsid w:val="49A50688"/>
    <w:rsid w:val="49C134CC"/>
    <w:rsid w:val="4A396CAF"/>
    <w:rsid w:val="4A3E14BB"/>
    <w:rsid w:val="4ACC4412"/>
    <w:rsid w:val="4AD245F0"/>
    <w:rsid w:val="4B0C6773"/>
    <w:rsid w:val="4B5C045F"/>
    <w:rsid w:val="4BE44EED"/>
    <w:rsid w:val="4C0A256C"/>
    <w:rsid w:val="4C347AA3"/>
    <w:rsid w:val="4D782815"/>
    <w:rsid w:val="4D8D2223"/>
    <w:rsid w:val="4DBE4790"/>
    <w:rsid w:val="4E0B22F2"/>
    <w:rsid w:val="4E5F6C64"/>
    <w:rsid w:val="4EEF6B88"/>
    <w:rsid w:val="4EF549D4"/>
    <w:rsid w:val="4F5145FB"/>
    <w:rsid w:val="4FA72F38"/>
    <w:rsid w:val="4FFC17B4"/>
    <w:rsid w:val="504B057C"/>
    <w:rsid w:val="509E5922"/>
    <w:rsid w:val="518E73F2"/>
    <w:rsid w:val="51961C3E"/>
    <w:rsid w:val="51A56A74"/>
    <w:rsid w:val="51D73718"/>
    <w:rsid w:val="51F03A65"/>
    <w:rsid w:val="525C5D72"/>
    <w:rsid w:val="52F61A46"/>
    <w:rsid w:val="52FE55DB"/>
    <w:rsid w:val="53C04396"/>
    <w:rsid w:val="53E87428"/>
    <w:rsid w:val="53FA1456"/>
    <w:rsid w:val="5447281C"/>
    <w:rsid w:val="548C054F"/>
    <w:rsid w:val="54926736"/>
    <w:rsid w:val="54A90D98"/>
    <w:rsid w:val="54A9343E"/>
    <w:rsid w:val="54B00CF9"/>
    <w:rsid w:val="54DC51D8"/>
    <w:rsid w:val="54E44556"/>
    <w:rsid w:val="54F65EBA"/>
    <w:rsid w:val="551B0D5B"/>
    <w:rsid w:val="55AF412E"/>
    <w:rsid w:val="55D27624"/>
    <w:rsid w:val="56324628"/>
    <w:rsid w:val="56336B0D"/>
    <w:rsid w:val="567A6E51"/>
    <w:rsid w:val="56F203B4"/>
    <w:rsid w:val="572440FC"/>
    <w:rsid w:val="573B4467"/>
    <w:rsid w:val="57472D83"/>
    <w:rsid w:val="574F0B3B"/>
    <w:rsid w:val="579A11F6"/>
    <w:rsid w:val="57DB6DBF"/>
    <w:rsid w:val="57FC55AA"/>
    <w:rsid w:val="580928E7"/>
    <w:rsid w:val="583E1CF5"/>
    <w:rsid w:val="58551F7D"/>
    <w:rsid w:val="58707FE1"/>
    <w:rsid w:val="58C62C8B"/>
    <w:rsid w:val="595C5ED3"/>
    <w:rsid w:val="5AA412FE"/>
    <w:rsid w:val="5ABA7A19"/>
    <w:rsid w:val="5AC72F10"/>
    <w:rsid w:val="5AF44CFD"/>
    <w:rsid w:val="5B136F0D"/>
    <w:rsid w:val="5B454813"/>
    <w:rsid w:val="5B56778E"/>
    <w:rsid w:val="5B840C5F"/>
    <w:rsid w:val="5B964D28"/>
    <w:rsid w:val="5BC44F00"/>
    <w:rsid w:val="5D002209"/>
    <w:rsid w:val="5D217374"/>
    <w:rsid w:val="5D3469CD"/>
    <w:rsid w:val="5D424896"/>
    <w:rsid w:val="5DE81AA6"/>
    <w:rsid w:val="5DE943DE"/>
    <w:rsid w:val="5E1C3608"/>
    <w:rsid w:val="5E2B51A2"/>
    <w:rsid w:val="5E9C30B5"/>
    <w:rsid w:val="5EB62375"/>
    <w:rsid w:val="5EF724E5"/>
    <w:rsid w:val="5F027C2C"/>
    <w:rsid w:val="5F436DCC"/>
    <w:rsid w:val="5F5B667A"/>
    <w:rsid w:val="5F6067D6"/>
    <w:rsid w:val="5FD125EC"/>
    <w:rsid w:val="603D2D4A"/>
    <w:rsid w:val="60D51B08"/>
    <w:rsid w:val="610552EA"/>
    <w:rsid w:val="61162C50"/>
    <w:rsid w:val="61183586"/>
    <w:rsid w:val="61490A69"/>
    <w:rsid w:val="617203D0"/>
    <w:rsid w:val="61763A1C"/>
    <w:rsid w:val="61EC0543"/>
    <w:rsid w:val="622320AD"/>
    <w:rsid w:val="62460B06"/>
    <w:rsid w:val="626C41FD"/>
    <w:rsid w:val="62902632"/>
    <w:rsid w:val="62B611F1"/>
    <w:rsid w:val="62F7205C"/>
    <w:rsid w:val="631840FD"/>
    <w:rsid w:val="634B16C2"/>
    <w:rsid w:val="636C14B0"/>
    <w:rsid w:val="638717D9"/>
    <w:rsid w:val="63DD630A"/>
    <w:rsid w:val="63FA087F"/>
    <w:rsid w:val="64981C38"/>
    <w:rsid w:val="64A14715"/>
    <w:rsid w:val="64AE2EEE"/>
    <w:rsid w:val="64E71BB9"/>
    <w:rsid w:val="64F70EA9"/>
    <w:rsid w:val="654F1A47"/>
    <w:rsid w:val="6559389C"/>
    <w:rsid w:val="65C03700"/>
    <w:rsid w:val="65EC15AB"/>
    <w:rsid w:val="66124BF5"/>
    <w:rsid w:val="666B40A1"/>
    <w:rsid w:val="67031B49"/>
    <w:rsid w:val="671B6AB8"/>
    <w:rsid w:val="673C4867"/>
    <w:rsid w:val="67996221"/>
    <w:rsid w:val="67AD7E55"/>
    <w:rsid w:val="681E7F53"/>
    <w:rsid w:val="682D5AB2"/>
    <w:rsid w:val="68C46127"/>
    <w:rsid w:val="69610B03"/>
    <w:rsid w:val="69A14E77"/>
    <w:rsid w:val="69A714AC"/>
    <w:rsid w:val="6A1671DC"/>
    <w:rsid w:val="6AAF37D3"/>
    <w:rsid w:val="6ADB5F72"/>
    <w:rsid w:val="6B584AFC"/>
    <w:rsid w:val="6B59453E"/>
    <w:rsid w:val="6BE66EA4"/>
    <w:rsid w:val="6D137960"/>
    <w:rsid w:val="6D88336F"/>
    <w:rsid w:val="6E627A21"/>
    <w:rsid w:val="6E957640"/>
    <w:rsid w:val="6EE33674"/>
    <w:rsid w:val="6EE442D1"/>
    <w:rsid w:val="6F4C3024"/>
    <w:rsid w:val="6F86791A"/>
    <w:rsid w:val="6FCD3676"/>
    <w:rsid w:val="70BA3726"/>
    <w:rsid w:val="712E653E"/>
    <w:rsid w:val="717103EB"/>
    <w:rsid w:val="71A224E9"/>
    <w:rsid w:val="71B93DEC"/>
    <w:rsid w:val="71D074AE"/>
    <w:rsid w:val="72310D3B"/>
    <w:rsid w:val="72741EBA"/>
    <w:rsid w:val="72920205"/>
    <w:rsid w:val="72AE4346"/>
    <w:rsid w:val="72EA0AEA"/>
    <w:rsid w:val="73075151"/>
    <w:rsid w:val="73253CFE"/>
    <w:rsid w:val="734A6100"/>
    <w:rsid w:val="73767D80"/>
    <w:rsid w:val="738854C1"/>
    <w:rsid w:val="73EB3D22"/>
    <w:rsid w:val="74064BED"/>
    <w:rsid w:val="74277831"/>
    <w:rsid w:val="74533BD1"/>
    <w:rsid w:val="747948CE"/>
    <w:rsid w:val="75126D7A"/>
    <w:rsid w:val="75A65E27"/>
    <w:rsid w:val="75BA5477"/>
    <w:rsid w:val="760F280F"/>
    <w:rsid w:val="769918E2"/>
    <w:rsid w:val="76BFAF13"/>
    <w:rsid w:val="77537603"/>
    <w:rsid w:val="77563824"/>
    <w:rsid w:val="77C875A5"/>
    <w:rsid w:val="785513ED"/>
    <w:rsid w:val="78937CF7"/>
    <w:rsid w:val="78B10039"/>
    <w:rsid w:val="78FBF684"/>
    <w:rsid w:val="793F5645"/>
    <w:rsid w:val="799C2E68"/>
    <w:rsid w:val="79ED6971"/>
    <w:rsid w:val="79FB37BE"/>
    <w:rsid w:val="79FE2D83"/>
    <w:rsid w:val="7A057571"/>
    <w:rsid w:val="7A1F75CB"/>
    <w:rsid w:val="7A263419"/>
    <w:rsid w:val="7A410003"/>
    <w:rsid w:val="7A7A456B"/>
    <w:rsid w:val="7A7C5792"/>
    <w:rsid w:val="7AA33536"/>
    <w:rsid w:val="7AD2618C"/>
    <w:rsid w:val="7AE8472F"/>
    <w:rsid w:val="7B432730"/>
    <w:rsid w:val="7B4D35F3"/>
    <w:rsid w:val="7B7D91F1"/>
    <w:rsid w:val="7BCD5242"/>
    <w:rsid w:val="7BED0CD8"/>
    <w:rsid w:val="7BF369A8"/>
    <w:rsid w:val="7BF88BF8"/>
    <w:rsid w:val="7BFE1E83"/>
    <w:rsid w:val="7C892431"/>
    <w:rsid w:val="7CB005E1"/>
    <w:rsid w:val="7CB7F70C"/>
    <w:rsid w:val="7CF32A66"/>
    <w:rsid w:val="7D58029C"/>
    <w:rsid w:val="7D673C72"/>
    <w:rsid w:val="7D6E5DFF"/>
    <w:rsid w:val="7D6FFF83"/>
    <w:rsid w:val="7D71438E"/>
    <w:rsid w:val="7DBF21A5"/>
    <w:rsid w:val="7DE93C59"/>
    <w:rsid w:val="7DFBF8B8"/>
    <w:rsid w:val="7E6D67B0"/>
    <w:rsid w:val="7E72183B"/>
    <w:rsid w:val="7EFF7F74"/>
    <w:rsid w:val="7F3F6140"/>
    <w:rsid w:val="7F516B1D"/>
    <w:rsid w:val="7F9B10FB"/>
    <w:rsid w:val="7FB33084"/>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autoRedefine/>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4"/>
    <w:link w:val="43"/>
    <w:autoRedefine/>
    <w:qFormat/>
    <w:uiPriority w:val="99"/>
    <w:pPr>
      <w:keepNext/>
      <w:spacing w:line="216" w:lineRule="auto"/>
      <w:outlineLvl w:val="1"/>
    </w:pPr>
    <w:rPr>
      <w:rFonts w:ascii="宋体" w:hAnsi="Calibri" w:cs="宋体"/>
      <w:b/>
      <w:bCs/>
      <w:sz w:val="28"/>
      <w:szCs w:val="28"/>
    </w:rPr>
  </w:style>
  <w:style w:type="paragraph" w:styleId="5">
    <w:name w:val="heading 3"/>
    <w:basedOn w:val="1"/>
    <w:next w:val="1"/>
    <w:link w:val="44"/>
    <w:autoRedefine/>
    <w:qFormat/>
    <w:uiPriority w:val="99"/>
    <w:pPr>
      <w:keepNext/>
      <w:numPr>
        <w:ilvl w:val="0"/>
        <w:numId w:val="1"/>
      </w:numPr>
      <w:spacing w:line="216" w:lineRule="auto"/>
      <w:outlineLvl w:val="2"/>
    </w:pPr>
    <w:rPr>
      <w:rFonts w:ascii="宋体" w:hAnsi="Calibri" w:cs="宋体"/>
      <w:b/>
      <w:bCs/>
      <w:sz w:val="28"/>
      <w:szCs w:val="28"/>
    </w:rPr>
  </w:style>
  <w:style w:type="paragraph" w:styleId="6">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99"/>
    <w:pPr>
      <w:ind w:firstLine="420"/>
    </w:pPr>
  </w:style>
  <w:style w:type="paragraph" w:styleId="7">
    <w:name w:val="annotation text"/>
    <w:basedOn w:val="1"/>
    <w:autoRedefine/>
    <w:semiHidden/>
    <w:unhideWhenUsed/>
    <w:qFormat/>
    <w:uiPriority w:val="99"/>
    <w:pPr>
      <w:jc w:val="left"/>
    </w:pPr>
  </w:style>
  <w:style w:type="paragraph" w:styleId="8">
    <w:name w:val="Body Text 3"/>
    <w:basedOn w:val="1"/>
    <w:autoRedefine/>
    <w:unhideWhenUsed/>
    <w:qFormat/>
    <w:uiPriority w:val="99"/>
    <w:pPr>
      <w:spacing w:after="120"/>
    </w:pPr>
    <w:rPr>
      <w:sz w:val="16"/>
      <w:szCs w:val="16"/>
    </w:rPr>
  </w:style>
  <w:style w:type="paragraph" w:styleId="9">
    <w:name w:val="Body Text"/>
    <w:basedOn w:val="1"/>
    <w:next w:val="10"/>
    <w:link w:val="45"/>
    <w:autoRedefine/>
    <w:qFormat/>
    <w:uiPriority w:val="99"/>
  </w:style>
  <w:style w:type="paragraph" w:styleId="10">
    <w:name w:val="Body Text First Indent"/>
    <w:basedOn w:val="9"/>
    <w:next w:val="11"/>
    <w:link w:val="57"/>
    <w:autoRedefine/>
    <w:qFormat/>
    <w:uiPriority w:val="99"/>
    <w:pPr>
      <w:ind w:firstLine="420" w:firstLineChars="100"/>
    </w:pPr>
  </w:style>
  <w:style w:type="paragraph" w:styleId="11">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12">
    <w:name w:val="Body Text Indent"/>
    <w:basedOn w:val="1"/>
    <w:next w:val="13"/>
    <w:link w:val="51"/>
    <w:autoRedefine/>
    <w:qFormat/>
    <w:uiPriority w:val="99"/>
    <w:pPr>
      <w:adjustRightInd w:val="0"/>
      <w:spacing w:line="360" w:lineRule="auto"/>
      <w:ind w:firstLine="490"/>
      <w:jc w:val="left"/>
    </w:pPr>
    <w:rPr>
      <w:rFonts w:ascii="宋体" w:hAnsi="宋体" w:cs="宋体"/>
      <w:sz w:val="24"/>
      <w:szCs w:val="24"/>
    </w:rPr>
  </w:style>
  <w:style w:type="paragraph" w:styleId="13">
    <w:name w:val="Body Text First Indent 2"/>
    <w:basedOn w:val="12"/>
    <w:autoRedefine/>
    <w:qFormat/>
    <w:uiPriority w:val="0"/>
    <w:pPr>
      <w:ind w:firstLine="420"/>
    </w:pPr>
  </w:style>
  <w:style w:type="paragraph" w:styleId="14">
    <w:name w:val="Block Text"/>
    <w:basedOn w:val="1"/>
    <w:autoRedefine/>
    <w:qFormat/>
    <w:uiPriority w:val="0"/>
    <w:pPr>
      <w:spacing w:before="120" w:line="360" w:lineRule="auto"/>
      <w:ind w:left="824" w:right="202"/>
    </w:pPr>
    <w:rPr>
      <w:rFonts w:ascii="宋体" w:hAnsi="宋体"/>
      <w:sz w:val="24"/>
      <w:szCs w:val="21"/>
    </w:rPr>
  </w:style>
  <w:style w:type="paragraph" w:styleId="15">
    <w:name w:val="toc 3"/>
    <w:basedOn w:val="1"/>
    <w:next w:val="1"/>
    <w:autoRedefine/>
    <w:semiHidden/>
    <w:qFormat/>
    <w:uiPriority w:val="99"/>
    <w:pPr>
      <w:ind w:left="840" w:leftChars="400"/>
    </w:pPr>
  </w:style>
  <w:style w:type="paragraph" w:styleId="16">
    <w:name w:val="Plain Text"/>
    <w:basedOn w:val="1"/>
    <w:next w:val="1"/>
    <w:link w:val="52"/>
    <w:autoRedefine/>
    <w:qFormat/>
    <w:uiPriority w:val="99"/>
    <w:rPr>
      <w:rFonts w:ascii="宋体" w:hAnsi="Courier New" w:cs="宋体"/>
    </w:rPr>
  </w:style>
  <w:style w:type="paragraph" w:styleId="17">
    <w:name w:val="Date"/>
    <w:basedOn w:val="1"/>
    <w:next w:val="1"/>
    <w:link w:val="53"/>
    <w:autoRedefine/>
    <w:qFormat/>
    <w:uiPriority w:val="99"/>
    <w:pPr>
      <w:ind w:left="100" w:leftChars="2500"/>
    </w:pPr>
    <w:rPr>
      <w:rFonts w:ascii="宋体" w:hAnsi="宋体" w:cs="宋体"/>
      <w:color w:val="000000"/>
      <w:sz w:val="24"/>
      <w:szCs w:val="24"/>
    </w:rPr>
  </w:style>
  <w:style w:type="paragraph" w:styleId="18">
    <w:name w:val="Balloon Text"/>
    <w:basedOn w:val="1"/>
    <w:link w:val="54"/>
    <w:autoRedefine/>
    <w:semiHidden/>
    <w:qFormat/>
    <w:uiPriority w:val="99"/>
    <w:rPr>
      <w:sz w:val="18"/>
      <w:szCs w:val="18"/>
    </w:rPr>
  </w:style>
  <w:style w:type="paragraph" w:styleId="19">
    <w:name w:val="footer"/>
    <w:basedOn w:val="1"/>
    <w:link w:val="55"/>
    <w:autoRedefine/>
    <w:qFormat/>
    <w:uiPriority w:val="99"/>
    <w:pPr>
      <w:tabs>
        <w:tab w:val="center" w:pos="4153"/>
        <w:tab w:val="right" w:pos="8306"/>
      </w:tabs>
      <w:snapToGrid w:val="0"/>
      <w:jc w:val="left"/>
    </w:pPr>
    <w:rPr>
      <w:sz w:val="18"/>
      <w:szCs w:val="18"/>
    </w:rPr>
  </w:style>
  <w:style w:type="paragraph" w:styleId="20">
    <w:name w:val="header"/>
    <w:basedOn w:val="1"/>
    <w:link w:val="56"/>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1">
    <w:name w:val="toc 1"/>
    <w:basedOn w:val="1"/>
    <w:next w:val="1"/>
    <w:autoRedefine/>
    <w:semiHidden/>
    <w:qFormat/>
    <w:uiPriority w:val="99"/>
  </w:style>
  <w:style w:type="paragraph" w:styleId="22">
    <w:name w:val="toc 4"/>
    <w:basedOn w:val="1"/>
    <w:next w:val="1"/>
    <w:autoRedefine/>
    <w:qFormat/>
    <w:uiPriority w:val="39"/>
    <w:pPr>
      <w:ind w:left="1260" w:leftChars="600"/>
    </w:pPr>
    <w:rPr>
      <w:szCs w:val="24"/>
    </w:rPr>
  </w:style>
  <w:style w:type="paragraph" w:styleId="23">
    <w:name w:val="toc 2"/>
    <w:basedOn w:val="1"/>
    <w:next w:val="1"/>
    <w:autoRedefine/>
    <w:semiHidden/>
    <w:qFormat/>
    <w:uiPriority w:val="99"/>
    <w:pPr>
      <w:ind w:left="420" w:leftChars="200"/>
    </w:pPr>
  </w:style>
  <w:style w:type="paragraph" w:styleId="24">
    <w:name w:val="Body Text 2"/>
    <w:basedOn w:val="1"/>
    <w:autoRedefine/>
    <w:qFormat/>
    <w:uiPriority w:val="0"/>
    <w:pPr>
      <w:spacing w:after="120" w:line="480" w:lineRule="auto"/>
    </w:pPr>
    <w:rPr>
      <w:rFonts w:ascii="Times New Roman" w:hAnsi="Times New Roman"/>
      <w:szCs w:val="20"/>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7">
    <w:name w:val="Title"/>
    <w:basedOn w:val="1"/>
    <w:autoRedefine/>
    <w:qFormat/>
    <w:locked/>
    <w:uiPriority w:val="0"/>
    <w:pPr>
      <w:widowControl/>
      <w:overflowPunct w:val="0"/>
      <w:autoSpaceDE w:val="0"/>
      <w:autoSpaceDN w:val="0"/>
      <w:adjustRightInd w:val="0"/>
      <w:jc w:val="center"/>
      <w:textAlignment w:val="baseline"/>
    </w:pPr>
    <w:rPr>
      <w:b/>
      <w:sz w:val="24"/>
      <w:lang w:val="en-GB"/>
    </w:rPr>
  </w:style>
  <w:style w:type="table" w:styleId="29">
    <w:name w:val="Table Grid"/>
    <w:basedOn w:val="28"/>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99"/>
    <w:rPr>
      <w:b/>
      <w:bCs/>
    </w:rPr>
  </w:style>
  <w:style w:type="character" w:styleId="32">
    <w:name w:val="page number"/>
    <w:basedOn w:val="30"/>
    <w:autoRedefine/>
    <w:qFormat/>
    <w:uiPriority w:val="99"/>
  </w:style>
  <w:style w:type="character" w:styleId="33">
    <w:name w:val="Hyperlink"/>
    <w:basedOn w:val="30"/>
    <w:autoRedefine/>
    <w:qFormat/>
    <w:uiPriority w:val="99"/>
    <w:rPr>
      <w:color w:val="0000FF"/>
      <w:u w:val="single"/>
    </w:rPr>
  </w:style>
  <w:style w:type="paragraph" w:customStyle="1" w:styleId="34">
    <w:name w:val="BodyText1I2"/>
    <w:basedOn w:val="35"/>
    <w:autoRedefine/>
    <w:qFormat/>
    <w:uiPriority w:val="0"/>
    <w:pPr>
      <w:ind w:firstLine="420"/>
    </w:pPr>
    <w:rPr>
      <w:sz w:val="21"/>
    </w:rPr>
  </w:style>
  <w:style w:type="paragraph" w:customStyle="1" w:styleId="35">
    <w:name w:val="BodyTextIndent"/>
    <w:basedOn w:val="1"/>
    <w:next w:val="34"/>
    <w:autoRedefine/>
    <w:qFormat/>
    <w:uiPriority w:val="0"/>
    <w:pPr>
      <w:spacing w:line="360" w:lineRule="auto"/>
      <w:ind w:firstLine="490"/>
      <w:jc w:val="left"/>
    </w:pPr>
    <w:rPr>
      <w:rFonts w:ascii="宋体" w:hAnsi="宋体"/>
      <w:sz w:val="24"/>
    </w:rPr>
  </w:style>
  <w:style w:type="paragraph" w:styleId="36">
    <w:name w:val="Quote"/>
    <w:basedOn w:val="1"/>
    <w:next w:val="1"/>
    <w:autoRedefine/>
    <w:qFormat/>
    <w:uiPriority w:val="0"/>
    <w:pPr>
      <w:wordWrap w:val="0"/>
      <w:spacing w:before="200" w:after="160"/>
      <w:ind w:left="864" w:right="864"/>
      <w:jc w:val="center"/>
    </w:pPr>
    <w:rPr>
      <w:i/>
    </w:rPr>
  </w:style>
  <w:style w:type="paragraph" w:customStyle="1" w:styleId="37">
    <w:name w:val="Body Text First Indent1"/>
    <w:basedOn w:val="9"/>
    <w:autoRedefine/>
    <w:qFormat/>
    <w:uiPriority w:val="0"/>
    <w:pPr>
      <w:tabs>
        <w:tab w:val="left" w:pos="1275"/>
      </w:tabs>
      <w:ind w:firstLine="420" w:firstLineChars="100"/>
    </w:pPr>
  </w:style>
  <w:style w:type="paragraph" w:customStyle="1" w:styleId="38">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39">
    <w:name w:val="表格文字"/>
    <w:basedOn w:val="1"/>
    <w:next w:val="9"/>
    <w:autoRedefine/>
    <w:qFormat/>
    <w:uiPriority w:val="0"/>
    <w:pPr>
      <w:adjustRightInd w:val="0"/>
      <w:spacing w:line="420" w:lineRule="atLeast"/>
      <w:textAlignment w:val="baseline"/>
    </w:pPr>
  </w:style>
  <w:style w:type="paragraph" w:customStyle="1" w:styleId="40">
    <w:name w:val="正文缩进1"/>
    <w:basedOn w:val="1"/>
    <w:autoRedefine/>
    <w:qFormat/>
    <w:uiPriority w:val="0"/>
    <w:pPr>
      <w:ind w:firstLine="420" w:firstLineChars="200"/>
    </w:pPr>
  </w:style>
  <w:style w:type="paragraph" w:customStyle="1" w:styleId="41">
    <w:name w:val="正文（首行缩进2字符）"/>
    <w:basedOn w:val="1"/>
    <w:autoRedefine/>
    <w:qFormat/>
    <w:uiPriority w:val="0"/>
    <w:pPr>
      <w:spacing w:line="360" w:lineRule="auto"/>
      <w:ind w:firstLine="480" w:firstLineChars="200"/>
    </w:pPr>
    <w:rPr>
      <w:sz w:val="24"/>
      <w:szCs w:val="20"/>
    </w:rPr>
  </w:style>
  <w:style w:type="character" w:customStyle="1" w:styleId="42">
    <w:name w:val="标题 1 Char"/>
    <w:basedOn w:val="30"/>
    <w:link w:val="2"/>
    <w:autoRedefine/>
    <w:qFormat/>
    <w:locked/>
    <w:uiPriority w:val="99"/>
    <w:rPr>
      <w:b/>
      <w:bCs/>
      <w:kern w:val="44"/>
      <w:sz w:val="44"/>
      <w:szCs w:val="44"/>
    </w:rPr>
  </w:style>
  <w:style w:type="character" w:customStyle="1" w:styleId="43">
    <w:name w:val="标题 2 Char"/>
    <w:basedOn w:val="30"/>
    <w:link w:val="3"/>
    <w:autoRedefine/>
    <w:qFormat/>
    <w:locked/>
    <w:uiPriority w:val="99"/>
    <w:rPr>
      <w:rFonts w:ascii="宋体" w:cs="宋体"/>
      <w:b/>
      <w:bCs/>
      <w:kern w:val="2"/>
      <w:sz w:val="28"/>
      <w:szCs w:val="28"/>
    </w:rPr>
  </w:style>
  <w:style w:type="character" w:customStyle="1" w:styleId="44">
    <w:name w:val="标题 3 Char"/>
    <w:basedOn w:val="30"/>
    <w:link w:val="5"/>
    <w:autoRedefine/>
    <w:qFormat/>
    <w:locked/>
    <w:uiPriority w:val="99"/>
    <w:rPr>
      <w:rFonts w:ascii="宋体" w:cs="宋体"/>
      <w:b/>
      <w:bCs/>
      <w:kern w:val="2"/>
      <w:sz w:val="28"/>
      <w:szCs w:val="28"/>
    </w:rPr>
  </w:style>
  <w:style w:type="character" w:customStyle="1" w:styleId="45">
    <w:name w:val="正文文本 Char"/>
    <w:basedOn w:val="30"/>
    <w:link w:val="9"/>
    <w:autoRedefine/>
    <w:semiHidden/>
    <w:qFormat/>
    <w:uiPriority w:val="99"/>
    <w:rPr>
      <w:rFonts w:ascii="Times New Roman" w:hAnsi="Times New Roman"/>
      <w:szCs w:val="21"/>
    </w:rPr>
  </w:style>
  <w:style w:type="paragraph" w:customStyle="1" w:styleId="46">
    <w:name w:val="样式 表格正文 + 两端对齐"/>
    <w:basedOn w:val="1"/>
    <w:next w:val="47"/>
    <w:autoRedefine/>
    <w:qFormat/>
    <w:uiPriority w:val="99"/>
    <w:pPr>
      <w:spacing w:line="300" w:lineRule="auto"/>
    </w:pPr>
    <w:rPr>
      <w:sz w:val="24"/>
      <w:szCs w:val="24"/>
    </w:rPr>
  </w:style>
  <w:style w:type="paragraph" w:customStyle="1" w:styleId="47">
    <w:name w:val="正文1"/>
    <w:basedOn w:val="1"/>
    <w:next w:val="48"/>
    <w:autoRedefine/>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8">
    <w:name w:val="自动更正"/>
    <w:next w:val="49"/>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xl39"/>
    <w:basedOn w:val="1"/>
    <w:next w:val="50"/>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0">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1">
    <w:name w:val="正文文本缩进 Char"/>
    <w:basedOn w:val="30"/>
    <w:link w:val="12"/>
    <w:autoRedefine/>
    <w:semiHidden/>
    <w:qFormat/>
    <w:uiPriority w:val="99"/>
    <w:rPr>
      <w:rFonts w:ascii="Times New Roman" w:hAnsi="Times New Roman"/>
      <w:szCs w:val="21"/>
    </w:rPr>
  </w:style>
  <w:style w:type="character" w:customStyle="1" w:styleId="52">
    <w:name w:val="纯文本 Char"/>
    <w:basedOn w:val="30"/>
    <w:link w:val="16"/>
    <w:autoRedefine/>
    <w:semiHidden/>
    <w:qFormat/>
    <w:uiPriority w:val="99"/>
    <w:rPr>
      <w:rFonts w:ascii="宋体" w:hAnsi="Courier New" w:cs="Courier New"/>
      <w:szCs w:val="21"/>
    </w:rPr>
  </w:style>
  <w:style w:type="character" w:customStyle="1" w:styleId="53">
    <w:name w:val="日期 Char"/>
    <w:basedOn w:val="30"/>
    <w:link w:val="17"/>
    <w:autoRedefine/>
    <w:semiHidden/>
    <w:qFormat/>
    <w:uiPriority w:val="99"/>
    <w:rPr>
      <w:rFonts w:ascii="Times New Roman" w:hAnsi="Times New Roman"/>
      <w:szCs w:val="21"/>
    </w:rPr>
  </w:style>
  <w:style w:type="character" w:customStyle="1" w:styleId="54">
    <w:name w:val="批注框文本 Char"/>
    <w:basedOn w:val="30"/>
    <w:link w:val="18"/>
    <w:autoRedefine/>
    <w:qFormat/>
    <w:locked/>
    <w:uiPriority w:val="99"/>
    <w:rPr>
      <w:kern w:val="2"/>
      <w:sz w:val="18"/>
      <w:szCs w:val="18"/>
    </w:rPr>
  </w:style>
  <w:style w:type="character" w:customStyle="1" w:styleId="55">
    <w:name w:val="页脚 Char"/>
    <w:basedOn w:val="30"/>
    <w:link w:val="19"/>
    <w:autoRedefine/>
    <w:semiHidden/>
    <w:qFormat/>
    <w:uiPriority w:val="99"/>
    <w:rPr>
      <w:rFonts w:ascii="Times New Roman" w:hAnsi="Times New Roman"/>
      <w:sz w:val="18"/>
      <w:szCs w:val="18"/>
    </w:rPr>
  </w:style>
  <w:style w:type="character" w:customStyle="1" w:styleId="56">
    <w:name w:val="页眉 Char"/>
    <w:basedOn w:val="30"/>
    <w:link w:val="20"/>
    <w:autoRedefine/>
    <w:semiHidden/>
    <w:qFormat/>
    <w:uiPriority w:val="99"/>
    <w:rPr>
      <w:rFonts w:ascii="Times New Roman" w:hAnsi="Times New Roman"/>
      <w:sz w:val="18"/>
      <w:szCs w:val="18"/>
    </w:rPr>
  </w:style>
  <w:style w:type="character" w:customStyle="1" w:styleId="57">
    <w:name w:val="正文首行缩进 Char"/>
    <w:basedOn w:val="45"/>
    <w:link w:val="10"/>
    <w:autoRedefine/>
    <w:semiHidden/>
    <w:qFormat/>
    <w:uiPriority w:val="99"/>
    <w:rPr>
      <w:rFonts w:ascii="Times New Roman" w:hAnsi="Times New Roman"/>
      <w:szCs w:val="21"/>
    </w:rPr>
  </w:style>
  <w:style w:type="paragraph" w:customStyle="1" w:styleId="58">
    <w:name w:val="正文2"/>
    <w:basedOn w:val="24"/>
    <w:autoRedefine/>
    <w:qFormat/>
    <w:uiPriority w:val="99"/>
    <w:pPr>
      <w:adjustRightInd w:val="0"/>
      <w:spacing w:before="156" w:line="360" w:lineRule="auto"/>
      <w:ind w:firstLine="510" w:firstLineChars="200"/>
    </w:pPr>
    <w:rPr>
      <w:sz w:val="24"/>
      <w:szCs w:val="24"/>
    </w:rPr>
  </w:style>
  <w:style w:type="paragraph" w:customStyle="1" w:styleId="59">
    <w:name w:val="List Paragraph1"/>
    <w:basedOn w:val="1"/>
    <w:autoRedefine/>
    <w:qFormat/>
    <w:uiPriority w:val="99"/>
    <w:pPr>
      <w:widowControl/>
      <w:ind w:firstLine="420" w:firstLineChars="200"/>
      <w:jc w:val="left"/>
    </w:pPr>
    <w:rPr>
      <w:rFonts w:ascii="Calibri" w:hAnsi="Calibri" w:cs="Calibri"/>
    </w:rPr>
  </w:style>
  <w:style w:type="character" w:customStyle="1" w:styleId="60">
    <w:name w:val="style81"/>
    <w:autoRedefine/>
    <w:qFormat/>
    <w:uiPriority w:val="99"/>
    <w:rPr>
      <w:sz w:val="20"/>
      <w:szCs w:val="20"/>
    </w:rPr>
  </w:style>
  <w:style w:type="paragraph" w:customStyle="1" w:styleId="61">
    <w:name w:val="列出段落1"/>
    <w:basedOn w:val="1"/>
    <w:autoRedefine/>
    <w:qFormat/>
    <w:uiPriority w:val="99"/>
    <w:pPr>
      <w:ind w:firstLine="420"/>
      <w:jc w:val="left"/>
    </w:pPr>
  </w:style>
  <w:style w:type="paragraph" w:customStyle="1" w:styleId="62">
    <w:name w:val="表格"/>
    <w:basedOn w:val="1"/>
    <w:autoRedefine/>
    <w:qFormat/>
    <w:uiPriority w:val="99"/>
    <w:pPr>
      <w:autoSpaceDE w:val="0"/>
      <w:autoSpaceDN w:val="0"/>
      <w:jc w:val="center"/>
      <w:textAlignment w:val="baseline"/>
    </w:pPr>
    <w:rPr>
      <w:color w:val="000000"/>
      <w:kern w:val="0"/>
    </w:rPr>
  </w:style>
  <w:style w:type="character" w:customStyle="1" w:styleId="63">
    <w:name w:val="02 Char"/>
    <w:link w:val="64"/>
    <w:autoRedefine/>
    <w:qFormat/>
    <w:locked/>
    <w:uiPriority w:val="99"/>
    <w:rPr>
      <w:rFonts w:ascii="宋体" w:cs="宋体"/>
      <w:b/>
      <w:bCs/>
      <w:color w:val="FF0000"/>
      <w:kern w:val="2"/>
      <w:sz w:val="28"/>
      <w:szCs w:val="28"/>
    </w:rPr>
  </w:style>
  <w:style w:type="paragraph" w:customStyle="1" w:styleId="64">
    <w:name w:val="02"/>
    <w:basedOn w:val="3"/>
    <w:link w:val="63"/>
    <w:autoRedefine/>
    <w:qFormat/>
    <w:uiPriority w:val="99"/>
    <w:pPr>
      <w:jc w:val="center"/>
    </w:pPr>
    <w:rPr>
      <w:color w:val="FF0000"/>
    </w:rPr>
  </w:style>
  <w:style w:type="character" w:customStyle="1" w:styleId="65">
    <w:name w:val="03 Char"/>
    <w:link w:val="66"/>
    <w:autoRedefine/>
    <w:qFormat/>
    <w:locked/>
    <w:uiPriority w:val="99"/>
    <w:rPr>
      <w:rFonts w:ascii="宋体" w:cs="宋体"/>
      <w:b/>
      <w:bCs/>
      <w:kern w:val="2"/>
      <w:sz w:val="28"/>
      <w:szCs w:val="28"/>
    </w:rPr>
  </w:style>
  <w:style w:type="paragraph" w:customStyle="1" w:styleId="66">
    <w:name w:val="03"/>
    <w:basedOn w:val="5"/>
    <w:link w:val="65"/>
    <w:autoRedefine/>
    <w:qFormat/>
    <w:uiPriority w:val="99"/>
    <w:pPr>
      <w:numPr>
        <w:ilvl w:val="0"/>
        <w:numId w:val="0"/>
      </w:numPr>
    </w:pPr>
  </w:style>
  <w:style w:type="character" w:customStyle="1" w:styleId="67">
    <w:name w:val="宋体小四 Char"/>
    <w:link w:val="68"/>
    <w:autoRedefine/>
    <w:qFormat/>
    <w:locked/>
    <w:uiPriority w:val="99"/>
    <w:rPr>
      <w:rFonts w:ascii="宋体" w:eastAsia="宋体" w:cs="宋体"/>
      <w:kern w:val="2"/>
      <w:sz w:val="24"/>
      <w:szCs w:val="24"/>
    </w:rPr>
  </w:style>
  <w:style w:type="paragraph" w:customStyle="1" w:styleId="68">
    <w:name w:val="宋体小四"/>
    <w:basedOn w:val="1"/>
    <w:link w:val="67"/>
    <w:autoRedefine/>
    <w:qFormat/>
    <w:uiPriority w:val="99"/>
    <w:pPr>
      <w:spacing w:line="360" w:lineRule="auto"/>
      <w:ind w:firstLine="480" w:firstLineChars="200"/>
    </w:pPr>
    <w:rPr>
      <w:rFonts w:ascii="宋体" w:hAnsi="宋体" w:cs="宋体"/>
      <w:sz w:val="24"/>
      <w:szCs w:val="24"/>
    </w:rPr>
  </w:style>
  <w:style w:type="character" w:customStyle="1" w:styleId="69">
    <w:name w:val="fontstyle01"/>
    <w:basedOn w:val="30"/>
    <w:autoRedefine/>
    <w:qFormat/>
    <w:uiPriority w:val="99"/>
    <w:rPr>
      <w:rFonts w:ascii="宋体" w:eastAsia="宋体" w:cs="宋体"/>
      <w:color w:val="000000"/>
      <w:sz w:val="22"/>
      <w:szCs w:val="22"/>
    </w:rPr>
  </w:style>
  <w:style w:type="paragraph" w:customStyle="1" w:styleId="70">
    <w:name w:val="正文首行缩进2字符"/>
    <w:basedOn w:val="1"/>
    <w:autoRedefine/>
    <w:qFormat/>
    <w:uiPriority w:val="99"/>
    <w:pPr>
      <w:spacing w:line="360" w:lineRule="auto"/>
      <w:ind w:firstLine="200" w:firstLineChars="200"/>
    </w:pPr>
  </w:style>
  <w:style w:type="paragraph" w:customStyle="1" w:styleId="71">
    <w:name w:val="居中表格内容标题"/>
    <w:basedOn w:val="72"/>
    <w:autoRedefine/>
    <w:qFormat/>
    <w:uiPriority w:val="0"/>
    <w:pPr>
      <w:jc w:val="center"/>
    </w:pPr>
    <w:rPr>
      <w:b/>
    </w:rPr>
  </w:style>
  <w:style w:type="paragraph" w:customStyle="1" w:styleId="72">
    <w:name w:val="居中表格内容"/>
    <w:basedOn w:val="1"/>
    <w:next w:val="1"/>
    <w:autoRedefine/>
    <w:qFormat/>
    <w:uiPriority w:val="0"/>
    <w:pPr>
      <w:jc w:val="left"/>
    </w:pPr>
    <w:rPr>
      <w:szCs w:val="28"/>
    </w:rPr>
  </w:style>
  <w:style w:type="paragraph" w:customStyle="1" w:styleId="73">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74">
    <w:name w:val="Body text|2"/>
    <w:basedOn w:val="1"/>
    <w:autoRedefine/>
    <w:qFormat/>
    <w:uiPriority w:val="0"/>
    <w:pPr>
      <w:spacing w:line="360" w:lineRule="auto"/>
      <w:ind w:firstLine="660"/>
    </w:pPr>
    <w:rPr>
      <w:sz w:val="32"/>
      <w:szCs w:val="32"/>
      <w:lang w:val="zh-TW" w:eastAsia="zh-TW" w:bidi="zh-TW"/>
    </w:rPr>
  </w:style>
  <w:style w:type="character" w:customStyle="1" w:styleId="75">
    <w:name w:val="NormalCharacter"/>
    <w:autoRedefine/>
    <w:semiHidden/>
    <w:qFormat/>
    <w:uiPriority w:val="0"/>
  </w:style>
  <w:style w:type="paragraph" w:customStyle="1" w:styleId="76">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7">
    <w:name w:val="xc正文"/>
    <w:basedOn w:val="1"/>
    <w:autoRedefine/>
    <w:qFormat/>
    <w:uiPriority w:val="0"/>
    <w:pPr>
      <w:ind w:firstLine="200" w:firstLineChars="200"/>
    </w:pPr>
    <w:rPr>
      <w:szCs w:val="24"/>
    </w:rPr>
  </w:style>
  <w:style w:type="paragraph" w:styleId="78">
    <w:name w:val="List Paragraph"/>
    <w:basedOn w:val="1"/>
    <w:autoRedefine/>
    <w:qFormat/>
    <w:uiPriority w:val="1"/>
    <w:pPr>
      <w:ind w:firstLine="420" w:firstLineChars="200"/>
    </w:pPr>
    <w:rPr>
      <w:szCs w:val="24"/>
    </w:rPr>
  </w:style>
  <w:style w:type="character" w:customStyle="1" w:styleId="79">
    <w:name w:val="fontstyle21"/>
    <w:autoRedefine/>
    <w:qFormat/>
    <w:uiPriority w:val="0"/>
    <w:rPr>
      <w:rFonts w:hint="default" w:ascii="TimesNewRomanPSMT" w:hAnsi="TimesNewRomanPSMT"/>
      <w:color w:val="000000"/>
      <w:sz w:val="32"/>
      <w:szCs w:val="32"/>
    </w:rPr>
  </w:style>
  <w:style w:type="paragraph" w:customStyle="1" w:styleId="80">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1">
    <w:name w:val="_Style 76"/>
    <w:basedOn w:val="1"/>
    <w:next w:val="78"/>
    <w:autoRedefine/>
    <w:qFormat/>
    <w:uiPriority w:val="34"/>
    <w:pPr>
      <w:ind w:firstLine="420" w:firstLineChars="200"/>
    </w:pPr>
    <w:rPr>
      <w:szCs w:val="24"/>
    </w:rPr>
  </w:style>
  <w:style w:type="paragraph" w:customStyle="1" w:styleId="82">
    <w:name w:val="纯文本1"/>
    <w:basedOn w:val="1"/>
    <w:autoRedefine/>
    <w:qFormat/>
    <w:uiPriority w:val="0"/>
    <w:pPr>
      <w:ind w:firstLine="280" w:firstLineChars="100"/>
    </w:pPr>
    <w:rPr>
      <w:rFonts w:hAnsi="宋体" w:cs="Courier New"/>
    </w:rPr>
  </w:style>
  <w:style w:type="paragraph" w:customStyle="1" w:styleId="83">
    <w:name w:val="居中表名"/>
    <w:basedOn w:val="1"/>
    <w:next w:val="1"/>
    <w:autoRedefine/>
    <w:qFormat/>
    <w:uiPriority w:val="0"/>
    <w:pPr>
      <w:jc w:val="center"/>
    </w:pPr>
    <w:rPr>
      <w:rFonts w:eastAsia="黑体"/>
      <w:b/>
      <w:szCs w:val="28"/>
    </w:rPr>
  </w:style>
  <w:style w:type="paragraph" w:customStyle="1" w:styleId="84">
    <w:name w:val="列表段落1"/>
    <w:basedOn w:val="1"/>
    <w:autoRedefine/>
    <w:qFormat/>
    <w:uiPriority w:val="0"/>
    <w:pPr>
      <w:ind w:firstLine="420"/>
    </w:p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列出段落2"/>
    <w:basedOn w:val="1"/>
    <w:autoRedefine/>
    <w:qFormat/>
    <w:uiPriority w:val="1"/>
    <w:pPr>
      <w:ind w:firstLine="420" w:firstLineChars="200"/>
    </w:pPr>
    <w:rPr>
      <w:szCs w:val="24"/>
    </w:rPr>
  </w:style>
  <w:style w:type="character" w:customStyle="1" w:styleId="87">
    <w:name w:val="font21"/>
    <w:autoRedefine/>
    <w:qFormat/>
    <w:uiPriority w:val="0"/>
    <w:rPr>
      <w:rFonts w:hint="eastAsia" w:ascii="宋体" w:hAnsi="宋体" w:eastAsia="宋体" w:cs="宋体"/>
      <w:b/>
      <w:color w:val="FF0000"/>
      <w:sz w:val="24"/>
      <w:szCs w:val="24"/>
      <w:u w:val="none"/>
    </w:rPr>
  </w:style>
  <w:style w:type="paragraph" w:customStyle="1" w:styleId="88">
    <w:name w:val="样式6"/>
    <w:basedOn w:val="16"/>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9">
    <w:name w:val="Plain Text"/>
    <w:basedOn w:val="1"/>
    <w:autoRedefine/>
    <w:qFormat/>
    <w:uiPriority w:val="0"/>
    <w:rPr>
      <w:rFonts w:hint="eastAsia" w:ascii="宋体" w:hAnsi="Courier New"/>
      <w:szCs w:val="20"/>
    </w:rPr>
  </w:style>
  <w:style w:type="paragraph" w:customStyle="1" w:styleId="90">
    <w:name w:val="p0"/>
    <w:basedOn w:val="1"/>
    <w:autoRedefine/>
    <w:qFormat/>
    <w:uiPriority w:val="99"/>
    <w:pPr>
      <w:widowControl/>
    </w:pPr>
    <w:rPr>
      <w:kern w:val="0"/>
      <w:szCs w:val="21"/>
    </w:rPr>
  </w:style>
  <w:style w:type="paragraph" w:customStyle="1" w:styleId="91">
    <w:name w:val="首行缩进"/>
    <w:basedOn w:val="1"/>
    <w:autoRedefine/>
    <w:qFormat/>
    <w:uiPriority w:val="0"/>
    <w:pPr>
      <w:adjustRightInd w:val="0"/>
      <w:spacing w:line="360" w:lineRule="auto"/>
      <w:ind w:firstLine="480" w:firstLineChars="200"/>
    </w:pPr>
    <w:rPr>
      <w:rFonts w:ascii="宋体"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53</Pages>
  <Words>18185</Words>
  <Characters>19498</Characters>
  <Lines>267</Lines>
  <Paragraphs>75</Paragraphs>
  <TotalTime>5</TotalTime>
  <ScaleCrop>false</ScaleCrop>
  <LinksUpToDate>false</LinksUpToDate>
  <CharactersWithSpaces>19814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胡佳菲</cp:lastModifiedBy>
  <cp:lastPrinted>2022-01-06T21:58:00Z</cp:lastPrinted>
  <dcterms:modified xsi:type="dcterms:W3CDTF">2025-02-11T02:27:01Z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F16C8FCD4AD14CA3989F64EC4917EF8C_13</vt:lpwstr>
  </property>
  <property fmtid="{D5CDD505-2E9C-101B-9397-08002B2CF9AE}" pid="4" name="commondata">
    <vt:lpwstr>eyJoZGlkIjoiNjY1YWU2ZTk2MGU1NDNlZGY5MzE0NzM2ODJlNDA4NTkifQ==</vt:lpwstr>
  </property>
  <property fmtid="{D5CDD505-2E9C-101B-9397-08002B2CF9AE}" pid="5" name="KSOTemplateDocerSaveRecord">
    <vt:lpwstr>eyJoZGlkIjoiMjEwNjM2ZGZkNzgwZTAyMTBhZjNhNGNhN2E3ZGRiYmUiLCJ1c2VySWQiOiIxMTM3OTIyODQzIn0=</vt:lpwstr>
  </property>
</Properties>
</file>