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F6E0A3">
      <w:pPr>
        <w:adjustRightInd/>
        <w:spacing w:line="360" w:lineRule="auto"/>
        <w:rPr>
          <w:rFonts w:ascii="宋体" w:hAnsi="宋体" w:eastAsia="宋体" w:cs="仿宋_GB2312"/>
          <w:b/>
          <w:color w:val="auto"/>
          <w:sz w:val="44"/>
          <w:szCs w:val="44"/>
          <w:highlight w:val="none"/>
        </w:rPr>
      </w:pPr>
    </w:p>
    <w:p w14:paraId="7CE010AE">
      <w:pPr>
        <w:spacing w:line="240" w:lineRule="atLeast"/>
        <w:jc w:val="center"/>
        <w:outlineLvl w:val="0"/>
        <w:rPr>
          <w:rFonts w:hint="eastAsia" w:ascii="仿宋" w:hAnsi="仿宋" w:eastAsia="仿宋" w:cs="仿宋"/>
          <w:b/>
          <w:color w:val="auto"/>
          <w:sz w:val="52"/>
          <w:szCs w:val="52"/>
          <w:highlight w:val="none"/>
        </w:rPr>
      </w:pPr>
      <w:r>
        <w:rPr>
          <w:rFonts w:hint="eastAsia" w:ascii="仿宋" w:hAnsi="仿宋" w:eastAsia="仿宋" w:cs="仿宋"/>
          <w:b/>
          <w:color w:val="auto"/>
          <w:sz w:val="52"/>
          <w:szCs w:val="52"/>
          <w:highlight w:val="none"/>
          <w:lang w:eastAsia="zh-CN"/>
        </w:rPr>
        <w:t>绍兴市“十五五”期间盘活存量资产推动高质量发展专项规划项目</w:t>
      </w:r>
      <w:r>
        <w:rPr>
          <w:rFonts w:hint="eastAsia" w:ascii="仿宋" w:hAnsi="仿宋" w:eastAsia="仿宋" w:cs="仿宋"/>
          <w:b/>
          <w:color w:val="auto"/>
          <w:sz w:val="52"/>
          <w:szCs w:val="52"/>
          <w:highlight w:val="none"/>
        </w:rPr>
        <w:t xml:space="preserve"> </w:t>
      </w:r>
    </w:p>
    <w:p w14:paraId="62BBD7EB">
      <w:pPr>
        <w:spacing w:line="240" w:lineRule="atLeast"/>
        <w:jc w:val="center"/>
        <w:outlineLvl w:val="0"/>
        <w:rPr>
          <w:rFonts w:hint="eastAsia" w:ascii="仿宋" w:hAnsi="仿宋" w:eastAsia="仿宋" w:cs="仿宋"/>
          <w:b/>
          <w:color w:val="auto"/>
          <w:sz w:val="72"/>
          <w:szCs w:val="72"/>
          <w:highlight w:val="none"/>
        </w:rPr>
      </w:pPr>
    </w:p>
    <w:p w14:paraId="47462871">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竞</w:t>
      </w:r>
    </w:p>
    <w:p w14:paraId="587E44FD">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争</w:t>
      </w:r>
    </w:p>
    <w:p w14:paraId="34954902">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性</w:t>
      </w:r>
    </w:p>
    <w:p w14:paraId="5B0D9F71">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磋</w:t>
      </w:r>
    </w:p>
    <w:p w14:paraId="2F8D4394">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商</w:t>
      </w:r>
    </w:p>
    <w:p w14:paraId="305106D4">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214D7912">
      <w:pPr>
        <w:spacing w:line="240" w:lineRule="atLeast"/>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件</w:t>
      </w:r>
    </w:p>
    <w:p w14:paraId="76594F86">
      <w:pPr>
        <w:adjustRightInd/>
        <w:spacing w:line="360" w:lineRule="auto"/>
        <w:jc w:val="center"/>
        <w:rPr>
          <w:rFonts w:ascii="仿宋" w:hAnsi="仿宋" w:eastAsia="仿宋" w:cs="仿宋"/>
          <w:color w:val="auto"/>
          <w:sz w:val="32"/>
          <w:szCs w:val="32"/>
          <w:highlight w:val="none"/>
        </w:rPr>
      </w:pPr>
      <w:r>
        <w:rPr>
          <w:rFonts w:hint="eastAsia" w:ascii="仿宋" w:hAnsi="仿宋" w:eastAsia="仿宋" w:cs="仿宋"/>
          <w:b/>
          <w:color w:val="auto"/>
          <w:sz w:val="44"/>
          <w:szCs w:val="44"/>
          <w:highlight w:val="none"/>
        </w:rPr>
        <w:t>（电子交易）</w:t>
      </w:r>
    </w:p>
    <w:p w14:paraId="2697CFD8">
      <w:pPr>
        <w:jc w:val="center"/>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磋商编号：SXQS-202502-CS011</w:t>
      </w:r>
    </w:p>
    <w:tbl>
      <w:tblPr>
        <w:tblStyle w:val="17"/>
        <w:tblW w:w="7801" w:type="dxa"/>
        <w:jc w:val="center"/>
        <w:tblLayout w:type="fixed"/>
        <w:tblCellMar>
          <w:top w:w="0" w:type="dxa"/>
          <w:left w:w="108" w:type="dxa"/>
          <w:bottom w:w="0" w:type="dxa"/>
          <w:right w:w="108" w:type="dxa"/>
        </w:tblCellMar>
      </w:tblPr>
      <w:tblGrid>
        <w:gridCol w:w="2356"/>
        <w:gridCol w:w="5445"/>
      </w:tblGrid>
      <w:tr w14:paraId="67BCB9BA">
        <w:tblPrEx>
          <w:tblCellMar>
            <w:top w:w="0" w:type="dxa"/>
            <w:left w:w="108" w:type="dxa"/>
            <w:bottom w:w="0" w:type="dxa"/>
            <w:right w:w="108" w:type="dxa"/>
          </w:tblCellMar>
        </w:tblPrEx>
        <w:trPr>
          <w:trHeight w:val="454" w:hRule="atLeast"/>
          <w:jc w:val="center"/>
        </w:trPr>
        <w:tc>
          <w:tcPr>
            <w:tcW w:w="2356" w:type="dxa"/>
            <w:noWrap w:val="0"/>
            <w:vAlign w:val="center"/>
          </w:tcPr>
          <w:p w14:paraId="7FD722BA">
            <w:pPr>
              <w:spacing w:after="100" w:afterAutospacing="1" w:line="440" w:lineRule="exact"/>
              <w:jc w:val="left"/>
              <w:rPr>
                <w:rFonts w:hint="eastAsia" w:ascii="仿宋" w:hAnsi="仿宋" w:eastAsia="仿宋" w:cs="仿宋"/>
                <w:color w:val="auto"/>
                <w:kern w:val="0"/>
                <w:sz w:val="32"/>
                <w:szCs w:val="32"/>
                <w:highlight w:val="none"/>
              </w:rPr>
            </w:pPr>
            <w:r>
              <w:rPr>
                <w:rFonts w:hint="eastAsia" w:ascii="仿宋" w:hAnsi="仿宋" w:eastAsia="仿宋" w:cs="仿宋"/>
                <w:color w:val="auto"/>
                <w:kern w:val="0"/>
                <w:sz w:val="32"/>
                <w:szCs w:val="32"/>
                <w:highlight w:val="none"/>
              </w:rPr>
              <w:t>采购单位：</w:t>
            </w:r>
          </w:p>
        </w:tc>
        <w:tc>
          <w:tcPr>
            <w:tcW w:w="5445" w:type="dxa"/>
            <w:noWrap w:val="0"/>
            <w:vAlign w:val="center"/>
          </w:tcPr>
          <w:p w14:paraId="2F594F86">
            <w:pPr>
              <w:spacing w:after="100" w:afterAutospacing="1" w:line="440" w:lineRule="exact"/>
              <w:jc w:val="left"/>
              <w:rPr>
                <w:rFonts w:hint="eastAsia" w:ascii="仿宋" w:hAnsi="仿宋" w:eastAsia="仿宋" w:cs="仿宋"/>
                <w:color w:val="auto"/>
                <w:kern w:val="0"/>
                <w:sz w:val="32"/>
                <w:szCs w:val="32"/>
                <w:highlight w:val="none"/>
              </w:rPr>
            </w:pPr>
            <w:r>
              <w:rPr>
                <w:rFonts w:hint="eastAsia" w:ascii="仿宋" w:hAnsi="仿宋" w:eastAsia="仿宋" w:cs="仿宋"/>
                <w:color w:val="auto"/>
                <w:kern w:val="0"/>
                <w:sz w:val="32"/>
                <w:szCs w:val="32"/>
                <w:highlight w:val="none"/>
                <w:lang w:eastAsia="zh-CN"/>
              </w:rPr>
              <w:t>绍兴市财政局</w:t>
            </w:r>
          </w:p>
        </w:tc>
      </w:tr>
      <w:tr w14:paraId="3621501E">
        <w:tblPrEx>
          <w:tblCellMar>
            <w:top w:w="0" w:type="dxa"/>
            <w:left w:w="108" w:type="dxa"/>
            <w:bottom w:w="0" w:type="dxa"/>
            <w:right w:w="108" w:type="dxa"/>
          </w:tblCellMar>
        </w:tblPrEx>
        <w:trPr>
          <w:trHeight w:val="454" w:hRule="atLeast"/>
          <w:jc w:val="center"/>
        </w:trPr>
        <w:tc>
          <w:tcPr>
            <w:tcW w:w="2356" w:type="dxa"/>
            <w:noWrap w:val="0"/>
            <w:vAlign w:val="center"/>
          </w:tcPr>
          <w:p w14:paraId="63B1D6C7">
            <w:pPr>
              <w:spacing w:after="100" w:afterAutospacing="1" w:line="440" w:lineRule="exact"/>
              <w:jc w:val="left"/>
              <w:rPr>
                <w:rFonts w:hint="eastAsia" w:ascii="仿宋" w:hAnsi="仿宋" w:eastAsia="仿宋" w:cs="仿宋"/>
                <w:color w:val="auto"/>
                <w:kern w:val="0"/>
                <w:sz w:val="32"/>
                <w:szCs w:val="32"/>
                <w:highlight w:val="none"/>
              </w:rPr>
            </w:pPr>
            <w:r>
              <w:rPr>
                <w:rFonts w:hint="eastAsia" w:ascii="仿宋" w:hAnsi="仿宋" w:eastAsia="仿宋" w:cs="仿宋"/>
                <w:color w:val="auto"/>
                <w:kern w:val="0"/>
                <w:sz w:val="32"/>
                <w:szCs w:val="32"/>
                <w:highlight w:val="none"/>
              </w:rPr>
              <w:t>采购代理机构：</w:t>
            </w:r>
          </w:p>
        </w:tc>
        <w:tc>
          <w:tcPr>
            <w:tcW w:w="5445" w:type="dxa"/>
            <w:noWrap w:val="0"/>
            <w:vAlign w:val="center"/>
          </w:tcPr>
          <w:p w14:paraId="6AAE94C9">
            <w:pPr>
              <w:spacing w:after="100" w:afterAutospacing="1" w:line="440" w:lineRule="exact"/>
              <w:jc w:val="left"/>
              <w:rPr>
                <w:rFonts w:hint="eastAsia" w:ascii="仿宋" w:hAnsi="仿宋" w:eastAsia="仿宋" w:cs="仿宋"/>
                <w:color w:val="auto"/>
                <w:kern w:val="0"/>
                <w:sz w:val="32"/>
                <w:szCs w:val="32"/>
                <w:highlight w:val="none"/>
              </w:rPr>
            </w:pPr>
            <w:r>
              <w:rPr>
                <w:rFonts w:hint="eastAsia" w:ascii="仿宋" w:hAnsi="仿宋" w:eastAsia="仿宋" w:cs="仿宋"/>
                <w:color w:val="auto"/>
                <w:kern w:val="0"/>
                <w:sz w:val="32"/>
                <w:szCs w:val="32"/>
                <w:highlight w:val="none"/>
                <w:lang w:eastAsia="zh-CN"/>
              </w:rPr>
              <w:t>绍兴虬实企业管理咨询有限公司</w:t>
            </w:r>
          </w:p>
        </w:tc>
      </w:tr>
      <w:tr w14:paraId="062FCB21">
        <w:tblPrEx>
          <w:tblCellMar>
            <w:top w:w="0" w:type="dxa"/>
            <w:left w:w="108" w:type="dxa"/>
            <w:bottom w:w="0" w:type="dxa"/>
            <w:right w:w="108" w:type="dxa"/>
          </w:tblCellMar>
        </w:tblPrEx>
        <w:trPr>
          <w:trHeight w:val="454" w:hRule="atLeast"/>
          <w:jc w:val="center"/>
        </w:trPr>
        <w:tc>
          <w:tcPr>
            <w:tcW w:w="2356" w:type="dxa"/>
            <w:noWrap w:val="0"/>
            <w:vAlign w:val="center"/>
          </w:tcPr>
          <w:p w14:paraId="0434C01C">
            <w:pPr>
              <w:spacing w:after="100" w:afterAutospacing="1" w:line="440" w:lineRule="exact"/>
              <w:jc w:val="left"/>
              <w:rPr>
                <w:rFonts w:hint="eastAsia" w:ascii="仿宋" w:hAnsi="仿宋" w:eastAsia="仿宋" w:cs="仿宋"/>
                <w:color w:val="auto"/>
                <w:kern w:val="0"/>
                <w:sz w:val="32"/>
                <w:szCs w:val="32"/>
                <w:highlight w:val="none"/>
              </w:rPr>
            </w:pPr>
            <w:r>
              <w:rPr>
                <w:rFonts w:hint="eastAsia" w:ascii="仿宋" w:hAnsi="仿宋" w:eastAsia="仿宋" w:cs="仿宋"/>
                <w:color w:val="auto"/>
                <w:kern w:val="0"/>
                <w:sz w:val="32"/>
                <w:szCs w:val="32"/>
                <w:highlight w:val="none"/>
              </w:rPr>
              <w:t>监督单位：</w:t>
            </w:r>
          </w:p>
        </w:tc>
        <w:tc>
          <w:tcPr>
            <w:tcW w:w="5445" w:type="dxa"/>
            <w:noWrap w:val="0"/>
            <w:vAlign w:val="center"/>
          </w:tcPr>
          <w:p w14:paraId="0B87A7A6">
            <w:pPr>
              <w:spacing w:after="100" w:afterAutospacing="1" w:line="440" w:lineRule="exact"/>
              <w:jc w:val="left"/>
              <w:rPr>
                <w:rFonts w:hint="eastAsia" w:ascii="仿宋" w:hAnsi="仿宋" w:eastAsia="仿宋" w:cs="仿宋"/>
                <w:color w:val="auto"/>
                <w:kern w:val="0"/>
                <w:sz w:val="32"/>
                <w:szCs w:val="32"/>
                <w:highlight w:val="none"/>
              </w:rPr>
            </w:pPr>
            <w:r>
              <w:rPr>
                <w:rFonts w:hint="eastAsia" w:ascii="仿宋" w:hAnsi="仿宋" w:eastAsia="仿宋" w:cs="仿宋"/>
                <w:color w:val="auto"/>
                <w:kern w:val="0"/>
                <w:sz w:val="32"/>
                <w:szCs w:val="32"/>
                <w:highlight w:val="none"/>
                <w:lang w:eastAsia="zh-CN"/>
              </w:rPr>
              <w:t>绍兴市财政局</w:t>
            </w:r>
          </w:p>
        </w:tc>
      </w:tr>
      <w:tr w14:paraId="060043CD">
        <w:tblPrEx>
          <w:tblCellMar>
            <w:top w:w="0" w:type="dxa"/>
            <w:left w:w="108" w:type="dxa"/>
            <w:bottom w:w="0" w:type="dxa"/>
            <w:right w:w="108" w:type="dxa"/>
          </w:tblCellMar>
        </w:tblPrEx>
        <w:trPr>
          <w:trHeight w:val="454" w:hRule="atLeast"/>
          <w:jc w:val="center"/>
        </w:trPr>
        <w:tc>
          <w:tcPr>
            <w:tcW w:w="7801" w:type="dxa"/>
            <w:gridSpan w:val="2"/>
            <w:noWrap w:val="0"/>
            <w:vAlign w:val="center"/>
          </w:tcPr>
          <w:p w14:paraId="6393EB6D">
            <w:pPr>
              <w:spacing w:after="100" w:afterAutospacing="1" w:line="440" w:lineRule="exact"/>
              <w:jc w:val="center"/>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二〇二</w:t>
            </w:r>
            <w:r>
              <w:rPr>
                <w:rFonts w:hint="eastAsia" w:ascii="仿宋" w:hAnsi="仿宋" w:eastAsia="仿宋" w:cs="仿宋"/>
                <w:color w:val="auto"/>
                <w:sz w:val="32"/>
                <w:szCs w:val="32"/>
                <w:highlight w:val="none"/>
                <w:lang w:val="en-US" w:eastAsia="zh-CN"/>
              </w:rPr>
              <w:t>五</w:t>
            </w:r>
            <w:r>
              <w:rPr>
                <w:rFonts w:hint="eastAsia" w:ascii="仿宋" w:hAnsi="仿宋" w:eastAsia="仿宋" w:cs="仿宋"/>
                <w:color w:val="auto"/>
                <w:sz w:val="32"/>
                <w:szCs w:val="32"/>
                <w:highlight w:val="none"/>
              </w:rPr>
              <w:t>年</w:t>
            </w:r>
            <w:r>
              <w:rPr>
                <w:rFonts w:hint="eastAsia" w:ascii="仿宋" w:hAnsi="仿宋" w:eastAsia="仿宋" w:cs="仿宋"/>
                <w:color w:val="auto"/>
                <w:sz w:val="32"/>
                <w:szCs w:val="32"/>
                <w:highlight w:val="none"/>
                <w:lang w:val="en-US" w:eastAsia="zh-CN"/>
              </w:rPr>
              <w:t>四</w:t>
            </w:r>
            <w:r>
              <w:rPr>
                <w:rFonts w:hint="eastAsia" w:ascii="仿宋" w:hAnsi="仿宋" w:eastAsia="仿宋" w:cs="仿宋"/>
                <w:color w:val="auto"/>
                <w:sz w:val="32"/>
                <w:szCs w:val="32"/>
                <w:highlight w:val="none"/>
              </w:rPr>
              <w:t>月</w:t>
            </w:r>
          </w:p>
        </w:tc>
      </w:tr>
    </w:tbl>
    <w:p w14:paraId="3138B84F">
      <w:pPr>
        <w:tabs>
          <w:tab w:val="left" w:pos="2268"/>
        </w:tabs>
        <w:spacing w:line="360" w:lineRule="auto"/>
        <w:jc w:val="center"/>
        <w:rPr>
          <w:rFonts w:ascii="宋体" w:hAnsi="宋体" w:eastAsia="宋体" w:cs="仿宋_GB2312"/>
          <w:color w:val="auto"/>
          <w:sz w:val="24"/>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814" w:right="1474" w:bottom="1814" w:left="1474" w:header="851" w:footer="992" w:gutter="0"/>
          <w:cols w:space="720" w:num="1"/>
          <w:titlePg/>
          <w:docGrid w:linePitch="312" w:charSpace="0"/>
        </w:sectPr>
      </w:pPr>
    </w:p>
    <w:p w14:paraId="42BFE200">
      <w:pPr>
        <w:pStyle w:val="2"/>
        <w:rPr>
          <w:color w:val="auto"/>
          <w:highlight w:val="none"/>
        </w:rPr>
      </w:pPr>
    </w:p>
    <w:p w14:paraId="1FDBA9D2">
      <w:pPr>
        <w:spacing w:line="360" w:lineRule="auto"/>
        <w:jc w:val="center"/>
        <w:rPr>
          <w:rFonts w:hint="eastAsia" w:ascii="仿宋" w:hAnsi="仿宋" w:eastAsia="仿宋" w:cs="仿宋"/>
          <w:b/>
          <w:color w:val="auto"/>
          <w:sz w:val="48"/>
          <w:szCs w:val="48"/>
          <w:highlight w:val="none"/>
        </w:rPr>
      </w:pPr>
    </w:p>
    <w:p w14:paraId="3CC2B401">
      <w:pPr>
        <w:spacing w:line="360" w:lineRule="auto"/>
        <w:jc w:val="center"/>
        <w:rPr>
          <w:rFonts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1997FA1C">
      <w:pPr>
        <w:spacing w:line="360" w:lineRule="auto"/>
        <w:rPr>
          <w:rFonts w:ascii="仿宋" w:hAnsi="仿宋" w:eastAsia="仿宋" w:cs="仿宋"/>
          <w:color w:val="auto"/>
          <w:sz w:val="32"/>
          <w:szCs w:val="32"/>
          <w:highlight w:val="none"/>
        </w:rPr>
      </w:pPr>
    </w:p>
    <w:p w14:paraId="15F525A5">
      <w:pPr>
        <w:spacing w:line="360" w:lineRule="auto"/>
        <w:rPr>
          <w:rFonts w:ascii="仿宋" w:hAnsi="仿宋" w:eastAsia="仿宋" w:cs="仿宋"/>
          <w:color w:val="auto"/>
          <w:sz w:val="32"/>
          <w:szCs w:val="32"/>
          <w:highlight w:val="none"/>
        </w:rPr>
      </w:pPr>
    </w:p>
    <w:p w14:paraId="268B0F97">
      <w:pPr>
        <w:spacing w:line="360" w:lineRule="auto"/>
        <w:ind w:firstLine="1446" w:firstLineChars="40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第一部分      磋商邀请公告</w:t>
      </w:r>
    </w:p>
    <w:p w14:paraId="5DF4A6DC">
      <w:pPr>
        <w:spacing w:line="360" w:lineRule="auto"/>
        <w:ind w:firstLine="1446" w:firstLineChars="40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第二部分      供应商须知</w:t>
      </w:r>
    </w:p>
    <w:p w14:paraId="5873FCCF">
      <w:pPr>
        <w:spacing w:line="360" w:lineRule="auto"/>
        <w:ind w:firstLine="1446" w:firstLineChars="40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第三部分      采购需求</w:t>
      </w:r>
    </w:p>
    <w:p w14:paraId="332F2183">
      <w:pPr>
        <w:spacing w:line="360" w:lineRule="auto"/>
        <w:ind w:firstLine="1446" w:firstLineChars="40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第四部分      拟签订的合同文本</w:t>
      </w:r>
    </w:p>
    <w:p w14:paraId="4C781E6F">
      <w:pPr>
        <w:spacing w:line="360" w:lineRule="auto"/>
        <w:ind w:firstLine="1446" w:firstLineChars="40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第五部分      评审方法及标准</w:t>
      </w:r>
    </w:p>
    <w:p w14:paraId="463C9A30">
      <w:pPr>
        <w:spacing w:line="360" w:lineRule="auto"/>
        <w:jc w:val="center"/>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lang w:val="en-US" w:eastAsia="zh-CN"/>
        </w:rPr>
        <w:t xml:space="preserve">     </w:t>
      </w:r>
      <w:r>
        <w:rPr>
          <w:rFonts w:hint="eastAsia" w:ascii="仿宋" w:hAnsi="仿宋" w:eastAsia="仿宋" w:cs="仿宋"/>
          <w:b/>
          <w:bCs/>
          <w:color w:val="auto"/>
          <w:sz w:val="36"/>
          <w:szCs w:val="36"/>
          <w:highlight w:val="none"/>
        </w:rPr>
        <w:t>第六部分      磋商响应文件及其附件格式</w:t>
      </w:r>
    </w:p>
    <w:p w14:paraId="454A10BB">
      <w:pPr>
        <w:spacing w:line="360" w:lineRule="auto"/>
        <w:ind w:firstLine="549" w:firstLineChars="229"/>
        <w:rPr>
          <w:rFonts w:ascii="仿宋" w:hAnsi="仿宋" w:eastAsia="仿宋" w:cs="仿宋"/>
          <w:color w:val="auto"/>
          <w:sz w:val="24"/>
          <w:highlight w:val="none"/>
        </w:rPr>
      </w:pPr>
      <w:bookmarkStart w:id="0" w:name="_Hlt91233176"/>
      <w:bookmarkEnd w:id="0"/>
      <w:bookmarkStart w:id="1" w:name="_Toc91899869"/>
    </w:p>
    <w:p w14:paraId="4E950EEF">
      <w:pPr>
        <w:spacing w:line="360" w:lineRule="auto"/>
        <w:ind w:firstLine="549" w:firstLineChars="229"/>
        <w:rPr>
          <w:rFonts w:ascii="宋体" w:hAnsi="宋体" w:eastAsia="宋体" w:cs="仿宋_GB2312"/>
          <w:color w:val="auto"/>
          <w:sz w:val="24"/>
          <w:highlight w:val="none"/>
        </w:rPr>
      </w:pPr>
    </w:p>
    <w:p w14:paraId="6F42080F">
      <w:pPr>
        <w:spacing w:line="360" w:lineRule="auto"/>
        <w:ind w:firstLine="549" w:firstLineChars="229"/>
        <w:rPr>
          <w:rFonts w:ascii="宋体" w:hAnsi="宋体" w:eastAsia="宋体" w:cs="仿宋_GB2312"/>
          <w:color w:val="auto"/>
          <w:sz w:val="24"/>
          <w:highlight w:val="none"/>
        </w:rPr>
      </w:pPr>
    </w:p>
    <w:p w14:paraId="2722A9F6">
      <w:pPr>
        <w:spacing w:line="360" w:lineRule="auto"/>
        <w:ind w:firstLine="549" w:firstLineChars="229"/>
        <w:rPr>
          <w:rFonts w:ascii="宋体" w:hAnsi="宋体" w:eastAsia="宋体" w:cs="仿宋_GB2312"/>
          <w:color w:val="auto"/>
          <w:sz w:val="24"/>
          <w:highlight w:val="none"/>
        </w:rPr>
      </w:pPr>
    </w:p>
    <w:p w14:paraId="748D272A">
      <w:pPr>
        <w:spacing w:line="360" w:lineRule="auto"/>
        <w:ind w:firstLine="549" w:firstLineChars="229"/>
        <w:rPr>
          <w:rFonts w:ascii="宋体" w:hAnsi="宋体" w:eastAsia="宋体" w:cs="仿宋_GB2312"/>
          <w:color w:val="auto"/>
          <w:sz w:val="24"/>
          <w:highlight w:val="none"/>
        </w:rPr>
      </w:pPr>
    </w:p>
    <w:p w14:paraId="645CA3F8">
      <w:pPr>
        <w:spacing w:line="360" w:lineRule="auto"/>
        <w:ind w:firstLine="549" w:firstLineChars="229"/>
        <w:rPr>
          <w:rFonts w:ascii="宋体" w:hAnsi="宋体" w:eastAsia="宋体" w:cs="仿宋_GB2312"/>
          <w:color w:val="auto"/>
          <w:sz w:val="24"/>
          <w:highlight w:val="none"/>
        </w:rPr>
      </w:pPr>
    </w:p>
    <w:p w14:paraId="345FB49B">
      <w:pPr>
        <w:spacing w:line="360" w:lineRule="auto"/>
        <w:ind w:firstLine="549" w:firstLineChars="229"/>
        <w:rPr>
          <w:rFonts w:ascii="宋体" w:hAnsi="宋体" w:eastAsia="宋体" w:cs="仿宋_GB2312"/>
          <w:color w:val="auto"/>
          <w:sz w:val="24"/>
          <w:highlight w:val="none"/>
        </w:rPr>
      </w:pPr>
    </w:p>
    <w:p w14:paraId="5C688AA1">
      <w:pPr>
        <w:spacing w:line="360" w:lineRule="auto"/>
        <w:ind w:firstLine="549" w:firstLineChars="229"/>
        <w:rPr>
          <w:rFonts w:ascii="宋体" w:hAnsi="宋体" w:eastAsia="宋体" w:cs="仿宋_GB2312"/>
          <w:color w:val="auto"/>
          <w:sz w:val="24"/>
          <w:highlight w:val="none"/>
        </w:rPr>
      </w:pPr>
    </w:p>
    <w:p w14:paraId="0155001F">
      <w:pPr>
        <w:spacing w:line="360" w:lineRule="auto"/>
        <w:ind w:firstLine="549" w:firstLineChars="229"/>
        <w:rPr>
          <w:rFonts w:ascii="宋体" w:hAnsi="宋体" w:eastAsia="宋体" w:cs="仿宋_GB2312"/>
          <w:color w:val="auto"/>
          <w:sz w:val="24"/>
          <w:highlight w:val="none"/>
        </w:rPr>
      </w:pPr>
    </w:p>
    <w:p w14:paraId="5C485149">
      <w:pPr>
        <w:spacing w:line="360" w:lineRule="auto"/>
        <w:ind w:firstLine="549" w:firstLineChars="229"/>
        <w:rPr>
          <w:rFonts w:ascii="宋体" w:hAnsi="宋体" w:eastAsia="宋体" w:cs="仿宋_GB2312"/>
          <w:color w:val="auto"/>
          <w:sz w:val="24"/>
          <w:highlight w:val="none"/>
        </w:rPr>
      </w:pPr>
    </w:p>
    <w:p w14:paraId="737FCEDF">
      <w:pPr>
        <w:spacing w:line="360" w:lineRule="auto"/>
        <w:ind w:firstLine="549" w:firstLineChars="229"/>
        <w:rPr>
          <w:rFonts w:ascii="宋体" w:hAnsi="宋体" w:eastAsia="宋体" w:cs="仿宋_GB2312"/>
          <w:color w:val="auto"/>
          <w:sz w:val="24"/>
          <w:highlight w:val="none"/>
        </w:rPr>
      </w:pPr>
    </w:p>
    <w:bookmarkEnd w:id="1"/>
    <w:p w14:paraId="317563F4">
      <w:pPr>
        <w:adjustRightInd/>
        <w:spacing w:line="360" w:lineRule="auto"/>
        <w:jc w:val="center"/>
        <w:outlineLvl w:val="0"/>
        <w:rPr>
          <w:rFonts w:ascii="仿宋" w:hAnsi="仿宋" w:eastAsia="仿宋" w:cs="仿宋"/>
          <w:b/>
          <w:color w:val="auto"/>
          <w:sz w:val="36"/>
          <w:szCs w:val="20"/>
          <w:highlight w:val="none"/>
        </w:rPr>
        <w:sectPr>
          <w:footerReference r:id="rId9" w:type="default"/>
          <w:pgSz w:w="11906" w:h="16838"/>
          <w:pgMar w:top="1814" w:right="1474" w:bottom="1814" w:left="1474" w:header="851" w:footer="992" w:gutter="0"/>
          <w:pgNumType w:start="1"/>
          <w:cols w:space="720" w:num="1"/>
          <w:docGrid w:linePitch="312" w:charSpace="0"/>
        </w:sectPr>
      </w:pPr>
      <w:bookmarkStart w:id="2" w:name="_Hlt74728647"/>
      <w:bookmarkEnd w:id="2"/>
      <w:bookmarkStart w:id="3" w:name="_Hlt74729822"/>
      <w:bookmarkEnd w:id="3"/>
      <w:bookmarkStart w:id="4" w:name="_Hlt74649545"/>
      <w:bookmarkEnd w:id="4"/>
      <w:bookmarkStart w:id="5" w:name="_Hlt74707423"/>
      <w:bookmarkEnd w:id="5"/>
      <w:bookmarkStart w:id="6" w:name="第二部分"/>
      <w:bookmarkStart w:id="7" w:name="_Toc91899870"/>
      <w:bookmarkStart w:id="8" w:name="_Toc91899871"/>
    </w:p>
    <w:p w14:paraId="59597D3E">
      <w:pPr>
        <w:adjustRightInd/>
        <w:spacing w:line="336" w:lineRule="auto"/>
        <w:jc w:val="center"/>
        <w:outlineLvl w:val="0"/>
        <w:rPr>
          <w:rFonts w:ascii="仿宋" w:hAnsi="仿宋" w:eastAsia="仿宋" w:cs="仿宋"/>
          <w:color w:val="auto"/>
          <w:sz w:val="24"/>
          <w:highlight w:val="none"/>
        </w:rPr>
      </w:pPr>
      <w:r>
        <w:rPr>
          <w:rFonts w:hint="eastAsia" w:ascii="仿宋" w:hAnsi="仿宋" w:eastAsia="仿宋" w:cs="仿宋"/>
          <w:b/>
          <w:color w:val="auto"/>
          <w:sz w:val="36"/>
          <w:szCs w:val="20"/>
          <w:highlight w:val="none"/>
        </w:rPr>
        <w:t>第一部分  磋商邀请公告</w:t>
      </w:r>
    </w:p>
    <w:p w14:paraId="10099938">
      <w:pPr>
        <w:pBdr>
          <w:top w:val="single" w:color="auto" w:sz="4" w:space="1"/>
          <w:left w:val="single" w:color="auto" w:sz="4" w:space="4"/>
          <w:bottom w:val="single" w:color="auto" w:sz="4" w:space="1"/>
          <w:right w:val="single" w:color="auto" w:sz="4" w:space="4"/>
        </w:pBd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项目概况</w:t>
      </w:r>
    </w:p>
    <w:p w14:paraId="6F65F4E8">
      <w:pPr>
        <w:pBdr>
          <w:top w:val="single" w:color="auto" w:sz="4" w:space="1"/>
          <w:left w:val="single" w:color="auto" w:sz="4" w:space="4"/>
          <w:bottom w:val="single" w:color="auto" w:sz="4" w:space="1"/>
          <w:right w:val="single" w:color="auto" w:sz="4" w:space="4"/>
        </w:pBdr>
        <w:spacing w:line="336"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绍兴市“十五五”期间盘活存量资产推动高质量发展专项规划项目</w:t>
      </w:r>
      <w:r>
        <w:rPr>
          <w:rFonts w:hint="eastAsia" w:ascii="仿宋" w:hAnsi="仿宋" w:eastAsia="仿宋" w:cs="仿宋"/>
          <w:color w:val="auto"/>
          <w:sz w:val="24"/>
          <w:highlight w:val="none"/>
        </w:rPr>
        <w:t>采购项目的潜在供应商应在</w:t>
      </w:r>
      <w:r>
        <w:rPr>
          <w:rFonts w:hint="eastAsia" w:ascii="仿宋" w:hAnsi="仿宋" w:eastAsia="仿宋" w:cs="仿宋"/>
          <w:color w:val="auto"/>
          <w:sz w:val="24"/>
          <w:highlight w:val="none"/>
          <w:u w:val="singl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21"/>
          <w:rFonts w:hint="eastAsia" w:ascii="仿宋" w:hAnsi="仿宋" w:eastAsia="仿宋" w:cs="仿宋"/>
          <w:color w:val="auto"/>
          <w:sz w:val="24"/>
          <w:highlight w:val="none"/>
          <w:u w:val="single"/>
        </w:rPr>
        <w:t>https://www.zcygov.cn/</w:t>
      </w:r>
      <w:r>
        <w:rPr>
          <w:rStyle w:val="21"/>
          <w:rFonts w:hint="eastAsia" w:ascii="仿宋" w:hAnsi="仿宋" w:eastAsia="仿宋" w:cs="仿宋"/>
          <w:color w:val="auto"/>
          <w:sz w:val="24"/>
          <w:highlight w:val="none"/>
          <w:u w:val="single"/>
        </w:rPr>
        <w:fldChar w:fldCharType="end"/>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获取采购文件，并于</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bCs/>
          <w:color w:val="auto"/>
          <w:sz w:val="24"/>
          <w:highlight w:val="none"/>
          <w:u w:val="single"/>
        </w:rPr>
        <w:t>年</w:t>
      </w:r>
      <w:r>
        <w:rPr>
          <w:rFonts w:hint="eastAsia" w:ascii="仿宋" w:hAnsi="仿宋" w:eastAsia="仿宋" w:cs="仿宋"/>
          <w:bCs/>
          <w:color w:val="auto"/>
          <w:sz w:val="24"/>
          <w:highlight w:val="none"/>
          <w:u w:val="single"/>
          <w:lang w:val="en-US" w:eastAsia="zh-CN"/>
        </w:rPr>
        <w:t>04</w:t>
      </w:r>
      <w:r>
        <w:rPr>
          <w:rFonts w:hint="eastAsia" w:ascii="仿宋" w:hAnsi="仿宋" w:eastAsia="仿宋" w:cs="仿宋"/>
          <w:bCs/>
          <w:color w:val="auto"/>
          <w:sz w:val="24"/>
          <w:highlight w:val="none"/>
          <w:u w:val="single"/>
        </w:rPr>
        <w:t>月</w:t>
      </w:r>
      <w:r>
        <w:rPr>
          <w:rFonts w:hint="eastAsia" w:ascii="仿宋" w:hAnsi="仿宋" w:eastAsia="仿宋" w:cs="仿宋"/>
          <w:bCs/>
          <w:color w:val="auto"/>
          <w:sz w:val="24"/>
          <w:highlight w:val="none"/>
          <w:u w:val="single"/>
          <w:lang w:val="en-US" w:eastAsia="zh-CN"/>
        </w:rPr>
        <w:t>14</w:t>
      </w:r>
      <w:r>
        <w:rPr>
          <w:rFonts w:hint="eastAsia" w:ascii="仿宋" w:hAnsi="仿宋" w:eastAsia="仿宋" w:cs="仿宋"/>
          <w:bCs/>
          <w:color w:val="auto"/>
          <w:sz w:val="24"/>
          <w:highlight w:val="none"/>
          <w:u w:val="single"/>
        </w:rPr>
        <w:t>日</w:t>
      </w:r>
      <w:r>
        <w:rPr>
          <w:rFonts w:hint="eastAsia" w:ascii="仿宋" w:hAnsi="仿宋" w:eastAsia="仿宋" w:cs="仿宋"/>
          <w:bCs/>
          <w:color w:val="auto"/>
          <w:sz w:val="24"/>
          <w:highlight w:val="none"/>
          <w:u w:val="single"/>
          <w:lang w:val="en-US" w:eastAsia="zh-CN"/>
        </w:rPr>
        <w:t>09</w:t>
      </w:r>
      <w:r>
        <w:rPr>
          <w:rFonts w:hint="eastAsia" w:ascii="仿宋" w:hAnsi="仿宋" w:eastAsia="仿宋" w:cs="仿宋"/>
          <w:bCs/>
          <w:color w:val="auto"/>
          <w:sz w:val="24"/>
          <w:highlight w:val="none"/>
          <w:u w:val="single"/>
        </w:rPr>
        <w:t>点</w:t>
      </w:r>
      <w:r>
        <w:rPr>
          <w:rFonts w:hint="eastAsia" w:ascii="仿宋" w:hAnsi="仿宋" w:eastAsia="仿宋" w:cs="仿宋"/>
          <w:bCs/>
          <w:color w:val="auto"/>
          <w:sz w:val="24"/>
          <w:highlight w:val="none"/>
          <w:u w:val="single"/>
          <w:lang w:val="en-US" w:eastAsia="zh-CN"/>
        </w:rPr>
        <w:t>00</w:t>
      </w:r>
      <w:r>
        <w:rPr>
          <w:rFonts w:hint="eastAsia" w:ascii="仿宋" w:hAnsi="仿宋" w:eastAsia="仿宋" w:cs="仿宋"/>
          <w:bCs/>
          <w:color w:val="auto"/>
          <w:sz w:val="24"/>
          <w:highlight w:val="none"/>
          <w:u w:val="single"/>
        </w:rPr>
        <w:t>分00秒</w:t>
      </w:r>
      <w:r>
        <w:rPr>
          <w:rFonts w:hint="eastAsia" w:ascii="仿宋" w:hAnsi="仿宋" w:eastAsia="仿宋" w:cs="仿宋"/>
          <w:bCs/>
          <w:color w:val="auto"/>
          <w:sz w:val="24"/>
          <w:highlight w:val="none"/>
        </w:rPr>
        <w:t>（北京时间）前提交响应文件</w:t>
      </w:r>
      <w:r>
        <w:rPr>
          <w:rFonts w:hint="eastAsia" w:ascii="仿宋" w:hAnsi="仿宋" w:eastAsia="仿宋" w:cs="仿宋"/>
          <w:color w:val="auto"/>
          <w:sz w:val="24"/>
          <w:highlight w:val="none"/>
        </w:rPr>
        <w:t>。</w:t>
      </w:r>
    </w:p>
    <w:p w14:paraId="41510F4A">
      <w:pPr>
        <w:pStyle w:val="4"/>
        <w:numPr>
          <w:ilvl w:val="0"/>
          <w:numId w:val="0"/>
        </w:numPr>
        <w:spacing w:line="336" w:lineRule="auto"/>
        <w:ind w:firstLine="480" w:firstLineChars="200"/>
        <w:rPr>
          <w:rFonts w:hint="eastAsia" w:ascii="黑体" w:hAnsi="黑体" w:eastAsia="黑体" w:cs="黑体"/>
          <w:b w:val="0"/>
          <w:bCs w:val="0"/>
          <w:color w:val="auto"/>
          <w:sz w:val="24"/>
          <w:szCs w:val="24"/>
          <w:highlight w:val="none"/>
        </w:rPr>
      </w:pPr>
      <w:bookmarkStart w:id="9" w:name="_Toc35393798"/>
      <w:bookmarkStart w:id="10" w:name="_Toc35393629"/>
      <w:bookmarkStart w:id="11" w:name="_Toc28359012"/>
      <w:bookmarkStart w:id="12" w:name="_Toc28359089"/>
      <w:r>
        <w:rPr>
          <w:rFonts w:hint="eastAsia" w:ascii="黑体" w:hAnsi="黑体" w:eastAsia="黑体" w:cs="黑体"/>
          <w:b w:val="0"/>
          <w:bCs w:val="0"/>
          <w:color w:val="auto"/>
          <w:sz w:val="24"/>
          <w:szCs w:val="24"/>
          <w:highlight w:val="none"/>
        </w:rPr>
        <w:t>一、项目基本情况</w:t>
      </w:r>
      <w:bookmarkEnd w:id="9"/>
      <w:bookmarkEnd w:id="10"/>
      <w:bookmarkEnd w:id="11"/>
      <w:bookmarkEnd w:id="12"/>
    </w:p>
    <w:p w14:paraId="409756F0">
      <w:pPr>
        <w:spacing w:line="336"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rPr>
        <w:t>SXQS-202502-CS011</w:t>
      </w:r>
    </w:p>
    <w:p w14:paraId="1FD406EB">
      <w:pPr>
        <w:spacing w:line="336" w:lineRule="auto"/>
        <w:ind w:firstLine="482" w:firstLineChars="200"/>
        <w:rPr>
          <w:rFonts w:hint="eastAsia" w:ascii="仿宋" w:hAnsi="仿宋" w:eastAsia="仿宋" w:cs="仿宋"/>
          <w:color w:val="auto"/>
          <w:sz w:val="24"/>
          <w:highlight w:val="none"/>
          <w:u w:val="single"/>
          <w:lang w:eastAsia="zh-CN"/>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eastAsia="zh-CN"/>
        </w:rPr>
        <w:t>绍兴市“十五五”期间盘活存量资产推动高质量发展专项规划项目</w:t>
      </w:r>
    </w:p>
    <w:p w14:paraId="348667A4">
      <w:pPr>
        <w:spacing w:line="336"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采购方式：</w:t>
      </w:r>
      <w:r>
        <w:rPr>
          <w:rFonts w:hint="eastAsia" w:ascii="仿宋" w:hAnsi="仿宋" w:eastAsia="仿宋" w:cs="仿宋"/>
          <w:color w:val="auto"/>
          <w:sz w:val="24"/>
          <w:highlight w:val="none"/>
        </w:rPr>
        <w:t>竞争性磋商</w:t>
      </w:r>
    </w:p>
    <w:p w14:paraId="54CDCDB3">
      <w:pPr>
        <w:spacing w:line="336" w:lineRule="auto"/>
        <w:ind w:firstLine="482" w:firstLineChars="200"/>
        <w:rPr>
          <w:rFonts w:hint="default"/>
          <w:b w:val="0"/>
          <w:bCs/>
          <w:color w:val="auto"/>
          <w:highlight w:val="none"/>
          <w:lang w:val="en-US" w:eastAsia="zh-CN"/>
        </w:rPr>
      </w:pPr>
      <w:r>
        <w:rPr>
          <w:rFonts w:hint="eastAsia" w:ascii="仿宋" w:hAnsi="仿宋" w:eastAsia="仿宋" w:cs="仿宋"/>
          <w:b/>
          <w:color w:val="auto"/>
          <w:sz w:val="24"/>
          <w:highlight w:val="none"/>
        </w:rPr>
        <w:t xml:space="preserve">预算金额（元）： </w:t>
      </w:r>
      <w:r>
        <w:rPr>
          <w:rFonts w:hint="eastAsia" w:ascii="仿宋" w:hAnsi="仿宋" w:eastAsia="仿宋" w:cs="仿宋"/>
          <w:b w:val="0"/>
          <w:bCs/>
          <w:color w:val="auto"/>
          <w:sz w:val="24"/>
          <w:highlight w:val="none"/>
          <w:lang w:val="en-US" w:eastAsia="zh-CN"/>
        </w:rPr>
        <w:t>500000.00</w:t>
      </w:r>
    </w:p>
    <w:p w14:paraId="78EAD86F">
      <w:pPr>
        <w:spacing w:line="336"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最高限价（元）： </w:t>
      </w:r>
      <w:r>
        <w:rPr>
          <w:rFonts w:hint="eastAsia" w:ascii="仿宋" w:hAnsi="仿宋" w:eastAsia="仿宋" w:cs="仿宋"/>
          <w:b w:val="0"/>
          <w:bCs/>
          <w:color w:val="auto"/>
          <w:sz w:val="24"/>
          <w:highlight w:val="none"/>
          <w:lang w:val="en-US" w:eastAsia="zh-CN"/>
        </w:rPr>
        <w:t>500000.00</w:t>
      </w:r>
    </w:p>
    <w:p w14:paraId="3E862805">
      <w:pPr>
        <w:spacing w:line="336"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采购需求：</w:t>
      </w:r>
    </w:p>
    <w:p w14:paraId="7B7C390C">
      <w:pPr>
        <w:spacing w:line="336" w:lineRule="auto"/>
        <w:ind w:firstLine="720" w:firstLineChars="300"/>
        <w:rPr>
          <w:rFonts w:ascii="仿宋" w:hAnsi="仿宋" w:eastAsia="仿宋" w:cs="仿宋"/>
          <w:bCs/>
          <w:color w:val="auto"/>
          <w:sz w:val="24"/>
          <w:highlight w:val="none"/>
        </w:rPr>
      </w:pPr>
      <w:r>
        <w:rPr>
          <w:rFonts w:hint="eastAsia" w:ascii="仿宋" w:hAnsi="仿宋" w:eastAsia="仿宋" w:cs="仿宋"/>
          <w:bCs/>
          <w:color w:val="auto"/>
          <w:sz w:val="24"/>
          <w:highlight w:val="none"/>
        </w:rPr>
        <w:t>标项一：</w:t>
      </w:r>
    </w:p>
    <w:p w14:paraId="6E52BADC">
      <w:pPr>
        <w:spacing w:line="336" w:lineRule="auto"/>
        <w:ind w:firstLine="720" w:firstLineChars="300"/>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标项名称：</w:t>
      </w:r>
      <w:r>
        <w:rPr>
          <w:rFonts w:hint="eastAsia" w:ascii="仿宋" w:hAnsi="仿宋" w:eastAsia="仿宋" w:cs="仿宋"/>
          <w:color w:val="auto"/>
          <w:sz w:val="24"/>
          <w:highlight w:val="none"/>
          <w:lang w:eastAsia="zh-CN"/>
        </w:rPr>
        <w:t>绍兴市“十五五”期间盘活存量资产推动高质量发展专项规划项目</w:t>
      </w:r>
    </w:p>
    <w:p w14:paraId="44E3ED2B">
      <w:pPr>
        <w:spacing w:line="336" w:lineRule="auto"/>
        <w:ind w:firstLine="720" w:firstLineChars="30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rPr>
        <w:t>数量：</w:t>
      </w:r>
      <w:r>
        <w:rPr>
          <w:rFonts w:hint="eastAsia" w:ascii="仿宋" w:hAnsi="仿宋" w:eastAsia="仿宋" w:cs="仿宋"/>
          <w:bCs/>
          <w:color w:val="auto"/>
          <w:sz w:val="24"/>
          <w:highlight w:val="none"/>
          <w:lang w:val="en-US" w:eastAsia="zh-CN"/>
        </w:rPr>
        <w:t>1</w:t>
      </w:r>
    </w:p>
    <w:p w14:paraId="1EB7C363">
      <w:pPr>
        <w:spacing w:line="336" w:lineRule="auto"/>
        <w:ind w:firstLine="720" w:firstLineChars="300"/>
        <w:rPr>
          <w:rFonts w:ascii="仿宋" w:hAnsi="仿宋" w:eastAsia="仿宋" w:cs="仿宋"/>
          <w:bCs/>
          <w:color w:val="auto"/>
          <w:sz w:val="24"/>
          <w:highlight w:val="none"/>
        </w:rPr>
      </w:pPr>
      <w:r>
        <w:rPr>
          <w:rFonts w:hint="eastAsia" w:ascii="仿宋" w:hAnsi="仿宋" w:eastAsia="仿宋" w:cs="仿宋"/>
          <w:bCs/>
          <w:color w:val="auto"/>
          <w:sz w:val="24"/>
          <w:highlight w:val="none"/>
        </w:rPr>
        <w:t>预算金额：</w:t>
      </w:r>
      <w:r>
        <w:rPr>
          <w:rFonts w:hint="eastAsia" w:ascii="仿宋" w:hAnsi="仿宋" w:eastAsia="仿宋" w:cs="仿宋"/>
          <w:b w:val="0"/>
          <w:bCs/>
          <w:color w:val="auto"/>
          <w:sz w:val="24"/>
          <w:highlight w:val="none"/>
          <w:lang w:val="en-US" w:eastAsia="zh-CN"/>
        </w:rPr>
        <w:t>500000.00</w:t>
      </w:r>
    </w:p>
    <w:p w14:paraId="5A5D4FEC">
      <w:pPr>
        <w:spacing w:line="336" w:lineRule="auto"/>
        <w:ind w:firstLine="720" w:firstLineChars="300"/>
        <w:rPr>
          <w:rFonts w:ascii="仿宋" w:hAnsi="仿宋" w:eastAsia="仿宋" w:cs="仿宋"/>
          <w:b/>
          <w:color w:val="auto"/>
          <w:sz w:val="24"/>
          <w:highlight w:val="none"/>
        </w:rPr>
      </w:pPr>
      <w:r>
        <w:rPr>
          <w:rFonts w:hint="eastAsia" w:ascii="仿宋" w:hAnsi="仿宋" w:eastAsia="仿宋" w:cs="仿宋"/>
          <w:bCs/>
          <w:color w:val="auto"/>
          <w:sz w:val="24"/>
          <w:highlight w:val="none"/>
        </w:rPr>
        <w:t xml:space="preserve">主要内容： </w:t>
      </w:r>
      <w:r>
        <w:rPr>
          <w:rFonts w:hint="eastAsia" w:ascii="仿宋" w:hAnsi="仿宋" w:eastAsia="仿宋" w:cs="仿宋"/>
          <w:b/>
          <w:color w:val="auto"/>
          <w:sz w:val="24"/>
          <w:highlight w:val="none"/>
        </w:rPr>
        <w:t>详见磋商文件。</w:t>
      </w:r>
    </w:p>
    <w:p w14:paraId="36FFED3E">
      <w:pPr>
        <w:spacing w:line="336" w:lineRule="auto"/>
        <w:ind w:firstLine="482" w:firstLineChars="200"/>
        <w:rPr>
          <w:rFonts w:hint="eastAsia" w:ascii="仿宋" w:hAnsi="仿宋" w:eastAsia="仿宋_GB2312" w:cs="仿宋"/>
          <w:color w:val="auto"/>
          <w:sz w:val="24"/>
          <w:highlight w:val="none"/>
          <w:u w:val="single"/>
          <w:lang w:eastAsia="zh-CN"/>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：按双方合同约定条款执行</w:t>
      </w:r>
      <w:r>
        <w:rPr>
          <w:rFonts w:hint="eastAsia" w:ascii="仿宋" w:hAnsi="仿宋" w:eastAsia="仿宋" w:cs="仿宋"/>
          <w:color w:val="auto"/>
          <w:sz w:val="24"/>
          <w:highlight w:val="none"/>
          <w:lang w:eastAsia="zh-CN"/>
        </w:rPr>
        <w:t>。</w:t>
      </w:r>
    </w:p>
    <w:p w14:paraId="56A5885E">
      <w:pPr>
        <w:spacing w:line="336"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本项目接受联合体磋商：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w:t>
      </w:r>
      <w:r>
        <w:rPr>
          <w:rFonts w:hint="eastAsia" w:ascii="仿宋" w:hAnsi="仿宋" w:eastAsia="仿宋" w:cs="仿宋"/>
          <w:b/>
          <w:color w:val="auto"/>
          <w:sz w:val="24"/>
          <w:highlight w:val="none"/>
        </w:rPr>
        <w:t>是，☐否。</w:t>
      </w:r>
    </w:p>
    <w:p w14:paraId="61F40FCB">
      <w:pPr>
        <w:spacing w:line="336" w:lineRule="auto"/>
        <w:ind w:firstLine="480" w:firstLineChars="200"/>
        <w:rPr>
          <w:rFonts w:hint="eastAsia" w:ascii="黑体" w:hAnsi="黑体" w:eastAsia="黑体" w:cs="黑体"/>
          <w:b w:val="0"/>
          <w:bCs w:val="0"/>
          <w:color w:val="auto"/>
          <w:sz w:val="24"/>
          <w:highlight w:val="none"/>
        </w:rPr>
      </w:pPr>
      <w:r>
        <w:rPr>
          <w:rFonts w:hint="eastAsia" w:ascii="黑体" w:hAnsi="黑体" w:eastAsia="黑体" w:cs="黑体"/>
          <w:b w:val="0"/>
          <w:bCs w:val="0"/>
          <w:color w:val="auto"/>
          <w:sz w:val="24"/>
          <w:highlight w:val="none"/>
        </w:rPr>
        <w:t>二、申请人的资格要求</w:t>
      </w:r>
    </w:p>
    <w:p w14:paraId="1CCA212C">
      <w:pPr>
        <w:spacing w:line="336" w:lineRule="auto"/>
        <w:ind w:firstLine="48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C4E378A">
      <w:pPr>
        <w:spacing w:line="336" w:lineRule="auto"/>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2.以联合体形式响应的，提供联合协议(本项目不接受联合体响应或者供应商不以联合体形式响应的，则不需要提供) ；</w:t>
      </w:r>
    </w:p>
    <w:p w14:paraId="29C05B52">
      <w:pPr>
        <w:spacing w:line="336" w:lineRule="auto"/>
        <w:ind w:firstLine="480" w:firstLineChars="20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6A6113EA">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无；</w:t>
      </w:r>
    </w:p>
    <w:p w14:paraId="270CC73E">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5832416C">
      <w:pPr>
        <w:spacing w:line="336" w:lineRule="auto"/>
        <w:ind w:firstLine="897" w:firstLineChars="374"/>
        <w:rPr>
          <w:rFonts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服务全部由符合政策要求的中小企业承接，提供中小企业声明函；</w:t>
      </w:r>
    </w:p>
    <w:p w14:paraId="0C296BD0">
      <w:pPr>
        <w:spacing w:line="336" w:lineRule="auto"/>
        <w:ind w:firstLine="897" w:firstLineChars="374"/>
        <w:rPr>
          <w:rFonts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服务全部由符合政策要求的小微企业承接，提供中小企业声明函；</w:t>
      </w:r>
    </w:p>
    <w:p w14:paraId="3E0E1930">
      <w:pPr>
        <w:spacing w:line="336" w:lineRule="auto"/>
        <w:ind w:firstLine="897" w:firstLineChars="374"/>
        <w:rPr>
          <w:rFonts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002EB5E8">
      <w:pPr>
        <w:spacing w:line="336" w:lineRule="auto"/>
        <w:ind w:firstLine="897" w:firstLineChars="374"/>
        <w:rPr>
          <w:rFonts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374F64A8">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sz w:val="24"/>
          <w:highlight w:val="none"/>
          <w:lang w:eastAsia="zh-CN"/>
        </w:rPr>
        <w:t>无</w:t>
      </w:r>
      <w:r>
        <w:rPr>
          <w:rFonts w:hint="eastAsia" w:ascii="仿宋" w:hAnsi="仿宋" w:eastAsia="仿宋" w:cs="仿宋"/>
          <w:color w:val="auto"/>
          <w:sz w:val="24"/>
          <w:highlight w:val="none"/>
        </w:rPr>
        <w:t>；</w:t>
      </w:r>
    </w:p>
    <w:p w14:paraId="3361ED9B">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2395A38">
      <w:pPr>
        <w:spacing w:line="336" w:lineRule="auto"/>
        <w:ind w:firstLine="480" w:firstLineChars="200"/>
        <w:rPr>
          <w:rFonts w:hint="eastAsia" w:ascii="黑体" w:hAnsi="黑体" w:eastAsia="黑体" w:cs="黑体"/>
          <w:b w:val="0"/>
          <w:bCs w:val="0"/>
          <w:color w:val="auto"/>
          <w:sz w:val="24"/>
          <w:highlight w:val="none"/>
        </w:rPr>
      </w:pPr>
      <w:bookmarkStart w:id="13" w:name="_Toc28359091"/>
      <w:bookmarkStart w:id="14" w:name="_Toc35393800"/>
      <w:bookmarkStart w:id="15" w:name="_Toc35393631"/>
      <w:bookmarkStart w:id="16" w:name="_Toc28359014"/>
      <w:r>
        <w:rPr>
          <w:rFonts w:hint="eastAsia" w:ascii="黑体" w:hAnsi="黑体" w:eastAsia="黑体" w:cs="黑体"/>
          <w:b w:val="0"/>
          <w:bCs w:val="0"/>
          <w:color w:val="auto"/>
          <w:sz w:val="24"/>
          <w:highlight w:val="none"/>
        </w:rPr>
        <w:t>三、获取（下载）采购文件</w:t>
      </w:r>
      <w:bookmarkEnd w:id="13"/>
      <w:bookmarkEnd w:id="14"/>
      <w:bookmarkEnd w:id="15"/>
      <w:bookmarkEnd w:id="16"/>
    </w:p>
    <w:p w14:paraId="3887CC9A">
      <w:pPr>
        <w:spacing w:line="336" w:lineRule="auto"/>
        <w:ind w:firstLine="540"/>
        <w:rPr>
          <w:rFonts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7"/>
          <w:szCs w:val="27"/>
          <w:highlight w:val="none"/>
        </w:rPr>
        <w:t>/</w:t>
      </w:r>
      <w:r>
        <w:rPr>
          <w:rFonts w:hint="eastAsia" w:ascii="仿宋" w:hAnsi="仿宋" w:eastAsia="仿宋" w:cs="仿宋"/>
          <w:color w:val="auto"/>
          <w:sz w:val="24"/>
          <w:highlight w:val="none"/>
        </w:rPr>
        <w:t>至2025年04月14日，每天上午00:00至12:00 ，下午12:00至23:59（北京时间，线上获取法定节假日均可，线下获取文件法定节假日除外）；</w:t>
      </w:r>
    </w:p>
    <w:p w14:paraId="359522F8">
      <w:pPr>
        <w:spacing w:line="336" w:lineRule="auto"/>
        <w:ind w:firstLine="540"/>
        <w:rPr>
          <w:rFonts w:ascii="仿宋" w:hAnsi="仿宋" w:eastAsia="仿宋" w:cs="仿宋"/>
          <w:color w:val="auto"/>
          <w:sz w:val="28"/>
          <w:szCs w:val="28"/>
          <w:highlight w:val="none"/>
          <w:u w:val="single"/>
        </w:rPr>
      </w:pPr>
      <w:r>
        <w:rPr>
          <w:rFonts w:hint="eastAsia" w:ascii="仿宋" w:hAnsi="仿宋" w:eastAsia="仿宋" w:cs="仿宋"/>
          <w:b/>
          <w:color w:val="auto"/>
          <w:sz w:val="24"/>
          <w:highlight w:val="none"/>
        </w:rPr>
        <w:t>地点（网址）：政采云平台（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21"/>
          <w:rFonts w:hint="eastAsia" w:ascii="仿宋" w:hAnsi="仿宋" w:eastAsia="仿宋" w:cs="仿宋"/>
          <w:b/>
          <w:color w:val="auto"/>
          <w:sz w:val="24"/>
          <w:highlight w:val="none"/>
        </w:rPr>
        <w:t>https://www.zcygov.cn/</w:t>
      </w:r>
      <w:r>
        <w:rPr>
          <w:rStyle w:val="21"/>
          <w:rFonts w:hint="eastAsia" w:ascii="仿宋" w:hAnsi="仿宋" w:eastAsia="仿宋" w:cs="仿宋"/>
          <w:b/>
          <w:color w:val="auto"/>
          <w:sz w:val="24"/>
          <w:highlight w:val="none"/>
        </w:rPr>
        <w:fldChar w:fldCharType="end"/>
      </w:r>
      <w:r>
        <w:rPr>
          <w:rFonts w:hint="eastAsia" w:ascii="仿宋" w:hAnsi="仿宋" w:eastAsia="仿宋" w:cs="仿宋"/>
          <w:b/>
          <w:color w:val="auto"/>
          <w:sz w:val="24"/>
          <w:highlight w:val="none"/>
        </w:rPr>
        <w:t>）</w:t>
      </w:r>
    </w:p>
    <w:p w14:paraId="276AFEE7">
      <w:pPr>
        <w:spacing w:line="336" w:lineRule="auto"/>
        <w:ind w:firstLine="540"/>
        <w:rPr>
          <w:rFonts w:ascii="仿宋" w:hAnsi="仿宋" w:eastAsia="仿宋" w:cs="仿宋"/>
          <w:color w:val="auto"/>
          <w:sz w:val="24"/>
          <w:highlight w:val="none"/>
          <w:u w:val="singl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供应商登录政采云平台https://www.zcygov.cn/在线申请获取采购文件（进入“项目采购”应用，在获取采购文件菜单中选择项目，申请获取采购文件）。</w:t>
      </w:r>
    </w:p>
    <w:p w14:paraId="45CA7B2B">
      <w:pPr>
        <w:spacing w:line="336" w:lineRule="auto"/>
        <w:ind w:firstLine="540"/>
        <w:rPr>
          <w:rFonts w:ascii="仿宋" w:hAnsi="仿宋" w:eastAsia="仿宋" w:cs="仿宋"/>
          <w:color w:val="auto"/>
          <w:sz w:val="28"/>
          <w:szCs w:val="28"/>
          <w:highlight w:val="none"/>
        </w:rPr>
      </w:pPr>
      <w:r>
        <w:rPr>
          <w:rFonts w:hint="eastAsia" w:ascii="仿宋" w:hAnsi="仿宋" w:eastAsia="仿宋" w:cs="仿宋"/>
          <w:b/>
          <w:color w:val="auto"/>
          <w:sz w:val="24"/>
          <w:highlight w:val="none"/>
        </w:rPr>
        <w:t>售价：</w:t>
      </w:r>
      <w:r>
        <w:rPr>
          <w:rFonts w:hint="eastAsia" w:ascii="仿宋" w:hAnsi="仿宋" w:eastAsia="仿宋" w:cs="仿宋"/>
          <w:color w:val="auto"/>
          <w:sz w:val="24"/>
          <w:highlight w:val="none"/>
        </w:rPr>
        <w:t>免费。</w:t>
      </w:r>
    </w:p>
    <w:p w14:paraId="27A5F520">
      <w:pPr>
        <w:pStyle w:val="4"/>
        <w:numPr>
          <w:ilvl w:val="0"/>
          <w:numId w:val="0"/>
        </w:numPr>
        <w:spacing w:line="336" w:lineRule="auto"/>
        <w:ind w:firstLine="480" w:firstLineChars="200"/>
        <w:rPr>
          <w:rFonts w:hint="eastAsia" w:ascii="黑体" w:hAnsi="黑体" w:eastAsia="黑体" w:cs="黑体"/>
          <w:b w:val="0"/>
          <w:bCs w:val="0"/>
          <w:color w:val="auto"/>
          <w:sz w:val="24"/>
          <w:szCs w:val="24"/>
          <w:highlight w:val="none"/>
        </w:rPr>
      </w:pPr>
      <w:bookmarkStart w:id="17" w:name="_Toc35393632"/>
      <w:bookmarkStart w:id="18" w:name="_Toc35393801"/>
      <w:bookmarkStart w:id="19" w:name="_Toc28359092"/>
      <w:bookmarkStart w:id="20" w:name="_Toc28359015"/>
      <w:r>
        <w:rPr>
          <w:rFonts w:hint="eastAsia" w:ascii="黑体" w:hAnsi="黑体" w:eastAsia="黑体" w:cs="黑体"/>
          <w:b w:val="0"/>
          <w:bCs w:val="0"/>
          <w:color w:val="auto"/>
          <w:sz w:val="24"/>
          <w:szCs w:val="24"/>
          <w:highlight w:val="none"/>
        </w:rPr>
        <w:t>四、响应文件提交</w:t>
      </w:r>
      <w:bookmarkEnd w:id="17"/>
      <w:bookmarkEnd w:id="18"/>
      <w:bookmarkEnd w:id="19"/>
      <w:bookmarkEnd w:id="20"/>
      <w:r>
        <w:rPr>
          <w:rFonts w:hint="eastAsia" w:ascii="黑体" w:hAnsi="黑体" w:eastAsia="黑体" w:cs="黑体"/>
          <w:b w:val="0"/>
          <w:bCs w:val="0"/>
          <w:color w:val="auto"/>
          <w:sz w:val="24"/>
          <w:szCs w:val="24"/>
          <w:highlight w:val="none"/>
        </w:rPr>
        <w:t>（上传）</w:t>
      </w:r>
    </w:p>
    <w:p w14:paraId="215C1064">
      <w:pPr>
        <w:spacing w:line="336" w:lineRule="auto"/>
        <w:ind w:firstLine="480" w:firstLineChars="200"/>
        <w:rPr>
          <w:rFonts w:ascii="仿宋" w:hAnsi="仿宋" w:eastAsia="仿宋" w:cs="仿宋"/>
          <w:bCs/>
          <w:color w:val="auto"/>
          <w:sz w:val="24"/>
          <w:highlight w:val="none"/>
          <w:u w:val="single"/>
        </w:rPr>
      </w:pPr>
      <w:r>
        <w:rPr>
          <w:rFonts w:hint="eastAsia" w:ascii="仿宋" w:hAnsi="仿宋" w:eastAsia="仿宋" w:cs="仿宋"/>
          <w:color w:val="auto"/>
          <w:sz w:val="24"/>
          <w:highlight w:val="none"/>
        </w:rPr>
        <w:t>截止时间：</w:t>
      </w:r>
      <w:r>
        <w:rPr>
          <w:rFonts w:hint="eastAsia" w:ascii="仿宋" w:hAnsi="仿宋" w:eastAsia="仿宋" w:cs="仿宋"/>
          <w:color w:val="auto"/>
          <w:sz w:val="24"/>
          <w:highlight w:val="none"/>
          <w:u w:val="single"/>
        </w:rPr>
        <w:t>2025年04月14日09点</w:t>
      </w:r>
      <w:r>
        <w:rPr>
          <w:rFonts w:hint="eastAsia" w:ascii="仿宋" w:hAnsi="仿宋" w:eastAsia="仿宋" w:cs="仿宋"/>
          <w:color w:val="auto"/>
          <w:sz w:val="24"/>
          <w:highlight w:val="none"/>
          <w:u w:val="single"/>
          <w:lang w:val="en-US" w:eastAsia="zh-CN"/>
        </w:rPr>
        <w:t>0</w:t>
      </w:r>
      <w:r>
        <w:rPr>
          <w:rFonts w:hint="eastAsia" w:ascii="仿宋" w:hAnsi="仿宋" w:eastAsia="仿宋" w:cs="仿宋"/>
          <w:color w:val="auto"/>
          <w:sz w:val="24"/>
          <w:highlight w:val="none"/>
          <w:u w:val="single"/>
        </w:rPr>
        <w:t>0分00秒</w:t>
      </w:r>
      <w:r>
        <w:rPr>
          <w:rFonts w:hint="eastAsia" w:ascii="仿宋" w:hAnsi="仿宋" w:eastAsia="仿宋" w:cs="仿宋"/>
          <w:bCs/>
          <w:color w:val="auto"/>
          <w:sz w:val="24"/>
          <w:highlight w:val="none"/>
        </w:rPr>
        <w:t>（北京时间）</w:t>
      </w:r>
    </w:p>
    <w:p w14:paraId="2B41BE31">
      <w:pPr>
        <w:spacing w:line="336" w:lineRule="auto"/>
        <w:ind w:firstLine="480" w:firstLineChars="200"/>
        <w:rPr>
          <w:rFonts w:ascii="仿宋" w:hAnsi="仿宋" w:eastAsia="仿宋" w:cs="仿宋"/>
          <w:bCs/>
          <w:color w:val="auto"/>
          <w:sz w:val="24"/>
          <w:highlight w:val="none"/>
          <w:u w:val="single"/>
        </w:rPr>
      </w:pPr>
      <w:r>
        <w:rPr>
          <w:rFonts w:hint="eastAsia" w:ascii="仿宋" w:hAnsi="仿宋" w:eastAsia="仿宋" w:cs="仿宋"/>
          <w:color w:val="auto"/>
          <w:sz w:val="24"/>
          <w:highlight w:val="none"/>
        </w:rPr>
        <w:t>地点：</w:t>
      </w:r>
      <w:r>
        <w:rPr>
          <w:rFonts w:hint="eastAsia" w:ascii="仿宋" w:hAnsi="仿宋" w:eastAsia="仿宋" w:cs="仿宋"/>
          <w:b/>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21"/>
          <w:rFonts w:hint="eastAsia" w:ascii="仿宋" w:hAnsi="仿宋" w:eastAsia="仿宋" w:cs="仿宋"/>
          <w:b/>
          <w:color w:val="auto"/>
          <w:kern w:val="2"/>
          <w:sz w:val="24"/>
          <w:szCs w:val="24"/>
          <w:highlight w:val="none"/>
        </w:rPr>
        <w:t>https://www.zcygov.cn/</w:t>
      </w:r>
      <w:r>
        <w:rPr>
          <w:rStyle w:val="21"/>
          <w:rFonts w:hint="eastAsia" w:ascii="仿宋" w:hAnsi="仿宋" w:eastAsia="仿宋" w:cs="仿宋"/>
          <w:b/>
          <w:color w:val="auto"/>
          <w:kern w:val="2"/>
          <w:sz w:val="24"/>
          <w:szCs w:val="24"/>
          <w:highlight w:val="none"/>
        </w:rPr>
        <w:fldChar w:fldCharType="end"/>
      </w:r>
      <w:r>
        <w:rPr>
          <w:rFonts w:hint="eastAsia" w:ascii="仿宋" w:hAnsi="仿宋" w:eastAsia="仿宋" w:cs="仿宋"/>
          <w:b/>
          <w:color w:val="auto"/>
          <w:sz w:val="24"/>
          <w:highlight w:val="none"/>
        </w:rPr>
        <w:t>）。</w:t>
      </w:r>
    </w:p>
    <w:p w14:paraId="288F8FFD">
      <w:pPr>
        <w:pStyle w:val="4"/>
        <w:numPr>
          <w:ilvl w:val="0"/>
          <w:numId w:val="0"/>
        </w:numPr>
        <w:spacing w:line="336" w:lineRule="auto"/>
        <w:ind w:firstLine="480" w:firstLineChars="200"/>
        <w:rPr>
          <w:rFonts w:hint="eastAsia" w:ascii="黑体" w:hAnsi="黑体" w:eastAsia="黑体" w:cs="黑体"/>
          <w:b w:val="0"/>
          <w:bCs w:val="0"/>
          <w:color w:val="auto"/>
          <w:sz w:val="24"/>
          <w:szCs w:val="24"/>
          <w:highlight w:val="none"/>
        </w:rPr>
      </w:pPr>
      <w:bookmarkStart w:id="21" w:name="_Toc35393802"/>
      <w:bookmarkStart w:id="22" w:name="_Toc28359093"/>
      <w:bookmarkStart w:id="23" w:name="_Toc28359016"/>
      <w:bookmarkStart w:id="24" w:name="_Toc35393633"/>
      <w:r>
        <w:rPr>
          <w:rFonts w:hint="eastAsia" w:ascii="黑体" w:hAnsi="黑体" w:eastAsia="黑体" w:cs="黑体"/>
          <w:b w:val="0"/>
          <w:bCs w:val="0"/>
          <w:color w:val="auto"/>
          <w:sz w:val="24"/>
          <w:szCs w:val="24"/>
          <w:highlight w:val="none"/>
        </w:rPr>
        <w:t>五、响应文件开启</w:t>
      </w:r>
      <w:bookmarkEnd w:id="21"/>
      <w:bookmarkEnd w:id="22"/>
      <w:bookmarkEnd w:id="23"/>
      <w:bookmarkEnd w:id="24"/>
    </w:p>
    <w:p w14:paraId="05460D52">
      <w:pPr>
        <w:spacing w:line="336" w:lineRule="auto"/>
        <w:ind w:firstLine="480" w:firstLineChars="200"/>
        <w:rPr>
          <w:rFonts w:ascii="仿宋" w:hAnsi="仿宋" w:eastAsia="仿宋" w:cs="仿宋"/>
          <w:bCs/>
          <w:color w:val="auto"/>
          <w:sz w:val="24"/>
          <w:highlight w:val="none"/>
          <w:u w:val="single"/>
        </w:rPr>
      </w:pP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2025年04月14日09点</w:t>
      </w:r>
      <w:r>
        <w:rPr>
          <w:rFonts w:hint="eastAsia" w:ascii="仿宋" w:hAnsi="仿宋" w:eastAsia="仿宋" w:cs="仿宋"/>
          <w:color w:val="auto"/>
          <w:sz w:val="24"/>
          <w:highlight w:val="none"/>
          <w:u w:val="single"/>
          <w:lang w:val="en-US" w:eastAsia="zh-CN"/>
        </w:rPr>
        <w:t>0</w:t>
      </w:r>
      <w:r>
        <w:rPr>
          <w:rFonts w:hint="eastAsia" w:ascii="仿宋" w:hAnsi="仿宋" w:eastAsia="仿宋" w:cs="仿宋"/>
          <w:color w:val="auto"/>
          <w:sz w:val="24"/>
          <w:highlight w:val="none"/>
          <w:u w:val="single"/>
        </w:rPr>
        <w:t>0分00秒</w:t>
      </w:r>
      <w:r>
        <w:rPr>
          <w:rFonts w:hint="eastAsia" w:ascii="仿宋" w:hAnsi="仿宋" w:eastAsia="仿宋" w:cs="仿宋"/>
          <w:bCs/>
          <w:color w:val="auto"/>
          <w:sz w:val="24"/>
          <w:highlight w:val="none"/>
        </w:rPr>
        <w:t>（北京时间）</w:t>
      </w:r>
    </w:p>
    <w:p w14:paraId="11508A9F">
      <w:pPr>
        <w:spacing w:line="336" w:lineRule="auto"/>
        <w:ind w:firstLine="480" w:firstLineChars="200"/>
        <w:rPr>
          <w:rFonts w:ascii="仿宋" w:hAnsi="仿宋" w:eastAsia="仿宋" w:cs="仿宋"/>
          <w:bCs/>
          <w:color w:val="auto"/>
          <w:sz w:val="24"/>
          <w:highlight w:val="none"/>
          <w:u w:val="single"/>
        </w:rPr>
      </w:pPr>
      <w:r>
        <w:rPr>
          <w:rFonts w:hint="eastAsia" w:ascii="仿宋" w:hAnsi="仿宋" w:eastAsia="仿宋" w:cs="仿宋"/>
          <w:color w:val="auto"/>
          <w:sz w:val="24"/>
          <w:highlight w:val="none"/>
        </w:rPr>
        <w:t>地点（网址）：政采云平台（https://www.zcygov.cn/）。</w:t>
      </w:r>
    </w:p>
    <w:p w14:paraId="1B887195">
      <w:pPr>
        <w:pStyle w:val="4"/>
        <w:numPr>
          <w:ilvl w:val="0"/>
          <w:numId w:val="0"/>
        </w:numPr>
        <w:spacing w:line="336" w:lineRule="auto"/>
        <w:ind w:firstLine="480" w:firstLineChars="200"/>
        <w:rPr>
          <w:rFonts w:hint="eastAsia" w:ascii="黑体" w:hAnsi="黑体" w:eastAsia="黑体" w:cs="黑体"/>
          <w:b w:val="0"/>
          <w:bCs w:val="0"/>
          <w:color w:val="auto"/>
          <w:sz w:val="24"/>
          <w:szCs w:val="24"/>
          <w:highlight w:val="none"/>
        </w:rPr>
      </w:pPr>
      <w:bookmarkStart w:id="25" w:name="_Toc35393634"/>
      <w:bookmarkStart w:id="26" w:name="_Toc28359017"/>
      <w:bookmarkStart w:id="27" w:name="_Toc35393803"/>
      <w:bookmarkStart w:id="28" w:name="_Toc28359094"/>
      <w:r>
        <w:rPr>
          <w:rFonts w:hint="eastAsia" w:ascii="黑体" w:hAnsi="黑体" w:eastAsia="黑体" w:cs="黑体"/>
          <w:b w:val="0"/>
          <w:bCs w:val="0"/>
          <w:color w:val="auto"/>
          <w:sz w:val="24"/>
          <w:szCs w:val="24"/>
          <w:highlight w:val="none"/>
        </w:rPr>
        <w:t>六、公告期限</w:t>
      </w:r>
      <w:bookmarkEnd w:id="25"/>
      <w:bookmarkEnd w:id="26"/>
      <w:bookmarkEnd w:id="27"/>
      <w:bookmarkEnd w:id="28"/>
    </w:p>
    <w:p w14:paraId="4F2583C4">
      <w:pPr>
        <w:spacing w:line="336"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自本公告发布之日起3个工作日。</w:t>
      </w:r>
    </w:p>
    <w:p w14:paraId="52039714">
      <w:pPr>
        <w:pStyle w:val="4"/>
        <w:numPr>
          <w:ilvl w:val="0"/>
          <w:numId w:val="0"/>
        </w:numPr>
        <w:spacing w:line="336" w:lineRule="auto"/>
        <w:ind w:firstLine="480" w:firstLineChars="200"/>
        <w:rPr>
          <w:rFonts w:hint="eastAsia" w:ascii="黑体" w:hAnsi="黑体" w:eastAsia="黑体" w:cs="黑体"/>
          <w:b w:val="0"/>
          <w:bCs w:val="0"/>
          <w:color w:val="auto"/>
          <w:sz w:val="24"/>
          <w:szCs w:val="24"/>
          <w:highlight w:val="none"/>
        </w:rPr>
      </w:pPr>
      <w:bookmarkStart w:id="29" w:name="_Toc35393804"/>
      <w:bookmarkStart w:id="30" w:name="_Toc35393635"/>
      <w:r>
        <w:rPr>
          <w:rFonts w:hint="eastAsia" w:ascii="黑体" w:hAnsi="黑体" w:eastAsia="黑体" w:cs="黑体"/>
          <w:b w:val="0"/>
          <w:bCs w:val="0"/>
          <w:color w:val="auto"/>
          <w:sz w:val="24"/>
          <w:szCs w:val="24"/>
          <w:highlight w:val="none"/>
        </w:rPr>
        <w:t>七、其他补充事宜</w:t>
      </w:r>
      <w:bookmarkEnd w:id="29"/>
      <w:bookmarkEnd w:id="30"/>
    </w:p>
    <w:p w14:paraId="0BC3A0E2">
      <w:pPr>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1.《浙江省财政厅关于进一步发挥政府采购政策功能全力推动经济稳进提质的通知》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r>
        <w:rPr>
          <w:rFonts w:hint="eastAsia" w:ascii="仿宋" w:hAnsi="仿宋" w:eastAsia="仿宋" w:cs="仿宋"/>
          <w:color w:val="auto"/>
          <w:sz w:val="24"/>
          <w:highlight w:val="none"/>
          <w:lang w:eastAsia="zh-CN"/>
        </w:rPr>
        <w:t>。</w:t>
      </w:r>
    </w:p>
    <w:p w14:paraId="2292843A">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highlight w:val="none"/>
          <w:lang w:eastAsia="zh-CN"/>
        </w:rPr>
        <w:t>政务</w:t>
      </w:r>
      <w:r>
        <w:rPr>
          <w:rFonts w:hint="eastAsia" w:ascii="仿宋" w:hAnsi="仿宋" w:eastAsia="仿宋" w:cs="仿宋"/>
          <w:color w:val="auto"/>
          <w:sz w:val="24"/>
          <w:highlight w:val="none"/>
        </w:rPr>
        <w:t>服务网-政府采购投诉处理-在线办理。</w:t>
      </w:r>
    </w:p>
    <w:p w14:paraId="7D42EC99">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E4BD4B4">
      <w:pPr>
        <w:spacing w:line="336" w:lineRule="auto"/>
        <w:ind w:firstLine="482" w:firstLineChars="200"/>
        <w:rPr>
          <w:rFonts w:ascii="仿宋" w:hAnsi="仿宋" w:eastAsia="仿宋" w:cs="仿宋"/>
          <w:color w:val="auto"/>
          <w:sz w:val="24"/>
          <w:highlight w:val="none"/>
        </w:rPr>
      </w:pPr>
      <w:r>
        <w:rPr>
          <w:rFonts w:hint="eastAsia" w:ascii="仿宋" w:hAnsi="仿宋" w:eastAsia="仿宋" w:cs="仿宋"/>
          <w:b/>
          <w:color w:val="auto"/>
          <w:kern w:val="0"/>
          <w:sz w:val="24"/>
          <w:highlight w:val="none"/>
        </w:rPr>
        <w:t>4.其他事项：（1）需要落实的政府采购政策：</w:t>
      </w:r>
      <w:r>
        <w:rPr>
          <w:rFonts w:hint="eastAsia" w:ascii="仿宋" w:hAnsi="仿宋" w:eastAsia="仿宋" w:cs="仿宋"/>
          <w:color w:val="auto"/>
          <w:kern w:val="0"/>
          <w:sz w:val="24"/>
          <w:highlight w:val="none"/>
        </w:rPr>
        <w:t>包括节约资源、保护环境、</w:t>
      </w:r>
      <w:r>
        <w:rPr>
          <w:rFonts w:hint="eastAsia" w:ascii="仿宋" w:hAnsi="仿宋" w:eastAsia="仿宋" w:cs="仿宋"/>
          <w:color w:val="auto"/>
          <w:sz w:val="24"/>
          <w:highlight w:val="none"/>
        </w:rPr>
        <w:t>支持创新、</w:t>
      </w:r>
      <w:r>
        <w:rPr>
          <w:rFonts w:hint="eastAsia" w:ascii="仿宋" w:hAnsi="仿宋" w:eastAsia="仿宋" w:cs="仿宋"/>
          <w:color w:val="auto"/>
          <w:kern w:val="0"/>
          <w:sz w:val="24"/>
          <w:highlight w:val="none"/>
        </w:rPr>
        <w:t>促进中小企业发展等，详见磋商文件第三部分。</w:t>
      </w:r>
      <w:r>
        <w:rPr>
          <w:rFonts w:hint="eastAsia" w:ascii="仿宋" w:hAnsi="仿宋" w:eastAsia="仿宋" w:cs="仿宋"/>
          <w:b/>
          <w:color w:val="auto"/>
          <w:kern w:val="0"/>
          <w:sz w:val="24"/>
          <w:szCs w:val="20"/>
          <w:highlight w:val="none"/>
        </w:rPr>
        <w:t>（2）</w:t>
      </w:r>
      <w:r>
        <w:rPr>
          <w:rFonts w:hint="eastAsia" w:ascii="仿宋" w:hAnsi="仿宋" w:eastAsia="仿宋" w:cs="仿宋"/>
          <w:b/>
          <w:color w:val="auto"/>
          <w:sz w:val="24"/>
          <w:highlight w:val="none"/>
        </w:rPr>
        <w:t>电子交易的说明: 1）电子交易：</w:t>
      </w:r>
      <w:r>
        <w:rPr>
          <w:rFonts w:hint="eastAsia" w:ascii="仿宋" w:hAnsi="仿宋" w:eastAsia="仿宋" w:cs="仿宋"/>
          <w:color w:val="auto"/>
          <w:sz w:val="24"/>
          <w:highlight w:val="none"/>
        </w:rPr>
        <w:t>本项目以数据电文形式，依托“政府采购云平台（www.zcygov.cn）”进行采购活动，不接受纸质响应文件。</w:t>
      </w:r>
      <w:r>
        <w:rPr>
          <w:rFonts w:hint="eastAsia" w:ascii="仿宋" w:hAnsi="仿宋" w:eastAsia="仿宋" w:cs="仿宋"/>
          <w:b/>
          <w:color w:val="auto"/>
          <w:sz w:val="24"/>
          <w:highlight w:val="none"/>
        </w:rPr>
        <w:t>2）响应准备：</w:t>
      </w:r>
      <w:r>
        <w:rPr>
          <w:rFonts w:hint="eastAsia" w:ascii="仿宋" w:hAnsi="仿宋" w:eastAsia="仿宋" w:cs="仿宋"/>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color w:val="auto"/>
          <w:sz w:val="24"/>
          <w:highlight w:val="none"/>
        </w:rPr>
        <w:t>3）磋商文件的获取：</w:t>
      </w:r>
      <w:r>
        <w:rPr>
          <w:rFonts w:hint="eastAsia" w:ascii="仿宋" w:hAnsi="仿宋" w:eastAsia="仿宋" w:cs="仿宋"/>
          <w:color w:val="auto"/>
          <w:sz w:val="24"/>
          <w:highlight w:val="none"/>
        </w:rPr>
        <w:t>使用账号登录或者使用CA登录政采云平台；进入“项目采购”应用，在获取采购文件菜单中选择项目，获取磋商文件。</w:t>
      </w:r>
      <w:r>
        <w:rPr>
          <w:rFonts w:hint="eastAsia" w:ascii="仿宋" w:hAnsi="仿宋" w:eastAsia="仿宋" w:cs="仿宋"/>
          <w:b/>
          <w:color w:val="auto"/>
          <w:sz w:val="24"/>
          <w:highlight w:val="none"/>
        </w:rPr>
        <w:t>4）响应文件的制作：</w:t>
      </w:r>
      <w:r>
        <w:rPr>
          <w:rFonts w:hint="eastAsia" w:ascii="仿宋" w:hAnsi="仿宋" w:eastAsia="仿宋" w:cs="仿宋"/>
          <w:color w:val="auto"/>
          <w:sz w:val="24"/>
          <w:highlight w:val="none"/>
        </w:rPr>
        <w:t>在“政采云电子交易客户端”中完成“填写基本信息”、“导入响应文件”、“标书关联”、“标书检查”、“电子签名”、“生成电子标书”等操作。</w:t>
      </w:r>
      <w:r>
        <w:rPr>
          <w:rFonts w:hint="eastAsia" w:ascii="仿宋" w:hAnsi="仿宋" w:eastAsia="仿宋" w:cs="仿宋"/>
          <w:b/>
          <w:color w:val="auto"/>
          <w:sz w:val="24"/>
          <w:highlight w:val="none"/>
        </w:rPr>
        <w:t>5）</w:t>
      </w:r>
      <w:r>
        <w:rPr>
          <w:rFonts w:hint="eastAsia" w:ascii="仿宋" w:hAnsi="仿宋" w:eastAsia="仿宋" w:cs="仿宋"/>
          <w:color w:val="auto"/>
          <w:sz w:val="24"/>
          <w:highlight w:val="none"/>
        </w:rPr>
        <w:t>采购人、采购代理机构将依托政采云平台完成本项目的电子交易活动，平台不接受未按本公告约定方式获取磋商文件的供应商进行响应活动；</w:t>
      </w:r>
      <w:r>
        <w:rPr>
          <w:rFonts w:hint="eastAsia" w:ascii="仿宋" w:hAnsi="仿宋" w:eastAsia="仿宋" w:cs="仿宋"/>
          <w:b/>
          <w:color w:val="auto"/>
          <w:sz w:val="24"/>
          <w:highlight w:val="none"/>
        </w:rPr>
        <w:t>6）</w:t>
      </w:r>
      <w:r>
        <w:rPr>
          <w:rFonts w:hint="eastAsia" w:ascii="仿宋" w:hAnsi="仿宋" w:eastAsia="仿宋" w:cs="仿宋"/>
          <w:color w:val="auto"/>
          <w:sz w:val="24"/>
          <w:highlight w:val="none"/>
        </w:rPr>
        <w:t>对未按上述方式获取磋商文件的供应商对该文件提出的质疑，采购人或采购代理机构将不予处理</w:t>
      </w:r>
      <w:r>
        <w:rPr>
          <w:rFonts w:hint="eastAsia" w:ascii="仿宋" w:hAnsi="仿宋" w:eastAsia="仿宋" w:cs="仿宋"/>
          <w:b/>
          <w:color w:val="auto"/>
          <w:sz w:val="24"/>
          <w:highlight w:val="none"/>
        </w:rPr>
        <w:t>；7）</w:t>
      </w:r>
      <w:r>
        <w:rPr>
          <w:rFonts w:hint="eastAsia" w:ascii="仿宋" w:hAnsi="仿宋" w:eastAsia="仿宋" w:cs="仿宋"/>
          <w:color w:val="auto"/>
          <w:sz w:val="24"/>
          <w:highlight w:val="none"/>
        </w:rPr>
        <w:t>不提供磋商文件纸质版；</w:t>
      </w:r>
      <w:r>
        <w:rPr>
          <w:rFonts w:hint="eastAsia" w:ascii="仿宋" w:hAnsi="仿宋" w:eastAsia="仿宋" w:cs="仿宋"/>
          <w:b/>
          <w:color w:val="auto"/>
          <w:sz w:val="24"/>
          <w:highlight w:val="none"/>
        </w:rPr>
        <w:t>8）响应文件的传输提交：</w:t>
      </w:r>
      <w:r>
        <w:rPr>
          <w:rFonts w:hint="eastAsia" w:ascii="仿宋" w:hAnsi="仿宋" w:eastAsia="仿宋" w:cs="仿宋"/>
          <w:color w:val="auto"/>
          <w:sz w:val="24"/>
          <w:highlight w:val="none"/>
        </w:rPr>
        <w:t>供应商在提交响应文件的截止时间前将加密的响应文件上传至政府采购云平台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b/>
          <w:color w:val="auto"/>
          <w:sz w:val="24"/>
          <w:highlight w:val="none"/>
        </w:rPr>
        <w:t>9）响应文件的解密：</w:t>
      </w:r>
      <w:r>
        <w:rPr>
          <w:rFonts w:hint="eastAsia" w:ascii="仿宋" w:hAnsi="仿宋" w:eastAsia="仿宋" w:cs="仿宋"/>
          <w:color w:val="auto"/>
          <w:sz w:val="24"/>
          <w:highlight w:val="none"/>
        </w:rPr>
        <w:t>供应商按照平台提示和磋商文件的规定在半小时内完成在线解密。通过“政府采购云平台”上传递交的响应文件无法按时解密，视为投标文件撤回；10</w:t>
      </w:r>
      <w:r>
        <w:rPr>
          <w:rFonts w:hint="eastAsia" w:ascii="仿宋" w:hAnsi="仿宋" w:eastAsia="仿宋" w:cs="仿宋"/>
          <w:b/>
          <w:color w:val="auto"/>
          <w:sz w:val="24"/>
          <w:highlight w:val="none"/>
        </w:rPr>
        <w:t>）具体操作指南</w:t>
      </w:r>
      <w:r>
        <w:rPr>
          <w:rFonts w:hint="eastAsia" w:ascii="仿宋" w:hAnsi="仿宋" w:eastAsia="仿宋" w:cs="仿宋"/>
          <w:color w:val="auto"/>
          <w:sz w:val="24"/>
          <w:highlight w:val="none"/>
        </w:rPr>
        <w:t>：详见政采云平台“服务中心-帮助文档-项目采购-操作流程-电子招投标-政府采购项目电子交易管理操作指南-供应商”。</w:t>
      </w:r>
      <w:r>
        <w:rPr>
          <w:rFonts w:hint="eastAsia" w:ascii="仿宋" w:hAnsi="仿宋" w:eastAsia="仿宋" w:cs="仿宋"/>
          <w:color w:val="auto"/>
          <w:sz w:val="24"/>
          <w:highlight w:val="none"/>
          <w:u w:val="none"/>
        </w:rPr>
        <w:t>（3</w:t>
      </w:r>
      <w:r>
        <w:rPr>
          <w:rFonts w:hint="eastAsia" w:ascii="仿宋" w:hAnsi="仿宋" w:eastAsia="仿宋" w:cs="仿宋"/>
          <w:color w:val="auto"/>
          <w:sz w:val="24"/>
          <w:highlight w:val="none"/>
          <w:u w:val="none"/>
          <w:lang w:eastAsia="zh-CN"/>
        </w:rPr>
        <w:t>）</w:t>
      </w:r>
      <w:r>
        <w:rPr>
          <w:rFonts w:hint="eastAsia" w:ascii="仿宋" w:hAnsi="仿宋" w:eastAsia="仿宋" w:cs="仿宋"/>
          <w:color w:val="auto"/>
          <w:sz w:val="24"/>
          <w:highlight w:val="none"/>
        </w:rPr>
        <w:t>磋商文件公告期限与磋商公告的公告期限一致。</w:t>
      </w:r>
    </w:p>
    <w:p w14:paraId="4B132111">
      <w:pPr>
        <w:pStyle w:val="4"/>
        <w:numPr>
          <w:ilvl w:val="0"/>
          <w:numId w:val="0"/>
        </w:numPr>
        <w:spacing w:line="336" w:lineRule="auto"/>
        <w:ind w:firstLine="480" w:firstLineChars="200"/>
        <w:rPr>
          <w:rFonts w:hint="eastAsia" w:ascii="黑体" w:hAnsi="黑体" w:eastAsia="黑体" w:cs="黑体"/>
          <w:b w:val="0"/>
          <w:bCs w:val="0"/>
          <w:color w:val="auto"/>
          <w:sz w:val="24"/>
          <w:szCs w:val="24"/>
          <w:highlight w:val="none"/>
        </w:rPr>
      </w:pPr>
      <w:bookmarkStart w:id="31" w:name="_Toc35393636"/>
      <w:bookmarkStart w:id="32" w:name="_Toc28359018"/>
      <w:bookmarkStart w:id="33" w:name="_Toc28359095"/>
      <w:bookmarkStart w:id="34" w:name="_Toc35393805"/>
      <w:r>
        <w:rPr>
          <w:rFonts w:hint="eastAsia" w:ascii="黑体" w:hAnsi="黑体" w:eastAsia="黑体" w:cs="黑体"/>
          <w:b w:val="0"/>
          <w:bCs w:val="0"/>
          <w:color w:val="auto"/>
          <w:sz w:val="24"/>
          <w:szCs w:val="24"/>
          <w:highlight w:val="none"/>
        </w:rPr>
        <w:t>八、凡对本次采购提出询问、质疑、投诉，请按以下方式联系</w:t>
      </w:r>
      <w:bookmarkEnd w:id="31"/>
      <w:bookmarkEnd w:id="32"/>
      <w:bookmarkEnd w:id="33"/>
      <w:bookmarkEnd w:id="34"/>
    </w:p>
    <w:p w14:paraId="33CD5B96">
      <w:pPr>
        <w:pStyle w:val="4"/>
        <w:numPr>
          <w:ilvl w:val="0"/>
          <w:numId w:val="0"/>
        </w:numPr>
        <w:spacing w:line="336" w:lineRule="auto"/>
        <w:ind w:firstLine="482" w:firstLineChars="200"/>
        <w:rPr>
          <w:rFonts w:ascii="仿宋" w:eastAsia="仿宋" w:cs="仿宋"/>
          <w:color w:val="auto"/>
          <w:sz w:val="24"/>
          <w:szCs w:val="24"/>
          <w:highlight w:val="none"/>
        </w:rPr>
      </w:pPr>
      <w:bookmarkStart w:id="35" w:name="_Toc35393637"/>
      <w:bookmarkStart w:id="36" w:name="_Toc28359019"/>
      <w:bookmarkStart w:id="37" w:name="_Toc28359096"/>
      <w:bookmarkStart w:id="38" w:name="_Toc35393806"/>
      <w:r>
        <w:rPr>
          <w:rFonts w:hint="eastAsia" w:ascii="仿宋" w:eastAsia="仿宋" w:cs="仿宋"/>
          <w:color w:val="auto"/>
          <w:sz w:val="24"/>
          <w:szCs w:val="24"/>
          <w:highlight w:val="none"/>
        </w:rPr>
        <w:t>1.采购人信息</w:t>
      </w:r>
      <w:bookmarkEnd w:id="35"/>
      <w:bookmarkEnd w:id="36"/>
      <w:bookmarkEnd w:id="37"/>
      <w:bookmarkEnd w:id="38"/>
      <w:r>
        <w:rPr>
          <w:rFonts w:hint="eastAsia" w:ascii="仿宋" w:eastAsia="仿宋" w:cs="仿宋"/>
          <w:color w:val="auto"/>
          <w:sz w:val="24"/>
          <w:szCs w:val="24"/>
          <w:highlight w:val="none"/>
        </w:rPr>
        <w:t>：</w:t>
      </w:r>
    </w:p>
    <w:p w14:paraId="35A848A1">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名    称： </w:t>
      </w:r>
      <w:r>
        <w:rPr>
          <w:rFonts w:hint="eastAsia" w:ascii="仿宋" w:hAnsi="仿宋" w:eastAsia="仿宋" w:cs="仿宋"/>
          <w:color w:val="auto"/>
          <w:sz w:val="24"/>
          <w:highlight w:val="none"/>
          <w:lang w:eastAsia="zh-CN"/>
        </w:rPr>
        <w:t>绍兴市财政局</w:t>
      </w:r>
    </w:p>
    <w:p w14:paraId="1ECFCF92">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 绍兴市</w:t>
      </w:r>
      <w:r>
        <w:rPr>
          <w:rFonts w:hint="eastAsia" w:ascii="仿宋" w:hAnsi="仿宋" w:eastAsia="仿宋" w:cs="仿宋"/>
          <w:color w:val="auto"/>
          <w:sz w:val="24"/>
          <w:highlight w:val="none"/>
          <w:lang w:val="en-US" w:eastAsia="zh-CN"/>
        </w:rPr>
        <w:t>越城区</w:t>
      </w:r>
      <w:r>
        <w:rPr>
          <w:rFonts w:hint="eastAsia" w:ascii="仿宋" w:hAnsi="仿宋" w:eastAsia="仿宋" w:cs="仿宋"/>
          <w:color w:val="auto"/>
          <w:sz w:val="24"/>
          <w:highlight w:val="none"/>
        </w:rPr>
        <w:t>凤林西路151号</w:t>
      </w:r>
    </w:p>
    <w:p w14:paraId="3F2D2D43">
      <w:pPr>
        <w:spacing w:line="336"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 xml:space="preserve"> /</w:t>
      </w:r>
    </w:p>
    <w:p w14:paraId="110A116A">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项目联系人（询问）：吴滟</w:t>
      </w:r>
    </w:p>
    <w:p w14:paraId="56D3B076">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项目联系方式（询问）：0575-85209605</w:t>
      </w:r>
    </w:p>
    <w:p w14:paraId="7C089315">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质疑联系人：沈灿</w:t>
      </w:r>
    </w:p>
    <w:p w14:paraId="1188A4A0">
      <w:pPr>
        <w:spacing w:line="336"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质疑联系方式：0575-85209806</w:t>
      </w:r>
    </w:p>
    <w:p w14:paraId="6F712212">
      <w:pPr>
        <w:pStyle w:val="4"/>
        <w:numPr>
          <w:ilvl w:val="0"/>
          <w:numId w:val="0"/>
        </w:numPr>
        <w:spacing w:line="336" w:lineRule="auto"/>
        <w:ind w:firstLine="482" w:firstLineChars="200"/>
        <w:rPr>
          <w:rFonts w:ascii="仿宋" w:eastAsia="仿宋" w:cs="仿宋"/>
          <w:color w:val="auto"/>
          <w:sz w:val="24"/>
          <w:highlight w:val="none"/>
        </w:rPr>
      </w:pPr>
      <w:bookmarkStart w:id="39" w:name="_Toc28359020"/>
      <w:bookmarkStart w:id="40" w:name="_Toc35393807"/>
      <w:bookmarkStart w:id="41" w:name="_Toc35393638"/>
      <w:bookmarkStart w:id="42" w:name="_Toc28359097"/>
      <w:r>
        <w:rPr>
          <w:rFonts w:hint="eastAsia" w:ascii="仿宋" w:eastAsia="仿宋" w:cs="仿宋"/>
          <w:color w:val="auto"/>
          <w:sz w:val="24"/>
          <w:szCs w:val="24"/>
          <w:highlight w:val="none"/>
        </w:rPr>
        <w:t>2.采购代理机构信息</w:t>
      </w:r>
      <w:bookmarkEnd w:id="39"/>
      <w:bookmarkEnd w:id="40"/>
      <w:bookmarkEnd w:id="41"/>
      <w:bookmarkEnd w:id="42"/>
      <w:r>
        <w:rPr>
          <w:rFonts w:hint="eastAsia" w:ascii="仿宋" w:eastAsia="仿宋" w:cs="仿宋"/>
          <w:color w:val="auto"/>
          <w:sz w:val="24"/>
          <w:szCs w:val="24"/>
          <w:highlight w:val="none"/>
        </w:rPr>
        <w:t>：</w:t>
      </w:r>
    </w:p>
    <w:p w14:paraId="0527A54F">
      <w:pPr>
        <w:pStyle w:val="32"/>
        <w:spacing w:afterLines="0" w:line="440" w:lineRule="exact"/>
        <w:ind w:firstLine="480"/>
        <w:rPr>
          <w:rFonts w:hint="eastAsia" w:ascii="仿宋_GB2312" w:hAnsi="仿宋" w:eastAsia="仿宋_GB2312" w:cs="仿宋_GB2312"/>
          <w:color w:val="auto"/>
          <w:highlight w:val="none"/>
        </w:rPr>
      </w:pPr>
      <w:r>
        <w:rPr>
          <w:rFonts w:hint="eastAsia" w:ascii="仿宋" w:hAnsi="仿宋" w:eastAsia="仿宋" w:cs="仿宋"/>
          <w:color w:val="auto"/>
          <w:sz w:val="24"/>
          <w:highlight w:val="none"/>
        </w:rPr>
        <w:t>名    称：</w:t>
      </w:r>
      <w:r>
        <w:rPr>
          <w:rFonts w:hint="eastAsia" w:ascii="仿宋_GB2312" w:hAnsi="仿宋" w:eastAsia="仿宋_GB2312" w:cs="仿宋_GB2312"/>
          <w:color w:val="auto"/>
          <w:highlight w:val="none"/>
        </w:rPr>
        <w:t>绍兴虬实企业管理咨询有限公司       </w:t>
      </w:r>
    </w:p>
    <w:p w14:paraId="452EC35E">
      <w:pPr>
        <w:pStyle w:val="32"/>
        <w:spacing w:afterLines="0" w:line="440" w:lineRule="exact"/>
        <w:ind w:firstLine="480"/>
        <w:rPr>
          <w:rFonts w:hint="eastAsia" w:ascii="仿宋_GB2312" w:hAnsi="仿宋" w:eastAsia="仿宋_GB2312" w:cs="仿宋_GB2312"/>
          <w:color w:val="auto"/>
          <w:highlight w:val="none"/>
        </w:rPr>
      </w:pPr>
      <w:r>
        <w:rPr>
          <w:rFonts w:hint="eastAsia" w:ascii="仿宋" w:hAnsi="仿宋" w:eastAsia="仿宋" w:cs="仿宋"/>
          <w:color w:val="auto"/>
          <w:sz w:val="24"/>
          <w:highlight w:val="none"/>
        </w:rPr>
        <w:t>地    址：</w:t>
      </w:r>
      <w:r>
        <w:rPr>
          <w:rFonts w:hint="eastAsia" w:ascii="仿宋_GB2312" w:hAnsi="仿宋" w:eastAsia="仿宋_GB2312" w:cs="仿宋_GB2312"/>
          <w:color w:val="auto"/>
          <w:highlight w:val="none"/>
        </w:rPr>
        <w:t>绍兴市越城区迪荡街道龙湖大厦17楼SP1703室</w:t>
      </w:r>
    </w:p>
    <w:p w14:paraId="2DE4C665">
      <w:pPr>
        <w:pStyle w:val="32"/>
        <w:spacing w:afterLines="0" w:line="44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309981CC">
      <w:pPr>
        <w:spacing w:line="336"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项目联系人（询问）：</w:t>
      </w:r>
      <w:r>
        <w:rPr>
          <w:rFonts w:hint="eastAsia" w:ascii="仿宋" w:hAnsi="仿宋" w:eastAsia="仿宋" w:cs="仿宋"/>
          <w:color w:val="auto"/>
          <w:sz w:val="24"/>
          <w:highlight w:val="none"/>
          <w:lang w:val="en-US" w:eastAsia="zh-CN"/>
        </w:rPr>
        <w:t>楼佳妮</w:t>
      </w:r>
    </w:p>
    <w:p w14:paraId="3074A283">
      <w:pPr>
        <w:spacing w:line="336"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    项目联系方式（询问）：13588552432 </w:t>
      </w:r>
    </w:p>
    <w:p w14:paraId="39F26644">
      <w:pPr>
        <w:spacing w:line="336"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    质疑联系人：金琼洁</w:t>
      </w:r>
    </w:p>
    <w:p w14:paraId="3961568F">
      <w:pPr>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质疑联系方式：</w:t>
      </w:r>
      <w:bookmarkStart w:id="43" w:name="_Toc35393639"/>
      <w:bookmarkStart w:id="44" w:name="_Toc35393808"/>
      <w:bookmarkStart w:id="45" w:name="_Toc28359098"/>
      <w:bookmarkStart w:id="46" w:name="_Toc28359021"/>
      <w:r>
        <w:rPr>
          <w:rFonts w:hint="eastAsia" w:ascii="仿宋" w:hAnsi="仿宋" w:eastAsia="仿宋" w:cs="仿宋"/>
          <w:color w:val="auto"/>
          <w:sz w:val="24"/>
          <w:highlight w:val="none"/>
          <w:lang w:val="en-US" w:eastAsia="zh-CN"/>
        </w:rPr>
        <w:t>0575-85352613</w:t>
      </w:r>
    </w:p>
    <w:p w14:paraId="6F0CAC98">
      <w:pPr>
        <w:spacing w:line="336" w:lineRule="auto"/>
        <w:ind w:firstLine="480"/>
        <w:rPr>
          <w:rFonts w:ascii="仿宋" w:hAnsi="仿宋" w:eastAsia="仿宋" w:cs="仿宋"/>
          <w:b/>
          <w:color w:val="auto"/>
          <w:sz w:val="24"/>
          <w:highlight w:val="none"/>
        </w:rPr>
      </w:pPr>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 同级政府采购监督管理部门：            </w:t>
      </w:r>
    </w:p>
    <w:p w14:paraId="2BA47120">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bookmarkEnd w:id="43"/>
      <w:bookmarkEnd w:id="44"/>
      <w:bookmarkEnd w:id="45"/>
      <w:bookmarkEnd w:id="46"/>
      <w:r>
        <w:rPr>
          <w:rFonts w:hint="eastAsia" w:ascii="仿宋" w:hAnsi="仿宋" w:eastAsia="仿宋" w:cs="仿宋"/>
          <w:color w:val="auto"/>
          <w:sz w:val="24"/>
          <w:highlight w:val="none"/>
        </w:rPr>
        <w:t>名    称：绍兴市财政局</w:t>
      </w:r>
    </w:p>
    <w:p w14:paraId="66B80DE1">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址：绍兴市越城区凤林西路151号  </w:t>
      </w:r>
    </w:p>
    <w:p w14:paraId="700DDFD3">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传    真：</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 xml:space="preserve"> </w:t>
      </w:r>
    </w:p>
    <w:p w14:paraId="4FDCF2CF">
      <w:pPr>
        <w:spacing w:line="336"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联系人 ：</w:t>
      </w:r>
      <w:r>
        <w:rPr>
          <w:rFonts w:hint="eastAsia" w:ascii="仿宋" w:hAnsi="仿宋" w:eastAsia="仿宋" w:cs="仿宋"/>
          <w:color w:val="auto"/>
          <w:sz w:val="24"/>
          <w:highlight w:val="none"/>
          <w:lang w:val="en-US" w:eastAsia="zh-CN"/>
        </w:rPr>
        <w:t>张婷婷</w:t>
      </w:r>
    </w:p>
    <w:p w14:paraId="3F0D973A">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 0575-85209697 </w:t>
      </w:r>
    </w:p>
    <w:p w14:paraId="57D3E60F">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703CA01C">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4B4AAF39">
      <w:pPr>
        <w:pStyle w:val="12"/>
        <w:spacing w:line="336" w:lineRule="auto"/>
        <w:ind w:firstLine="480" w:firstLineChars="200"/>
        <w:jc w:val="right"/>
        <w:rPr>
          <w:rFonts w:ascii="仿宋" w:hAnsi="仿宋" w:eastAsia="仿宋" w:cs="仿宋"/>
          <w:color w:val="auto"/>
          <w:sz w:val="24"/>
          <w:szCs w:val="24"/>
          <w:highlight w:val="none"/>
        </w:rPr>
      </w:pPr>
    </w:p>
    <w:p w14:paraId="0C63DF15">
      <w:pPr>
        <w:pStyle w:val="12"/>
        <w:spacing w:line="336" w:lineRule="auto"/>
        <w:ind w:firstLine="480" w:firstLineChars="200"/>
        <w:rPr>
          <w:rFonts w:ascii="仿宋" w:hAnsi="仿宋" w:eastAsia="仿宋" w:cs="仿宋"/>
          <w:color w:val="auto"/>
          <w:sz w:val="24"/>
          <w:szCs w:val="24"/>
          <w:highlight w:val="none"/>
        </w:rPr>
      </w:pPr>
    </w:p>
    <w:p w14:paraId="118FACBF">
      <w:pPr>
        <w:adjustRightInd/>
        <w:spacing w:line="336"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7C759E49">
      <w:pPr>
        <w:adjustRightInd/>
        <w:spacing w:line="336"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6"/>
      <w:r>
        <w:rPr>
          <w:rFonts w:hint="eastAsia" w:ascii="仿宋" w:hAnsi="仿宋" w:eastAsia="仿宋" w:cs="仿宋"/>
          <w:b/>
          <w:color w:val="auto"/>
          <w:sz w:val="36"/>
          <w:szCs w:val="20"/>
          <w:highlight w:val="none"/>
        </w:rPr>
        <w:t xml:space="preserve">  供应商须知</w:t>
      </w:r>
      <w:bookmarkEnd w:id="7"/>
    </w:p>
    <w:p w14:paraId="3A209F21">
      <w:pPr>
        <w:adjustRightInd/>
        <w:spacing w:line="336"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前附表</w:t>
      </w:r>
    </w:p>
    <w:tbl>
      <w:tblPr>
        <w:tblStyle w:val="17"/>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55"/>
        <w:gridCol w:w="7516"/>
      </w:tblGrid>
      <w:tr w14:paraId="48C2D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69" w:type="dxa"/>
            <w:noWrap w:val="0"/>
            <w:vAlign w:val="center"/>
          </w:tcPr>
          <w:p w14:paraId="35166A69">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1" w:type="dxa"/>
            <w:gridSpan w:val="2"/>
            <w:noWrap w:val="0"/>
            <w:vAlign w:val="center"/>
          </w:tcPr>
          <w:p w14:paraId="0B99D782">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25A61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69" w:type="dxa"/>
            <w:noWrap w:val="0"/>
            <w:vAlign w:val="center"/>
          </w:tcPr>
          <w:p w14:paraId="2BF6D318">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1" w:type="dxa"/>
            <w:gridSpan w:val="2"/>
            <w:noWrap w:val="0"/>
            <w:vAlign w:val="center"/>
          </w:tcPr>
          <w:p w14:paraId="0FC898FD">
            <w:pPr>
              <w:snapToGrid w:val="0"/>
              <w:spacing w:line="336" w:lineRule="auto"/>
              <w:rPr>
                <w:rFonts w:ascii="仿宋" w:hAnsi="仿宋" w:eastAsia="仿宋" w:cs="仿宋"/>
                <w:color w:val="auto"/>
                <w:sz w:val="24"/>
                <w:highlight w:val="none"/>
              </w:rPr>
            </w:pPr>
            <w:r>
              <w:rPr>
                <w:rFonts w:hint="eastAsia" w:ascii="仿宋" w:hAnsi="仿宋" w:eastAsia="仿宋" w:cs="仿宋"/>
                <w:b/>
                <w:color w:val="auto"/>
                <w:sz w:val="24"/>
                <w:highlight w:val="none"/>
              </w:rPr>
              <w:t>磋商响应人应当提交的资格、资信证明文件</w:t>
            </w:r>
            <w:r>
              <w:rPr>
                <w:rFonts w:hint="eastAsia" w:ascii="仿宋" w:hAnsi="仿宋" w:eastAsia="仿宋" w:cs="仿宋"/>
                <w:color w:val="auto"/>
                <w:sz w:val="24"/>
                <w:highlight w:val="none"/>
              </w:rPr>
              <w:t>：</w:t>
            </w:r>
          </w:p>
          <w:p w14:paraId="050D64FD">
            <w:pPr>
              <w:spacing w:line="336" w:lineRule="auto"/>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法律和国务院行政法规规定或授权有关部门规定供应商或产品进入市场须先行取得相关认证或许可的，供应商须在磋商响应文件中提供相关的认证或许可证明材料。未经认证、许可，或者虽经认证、许可但相关资质证书已经失效的供应商，不能推荐、确认为成交供应商。</w:t>
            </w:r>
          </w:p>
        </w:tc>
      </w:tr>
      <w:tr w14:paraId="14697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69" w:type="dxa"/>
            <w:noWrap w:val="0"/>
            <w:vAlign w:val="center"/>
          </w:tcPr>
          <w:p w14:paraId="33DA06D7">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1" w:type="dxa"/>
            <w:gridSpan w:val="2"/>
            <w:noWrap w:val="0"/>
            <w:vAlign w:val="center"/>
          </w:tcPr>
          <w:p w14:paraId="246463E3">
            <w:pPr>
              <w:snapToGrid w:val="0"/>
              <w:spacing w:line="336" w:lineRule="auto"/>
              <w:rPr>
                <w:rFonts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14:paraId="35A785BA">
            <w:pPr>
              <w:snapToGrid w:val="0"/>
              <w:spacing w:line="336" w:lineRule="auto"/>
              <w:rPr>
                <w:rFonts w:ascii="仿宋" w:hAnsi="仿宋" w:eastAsia="仿宋" w:cs="仿宋"/>
                <w:b/>
                <w:color w:val="auto"/>
                <w:sz w:val="24"/>
                <w:highlight w:val="none"/>
              </w:rPr>
            </w:pPr>
            <w:r>
              <w:rPr>
                <w:rFonts w:hint="eastAsia" w:ascii="仿宋" w:hAnsi="仿宋" w:eastAsia="仿宋" w:cs="仿宋"/>
                <w:b/>
                <w:color w:val="auto"/>
                <w:sz w:val="24"/>
                <w:highlight w:val="none"/>
              </w:rPr>
              <w:t>1.资格后审。</w:t>
            </w:r>
          </w:p>
          <w:p w14:paraId="5F9CE372">
            <w:pPr>
              <w:snapToGrid w:val="0"/>
              <w:spacing w:line="336" w:lineRule="auto"/>
              <w:rPr>
                <w:rFonts w:ascii="仿宋" w:hAnsi="仿宋" w:eastAsia="仿宋" w:cs="仿宋"/>
                <w:b/>
                <w:color w:val="auto"/>
                <w:sz w:val="24"/>
                <w:highlight w:val="none"/>
              </w:rPr>
            </w:pPr>
            <w:r>
              <w:rPr>
                <w:rFonts w:hint="eastAsia" w:ascii="仿宋" w:hAnsi="仿宋" w:eastAsia="仿宋" w:cs="仿宋"/>
                <w:b/>
                <w:color w:val="auto"/>
                <w:sz w:val="24"/>
                <w:highlight w:val="none"/>
              </w:rPr>
              <w:t>2.法定代表人的被授权委托人必须是供应商单位职工。需在</w:t>
            </w:r>
            <w:r>
              <w:rPr>
                <w:rFonts w:hint="eastAsia" w:ascii="仿宋" w:hAnsi="仿宋" w:eastAsia="仿宋" w:cs="仿宋"/>
                <w:b/>
                <w:color w:val="auto"/>
                <w:sz w:val="24"/>
                <w:highlight w:val="none"/>
                <w:lang w:eastAsia="zh-CN"/>
              </w:rPr>
              <w:t>磋商</w:t>
            </w:r>
            <w:r>
              <w:rPr>
                <w:rFonts w:hint="eastAsia" w:ascii="仿宋" w:hAnsi="仿宋" w:eastAsia="仿宋" w:cs="仿宋"/>
                <w:b/>
                <w:color w:val="auto"/>
                <w:sz w:val="24"/>
                <w:highlight w:val="none"/>
              </w:rPr>
              <w:t>响应文件技术部分内提供由社保机构出具的该授权代表的社保证明（1.如该授权代表为离退休返聘人员的，</w:t>
            </w:r>
            <w:r>
              <w:rPr>
                <w:rFonts w:hint="eastAsia" w:ascii="仿宋" w:hAnsi="仿宋" w:eastAsia="仿宋" w:cs="仿宋"/>
                <w:b/>
                <w:color w:val="auto"/>
                <w:sz w:val="24"/>
                <w:highlight w:val="none"/>
                <w:lang w:eastAsia="zh-CN"/>
              </w:rPr>
              <w:t>磋商</w:t>
            </w:r>
            <w:r>
              <w:rPr>
                <w:rFonts w:hint="eastAsia" w:ascii="仿宋" w:hAnsi="仿宋" w:eastAsia="仿宋" w:cs="仿宋"/>
                <w:b/>
                <w:color w:val="auto"/>
                <w:sz w:val="24"/>
                <w:highlight w:val="none"/>
              </w:rPr>
              <w:t>响应文件技术部分内需提供退休证明及单位聘用证明;2.如由第三方代理社保事项的，则需提供加盖</w:t>
            </w:r>
            <w:r>
              <w:rPr>
                <w:rFonts w:hint="eastAsia" w:ascii="仿宋" w:hAnsi="仿宋" w:eastAsia="仿宋" w:cs="仿宋"/>
                <w:b/>
                <w:color w:val="auto"/>
                <w:sz w:val="24"/>
                <w:highlight w:val="none"/>
                <w:lang w:eastAsia="zh-CN"/>
              </w:rPr>
              <w:t>供应商</w:t>
            </w:r>
            <w:r>
              <w:rPr>
                <w:rFonts w:hint="eastAsia" w:ascii="仿宋" w:hAnsi="仿宋" w:eastAsia="仿宋" w:cs="仿宋"/>
                <w:b/>
                <w:color w:val="auto"/>
                <w:sz w:val="24"/>
                <w:highlight w:val="none"/>
              </w:rPr>
              <w:t>公章的委托代理协议复印件）。</w:t>
            </w:r>
          </w:p>
        </w:tc>
      </w:tr>
      <w:tr w14:paraId="5DEAA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69" w:type="dxa"/>
            <w:noWrap w:val="0"/>
            <w:vAlign w:val="center"/>
          </w:tcPr>
          <w:p w14:paraId="0C7E4D1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1" w:type="dxa"/>
            <w:gridSpan w:val="2"/>
            <w:noWrap w:val="0"/>
            <w:vAlign w:val="center"/>
          </w:tcPr>
          <w:p w14:paraId="1AF5C9DC">
            <w:pPr>
              <w:autoSpaceDE w:val="0"/>
              <w:autoSpaceDN w:val="0"/>
              <w:spacing w:line="336" w:lineRule="auto"/>
              <w:textAlignment w:val="bottom"/>
              <w:rPr>
                <w:rFonts w:ascii="仿宋" w:hAnsi="仿宋" w:eastAsia="仿宋" w:cs="仿宋"/>
                <w:color w:val="auto"/>
                <w:sz w:val="24"/>
                <w:highlight w:val="none"/>
              </w:rPr>
            </w:pPr>
            <w:r>
              <w:rPr>
                <w:rFonts w:hint="eastAsia" w:ascii="仿宋" w:hAnsi="仿宋" w:eastAsia="仿宋" w:cs="仿宋"/>
                <w:b/>
                <w:color w:val="auto"/>
                <w:sz w:val="24"/>
                <w:highlight w:val="none"/>
              </w:rPr>
              <w:t>磋商有效期：</w:t>
            </w:r>
            <w:r>
              <w:rPr>
                <w:rFonts w:hint="eastAsia" w:ascii="仿宋" w:hAnsi="仿宋" w:eastAsia="仿宋" w:cs="仿宋"/>
                <w:color w:val="auto"/>
                <w:sz w:val="24"/>
                <w:highlight w:val="none"/>
              </w:rPr>
              <w:t>有效期为从提交磋商响应文件的截止之日起90天。</w:t>
            </w:r>
            <w:r>
              <w:rPr>
                <w:rFonts w:hint="eastAsia" w:ascii="仿宋" w:hAnsi="仿宋" w:eastAsia="仿宋" w:cs="仿宋"/>
                <w:b/>
                <w:color w:val="auto"/>
                <w:sz w:val="24"/>
                <w:highlight w:val="none"/>
              </w:rPr>
              <w:t>磋商响应人的磋商文件中承</w:t>
            </w:r>
            <w:r>
              <w:rPr>
                <w:rFonts w:hint="eastAsia" w:ascii="仿宋" w:hAnsi="仿宋" w:eastAsia="仿宋" w:cs="仿宋"/>
                <w:b/>
                <w:color w:val="auto"/>
                <w:sz w:val="24"/>
                <w:szCs w:val="21"/>
                <w:highlight w:val="none"/>
              </w:rPr>
              <w:t>诺的磋商有效期少于磋商文件中载明的磋商有效期的，磋商无效。</w:t>
            </w:r>
          </w:p>
        </w:tc>
      </w:tr>
      <w:tr w14:paraId="78220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869" w:type="dxa"/>
            <w:noWrap w:val="0"/>
            <w:vAlign w:val="center"/>
          </w:tcPr>
          <w:p w14:paraId="71356BBD">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1" w:type="dxa"/>
            <w:gridSpan w:val="2"/>
            <w:noWrap w:val="0"/>
            <w:vAlign w:val="center"/>
          </w:tcPr>
          <w:p w14:paraId="6347D1ED">
            <w:pPr>
              <w:spacing w:line="336" w:lineRule="auto"/>
              <w:rPr>
                <w:rFonts w:ascii="仿宋" w:hAnsi="仿宋" w:eastAsia="仿宋" w:cs="仿宋"/>
                <w:color w:val="auto"/>
                <w:sz w:val="24"/>
                <w:highlight w:val="none"/>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14:paraId="3FE31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869" w:type="dxa"/>
            <w:noWrap w:val="0"/>
            <w:vAlign w:val="center"/>
          </w:tcPr>
          <w:p w14:paraId="2E3E6C39">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1" w:type="dxa"/>
            <w:gridSpan w:val="2"/>
            <w:noWrap w:val="0"/>
            <w:vAlign w:val="center"/>
          </w:tcPr>
          <w:p w14:paraId="37616E1A">
            <w:pPr>
              <w:spacing w:line="336" w:lineRule="auto"/>
              <w:rPr>
                <w:rFonts w:ascii="仿宋" w:hAnsi="仿宋" w:eastAsia="仿宋" w:cs="仿宋"/>
                <w:color w:val="auto"/>
                <w:sz w:val="24"/>
                <w:highlight w:val="none"/>
              </w:rPr>
            </w:pPr>
            <w:r>
              <w:rPr>
                <w:rFonts w:hint="eastAsia" w:ascii="仿宋" w:hAnsi="仿宋" w:eastAsia="仿宋" w:cs="仿宋"/>
                <w:b/>
                <w:color w:val="auto"/>
                <w:sz w:val="24"/>
                <w:highlight w:val="none"/>
              </w:rPr>
              <w:t>分包：</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6A1BC2DD">
            <w:pPr>
              <w:spacing w:line="336" w:lineRule="auto"/>
              <w:ind w:firstLine="720" w:firstLineChars="300"/>
              <w:rPr>
                <w:rFonts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tc>
      </w:tr>
      <w:tr w14:paraId="607F7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69" w:type="dxa"/>
            <w:noWrap w:val="0"/>
            <w:vAlign w:val="center"/>
          </w:tcPr>
          <w:p w14:paraId="4C0DA7F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1" w:type="dxa"/>
            <w:gridSpan w:val="2"/>
            <w:noWrap w:val="0"/>
            <w:vAlign w:val="center"/>
          </w:tcPr>
          <w:p w14:paraId="5B8DAE04">
            <w:pPr>
              <w:spacing w:line="336" w:lineRule="auto"/>
              <w:rPr>
                <w:rFonts w:ascii="仿宋" w:hAnsi="仿宋" w:eastAsia="仿宋" w:cs="仿宋"/>
                <w:color w:val="auto"/>
                <w:sz w:val="24"/>
                <w:highlight w:val="none"/>
              </w:rPr>
            </w:pPr>
            <w:r>
              <w:rPr>
                <w:rFonts w:hint="eastAsia" w:ascii="仿宋" w:hAnsi="仿宋" w:eastAsia="仿宋" w:cs="仿宋"/>
                <w:b/>
                <w:color w:val="auto"/>
                <w:sz w:val="24"/>
                <w:highlight w:val="none"/>
              </w:rPr>
              <w:t>磋商响应文件份数：</w:t>
            </w:r>
            <w:r>
              <w:rPr>
                <w:rFonts w:hint="eastAsia" w:ascii="仿宋" w:hAnsi="仿宋" w:eastAsia="仿宋" w:cs="仿宋"/>
                <w:color w:val="auto"/>
                <w:sz w:val="24"/>
                <w:highlight w:val="none"/>
              </w:rPr>
              <w:t>本项目实行网上磋商，供应商于“政采云”上提供电子磋商响应文件。</w:t>
            </w:r>
          </w:p>
        </w:tc>
      </w:tr>
      <w:tr w14:paraId="63588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noWrap w:val="0"/>
            <w:vAlign w:val="center"/>
          </w:tcPr>
          <w:p w14:paraId="1F69AEE8">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1" w:type="dxa"/>
            <w:gridSpan w:val="2"/>
            <w:noWrap w:val="0"/>
            <w:vAlign w:val="center"/>
          </w:tcPr>
          <w:p w14:paraId="5DD38BFC">
            <w:pPr>
              <w:autoSpaceDE w:val="0"/>
              <w:autoSpaceDN w:val="0"/>
              <w:spacing w:line="336" w:lineRule="auto"/>
              <w:textAlignment w:val="bottom"/>
              <w:rPr>
                <w:rFonts w:ascii="仿宋" w:hAnsi="仿宋" w:eastAsia="仿宋" w:cs="仿宋"/>
                <w:b/>
                <w:color w:val="auto"/>
                <w:sz w:val="24"/>
                <w:highlight w:val="none"/>
              </w:rPr>
            </w:pPr>
            <w:r>
              <w:rPr>
                <w:rFonts w:hint="eastAsia" w:ascii="仿宋" w:hAnsi="仿宋" w:eastAsia="仿宋" w:cs="仿宋"/>
                <w:b/>
                <w:color w:val="auto"/>
                <w:kern w:val="0"/>
                <w:sz w:val="24"/>
                <w:highlight w:val="none"/>
                <w:lang w:val="zh-CN"/>
              </w:rPr>
              <w:t>磋商次序：</w:t>
            </w:r>
            <w:r>
              <w:rPr>
                <w:rFonts w:hint="eastAsia" w:ascii="仿宋" w:hAnsi="仿宋" w:eastAsia="仿宋" w:cs="仿宋"/>
                <w:color w:val="auto"/>
                <w:kern w:val="0"/>
                <w:sz w:val="24"/>
                <w:highlight w:val="none"/>
                <w:lang w:val="zh-CN"/>
              </w:rPr>
              <w:t>以政采云平台中</w:t>
            </w:r>
            <w:r>
              <w:rPr>
                <w:rFonts w:hint="eastAsia" w:ascii="仿宋" w:hAnsi="仿宋" w:eastAsia="仿宋" w:cs="仿宋"/>
                <w:bCs/>
                <w:color w:val="auto"/>
                <w:sz w:val="24"/>
                <w:highlight w:val="none"/>
              </w:rPr>
              <w:t>响应</w:t>
            </w:r>
            <w:r>
              <w:rPr>
                <w:rFonts w:hint="eastAsia" w:ascii="仿宋" w:hAnsi="仿宋" w:eastAsia="仿宋" w:cs="仿宋"/>
                <w:color w:val="auto"/>
                <w:kern w:val="0"/>
                <w:sz w:val="24"/>
                <w:highlight w:val="none"/>
                <w:lang w:val="zh-CN"/>
              </w:rPr>
              <w:t>文件解密时间的先后顺序为准。</w:t>
            </w:r>
          </w:p>
        </w:tc>
      </w:tr>
      <w:tr w14:paraId="1DA5B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noWrap w:val="0"/>
            <w:vAlign w:val="center"/>
          </w:tcPr>
          <w:p w14:paraId="11DAAE7B">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1" w:type="dxa"/>
            <w:gridSpan w:val="2"/>
            <w:noWrap w:val="0"/>
            <w:vAlign w:val="center"/>
          </w:tcPr>
          <w:p w14:paraId="47ABA2F8">
            <w:pPr>
              <w:autoSpaceDE w:val="0"/>
              <w:autoSpaceDN w:val="0"/>
              <w:spacing w:line="336" w:lineRule="auto"/>
              <w:textAlignment w:val="bottom"/>
              <w:rPr>
                <w:rFonts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p w14:paraId="4A422376">
            <w:pPr>
              <w:spacing w:line="336" w:lineRule="auto"/>
              <w:rPr>
                <w:rFonts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不组织。</w:t>
            </w:r>
          </w:p>
          <w:p w14:paraId="04682DAB">
            <w:pPr>
              <w:autoSpaceDE w:val="0"/>
              <w:autoSpaceDN w:val="0"/>
              <w:spacing w:line="336" w:lineRule="auto"/>
              <w:textAlignment w:val="bottom"/>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7808C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69" w:type="dxa"/>
            <w:noWrap w:val="0"/>
            <w:vAlign w:val="center"/>
          </w:tcPr>
          <w:p w14:paraId="699F7C0B">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9</w:t>
            </w:r>
          </w:p>
        </w:tc>
        <w:tc>
          <w:tcPr>
            <w:tcW w:w="8371" w:type="dxa"/>
            <w:gridSpan w:val="2"/>
            <w:noWrap w:val="0"/>
            <w:vAlign w:val="center"/>
          </w:tcPr>
          <w:p w14:paraId="394693BA">
            <w:pPr>
              <w:spacing w:line="336"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50ED8FCE">
            <w:pPr>
              <w:spacing w:line="336" w:lineRule="auto"/>
              <w:rPr>
                <w:rFonts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不要求提供。</w:t>
            </w:r>
          </w:p>
          <w:p w14:paraId="4A20F983">
            <w:pPr>
              <w:spacing w:line="336"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□B要求提供，</w:t>
            </w:r>
          </w:p>
          <w:p w14:paraId="43AD722F">
            <w:pPr>
              <w:spacing w:line="336"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7CC75EF9">
            <w:pPr>
              <w:spacing w:line="336"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12B9A404">
            <w:pPr>
              <w:spacing w:line="336"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7E9A27A8">
            <w:pPr>
              <w:spacing w:line="336"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12711360">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。请供应商在上述时间内提供样品并按规定位置安装完毕。超过截止时间的，采购人或采购代理机构将不予接收，并将清场并封闭样品现场。</w:t>
            </w:r>
          </w:p>
          <w:p w14:paraId="3D3ED320">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14:paraId="3DF85915">
            <w:pPr>
              <w:autoSpaceDE w:val="0"/>
              <w:autoSpaceDN w:val="0"/>
              <w:spacing w:line="336"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（7）制作、运输、安装和保管样品所发生的一切费用由供应商自理。</w:t>
            </w:r>
          </w:p>
          <w:p w14:paraId="42B13A86">
            <w:pPr>
              <w:pStyle w:val="2"/>
              <w:rPr>
                <w:rFonts w:hint="eastAsia" w:eastAsia="仿宋"/>
                <w:color w:val="auto"/>
                <w:highlight w:val="none"/>
                <w:lang w:eastAsia="zh-CN"/>
              </w:rPr>
            </w:pP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lang w:eastAsia="zh-CN"/>
              </w:rPr>
              <w:t>）未按招标文件要求提供样品或提供样品不满足采购需求实质性条件的，投标无效；</w:t>
            </w:r>
          </w:p>
        </w:tc>
      </w:tr>
      <w:tr w14:paraId="4452B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69" w:type="dxa"/>
            <w:noWrap w:val="0"/>
            <w:vAlign w:val="center"/>
          </w:tcPr>
          <w:p w14:paraId="4207FDD3">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10</w:t>
            </w:r>
          </w:p>
        </w:tc>
        <w:tc>
          <w:tcPr>
            <w:tcW w:w="8371" w:type="dxa"/>
            <w:gridSpan w:val="2"/>
            <w:noWrap w:val="0"/>
            <w:vAlign w:val="center"/>
          </w:tcPr>
          <w:p w14:paraId="736A6E1E">
            <w:pPr>
              <w:spacing w:beforeLines="0" w:afterLines="0" w:line="44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方案讲解演示：</w:t>
            </w:r>
          </w:p>
          <w:p w14:paraId="76AA3E80">
            <w:pPr>
              <w:spacing w:beforeLines="0" w:afterLines="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A无方案讲解演示。</w:t>
            </w:r>
          </w:p>
          <w:p w14:paraId="72439C23">
            <w:pPr>
              <w:spacing w:beforeLines="0" w:afterLines="0" w:line="440" w:lineRule="exac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□B有方案讲解演示：</w:t>
            </w:r>
          </w:p>
          <w:p w14:paraId="41F832C2">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20</w:t>
            </w:r>
            <w:r>
              <w:rPr>
                <w:rFonts w:hint="eastAsia" w:ascii="仿宋" w:hAnsi="仿宋" w:eastAsia="仿宋" w:cs="仿宋"/>
                <w:color w:val="auto"/>
                <w:sz w:val="24"/>
                <w:szCs w:val="24"/>
                <w:highlight w:val="none"/>
                <w:lang w:val="zh-CN"/>
              </w:rPr>
              <w:t>分钟，讲解次序以磋商响应文件解密时间先后次序为准。讲解演示结束后按要求解答评标委员会提问。</w:t>
            </w:r>
          </w:p>
          <w:p w14:paraId="1CC0A9C4">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50266FD8">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652D75EB">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3</w:t>
            </w:r>
            <w:r>
              <w:rPr>
                <w:rFonts w:hint="eastAsia" w:ascii="仿宋" w:hAnsi="仿宋" w:eastAsia="仿宋" w:cs="仿宋"/>
                <w:color w:val="auto"/>
                <w:kern w:val="0"/>
                <w:sz w:val="24"/>
                <w:highlight w:val="none"/>
                <w:lang w:val="zh-CN"/>
              </w:rPr>
              <w:t>人。</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16552C3D">
            <w:pPr>
              <w:spacing w:line="336" w:lineRule="auto"/>
              <w:rPr>
                <w:rFonts w:ascii="仿宋" w:hAnsi="仿宋" w:eastAsia="仿宋" w:cs="仿宋"/>
                <w:color w:val="auto"/>
                <w:sz w:val="24"/>
                <w:highlight w:val="none"/>
              </w:rPr>
            </w:pPr>
            <w:r>
              <w:rPr>
                <w:rFonts w:hint="eastAsia" w:ascii="仿宋" w:hAnsi="仿宋" w:eastAsia="仿宋" w:cs="仿宋"/>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7C484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noWrap w:val="0"/>
            <w:vAlign w:val="center"/>
          </w:tcPr>
          <w:p w14:paraId="63BE262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11</w:t>
            </w:r>
          </w:p>
        </w:tc>
        <w:tc>
          <w:tcPr>
            <w:tcW w:w="855" w:type="dxa"/>
            <w:noWrap w:val="0"/>
            <w:vAlign w:val="center"/>
          </w:tcPr>
          <w:p w14:paraId="5309D5B8">
            <w:pPr>
              <w:snapToGrid w:val="0"/>
              <w:spacing w:line="336"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进口产品</w:t>
            </w:r>
          </w:p>
        </w:tc>
        <w:tc>
          <w:tcPr>
            <w:tcW w:w="7516" w:type="dxa"/>
            <w:noWrap w:val="0"/>
            <w:vAlign w:val="center"/>
          </w:tcPr>
          <w:p w14:paraId="45777D20">
            <w:pPr>
              <w:spacing w:line="336"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本项目不允许采购进口产品。</w:t>
            </w:r>
          </w:p>
          <w:p w14:paraId="795B71EE">
            <w:pPr>
              <w:snapToGrid w:val="0"/>
              <w:spacing w:line="336" w:lineRule="auto"/>
              <w:rPr>
                <w:rFonts w:ascii="仿宋" w:hAnsi="仿宋" w:eastAsia="仿宋" w:cs="仿宋"/>
                <w:b/>
                <w:color w:val="auto"/>
                <w:sz w:val="24"/>
                <w:highlight w:val="none"/>
              </w:rPr>
            </w:pP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79D6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noWrap w:val="0"/>
            <w:vAlign w:val="center"/>
          </w:tcPr>
          <w:p w14:paraId="59053D3B">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12</w:t>
            </w:r>
          </w:p>
        </w:tc>
        <w:tc>
          <w:tcPr>
            <w:tcW w:w="855" w:type="dxa"/>
            <w:noWrap w:val="0"/>
            <w:vAlign w:val="center"/>
          </w:tcPr>
          <w:p w14:paraId="64511605">
            <w:pPr>
              <w:snapToGrid w:val="0"/>
              <w:spacing w:line="336" w:lineRule="auto"/>
              <w:ind w:left="14" w:hanging="14" w:hangingChars="7"/>
              <w:rPr>
                <w:rFonts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7516" w:type="dxa"/>
            <w:noWrap w:val="0"/>
            <w:vAlign w:val="center"/>
          </w:tcPr>
          <w:p w14:paraId="3B440C37">
            <w:pPr>
              <w:spacing w:line="336" w:lineRule="auto"/>
              <w:rPr>
                <w:rFonts w:ascii="仿宋" w:hAnsi="仿宋" w:eastAsia="仿宋" w:cs="仿宋"/>
                <w:color w:val="auto"/>
                <w:sz w:val="24"/>
                <w:highlight w:val="none"/>
              </w:rPr>
            </w:pP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488778F4">
            <w:pPr>
              <w:snapToGrid w:val="0"/>
              <w:spacing w:line="336" w:lineRule="auto"/>
              <w:rPr>
                <w:rFonts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4B473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noWrap w:val="0"/>
            <w:vAlign w:val="center"/>
          </w:tcPr>
          <w:p w14:paraId="5B9E46D3">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13</w:t>
            </w:r>
          </w:p>
        </w:tc>
        <w:tc>
          <w:tcPr>
            <w:tcW w:w="855" w:type="dxa"/>
            <w:noWrap w:val="0"/>
            <w:vAlign w:val="center"/>
          </w:tcPr>
          <w:p w14:paraId="5AA0BC48">
            <w:pPr>
              <w:snapToGrid w:val="0"/>
              <w:spacing w:line="336" w:lineRule="auto"/>
              <w:ind w:hanging="1"/>
              <w:jc w:val="center"/>
              <w:rPr>
                <w:rFonts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7516" w:type="dxa"/>
            <w:noWrap w:val="0"/>
            <w:vAlign w:val="center"/>
          </w:tcPr>
          <w:p w14:paraId="36A95558">
            <w:pPr>
              <w:snapToGrid w:val="0"/>
              <w:spacing w:line="336" w:lineRule="auto"/>
              <w:rPr>
                <w:rFonts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01标</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 xml:space="preserve">  </w:t>
            </w:r>
            <w:r>
              <w:rPr>
                <w:rFonts w:hint="eastAsia" w:ascii="仿宋_GB2312" w:hAnsi="宋体" w:eastAsia="仿宋_GB2312" w:cs="宋体"/>
                <w:color w:val="auto"/>
                <w:kern w:val="0"/>
                <w:sz w:val="24"/>
                <w:highlight w:val="none"/>
                <w:u w:val="single"/>
              </w:rPr>
              <w:t>租赁和商务服务</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行业；</w:t>
            </w:r>
          </w:p>
        </w:tc>
      </w:tr>
      <w:tr w14:paraId="433B1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69" w:type="dxa"/>
            <w:vMerge w:val="restart"/>
            <w:noWrap w:val="0"/>
            <w:vAlign w:val="center"/>
          </w:tcPr>
          <w:p w14:paraId="18356D63">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14</w:t>
            </w:r>
          </w:p>
        </w:tc>
        <w:tc>
          <w:tcPr>
            <w:tcW w:w="855" w:type="dxa"/>
            <w:vMerge w:val="restart"/>
            <w:noWrap w:val="0"/>
            <w:vAlign w:val="center"/>
          </w:tcPr>
          <w:p w14:paraId="265710C8">
            <w:pPr>
              <w:snapToGrid w:val="0"/>
              <w:spacing w:line="336"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供应商信用信息事项</w:t>
            </w:r>
          </w:p>
        </w:tc>
        <w:tc>
          <w:tcPr>
            <w:tcW w:w="7516" w:type="dxa"/>
            <w:noWrap w:val="0"/>
            <w:vAlign w:val="center"/>
          </w:tcPr>
          <w:p w14:paraId="164C24C7">
            <w:pPr>
              <w:snapToGrid w:val="0"/>
              <w:spacing w:line="336"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采购人或采购人委托的磋商小组或采购代理机构将通过“信用中国”网站(www.creditchina.gov.cn)、中国政府采购网(www.ccgp.gov.cn)渠道查询</w:t>
            </w:r>
            <w:r>
              <w:rPr>
                <w:rFonts w:hint="eastAsia" w:ascii="仿宋" w:hAnsi="仿宋" w:eastAsia="仿宋" w:cs="仿宋"/>
                <w:b/>
                <w:color w:val="auto"/>
                <w:sz w:val="24"/>
                <w:highlight w:val="none"/>
              </w:rPr>
              <w:t>磋商当天</w:t>
            </w:r>
            <w:r>
              <w:rPr>
                <w:rFonts w:hint="eastAsia" w:ascii="仿宋" w:hAnsi="仿宋" w:eastAsia="仿宋" w:cs="仿宋"/>
                <w:color w:val="auto"/>
                <w:sz w:val="24"/>
                <w:highlight w:val="none"/>
              </w:rPr>
              <w:t>的信用记录。</w:t>
            </w:r>
          </w:p>
        </w:tc>
      </w:tr>
      <w:tr w14:paraId="4B2A0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69" w:type="dxa"/>
            <w:vMerge w:val="continue"/>
            <w:noWrap w:val="0"/>
            <w:vAlign w:val="center"/>
          </w:tcPr>
          <w:p w14:paraId="73B0F862">
            <w:pPr>
              <w:spacing w:line="336" w:lineRule="auto"/>
              <w:jc w:val="center"/>
              <w:rPr>
                <w:rFonts w:ascii="仿宋" w:hAnsi="仿宋" w:eastAsia="仿宋" w:cs="仿宋"/>
                <w:color w:val="auto"/>
                <w:sz w:val="24"/>
                <w:highlight w:val="none"/>
              </w:rPr>
            </w:pPr>
          </w:p>
        </w:tc>
        <w:tc>
          <w:tcPr>
            <w:tcW w:w="855" w:type="dxa"/>
            <w:vMerge w:val="continue"/>
            <w:noWrap w:val="0"/>
            <w:vAlign w:val="center"/>
          </w:tcPr>
          <w:p w14:paraId="01283EFF">
            <w:pPr>
              <w:snapToGrid w:val="0"/>
              <w:spacing w:line="336" w:lineRule="auto"/>
              <w:rPr>
                <w:rFonts w:ascii="仿宋" w:hAnsi="仿宋" w:eastAsia="仿宋" w:cs="仿宋"/>
                <w:b/>
                <w:color w:val="auto"/>
                <w:sz w:val="24"/>
                <w:highlight w:val="none"/>
              </w:rPr>
            </w:pPr>
          </w:p>
        </w:tc>
        <w:tc>
          <w:tcPr>
            <w:tcW w:w="7516" w:type="dxa"/>
            <w:noWrap w:val="0"/>
            <w:vAlign w:val="center"/>
          </w:tcPr>
          <w:p w14:paraId="0B9FEEDC">
            <w:pPr>
              <w:snapToGrid w:val="0"/>
              <w:spacing w:line="336"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信用信息查询记录和证据留存的具体方式：</w:t>
            </w:r>
            <w:r>
              <w:rPr>
                <w:rFonts w:hint="eastAsia" w:ascii="仿宋" w:hAnsi="仿宋" w:eastAsia="仿宋" w:cs="仿宋"/>
                <w:color w:val="auto"/>
                <w:sz w:val="24"/>
                <w:highlight w:val="none"/>
              </w:rPr>
              <w:t>采购人或采购人委托的磋商小组或采购代理机构现场查询供应商的信用记录，查询结果经确认后与磋商响应文件一起存档。</w:t>
            </w:r>
          </w:p>
        </w:tc>
      </w:tr>
      <w:tr w14:paraId="303D8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69" w:type="dxa"/>
            <w:vMerge w:val="continue"/>
            <w:noWrap w:val="0"/>
            <w:vAlign w:val="center"/>
          </w:tcPr>
          <w:p w14:paraId="297C6DBB">
            <w:pPr>
              <w:spacing w:line="336" w:lineRule="auto"/>
              <w:jc w:val="center"/>
              <w:rPr>
                <w:rFonts w:ascii="仿宋" w:hAnsi="仿宋" w:eastAsia="仿宋" w:cs="仿宋"/>
                <w:color w:val="auto"/>
                <w:sz w:val="24"/>
                <w:highlight w:val="none"/>
              </w:rPr>
            </w:pPr>
          </w:p>
        </w:tc>
        <w:tc>
          <w:tcPr>
            <w:tcW w:w="855" w:type="dxa"/>
            <w:vMerge w:val="continue"/>
            <w:noWrap w:val="0"/>
            <w:vAlign w:val="center"/>
          </w:tcPr>
          <w:p w14:paraId="4C6B4987">
            <w:pPr>
              <w:snapToGrid w:val="0"/>
              <w:spacing w:line="336" w:lineRule="auto"/>
              <w:rPr>
                <w:rFonts w:ascii="仿宋" w:hAnsi="仿宋" w:eastAsia="仿宋" w:cs="仿宋"/>
                <w:b/>
                <w:color w:val="auto"/>
                <w:sz w:val="24"/>
                <w:highlight w:val="none"/>
              </w:rPr>
            </w:pPr>
          </w:p>
        </w:tc>
        <w:tc>
          <w:tcPr>
            <w:tcW w:w="7516" w:type="dxa"/>
            <w:noWrap w:val="0"/>
            <w:vAlign w:val="center"/>
          </w:tcPr>
          <w:p w14:paraId="63E5E87F">
            <w:pPr>
              <w:snapToGrid w:val="0"/>
              <w:spacing w:line="336" w:lineRule="auto"/>
              <w:rPr>
                <w:rFonts w:ascii="仿宋" w:hAnsi="仿宋" w:eastAsia="仿宋" w:cs="仿宋"/>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经查询列入失信被执行人名单、重大税收违法案件当事人名单、政府采购严重违法失信行为记录名单的供应商将被拒绝参与政府采购活动。</w:t>
            </w:r>
          </w:p>
          <w:p w14:paraId="4E770283">
            <w:pPr>
              <w:snapToGrid w:val="0"/>
              <w:spacing w:line="336" w:lineRule="auto"/>
              <w:rPr>
                <w:rFonts w:ascii="仿宋" w:hAnsi="仿宋" w:eastAsia="仿宋" w:cs="仿宋"/>
                <w:b/>
                <w:color w:val="auto"/>
                <w:sz w:val="24"/>
                <w:highlight w:val="none"/>
              </w:rPr>
            </w:pPr>
            <w:r>
              <w:rPr>
                <w:rFonts w:hint="eastAsia" w:ascii="仿宋" w:hAnsi="仿宋" w:eastAsia="仿宋" w:cs="仿宋"/>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3C54F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noWrap w:val="0"/>
            <w:vAlign w:val="center"/>
          </w:tcPr>
          <w:p w14:paraId="50B4578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5</w:t>
            </w:r>
          </w:p>
        </w:tc>
        <w:tc>
          <w:tcPr>
            <w:tcW w:w="8371" w:type="dxa"/>
            <w:gridSpan w:val="2"/>
            <w:noWrap w:val="0"/>
            <w:vAlign w:val="center"/>
          </w:tcPr>
          <w:p w14:paraId="3E4B4C0E">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需要落实的政府采购政策：包括保护环境、节约能源、促进中小企业发展等。详见磋商文件第二部分总则。</w:t>
            </w:r>
          </w:p>
        </w:tc>
      </w:tr>
      <w:tr w14:paraId="684F1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noWrap w:val="0"/>
            <w:vAlign w:val="center"/>
          </w:tcPr>
          <w:p w14:paraId="73CAA878">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6</w:t>
            </w:r>
          </w:p>
        </w:tc>
        <w:tc>
          <w:tcPr>
            <w:tcW w:w="8371" w:type="dxa"/>
            <w:gridSpan w:val="2"/>
            <w:noWrap w:val="0"/>
            <w:vAlign w:val="center"/>
          </w:tcPr>
          <w:p w14:paraId="3DD1F314">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更正补充公告请自行登录浙江政府采购网或绍兴公共资源交易网查看下载。</w:t>
            </w:r>
          </w:p>
        </w:tc>
      </w:tr>
      <w:tr w14:paraId="7291E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noWrap w:val="0"/>
            <w:vAlign w:val="center"/>
          </w:tcPr>
          <w:p w14:paraId="34273591">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7</w:t>
            </w:r>
          </w:p>
        </w:tc>
        <w:tc>
          <w:tcPr>
            <w:tcW w:w="8371" w:type="dxa"/>
            <w:gridSpan w:val="2"/>
            <w:noWrap w:val="0"/>
            <w:vAlign w:val="center"/>
          </w:tcPr>
          <w:p w14:paraId="50C36741">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磋商注意事项：</w:t>
            </w:r>
          </w:p>
          <w:p w14:paraId="33F8CB08">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1.本项目实行网上磋商，采用电子磋商响应文件。若供应商参与磋商，自行承担磋商一切费用。</w:t>
            </w:r>
          </w:p>
          <w:p w14:paraId="2CE0D173">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2.磋商前准备：各供应商应在磋商前完成CA数字证书办理。供应商将政采云电子交易客户端下载、安装完成后，可通过账号密码或CA登录客户端进行磋商响应文件制作。在使用政采云电子交易客户端时，建议使用WIN7及以上操作系统。</w:t>
            </w:r>
          </w:p>
          <w:p w14:paraId="469F8FC0">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注：供应商CA相关操作可参考政采云平台</w:t>
            </w:r>
            <w:r>
              <w:rPr>
                <w:rFonts w:hint="eastAsia" w:ascii="仿宋" w:hAnsi="仿宋" w:eastAsia="仿宋" w:cs="仿宋"/>
                <w:color w:val="auto"/>
                <w:highlight w:val="none"/>
              </w:rPr>
              <w:t>https://www.zcygov.cn/</w:t>
            </w:r>
            <w:r>
              <w:rPr>
                <w:rFonts w:hint="eastAsia" w:ascii="仿宋" w:hAnsi="仿宋" w:eastAsia="仿宋" w:cs="仿宋"/>
                <w:color w:val="auto"/>
                <w:sz w:val="24"/>
                <w:highlight w:val="none"/>
              </w:rPr>
              <w:t>《CA申领操作指南》和《CA管理操作指南》。完成CA数字证书办理在资料齐全的情况下预计7个工作日左右，建议供应商获取磋商文件后立即办理。</w:t>
            </w:r>
          </w:p>
          <w:p w14:paraId="6FD72817">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3.磋商响应文件制作、递交、解密：</w:t>
            </w:r>
          </w:p>
          <w:p w14:paraId="71E5CDA2">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3.1应按照本项目磋商文件和政采云平台的要求编制、加密传输磋商响应文件。供应商在使用系统进行磋商响应的过程中遇到涉及平台使用的任何问题，可致电政采云平台技术支持热线咨询，联系方式：</w:t>
            </w:r>
            <w:r>
              <w:rPr>
                <w:rFonts w:hint="eastAsia" w:ascii="仿宋" w:hAnsi="仿宋" w:eastAsia="仿宋" w:cs="仿宋"/>
                <w:color w:val="auto"/>
                <w:sz w:val="24"/>
                <w:highlight w:val="none"/>
                <w:lang w:eastAsia="zh-CN"/>
              </w:rPr>
              <w:t>95763</w:t>
            </w:r>
            <w:r>
              <w:rPr>
                <w:rFonts w:hint="eastAsia" w:ascii="仿宋" w:hAnsi="仿宋" w:eastAsia="仿宋" w:cs="仿宋"/>
                <w:color w:val="auto"/>
                <w:sz w:val="24"/>
                <w:highlight w:val="none"/>
              </w:rPr>
              <w:t>。</w:t>
            </w:r>
          </w:p>
          <w:p w14:paraId="3B8F8D54">
            <w:pPr>
              <w:snapToGrid w:val="0"/>
              <w:spacing w:line="336"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3.2供应商通过“政采云”平台制作电子磋商响应文件，磋商响应文件制作详见“供应商-政府采购项目电子交易操作指南”。</w:t>
            </w:r>
          </w:p>
          <w:p w14:paraId="623D992F">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3.3响应文件开启后30分钟内供应商可以登录“政采云”平台，用“项目采购-开标评标”功能进行解密磋商响应文件。若供应商</w:t>
            </w:r>
            <w:r>
              <w:rPr>
                <w:rFonts w:hint="eastAsia" w:ascii="仿宋" w:hAnsi="仿宋" w:eastAsia="仿宋" w:cs="仿宋"/>
                <w:b/>
                <w:color w:val="auto"/>
                <w:sz w:val="24"/>
                <w:highlight w:val="none"/>
                <w:u w:val="single"/>
              </w:rPr>
              <w:t>未按时解密的</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u w:val="single"/>
              </w:rPr>
              <w:t>视为磋商响应文件撤回</w:t>
            </w:r>
            <w:r>
              <w:rPr>
                <w:rFonts w:hint="eastAsia" w:ascii="仿宋" w:hAnsi="仿宋" w:eastAsia="仿宋" w:cs="仿宋"/>
                <w:color w:val="auto"/>
                <w:sz w:val="24"/>
                <w:highlight w:val="none"/>
              </w:rPr>
              <w:t>。</w:t>
            </w:r>
          </w:p>
        </w:tc>
      </w:tr>
      <w:tr w14:paraId="326EC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Merge w:val="restart"/>
            <w:noWrap w:val="0"/>
            <w:vAlign w:val="center"/>
          </w:tcPr>
          <w:p w14:paraId="7A20EB04">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8</w:t>
            </w:r>
          </w:p>
        </w:tc>
        <w:tc>
          <w:tcPr>
            <w:tcW w:w="8371" w:type="dxa"/>
            <w:gridSpan w:val="2"/>
            <w:noWrap w:val="0"/>
            <w:vAlign w:val="center"/>
          </w:tcPr>
          <w:p w14:paraId="6FAC2F53">
            <w:pPr>
              <w:spacing w:line="336" w:lineRule="auto"/>
              <w:rPr>
                <w:rFonts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2D004C87">
            <w:pPr>
              <w:spacing w:line="336" w:lineRule="auto"/>
              <w:rPr>
                <w:rFonts w:ascii="仿宋" w:hAnsi="仿宋" w:eastAsia="仿宋" w:cs="仿宋"/>
                <w:color w:val="auto"/>
                <w:sz w:val="24"/>
                <w:highlight w:val="none"/>
              </w:rPr>
            </w:pPr>
            <w:r>
              <w:rPr>
                <w:rFonts w:hint="eastAsia" w:ascii="仿宋" w:hAnsi="仿宋" w:eastAsia="仿宋" w:cs="仿宋"/>
                <w:snapToGrid w:val="0"/>
                <w:color w:val="auto"/>
                <w:kern w:val="28"/>
                <w:sz w:val="24"/>
                <w:highlight w:val="none"/>
              </w:rPr>
              <w:t>联合体磋商的或者以分包方式履行合同的，联合体各方（供应商与分包供应商）分别提供与联合体协议（分包意向协议）中规定的分工内容相应的业绩证明材料，业绩数量以提供材料较少的一方为准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14:paraId="0CAC8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vMerge w:val="continue"/>
            <w:noWrap w:val="0"/>
            <w:vAlign w:val="center"/>
          </w:tcPr>
          <w:p w14:paraId="612BAC22">
            <w:pPr>
              <w:spacing w:line="336" w:lineRule="auto"/>
              <w:jc w:val="center"/>
              <w:rPr>
                <w:rFonts w:ascii="仿宋" w:hAnsi="仿宋" w:eastAsia="仿宋" w:cs="仿宋"/>
                <w:color w:val="auto"/>
                <w:sz w:val="24"/>
                <w:highlight w:val="none"/>
              </w:rPr>
            </w:pPr>
          </w:p>
        </w:tc>
        <w:tc>
          <w:tcPr>
            <w:tcW w:w="8371" w:type="dxa"/>
            <w:gridSpan w:val="2"/>
            <w:noWrap w:val="0"/>
            <w:vAlign w:val="center"/>
          </w:tcPr>
          <w:p w14:paraId="03D28939">
            <w:pPr>
              <w:spacing w:line="336" w:lineRule="auto"/>
              <w:rPr>
                <w:rFonts w:ascii="仿宋" w:hAnsi="仿宋" w:eastAsia="仿宋" w:cs="仿宋"/>
                <w:snapToGrid w:val="0"/>
                <w:color w:val="auto"/>
                <w:kern w:val="28"/>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snapToGrid w:val="0"/>
                <w:color w:val="auto"/>
                <w:kern w:val="28"/>
                <w:sz w:val="24"/>
                <w:highlight w:val="none"/>
              </w:rPr>
              <w:t>联合体磋商的，联合体各方均需按磋商文件第五部分评审标准要求提供资信证明文件，否则视为不符合相关要求。</w:t>
            </w:r>
          </w:p>
          <w:p w14:paraId="66C55A12">
            <w:pPr>
              <w:spacing w:line="336" w:lineRule="auto"/>
              <w:rPr>
                <w:rFonts w:ascii="仿宋" w:hAnsi="仿宋" w:eastAsia="仿宋" w:cs="仿宋"/>
                <w:b/>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snapToGrid w:val="0"/>
                <w:color w:val="auto"/>
                <w:kern w:val="28"/>
                <w:sz w:val="24"/>
                <w:highlight w:val="none"/>
              </w:rPr>
              <w:t>联合体磋商的，联合体中有一方或者联合体成员根据分工按磋商文件第五部分评审标准要求提供资信证明文件的，视为符合了相关要求。</w:t>
            </w:r>
          </w:p>
        </w:tc>
      </w:tr>
      <w:tr w14:paraId="5CD35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dxa"/>
            <w:noWrap w:val="0"/>
            <w:vAlign w:val="center"/>
          </w:tcPr>
          <w:p w14:paraId="42DAFFAC">
            <w:pPr>
              <w:snapToGrid w:val="0"/>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19</w:t>
            </w:r>
          </w:p>
        </w:tc>
        <w:tc>
          <w:tcPr>
            <w:tcW w:w="8371" w:type="dxa"/>
            <w:gridSpan w:val="2"/>
            <w:noWrap w:val="0"/>
            <w:vAlign w:val="center"/>
          </w:tcPr>
          <w:p w14:paraId="47F04A3D">
            <w:pPr>
              <w:spacing w:line="336"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中标单位需支付以下费用，并在投标报价中自行考虑：</w:t>
            </w:r>
          </w:p>
          <w:p w14:paraId="0E3EA486">
            <w:pPr>
              <w:numPr>
                <w:ilvl w:val="0"/>
                <w:numId w:val="5"/>
              </w:num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采购代理服务费：</w:t>
            </w:r>
          </w:p>
          <w:p w14:paraId="388A1485">
            <w:pPr>
              <w:numPr>
                <w:ilvl w:val="0"/>
                <w:numId w:val="0"/>
              </w:num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按代理协议约定的内容，根据项目的中标金额，采用差额定率累进法进行计算，具体费率标准如下：中标金额在100万元以下部分服务招标均为1.5%</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最低收费标准5000元。  </w:t>
            </w:r>
          </w:p>
          <w:p w14:paraId="705FE8A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2.交纳方式：</w:t>
            </w:r>
          </w:p>
          <w:p w14:paraId="1E46737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用银行支票、汇票、电汇、现金等付款方式直接交纳代理服务费。</w:t>
            </w:r>
          </w:p>
          <w:p w14:paraId="51B6D58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公司名称：绍兴虬实企业管理咨询有限公司</w:t>
            </w:r>
          </w:p>
          <w:p w14:paraId="6E1AF17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账    号：2006767942000015</w:t>
            </w:r>
          </w:p>
          <w:p w14:paraId="67D02E5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 户 行：绍兴银行股份有限公司禹陵支行</w:t>
            </w:r>
          </w:p>
          <w:p w14:paraId="0DE51EA5">
            <w:pPr>
              <w:pStyle w:val="23"/>
              <w:numPr>
                <w:ilvl w:val="0"/>
                <w:numId w:val="0"/>
              </w:numPr>
              <w:rPr>
                <w:color w:val="auto"/>
                <w:highlight w:val="none"/>
              </w:rPr>
            </w:pPr>
            <w:r>
              <w:rPr>
                <w:rFonts w:hint="eastAsia" w:ascii="仿宋" w:hAnsi="仿宋" w:eastAsia="仿宋" w:cs="仿宋"/>
                <w:color w:val="auto"/>
                <w:sz w:val="24"/>
                <w:highlight w:val="none"/>
              </w:rPr>
              <w:t>3</w:t>
            </w:r>
            <w:r>
              <w:rPr>
                <w:rFonts w:hint="eastAsia" w:ascii="仿宋" w:hAnsi="仿宋" w:eastAsia="仿宋" w:cs="仿宋"/>
                <w:color w:val="auto"/>
                <w:kern w:val="2"/>
                <w:sz w:val="24"/>
                <w:szCs w:val="24"/>
                <w:highlight w:val="none"/>
                <w:lang w:val="en-US" w:eastAsia="zh-CN" w:bidi="ar-SA"/>
              </w:rPr>
              <w:t>.领取中标通知书前交纳。</w:t>
            </w:r>
          </w:p>
        </w:tc>
      </w:tr>
      <w:tr w14:paraId="09109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noWrap w:val="0"/>
            <w:vAlign w:val="center"/>
          </w:tcPr>
          <w:p w14:paraId="163AD04D">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解释：凡涉及本磋商文件的解释权属于采购人。</w:t>
            </w:r>
          </w:p>
        </w:tc>
      </w:tr>
      <w:tr w14:paraId="63D98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noWrap w:val="0"/>
            <w:vAlign w:val="center"/>
          </w:tcPr>
          <w:p w14:paraId="58AEFFC7">
            <w:pPr>
              <w:spacing w:line="336"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注：成交候选供应商放弃成交资格或因质疑、投诉被取消成交资格或不能履行合同的，本项目应重新开展采购活动。</w:t>
            </w:r>
          </w:p>
        </w:tc>
      </w:tr>
    </w:tbl>
    <w:p w14:paraId="6A3D974A">
      <w:pPr>
        <w:snapToGrid w:val="0"/>
        <w:spacing w:line="336" w:lineRule="auto"/>
        <w:jc w:val="center"/>
        <w:rPr>
          <w:rFonts w:ascii="仿宋" w:hAnsi="仿宋" w:eastAsia="仿宋" w:cs="仿宋"/>
          <w:b/>
          <w:color w:val="auto"/>
          <w:sz w:val="32"/>
          <w:szCs w:val="20"/>
          <w:highlight w:val="none"/>
        </w:rPr>
      </w:pPr>
    </w:p>
    <w:p w14:paraId="04E2A502">
      <w:pPr>
        <w:adjustRightInd/>
        <w:spacing w:line="336" w:lineRule="auto"/>
        <w:ind w:firstLine="3845" w:firstLineChars="1197"/>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14:paraId="2F5AF937">
      <w:pPr>
        <w:snapToGrid w:val="0"/>
        <w:spacing w:line="336" w:lineRule="auto"/>
        <w:ind w:firstLine="482" w:firstLineChars="200"/>
        <w:jc w:val="left"/>
        <w:outlineLvl w:val="1"/>
        <w:rPr>
          <w:rFonts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11C4FD36">
      <w:pPr>
        <w:snapToGrid w:val="0"/>
        <w:spacing w:line="336" w:lineRule="auto"/>
        <w:ind w:firstLine="480" w:firstLineChars="200"/>
        <w:jc w:val="left"/>
        <w:rPr>
          <w:rFonts w:ascii="仿宋" w:hAnsi="仿宋" w:eastAsia="仿宋" w:cs="仿宋"/>
          <w:color w:val="auto"/>
          <w:szCs w:val="24"/>
          <w:highlight w:val="none"/>
        </w:rPr>
      </w:pPr>
      <w:r>
        <w:rPr>
          <w:rFonts w:hint="eastAsia" w:ascii="仿宋" w:hAnsi="仿宋" w:eastAsia="仿宋" w:cs="仿宋"/>
          <w:color w:val="auto"/>
          <w:sz w:val="24"/>
          <w:highlight w:val="none"/>
        </w:rPr>
        <w:t>本磋商文件适用于该项目的邀请、响应、开启响应文件、信用信息查询、资格性审查、评审、成交、合同、验收等行为（法律、法规另有规定的，从其规定）。</w:t>
      </w:r>
    </w:p>
    <w:p w14:paraId="7E2D39F1">
      <w:pPr>
        <w:adjustRightInd/>
        <w:spacing w:line="336" w:lineRule="auto"/>
        <w:ind w:firstLine="482" w:firstLineChars="2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36383195">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 “采购人”系指磋商邀请公告中载明的本项目的采购人。</w:t>
      </w:r>
    </w:p>
    <w:p w14:paraId="24CD75F4">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 “采购代理机构”系指磋商邀请公告中载明的本项目的采购代理机构。</w:t>
      </w:r>
    </w:p>
    <w:p w14:paraId="0BAB3BF9">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 “投标人”“供应商”系指响应磋商、参加本次竞争的法人、其他组织或自然人。</w:t>
      </w:r>
    </w:p>
    <w:p w14:paraId="2CE591E0">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2.4“监督单位”系指磋商邀请公告中载明的本项目的法定义监督管理部门</w:t>
      </w:r>
    </w:p>
    <w:p w14:paraId="3347E646">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2.5“负责人”系指法人企业的法定负责人，或其他组织为法律、行政法规规定代表单位行使职权的主要负责人，或自然人本人。</w:t>
      </w:r>
    </w:p>
    <w:p w14:paraId="513DC19A">
      <w:pPr>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3）。</w:t>
      </w:r>
      <w:r>
        <w:rPr>
          <w:rFonts w:hint="eastAsia" w:ascii="仿宋" w:hAnsi="仿宋" w:eastAsia="仿宋" w:cs="仿宋"/>
          <w:color w:val="auto"/>
          <w:sz w:val="24"/>
          <w:highlight w:val="none"/>
          <w:lang w:val="en-US" w:eastAsia="zh-CN"/>
        </w:rPr>
        <w:t xml:space="preserve">  </w:t>
      </w:r>
    </w:p>
    <w:p w14:paraId="37F31C75">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“电子交易平台”系指本项目政府采购活动所依托的政府采购云平台（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21"/>
          <w:rFonts w:hint="eastAsia" w:ascii="仿宋" w:hAnsi="仿宋" w:eastAsia="仿宋" w:cs="仿宋"/>
          <w:snapToGrid/>
          <w:color w:val="auto"/>
          <w:kern w:val="2"/>
          <w:sz w:val="24"/>
          <w:szCs w:val="24"/>
          <w:highlight w:val="none"/>
        </w:rPr>
        <w:t>https://www.zcygov.cn/</w:t>
      </w:r>
      <w:r>
        <w:rPr>
          <w:rStyle w:val="21"/>
          <w:rFonts w:hint="eastAsia" w:ascii="仿宋" w:hAnsi="仿宋" w:eastAsia="仿宋" w:cs="仿宋"/>
          <w:snapToGrid/>
          <w:color w:val="auto"/>
          <w:kern w:val="2"/>
          <w:sz w:val="24"/>
          <w:szCs w:val="24"/>
          <w:highlight w:val="none"/>
        </w:rPr>
        <w:fldChar w:fldCharType="end"/>
      </w:r>
      <w:r>
        <w:rPr>
          <w:rFonts w:hint="eastAsia" w:ascii="仿宋" w:hAnsi="仿宋" w:eastAsia="仿宋" w:cs="仿宋"/>
          <w:color w:val="auto"/>
          <w:sz w:val="24"/>
          <w:highlight w:val="none"/>
        </w:rPr>
        <w:t>）</w:t>
      </w:r>
    </w:p>
    <w:p w14:paraId="2B5B115A">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“★”系指实质性指标要求条款，“▲” 系指主要性能指标要求条款。如任意一条打“★”的指标出现负偏离视为实质性不响应磋商文件要求，作无效磋商处理；如任意一条打“▲”的指标出现负偏离按评分标准作扣分处理。“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w:t>
      </w:r>
      <w:r>
        <w:rPr>
          <w:rFonts w:hint="eastAsia" w:ascii="仿宋" w:hAnsi="仿宋" w:eastAsia="仿宋" w:cs="仿宋"/>
          <w:color w:val="auto"/>
          <w:sz w:val="24"/>
          <w:highlight w:val="none"/>
        </w:rPr>
        <w:t>”系指适用本项目的要求，“☐”系指不适用本项目的要求。</w:t>
      </w:r>
    </w:p>
    <w:p w14:paraId="279309BE">
      <w:pPr>
        <w:spacing w:line="44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5DC93621">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5737CAC9">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06E32233">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磋商响应人须按磋商文件要求提供相关产品认证证书。</w:t>
      </w:r>
    </w:p>
    <w:p w14:paraId="6BF61E70">
      <w:pPr>
        <w:spacing w:line="44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★3.2.2</w:t>
      </w:r>
      <w:r>
        <w:rPr>
          <w:rFonts w:hint="eastAsia" w:ascii="仿宋" w:hAnsi="仿宋" w:eastAsia="仿宋" w:cs="仿宋"/>
          <w:b/>
          <w:color w:val="auto"/>
          <w:sz w:val="24"/>
          <w:highlight w:val="none"/>
        </w:rPr>
        <w:t>采购人拟采购的产品属于政府强制采购的节能产品品目清单范围的，磋商响应人未按磋商文件要求提供国家确定的认证机构出具的、处于有效期之内的节能产品认证证书，磋商无效。</w:t>
      </w:r>
    </w:p>
    <w:p w14:paraId="48FF63DF">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将绿色建材性能、指标等作为实质性条件纳入采购文件和合同，具体性能指标要求</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相关绿色建材政府采购需求标准</w:t>
      </w:r>
      <w:r>
        <w:rPr>
          <w:rFonts w:hint="eastAsia" w:ascii="仿宋" w:hAnsi="仿宋" w:eastAsia="仿宋" w:cs="仿宋"/>
          <w:color w:val="auto"/>
          <w:sz w:val="24"/>
          <w:highlight w:val="none"/>
          <w:lang w:eastAsia="zh-CN"/>
        </w:rPr>
        <w:t>执行</w:t>
      </w:r>
      <w:r>
        <w:rPr>
          <w:rFonts w:hint="eastAsia" w:ascii="仿宋" w:hAnsi="仿宋" w:eastAsia="仿宋" w:cs="仿宋"/>
          <w:color w:val="auto"/>
          <w:sz w:val="24"/>
          <w:highlight w:val="none"/>
        </w:rPr>
        <w:t>。</w:t>
      </w:r>
    </w:p>
    <w:p w14:paraId="24EE8D49">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108F1FC">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登记报备绿色编码，未申领绿色编码的柴油动力移动源不得进入作业现场施工。</w:t>
      </w:r>
    </w:p>
    <w:p w14:paraId="3A7ED728">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w:t>
      </w:r>
    </w:p>
    <w:p w14:paraId="5B44350B">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color w:val="auto"/>
          <w:sz w:val="24"/>
          <w:highlight w:val="none"/>
        </w:rPr>
        <w:t>3.3.1小微企业是指</w:t>
      </w:r>
      <w:r>
        <w:rPr>
          <w:rFonts w:hint="eastAsia" w:ascii="仿宋" w:hAnsi="仿宋" w:eastAsia="仿宋" w:cs="仿宋"/>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54D41F62">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符合中小企业划分标准的个体工商户，在政府采购活动中视同中小企业。</w:t>
      </w:r>
    </w:p>
    <w:p w14:paraId="1B0A90B7">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3.3.2在货物采购项目中，货物由小微企业制造，即货物由小微企业生产且使用该小微企业商号或者注册商标。</w:t>
      </w:r>
      <w:r>
        <w:rPr>
          <w:rFonts w:hint="eastAsia" w:ascii="仿宋" w:hAnsi="仿宋" w:eastAsia="仿宋" w:cs="仿宋"/>
          <w:b/>
          <w:bCs/>
          <w:color w:val="auto"/>
          <w:sz w:val="24"/>
          <w:highlight w:val="none"/>
        </w:rPr>
        <w:t>供应商提供的货物既有中小企业制造货物，也有大型企业制造货物的，不享受中小企业扶持政策。</w:t>
      </w:r>
    </w:p>
    <w:p w14:paraId="76D629BE">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3.3.3在服务采购项目中，服务由小微企业承接，即提供服务的人员为小微企业依照《中华人民共和国劳动合同法》订立劳动合同的从业人员。</w:t>
      </w:r>
    </w:p>
    <w:p w14:paraId="300B834F">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3.3.4小微企业应按照磋商文件格式要求提供《中小企业声明函》。</w:t>
      </w:r>
    </w:p>
    <w:p w14:paraId="5D12B17D">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088C4E9C">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197A7436">
      <w:pPr>
        <w:spacing w:line="44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以联合体形式参加政府采购活动， 联合体各方均为中小企业的，联合体视同中小企业。其中，联合体各方均为小微企业的，联合体视同小微企业。</w:t>
      </w:r>
    </w:p>
    <w:p w14:paraId="04E21667">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3.3.7符合《关于促进残疾人就业政府采购政策的通知》（财库〔2017〕141号）规定的条件并提供《残疾人福利性单位声明函》的残疾人福利性单位视同小微企业；</w:t>
      </w:r>
    </w:p>
    <w:p w14:paraId="095E37BD">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191AC9D7">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6FF106D7">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14:paraId="22B0B53F">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p w14:paraId="69DADAF5">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27D1FA00">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2452946B">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★4.特别说明：</w:t>
      </w:r>
    </w:p>
    <w:p w14:paraId="4617E283">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4.1供应商磋商所使用的资格、信誉、荣誉与企业认证必须为本单位所拥有。供应商磋商所使用的项目实施人员必须为本单位正式员工。</w:t>
      </w:r>
    </w:p>
    <w:p w14:paraId="4F045C3D">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4.2供应商应仔细阅读磋商文件的所有内容，按照磋商文件的要求提交磋商响应文件，并对所提供的全部资料的真实性承担法律责任。</w:t>
      </w:r>
    </w:p>
    <w:p w14:paraId="26E6D5B6">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供应商在磋商活动中提供任何虚假材料,其磋商无效，并报监管部门查处；成交后发现的,成交供应商须依照《中华人民共和国消费者权益保护法》规定赔偿采购人，且民事赔偿并不免除违法供应商的行政与刑事责任。</w:t>
      </w:r>
    </w:p>
    <w:p w14:paraId="01CD3656">
      <w:pPr>
        <w:snapToGrid w:val="0"/>
        <w:spacing w:line="336" w:lineRule="auto"/>
        <w:ind w:firstLine="643" w:firstLineChars="200"/>
        <w:jc w:val="left"/>
        <w:rPr>
          <w:rFonts w:ascii="仿宋" w:hAnsi="仿宋" w:eastAsia="仿宋" w:cs="仿宋"/>
          <w:b/>
          <w:color w:val="auto"/>
          <w:sz w:val="32"/>
          <w:szCs w:val="32"/>
          <w:highlight w:val="none"/>
        </w:rPr>
      </w:pPr>
    </w:p>
    <w:p w14:paraId="1736C07F">
      <w:pPr>
        <w:adjustRightInd/>
        <w:spacing w:line="336"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二、磋商文件</w:t>
      </w:r>
    </w:p>
    <w:p w14:paraId="2AF496B7">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政府采购方式</w:t>
      </w:r>
    </w:p>
    <w:p w14:paraId="77044702">
      <w:pPr>
        <w:snapToGrid w:val="0"/>
        <w:spacing w:line="336"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    1.1 本项目采用</w:t>
      </w:r>
      <w:r>
        <w:rPr>
          <w:rFonts w:hint="eastAsia" w:ascii="仿宋" w:hAnsi="仿宋" w:eastAsia="仿宋" w:cs="仿宋"/>
          <w:b/>
          <w:color w:val="auto"/>
          <w:kern w:val="0"/>
          <w:sz w:val="24"/>
          <w:highlight w:val="none"/>
        </w:rPr>
        <w:t>竞争性磋商</w:t>
      </w:r>
      <w:r>
        <w:rPr>
          <w:rFonts w:hint="eastAsia" w:ascii="仿宋" w:hAnsi="仿宋" w:eastAsia="仿宋" w:cs="仿宋"/>
          <w:color w:val="auto"/>
          <w:sz w:val="24"/>
          <w:highlight w:val="none"/>
        </w:rPr>
        <w:t>方式进行。</w:t>
      </w:r>
    </w:p>
    <w:p w14:paraId="12D41AD7">
      <w:pPr>
        <w:snapToGrid w:val="0"/>
        <w:spacing w:line="336" w:lineRule="auto"/>
        <w:jc w:val="left"/>
        <w:rPr>
          <w:rFonts w:ascii="仿宋" w:hAnsi="仿宋" w:eastAsia="仿宋" w:cs="仿宋"/>
          <w:b/>
          <w:color w:val="auto"/>
          <w:sz w:val="24"/>
          <w:highlight w:val="none"/>
        </w:rPr>
      </w:pPr>
      <w:r>
        <w:rPr>
          <w:rFonts w:hint="eastAsia" w:ascii="仿宋" w:hAnsi="仿宋" w:eastAsia="仿宋" w:cs="仿宋"/>
          <w:color w:val="auto"/>
          <w:sz w:val="24"/>
          <w:highlight w:val="none"/>
        </w:rPr>
        <w:t xml:space="preserve">    1.2 如某一标项实质性响应磋商文件的供应商不足三家时，由采购人重新组织开展采购活动或按有关规定实施。</w:t>
      </w:r>
    </w:p>
    <w:p w14:paraId="4027545A">
      <w:pPr>
        <w:snapToGrid w:val="0"/>
        <w:spacing w:line="336" w:lineRule="auto"/>
        <w:ind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1.3 本次竞争性磋商设定上限价，上限价即谈判公告中公布的各分标项预算金额。（各分标项之间的预算金额不能互相调整）</w:t>
      </w:r>
    </w:p>
    <w:p w14:paraId="14135570">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2.磋商委托</w:t>
      </w:r>
    </w:p>
    <w:p w14:paraId="7E4D430F">
      <w:pPr>
        <w:pStyle w:val="6"/>
        <w:numPr>
          <w:ilvl w:val="0"/>
          <w:numId w:val="0"/>
        </w:numPr>
        <w:tabs>
          <w:tab w:val="left" w:pos="454"/>
          <w:tab w:val="clear" w:pos="360"/>
        </w:tabs>
        <w:spacing w:line="336" w:lineRule="auto"/>
        <w:ind w:left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本项目为电子磋商项目，供应商的法定代表人或其授权代表或个体工商户不需要参加现场磋商和开标。</w:t>
      </w:r>
    </w:p>
    <w:p w14:paraId="655E0808">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3.磋商费用</w:t>
      </w:r>
    </w:p>
    <w:p w14:paraId="06EE581D">
      <w:pPr>
        <w:pStyle w:val="6"/>
        <w:numPr>
          <w:ilvl w:val="0"/>
          <w:numId w:val="0"/>
        </w:numPr>
        <w:tabs>
          <w:tab w:val="left" w:pos="454"/>
          <w:tab w:val="clear" w:pos="360"/>
        </w:tabs>
        <w:spacing w:line="336" w:lineRule="auto"/>
        <w:ind w:left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供应商应自行承担编制磋商响应文件及参加本次磋商所涉及的一切费用。不管磋商结果如何，采购人对上述费用不负任何责任。</w:t>
      </w:r>
    </w:p>
    <w:p w14:paraId="4760F9C0">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4.磋商文件</w:t>
      </w:r>
    </w:p>
    <w:p w14:paraId="1B8AA7C1">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4.1 </w:t>
      </w:r>
      <w:r>
        <w:rPr>
          <w:rFonts w:hint="eastAsia" w:ascii="仿宋" w:hAnsi="仿宋" w:eastAsia="仿宋" w:cs="仿宋"/>
          <w:bCs/>
          <w:color w:val="auto"/>
          <w:sz w:val="24"/>
          <w:highlight w:val="none"/>
        </w:rPr>
        <w:t>磋商文件包括本磋商文件及所有的磋商答疑记录（澄清、修改）和发出的补充通知</w:t>
      </w:r>
      <w:r>
        <w:rPr>
          <w:rFonts w:hint="eastAsia" w:ascii="仿宋" w:hAnsi="仿宋" w:eastAsia="仿宋" w:cs="仿宋"/>
          <w:color w:val="auto"/>
          <w:sz w:val="24"/>
          <w:highlight w:val="none"/>
        </w:rPr>
        <w:t>。</w:t>
      </w:r>
    </w:p>
    <w:p w14:paraId="2972A494">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4.2磋商文件的澄清 </w:t>
      </w:r>
    </w:p>
    <w:p w14:paraId="54F8F83F">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供应商对磋商文件如有疑点要求澄清，可用书面形式（包括并不仅限于纸质、信件和数据电文（包括电报、电传、传真、电子数据交换和电子邮件</w:t>
      </w:r>
      <w:r>
        <w:rPr>
          <w:rFonts w:hint="eastAsia" w:ascii="仿宋" w:hAnsi="仿宋" w:eastAsia="仿宋" w:cs="仿宋"/>
          <w:color w:val="auto"/>
          <w:highlight w:val="none"/>
        </w:rPr>
        <w:t>）)</w:t>
      </w:r>
      <w:r>
        <w:rPr>
          <w:rFonts w:hint="eastAsia" w:ascii="仿宋" w:hAnsi="仿宋" w:eastAsia="仿宋" w:cs="仿宋"/>
          <w:color w:val="auto"/>
          <w:sz w:val="24"/>
          <w:highlight w:val="none"/>
        </w:rPr>
        <w:t>等通知采购人，但通知不得迟于磋商截止前7日使采购人收到，采购人将用书面形式予以答复。如有必要，可将不说明来源的答复发给所有供应商。</w:t>
      </w:r>
    </w:p>
    <w:p w14:paraId="6CB02E73">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4.3磋商文件的修改</w:t>
      </w:r>
    </w:p>
    <w:p w14:paraId="719D4B52">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4.3.1在磋商截止时间前，采购人有权修改磋商文件，以书面形式通知所有供应商，通知中没有注明更改磋商截止时间的视为截止时间不变。修改的文件作为磋商文件的补充和组成部分，对所有供应商均有约束力。供应商应在两天内以书面形式确认已收到的修改文件，并需附法定代表人或其授权代表的签字加盖公章，逾期不确认的视同认可。</w:t>
      </w:r>
    </w:p>
    <w:p w14:paraId="7FFF44F7">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4.3.2为使供应有足够的时间按修改文件要求修正磋商响应文件，采购人可酌情推迟磋商截止时间，并将此变更通知供应商。在这种情况下，采购人与供应商以前在磋商截止期方面的全部权力、责任和义务，将适用于延长后新的磋商截止期。</w:t>
      </w:r>
    </w:p>
    <w:p w14:paraId="599B44FF">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4.4本项目各标段内，如出现打有“★”的指标为实质性指标，任意一条出现负偏离的均视同为实质性不响应磋商文件要求，作无效磋商处理。</w:t>
      </w:r>
    </w:p>
    <w:p w14:paraId="10F829AF">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5.参考品牌</w:t>
      </w:r>
    </w:p>
    <w:p w14:paraId="3B305945">
      <w:pPr>
        <w:snapToGrid w:val="0"/>
        <w:spacing w:line="336" w:lineRule="auto"/>
        <w:ind w:firstLine="470" w:firstLineChars="196"/>
        <w:jc w:val="left"/>
        <w:rPr>
          <w:rFonts w:ascii="仿宋" w:hAnsi="仿宋" w:eastAsia="仿宋" w:cs="仿宋"/>
          <w:color w:val="auto"/>
          <w:sz w:val="24"/>
          <w:highlight w:val="none"/>
        </w:rPr>
      </w:pPr>
      <w:r>
        <w:rPr>
          <w:rFonts w:hint="eastAsia" w:ascii="仿宋" w:hAnsi="仿宋" w:eastAsia="仿宋" w:cs="仿宋"/>
          <w:color w:val="auto"/>
          <w:sz w:val="24"/>
          <w:highlight w:val="none"/>
        </w:rPr>
        <w:t>本磋商文件如涉及各类品牌、型号，则所述品牌、型号是结合实际现有情况的推荐性参考方案，磋商方也可根据磋商文件得要求推荐性能相当或高于、服务条款相等或高于、符合采购方实际业务需求其他同档次优质品牌的产品，进行方案优化。</w:t>
      </w:r>
    </w:p>
    <w:p w14:paraId="77FEB72A">
      <w:pPr>
        <w:pStyle w:val="9"/>
        <w:spacing w:line="336" w:lineRule="auto"/>
        <w:rPr>
          <w:rFonts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59515B9D">
      <w:pPr>
        <w:adjustRightInd/>
        <w:spacing w:line="336"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三、响应文件</w:t>
      </w:r>
    </w:p>
    <w:p w14:paraId="0DCE2500">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1.响应文件的语言及计量单位</w:t>
      </w:r>
    </w:p>
    <w:p w14:paraId="76E78B29">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1.1供应商应仔细阅读磋商文件中的所有内容，按照磋商文件要求，详细编制响应文件，并保证响应文件的正确性和真实性。</w:t>
      </w:r>
    </w:p>
    <w:p w14:paraId="4F771A51">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 响应文件以及供应商与采购人、采购代理机构就有关磋商事宜的所有来往函电，均应以中文书写（技术术语除外）。</w:t>
      </w:r>
    </w:p>
    <w:p w14:paraId="773DE945">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1.3 磋商计量单位，除磋商文件中有特殊要求外，应采用中华人民共和国法定计量单位，货币单位：人民币元。</w:t>
      </w:r>
    </w:p>
    <w:p w14:paraId="2E6105D8">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1.4不按磋商文件的要求提供的响应文件可能导致被拒绝。</w:t>
      </w:r>
    </w:p>
    <w:p w14:paraId="17CBBADA">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1.5响应文件的形式和效力</w:t>
      </w:r>
    </w:p>
    <w:p w14:paraId="3DD89D8B">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1.5.1磋商响应文件为电子响应文件，电子响应文件按“政采云供应商项目采购-电子招投标操作指南”及本磋商文件要求制作、加密传输。</w:t>
      </w:r>
    </w:p>
    <w:p w14:paraId="43BF3D11">
      <w:pPr>
        <w:snapToGrid w:val="0"/>
        <w:spacing w:line="336" w:lineRule="auto"/>
        <w:ind w:firstLine="482" w:firstLineChars="200"/>
        <w:jc w:val="left"/>
        <w:rPr>
          <w:rFonts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1.5.2响应文件的效力：</w:t>
      </w:r>
    </w:p>
    <w:p w14:paraId="5906751C">
      <w:pPr>
        <w:snapToGrid w:val="0"/>
        <w:spacing w:line="336" w:lineRule="auto"/>
        <w:ind w:firstLine="482" w:firstLineChars="200"/>
        <w:jc w:val="left"/>
        <w:rPr>
          <w:rFonts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磋商响应文件未在磋商截止时间前完成传输的，视为磋商响应文件撤回；磋商响应文件未按时解密，亦视为响应文件撤回。</w:t>
      </w:r>
    </w:p>
    <w:p w14:paraId="3900F8CC">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2. 响应文件的组成</w:t>
      </w:r>
    </w:p>
    <w:p w14:paraId="4D1A2486">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磋商文件由“</w:t>
      </w:r>
      <w:r>
        <w:rPr>
          <w:rFonts w:hint="eastAsia" w:ascii="仿宋" w:hAnsi="仿宋" w:eastAsia="仿宋" w:cs="仿宋"/>
          <w:color w:val="auto"/>
          <w:sz w:val="24"/>
          <w:highlight w:val="none"/>
          <w:lang w:val="zh-CN"/>
        </w:rPr>
        <w:t>资格文件”、</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商务技术文件</w:t>
      </w:r>
      <w:r>
        <w:rPr>
          <w:rFonts w:hint="eastAsia" w:ascii="仿宋" w:hAnsi="仿宋" w:eastAsia="仿宋" w:cs="仿宋"/>
          <w:color w:val="auto"/>
          <w:sz w:val="24"/>
          <w:highlight w:val="none"/>
        </w:rPr>
        <w:t>资料”、“报价文件资料”三部分组成，其中</w:t>
      </w:r>
      <w:r>
        <w:rPr>
          <w:rFonts w:hint="eastAsia" w:ascii="仿宋" w:hAnsi="仿宋" w:eastAsia="仿宋" w:cs="仿宋"/>
          <w:b/>
          <w:color w:val="auto"/>
          <w:sz w:val="24"/>
          <w:highlight w:val="none"/>
        </w:rPr>
        <w:t>电子磋商响应文件中所须加盖公章部分均应采用电子签章。</w:t>
      </w:r>
    </w:p>
    <w:p w14:paraId="02B22C74">
      <w:pPr>
        <w:snapToGrid w:val="0"/>
        <w:spacing w:line="336" w:lineRule="auto"/>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zh-CN"/>
        </w:rPr>
        <w:t>.1资格文件：</w:t>
      </w:r>
    </w:p>
    <w:p w14:paraId="1113467D">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2.1.1符合参加政府采购活动应当具备的一般条件的承诺函；</w:t>
      </w:r>
    </w:p>
    <w:p w14:paraId="0D674EA1">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2.1.2联合协议（如果有)；</w:t>
      </w:r>
    </w:p>
    <w:p w14:paraId="0BA57996">
      <w:pPr>
        <w:snapToGrid w:val="0"/>
        <w:spacing w:line="336"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2.1.3分包意向协议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54672551">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2.1.4落实政府采购政策需满足的资格要求（如果有)；</w:t>
      </w:r>
    </w:p>
    <w:p w14:paraId="458F6662">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2.1.5本项目的特定资格要求（如果有)。</w:t>
      </w:r>
    </w:p>
    <w:p w14:paraId="7720AF68">
      <w:pPr>
        <w:snapToGrid w:val="0"/>
        <w:spacing w:line="336" w:lineRule="auto"/>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2商务技术</w:t>
      </w:r>
      <w:r>
        <w:rPr>
          <w:rFonts w:hint="eastAsia" w:ascii="仿宋" w:hAnsi="仿宋" w:eastAsia="仿宋" w:cs="仿宋"/>
          <w:b/>
          <w:color w:val="auto"/>
          <w:sz w:val="24"/>
          <w:highlight w:val="none"/>
          <w:lang w:val="zh-CN"/>
        </w:rPr>
        <w:t>文件：</w:t>
      </w:r>
    </w:p>
    <w:p w14:paraId="05BAAA48">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2.2.1响应函；</w:t>
      </w:r>
      <w:r>
        <w:rPr>
          <w:rFonts w:hint="eastAsia" w:ascii="仿宋" w:hAnsi="仿宋" w:eastAsia="仿宋" w:cs="仿宋"/>
          <w:color w:val="auto"/>
          <w:sz w:val="24"/>
          <w:highlight w:val="none"/>
          <w:lang w:val="zh-CN"/>
        </w:rPr>
        <w:t xml:space="preserve"> </w:t>
      </w:r>
    </w:p>
    <w:p w14:paraId="69A3B883">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2.2.2法定代表人授权委托书；</w:t>
      </w:r>
    </w:p>
    <w:p w14:paraId="4829DCA3">
      <w:pPr>
        <w:snapToGrid w:val="0"/>
        <w:spacing w:line="336"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2.2.3法定代表人及其授权代表身份证复印件</w:t>
      </w:r>
      <w:r>
        <w:rPr>
          <w:rFonts w:hint="eastAsia" w:ascii="仿宋" w:hAnsi="仿宋" w:eastAsia="仿宋" w:cs="仿宋"/>
          <w:color w:val="auto"/>
          <w:sz w:val="24"/>
          <w:highlight w:val="none"/>
          <w:lang w:eastAsia="zh-CN"/>
        </w:rPr>
        <w:t>；</w:t>
      </w:r>
    </w:p>
    <w:p w14:paraId="24194D01">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授权代表社保证明；</w:t>
      </w:r>
    </w:p>
    <w:p w14:paraId="666AFE4A">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法定代表人身份证明书；</w:t>
      </w:r>
    </w:p>
    <w:p w14:paraId="508C30A6">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2.2.6供应商在磋商响应文件技术偏离说明表中，应对项目技术规范和服务要求中所提出各项要求进行答复、说明和解释。如果供应商在技术偏离表中注明无偏离，评标结束后、签订采购合同前又认为其实际产品与磋商响应技术需求不一致的，视为供应商在磋商响应有效期内对其磋商响应文件进行了实质性修改，采购机构将把这一情况报送采购监管部门。</w:t>
      </w:r>
    </w:p>
    <w:p w14:paraId="3DB71511">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2.2.7廉政承诺书（格式见第六部分附件）；</w:t>
      </w:r>
    </w:p>
    <w:p w14:paraId="095752E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2.2.8提供相关标段成功案例。应有需方名称及联系电话，提供最终用户合同复印件（加盖单位公章）如无独立法人资格的分公司（如金融、保险、通讯等特定行业的全国性企业所设立的区域性分支机构）参加磋商的，磋商时提供的人员、业绩、荣誉、知识产权、项目案例等，必须为磋商响应分公司本身所具有，总公司或其他分公司的人员、业绩、荣誉、知识产权、项目案例等，不能作为该磋商响应分公司的文件予以确认。）；、</w:t>
      </w:r>
    </w:p>
    <w:p w14:paraId="564C8C9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2.2.9供应商应提供针对项目的完整技术解决方案：</w:t>
      </w:r>
    </w:p>
    <w:p w14:paraId="6A3D46CE">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3CF6EC5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磋商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磋商小组技术扣分直至认定为磋商无效都将是供应商的责任）。</w:t>
      </w:r>
    </w:p>
    <w:p w14:paraId="262D8A19">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本项目如需采购政府强制采购的节能产品的或磋商响应人提供的产品是环境标志产品，磋商响应人须按格式提供节能产品、环境标志产品认证证书复印件。</w:t>
      </w:r>
    </w:p>
    <w:p w14:paraId="7983AB2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14:paraId="4D73B665">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4B9C905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2.2.12供应商售后服务证明材料：由供应商根据本项目要求提供相应的售后服务证明材料或售后服务承诺；</w:t>
      </w:r>
    </w:p>
    <w:p w14:paraId="5658FE0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2.2.13供应商为完成本项目组建的工作小组名单，每个专业人员的情况和人员数应该明确表示，明确各阶段投入人数，在提交的磋商响应文件中安排的人员，须为公司的固定职员；每个参加项目人员的履历表应随磋商响应文件一并提交，主要内容包括学历、技术职称、工作特长、经验与业绩(包括从事相关项目的经验，对每一个项目有一个简要的描述，该人员参与的时间以及在项目中的责任)，资质情况等。</w:t>
      </w:r>
    </w:p>
    <w:p w14:paraId="0561D163">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2.2.14优惠条件：供应商承诺给予采购人的各种优惠条件，包括设备价格、运输、保险、安装调试、付款条件、技术服务、售后服务等方面的优惠；当优惠条件涉及“报价单”中的各项费用时，必须与最后报价相统一；（如有）</w:t>
      </w:r>
    </w:p>
    <w:p w14:paraId="18DB4ADB">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2.2.15备品备件清单（含随机自带的备品备件和质保期后供采购人选择的备品备件及配套零部件，明细备品备件及价格，且供货价格不高于成交价格；成交货物设备应提供易损部件的备件和整机备品）；（如有）</w:t>
      </w:r>
    </w:p>
    <w:p w14:paraId="08DE641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2.2.16培训计划（如有）；</w:t>
      </w:r>
    </w:p>
    <w:p w14:paraId="799141F8">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2.2.17验收方案；</w:t>
      </w:r>
    </w:p>
    <w:p w14:paraId="69B99B37">
      <w:pPr>
        <w:snapToGrid w:val="0"/>
        <w:spacing w:line="336" w:lineRule="auto"/>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u w:val="wave"/>
        </w:rPr>
        <w:t>未尽事宜请各</w:t>
      </w:r>
      <w:r>
        <w:rPr>
          <w:rFonts w:hint="eastAsia" w:ascii="仿宋" w:hAnsi="仿宋" w:eastAsia="仿宋" w:cs="仿宋"/>
          <w:color w:val="auto"/>
          <w:sz w:val="24"/>
          <w:highlight w:val="none"/>
          <w:u w:val="wave"/>
          <w:lang w:eastAsia="zh-CN"/>
        </w:rPr>
        <w:t>磋商响应</w:t>
      </w:r>
      <w:r>
        <w:rPr>
          <w:rFonts w:hint="eastAsia" w:ascii="仿宋" w:hAnsi="仿宋" w:eastAsia="仿宋" w:cs="仿宋"/>
          <w:color w:val="auto"/>
          <w:sz w:val="24"/>
          <w:highlight w:val="none"/>
          <w:u w:val="wave"/>
        </w:rPr>
        <w:t>单位按评分标准和相对应标项相关要求制作；</w:t>
      </w:r>
    </w:p>
    <w:p w14:paraId="03AEB925">
      <w:pPr>
        <w:snapToGrid w:val="0"/>
        <w:spacing w:line="336" w:lineRule="auto"/>
        <w:ind w:firstLine="480" w:firstLineChars="200"/>
        <w:rPr>
          <w:rFonts w:hint="default"/>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需要说明的其他文件和说明（格式自拟）。</w:t>
      </w:r>
    </w:p>
    <w:p w14:paraId="25448CB3">
      <w:pPr>
        <w:adjustRightInd/>
        <w:snapToGrid w:val="0"/>
        <w:spacing w:line="336" w:lineRule="auto"/>
        <w:ind w:firstLine="482" w:firstLineChars="200"/>
        <w:jc w:val="left"/>
        <w:rPr>
          <w:rFonts w:hint="default" w:ascii="仿宋" w:hAnsi="仿宋" w:eastAsia="仿宋" w:cs="仿宋"/>
          <w:b w:val="0"/>
          <w:bCs w:val="0"/>
          <w:i w:val="0"/>
          <w:iCs w:val="0"/>
          <w:color w:val="auto"/>
          <w:kern w:val="2"/>
          <w:sz w:val="24"/>
          <w:szCs w:val="24"/>
          <w:highlight w:val="none"/>
          <w:vertAlign w:val="baseline"/>
          <w:lang w:val="en-US" w:eastAsia="zh-CN" w:bidi="ar-SA"/>
        </w:rPr>
      </w:pPr>
      <w:r>
        <w:rPr>
          <w:rFonts w:hint="default" w:ascii="仿宋" w:hAnsi="仿宋" w:eastAsia="仿宋" w:cs="仿宋"/>
          <w:b/>
          <w:bCs/>
          <w:i w:val="0"/>
          <w:iCs w:val="0"/>
          <w:color w:val="auto"/>
          <w:kern w:val="2"/>
          <w:sz w:val="24"/>
          <w:szCs w:val="24"/>
          <w:highlight w:val="none"/>
          <w:vertAlign w:val="baseline"/>
          <w:lang w:val="zh-CN" w:eastAsia="zh-CN" w:bidi="ar-SA"/>
        </w:rPr>
        <w:t xml:space="preserve">2.3报价文件： </w:t>
      </w:r>
    </w:p>
    <w:p w14:paraId="39F0C087">
      <w:pPr>
        <w:adjustRightInd/>
        <w:snapToGrid w:val="0"/>
        <w:spacing w:line="336" w:lineRule="auto"/>
        <w:ind w:firstLine="480" w:firstLineChars="200"/>
        <w:jc w:val="left"/>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2.3.1磋商一览表（报价表）；</w:t>
      </w:r>
    </w:p>
    <w:p w14:paraId="057EB886">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2.3.2中小企业声明函</w:t>
      </w:r>
      <w:r>
        <w:rPr>
          <w:rFonts w:hint="eastAsia" w:ascii="仿宋" w:hAnsi="仿宋" w:eastAsia="仿宋" w:cs="仿宋"/>
          <w:b w:val="0"/>
          <w:bCs w:val="0"/>
          <w:i w:val="0"/>
          <w:iCs w:val="0"/>
          <w:color w:val="auto"/>
          <w:kern w:val="2"/>
          <w:sz w:val="24"/>
          <w:szCs w:val="24"/>
          <w:highlight w:val="none"/>
          <w:vertAlign w:val="baseline"/>
          <w:lang w:val="en-US" w:eastAsia="zh-CN" w:bidi="ar-SA"/>
        </w:rPr>
        <w:t>（如有）；</w:t>
      </w:r>
    </w:p>
    <w:p w14:paraId="48E8BEF3">
      <w:pPr>
        <w:autoSpaceDE w:val="0"/>
        <w:autoSpaceDN w:val="0"/>
        <w:adjustRightInd w:val="0"/>
        <w:spacing w:line="240" w:lineRule="auto"/>
        <w:ind w:firstLine="480" w:firstLineChars="200"/>
        <w:jc w:val="left"/>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sz w:val="24"/>
          <w:szCs w:val="24"/>
          <w:highlight w:val="none"/>
          <w:vertAlign w:val="baseline"/>
          <w:lang w:val="en-US" w:eastAsia="zh-CN" w:bidi="ar-SA"/>
        </w:rPr>
        <w:t xml:space="preserve">2.3.3 </w:t>
      </w:r>
      <w:r>
        <w:rPr>
          <w:rFonts w:hint="default" w:ascii="仿宋_GB2312" w:hAnsi="宋体" w:eastAsia="仿宋_GB2312" w:cs="仿宋_GB2312"/>
          <w:b w:val="0"/>
          <w:bCs w:val="0"/>
          <w:i w:val="0"/>
          <w:iCs w:val="0"/>
          <w:color w:val="auto"/>
          <w:sz w:val="24"/>
          <w:szCs w:val="24"/>
          <w:highlight w:val="none"/>
          <w:vertAlign w:val="baseline"/>
          <w:lang w:val="en-US" w:eastAsia="zh-CN" w:bidi="ar-SA"/>
        </w:rPr>
        <w:t>残疾人福利性单位声明函</w:t>
      </w:r>
      <w:r>
        <w:rPr>
          <w:rFonts w:hint="eastAsia" w:ascii="仿宋_GB2312" w:hAnsi="宋体" w:eastAsia="仿宋_GB2312" w:cs="仿宋_GB2312"/>
          <w:b w:val="0"/>
          <w:bCs w:val="0"/>
          <w:i w:val="0"/>
          <w:iCs w:val="0"/>
          <w:color w:val="auto"/>
          <w:sz w:val="24"/>
          <w:szCs w:val="24"/>
          <w:highlight w:val="none"/>
          <w:vertAlign w:val="baseline"/>
          <w:lang w:val="en-US" w:eastAsia="zh-CN" w:bidi="ar-SA"/>
        </w:rPr>
        <w:t>（如有）。</w:t>
      </w:r>
    </w:p>
    <w:p w14:paraId="2E158050">
      <w:pPr>
        <w:adjustRightInd w:val="0"/>
        <w:snapToGrid w:val="0"/>
        <w:spacing w:line="336" w:lineRule="auto"/>
        <w:ind w:firstLine="482" w:firstLineChars="200"/>
        <w:jc w:val="both"/>
        <w:rPr>
          <w:rFonts w:hint="eastAsia" w:ascii="仿宋" w:hAnsi="仿宋" w:eastAsia="仿宋" w:cs="仿宋"/>
          <w:b/>
          <w:color w:val="auto"/>
          <w:sz w:val="24"/>
          <w:highlight w:val="none"/>
          <w:lang w:val="zh-CN"/>
        </w:rPr>
      </w:pPr>
      <w:r>
        <w:rPr>
          <w:rFonts w:hint="default" w:ascii="仿宋" w:hAnsi="仿宋" w:eastAsia="仿宋" w:cs="仿宋"/>
          <w:b/>
          <w:bCs/>
          <w:i w:val="0"/>
          <w:iCs w:val="0"/>
          <w:color w:val="auto"/>
          <w:kern w:val="2"/>
          <w:sz w:val="24"/>
          <w:szCs w:val="24"/>
          <w:highlight w:val="none"/>
          <w:vertAlign w:val="baseline"/>
          <w:lang w:val="en-US" w:eastAsia="zh-CN" w:bidi="ar-SA"/>
        </w:rPr>
        <w:t>3.</w:t>
      </w:r>
      <w:r>
        <w:rPr>
          <w:rFonts w:hint="eastAsia" w:ascii="仿宋" w:hAnsi="仿宋" w:eastAsia="仿宋" w:cs="仿宋"/>
          <w:b/>
          <w:bCs/>
          <w:i w:val="0"/>
          <w:iCs w:val="0"/>
          <w:color w:val="auto"/>
          <w:kern w:val="2"/>
          <w:sz w:val="24"/>
          <w:szCs w:val="24"/>
          <w:highlight w:val="none"/>
          <w:vertAlign w:val="baseline"/>
          <w:lang w:val="zh-CN" w:eastAsia="zh-CN" w:bidi="ar-SA"/>
        </w:rPr>
        <w:t>磋商</w:t>
      </w:r>
      <w:r>
        <w:rPr>
          <w:rFonts w:hint="default" w:ascii="仿宋" w:hAnsi="仿宋" w:eastAsia="仿宋" w:cs="仿宋"/>
          <w:b/>
          <w:bCs/>
          <w:i w:val="0"/>
          <w:iCs w:val="0"/>
          <w:color w:val="auto"/>
          <w:kern w:val="2"/>
          <w:sz w:val="24"/>
          <w:szCs w:val="24"/>
          <w:highlight w:val="none"/>
          <w:vertAlign w:val="baseline"/>
          <w:lang w:val="zh-CN" w:eastAsia="zh-CN" w:bidi="ar-SA"/>
        </w:rPr>
        <w:t>报价</w:t>
      </w:r>
    </w:p>
    <w:p w14:paraId="5ED0C7C4">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3.1报价为采购人可以合格使用产品的价格，包括货款、包装、运输、保险、货到就位以及安装、调试、培训、保修及产品知识产权等一切费用。</w:t>
      </w:r>
    </w:p>
    <w:p w14:paraId="1C4F6AAC">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3.2磋商文件未列明，而供应商认为必需的费用也需列入报价。</w:t>
      </w:r>
    </w:p>
    <w:p w14:paraId="7209F55D">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3.2磋商报价只允许有一个报价，有选择的报价将不予接受（除指定外）。</w:t>
      </w:r>
    </w:p>
    <w:p w14:paraId="5C19A93E">
      <w:pPr>
        <w:adjustRightInd w:val="0"/>
        <w:snapToGrid w:val="0"/>
        <w:spacing w:line="336" w:lineRule="auto"/>
        <w:ind w:firstLine="480" w:firstLineChars="200"/>
        <w:jc w:val="both"/>
        <w:rPr>
          <w:rFonts w:hint="eastAsia" w:ascii="仿宋" w:hAnsi="仿宋" w:eastAsia="仿宋" w:cs="仿宋"/>
          <w:b/>
          <w:color w:val="auto"/>
          <w:sz w:val="24"/>
          <w:highlight w:val="none"/>
          <w:lang w:val="zh-CN"/>
        </w:rPr>
      </w:pPr>
      <w:r>
        <w:rPr>
          <w:rFonts w:hint="default" w:ascii="仿宋" w:hAnsi="仿宋" w:eastAsia="仿宋" w:cs="仿宋"/>
          <w:b w:val="0"/>
          <w:bCs w:val="0"/>
          <w:i w:val="0"/>
          <w:iCs w:val="0"/>
          <w:color w:val="auto"/>
          <w:kern w:val="2"/>
          <w:sz w:val="24"/>
          <w:szCs w:val="24"/>
          <w:highlight w:val="none"/>
          <w:vertAlign w:val="baseline"/>
          <w:lang w:val="en-US" w:eastAsia="zh-CN" w:bidi="ar-SA"/>
        </w:rPr>
        <w:t>3.3供应商提供虚假材料磋商的，磋商无效。</w:t>
      </w:r>
    </w:p>
    <w:p w14:paraId="083A2861">
      <w:pPr>
        <w:pStyle w:val="12"/>
        <w:spacing w:line="336" w:lineRule="auto"/>
        <w:ind w:firstLine="482" w:firstLineChars="200"/>
        <w:rPr>
          <w:rFonts w:ascii="仿宋" w:hAnsi="仿宋" w:eastAsia="仿宋" w:cs="仿宋"/>
          <w:b/>
          <w:color w:val="auto"/>
          <w:sz w:val="24"/>
          <w:szCs w:val="24"/>
          <w:highlight w:val="none"/>
        </w:rPr>
      </w:pPr>
      <w:r>
        <w:rPr>
          <w:rFonts w:hint="default" w:ascii="仿宋" w:hAnsi="仿宋" w:eastAsia="仿宋" w:cs="仿宋"/>
          <w:b/>
          <w:color w:val="auto"/>
          <w:sz w:val="24"/>
          <w:szCs w:val="24"/>
          <w:highlight w:val="none"/>
          <w:lang w:val="en-US"/>
        </w:rPr>
        <w:t>4.</w:t>
      </w:r>
      <w:r>
        <w:rPr>
          <w:rFonts w:hint="eastAsia" w:ascii="仿宋" w:hAnsi="仿宋" w:eastAsia="仿宋" w:cs="仿宋"/>
          <w:b/>
          <w:color w:val="auto"/>
          <w:sz w:val="24"/>
          <w:szCs w:val="24"/>
          <w:highlight w:val="none"/>
        </w:rPr>
        <w:t xml:space="preserve"> 响应文件的编制和签署</w:t>
      </w:r>
    </w:p>
    <w:p w14:paraId="67B9252C">
      <w:pPr>
        <w:spacing w:line="336" w:lineRule="auto"/>
        <w:ind w:firstLine="480" w:firstLineChars="200"/>
        <w:rPr>
          <w:rFonts w:ascii="仿宋" w:hAnsi="仿宋" w:eastAsia="仿宋" w:cs="仿宋"/>
          <w:b/>
          <w:color w:val="auto"/>
          <w:sz w:val="24"/>
          <w:highlight w:val="none"/>
        </w:rPr>
      </w:pPr>
      <w:r>
        <w:rPr>
          <w:rFonts w:hint="default" w:ascii="仿宋" w:hAnsi="仿宋" w:eastAsia="仿宋" w:cs="仿宋"/>
          <w:color w:val="auto"/>
          <w:kern w:val="0"/>
          <w:sz w:val="24"/>
          <w:highlight w:val="none"/>
          <w:lang w:val="en-US"/>
        </w:rPr>
        <w:t>4</w:t>
      </w:r>
      <w:r>
        <w:rPr>
          <w:rFonts w:hint="eastAsia" w:ascii="仿宋" w:hAnsi="仿宋" w:eastAsia="仿宋" w:cs="仿宋"/>
          <w:color w:val="auto"/>
          <w:kern w:val="0"/>
          <w:sz w:val="24"/>
          <w:highlight w:val="none"/>
          <w:lang w:val="zh-CN"/>
        </w:rPr>
        <w:t>.1响应文件分为资格文件、商务技术文件、报价文件三部分。各供应商在编制磋商响应文件时请按照磋商文件第六部分规定的格式进行，混乱的编排导致磋商响应文件被误读或评标委员会查找不到有效文件是供应商的风险。</w:t>
      </w:r>
    </w:p>
    <w:p w14:paraId="08729400">
      <w:pPr>
        <w:spacing w:line="336" w:lineRule="auto"/>
        <w:ind w:firstLine="480" w:firstLineChars="200"/>
        <w:rPr>
          <w:rFonts w:ascii="仿宋" w:hAnsi="仿宋" w:eastAsia="仿宋" w:cs="仿宋"/>
          <w:color w:val="auto"/>
          <w:kern w:val="0"/>
          <w:sz w:val="24"/>
          <w:highlight w:val="none"/>
          <w:lang w:val="zh-CN"/>
        </w:rPr>
      </w:pPr>
      <w:r>
        <w:rPr>
          <w:rFonts w:hint="default" w:ascii="仿宋" w:hAnsi="仿宋" w:eastAsia="仿宋" w:cs="仿宋"/>
          <w:color w:val="auto"/>
          <w:kern w:val="0"/>
          <w:sz w:val="24"/>
          <w:highlight w:val="none"/>
          <w:lang w:val="en-US"/>
        </w:rPr>
        <w:t>4</w:t>
      </w:r>
      <w:r>
        <w:rPr>
          <w:rFonts w:hint="eastAsia" w:ascii="仿宋" w:hAnsi="仿宋" w:eastAsia="仿宋" w:cs="仿宋"/>
          <w:color w:val="auto"/>
          <w:kern w:val="0"/>
          <w:sz w:val="24"/>
          <w:highlight w:val="none"/>
          <w:lang w:val="zh-CN"/>
        </w:rPr>
        <w:t>.2供应商进行电子交易应安装客户端软件—“政采云电子交易客户端”，并按照磋商文件和电子交易平台的要求编制并加密响应文件。供应商未按规定加密的响应文件，电子交易平台将拒收并提示。</w:t>
      </w:r>
    </w:p>
    <w:p w14:paraId="382280EA">
      <w:pPr>
        <w:spacing w:line="336" w:lineRule="auto"/>
        <w:ind w:firstLine="480" w:firstLineChars="200"/>
        <w:rPr>
          <w:rFonts w:ascii="仿宋" w:hAnsi="仿宋" w:eastAsia="仿宋" w:cs="仿宋"/>
          <w:color w:val="auto"/>
          <w:kern w:val="0"/>
          <w:sz w:val="24"/>
          <w:highlight w:val="none"/>
          <w:lang w:val="zh-CN"/>
        </w:rPr>
      </w:pPr>
      <w:r>
        <w:rPr>
          <w:rFonts w:hint="default" w:ascii="仿宋" w:hAnsi="仿宋" w:eastAsia="仿宋" w:cs="仿宋"/>
          <w:color w:val="auto"/>
          <w:kern w:val="0"/>
          <w:sz w:val="24"/>
          <w:highlight w:val="none"/>
          <w:lang w:val="en-US"/>
        </w:rPr>
        <w:t>4</w:t>
      </w:r>
      <w:r>
        <w:rPr>
          <w:rFonts w:hint="eastAsia" w:ascii="仿宋" w:hAnsi="仿宋" w:eastAsia="仿宋" w:cs="仿宋"/>
          <w:color w:val="auto"/>
          <w:kern w:val="0"/>
          <w:sz w:val="24"/>
          <w:highlight w:val="none"/>
          <w:lang w:val="zh-CN"/>
        </w:rPr>
        <w:t>.3使用“政采云电子交易客户端”需要提前申领CA数字证书，申领流程请自行前往“浙江政府采购网-下载专区-电子交易客户端-CA驱动和申领流程”进行查阅。</w:t>
      </w:r>
    </w:p>
    <w:p w14:paraId="3B060F12">
      <w:pPr>
        <w:pStyle w:val="25"/>
        <w:snapToGrid w:val="0"/>
        <w:spacing w:before="0" w:line="336" w:lineRule="auto"/>
        <w:ind w:firstLine="480"/>
        <w:rPr>
          <w:rFonts w:ascii="仿宋" w:hAnsi="仿宋" w:eastAsia="仿宋" w:cs="仿宋"/>
          <w:b/>
          <w:color w:val="auto"/>
          <w:highlight w:val="none"/>
        </w:rPr>
      </w:pPr>
      <w:r>
        <w:rPr>
          <w:rFonts w:hint="default" w:ascii="仿宋" w:hAnsi="仿宋" w:eastAsia="仿宋" w:cs="仿宋"/>
          <w:color w:val="auto"/>
          <w:szCs w:val="24"/>
          <w:highlight w:val="none"/>
          <w:lang w:val="en-US"/>
        </w:rPr>
        <w:t>4</w:t>
      </w:r>
      <w:r>
        <w:rPr>
          <w:rFonts w:hint="eastAsia" w:ascii="仿宋" w:hAnsi="仿宋" w:eastAsia="仿宋" w:cs="仿宋"/>
          <w:color w:val="auto"/>
          <w:szCs w:val="24"/>
          <w:highlight w:val="none"/>
        </w:rPr>
        <w:t>.4响应文件按照磋商文件第六部分格式要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供应商的响应文件未按照磋商文件要求签署、盖章的，其响应无效</w:t>
      </w:r>
      <w:r>
        <w:rPr>
          <w:rFonts w:hint="eastAsia" w:ascii="仿宋" w:hAnsi="仿宋" w:eastAsia="仿宋" w:cs="仿宋"/>
          <w:color w:val="auto"/>
          <w:szCs w:val="24"/>
          <w:highlight w:val="none"/>
        </w:rPr>
        <w:t>。</w:t>
      </w:r>
    </w:p>
    <w:p w14:paraId="0AB72957">
      <w:pPr>
        <w:pStyle w:val="25"/>
        <w:snapToGrid w:val="0"/>
        <w:spacing w:before="0" w:line="336" w:lineRule="auto"/>
        <w:ind w:firstLine="480"/>
        <w:rPr>
          <w:rFonts w:ascii="仿宋" w:hAnsi="仿宋" w:eastAsia="仿宋" w:cs="仿宋"/>
          <w:color w:val="auto"/>
          <w:highlight w:val="none"/>
        </w:rPr>
      </w:pPr>
      <w:r>
        <w:rPr>
          <w:rFonts w:hint="default" w:ascii="仿宋" w:hAnsi="仿宋" w:eastAsia="仿宋" w:cs="仿宋"/>
          <w:color w:val="auto"/>
          <w:szCs w:val="24"/>
          <w:highlight w:val="none"/>
          <w:lang w:val="en-US"/>
        </w:rPr>
        <w:t>4</w:t>
      </w:r>
      <w:r>
        <w:rPr>
          <w:rFonts w:hint="eastAsia" w:ascii="仿宋" w:hAnsi="仿宋" w:eastAsia="仿宋" w:cs="仿宋"/>
          <w:color w:val="auto"/>
          <w:szCs w:val="24"/>
          <w:highlight w:val="none"/>
        </w:rPr>
        <w:t>.5为确保网上操作合法、有效和安全，供应商应当在响应截止时间前完成在“政府采购云平台”的身份认证，确保在电子交易过程中能够对相关数据电文进行加密和使用电子签名。</w:t>
      </w:r>
    </w:p>
    <w:p w14:paraId="2E5E9769">
      <w:pPr>
        <w:pStyle w:val="25"/>
        <w:snapToGrid w:val="0"/>
        <w:spacing w:before="0" w:line="336" w:lineRule="auto"/>
        <w:ind w:firstLine="480"/>
        <w:rPr>
          <w:rFonts w:ascii="仿宋" w:hAnsi="仿宋" w:eastAsia="仿宋" w:cs="仿宋"/>
          <w:color w:val="auto"/>
          <w:szCs w:val="24"/>
          <w:highlight w:val="none"/>
        </w:rPr>
      </w:pPr>
      <w:r>
        <w:rPr>
          <w:rFonts w:hint="default" w:ascii="仿宋" w:hAnsi="仿宋" w:eastAsia="仿宋" w:cs="仿宋"/>
          <w:color w:val="auto"/>
          <w:highlight w:val="none"/>
          <w:lang w:val="en-US"/>
        </w:rPr>
        <w:t>4.</w:t>
      </w:r>
      <w:r>
        <w:rPr>
          <w:rFonts w:hint="eastAsia" w:ascii="仿宋" w:hAnsi="仿宋" w:eastAsia="仿宋" w:cs="仿宋"/>
          <w:color w:val="auto"/>
          <w:highlight w:val="none"/>
        </w:rPr>
        <w:t>6磋商文件对响应文件签署、盖章的要求适用于电子签名。</w:t>
      </w:r>
    </w:p>
    <w:p w14:paraId="73BB85D3">
      <w:pPr>
        <w:pStyle w:val="25"/>
        <w:spacing w:before="0" w:line="336" w:lineRule="auto"/>
        <w:ind w:firstLine="482" w:firstLineChars="200"/>
        <w:rPr>
          <w:rFonts w:ascii="仿宋" w:hAnsi="仿宋" w:eastAsia="仿宋" w:cs="仿宋"/>
          <w:b/>
          <w:color w:val="auto"/>
          <w:szCs w:val="24"/>
          <w:highlight w:val="none"/>
        </w:rPr>
      </w:pPr>
      <w:r>
        <w:rPr>
          <w:rFonts w:hint="default" w:ascii="仿宋" w:hAnsi="仿宋" w:eastAsia="仿宋" w:cs="仿宋"/>
          <w:b/>
          <w:color w:val="auto"/>
          <w:szCs w:val="24"/>
          <w:highlight w:val="none"/>
          <w:lang w:val="en-US"/>
        </w:rPr>
        <w:t>5</w:t>
      </w:r>
      <w:r>
        <w:rPr>
          <w:rFonts w:hint="eastAsia" w:ascii="仿宋" w:hAnsi="仿宋" w:eastAsia="仿宋" w:cs="仿宋"/>
          <w:b/>
          <w:color w:val="auto"/>
          <w:szCs w:val="24"/>
          <w:highlight w:val="none"/>
        </w:rPr>
        <w:t>. 磋商响应文件的提交、补充、修改、撤回</w:t>
      </w:r>
    </w:p>
    <w:p w14:paraId="7EE30CBB">
      <w:pPr>
        <w:pStyle w:val="25"/>
        <w:spacing w:before="0" w:line="336" w:lineRule="auto"/>
        <w:ind w:firstLine="480"/>
        <w:rPr>
          <w:rFonts w:ascii="仿宋" w:hAnsi="仿宋" w:eastAsia="仿宋" w:cs="仿宋"/>
          <w:color w:val="auto"/>
          <w:szCs w:val="24"/>
          <w:highlight w:val="none"/>
        </w:rPr>
      </w:pPr>
      <w:r>
        <w:rPr>
          <w:rFonts w:hint="default" w:ascii="仿宋" w:hAnsi="仿宋" w:eastAsia="仿宋" w:cs="仿宋"/>
          <w:color w:val="auto"/>
          <w:szCs w:val="24"/>
          <w:highlight w:val="none"/>
          <w:lang w:val="en-US"/>
        </w:rPr>
        <w:t>5</w:t>
      </w:r>
      <w:r>
        <w:rPr>
          <w:rFonts w:hint="eastAsia" w:ascii="仿宋" w:hAnsi="仿宋" w:eastAsia="仿宋" w:cs="仿宋"/>
          <w:color w:val="auto"/>
          <w:szCs w:val="24"/>
          <w:highlight w:val="none"/>
        </w:rPr>
        <w:t>.1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60FF5B37">
      <w:pPr>
        <w:spacing w:line="336" w:lineRule="auto"/>
        <w:ind w:firstLine="480" w:firstLineChars="200"/>
        <w:rPr>
          <w:rFonts w:ascii="仿宋" w:hAnsi="仿宋" w:eastAsia="仿宋" w:cs="仿宋"/>
          <w:color w:val="auto"/>
          <w:sz w:val="24"/>
          <w:highlight w:val="none"/>
        </w:rPr>
      </w:pPr>
      <w:r>
        <w:rPr>
          <w:rFonts w:hint="default" w:ascii="仿宋" w:hAnsi="仿宋" w:eastAsia="仿宋" w:cs="仿宋"/>
          <w:color w:val="auto"/>
          <w:sz w:val="24"/>
          <w:highlight w:val="none"/>
          <w:lang w:val="en-US"/>
        </w:rPr>
        <w:t>5</w:t>
      </w:r>
      <w:r>
        <w:rPr>
          <w:rFonts w:hint="eastAsia" w:ascii="仿宋" w:hAnsi="仿宋" w:eastAsia="仿宋" w:cs="仿宋"/>
          <w:color w:val="auto"/>
          <w:sz w:val="24"/>
          <w:highlight w:val="none"/>
        </w:rPr>
        <w:t>.2 在响应截止时间以后，不能补充、修改响应文件。</w:t>
      </w:r>
    </w:p>
    <w:p w14:paraId="70DC46D1">
      <w:pPr>
        <w:spacing w:line="336" w:lineRule="auto"/>
        <w:ind w:firstLine="480" w:firstLineChars="200"/>
        <w:rPr>
          <w:rFonts w:ascii="仿宋" w:hAnsi="仿宋" w:eastAsia="仿宋" w:cs="仿宋"/>
          <w:color w:val="auto"/>
          <w:sz w:val="24"/>
          <w:highlight w:val="none"/>
        </w:rPr>
      </w:pPr>
      <w:r>
        <w:rPr>
          <w:rFonts w:hint="default" w:ascii="仿宋" w:hAnsi="仿宋" w:eastAsia="仿宋" w:cs="仿宋"/>
          <w:color w:val="auto"/>
          <w:sz w:val="24"/>
          <w:highlight w:val="none"/>
          <w:lang w:val="en-US"/>
        </w:rPr>
        <w:t>5.</w:t>
      </w:r>
      <w:r>
        <w:rPr>
          <w:rFonts w:hint="eastAsia" w:ascii="仿宋" w:hAnsi="仿宋" w:eastAsia="仿宋" w:cs="仿宋"/>
          <w:color w:val="auto"/>
          <w:sz w:val="24"/>
          <w:highlight w:val="none"/>
        </w:rPr>
        <w:t>3 在提交“最后报价”后，供应商不能退出磋商。</w:t>
      </w:r>
    </w:p>
    <w:p w14:paraId="65A73A4D">
      <w:pPr>
        <w:spacing w:line="336" w:lineRule="auto"/>
        <w:ind w:firstLine="480" w:firstLineChars="200"/>
        <w:rPr>
          <w:rFonts w:ascii="仿宋" w:hAnsi="仿宋" w:eastAsia="仿宋" w:cs="仿宋"/>
          <w:color w:val="auto"/>
          <w:sz w:val="24"/>
          <w:highlight w:val="none"/>
        </w:rPr>
      </w:pPr>
      <w:r>
        <w:rPr>
          <w:rFonts w:hint="default" w:ascii="仿宋" w:hAnsi="仿宋" w:eastAsia="仿宋" w:cs="仿宋"/>
          <w:color w:val="auto"/>
          <w:sz w:val="24"/>
          <w:highlight w:val="none"/>
          <w:lang w:val="en-US"/>
        </w:rPr>
        <w:t>5</w:t>
      </w:r>
      <w:r>
        <w:rPr>
          <w:rFonts w:hint="eastAsia" w:ascii="仿宋" w:hAnsi="仿宋" w:eastAsia="仿宋" w:cs="仿宋"/>
          <w:color w:val="auto"/>
          <w:sz w:val="24"/>
          <w:highlight w:val="none"/>
        </w:rPr>
        <w:t>.4 电子交易平台收到响应文件，将妥善保存并即时向供应商发出确认回执通知。在响应截止时间前，除供应商补充、修改或者撤回响应文件外，任何单位和个人不得解密或提取响应文件。</w:t>
      </w:r>
    </w:p>
    <w:p w14:paraId="1320A22C">
      <w:pPr>
        <w:spacing w:line="336" w:lineRule="auto"/>
        <w:ind w:firstLine="480" w:firstLineChars="200"/>
        <w:rPr>
          <w:rFonts w:ascii="仿宋" w:hAnsi="仿宋" w:eastAsia="仿宋" w:cs="仿宋"/>
          <w:b/>
          <w:color w:val="auto"/>
          <w:sz w:val="24"/>
          <w:szCs w:val="24"/>
          <w:highlight w:val="none"/>
        </w:rPr>
      </w:pPr>
      <w:r>
        <w:rPr>
          <w:rFonts w:hint="default" w:ascii="仿宋" w:hAnsi="仿宋" w:eastAsia="仿宋" w:cs="仿宋"/>
          <w:color w:val="auto"/>
          <w:sz w:val="24"/>
          <w:highlight w:val="none"/>
          <w:lang w:val="en-US"/>
        </w:rPr>
        <w:t>5</w:t>
      </w:r>
      <w:r>
        <w:rPr>
          <w:rFonts w:hint="eastAsia" w:ascii="仿宋" w:hAnsi="仿宋" w:eastAsia="仿宋" w:cs="仿宋"/>
          <w:color w:val="auto"/>
          <w:sz w:val="24"/>
          <w:highlight w:val="none"/>
        </w:rPr>
        <w:t>.5 采购代理机构可以视情况延长提交响应文件的截止时间。在上述情况下，采购代理机构与供应商以前在响应截止期方面的全部权利、责任和义务，将适用于延长至新的响应截止期。</w:t>
      </w:r>
    </w:p>
    <w:p w14:paraId="3538EDC6">
      <w:pPr>
        <w:pStyle w:val="25"/>
        <w:spacing w:before="0" w:line="336" w:lineRule="auto"/>
        <w:ind w:firstLine="420" w:firstLineChars="200"/>
        <w:rPr>
          <w:rFonts w:ascii="仿宋" w:hAnsi="仿宋" w:eastAsia="仿宋" w:cs="仿宋"/>
          <w:b/>
          <w:color w:val="auto"/>
          <w:szCs w:val="24"/>
          <w:highlight w:val="none"/>
        </w:rPr>
      </w:pPr>
      <w:r>
        <w:rPr>
          <w:rStyle w:val="22"/>
          <w:color w:val="auto"/>
          <w:highlight w:val="none"/>
          <w:lang w:val="en-US"/>
        </w:rPr>
        <w:t>6.</w:t>
      </w:r>
      <w:r>
        <w:rPr>
          <w:rFonts w:hint="eastAsia" w:ascii="仿宋" w:hAnsi="仿宋" w:eastAsia="仿宋" w:cs="仿宋"/>
          <w:b/>
          <w:color w:val="auto"/>
          <w:szCs w:val="24"/>
          <w:highlight w:val="none"/>
        </w:rPr>
        <w:t>磋商响应有效期</w:t>
      </w:r>
    </w:p>
    <w:p w14:paraId="7E0D4A8A">
      <w:pPr>
        <w:snapToGrid w:val="0"/>
        <w:spacing w:line="336" w:lineRule="auto"/>
        <w:ind w:firstLine="480" w:firstLineChars="200"/>
        <w:jc w:val="left"/>
        <w:rPr>
          <w:rFonts w:ascii="仿宋" w:hAnsi="仿宋" w:eastAsia="仿宋" w:cs="仿宋"/>
          <w:color w:val="auto"/>
          <w:sz w:val="24"/>
          <w:highlight w:val="none"/>
        </w:rPr>
      </w:pP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1磋商响应有效期为从提交磋商响应文件的截止之日起90天。供应商的磋商响应文件中承诺的磋商响应有效期少于磋商文件中载明的磋商有效期的，磋商无效。</w:t>
      </w:r>
    </w:p>
    <w:p w14:paraId="0E2AD449">
      <w:pPr>
        <w:snapToGrid w:val="0"/>
        <w:spacing w:line="336" w:lineRule="auto"/>
        <w:ind w:firstLine="480" w:firstLineChars="200"/>
        <w:jc w:val="left"/>
        <w:rPr>
          <w:rFonts w:ascii="仿宋" w:hAnsi="仿宋" w:eastAsia="仿宋" w:cs="仿宋"/>
          <w:color w:val="auto"/>
          <w:sz w:val="24"/>
          <w:highlight w:val="none"/>
        </w:rPr>
      </w:pP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2磋商响应文件合格投递后，自磋商截止日期起，在磋商有效期内有效。</w:t>
      </w:r>
    </w:p>
    <w:p w14:paraId="3444BF8B">
      <w:pPr>
        <w:snapToGrid w:val="0"/>
        <w:spacing w:line="336" w:lineRule="auto"/>
        <w:ind w:firstLine="480" w:firstLineChars="200"/>
        <w:jc w:val="left"/>
        <w:rPr>
          <w:rFonts w:ascii="仿宋" w:hAnsi="仿宋" w:eastAsia="仿宋" w:cs="仿宋"/>
          <w:color w:val="auto"/>
          <w:sz w:val="24"/>
          <w:highlight w:val="none"/>
        </w:rPr>
      </w:pP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3在原定磋商有效期满之前，如果出现特殊情况，采购代理机构可以以书面形式通知供应商延长磋商有效期。供应商同意延长的，不得要求或被允许修改其磋商响应文件，供应商拒绝延长的，其磋商无效。</w:t>
      </w:r>
    </w:p>
    <w:p w14:paraId="2B452BEB">
      <w:pPr>
        <w:adjustRightInd/>
        <w:spacing w:line="336" w:lineRule="auto"/>
        <w:outlineLvl w:val="0"/>
        <w:rPr>
          <w:rFonts w:ascii="仿宋" w:hAnsi="仿宋" w:eastAsia="仿宋" w:cs="仿宋"/>
          <w:b/>
          <w:color w:val="auto"/>
          <w:sz w:val="32"/>
          <w:szCs w:val="20"/>
          <w:highlight w:val="none"/>
        </w:rPr>
      </w:pPr>
    </w:p>
    <w:p w14:paraId="13DC9FC0">
      <w:pPr>
        <w:adjustRightInd/>
        <w:spacing w:line="336" w:lineRule="auto"/>
        <w:jc w:val="center"/>
        <w:outlineLvl w:val="0"/>
        <w:rPr>
          <w:rFonts w:ascii="仿宋" w:hAnsi="仿宋" w:eastAsia="仿宋" w:cs="仿宋"/>
          <w:b/>
          <w:color w:val="auto"/>
          <w:sz w:val="32"/>
          <w:highlight w:val="none"/>
        </w:rPr>
      </w:pPr>
      <w:r>
        <w:rPr>
          <w:rFonts w:hint="eastAsia" w:ascii="仿宋" w:hAnsi="仿宋" w:eastAsia="仿宋" w:cs="仿宋"/>
          <w:b/>
          <w:color w:val="auto"/>
          <w:sz w:val="32"/>
          <w:szCs w:val="20"/>
          <w:highlight w:val="none"/>
        </w:rPr>
        <w:t>四、</w:t>
      </w:r>
      <w:r>
        <w:rPr>
          <w:rFonts w:hint="eastAsia" w:ascii="仿宋" w:hAnsi="仿宋" w:eastAsia="仿宋" w:cs="仿宋"/>
          <w:b/>
          <w:color w:val="auto"/>
          <w:sz w:val="32"/>
          <w:szCs w:val="32"/>
          <w:highlight w:val="none"/>
        </w:rPr>
        <w:t>磋商和评审</w:t>
      </w:r>
    </w:p>
    <w:p w14:paraId="6B881BA7">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1．磋商程序</w:t>
      </w:r>
    </w:p>
    <w:p w14:paraId="7934FE2E">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1.1响应截止时间后，主持人宣布磋商开始。</w:t>
      </w:r>
    </w:p>
    <w:p w14:paraId="7AD86220">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1.2供应商登录政采云平台，用“项目采购-开标评标”功能对电子磋商响应文件进行在线解密。在线解密电子磋商响应文件时间为磋商截止时间起30分钟内。</w:t>
      </w:r>
    </w:p>
    <w:p w14:paraId="4AB748B1">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1.3确定各供应商磋商、演示顺序（如有要求）。</w:t>
      </w:r>
    </w:p>
    <w:p w14:paraId="35329943">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1.4磋商小组对磋商响应文件进行评估和比较。</w:t>
      </w:r>
    </w:p>
    <w:p w14:paraId="7F22C63B">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1.5磋商小组与单一供应商分别进行磋商。</w:t>
      </w:r>
    </w:p>
    <w:p w14:paraId="582EFE9B">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bCs/>
          <w:color w:val="auto"/>
          <w:sz w:val="24"/>
          <w:highlight w:val="none"/>
        </w:rPr>
        <w:t>1.6</w:t>
      </w:r>
      <w:r>
        <w:rPr>
          <w:rFonts w:hint="eastAsia" w:ascii="仿宋" w:hAnsi="仿宋" w:eastAsia="仿宋" w:cs="仿宋"/>
          <w:b/>
          <w:bCs/>
          <w:color w:val="auto"/>
          <w:sz w:val="24"/>
          <w:highlight w:val="none"/>
        </w:rPr>
        <w:t>磋商小组要求所有实质性响应的供应商在规定时间内提交最后报价（只公开最后报价，最后报价不得高于初次报价）。</w:t>
      </w:r>
    </w:p>
    <w:p w14:paraId="5C715296">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1.7由磋商小组采用综合评分法对提交最后报价的供应商的磋商响应文件和最后报价进行综合评审，在符合采购需求、质量和服务要求的前提下，按评审得分从高到低顺序推荐确定成交候选供应商。</w:t>
      </w:r>
    </w:p>
    <w:p w14:paraId="66C1D571">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1.8主持人公布磋商结果。</w:t>
      </w:r>
    </w:p>
    <w:p w14:paraId="2C74E6BE">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特别说明：政采云公司如对电子化磋商程序有调整的，按调整后的程序操作。</w:t>
      </w:r>
    </w:p>
    <w:p w14:paraId="6844ECB6">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3F34B88F">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2.1电子交易平台发生故障而无法登录访问的； </w:t>
      </w:r>
    </w:p>
    <w:p w14:paraId="619F8647">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2.2电子交易平台应用或数据库出现错误，不能进行正常操作的；</w:t>
      </w:r>
    </w:p>
    <w:p w14:paraId="1E5502E9">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2.3电子交易平台发现严重安全漏洞，有潜在泄密危险的；</w:t>
      </w:r>
    </w:p>
    <w:p w14:paraId="5FAD5CB8">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2.4病毒发作导致不能进行正常操作的； </w:t>
      </w:r>
    </w:p>
    <w:p w14:paraId="7F621123">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2.5其他无法保证电子交易的公平、公正和安全的情况。</w:t>
      </w:r>
    </w:p>
    <w:p w14:paraId="3A3227FF">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出现前款规定情形，不影响采购公平、公正性的，采购组织机构可以待上述情形消除后继续组织电子交易活动，也可以决定某些环节以纸质形式进行；影响或可</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能影响采购公平、公正性的，应当重新采购。</w:t>
      </w:r>
    </w:p>
    <w:p w14:paraId="261A606C">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磋商内容</w:t>
      </w:r>
    </w:p>
    <w:p w14:paraId="75BB339F">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3.1本次磋商内容为在磋商文件范围内就供应商的磋商响应文件，磋商小组与供应商在技术、价格、服务、合同等问题进行磋商，最终确定成交与否。</w:t>
      </w:r>
    </w:p>
    <w:p w14:paraId="5A9ABDE8">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3.2磋商应作书面记录，供应商并就磋商内容作出书面承诺，并由供应商法定代表人或其授权委托人签字后生效，作为磋商响应文件的一部分。</w:t>
      </w:r>
    </w:p>
    <w:p w14:paraId="13677DBD">
      <w:pPr>
        <w:spacing w:line="336"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3.3磋商文件有实质性变动的，磋商小组以书面形式通知所有参加磋商的供应商。</w:t>
      </w:r>
    </w:p>
    <w:p w14:paraId="3339B5C9">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4</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磋商</w:t>
      </w:r>
    </w:p>
    <w:p w14:paraId="42D157C8">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4.1磋商小组由采购人依法组建，负责评审活动。磋商小组遵循公开、公平、公正、科学合理、竞争择优的原则。</w:t>
      </w:r>
    </w:p>
    <w:p w14:paraId="5170C297">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4.2磋商小组由采购人代表和有关方面的专家组成，成员人数为3人以上单数。</w:t>
      </w:r>
    </w:p>
    <w:p w14:paraId="7010861E">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4.3磋商小组负责对供应商资格的最终审定。</w:t>
      </w:r>
    </w:p>
    <w:p w14:paraId="44D8C3C6">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4.4磋商小组可以要求供应商对其磋商响应文件中含义不明确的内容作必要的澄清或者说明，但澄清或者说明不得超过磋商响应文件的范围或者改变磋商响应文件的实质性内容。</w:t>
      </w:r>
    </w:p>
    <w:p w14:paraId="694A36E2">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磋商中需要供应商对磋商、响应文件作出澄清、说明或者补正的，评标委员会和供应商应当通过政采云平台交换数据电文。给予供应商提交澄清说明或补正的时间不少于半小时，供应商已经明确表示澄清说明或补正完毕的除外。</w:t>
      </w:r>
    </w:p>
    <w:p w14:paraId="1A800CEC">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供应商通过政采云平台交换的数据电文必须进行电子签章。</w:t>
      </w:r>
    </w:p>
    <w:p w14:paraId="4F59D9F3">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4.5磋商小组组长组织评审人员独立评审。磋商小组对拟认定为磋商响应文件无效、供应商资格不符合的，应组织相关供应商代表进行陈述、澄清或申辩；采购组织机构可协助磋商小组组长对打分结果进行校对、核对并汇总统计；对明</w:t>
      </w:r>
    </w:p>
    <w:p w14:paraId="16CE4B2C">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显畸高、畸低的评分情形（磋商小组成员个人主观打分偏离所有磋商小组成员主观打分平均值30%以上），启动评分畸高、畸低行为认定程序，磋商小组组长应提醒相关评审人员进行复核或书面说明理由，评审人员拒绝说明的，由现场监督员据实记录；评审人员的评审、修改记录应保留原件，随项目其他资料一并存档。</w:t>
      </w:r>
    </w:p>
    <w:p w14:paraId="0A2028D0">
      <w:pPr>
        <w:widowControl/>
        <w:snapToGrid w:val="0"/>
        <w:spacing w:line="336"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4.6</w:t>
      </w:r>
      <w:r>
        <w:rPr>
          <w:rFonts w:hint="eastAsia" w:ascii="仿宋" w:hAnsi="仿宋" w:eastAsia="仿宋" w:cs="仿宋"/>
          <w:color w:val="auto"/>
          <w:sz w:val="24"/>
          <w:highlight w:val="none"/>
        </w:rPr>
        <w:t>磋商小组</w:t>
      </w:r>
      <w:r>
        <w:rPr>
          <w:rFonts w:hint="eastAsia" w:ascii="仿宋" w:hAnsi="仿宋" w:eastAsia="仿宋" w:cs="仿宋"/>
          <w:color w:val="auto"/>
          <w:kern w:val="0"/>
          <w:sz w:val="24"/>
          <w:highlight w:val="none"/>
        </w:rPr>
        <w:t>对磋商响应文件的判定，只依据磋商响应文件和磋商文件内容本身，不依据任何外来证明。</w:t>
      </w:r>
    </w:p>
    <w:p w14:paraId="752AF011">
      <w:pPr>
        <w:widowControl/>
        <w:snapToGrid w:val="0"/>
        <w:spacing w:line="336"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4.7磋商小组不向落标方解释落标的原因，不退还磋商响应文件。</w:t>
      </w:r>
    </w:p>
    <w:p w14:paraId="16ACC394">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5</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磋商响应文件的初审鉴定</w:t>
      </w:r>
    </w:p>
    <w:p w14:paraId="57B8B9FD">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5.1资格性审查</w:t>
      </w:r>
    </w:p>
    <w:p w14:paraId="15E6999B">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5.1.1依据法律、法规和磋商文件规定，对磋商响应文件中对资格证明、磋商保证金等进行审查，以确定供应商是否具备磋商资格。</w:t>
      </w:r>
    </w:p>
    <w:p w14:paraId="6FB86EC3">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5.2符合性审查</w:t>
      </w:r>
    </w:p>
    <w:p w14:paraId="4106175A">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5.2.1磋商时，磋商小组将首先评定每份磋商响应文件是否在实质上响应了磋商文件要求。所谓实质上的响应，是指磋商响应文件与磋商文件的所有实质性条款、条件和要求相符，无显著差异或保留，或者对合同中约定的采购人的权利和供应商的义务方面造成重大的限制，纠正这些显著差异或保留将会对其他实质上响应磋商文件要求的供应商的竞争地位产生不公正的影响。</w:t>
      </w:r>
    </w:p>
    <w:p w14:paraId="2124CECE">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5.3如果磋商响应文件实质不响应磋商文件的各项要求，磋商小组将予以拒绝，并且不允许供应商通过修改或撤销其不符合要求的差异或保留，使之成为具有响应性的磋商。</w:t>
      </w:r>
    </w:p>
    <w:p w14:paraId="29180379">
      <w:pPr>
        <w:widowControl/>
        <w:snapToGrid w:val="0"/>
        <w:spacing w:line="336" w:lineRule="auto"/>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6.</w:t>
      </w:r>
      <w:r>
        <w:rPr>
          <w:rFonts w:hint="eastAsia" w:ascii="仿宋" w:hAnsi="仿宋" w:eastAsia="仿宋" w:cs="仿宋"/>
          <w:b/>
          <w:color w:val="auto"/>
          <w:kern w:val="0"/>
          <w:sz w:val="24"/>
          <w:highlight w:val="none"/>
          <w:lang w:val="en-US" w:eastAsia="zh-CN"/>
        </w:rPr>
        <w:t>.</w:t>
      </w:r>
      <w:r>
        <w:rPr>
          <w:rFonts w:hint="eastAsia" w:ascii="仿宋" w:hAnsi="仿宋" w:eastAsia="仿宋" w:cs="仿宋"/>
          <w:b/>
          <w:color w:val="auto"/>
          <w:kern w:val="0"/>
          <w:sz w:val="24"/>
          <w:highlight w:val="none"/>
        </w:rPr>
        <w:t>对明显的文字和计算错误的修正原则</w:t>
      </w:r>
    </w:p>
    <w:p w14:paraId="1F96BE58">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6.1磋商响应文件中报价一览表（报价表）内容与磋商响应文件中相应内容不一致的，以报价一览表（报价表）为准；</w:t>
      </w:r>
    </w:p>
    <w:p w14:paraId="64CA5742">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6.2大写金额和小写金额不一致的，以大写金额为准；</w:t>
      </w:r>
    </w:p>
    <w:p w14:paraId="636FFC7C">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6.3单价金额小数点或者百分比有明显错位的，以报价一览表的总价为准，并修改单价；</w:t>
      </w:r>
    </w:p>
    <w:p w14:paraId="23AA33FA">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6.4总价金额与按单价汇总金额不一致的，以单价金额计算结果为准。</w:t>
      </w:r>
    </w:p>
    <w:p w14:paraId="7F95A1A8">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同时出现两种以上不一致的，按照前款规定的顺序修正。</w:t>
      </w:r>
      <w:r>
        <w:rPr>
          <w:rFonts w:hint="eastAsia" w:ascii="仿宋" w:hAnsi="仿宋" w:eastAsia="仿宋" w:cs="仿宋"/>
          <w:bCs/>
          <w:color w:val="auto"/>
          <w:sz w:val="24"/>
          <w:highlight w:val="none"/>
        </w:rPr>
        <w:t>修正后的报价按照财政部公布第87号令《政府采购货物和服务招标投标管理办法》</w:t>
      </w:r>
      <w:r>
        <w:rPr>
          <w:rFonts w:hint="eastAsia" w:ascii="仿宋" w:hAnsi="仿宋" w:eastAsia="仿宋" w:cs="仿宋"/>
          <w:color w:val="auto"/>
          <w:sz w:val="24"/>
          <w:highlight w:val="none"/>
        </w:rPr>
        <w:t>第五十一条第二款的规定经磋商响应人确认后产生约束力，磋商响应人不确认的，其磋商无效。</w:t>
      </w:r>
    </w:p>
    <w:p w14:paraId="20301207">
      <w:pPr>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7.磋商响应文件的评审、比较和否决</w:t>
      </w:r>
    </w:p>
    <w:p w14:paraId="70637512">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7.1磋商小组将对在实质上响应磋商文件要求的磋商响应文件进行评估和比较。</w:t>
      </w:r>
    </w:p>
    <w:p w14:paraId="6A96F2C3">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7.2磋商小组可以书面形式要求供应商就磋商响应文件含义不明确的内容进行书面说明并提供相关材料。</w:t>
      </w:r>
    </w:p>
    <w:p w14:paraId="73F92D92">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7.3如发现与磋商文件要求相偏离的，磋商小组应对其偏离情形进行必要的书面核实。</w:t>
      </w:r>
    </w:p>
    <w:p w14:paraId="0F409D33">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7.4如属于实质性偏离或符合无效响应条件的，磋商小组应当询问相关供应商，并允许其进行陈述申辩，但不允许对偏离条款撤回。</w:t>
      </w:r>
    </w:p>
    <w:p w14:paraId="30629B4D">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7.5比较与评价。磋商小组依据磋商文件规定的评审标准和方法，对磋商响应文件进行商务和技术评估，综合比较与评价。。</w:t>
      </w:r>
    </w:p>
    <w:p w14:paraId="0E55E2EC">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7.6汇总（商务技术得分情况）。磋商小组各成员应当独立对每个供应商的磋商响应文件进行评价，并汇总商务技术得分情况。</w:t>
      </w:r>
    </w:p>
    <w:p w14:paraId="21AB89C5">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7.7 报价审核。对符合采购需求且通过商务技术（资信）评审的供应商的报价的合理性、准确性等进行审查核实。</w:t>
      </w:r>
    </w:p>
    <w:p w14:paraId="4CB54B28">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7.7.1磋商小组认为供应商的报价明显低于其他通过符合性审查供应商的报价，有可能影响产品质量或者不能诚信履约的，应当要求其在磋商现场合理的时间内提供书面说明，必要时提交相关证明材料。</w:t>
      </w:r>
    </w:p>
    <w:p w14:paraId="5AA992FF">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7.7.2根据财政部发布的《政府采购促进中小企业发展暂行办法》规定，对于非专门面向中小企业的项目，对小型和微型企业产品的价格给予一定的扣除，用扣除后的价格参与评审。</w:t>
      </w:r>
    </w:p>
    <w:p w14:paraId="4C5B0FD4">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7.7.3如需磋商价格修正，按财政部第87号令第五十九条的规定对磋商价格进行修正。</w:t>
      </w:r>
    </w:p>
    <w:p w14:paraId="1660B2D7">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7.8磋商小组依据磋商文件规定的评标标准和方法，对磋商响应文件进行评审和比较后，向</w:t>
      </w:r>
      <w:r>
        <w:rPr>
          <w:rFonts w:hint="eastAsia" w:ascii="仿宋" w:hAnsi="仿宋" w:eastAsia="仿宋" w:cs="仿宋"/>
          <w:color w:val="auto"/>
          <w:sz w:val="24"/>
          <w:highlight w:val="none"/>
          <w:lang w:eastAsia="zh-CN"/>
        </w:rPr>
        <w:t>采购人或其委托的采购代理机构</w:t>
      </w:r>
      <w:r>
        <w:rPr>
          <w:rFonts w:hint="eastAsia" w:ascii="仿宋" w:hAnsi="仿宋" w:eastAsia="仿宋" w:cs="仿宋"/>
          <w:color w:val="auto"/>
          <w:sz w:val="24"/>
          <w:highlight w:val="none"/>
        </w:rPr>
        <w:t>提供书面磋商报告，并按得分高低排序推荐中标候选供应商。</w:t>
      </w:r>
    </w:p>
    <w:p w14:paraId="5B44C4C7">
      <w:pPr>
        <w:pStyle w:val="6"/>
        <w:tabs>
          <w:tab w:val="left" w:pos="454"/>
        </w:tabs>
        <w:spacing w:line="336" w:lineRule="auto"/>
        <w:ind w:left="0" w:firstLine="422" w:firstLineChars="200"/>
        <w:rPr>
          <w:rFonts w:ascii="仿宋" w:hAnsi="仿宋" w:eastAsia="仿宋" w:cs="仿宋"/>
          <w:b/>
          <w:color w:val="auto"/>
          <w:highlight w:val="none"/>
        </w:rPr>
      </w:pPr>
      <w:r>
        <w:rPr>
          <w:rFonts w:hint="eastAsia" w:ascii="仿宋" w:hAnsi="仿宋" w:eastAsia="仿宋" w:cs="仿宋"/>
          <w:b/>
          <w:color w:val="auto"/>
          <w:highlight w:val="none"/>
        </w:rPr>
        <w:t>8.磋商响应文件的澄清</w:t>
      </w:r>
    </w:p>
    <w:p w14:paraId="1B9460BB">
      <w:pPr>
        <w:pStyle w:val="6"/>
        <w:tabs>
          <w:tab w:val="left" w:pos="454"/>
        </w:tabs>
        <w:spacing w:line="336" w:lineRule="auto"/>
        <w:ind w:left="0" w:firstLine="420" w:firstLineChars="200"/>
        <w:rPr>
          <w:rFonts w:ascii="仿宋" w:hAnsi="仿宋" w:eastAsia="仿宋" w:cs="仿宋"/>
          <w:color w:val="auto"/>
          <w:highlight w:val="none"/>
        </w:rPr>
      </w:pPr>
      <w:r>
        <w:rPr>
          <w:rFonts w:hint="eastAsia" w:ascii="仿宋" w:hAnsi="仿宋" w:eastAsia="仿宋" w:cs="仿宋"/>
          <w:color w:val="auto"/>
          <w:highlight w:val="none"/>
        </w:rPr>
        <w:t>为有利于对磋商响应文件的比较和评议，磋商小组可要求供应商对磋商响应文件进行澄清，必要时磋商小组可要求供应商对澄清的问题作出书面答复。书面答复须由供应商法定代表人或其授权代表签字或者加盖公章，并作为磋商响应文件的一部分。</w:t>
      </w:r>
    </w:p>
    <w:p w14:paraId="080BB64A">
      <w:pPr>
        <w:pStyle w:val="12"/>
        <w:snapToGrid w:val="0"/>
        <w:spacing w:line="336" w:lineRule="auto"/>
        <w:ind w:firstLine="482" w:firstLineChars="200"/>
        <w:jc w:val="left"/>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9</w:t>
      </w:r>
      <w:r>
        <w:rPr>
          <w:rFonts w:hint="eastAsia" w:ascii="仿宋" w:hAnsi="仿宋" w:eastAsia="仿宋" w:cs="仿宋"/>
          <w:b/>
          <w:color w:val="auto"/>
          <w:sz w:val="24"/>
          <w:szCs w:val="24"/>
          <w:highlight w:val="none"/>
          <w:lang w:val="en-US" w:eastAsia="zh-CN"/>
        </w:rPr>
        <w:t>.</w:t>
      </w:r>
      <w:r>
        <w:rPr>
          <w:rFonts w:hint="eastAsia" w:ascii="仿宋" w:hAnsi="仿宋" w:eastAsia="仿宋" w:cs="仿宋"/>
          <w:b/>
          <w:color w:val="auto"/>
          <w:sz w:val="24"/>
          <w:szCs w:val="24"/>
          <w:highlight w:val="none"/>
        </w:rPr>
        <w:t>无效磋商的情形</w:t>
      </w:r>
    </w:p>
    <w:p w14:paraId="3A046AC9">
      <w:pPr>
        <w:tabs>
          <w:tab w:val="left" w:pos="4085"/>
        </w:tabs>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磋商响应文件有下列情形之一的作无效磋商响应处理：</w:t>
      </w:r>
    </w:p>
    <w:p w14:paraId="2FF5F2DA">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9.1磋商响应文件未按照磋商文件规定要求电子签章、签字或盖章的；</w:t>
      </w:r>
    </w:p>
    <w:p w14:paraId="4B50596B">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9.2单位负责人为同一人或者存在直接控股、管理关系的不同供应商参加同一合同项下的政府采购活动的（均无效）；</w:t>
      </w:r>
    </w:p>
    <w:p w14:paraId="4836C534">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9.3为采购项目提供整体设计、规范编制或者项目管理、监理、检测等服务的供应商参加该采购项目的其他采购活动的； </w:t>
      </w:r>
    </w:p>
    <w:p w14:paraId="45243AA8">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9.4供应商不具备磋商文件中规定的资格要求的（供应商未提供有效的资格证明文件的，视为其不具备磋商文件中规定的资格要求）；</w:t>
      </w:r>
    </w:p>
    <w:p w14:paraId="65300556">
      <w:pPr>
        <w:snapToGrid w:val="0"/>
        <w:spacing w:line="336" w:lineRule="auto"/>
        <w:ind w:firstLine="482" w:firstLineChars="200"/>
        <w:jc w:val="left"/>
        <w:rPr>
          <w:rFonts w:ascii="仿宋" w:hAnsi="仿宋" w:eastAsia="仿宋" w:cs="仿宋"/>
          <w:b/>
          <w:color w:val="auto"/>
          <w:kern w:val="0"/>
          <w:sz w:val="24"/>
          <w:highlight w:val="none"/>
        </w:rPr>
      </w:pPr>
      <w:r>
        <w:rPr>
          <w:rFonts w:hint="eastAsia" w:ascii="仿宋" w:hAnsi="仿宋" w:eastAsia="仿宋" w:cs="仿宋"/>
          <w:b/>
          <w:color w:val="auto"/>
          <w:sz w:val="24"/>
          <w:highlight w:val="none"/>
        </w:rPr>
        <w:t>9.5</w:t>
      </w:r>
      <w:r>
        <w:rPr>
          <w:rFonts w:hint="eastAsia" w:ascii="仿宋" w:hAnsi="仿宋" w:eastAsia="仿宋" w:cs="仿宋"/>
          <w:b/>
          <w:color w:val="auto"/>
          <w:kern w:val="0"/>
          <w:sz w:val="24"/>
          <w:highlight w:val="none"/>
        </w:rPr>
        <w:t>《法定代表人身份证明书》与提供的身份证复印件信息不符的；《法定代表人授权委托书》与提供的身份证复印件信息不符的；</w:t>
      </w:r>
    </w:p>
    <w:p w14:paraId="03B5CEC8">
      <w:pPr>
        <w:snapToGrid w:val="0"/>
        <w:spacing w:line="336" w:lineRule="auto"/>
        <w:ind w:firstLine="482" w:firstLineChars="200"/>
        <w:jc w:val="left"/>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9.6《法定代表人授权委托书》或《法定代表人身份证明书》填写不全、错误、未加盖公章(《法定代表人授权委托书》要求“电子签章”和“签字或盖章”缺一不可）的；</w:t>
      </w:r>
    </w:p>
    <w:p w14:paraId="2CEC3890">
      <w:pPr>
        <w:snapToGrid w:val="0"/>
        <w:spacing w:line="336" w:lineRule="auto"/>
        <w:ind w:firstLine="482" w:firstLineChars="200"/>
        <w:jc w:val="left"/>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9.7授权代表非磋商响应单位正式职工（以社保证明为准，如授权代表为离退休返聘人员的，需提供退休证明及单位聘用证明</w:t>
      </w:r>
      <w:r>
        <w:rPr>
          <w:rFonts w:hint="eastAsia" w:ascii="仿宋" w:hAnsi="仿宋" w:eastAsia="仿宋" w:cs="仿宋"/>
          <w:b/>
          <w:bCs/>
          <w:color w:val="auto"/>
          <w:sz w:val="24"/>
          <w:highlight w:val="none"/>
        </w:rPr>
        <w:t>)，</w:t>
      </w:r>
      <w:r>
        <w:rPr>
          <w:rFonts w:hint="eastAsia" w:ascii="仿宋" w:hAnsi="仿宋" w:eastAsia="仿宋" w:cs="仿宋"/>
          <w:b/>
          <w:color w:val="auto"/>
          <w:kern w:val="0"/>
          <w:sz w:val="24"/>
          <w:highlight w:val="none"/>
        </w:rPr>
        <w:t>法定代表人及个体工商户除外；</w:t>
      </w:r>
    </w:p>
    <w:p w14:paraId="69130CAC">
      <w:pPr>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kern w:val="0"/>
          <w:sz w:val="24"/>
          <w:highlight w:val="none"/>
        </w:rPr>
        <w:t>9.</w:t>
      </w:r>
      <w:r>
        <w:rPr>
          <w:rFonts w:hint="eastAsia" w:ascii="仿宋" w:hAnsi="仿宋" w:eastAsia="仿宋" w:cs="仿宋"/>
          <w:b/>
          <w:color w:val="auto"/>
          <w:sz w:val="24"/>
          <w:highlight w:val="none"/>
        </w:rPr>
        <w:t>8磋商响应文件中的磋商响应函无供应商电子签章或填写不全的；</w:t>
      </w:r>
    </w:p>
    <w:p w14:paraId="46D3CB65">
      <w:pPr>
        <w:tabs>
          <w:tab w:val="left" w:pos="3870"/>
          <w:tab w:val="left" w:pos="4085"/>
        </w:tabs>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kern w:val="0"/>
          <w:sz w:val="24"/>
          <w:highlight w:val="none"/>
        </w:rPr>
        <w:t>9.9</w:t>
      </w:r>
      <w:r>
        <w:rPr>
          <w:rFonts w:hint="eastAsia" w:ascii="仿宋" w:hAnsi="仿宋" w:eastAsia="仿宋" w:cs="仿宋"/>
          <w:b/>
          <w:color w:val="auto"/>
          <w:sz w:val="24"/>
          <w:highlight w:val="none"/>
        </w:rPr>
        <w:t>供应商递交两份或两份以上内容不同的磋商响应文件，且未声明哪一份有效的；</w:t>
      </w:r>
    </w:p>
    <w:p w14:paraId="2B4F2EA6">
      <w:pPr>
        <w:pStyle w:val="12"/>
        <w:snapToGrid w:val="0"/>
        <w:spacing w:line="336" w:lineRule="auto"/>
        <w:ind w:firstLine="482" w:firstLineChars="200"/>
        <w:jc w:val="left"/>
        <w:rPr>
          <w:rFonts w:ascii="仿宋" w:hAnsi="仿宋" w:eastAsia="仿宋" w:cs="仿宋"/>
          <w:b/>
          <w:color w:val="auto"/>
          <w:sz w:val="24"/>
          <w:szCs w:val="24"/>
          <w:highlight w:val="none"/>
        </w:rPr>
      </w:pPr>
      <w:r>
        <w:rPr>
          <w:rFonts w:hint="eastAsia" w:ascii="仿宋" w:hAnsi="仿宋" w:eastAsia="仿宋" w:cs="仿宋"/>
          <w:b/>
          <w:color w:val="auto"/>
          <w:sz w:val="24"/>
          <w:highlight w:val="none"/>
        </w:rPr>
        <w:t>9.10报价一经涂改，涂改处无磋商响应单位电子签章或者未经法定代表人或授权代表签字或盖章的；</w:t>
      </w:r>
    </w:p>
    <w:p w14:paraId="3ACBF19D">
      <w:pPr>
        <w:tabs>
          <w:tab w:val="left" w:pos="3870"/>
          <w:tab w:val="left" w:pos="4085"/>
        </w:tabs>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kern w:val="0"/>
          <w:sz w:val="24"/>
          <w:highlight w:val="none"/>
        </w:rPr>
        <w:t>9.11</w:t>
      </w:r>
      <w:r>
        <w:rPr>
          <w:rFonts w:hint="eastAsia" w:ascii="仿宋" w:hAnsi="仿宋" w:eastAsia="仿宋" w:cs="仿宋"/>
          <w:b/>
          <w:color w:val="auto"/>
          <w:sz w:val="24"/>
          <w:highlight w:val="none"/>
        </w:rPr>
        <w:t>磋商响应文件中未按磋商响应文件规定的格式填写，或未详细应答磋商服务（或技术或产品等要求），经磋商后仍无法详细应答或应答不完整有缺失，致使磋商小组无法评审的；</w:t>
      </w:r>
    </w:p>
    <w:p w14:paraId="5CF3D0C6">
      <w:pPr>
        <w:pStyle w:val="12"/>
        <w:snapToGrid w:val="0"/>
        <w:spacing w:line="336" w:lineRule="auto"/>
        <w:ind w:firstLine="482" w:firstLineChars="200"/>
        <w:jc w:val="left"/>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9.12出现同一标的物或本次磋商产品(服务)内的主要产品(重要组成部分)出现</w:t>
      </w:r>
      <w:r>
        <w:rPr>
          <w:rFonts w:hint="eastAsia" w:ascii="仿宋" w:hAnsi="仿宋" w:eastAsia="仿宋" w:cs="仿宋"/>
          <w:b/>
          <w:color w:val="auto"/>
          <w:sz w:val="24"/>
          <w:highlight w:val="none"/>
          <w:lang w:eastAsia="zh-CN"/>
        </w:rPr>
        <w:t>商务技术文件</w:t>
      </w:r>
      <w:r>
        <w:rPr>
          <w:rFonts w:hint="eastAsia" w:ascii="仿宋" w:hAnsi="仿宋" w:eastAsia="仿宋" w:cs="仿宋"/>
          <w:b/>
          <w:color w:val="auto"/>
          <w:sz w:val="24"/>
          <w:highlight w:val="none"/>
        </w:rPr>
        <w:t>资料</w:t>
      </w:r>
      <w:r>
        <w:rPr>
          <w:rFonts w:hint="eastAsia" w:ascii="仿宋" w:hAnsi="仿宋" w:eastAsia="仿宋" w:cs="仿宋"/>
          <w:b/>
          <w:color w:val="auto"/>
          <w:sz w:val="24"/>
          <w:szCs w:val="24"/>
          <w:highlight w:val="none"/>
        </w:rPr>
        <w:t>、</w:t>
      </w:r>
      <w:r>
        <w:rPr>
          <w:rFonts w:hint="eastAsia" w:ascii="仿宋" w:hAnsi="仿宋" w:eastAsia="仿宋" w:cs="仿宋"/>
          <w:b/>
          <w:color w:val="auto"/>
          <w:sz w:val="24"/>
          <w:highlight w:val="none"/>
        </w:rPr>
        <w:t>报价文件资料</w:t>
      </w:r>
      <w:r>
        <w:rPr>
          <w:rFonts w:hint="eastAsia" w:ascii="仿宋" w:hAnsi="仿宋" w:eastAsia="仿宋" w:cs="仿宋"/>
          <w:b/>
          <w:color w:val="auto"/>
          <w:sz w:val="24"/>
          <w:szCs w:val="24"/>
          <w:highlight w:val="none"/>
        </w:rPr>
        <w:t>描述不一致或前后描述不一致，经磋商小组认定后为无法评审的；</w:t>
      </w:r>
    </w:p>
    <w:p w14:paraId="600E7814">
      <w:pPr>
        <w:pStyle w:val="12"/>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kern w:val="0"/>
          <w:sz w:val="24"/>
          <w:highlight w:val="none"/>
        </w:rPr>
        <w:t>9.13</w:t>
      </w:r>
      <w:r>
        <w:rPr>
          <w:rFonts w:hint="eastAsia" w:ascii="仿宋" w:hAnsi="仿宋" w:eastAsia="仿宋" w:cs="仿宋"/>
          <w:b/>
          <w:color w:val="auto"/>
          <w:sz w:val="24"/>
          <w:szCs w:val="24"/>
          <w:highlight w:val="none"/>
        </w:rPr>
        <w:t>《</w:t>
      </w:r>
      <w:r>
        <w:rPr>
          <w:rFonts w:hint="eastAsia" w:ascii="仿宋" w:hAnsi="仿宋" w:eastAsia="仿宋" w:cs="仿宋"/>
          <w:b/>
          <w:color w:val="auto"/>
          <w:sz w:val="24"/>
          <w:highlight w:val="none"/>
        </w:rPr>
        <w:t>技术偏离说明表</w:t>
      </w:r>
      <w:r>
        <w:rPr>
          <w:rFonts w:hint="eastAsia" w:ascii="仿宋" w:hAnsi="仿宋" w:eastAsia="仿宋" w:cs="仿宋"/>
          <w:b/>
          <w:color w:val="auto"/>
          <w:sz w:val="24"/>
          <w:szCs w:val="24"/>
          <w:highlight w:val="none"/>
        </w:rPr>
        <w:t>》</w:t>
      </w:r>
      <w:r>
        <w:rPr>
          <w:rFonts w:hint="eastAsia" w:ascii="仿宋" w:hAnsi="仿宋" w:eastAsia="仿宋" w:cs="仿宋"/>
          <w:b/>
          <w:color w:val="auto"/>
          <w:sz w:val="24"/>
          <w:highlight w:val="none"/>
        </w:rPr>
        <w:t>不真实填写或弄虚作假的；</w:t>
      </w:r>
    </w:p>
    <w:p w14:paraId="3530BD4C">
      <w:pPr>
        <w:tabs>
          <w:tab w:val="left" w:pos="3870"/>
          <w:tab w:val="left" w:pos="4085"/>
        </w:tabs>
        <w:snapToGrid w:val="0"/>
        <w:spacing w:line="336" w:lineRule="auto"/>
        <w:ind w:firstLine="482" w:firstLineChars="200"/>
        <w:jc w:val="left"/>
        <w:rPr>
          <w:rFonts w:ascii="仿宋" w:hAnsi="仿宋" w:eastAsia="仿宋" w:cs="仿宋"/>
          <w:b/>
          <w:color w:val="auto"/>
          <w:kern w:val="0"/>
          <w:sz w:val="24"/>
          <w:highlight w:val="none"/>
        </w:rPr>
      </w:pPr>
      <w:r>
        <w:rPr>
          <w:rFonts w:hint="eastAsia" w:ascii="仿宋" w:hAnsi="仿宋" w:eastAsia="仿宋" w:cs="仿宋"/>
          <w:b/>
          <w:color w:val="auto"/>
          <w:sz w:val="24"/>
          <w:highlight w:val="none"/>
        </w:rPr>
        <w:t>9.14</w:t>
      </w:r>
      <w:r>
        <w:rPr>
          <w:rFonts w:hint="eastAsia" w:ascii="仿宋" w:hAnsi="仿宋" w:eastAsia="仿宋" w:cs="仿宋"/>
          <w:b/>
          <w:color w:val="auto"/>
          <w:kern w:val="0"/>
          <w:sz w:val="24"/>
          <w:highlight w:val="none"/>
        </w:rPr>
        <w:t>磋商响应文件有采购人不能接受的条件；</w:t>
      </w:r>
    </w:p>
    <w:p w14:paraId="5643610A">
      <w:pPr>
        <w:tabs>
          <w:tab w:val="left" w:pos="3870"/>
          <w:tab w:val="left" w:pos="4085"/>
        </w:tabs>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kern w:val="0"/>
          <w:sz w:val="24"/>
          <w:highlight w:val="none"/>
        </w:rPr>
        <w:t>9.15</w:t>
      </w:r>
      <w:r>
        <w:rPr>
          <w:rFonts w:hint="eastAsia" w:ascii="仿宋" w:hAnsi="仿宋" w:eastAsia="仿宋" w:cs="仿宋"/>
          <w:b/>
          <w:color w:val="auto"/>
          <w:sz w:val="24"/>
          <w:highlight w:val="none"/>
        </w:rPr>
        <w:t xml:space="preserve">磋商小组认为供应商的报价明显低于其他通过符合性审查磋商响应人的报价，有可能影响产品质量或者不能诚信履约的，未能按要求提供书面说明或者提交相关证明材料证明其报价合理性的; </w:t>
      </w:r>
    </w:p>
    <w:p w14:paraId="3FAC830D">
      <w:pPr>
        <w:tabs>
          <w:tab w:val="left" w:pos="3870"/>
          <w:tab w:val="left" w:pos="4085"/>
        </w:tabs>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9.16最后报价超过预算金额或上限价的；</w:t>
      </w:r>
    </w:p>
    <w:p w14:paraId="2B339D26">
      <w:pPr>
        <w:tabs>
          <w:tab w:val="left" w:pos="3870"/>
          <w:tab w:val="left" w:pos="4085"/>
        </w:tabs>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9.17磋商小组认定有重大偏差或实质性不响应磋商文件要求的；</w:t>
      </w:r>
    </w:p>
    <w:p w14:paraId="234B238D">
      <w:pPr>
        <w:tabs>
          <w:tab w:val="left" w:pos="3870"/>
          <w:tab w:val="left" w:pos="4085"/>
        </w:tabs>
        <w:snapToGrid w:val="0"/>
        <w:spacing w:line="336" w:lineRule="auto"/>
        <w:ind w:firstLine="482" w:firstLineChars="200"/>
        <w:jc w:val="left"/>
        <w:rPr>
          <w:rFonts w:ascii="仿宋" w:hAnsi="仿宋" w:eastAsia="仿宋" w:cs="仿宋"/>
          <w:b/>
          <w:color w:val="auto"/>
          <w:sz w:val="24"/>
          <w:szCs w:val="21"/>
          <w:highlight w:val="none"/>
        </w:rPr>
      </w:pPr>
      <w:r>
        <w:rPr>
          <w:rFonts w:hint="eastAsia" w:ascii="仿宋" w:hAnsi="仿宋" w:eastAsia="仿宋" w:cs="仿宋"/>
          <w:b/>
          <w:color w:val="auto"/>
          <w:sz w:val="24"/>
          <w:szCs w:val="21"/>
          <w:highlight w:val="none"/>
        </w:rPr>
        <w:t>9.18采购人拟采购的产品属于政府强制采购的节能产品品目清单范围的，供应商未按磋商文件要求提供国家确定的认证机构出具的、处于有效期之内的节能产品认证证书的；</w:t>
      </w:r>
    </w:p>
    <w:p w14:paraId="1C82586E">
      <w:pPr>
        <w:tabs>
          <w:tab w:val="left" w:pos="3870"/>
          <w:tab w:val="left" w:pos="4085"/>
        </w:tabs>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9.19《报价一览表》填写不完整或字迹不能辨认或有漏项的；</w:t>
      </w:r>
    </w:p>
    <w:p w14:paraId="4AB85F80">
      <w:pPr>
        <w:tabs>
          <w:tab w:val="left" w:pos="3870"/>
          <w:tab w:val="left" w:pos="4085"/>
        </w:tabs>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9.20供应商对根据修正原则修正后的报价不确认的；</w:t>
      </w:r>
    </w:p>
    <w:p w14:paraId="40EAF855">
      <w:pPr>
        <w:tabs>
          <w:tab w:val="left" w:pos="3870"/>
          <w:tab w:val="left" w:pos="4085"/>
        </w:tabs>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9.21供应商提供虚假材料磋商的（包括但不限于以下情节）；</w:t>
      </w:r>
    </w:p>
    <w:p w14:paraId="5D179AE8">
      <w:pPr>
        <w:tabs>
          <w:tab w:val="left" w:pos="3870"/>
          <w:tab w:val="left" w:pos="4085"/>
        </w:tabs>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9.21.1使用伪造、变造的许可证件；</w:t>
      </w:r>
    </w:p>
    <w:p w14:paraId="28252F40">
      <w:pPr>
        <w:tabs>
          <w:tab w:val="left" w:pos="3870"/>
          <w:tab w:val="left" w:pos="4085"/>
        </w:tabs>
        <w:snapToGrid w:val="0"/>
        <w:spacing w:line="336"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9.21.2提供虚假的财务状况或者业绩；</w:t>
      </w:r>
    </w:p>
    <w:p w14:paraId="3D44F3A9">
      <w:pPr>
        <w:tabs>
          <w:tab w:val="left" w:pos="3870"/>
          <w:tab w:val="left" w:pos="4085"/>
        </w:tabs>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9.21.3提供虚假的项目负责人或者主要技术人员简历、劳动关系证明；</w:t>
      </w:r>
    </w:p>
    <w:p w14:paraId="7B563E5A">
      <w:pPr>
        <w:tabs>
          <w:tab w:val="left" w:pos="3870"/>
          <w:tab w:val="left" w:pos="4085"/>
        </w:tabs>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9.21.4提供虚假的信用状况；</w:t>
      </w:r>
    </w:p>
    <w:p w14:paraId="26D5F519">
      <w:pPr>
        <w:tabs>
          <w:tab w:val="left" w:pos="3870"/>
          <w:tab w:val="left" w:pos="4085"/>
        </w:tabs>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9.21.5其他弄虚作假的行为。</w:t>
      </w:r>
    </w:p>
    <w:p w14:paraId="0ADD3E91">
      <w:pPr>
        <w:tabs>
          <w:tab w:val="left" w:pos="3870"/>
          <w:tab w:val="left" w:pos="4085"/>
        </w:tabs>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9.22有下列情形之一的，视为供应商串通磋商，其磋商无效：</w:t>
      </w:r>
    </w:p>
    <w:p w14:paraId="3CA337C1">
      <w:pPr>
        <w:tabs>
          <w:tab w:val="left" w:pos="3870"/>
          <w:tab w:val="left" w:pos="4085"/>
        </w:tabs>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9.22.1不同供应商的磋商响应文件由同一单位或者个人编制；</w:t>
      </w:r>
    </w:p>
    <w:p w14:paraId="0D1B4543">
      <w:pPr>
        <w:tabs>
          <w:tab w:val="left" w:pos="3870"/>
          <w:tab w:val="left" w:pos="4085"/>
        </w:tabs>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9.22.2不同供应商委托同一单位或者个人办理磋商事宜；</w:t>
      </w:r>
    </w:p>
    <w:p w14:paraId="4A8C4D86">
      <w:pPr>
        <w:tabs>
          <w:tab w:val="left" w:pos="3870"/>
          <w:tab w:val="left" w:pos="4085"/>
        </w:tabs>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9.22.3不同供应商的磋商响应文件载明的项目管理成员或者联系人员为同一人；</w:t>
      </w:r>
    </w:p>
    <w:p w14:paraId="2BDB617D">
      <w:pPr>
        <w:tabs>
          <w:tab w:val="left" w:pos="3870"/>
          <w:tab w:val="left" w:pos="4085"/>
        </w:tabs>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9.22.4不同供应商的磋商响应文件异常一致或者磋商报价呈规律性差异；</w:t>
      </w:r>
    </w:p>
    <w:p w14:paraId="3E3C7A24">
      <w:pPr>
        <w:tabs>
          <w:tab w:val="left" w:pos="3870"/>
          <w:tab w:val="left" w:pos="4085"/>
        </w:tabs>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9.22.5不同供应商的磋商响应文件相互混装；</w:t>
      </w:r>
    </w:p>
    <w:p w14:paraId="180A499C">
      <w:pPr>
        <w:tabs>
          <w:tab w:val="left" w:pos="3870"/>
          <w:tab w:val="left" w:pos="4085"/>
        </w:tabs>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9.22.6有二份及二份以上磋商响应文件的相互之间有特别相同或相似之处，且经询标澄清供应商无令人信服的理由和可靠证据证明其合理性的，经磋商小组半数以上成员确认有串通磋商嫌疑的；</w:t>
      </w:r>
    </w:p>
    <w:p w14:paraId="400571DD">
      <w:pPr>
        <w:tabs>
          <w:tab w:val="left" w:pos="3870"/>
          <w:tab w:val="left" w:pos="4085"/>
        </w:tabs>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9.23有下列情形之一的，属于恶意串通，其磋商无效：</w:t>
      </w:r>
    </w:p>
    <w:p w14:paraId="677866BB">
      <w:pPr>
        <w:spacing w:line="336"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9.23.1供应商直接或者间接从采购人或者采购机构处获得其他供应商的相关情况并修改其磋商响应文件；</w:t>
      </w:r>
    </w:p>
    <w:p w14:paraId="3306244E">
      <w:pPr>
        <w:spacing w:line="336"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9.23.2供应商按照采购人或者采购机构的授意撤换、修改磋商响应文件；</w:t>
      </w:r>
    </w:p>
    <w:p w14:paraId="6CF2C1A9">
      <w:pPr>
        <w:spacing w:line="336"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9.23.3供应商之间协商报价、技术方案等磋商响应文件的实质性内容；</w:t>
      </w:r>
    </w:p>
    <w:p w14:paraId="274ED8C1">
      <w:pPr>
        <w:spacing w:line="336"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9.23.4属于同一集团、协会、商会等组织成员的供应商按照该组织要求协同参加政府采购活动；</w:t>
      </w:r>
    </w:p>
    <w:p w14:paraId="17DE34E1">
      <w:pPr>
        <w:spacing w:line="336"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9.23.5供应商之间事先约定由某一特定供应商中标、成交；</w:t>
      </w:r>
    </w:p>
    <w:p w14:paraId="2E324BB8">
      <w:pPr>
        <w:spacing w:line="336"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9.23.6供应商之间商定部分供应商放弃参加政府采购活动或者放弃中标、成交；</w:t>
      </w:r>
    </w:p>
    <w:p w14:paraId="4702DCD0">
      <w:pPr>
        <w:tabs>
          <w:tab w:val="left" w:pos="3870"/>
          <w:tab w:val="left" w:pos="4085"/>
        </w:tabs>
        <w:snapToGrid w:val="0"/>
        <w:spacing w:line="336" w:lineRule="auto"/>
        <w:ind w:firstLine="480" w:firstLineChars="200"/>
        <w:jc w:val="left"/>
        <w:rPr>
          <w:rFonts w:ascii="仿宋" w:hAnsi="仿宋" w:eastAsia="仿宋" w:cs="仿宋"/>
          <w:b/>
          <w:color w:val="auto"/>
          <w:sz w:val="24"/>
          <w:highlight w:val="none"/>
        </w:rPr>
      </w:pPr>
      <w:r>
        <w:rPr>
          <w:rFonts w:hint="eastAsia" w:ascii="仿宋" w:hAnsi="仿宋" w:eastAsia="仿宋" w:cs="仿宋"/>
          <w:color w:val="auto"/>
          <w:sz w:val="24"/>
          <w:szCs w:val="21"/>
          <w:highlight w:val="none"/>
        </w:rPr>
        <w:t>9.23.7供应商与采购人或者采购机构之间、供应商相互之间，为谋求特定供应商中标、成交或者排斥其他供应商的其他串通行为。</w:t>
      </w:r>
    </w:p>
    <w:p w14:paraId="2263A1E9">
      <w:pPr>
        <w:tabs>
          <w:tab w:val="left" w:pos="3870"/>
          <w:tab w:val="left" w:pos="4085"/>
        </w:tabs>
        <w:snapToGrid w:val="0"/>
        <w:spacing w:line="336"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9.24磋商响应文件出现不是唯一的、有选择性报价的；</w:t>
      </w:r>
    </w:p>
    <w:p w14:paraId="532C68D8">
      <w:pPr>
        <w:tabs>
          <w:tab w:val="left" w:pos="3870"/>
          <w:tab w:val="left" w:pos="4085"/>
        </w:tabs>
        <w:snapToGrid w:val="0"/>
        <w:spacing w:line="336"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9.25未按招标文件要求提供样品或提供样品不满足采购需求实质性条件的；</w:t>
      </w:r>
    </w:p>
    <w:p w14:paraId="4C6C89E6">
      <w:pPr>
        <w:tabs>
          <w:tab w:val="left" w:pos="3870"/>
          <w:tab w:val="left" w:pos="4085"/>
        </w:tabs>
        <w:snapToGrid w:val="0"/>
        <w:spacing w:line="336" w:lineRule="auto"/>
        <w:ind w:firstLine="482" w:firstLineChars="200"/>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US" w:eastAsia="zh-CN"/>
        </w:rPr>
        <w:t>9.26</w:t>
      </w:r>
      <w:r>
        <w:rPr>
          <w:rFonts w:hint="eastAsia" w:ascii="仿宋" w:hAnsi="仿宋" w:eastAsia="仿宋" w:cs="仿宋"/>
          <w:b/>
          <w:color w:val="auto"/>
          <w:sz w:val="24"/>
          <w:highlight w:val="none"/>
        </w:rPr>
        <w:t>参与同一个采购包(标段)的供应商存在下列情形之一的</w:t>
      </w:r>
      <w:r>
        <w:rPr>
          <w:rFonts w:hint="eastAsia" w:ascii="仿宋" w:hAnsi="仿宋" w:eastAsia="仿宋" w:cs="仿宋"/>
          <w:b/>
          <w:color w:val="auto"/>
          <w:sz w:val="24"/>
          <w:highlight w:val="none"/>
          <w:lang w:eastAsia="zh-CN"/>
        </w:rPr>
        <w:t>，其磋商无效：</w:t>
      </w:r>
    </w:p>
    <w:p w14:paraId="67D06A3F">
      <w:pPr>
        <w:tabs>
          <w:tab w:val="left" w:pos="3870"/>
          <w:tab w:val="left" w:pos="4085"/>
        </w:tabs>
        <w:snapToGrid w:val="0"/>
        <w:spacing w:line="336"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9.26.1</w:t>
      </w:r>
      <w:r>
        <w:rPr>
          <w:rFonts w:hint="eastAsia" w:ascii="仿宋" w:hAnsi="仿宋" w:eastAsia="仿宋" w:cs="仿宋"/>
          <w:b/>
          <w:color w:val="auto"/>
          <w:sz w:val="24"/>
          <w:highlight w:val="none"/>
        </w:rPr>
        <w:t>不同供应商的磋商响应文件上传计算机的网卡MAC地址、CPU序列号和硬盘序列号等硬件信息相同的;</w:t>
      </w:r>
    </w:p>
    <w:p w14:paraId="777ECBB6">
      <w:pPr>
        <w:tabs>
          <w:tab w:val="left" w:pos="3870"/>
          <w:tab w:val="left" w:pos="4085"/>
        </w:tabs>
        <w:snapToGrid w:val="0"/>
        <w:spacing w:line="336"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9.26.2</w:t>
      </w:r>
      <w:r>
        <w:rPr>
          <w:rFonts w:hint="eastAsia" w:ascii="仿宋" w:hAnsi="仿宋" w:eastAsia="仿宋" w:cs="仿宋"/>
          <w:b/>
          <w:color w:val="auto"/>
          <w:sz w:val="24"/>
          <w:highlight w:val="none"/>
        </w:rPr>
        <w:t>上传的磋商响应文件若出现使用本项目其他磋商响应供应商的数字证书加密的，或者加盖本项目其他磋商响应供应商的电子印章的;</w:t>
      </w:r>
    </w:p>
    <w:p w14:paraId="527BDECA">
      <w:pPr>
        <w:numPr>
          <w:ilvl w:val="0"/>
          <w:numId w:val="0"/>
        </w:numPr>
        <w:tabs>
          <w:tab w:val="left" w:pos="3870"/>
          <w:tab w:val="left" w:pos="4085"/>
        </w:tabs>
        <w:snapToGrid w:val="0"/>
        <w:spacing w:line="336"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9.26.3</w:t>
      </w:r>
      <w:r>
        <w:rPr>
          <w:rFonts w:hint="eastAsia" w:ascii="仿宋" w:hAnsi="仿宋" w:eastAsia="仿宋" w:cs="仿宋"/>
          <w:b/>
          <w:color w:val="auto"/>
          <w:sz w:val="24"/>
          <w:highlight w:val="none"/>
        </w:rPr>
        <w:t>不同供应商的磋商响应文件的内容存在三处(含)以上错误一致，且无法合理解释的;</w:t>
      </w:r>
    </w:p>
    <w:p w14:paraId="528136D6">
      <w:pPr>
        <w:numPr>
          <w:ilvl w:val="0"/>
          <w:numId w:val="0"/>
        </w:numPr>
        <w:tabs>
          <w:tab w:val="left" w:pos="3870"/>
          <w:tab w:val="left" w:pos="4085"/>
        </w:tabs>
        <w:snapToGrid w:val="0"/>
        <w:spacing w:line="336" w:lineRule="auto"/>
        <w:ind w:firstLine="482" w:firstLineChars="200"/>
        <w:rPr>
          <w:rFonts w:hint="default"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9.26.4</w:t>
      </w:r>
      <w:r>
        <w:rPr>
          <w:rFonts w:hint="eastAsia" w:ascii="仿宋" w:hAnsi="仿宋" w:eastAsia="仿宋" w:cs="仿宋"/>
          <w:b/>
          <w:color w:val="auto"/>
          <w:sz w:val="24"/>
          <w:highlight w:val="none"/>
        </w:rPr>
        <w:t>不同供应商联系人为同一人或不同联系人的联系电话一致，且无法合理解释的。</w:t>
      </w:r>
    </w:p>
    <w:p w14:paraId="22B13D6A">
      <w:pPr>
        <w:tabs>
          <w:tab w:val="left" w:pos="3870"/>
          <w:tab w:val="left" w:pos="4085"/>
        </w:tabs>
        <w:snapToGrid w:val="0"/>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9.</w:t>
      </w:r>
      <w:r>
        <w:rPr>
          <w:rFonts w:hint="eastAsia" w:ascii="仿宋" w:hAnsi="仿宋" w:eastAsia="仿宋" w:cs="仿宋"/>
          <w:b/>
          <w:color w:val="auto"/>
          <w:sz w:val="24"/>
          <w:highlight w:val="none"/>
          <w:lang w:val="en-US" w:eastAsia="zh-CN"/>
        </w:rPr>
        <w:t>27</w:t>
      </w:r>
      <w:r>
        <w:rPr>
          <w:rFonts w:hint="eastAsia" w:ascii="仿宋" w:hAnsi="仿宋" w:eastAsia="仿宋" w:cs="仿宋"/>
          <w:b/>
          <w:color w:val="auto"/>
          <w:sz w:val="24"/>
          <w:highlight w:val="none"/>
        </w:rPr>
        <w:t>其他违反法律、法规的情形。</w:t>
      </w:r>
    </w:p>
    <w:p w14:paraId="452823DA">
      <w:pPr>
        <w:snapToGrid w:val="0"/>
        <w:spacing w:line="336" w:lineRule="auto"/>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10.磋商过程保密</w:t>
      </w:r>
    </w:p>
    <w:p w14:paraId="6C37B000">
      <w:pPr>
        <w:snapToGrid w:val="0"/>
        <w:spacing w:line="336"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10.1</w:t>
      </w:r>
      <w:r>
        <w:rPr>
          <w:rFonts w:hint="eastAsia" w:ascii="仿宋" w:hAnsi="仿宋" w:eastAsia="仿宋" w:cs="仿宋"/>
          <w:color w:val="auto"/>
          <w:sz w:val="24"/>
          <w:highlight w:val="none"/>
        </w:rPr>
        <w:t>磋商活动在严格保密的情况下进行。磋商过程中凡是与磋商响应文件评审和比较、成交供应商推荐等磋商有关的情况和评审文件的，以及涉及国家秘密和商业秘密等信息，磋商小组成员、采购人和采购机构工作人员、相关监督人员等与评审有关的人员应当予以保密。</w:t>
      </w:r>
    </w:p>
    <w:p w14:paraId="23039447">
      <w:pPr>
        <w:snapToGrid w:val="0"/>
        <w:spacing w:line="336"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10.2 在磋商期间，供应商企图影响采购人、采购代理机构或</w:t>
      </w:r>
      <w:r>
        <w:rPr>
          <w:rFonts w:hint="eastAsia" w:ascii="仿宋" w:hAnsi="仿宋" w:eastAsia="仿宋" w:cs="仿宋"/>
          <w:color w:val="auto"/>
          <w:sz w:val="24"/>
          <w:highlight w:val="none"/>
        </w:rPr>
        <w:t>磋商小组</w:t>
      </w:r>
      <w:r>
        <w:rPr>
          <w:rFonts w:hint="eastAsia" w:ascii="仿宋" w:hAnsi="仿宋" w:eastAsia="仿宋" w:cs="仿宋"/>
          <w:color w:val="auto"/>
          <w:kern w:val="0"/>
          <w:sz w:val="24"/>
          <w:highlight w:val="none"/>
        </w:rPr>
        <w:t>的任何活动，都将导致磋商被拒绝，并由其承担相应的法律责任。</w:t>
      </w:r>
    </w:p>
    <w:p w14:paraId="35217D9C">
      <w:pPr>
        <w:adjustRightInd/>
        <w:spacing w:line="336" w:lineRule="auto"/>
        <w:jc w:val="center"/>
        <w:outlineLvl w:val="0"/>
        <w:rPr>
          <w:rFonts w:ascii="仿宋" w:hAnsi="仿宋" w:eastAsia="仿宋" w:cs="仿宋"/>
          <w:color w:val="auto"/>
          <w:sz w:val="32"/>
          <w:szCs w:val="32"/>
          <w:highlight w:val="none"/>
        </w:rPr>
      </w:pPr>
    </w:p>
    <w:p w14:paraId="55910A83">
      <w:pPr>
        <w:adjustRightInd/>
        <w:spacing w:line="336"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lang w:eastAsia="zh-CN"/>
        </w:rPr>
        <w:t>五</w:t>
      </w:r>
      <w:r>
        <w:rPr>
          <w:rFonts w:hint="eastAsia" w:ascii="仿宋" w:hAnsi="仿宋" w:eastAsia="仿宋" w:cs="仿宋"/>
          <w:b/>
          <w:color w:val="auto"/>
          <w:sz w:val="32"/>
          <w:szCs w:val="20"/>
          <w:highlight w:val="none"/>
        </w:rPr>
        <w:t>、</w:t>
      </w:r>
      <w:r>
        <w:rPr>
          <w:rFonts w:hint="eastAsia" w:ascii="仿宋" w:hAnsi="仿宋" w:eastAsia="仿宋" w:cs="仿宋"/>
          <w:b/>
          <w:color w:val="auto"/>
          <w:sz w:val="32"/>
          <w:szCs w:val="32"/>
          <w:highlight w:val="none"/>
        </w:rPr>
        <w:t>成交</w:t>
      </w:r>
    </w:p>
    <w:p w14:paraId="25C03452">
      <w:pPr>
        <w:snapToGrid w:val="0"/>
        <w:spacing w:line="336" w:lineRule="auto"/>
        <w:ind w:firstLine="482" w:firstLineChars="200"/>
        <w:jc w:val="left"/>
        <w:rPr>
          <w:rFonts w:ascii="仿宋" w:hAnsi="仿宋" w:eastAsia="仿宋" w:cs="仿宋"/>
          <w:b/>
          <w:color w:val="auto"/>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val="en-US" w:eastAsia="zh-CN"/>
        </w:rPr>
        <w:t>.</w:t>
      </w:r>
      <w:bookmarkStart w:id="47" w:name="_Toc81372776"/>
      <w:bookmarkStart w:id="48" w:name="_Toc81372953"/>
      <w:bookmarkStart w:id="49" w:name="_Toc84325929"/>
      <w:r>
        <w:rPr>
          <w:rFonts w:hint="eastAsia" w:ascii="仿宋" w:hAnsi="仿宋" w:eastAsia="仿宋" w:cs="仿宋"/>
          <w:b/>
          <w:color w:val="auto"/>
          <w:highlight w:val="none"/>
        </w:rPr>
        <w:t>成交条件</w:t>
      </w:r>
    </w:p>
    <w:p w14:paraId="189F3DD0">
      <w:pPr>
        <w:pStyle w:val="6"/>
        <w:numPr>
          <w:ilvl w:val="0"/>
          <w:numId w:val="0"/>
        </w:numPr>
        <w:tabs>
          <w:tab w:val="left" w:pos="454"/>
          <w:tab w:val="clear" w:pos="360"/>
        </w:tabs>
        <w:spacing w:line="336" w:lineRule="auto"/>
        <w:ind w:leftChars="200"/>
        <w:rPr>
          <w:rFonts w:ascii="仿宋" w:hAnsi="仿宋" w:eastAsia="仿宋" w:cs="仿宋"/>
          <w:color w:val="auto"/>
          <w:szCs w:val="24"/>
          <w:highlight w:val="none"/>
        </w:rPr>
      </w:pPr>
      <w:r>
        <w:rPr>
          <w:rFonts w:hint="eastAsia" w:ascii="仿宋" w:hAnsi="仿宋" w:eastAsia="仿宋" w:cs="仿宋"/>
          <w:color w:val="auto"/>
          <w:szCs w:val="24"/>
          <w:highlight w:val="none"/>
        </w:rPr>
        <w:t>1.1磋商响应文件基本符合磋商文件要求；</w:t>
      </w:r>
    </w:p>
    <w:p w14:paraId="73EC3B83">
      <w:pPr>
        <w:pStyle w:val="6"/>
        <w:numPr>
          <w:ilvl w:val="0"/>
          <w:numId w:val="0"/>
        </w:numPr>
        <w:tabs>
          <w:tab w:val="left" w:pos="454"/>
          <w:tab w:val="clear" w:pos="360"/>
        </w:tabs>
        <w:spacing w:line="336" w:lineRule="auto"/>
        <w:ind w:leftChars="200"/>
        <w:rPr>
          <w:rFonts w:ascii="仿宋" w:hAnsi="仿宋" w:eastAsia="仿宋" w:cs="仿宋"/>
          <w:color w:val="auto"/>
          <w:szCs w:val="24"/>
          <w:highlight w:val="none"/>
        </w:rPr>
      </w:pPr>
      <w:r>
        <w:rPr>
          <w:rFonts w:hint="eastAsia" w:ascii="仿宋" w:hAnsi="仿宋" w:eastAsia="仿宋" w:cs="仿宋"/>
          <w:color w:val="auto"/>
          <w:szCs w:val="24"/>
          <w:highlight w:val="none"/>
        </w:rPr>
        <w:t>1.2供应商有很好的执行合同的能力；</w:t>
      </w:r>
    </w:p>
    <w:p w14:paraId="05584C73">
      <w:pPr>
        <w:pStyle w:val="6"/>
        <w:numPr>
          <w:ilvl w:val="0"/>
          <w:numId w:val="0"/>
        </w:numPr>
        <w:tabs>
          <w:tab w:val="left" w:pos="454"/>
          <w:tab w:val="clear" w:pos="360"/>
        </w:tabs>
        <w:spacing w:line="336" w:lineRule="auto"/>
        <w:ind w:leftChars="200"/>
        <w:rPr>
          <w:rFonts w:ascii="仿宋" w:hAnsi="仿宋" w:eastAsia="仿宋" w:cs="仿宋"/>
          <w:color w:val="auto"/>
          <w:szCs w:val="24"/>
          <w:highlight w:val="none"/>
        </w:rPr>
      </w:pPr>
      <w:r>
        <w:rPr>
          <w:rFonts w:hint="eastAsia" w:ascii="仿宋" w:hAnsi="仿宋" w:eastAsia="仿宋" w:cs="仿宋"/>
          <w:color w:val="auto"/>
          <w:szCs w:val="24"/>
          <w:highlight w:val="none"/>
        </w:rPr>
        <w:t>1.3实施方案最合理并对采购人最为有利，最大限度满足磋商文件的要求；</w:t>
      </w:r>
    </w:p>
    <w:p w14:paraId="13C1FC22">
      <w:pPr>
        <w:pStyle w:val="6"/>
        <w:numPr>
          <w:ilvl w:val="0"/>
          <w:numId w:val="0"/>
        </w:numPr>
        <w:tabs>
          <w:tab w:val="left" w:pos="454"/>
          <w:tab w:val="clear" w:pos="360"/>
        </w:tabs>
        <w:spacing w:line="336" w:lineRule="auto"/>
        <w:ind w:leftChars="200"/>
        <w:rPr>
          <w:rFonts w:ascii="仿宋" w:hAnsi="仿宋" w:eastAsia="仿宋" w:cs="仿宋"/>
          <w:color w:val="auto"/>
          <w:szCs w:val="24"/>
          <w:highlight w:val="none"/>
        </w:rPr>
      </w:pPr>
      <w:r>
        <w:rPr>
          <w:rFonts w:hint="eastAsia" w:ascii="仿宋" w:hAnsi="仿宋" w:eastAsia="仿宋" w:cs="仿宋"/>
          <w:color w:val="auto"/>
          <w:szCs w:val="24"/>
          <w:highlight w:val="none"/>
        </w:rPr>
        <w:t>1.4供应商能够提供质量技术、商务经济占综合优势的系统及服务。</w:t>
      </w:r>
    </w:p>
    <w:p w14:paraId="5CD8BBA5">
      <w:pPr>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2.成交确认</w:t>
      </w:r>
    </w:p>
    <w:p w14:paraId="4335A270">
      <w:pPr>
        <w:spacing w:line="336" w:lineRule="auto"/>
        <w:ind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2.1采购人应当在收到评审报告之日起５个工作日内，在评审报告提出的成交候选供应商单中确定成交供应商。</w:t>
      </w:r>
    </w:p>
    <w:p w14:paraId="70E155D3">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2.2采购人逾期未确定成交供应商的，视为确定评审报告提出的成交候选供应商为成交供应商。</w:t>
      </w:r>
    </w:p>
    <w:p w14:paraId="296F955E">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2.3采购人应在确认成交供应商前再次对资格条件和相关证件材料进一步查验核实。</w:t>
      </w:r>
    </w:p>
    <w:p w14:paraId="76708435">
      <w:pPr>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成交通知</w:t>
      </w:r>
    </w:p>
    <w:bookmarkEnd w:id="47"/>
    <w:bookmarkEnd w:id="48"/>
    <w:bookmarkEnd w:id="49"/>
    <w:p w14:paraId="0DCEF5EC">
      <w:pPr>
        <w:pStyle w:val="25"/>
        <w:tabs>
          <w:tab w:val="left" w:pos="0"/>
        </w:tabs>
        <w:spacing w:before="0" w:line="336" w:lineRule="auto"/>
        <w:ind w:firstLine="48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3.1</w:t>
      </w:r>
      <w:r>
        <w:rPr>
          <w:rFonts w:hint="eastAsia" w:ascii="仿宋" w:hAnsi="仿宋" w:eastAsia="仿宋" w:cs="仿宋"/>
          <w:color w:val="auto"/>
          <w:kern w:val="0"/>
          <w:highlight w:val="none"/>
        </w:rPr>
        <w:t>采购代理机构</w:t>
      </w:r>
      <w:r>
        <w:rPr>
          <w:rFonts w:hint="eastAsia" w:ascii="仿宋" w:hAnsi="仿宋" w:eastAsia="仿宋" w:cs="仿宋"/>
          <w:color w:val="auto"/>
          <w:highlight w:val="none"/>
        </w:rPr>
        <w:t>对成交结果在指定媒体</w:t>
      </w:r>
      <w:r>
        <w:rPr>
          <w:rFonts w:hint="eastAsia" w:ascii="仿宋" w:hAnsi="仿宋" w:eastAsia="仿宋" w:cs="仿宋"/>
          <w:color w:val="auto"/>
          <w:kern w:val="0"/>
          <w:highlight w:val="none"/>
        </w:rPr>
        <w:t>（浙江政府采购网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Style w:val="21"/>
          <w:rFonts w:hint="eastAsia" w:ascii="仿宋" w:hAnsi="仿宋" w:eastAsia="仿宋" w:cs="仿宋"/>
          <w:color w:val="auto"/>
          <w:highlight w:val="none"/>
        </w:rPr>
        <w:t>http://zfcg.czt.zj.gov.cn/</w:t>
      </w:r>
      <w:r>
        <w:rPr>
          <w:rStyle w:val="21"/>
          <w:rFonts w:hint="eastAsia" w:ascii="仿宋" w:hAnsi="仿宋" w:eastAsia="仿宋" w:cs="仿宋"/>
          <w:color w:val="auto"/>
          <w:highlight w:val="none"/>
        </w:rPr>
        <w:fldChar w:fldCharType="end"/>
      </w:r>
      <w:r>
        <w:rPr>
          <w:rFonts w:hint="eastAsia" w:ascii="仿宋" w:hAnsi="仿宋" w:eastAsia="仿宋" w:cs="仿宋"/>
          <w:color w:val="auto"/>
          <w:kern w:val="0"/>
          <w:highlight w:val="none"/>
        </w:rPr>
        <w:t>、绍兴公共资源交易网</w:t>
      </w:r>
      <w:r>
        <w:rPr>
          <w:color w:val="auto"/>
          <w:highlight w:val="none"/>
        </w:rPr>
        <w:fldChar w:fldCharType="begin"/>
      </w:r>
      <w:r>
        <w:rPr>
          <w:color w:val="auto"/>
          <w:highlight w:val="none"/>
        </w:rPr>
        <w:instrText xml:space="preserve"> HYPERLINK "http://ggb.sx.gov.cn" </w:instrText>
      </w:r>
      <w:r>
        <w:rPr>
          <w:color w:val="auto"/>
          <w:highlight w:val="none"/>
        </w:rPr>
        <w:fldChar w:fldCharType="separate"/>
      </w:r>
      <w:r>
        <w:rPr>
          <w:rStyle w:val="21"/>
          <w:rFonts w:hint="eastAsia" w:ascii="仿宋" w:hAnsi="仿宋" w:eastAsia="仿宋" w:cs="仿宋"/>
          <w:color w:val="auto"/>
          <w:highlight w:val="none"/>
        </w:rPr>
        <w:t>http://ggb.sx.gov.cn</w:t>
      </w:r>
      <w:r>
        <w:rPr>
          <w:rStyle w:val="21"/>
          <w:rFonts w:hint="eastAsia" w:ascii="仿宋" w:hAnsi="仿宋" w:eastAsia="仿宋" w:cs="仿宋"/>
          <w:color w:val="auto"/>
          <w:highlight w:val="none"/>
        </w:rPr>
        <w:fldChar w:fldCharType="end"/>
      </w:r>
      <w:r>
        <w:rPr>
          <w:rFonts w:hint="eastAsia" w:ascii="仿宋" w:hAnsi="仿宋" w:eastAsia="仿宋" w:cs="仿宋"/>
          <w:color w:val="auto"/>
          <w:kern w:val="0"/>
          <w:highlight w:val="none"/>
        </w:rPr>
        <w:t>）发布成交公告，成交公告期限为1个工作日。</w:t>
      </w:r>
    </w:p>
    <w:p w14:paraId="63482783">
      <w:pPr>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sz w:val="24"/>
          <w:highlight w:val="none"/>
        </w:rPr>
        <w:t>3.2采购机构通过政采云平台向成交供应商签发成交通知书。请成交供应商自行登录政采云平台下载并打印成交通知书。在采购代理机构发出成交通知书前，成交供应商如有违反有关法律法规和本项目要求行为的，则取消该成交供应商的成交资格</w:t>
      </w:r>
      <w:r>
        <w:rPr>
          <w:rFonts w:hint="eastAsia" w:ascii="仿宋" w:hAnsi="仿宋" w:eastAsia="仿宋" w:cs="仿宋"/>
          <w:color w:val="auto"/>
          <w:kern w:val="0"/>
          <w:sz w:val="24"/>
          <w:highlight w:val="none"/>
          <w:lang w:val="zh-CN"/>
        </w:rPr>
        <w:t>。</w:t>
      </w:r>
    </w:p>
    <w:p w14:paraId="497305C8">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3.3采购人、</w:t>
      </w:r>
      <w:r>
        <w:rPr>
          <w:rFonts w:hint="eastAsia" w:ascii="仿宋" w:hAnsi="仿宋" w:eastAsia="仿宋" w:cs="仿宋"/>
          <w:color w:val="auto"/>
          <w:kern w:val="0"/>
          <w:sz w:val="24"/>
          <w:highlight w:val="none"/>
        </w:rPr>
        <w:t>采购代理机构</w:t>
      </w:r>
      <w:r>
        <w:rPr>
          <w:rFonts w:hint="eastAsia" w:ascii="仿宋" w:hAnsi="仿宋" w:eastAsia="仿宋" w:cs="仿宋"/>
          <w:color w:val="auto"/>
          <w:sz w:val="24"/>
          <w:highlight w:val="none"/>
        </w:rPr>
        <w:t>对成交结果不作任何说明和解释，也不回答任何提问。</w:t>
      </w:r>
    </w:p>
    <w:p w14:paraId="28E7D683">
      <w:pPr>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4</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履约保证金</w:t>
      </w:r>
    </w:p>
    <w:p w14:paraId="2E827D73">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采购人在签订合同时，按规定可向成交人收取不高于中标额的1％的履约保证金，采购人不得以供应商事先提交履约保证金作为签订合同的条件。鼓励采购人根据项目特点、供应商诚信等情况免收履约保证金或降低缴纳比例。</w:t>
      </w:r>
    </w:p>
    <w:p w14:paraId="0295E77F">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4.2项目验收结束后，采购人应及时退还履约保证金。</w:t>
      </w:r>
    </w:p>
    <w:p w14:paraId="319F6150">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4.3供应商以银行、保险公司出具保函形式提交履约保证金的，采购人不得拒收。</w:t>
      </w:r>
    </w:p>
    <w:p w14:paraId="51DC8332">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4.4政府采购货物和服务项目不得收取质量保证金。</w:t>
      </w:r>
    </w:p>
    <w:p w14:paraId="3DD6625A">
      <w:pPr>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5</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合同签订及备案</w:t>
      </w:r>
    </w:p>
    <w:p w14:paraId="0B2C251E">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5.1成交人应当在成交通知书发出之日起30天内与采购人签订合同，自采购合同签订之日起</w:t>
      </w:r>
      <w:r>
        <w:rPr>
          <w:rFonts w:hint="eastAsia" w:ascii="仿宋" w:hAnsi="仿宋" w:eastAsia="仿宋" w:cs="仿宋"/>
          <w:color w:val="auto"/>
          <w:sz w:val="24"/>
          <w:highlight w:val="none"/>
          <w:lang w:val="en-US" w:eastAsia="zh-CN"/>
        </w:rPr>
        <w:t>2</w:t>
      </w:r>
      <w:r>
        <w:rPr>
          <w:rFonts w:hint="eastAsia" w:ascii="仿宋" w:hAnsi="仿宋" w:eastAsia="仿宋" w:cs="仿宋"/>
          <w:b/>
          <w:color w:val="auto"/>
          <w:sz w:val="24"/>
          <w:highlight w:val="none"/>
        </w:rPr>
        <w:t>个工作日内</w:t>
      </w:r>
      <w:r>
        <w:rPr>
          <w:rFonts w:hint="eastAsia" w:ascii="仿宋" w:hAnsi="仿宋" w:eastAsia="仿宋" w:cs="仿宋"/>
          <w:color w:val="auto"/>
          <w:sz w:val="24"/>
          <w:highlight w:val="none"/>
        </w:rPr>
        <w:t>，通过电子交易平台进行备案。</w:t>
      </w:r>
    </w:p>
    <w:p w14:paraId="2990EA95">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5.2如成交人为联合体的，由联合体成员各方法定代表人或其授权代表与采购人代表签订合同。</w:t>
      </w:r>
    </w:p>
    <w:p w14:paraId="25F50BC3">
      <w:pPr>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6.验收</w:t>
      </w:r>
    </w:p>
    <w:p w14:paraId="61F3B795">
      <w:pPr>
        <w:tabs>
          <w:tab w:val="left" w:pos="6780"/>
        </w:tabs>
        <w:spacing w:line="336" w:lineRule="auto"/>
        <w:ind w:firstLine="480" w:firstLineChars="200"/>
        <w:jc w:val="left"/>
        <w:rPr>
          <w:rFonts w:ascii="仿宋" w:hAnsi="仿宋" w:eastAsia="仿宋" w:cs="仿宋"/>
          <w:color w:val="auto"/>
          <w:sz w:val="24"/>
          <w:highlight w:val="none"/>
        </w:rPr>
      </w:pP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2356813">
      <w:pPr>
        <w:tabs>
          <w:tab w:val="left" w:pos="6780"/>
        </w:tabs>
        <w:spacing w:line="336" w:lineRule="auto"/>
        <w:ind w:firstLine="480" w:firstLineChars="200"/>
        <w:jc w:val="left"/>
        <w:rPr>
          <w:rFonts w:ascii="仿宋" w:hAnsi="仿宋" w:eastAsia="仿宋" w:cs="仿宋"/>
          <w:color w:val="auto"/>
          <w:sz w:val="24"/>
          <w:highlight w:val="none"/>
        </w:rPr>
      </w:pP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2采购人可以邀请参加本项目的其他供应商或者第三方机构参与验收。参与验收的供应商或者第三方机构的意见作为验收书的参考资料一并存档。</w:t>
      </w:r>
    </w:p>
    <w:p w14:paraId="170FD1BF">
      <w:pPr>
        <w:tabs>
          <w:tab w:val="left" w:pos="6780"/>
        </w:tabs>
        <w:spacing w:line="336" w:lineRule="auto"/>
        <w:ind w:firstLine="480" w:firstLineChars="200"/>
        <w:jc w:val="left"/>
        <w:rPr>
          <w:rFonts w:ascii="仿宋" w:hAnsi="仿宋" w:eastAsia="仿宋" w:cs="仿宋"/>
          <w:color w:val="auto"/>
          <w:sz w:val="24"/>
          <w:highlight w:val="none"/>
        </w:rPr>
      </w:pP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45BCFE0">
      <w:pPr>
        <w:tabs>
          <w:tab w:val="left" w:pos="6780"/>
        </w:tabs>
        <w:spacing w:line="336" w:lineRule="auto"/>
        <w:ind w:firstLine="480" w:firstLineChars="200"/>
        <w:jc w:val="left"/>
        <w:rPr>
          <w:rFonts w:ascii="仿宋" w:hAnsi="仿宋" w:eastAsia="仿宋" w:cs="仿宋"/>
          <w:color w:val="auto"/>
          <w:sz w:val="24"/>
          <w:highlight w:val="none"/>
        </w:rPr>
      </w:pP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3761EC31">
      <w:pPr>
        <w:tabs>
          <w:tab w:val="left" w:pos="6780"/>
        </w:tabs>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7.售后服务考核</w:t>
      </w:r>
      <w:r>
        <w:rPr>
          <w:rFonts w:hint="eastAsia" w:ascii="仿宋" w:hAnsi="仿宋" w:eastAsia="仿宋" w:cs="仿宋"/>
          <w:b/>
          <w:color w:val="auto"/>
          <w:sz w:val="24"/>
          <w:highlight w:val="none"/>
        </w:rPr>
        <w:tab/>
      </w:r>
    </w:p>
    <w:p w14:paraId="4C89730E">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w:t>
      </w:r>
      <w:r>
        <w:rPr>
          <w:rFonts w:hint="eastAsia" w:ascii="仿宋" w:hAnsi="仿宋" w:eastAsia="仿宋" w:cs="仿宋"/>
          <w:color w:val="auto"/>
          <w:sz w:val="24"/>
          <w:highlight w:val="none"/>
          <w:lang w:eastAsia="zh-CN"/>
        </w:rPr>
        <w:t>商务技术文件</w:t>
      </w:r>
      <w:r>
        <w:rPr>
          <w:rFonts w:hint="eastAsia" w:ascii="仿宋" w:hAnsi="仿宋" w:eastAsia="仿宋" w:cs="仿宋"/>
          <w:color w:val="auto"/>
          <w:sz w:val="24"/>
          <w:highlight w:val="none"/>
        </w:rPr>
        <w:t>规定的，一经查实，由政府采购监督管理部门给予相应处罚。</w:t>
      </w:r>
    </w:p>
    <w:p w14:paraId="7E7D8CAD">
      <w:pPr>
        <w:spacing w:line="336" w:lineRule="auto"/>
        <w:ind w:firstLine="640" w:firstLineChars="200"/>
        <w:rPr>
          <w:rFonts w:ascii="仿宋" w:hAnsi="仿宋" w:eastAsia="仿宋" w:cs="仿宋"/>
          <w:color w:val="auto"/>
          <w:sz w:val="32"/>
          <w:szCs w:val="32"/>
          <w:highlight w:val="none"/>
        </w:rPr>
      </w:pPr>
    </w:p>
    <w:p w14:paraId="26B6F233">
      <w:pPr>
        <w:adjustRightInd/>
        <w:spacing w:line="336"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lang w:eastAsia="zh-CN"/>
        </w:rPr>
        <w:t>六</w:t>
      </w:r>
      <w:r>
        <w:rPr>
          <w:rFonts w:hint="eastAsia" w:ascii="仿宋" w:hAnsi="仿宋" w:eastAsia="仿宋" w:cs="仿宋"/>
          <w:b/>
          <w:color w:val="auto"/>
          <w:sz w:val="32"/>
          <w:szCs w:val="20"/>
          <w:highlight w:val="none"/>
        </w:rPr>
        <w:t>、询问、质疑与投诉</w:t>
      </w:r>
    </w:p>
    <w:p w14:paraId="5E5FA7A3">
      <w:pPr>
        <w:pStyle w:val="12"/>
        <w:spacing w:line="336"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1.在线询问、质疑、投诉</w:t>
      </w:r>
    </w:p>
    <w:p w14:paraId="69C23CCD">
      <w:pPr>
        <w:pStyle w:val="12"/>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根据《浙江省财政厅关于进一步促进政府采购公平竞争打造最优营商环境的通知》（浙财采监〔2021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highlight w:val="none"/>
          <w:lang w:eastAsia="zh-CN"/>
        </w:rPr>
        <w:t>政务</w:t>
      </w:r>
      <w:r>
        <w:rPr>
          <w:rFonts w:hint="eastAsia" w:ascii="仿宋" w:hAnsi="仿宋" w:eastAsia="仿宋" w:cs="仿宋"/>
          <w:color w:val="auto"/>
          <w:sz w:val="24"/>
          <w:highlight w:val="none"/>
        </w:rPr>
        <w:t>服务网-政府采购投诉处理-在线办理。</w:t>
      </w:r>
    </w:p>
    <w:p w14:paraId="69E3F00B">
      <w:pPr>
        <w:spacing w:line="336"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2.供应商询问</w:t>
      </w:r>
    </w:p>
    <w:p w14:paraId="7F5E0B11">
      <w:pPr>
        <w:autoSpaceDE w:val="0"/>
        <w:autoSpaceDN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A60275E">
      <w:pPr>
        <w:spacing w:line="336"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3.供应商质疑</w:t>
      </w:r>
    </w:p>
    <w:p w14:paraId="5D55EB49">
      <w:pPr>
        <w:pStyle w:val="12"/>
        <w:spacing w:line="336"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kern w:val="0"/>
          <w:sz w:val="24"/>
          <w:highlight w:val="none"/>
          <w:lang w:val="zh-CN"/>
        </w:rPr>
        <w:t>3</w:t>
      </w:r>
      <w:r>
        <w:rPr>
          <w:rFonts w:hint="eastAsia" w:ascii="仿宋" w:hAnsi="仿宋" w:eastAsia="仿宋" w:cs="仿宋"/>
          <w:b/>
          <w:color w:val="auto"/>
          <w:sz w:val="24"/>
          <w:highlight w:val="none"/>
        </w:rPr>
        <w:t>.1质疑提出时效</w:t>
      </w:r>
    </w:p>
    <w:p w14:paraId="41837C96">
      <w:pPr>
        <w:pStyle w:val="12"/>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3.1.1提出质疑的供应商应当是参与所质疑项目采购活动的供应商。潜在供应商已依法获取其可质疑的采购文件的，可以对该文件提出质疑。</w:t>
      </w:r>
    </w:p>
    <w:p w14:paraId="310245E6">
      <w:pPr>
        <w:pStyle w:val="12"/>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3</w:t>
      </w:r>
      <w:r>
        <w:rPr>
          <w:rFonts w:hint="eastAsia" w:ascii="仿宋" w:hAnsi="仿宋" w:eastAsia="仿宋" w:cs="仿宋"/>
          <w:color w:val="auto"/>
          <w:sz w:val="24"/>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5322E121">
      <w:pPr>
        <w:pStyle w:val="7"/>
        <w:spacing w:line="336" w:lineRule="auto"/>
        <w:ind w:firstLine="434" w:firstLineChars="181"/>
        <w:rPr>
          <w:rFonts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254726F2">
      <w:pPr>
        <w:pStyle w:val="12"/>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3.1.2.2对采购过程提出质疑的，质疑期限为各采购程序环节结束之日起计算。</w:t>
      </w:r>
    </w:p>
    <w:p w14:paraId="26E7AB50">
      <w:pPr>
        <w:pStyle w:val="12"/>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3.1.2.3对采购结果提出质疑的，质疑期限自采购结果公告期限届满之日起计算。</w:t>
      </w:r>
    </w:p>
    <w:p w14:paraId="705372C9">
      <w:pPr>
        <w:pStyle w:val="12"/>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3.1.2.4对同一采购程序环节的质疑，供应商须一次性提出。</w:t>
      </w:r>
    </w:p>
    <w:p w14:paraId="099E7F26">
      <w:pPr>
        <w:pStyle w:val="12"/>
        <w:spacing w:line="336" w:lineRule="auto"/>
        <w:ind w:firstLine="482" w:firstLineChars="200"/>
        <w:rPr>
          <w:rFonts w:ascii="仿宋" w:hAnsi="仿宋" w:eastAsia="仿宋" w:cs="仿宋"/>
          <w:color w:val="auto"/>
          <w:sz w:val="24"/>
          <w:highlight w:val="none"/>
        </w:rPr>
      </w:pPr>
      <w:r>
        <w:rPr>
          <w:rFonts w:hint="eastAsia" w:ascii="仿宋" w:hAnsi="仿宋" w:eastAsia="仿宋" w:cs="仿宋"/>
          <w:b/>
          <w:color w:val="auto"/>
          <w:kern w:val="0"/>
          <w:sz w:val="24"/>
          <w:highlight w:val="none"/>
          <w:lang w:val="zh-CN"/>
        </w:rPr>
        <w:t>3.</w:t>
      </w:r>
      <w:r>
        <w:rPr>
          <w:rFonts w:hint="default" w:ascii="仿宋" w:hAnsi="仿宋" w:eastAsia="仿宋" w:cs="仿宋"/>
          <w:b/>
          <w:color w:val="auto"/>
          <w:kern w:val="0"/>
          <w:sz w:val="24"/>
          <w:highlight w:val="none"/>
          <w:lang w:val="en-US"/>
        </w:rPr>
        <w:t>2</w:t>
      </w:r>
      <w:r>
        <w:rPr>
          <w:rFonts w:hint="eastAsia" w:ascii="仿宋" w:hAnsi="仿宋" w:eastAsia="仿宋" w:cs="仿宋"/>
          <w:b/>
          <w:color w:val="auto"/>
          <w:kern w:val="0"/>
          <w:sz w:val="24"/>
          <w:highlight w:val="none"/>
          <w:lang w:val="zh-CN"/>
        </w:rPr>
        <w:t>质疑函</w:t>
      </w:r>
    </w:p>
    <w:p w14:paraId="23E42477">
      <w:pPr>
        <w:pStyle w:val="12"/>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w:t>
      </w:r>
      <w:r>
        <w:rPr>
          <w:rFonts w:hint="default" w:ascii="仿宋" w:hAnsi="仿宋" w:eastAsia="仿宋" w:cs="仿宋"/>
          <w:color w:val="auto"/>
          <w:sz w:val="24"/>
          <w:highlight w:val="none"/>
          <w:lang w:val="en-US"/>
        </w:rPr>
        <w:t>2</w:t>
      </w:r>
      <w:r>
        <w:rPr>
          <w:rFonts w:hint="eastAsia" w:ascii="仿宋" w:hAnsi="仿宋" w:eastAsia="仿宋" w:cs="仿宋"/>
          <w:color w:val="auto"/>
          <w:sz w:val="24"/>
          <w:highlight w:val="none"/>
        </w:rPr>
        <w:t>.1供应商提出质疑应当提交质疑函和必要的证明材料。质疑函应当包括下列内容：</w:t>
      </w:r>
    </w:p>
    <w:p w14:paraId="737E98D0">
      <w:pPr>
        <w:pStyle w:val="12"/>
        <w:numPr>
          <w:ilvl w:val="0"/>
          <w:numId w:val="6"/>
        </w:numPr>
        <w:tabs>
          <w:tab w:val="clear" w:pos="840"/>
        </w:tabs>
        <w:spacing w:line="336" w:lineRule="auto"/>
        <w:ind w:left="0"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供应商的姓名或者名称、地址、邮编、联系人及联系电话；</w:t>
      </w:r>
    </w:p>
    <w:p w14:paraId="5CCF777C">
      <w:pPr>
        <w:pStyle w:val="12"/>
        <w:numPr>
          <w:ilvl w:val="0"/>
          <w:numId w:val="6"/>
        </w:numPr>
        <w:tabs>
          <w:tab w:val="clear" w:pos="840"/>
        </w:tabs>
        <w:spacing w:line="336" w:lineRule="auto"/>
        <w:ind w:left="0"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质疑项目的名称、编号；</w:t>
      </w:r>
    </w:p>
    <w:p w14:paraId="5CA31620">
      <w:pPr>
        <w:pStyle w:val="12"/>
        <w:numPr>
          <w:ilvl w:val="0"/>
          <w:numId w:val="6"/>
        </w:numPr>
        <w:tabs>
          <w:tab w:val="clear" w:pos="840"/>
        </w:tabs>
        <w:spacing w:line="336" w:lineRule="auto"/>
        <w:ind w:left="0"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具体、明确的质疑事项和与质疑事项相关的请求；</w:t>
      </w:r>
    </w:p>
    <w:p w14:paraId="01CDD4BE">
      <w:pPr>
        <w:pStyle w:val="12"/>
        <w:numPr>
          <w:ilvl w:val="0"/>
          <w:numId w:val="6"/>
        </w:numPr>
        <w:tabs>
          <w:tab w:val="clear" w:pos="840"/>
        </w:tabs>
        <w:spacing w:line="336" w:lineRule="auto"/>
        <w:ind w:left="0"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事实依据；</w:t>
      </w:r>
    </w:p>
    <w:p w14:paraId="3D90EEC2">
      <w:pPr>
        <w:pStyle w:val="12"/>
        <w:numPr>
          <w:ilvl w:val="0"/>
          <w:numId w:val="6"/>
        </w:numPr>
        <w:tabs>
          <w:tab w:val="clear" w:pos="840"/>
        </w:tabs>
        <w:spacing w:line="336" w:lineRule="auto"/>
        <w:ind w:left="0"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必要的法律依据；</w:t>
      </w:r>
    </w:p>
    <w:p w14:paraId="578BC0B4">
      <w:pPr>
        <w:pStyle w:val="12"/>
        <w:numPr>
          <w:ilvl w:val="0"/>
          <w:numId w:val="6"/>
        </w:numPr>
        <w:tabs>
          <w:tab w:val="clear" w:pos="840"/>
        </w:tabs>
        <w:spacing w:line="336" w:lineRule="auto"/>
        <w:ind w:left="0"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提出质疑的日期。</w:t>
      </w:r>
    </w:p>
    <w:p w14:paraId="0EA1419D">
      <w:pPr>
        <w:pStyle w:val="12"/>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7832A44C">
      <w:pPr>
        <w:pStyle w:val="12"/>
        <w:spacing w:line="336"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质疑函范本及制作说明详见附件1。</w:t>
      </w:r>
    </w:p>
    <w:p w14:paraId="1886C216">
      <w:pPr>
        <w:spacing w:line="336"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4.供应商投诉</w:t>
      </w:r>
    </w:p>
    <w:p w14:paraId="765528E4">
      <w:pPr>
        <w:pStyle w:val="12"/>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4.1质疑供应商对采购人</w:t>
      </w:r>
      <w:r>
        <w:rPr>
          <w:rFonts w:hint="eastAsia" w:ascii="仿宋" w:hAnsi="仿宋" w:eastAsia="仿宋" w:cs="仿宋"/>
          <w:color w:val="auto"/>
          <w:sz w:val="24"/>
          <w:highlight w:val="none"/>
          <w:lang w:eastAsia="zh-CN"/>
        </w:rPr>
        <w:t>或</w:t>
      </w:r>
      <w:r>
        <w:rPr>
          <w:rFonts w:hint="eastAsia" w:ascii="仿宋" w:hAnsi="仿宋" w:eastAsia="仿宋" w:cs="仿宋"/>
          <w:color w:val="auto"/>
          <w:sz w:val="24"/>
          <w:highlight w:val="none"/>
        </w:rPr>
        <w:t>采购代理机构的答复不满意或者采购人、采购代理机构未在规定的时间内作出答复的，可以在答复期满后十五个工作日内向同级政府采购监督管理部门提出投诉。</w:t>
      </w:r>
    </w:p>
    <w:p w14:paraId="5E6EBEC1">
      <w:pPr>
        <w:pStyle w:val="12"/>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4.2供应商投诉的事项不得超出已质疑事项的范围，基于质疑答复内容提出的投诉事项除外。</w:t>
      </w:r>
    </w:p>
    <w:p w14:paraId="67BD7914">
      <w:pPr>
        <w:pStyle w:val="12"/>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4.3供应商投诉应当有明确的请求和必要的证明材料。</w:t>
      </w:r>
    </w:p>
    <w:p w14:paraId="6AFDAE5D">
      <w:pPr>
        <w:pStyle w:val="12"/>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4.4以联合体形式参加政府采购活动的，其投诉应当由组成联合体的所有供应商共同提出。</w:t>
      </w:r>
    </w:p>
    <w:p w14:paraId="24CDDCDB">
      <w:pPr>
        <w:pStyle w:val="12"/>
        <w:spacing w:line="336"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投诉书范本及制作说明详见附件2。</w:t>
      </w:r>
    </w:p>
    <w:p w14:paraId="03D14D0B">
      <w:pPr>
        <w:spacing w:line="336" w:lineRule="auto"/>
        <w:ind w:firstLine="480" w:firstLineChars="200"/>
        <w:rPr>
          <w:rFonts w:ascii="仿宋" w:hAnsi="仿宋" w:eastAsia="仿宋" w:cs="仿宋"/>
          <w:color w:val="auto"/>
          <w:sz w:val="24"/>
          <w:szCs w:val="20"/>
          <w:highlight w:val="none"/>
        </w:rPr>
      </w:pPr>
    </w:p>
    <w:p w14:paraId="777935CF">
      <w:pPr>
        <w:pStyle w:val="12"/>
        <w:spacing w:line="336" w:lineRule="auto"/>
        <w:ind w:firstLine="480" w:firstLineChars="200"/>
        <w:rPr>
          <w:rFonts w:ascii="仿宋" w:hAnsi="仿宋" w:eastAsia="仿宋" w:cs="仿宋"/>
          <w:color w:val="auto"/>
          <w:sz w:val="24"/>
          <w:highlight w:val="none"/>
        </w:rPr>
      </w:pPr>
    </w:p>
    <w:p w14:paraId="7DCA7C31">
      <w:pPr>
        <w:tabs>
          <w:tab w:val="left" w:pos="0"/>
        </w:tabs>
        <w:spacing w:line="336" w:lineRule="auto"/>
        <w:rPr>
          <w:rFonts w:ascii="仿宋" w:hAnsi="仿宋" w:eastAsia="仿宋" w:cs="仿宋"/>
          <w:b/>
          <w:color w:val="auto"/>
          <w:sz w:val="32"/>
          <w:szCs w:val="20"/>
          <w:highlight w:val="none"/>
        </w:rPr>
      </w:pPr>
      <w:bookmarkStart w:id="50" w:name="_Hlt74714665"/>
      <w:bookmarkEnd w:id="50"/>
      <w:bookmarkStart w:id="51" w:name="_Hlt74729768"/>
      <w:bookmarkEnd w:id="51"/>
      <w:bookmarkStart w:id="52" w:name="_Hlt68057669"/>
      <w:bookmarkEnd w:id="52"/>
      <w:bookmarkStart w:id="53" w:name="_Hlt75236290"/>
      <w:bookmarkEnd w:id="53"/>
      <w:bookmarkStart w:id="54" w:name="_Hlt75236101"/>
      <w:bookmarkEnd w:id="54"/>
      <w:bookmarkStart w:id="55" w:name="_Hlt74730295"/>
      <w:bookmarkEnd w:id="55"/>
      <w:bookmarkStart w:id="56" w:name="_Hlt74707468"/>
      <w:bookmarkEnd w:id="56"/>
      <w:bookmarkStart w:id="57" w:name="_Hlt75236011"/>
      <w:bookmarkEnd w:id="57"/>
      <w:bookmarkStart w:id="58" w:name="_Hlt68072990"/>
      <w:bookmarkEnd w:id="58"/>
      <w:r>
        <w:rPr>
          <w:rFonts w:hint="eastAsia" w:ascii="仿宋" w:hAnsi="仿宋" w:eastAsia="仿宋" w:cs="仿宋"/>
          <w:b/>
          <w:color w:val="auto"/>
          <w:sz w:val="36"/>
          <w:szCs w:val="36"/>
          <w:highlight w:val="none"/>
        </w:rPr>
        <w:br w:type="page"/>
      </w:r>
    </w:p>
    <w:bookmarkEnd w:id="8"/>
    <w:p w14:paraId="1757C566">
      <w:pPr>
        <w:adjustRightInd/>
        <w:spacing w:line="336" w:lineRule="auto"/>
        <w:jc w:val="center"/>
        <w:outlineLvl w:val="0"/>
        <w:rPr>
          <w:rFonts w:ascii="仿宋" w:hAnsi="仿宋" w:eastAsia="仿宋" w:cs="仿宋"/>
          <w:b/>
          <w:color w:val="auto"/>
          <w:sz w:val="36"/>
          <w:szCs w:val="36"/>
          <w:highlight w:val="none"/>
        </w:rPr>
      </w:pPr>
      <w:bookmarkStart w:id="59" w:name="第三部分"/>
      <w:bookmarkStart w:id="60" w:name="_Toc164416483"/>
      <w:r>
        <w:rPr>
          <w:rFonts w:hint="eastAsia" w:ascii="仿宋" w:hAnsi="仿宋" w:eastAsia="仿宋" w:cs="仿宋"/>
          <w:b/>
          <w:color w:val="auto"/>
          <w:sz w:val="36"/>
          <w:szCs w:val="36"/>
          <w:highlight w:val="none"/>
        </w:rPr>
        <w:t>第三部分  采购需求</w:t>
      </w:r>
    </w:p>
    <w:p w14:paraId="0972F1F3">
      <w:pPr>
        <w:snapToGrid w:val="0"/>
        <w:spacing w:line="440" w:lineRule="exact"/>
        <w:rPr>
          <w:rFonts w:hint="eastAsia" w:ascii="仿宋_GB2312" w:eastAsia="仿宋_GB2312"/>
          <w:b/>
          <w:color w:val="auto"/>
          <w:sz w:val="24"/>
          <w:szCs w:val="22"/>
          <w:highlight w:val="none"/>
          <w:lang w:eastAsia="zh-CN"/>
        </w:rPr>
      </w:pPr>
      <w:r>
        <w:rPr>
          <w:rFonts w:hint="eastAsia" w:ascii="仿宋_GB2312" w:eastAsia="仿宋_GB2312"/>
          <w:b/>
          <w:color w:val="auto"/>
          <w:sz w:val="24"/>
          <w:szCs w:val="22"/>
          <w:highlight w:val="none"/>
          <w:bdr w:val="single" w:color="auto" w:sz="4" w:space="0"/>
        </w:rPr>
        <w:t>01标</w:t>
      </w:r>
      <w:r>
        <w:rPr>
          <w:rFonts w:hint="eastAsia" w:ascii="仿宋_GB2312" w:eastAsia="仿宋_GB2312"/>
          <w:b/>
          <w:color w:val="auto"/>
          <w:sz w:val="24"/>
          <w:szCs w:val="22"/>
          <w:highlight w:val="none"/>
          <w:lang w:eastAsia="zh-CN"/>
        </w:rPr>
        <w:t>绍兴市“十五五”期间盘活存量资产推动高质量发展专项规划项目（</w:t>
      </w:r>
      <w:r>
        <w:rPr>
          <w:rFonts w:hint="eastAsia" w:ascii="仿宋_GB2312" w:eastAsia="仿宋_GB2312"/>
          <w:b/>
          <w:color w:val="auto"/>
          <w:sz w:val="24"/>
          <w:szCs w:val="22"/>
          <w:highlight w:val="none"/>
        </w:rPr>
        <w:t>预算：</w:t>
      </w:r>
      <w:r>
        <w:rPr>
          <w:rFonts w:hint="eastAsia" w:ascii="仿宋_GB2312" w:eastAsia="仿宋_GB2312"/>
          <w:b/>
          <w:color w:val="auto"/>
          <w:sz w:val="24"/>
          <w:szCs w:val="22"/>
          <w:highlight w:val="none"/>
          <w:lang w:val="en-US" w:eastAsia="zh-CN"/>
        </w:rPr>
        <w:t>500000.00</w:t>
      </w:r>
      <w:r>
        <w:rPr>
          <w:rFonts w:hint="eastAsia" w:ascii="仿宋_GB2312" w:eastAsia="仿宋_GB2312"/>
          <w:b/>
          <w:color w:val="auto"/>
          <w:sz w:val="24"/>
          <w:szCs w:val="22"/>
          <w:highlight w:val="none"/>
        </w:rPr>
        <w:t>元）</w:t>
      </w:r>
    </w:p>
    <w:p w14:paraId="22AB56CC">
      <w:pPr>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color w:val="auto"/>
          <w:spacing w:val="15"/>
          <w:sz w:val="24"/>
          <w:szCs w:val="24"/>
          <w:highlight w:val="none"/>
          <w:lang w:eastAsia="zh-CN"/>
        </w:rPr>
      </w:pPr>
      <w:bookmarkStart w:id="61" w:name="_Toc19315"/>
      <w:r>
        <w:rPr>
          <w:rFonts w:hint="eastAsia" w:ascii="仿宋" w:hAnsi="仿宋" w:eastAsia="仿宋" w:cs="仿宋"/>
          <w:b/>
          <w:color w:val="auto"/>
          <w:spacing w:val="15"/>
          <w:sz w:val="24"/>
          <w:szCs w:val="24"/>
          <w:highlight w:val="none"/>
          <w:lang w:eastAsia="zh-CN"/>
        </w:rPr>
        <w:t>一、项目</w:t>
      </w:r>
      <w:bookmarkEnd w:id="61"/>
      <w:r>
        <w:rPr>
          <w:rFonts w:hint="eastAsia" w:ascii="仿宋" w:hAnsi="仿宋" w:eastAsia="仿宋" w:cs="仿宋"/>
          <w:b/>
          <w:color w:val="auto"/>
          <w:spacing w:val="15"/>
          <w:sz w:val="24"/>
          <w:szCs w:val="24"/>
          <w:highlight w:val="none"/>
          <w:lang w:eastAsia="zh-CN"/>
        </w:rPr>
        <w:t>背景</w:t>
      </w:r>
    </w:p>
    <w:p w14:paraId="06FB7407">
      <w:pPr>
        <w:keepNext w:val="0"/>
        <w:keepLines w:val="0"/>
        <w:pageBreakBefore w:val="0"/>
        <w:kinsoku/>
        <w:wordWrap/>
        <w:overflowPunct/>
        <w:topLinePunct w:val="0"/>
        <w:autoSpaceDE/>
        <w:autoSpaceDN/>
        <w:bidi w:val="0"/>
        <w:spacing w:line="420" w:lineRule="exact"/>
        <w:ind w:leftChars="0" w:firstLine="508" w:firstLineChars="212"/>
        <w:textAlignment w:val="auto"/>
        <w:rPr>
          <w:rFonts w:hint="eastAsia" w:ascii="仿宋" w:hAnsi="仿宋" w:eastAsia="仿宋" w:cs="仿宋"/>
          <w:b w:val="0"/>
          <w:bCs/>
          <w:color w:val="auto"/>
          <w:sz w:val="24"/>
          <w:szCs w:val="24"/>
          <w:highlight w:val="none"/>
          <w:lang w:val="en-US" w:eastAsia="zh-CN"/>
        </w:rPr>
      </w:pPr>
      <w:bookmarkStart w:id="62" w:name="_Toc57309456"/>
      <w:bookmarkStart w:id="63" w:name="_Toc18181"/>
      <w:r>
        <w:rPr>
          <w:rFonts w:hint="eastAsia" w:ascii="仿宋" w:hAnsi="仿宋" w:eastAsia="仿宋" w:cs="仿宋"/>
          <w:b w:val="0"/>
          <w:bCs/>
          <w:color w:val="auto"/>
          <w:sz w:val="24"/>
          <w:szCs w:val="24"/>
          <w:highlight w:val="none"/>
          <w:lang w:val="en-US" w:eastAsia="zh-CN"/>
        </w:rPr>
        <w:t>随着绍兴市经济社会的快速发展，城市资产规模不断扩大，管理难度也随之增加。为贯彻落实国家、省政府、市政府关于盘活存量资产扩大有效投资的文件精神，加快构建盘活存量资产工作体系，推动盘活项目落地，在全省范围内形成示范引领效应；同时提升资产管理效率，优化资源配置，特开展绍兴市“十五五”期间盘活存量资产推动高质量发展专项规划项目，以系统性、科学性地推进存量资产的盘活工作，推动经济结构优化升级。</w:t>
      </w:r>
    </w:p>
    <w:bookmarkEnd w:id="62"/>
    <w:bookmarkEnd w:id="63"/>
    <w:p w14:paraId="69B4B603">
      <w:pPr>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color w:val="auto"/>
          <w:spacing w:val="15"/>
          <w:sz w:val="24"/>
          <w:szCs w:val="24"/>
          <w:highlight w:val="none"/>
          <w:lang w:val="en-US" w:eastAsia="zh-CN"/>
        </w:rPr>
      </w:pPr>
      <w:r>
        <w:rPr>
          <w:rFonts w:hint="eastAsia" w:ascii="仿宋" w:hAnsi="仿宋" w:eastAsia="仿宋" w:cs="仿宋"/>
          <w:b/>
          <w:color w:val="auto"/>
          <w:spacing w:val="15"/>
          <w:sz w:val="24"/>
          <w:szCs w:val="24"/>
          <w:highlight w:val="none"/>
          <w:lang w:eastAsia="zh-CN"/>
        </w:rPr>
        <w:t>二</w:t>
      </w:r>
      <w:r>
        <w:rPr>
          <w:rFonts w:hint="eastAsia" w:ascii="仿宋" w:hAnsi="仿宋" w:eastAsia="仿宋" w:cs="仿宋"/>
          <w:b/>
          <w:color w:val="auto"/>
          <w:spacing w:val="15"/>
          <w:sz w:val="24"/>
          <w:szCs w:val="24"/>
          <w:highlight w:val="none"/>
        </w:rPr>
        <w:t>、</w:t>
      </w:r>
      <w:r>
        <w:rPr>
          <w:rFonts w:hint="eastAsia" w:ascii="仿宋" w:hAnsi="仿宋" w:eastAsia="仿宋" w:cs="仿宋"/>
          <w:b/>
          <w:color w:val="auto"/>
          <w:sz w:val="24"/>
          <w:szCs w:val="24"/>
          <w:highlight w:val="none"/>
          <w:lang w:val="en-US" w:eastAsia="zh-CN"/>
        </w:rPr>
        <w:t>服务内容</w:t>
      </w:r>
    </w:p>
    <w:p w14:paraId="7BAB68B5">
      <w:pPr>
        <w:keepNext w:val="0"/>
        <w:keepLines w:val="0"/>
        <w:pageBreakBefore w:val="0"/>
        <w:kinsoku/>
        <w:wordWrap/>
        <w:overflowPunct/>
        <w:topLinePunct w:val="0"/>
        <w:autoSpaceDE/>
        <w:autoSpaceDN/>
        <w:bidi w:val="0"/>
        <w:spacing w:line="420" w:lineRule="exact"/>
        <w:ind w:leftChars="0" w:firstLine="508" w:firstLineChars="212"/>
        <w:textAlignment w:val="auto"/>
        <w:rPr>
          <w:rFonts w:hint="eastAsia" w:ascii="仿宋" w:hAnsi="仿宋" w:eastAsia="仿宋" w:cs="仿宋"/>
          <w:b w:val="0"/>
          <w:bCs/>
          <w:color w:val="auto"/>
          <w:sz w:val="24"/>
          <w:szCs w:val="24"/>
          <w:highlight w:val="none"/>
          <w:lang w:val="en-US" w:eastAsia="zh-CN"/>
        </w:rPr>
      </w:pPr>
      <w:bookmarkStart w:id="64" w:name="_Toc27352"/>
      <w:bookmarkStart w:id="65" w:name="_Toc11146"/>
      <w:bookmarkStart w:id="66" w:name="_Toc3273"/>
      <w:bookmarkStart w:id="67" w:name="_Toc57309458"/>
      <w:r>
        <w:rPr>
          <w:rFonts w:hint="eastAsia" w:ascii="仿宋" w:hAnsi="仿宋" w:eastAsia="仿宋" w:cs="仿宋"/>
          <w:b w:val="0"/>
          <w:bCs/>
          <w:color w:val="auto"/>
          <w:sz w:val="24"/>
          <w:szCs w:val="24"/>
          <w:highlight w:val="none"/>
          <w:lang w:val="en-US" w:eastAsia="zh-CN"/>
        </w:rPr>
        <w:t>1.背景形势研究：系统性总结国家、省、市关于盘活存量资产扩大有效投资的政策举措和工作成效，全面剖析绍兴市“十五五”期间经济社会高质量发展面临的总体形势和发展需求。</w:t>
      </w:r>
    </w:p>
    <w:p w14:paraId="7B3D5596">
      <w:pPr>
        <w:keepNext w:val="0"/>
        <w:keepLines w:val="0"/>
        <w:pageBreakBefore w:val="0"/>
        <w:kinsoku/>
        <w:wordWrap/>
        <w:overflowPunct/>
        <w:topLinePunct w:val="0"/>
        <w:autoSpaceDE/>
        <w:autoSpaceDN/>
        <w:bidi w:val="0"/>
        <w:spacing w:line="420" w:lineRule="exact"/>
        <w:ind w:leftChars="0" w:firstLine="508" w:firstLineChars="212"/>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2.发展思路研究：谋划提出“十五五”期间绍兴市盘活存量资产推动高质量发展的总体思路、功能定位和目标指标，从资产、项目、主体、政策等维度提出盘活存量资产推动高质量发展的改革方向。</w:t>
      </w:r>
    </w:p>
    <w:p w14:paraId="56788407">
      <w:pPr>
        <w:keepNext w:val="0"/>
        <w:keepLines w:val="0"/>
        <w:pageBreakBefore w:val="0"/>
        <w:kinsoku/>
        <w:wordWrap/>
        <w:overflowPunct/>
        <w:topLinePunct w:val="0"/>
        <w:autoSpaceDE/>
        <w:autoSpaceDN/>
        <w:bidi w:val="0"/>
        <w:spacing w:line="420" w:lineRule="exact"/>
        <w:ind w:leftChars="0" w:firstLine="508" w:firstLineChars="212"/>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任务举措研究：根据“十五五”期间绍兴市盘活存量资产推动高质量发展的发展思路，梳理不同领域资产盘活的主要路径方向及相应支撑项目，形成盘活存量资产重大项目表，提出项目要素保障机制改革和投资效益提升等方面的具体举措。</w:t>
      </w:r>
    </w:p>
    <w:p w14:paraId="7D3E5FC4">
      <w:pPr>
        <w:keepNext w:val="0"/>
        <w:keepLines w:val="0"/>
        <w:pageBreakBefore w:val="0"/>
        <w:kinsoku/>
        <w:wordWrap/>
        <w:overflowPunct/>
        <w:topLinePunct w:val="0"/>
        <w:autoSpaceDE/>
        <w:autoSpaceDN/>
        <w:bidi w:val="0"/>
        <w:spacing w:line="420" w:lineRule="exact"/>
        <w:ind w:leftChars="0" w:firstLine="508" w:firstLineChars="212"/>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4.创新研究课题：根据绍兴市实际情况和发展方向，在宏观资产负债管理、数据资产盘活和区域财力平衡等新课题上实现突破。</w:t>
      </w:r>
    </w:p>
    <w:p w14:paraId="59693AA4">
      <w:pPr>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color w:val="auto"/>
          <w:spacing w:val="15"/>
          <w:sz w:val="24"/>
          <w:szCs w:val="24"/>
          <w:highlight w:val="none"/>
          <w:lang w:eastAsia="zh-CN"/>
        </w:rPr>
      </w:pPr>
      <w:r>
        <w:rPr>
          <w:rFonts w:hint="eastAsia" w:ascii="仿宋" w:hAnsi="仿宋" w:eastAsia="仿宋" w:cs="仿宋"/>
          <w:b/>
          <w:color w:val="auto"/>
          <w:spacing w:val="15"/>
          <w:sz w:val="24"/>
          <w:szCs w:val="24"/>
          <w:highlight w:val="none"/>
          <w:lang w:val="en-US" w:eastAsia="zh-CN"/>
        </w:rPr>
        <w:t>三、</w:t>
      </w:r>
      <w:r>
        <w:rPr>
          <w:rFonts w:hint="eastAsia" w:ascii="仿宋" w:hAnsi="仿宋" w:eastAsia="仿宋" w:cs="仿宋"/>
          <w:b/>
          <w:color w:val="auto"/>
          <w:spacing w:val="15"/>
          <w:sz w:val="24"/>
          <w:szCs w:val="24"/>
          <w:highlight w:val="none"/>
          <w:lang w:eastAsia="zh-CN"/>
        </w:rPr>
        <w:t>服务成果</w:t>
      </w:r>
    </w:p>
    <w:p w14:paraId="47FA04B6">
      <w:pPr>
        <w:keepNext w:val="0"/>
        <w:keepLines w:val="0"/>
        <w:pageBreakBefore w:val="0"/>
        <w:kinsoku/>
        <w:wordWrap/>
        <w:overflowPunct/>
        <w:topLinePunct w:val="0"/>
        <w:autoSpaceDE/>
        <w:autoSpaceDN/>
        <w:bidi w:val="0"/>
        <w:spacing w:line="420" w:lineRule="exact"/>
        <w:ind w:leftChars="0" w:firstLine="508" w:firstLineChars="212"/>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1.供应商须向采购人提交绍兴市盘活存量资产推动高质量发展“十五五”规划。</w:t>
      </w:r>
    </w:p>
    <w:p w14:paraId="35FF50A7">
      <w:pPr>
        <w:keepNext w:val="0"/>
        <w:keepLines w:val="0"/>
        <w:pageBreakBefore w:val="0"/>
        <w:kinsoku/>
        <w:wordWrap/>
        <w:overflowPunct/>
        <w:topLinePunct w:val="0"/>
        <w:autoSpaceDE/>
        <w:autoSpaceDN/>
        <w:bidi w:val="0"/>
        <w:spacing w:line="420" w:lineRule="exact"/>
        <w:ind w:leftChars="0" w:firstLine="508" w:firstLineChars="212"/>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2.绍兴市盘活存量资产“十五五”重大项目表和创新课题研究报告。</w:t>
      </w:r>
    </w:p>
    <w:p w14:paraId="0BFA1AAD">
      <w:pPr>
        <w:keepNext w:val="0"/>
        <w:keepLines w:val="0"/>
        <w:pageBreakBefore w:val="0"/>
        <w:kinsoku/>
        <w:wordWrap/>
        <w:overflowPunct/>
        <w:topLinePunct w:val="0"/>
        <w:autoSpaceDE/>
        <w:autoSpaceDN/>
        <w:bidi w:val="0"/>
        <w:spacing w:line="420" w:lineRule="exact"/>
        <w:ind w:leftChars="0" w:firstLine="508" w:firstLineChars="212"/>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3.协助举办一场盘活存量资产推动高质量发展相关研讨交流活动。</w:t>
      </w:r>
    </w:p>
    <w:p w14:paraId="14E6609F">
      <w:pPr>
        <w:keepNext w:val="0"/>
        <w:keepLines w:val="0"/>
        <w:pageBreakBefore w:val="0"/>
        <w:kinsoku/>
        <w:wordWrap/>
        <w:overflowPunct/>
        <w:topLinePunct w:val="0"/>
        <w:autoSpaceDE/>
        <w:autoSpaceDN/>
        <w:bidi w:val="0"/>
        <w:spacing w:line="420" w:lineRule="exact"/>
        <w:textAlignment w:val="auto"/>
        <w:rPr>
          <w:rFonts w:hint="eastAsia" w:ascii="仿宋" w:hAnsi="仿宋" w:eastAsia="仿宋" w:cs="仿宋"/>
          <w:b/>
          <w:color w:val="auto"/>
          <w:spacing w:val="15"/>
          <w:sz w:val="24"/>
          <w:szCs w:val="24"/>
          <w:highlight w:val="none"/>
          <w:lang w:val="en-US" w:eastAsia="zh-CN"/>
        </w:rPr>
      </w:pPr>
      <w:r>
        <w:rPr>
          <w:rFonts w:hint="eastAsia" w:ascii="仿宋" w:hAnsi="仿宋" w:eastAsia="仿宋" w:cs="仿宋"/>
          <w:b/>
          <w:color w:val="auto"/>
          <w:spacing w:val="15"/>
          <w:sz w:val="24"/>
          <w:szCs w:val="24"/>
          <w:highlight w:val="none"/>
          <w:lang w:val="en-US" w:eastAsia="zh-CN"/>
        </w:rPr>
        <w:t>四、质量保证要求</w:t>
      </w:r>
      <w:bookmarkEnd w:id="64"/>
    </w:p>
    <w:p w14:paraId="06B82605">
      <w:pPr>
        <w:pageBreakBefore w:val="0"/>
        <w:widowControl w:val="0"/>
        <w:kinsoku/>
        <w:wordWrap/>
        <w:overflowPunct/>
        <w:topLinePunct w:val="0"/>
        <w:autoSpaceDE/>
        <w:autoSpaceDN/>
        <w:bidi w:val="0"/>
        <w:adjustRightInd/>
        <w:spacing w:line="440" w:lineRule="exact"/>
        <w:ind w:left="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项目人员安排要求：供应商拟投入本项目的项目负责人及项目团队成员应具有相关工作经验，要求供应商拥有专业的科研团队，能够提供高质量的规划编制服务。供应商应提交预期为本项目工作的组织结构图、所有人员的资格和姓名，包括项目负责人、项目涉及的各相关领域专家、研究人员等。成交供应商不得随意更换项目负责人和项目组成员，如不经采购人同意擅自更换，则采购人有权解除合同。 </w:t>
      </w:r>
    </w:p>
    <w:p w14:paraId="2C3881F5">
      <w:pPr>
        <w:spacing w:line="440" w:lineRule="exact"/>
        <w:ind w:left="0" w:firstLine="48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投标人需投入1名项目总负责人负责本项目相关的各项工作。投标人拟投入的其他团队人员（不含项目负责人）不少于4人。团队成员需具有经济师、咨询师、会计师、项目管理等相关职称或职业资格。投标人须</w:t>
      </w:r>
      <w:r>
        <w:rPr>
          <w:rFonts w:hint="eastAsia" w:ascii="仿宋" w:hAnsi="仿宋" w:eastAsia="仿宋" w:cs="仿宋"/>
          <w:b w:val="0"/>
          <w:bCs w:val="0"/>
          <w:color w:val="auto"/>
          <w:sz w:val="24"/>
          <w:highlight w:val="none"/>
          <w:lang w:val="en-US" w:eastAsia="zh-CN"/>
        </w:rPr>
        <w:t>提供驻点服务</w:t>
      </w:r>
      <w:r>
        <w:rPr>
          <w:rFonts w:hint="eastAsia" w:ascii="仿宋" w:hAnsi="仿宋" w:eastAsia="仿宋" w:cs="仿宋"/>
          <w:color w:val="auto"/>
          <w:sz w:val="24"/>
          <w:highlight w:val="none"/>
          <w:lang w:val="en-US" w:eastAsia="zh-CN"/>
        </w:rPr>
        <w:t>。</w:t>
      </w:r>
    </w:p>
    <w:p w14:paraId="410E6FA0">
      <w:pPr>
        <w:spacing w:line="440" w:lineRule="exact"/>
        <w:ind w:left="0" w:firstLine="480"/>
        <w:rPr>
          <w:rFonts w:hint="eastAsia" w:ascii="仿宋" w:hAnsi="仿宋" w:eastAsia="仿宋" w:cs="仿宋"/>
          <w:color w:val="auto"/>
          <w:sz w:val="24"/>
          <w:highlight w:val="none"/>
          <w:lang w:val="en-US" w:eastAsia="zh-CN"/>
        </w:rPr>
      </w:pPr>
      <w:bookmarkStart w:id="68" w:name="_Toc14060"/>
      <w:r>
        <w:rPr>
          <w:rFonts w:hint="eastAsia" w:ascii="仿宋" w:hAnsi="仿宋" w:eastAsia="仿宋" w:cs="仿宋"/>
          <w:color w:val="auto"/>
          <w:sz w:val="24"/>
          <w:highlight w:val="none"/>
          <w:lang w:val="en-US" w:eastAsia="zh-CN"/>
        </w:rPr>
        <w:t>项目需确保规划目标精准、内容完整，理论水平高，措施具备可操作性和可执行性，符合国家相关法律法规和标准。</w:t>
      </w:r>
    </w:p>
    <w:p w14:paraId="75DFDAC5">
      <w:pPr>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color w:val="auto"/>
          <w:spacing w:val="15"/>
          <w:sz w:val="24"/>
          <w:szCs w:val="24"/>
          <w:highlight w:val="none"/>
          <w:lang w:val="en-US" w:eastAsia="zh-CN"/>
        </w:rPr>
      </w:pPr>
      <w:r>
        <w:rPr>
          <w:rFonts w:hint="eastAsia" w:ascii="仿宋" w:hAnsi="仿宋" w:eastAsia="仿宋" w:cs="仿宋"/>
          <w:b/>
          <w:color w:val="auto"/>
          <w:spacing w:val="15"/>
          <w:sz w:val="24"/>
          <w:szCs w:val="24"/>
          <w:highlight w:val="none"/>
          <w:lang w:val="en-US" w:eastAsia="zh-CN"/>
        </w:rPr>
        <w:t>五、</w:t>
      </w:r>
      <w:bookmarkEnd w:id="68"/>
      <w:r>
        <w:rPr>
          <w:rFonts w:hint="eastAsia" w:ascii="仿宋" w:hAnsi="仿宋" w:eastAsia="仿宋" w:cs="仿宋"/>
          <w:b/>
          <w:color w:val="auto"/>
          <w:spacing w:val="15"/>
          <w:sz w:val="24"/>
          <w:szCs w:val="24"/>
          <w:highlight w:val="none"/>
          <w:lang w:val="en-US" w:eastAsia="zh-CN"/>
        </w:rPr>
        <w:t>保密要求</w:t>
      </w:r>
    </w:p>
    <w:p w14:paraId="36AE22BD">
      <w:pPr>
        <w:pageBreakBefore w:val="0"/>
        <w:widowControl w:val="0"/>
        <w:kinsoku/>
        <w:wordWrap/>
        <w:overflowPunct/>
        <w:topLinePunct w:val="0"/>
        <w:autoSpaceDE/>
        <w:autoSpaceDN/>
        <w:bidi w:val="0"/>
        <w:adjustRightInd/>
        <w:spacing w:line="440" w:lineRule="exact"/>
        <w:ind w:left="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1.建立严格的保密制度，供应商应当加强对工作人员的保密管理及保密知识教育。</w:t>
      </w:r>
    </w:p>
    <w:p w14:paraId="2C410361">
      <w:pPr>
        <w:pageBreakBefore w:val="0"/>
        <w:widowControl w:val="0"/>
        <w:kinsoku/>
        <w:wordWrap/>
        <w:overflowPunct/>
        <w:topLinePunct w:val="0"/>
        <w:autoSpaceDE/>
        <w:autoSpaceDN/>
        <w:bidi w:val="0"/>
        <w:adjustRightInd/>
        <w:spacing w:line="440" w:lineRule="exact"/>
        <w:ind w:left="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2.供应商须承担与此有关的技术情报和数据资料的保密责任。与本项目有关的资料及数据成果中涉及国家秘密的内容，均要求按照《国家保密法》及相关法律法规执行。</w:t>
      </w:r>
    </w:p>
    <w:p w14:paraId="71ADAFCB">
      <w:pPr>
        <w:keepNext w:val="0"/>
        <w:keepLines w:val="0"/>
        <w:pageBreakBefore w:val="0"/>
        <w:kinsoku/>
        <w:wordWrap/>
        <w:overflowPunct/>
        <w:topLinePunct w:val="0"/>
        <w:bidi w:val="0"/>
        <w:spacing w:line="360" w:lineRule="auto"/>
        <w:jc w:val="left"/>
        <w:textAlignment w:val="auto"/>
        <w:rPr>
          <w:rFonts w:ascii="仿宋" w:hAnsi="仿宋" w:eastAsia="仿宋" w:cs="仿宋"/>
          <w:b/>
          <w:color w:val="auto"/>
          <w:sz w:val="24"/>
          <w:highlight w:val="none"/>
        </w:rPr>
      </w:pPr>
      <w:bookmarkStart w:id="69" w:name="_Toc756"/>
      <w:r>
        <w:rPr>
          <w:rFonts w:hint="eastAsia" w:ascii="仿宋" w:hAnsi="仿宋" w:eastAsia="仿宋" w:cs="仿宋"/>
          <w:b/>
          <w:color w:val="auto"/>
          <w:sz w:val="24"/>
          <w:highlight w:val="none"/>
          <w:lang w:eastAsia="zh-CN"/>
        </w:rPr>
        <w:t>六</w:t>
      </w:r>
      <w:r>
        <w:rPr>
          <w:rFonts w:hint="eastAsia" w:ascii="仿宋" w:hAnsi="仿宋" w:eastAsia="仿宋" w:cs="仿宋"/>
          <w:b/>
          <w:color w:val="auto"/>
          <w:sz w:val="24"/>
          <w:highlight w:val="none"/>
        </w:rPr>
        <w:t>、知识产权：</w:t>
      </w:r>
    </w:p>
    <w:p w14:paraId="71D19B5C">
      <w:pPr>
        <w:keepNext w:val="0"/>
        <w:keepLines w:val="0"/>
        <w:pageBreakBefore w:val="0"/>
        <w:kinsoku/>
        <w:wordWrap/>
        <w:overflowPunct/>
        <w:topLinePunct w:val="0"/>
        <w:bidi w:val="0"/>
        <w:spacing w:line="360" w:lineRule="auto"/>
        <w:ind w:firstLine="480" w:firstLineChars="200"/>
        <w:jc w:val="left"/>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凡涉及到本次采购项目的任何知识产权均属于采购人所有，任何单位及个人不得抄袭和引用有关内容，一经查实，须负法律责任。如果任何第三方提出侵权指控，由投标单位负责与第三方交涉并承担可能发生的一切费用和相关法律责任，采购人不承担由此引起的一切经济和法律责任</w:t>
      </w:r>
      <w:r>
        <w:rPr>
          <w:rFonts w:hint="eastAsia" w:ascii="仿宋" w:hAnsi="仿宋" w:eastAsia="仿宋" w:cs="仿宋"/>
          <w:color w:val="auto"/>
          <w:sz w:val="24"/>
          <w:highlight w:val="none"/>
          <w:lang w:eastAsia="zh-CN"/>
        </w:rPr>
        <w:t>。</w:t>
      </w:r>
    </w:p>
    <w:p w14:paraId="05F2CCB5">
      <w:pPr>
        <w:keepNext w:val="0"/>
        <w:keepLines w:val="0"/>
        <w:pageBreakBefore w:val="0"/>
        <w:kinsoku/>
        <w:wordWrap/>
        <w:overflowPunct/>
        <w:topLinePunct w:val="0"/>
        <w:bidi w:val="0"/>
        <w:spacing w:line="360" w:lineRule="auto"/>
        <w:ind w:firstLine="480" w:firstLineChars="200"/>
        <w:jc w:val="left"/>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2.采购人有权在项目实施中根据需要对选定的实施方案进行调整和修改。采购人有权在实施方案中参考使用获得和未获得补偿费用的所有投标方案成果的部分内容，并且不再向</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支付费用</w:t>
      </w:r>
      <w:r>
        <w:rPr>
          <w:rFonts w:hint="eastAsia" w:ascii="仿宋" w:hAnsi="仿宋" w:eastAsia="仿宋" w:cs="仿宋"/>
          <w:color w:val="auto"/>
          <w:sz w:val="24"/>
          <w:highlight w:val="none"/>
          <w:lang w:eastAsia="zh-CN"/>
        </w:rPr>
        <w:t>。</w:t>
      </w:r>
    </w:p>
    <w:p w14:paraId="65645059">
      <w:pPr>
        <w:keepNext w:val="0"/>
        <w:keepLines w:val="0"/>
        <w:pageBreakBefore w:val="0"/>
        <w:kinsoku/>
        <w:wordWrap/>
        <w:overflowPunct/>
        <w:topLinePunct w:val="0"/>
        <w:bidi w:val="0"/>
        <w:spacing w:line="360" w:lineRule="auto"/>
        <w:ind w:firstLine="480" w:firstLineChars="200"/>
        <w:jc w:val="lef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保证投标文件及资料均未侵犯他人的知识产权，否则必须承担全部责任。</w:t>
      </w:r>
    </w:p>
    <w:p w14:paraId="12CEDE75">
      <w:pPr>
        <w:keepNext w:val="0"/>
        <w:keepLines w:val="0"/>
        <w:pageBreakBefore w:val="0"/>
        <w:kinsoku/>
        <w:wordWrap/>
        <w:overflowPunct/>
        <w:topLinePunct w:val="0"/>
        <w:bidi w:val="0"/>
        <w:spacing w:line="360"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4.若</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使用了他人的专利、专有技术，涉及的费用由</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负责。</w:t>
      </w:r>
    </w:p>
    <w:p w14:paraId="3E8CBFF9">
      <w:pPr>
        <w:keepNext w:val="0"/>
        <w:keepLines w:val="0"/>
        <w:pageBreakBefore w:val="0"/>
        <w:kinsoku/>
        <w:wordWrap/>
        <w:overflowPunct/>
        <w:topLinePunct w:val="0"/>
        <w:bidi w:val="0"/>
        <w:spacing w:line="360" w:lineRule="auto"/>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eastAsia="zh-CN"/>
        </w:rPr>
        <w:t>七、</w:t>
      </w:r>
      <w:r>
        <w:rPr>
          <w:rFonts w:hint="eastAsia" w:ascii="仿宋" w:hAnsi="仿宋" w:eastAsia="仿宋" w:cs="仿宋"/>
          <w:b/>
          <w:color w:val="auto"/>
          <w:sz w:val="24"/>
          <w:highlight w:val="none"/>
        </w:rPr>
        <w:t>付款方式</w:t>
      </w:r>
      <w:r>
        <w:rPr>
          <w:rFonts w:hint="eastAsia" w:ascii="仿宋" w:hAnsi="仿宋" w:eastAsia="仿宋" w:cs="仿宋"/>
          <w:color w:val="auto"/>
          <w:sz w:val="24"/>
          <w:highlight w:val="none"/>
        </w:rPr>
        <w:tab/>
      </w:r>
    </w:p>
    <w:p w14:paraId="185C0BFD">
      <w:pPr>
        <w:keepNext w:val="0"/>
        <w:keepLines w:val="0"/>
        <w:pageBreakBefore w:val="0"/>
        <w:kinsoku/>
        <w:wordWrap/>
        <w:overflowPunct/>
        <w:topLinePunct w:val="0"/>
        <w:bidi w:val="0"/>
        <w:spacing w:line="360" w:lineRule="auto"/>
        <w:ind w:firstLine="480" w:firstLineChars="200"/>
        <w:jc w:val="left"/>
        <w:textAlignment w:val="auto"/>
        <w:rPr>
          <w:rFonts w:hint="eastAsia" w:ascii="仿宋" w:hAnsi="仿宋" w:eastAsia="仿宋" w:cs="仿宋"/>
          <w:b/>
          <w:color w:val="auto"/>
          <w:sz w:val="36"/>
          <w:szCs w:val="36"/>
          <w:highlight w:val="none"/>
        </w:rPr>
      </w:pPr>
      <w:r>
        <w:rPr>
          <w:rFonts w:hint="eastAsia" w:ascii="仿宋" w:hAnsi="仿宋" w:eastAsia="仿宋" w:cs="仿宋"/>
          <w:color w:val="auto"/>
          <w:sz w:val="24"/>
          <w:highlight w:val="none"/>
        </w:rPr>
        <w:t>合同签订且具备实施条件后，采购人于7个工作日内向供应商支付合同金额的</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0%，综合服务验收通过后支付至合同金额的100%，其他费用预算需根据相应的专业服务、类似的政策研究、规划编制、盘改结合等项目的完成情况进行结算，采购人可根据项目具体完成数量及质量，对供应商进行适当额外激励。</w:t>
      </w:r>
      <w:bookmarkEnd w:id="65"/>
      <w:bookmarkEnd w:id="66"/>
      <w:bookmarkEnd w:id="67"/>
      <w:bookmarkEnd w:id="69"/>
    </w:p>
    <w:p w14:paraId="6B3C489A">
      <w:pPr>
        <w:widowControl/>
        <w:adjustRightInd/>
        <w:spacing w:line="336" w:lineRule="auto"/>
        <w:jc w:val="left"/>
        <w:rPr>
          <w:rFonts w:ascii="仿宋" w:hAnsi="仿宋" w:eastAsia="仿宋" w:cs="仿宋"/>
          <w:b/>
          <w:color w:val="auto"/>
          <w:sz w:val="36"/>
          <w:szCs w:val="36"/>
          <w:highlight w:val="none"/>
        </w:rPr>
      </w:pPr>
    </w:p>
    <w:p w14:paraId="41CFC603">
      <w:pPr>
        <w:widowControl/>
        <w:adjustRightInd/>
        <w:spacing w:line="336" w:lineRule="auto"/>
        <w:jc w:val="left"/>
        <w:rPr>
          <w:rFonts w:ascii="仿宋" w:hAnsi="仿宋" w:eastAsia="仿宋" w:cs="仿宋"/>
          <w:b/>
          <w:color w:val="auto"/>
          <w:sz w:val="36"/>
          <w:szCs w:val="36"/>
          <w:highlight w:val="none"/>
        </w:rPr>
      </w:pPr>
    </w:p>
    <w:p w14:paraId="495DEFA8">
      <w:pPr>
        <w:widowControl/>
        <w:adjustRightInd/>
        <w:spacing w:line="336" w:lineRule="auto"/>
        <w:jc w:val="left"/>
        <w:rPr>
          <w:rFonts w:ascii="仿宋" w:hAnsi="仿宋" w:eastAsia="仿宋" w:cs="仿宋"/>
          <w:b/>
          <w:color w:val="auto"/>
          <w:sz w:val="36"/>
          <w:szCs w:val="36"/>
          <w:highlight w:val="none"/>
        </w:rPr>
      </w:pPr>
    </w:p>
    <w:p w14:paraId="793406CF">
      <w:pPr>
        <w:spacing w:line="336"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拟签订的合同文本</w:t>
      </w:r>
    </w:p>
    <w:p w14:paraId="0A292503">
      <w:pPr>
        <w:spacing w:line="336" w:lineRule="auto"/>
        <w:rPr>
          <w:rFonts w:ascii="仿宋" w:hAnsi="仿宋" w:eastAsia="仿宋" w:cs="仿宋"/>
          <w:color w:val="auto"/>
          <w:sz w:val="24"/>
          <w:highlight w:val="none"/>
        </w:rPr>
      </w:pPr>
      <w:bookmarkStart w:id="70" w:name="_Toc86217003"/>
      <w:bookmarkStart w:id="71" w:name="第五部分"/>
    </w:p>
    <w:p w14:paraId="38E26AC1">
      <w:pPr>
        <w:spacing w:line="336"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4CA9DCDA">
      <w:pPr>
        <w:pStyle w:val="2"/>
        <w:rPr>
          <w:rFonts w:hint="eastAsia" w:ascii="仿宋" w:hAnsi="仿宋" w:eastAsia="仿宋" w:cs="仿宋"/>
          <w:color w:val="auto"/>
          <w:sz w:val="24"/>
          <w:highlight w:val="none"/>
          <w:u w:val="single"/>
        </w:rPr>
      </w:pPr>
    </w:p>
    <w:p w14:paraId="790C04A0">
      <w:pPr>
        <w:pStyle w:val="24"/>
        <w:rPr>
          <w:color w:val="auto"/>
          <w:highlight w:val="none"/>
        </w:rPr>
      </w:pPr>
    </w:p>
    <w:p w14:paraId="13236585">
      <w:pPr>
        <w:spacing w:line="336" w:lineRule="auto"/>
        <w:rPr>
          <w:rFonts w:ascii="仿宋" w:hAnsi="仿宋" w:eastAsia="仿宋" w:cs="仿宋"/>
          <w:color w:val="auto"/>
          <w:sz w:val="24"/>
          <w:highlight w:val="none"/>
          <w:u w:val="single"/>
        </w:rPr>
      </w:pPr>
    </w:p>
    <w:p w14:paraId="582AD050">
      <w:pPr>
        <w:pStyle w:val="26"/>
        <w:spacing w:after="0" w:line="336" w:lineRule="auto"/>
        <w:ind w:left="0" w:leftChars="0" w:firstLine="0" w:firstLineChars="0"/>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政府采购合同书</w:t>
      </w:r>
    </w:p>
    <w:p w14:paraId="17BB064A">
      <w:pPr>
        <w:spacing w:line="480" w:lineRule="auto"/>
        <w:jc w:val="center"/>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w:t>
      </w:r>
      <w:r>
        <w:rPr>
          <w:rFonts w:hint="eastAsia" w:ascii="仿宋_GB2312" w:hAnsi="仿宋" w:eastAsia="仿宋_GB2312" w:cs="仿宋_GB2312"/>
          <w:b/>
          <w:color w:val="auto"/>
          <w:sz w:val="36"/>
          <w:szCs w:val="36"/>
          <w:highlight w:val="none"/>
          <w:lang w:eastAsia="zh-CN"/>
        </w:rPr>
        <w:t>服务</w:t>
      </w:r>
      <w:r>
        <w:rPr>
          <w:rFonts w:hint="eastAsia" w:ascii="仿宋_GB2312" w:hAnsi="仿宋" w:eastAsia="仿宋_GB2312" w:cs="仿宋_GB2312"/>
          <w:b/>
          <w:color w:val="auto"/>
          <w:sz w:val="36"/>
          <w:szCs w:val="36"/>
          <w:highlight w:val="none"/>
        </w:rPr>
        <w:t>类）</w:t>
      </w:r>
    </w:p>
    <w:p w14:paraId="53BB1AEE">
      <w:pPr>
        <w:pStyle w:val="26"/>
        <w:spacing w:after="0" w:line="336" w:lineRule="auto"/>
        <w:ind w:left="0" w:leftChars="0"/>
        <w:rPr>
          <w:rFonts w:ascii="仿宋" w:hAnsi="仿宋" w:eastAsia="仿宋" w:cs="仿宋"/>
          <w:color w:val="auto"/>
          <w:szCs w:val="24"/>
          <w:highlight w:val="none"/>
        </w:rPr>
      </w:pPr>
    </w:p>
    <w:p w14:paraId="1FCA4201">
      <w:pPr>
        <w:pStyle w:val="26"/>
        <w:ind w:firstLine="2843" w:firstLineChars="1180"/>
        <w:rPr>
          <w:rFonts w:ascii="仿宋_GB2312" w:hAnsi="仿宋" w:eastAsia="仿宋_GB2312"/>
          <w:b/>
          <w:color w:val="auto"/>
          <w:szCs w:val="24"/>
          <w:highlight w:val="none"/>
        </w:rPr>
      </w:pPr>
      <w:r>
        <w:rPr>
          <w:rFonts w:hint="eastAsia" w:ascii="仿宋_GB2312" w:hAnsi="仿宋" w:eastAsia="仿宋_GB2312"/>
          <w:b/>
          <w:color w:val="auto"/>
          <w:szCs w:val="24"/>
          <w:highlight w:val="none"/>
        </w:rPr>
        <w:t>第一部分   合同书</w:t>
      </w:r>
    </w:p>
    <w:p w14:paraId="724DA362">
      <w:pPr>
        <w:pStyle w:val="11"/>
        <w:rPr>
          <w:rFonts w:ascii="仿宋" w:hAnsi="仿宋" w:eastAsia="仿宋" w:cs="仿宋"/>
          <w:color w:val="auto"/>
          <w:szCs w:val="24"/>
          <w:highlight w:val="none"/>
        </w:rPr>
      </w:pPr>
    </w:p>
    <w:p w14:paraId="2C52F72B">
      <w:pPr>
        <w:pStyle w:val="11"/>
        <w:rPr>
          <w:rFonts w:ascii="仿宋" w:hAnsi="仿宋" w:eastAsia="仿宋" w:cs="仿宋"/>
          <w:color w:val="auto"/>
          <w:szCs w:val="24"/>
          <w:highlight w:val="none"/>
        </w:rPr>
      </w:pPr>
    </w:p>
    <w:p w14:paraId="06EAB3A2">
      <w:pPr>
        <w:pStyle w:val="11"/>
        <w:ind w:left="0" w:leftChars="0" w:firstLine="0" w:firstLineChars="0"/>
        <w:rPr>
          <w:rFonts w:ascii="仿宋" w:hAnsi="仿宋" w:eastAsia="仿宋" w:cs="仿宋"/>
          <w:color w:val="auto"/>
          <w:szCs w:val="24"/>
          <w:highlight w:val="none"/>
        </w:rPr>
      </w:pPr>
    </w:p>
    <w:p w14:paraId="0CFF50CB">
      <w:pPr>
        <w:spacing w:line="336" w:lineRule="auto"/>
        <w:rPr>
          <w:rFonts w:ascii="仿宋" w:hAnsi="仿宋" w:eastAsia="仿宋" w:cs="仿宋"/>
          <w:color w:val="auto"/>
          <w:sz w:val="24"/>
          <w:highlight w:val="none"/>
        </w:rPr>
      </w:pPr>
    </w:p>
    <w:p w14:paraId="38185F72">
      <w:pPr>
        <w:spacing w:line="336" w:lineRule="auto"/>
        <w:ind w:firstLine="1200" w:firstLineChars="500"/>
        <w:rPr>
          <w:rFonts w:ascii="仿宋" w:hAnsi="仿宋" w:eastAsia="仿宋" w:cs="仿宋"/>
          <w:color w:val="auto"/>
          <w:sz w:val="24"/>
          <w:highlight w:val="none"/>
          <w:u w:val="singl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003B8B6E">
      <w:pPr>
        <w:pStyle w:val="27"/>
        <w:spacing w:line="336" w:lineRule="auto"/>
        <w:rPr>
          <w:rFonts w:ascii="仿宋" w:hAnsi="仿宋" w:eastAsia="仿宋" w:cs="仿宋"/>
          <w:color w:val="auto"/>
          <w:szCs w:val="24"/>
          <w:highlight w:val="none"/>
        </w:rPr>
      </w:pPr>
    </w:p>
    <w:p w14:paraId="3B1A8C61">
      <w:pPr>
        <w:spacing w:line="336" w:lineRule="auto"/>
        <w:rPr>
          <w:rFonts w:ascii="仿宋" w:hAnsi="仿宋" w:eastAsia="仿宋" w:cs="仿宋"/>
          <w:color w:val="auto"/>
          <w:sz w:val="24"/>
          <w:highlight w:val="none"/>
        </w:rPr>
      </w:pPr>
    </w:p>
    <w:p w14:paraId="0D7EC28B">
      <w:pPr>
        <w:spacing w:line="336" w:lineRule="auto"/>
        <w:ind w:firstLine="1200" w:firstLineChars="500"/>
        <w:rPr>
          <w:rFonts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14:paraId="0375AA27">
      <w:pPr>
        <w:spacing w:line="336" w:lineRule="auto"/>
        <w:rPr>
          <w:rFonts w:ascii="仿宋" w:hAnsi="仿宋" w:eastAsia="仿宋" w:cs="仿宋"/>
          <w:color w:val="auto"/>
          <w:sz w:val="24"/>
          <w:highlight w:val="none"/>
        </w:rPr>
      </w:pPr>
    </w:p>
    <w:p w14:paraId="1E9247B7">
      <w:pPr>
        <w:spacing w:line="336" w:lineRule="auto"/>
        <w:ind w:firstLine="1200" w:firstLineChars="500"/>
        <w:rPr>
          <w:rFonts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50325F53">
      <w:pPr>
        <w:spacing w:line="336" w:lineRule="auto"/>
        <w:rPr>
          <w:rFonts w:ascii="仿宋" w:hAnsi="仿宋" w:eastAsia="仿宋" w:cs="仿宋"/>
          <w:color w:val="auto"/>
          <w:sz w:val="24"/>
          <w:highlight w:val="none"/>
        </w:rPr>
      </w:pPr>
    </w:p>
    <w:p w14:paraId="21844E00">
      <w:pPr>
        <w:spacing w:line="336" w:lineRule="auto"/>
        <w:ind w:firstLine="1200" w:firstLineChars="500"/>
        <w:rPr>
          <w:rFonts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14:paraId="2E25478B">
      <w:pPr>
        <w:spacing w:line="336"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 </w:t>
      </w:r>
    </w:p>
    <w:p w14:paraId="4368BD0D">
      <w:pPr>
        <w:spacing w:line="336" w:lineRule="auto"/>
        <w:ind w:firstLine="1200" w:firstLineChars="500"/>
        <w:rPr>
          <w:rFonts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724C54A0">
      <w:pPr>
        <w:widowControl/>
        <w:adjustRightInd/>
        <w:spacing w:line="336"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71DF4C09">
      <w:pPr>
        <w:spacing w:line="336" w:lineRule="auto"/>
        <w:rPr>
          <w:rFonts w:ascii="仿宋" w:hAnsi="仿宋" w:eastAsia="仿宋" w:cs="仿宋"/>
          <w:b/>
          <w:color w:val="auto"/>
          <w:sz w:val="24"/>
          <w:highlight w:val="none"/>
        </w:rPr>
      </w:pPr>
    </w:p>
    <w:p w14:paraId="253A53E6">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（中标或者成交供应商名称） </w:t>
      </w:r>
      <w:r>
        <w:rPr>
          <w:rFonts w:hint="eastAsia" w:ascii="仿宋" w:hAnsi="仿宋" w:eastAsia="仿宋" w:cs="仿宋"/>
          <w:color w:val="auto"/>
          <w:sz w:val="24"/>
          <w:highlight w:val="none"/>
        </w:rPr>
        <w:t>为该项目中标或者成交供应商。现于中标或者成交通知书发出之日起</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日内，按照采购文件确定的事项签订本合同。</w:t>
      </w:r>
    </w:p>
    <w:p w14:paraId="0FE6D0E1">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（中或者成交标供应商名称）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797360F4">
      <w:pPr>
        <w:spacing w:line="336" w:lineRule="auto"/>
        <w:ind w:firstLine="482" w:firstLineChars="200"/>
        <w:outlineLvl w:val="0"/>
        <w:rPr>
          <w:rFonts w:ascii="仿宋" w:hAnsi="仿宋" w:eastAsia="仿宋" w:cs="仿宋"/>
          <w:color w:val="auto"/>
          <w:sz w:val="24"/>
          <w:highlight w:val="none"/>
        </w:rPr>
      </w:pPr>
      <w:bookmarkStart w:id="72" w:name="_Toc22967"/>
      <w:bookmarkStart w:id="73" w:name="_Toc20421"/>
      <w:bookmarkStart w:id="74" w:name="_Toc28855"/>
      <w:bookmarkStart w:id="75" w:name="_Toc15367"/>
      <w:bookmarkStart w:id="76" w:name="_Toc19273"/>
      <w:r>
        <w:rPr>
          <w:rFonts w:hint="eastAsia" w:ascii="仿宋" w:hAnsi="仿宋" w:eastAsia="仿宋" w:cs="仿宋"/>
          <w:b/>
          <w:color w:val="auto"/>
          <w:sz w:val="24"/>
          <w:highlight w:val="none"/>
        </w:rPr>
        <w:t>1.1 合同组成部分</w:t>
      </w:r>
      <w:bookmarkEnd w:id="72"/>
      <w:bookmarkEnd w:id="73"/>
      <w:bookmarkEnd w:id="74"/>
      <w:bookmarkEnd w:id="75"/>
      <w:bookmarkEnd w:id="76"/>
    </w:p>
    <w:p w14:paraId="4D284B17">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F3054E7">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14:paraId="1FF40257">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1.1.2 中标或者成交通知书；</w:t>
      </w:r>
    </w:p>
    <w:p w14:paraId="421FBD6B">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1.1.3 磋商响应文件（含澄清或者说明文件）；</w:t>
      </w:r>
    </w:p>
    <w:p w14:paraId="373093F0">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1.1.4 采购文件（含澄清或者修改文件）；</w:t>
      </w:r>
    </w:p>
    <w:p w14:paraId="7D3435C5">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14:paraId="27EBF853">
      <w:pPr>
        <w:spacing w:line="336" w:lineRule="auto"/>
        <w:ind w:firstLine="482" w:firstLineChars="200"/>
        <w:outlineLvl w:val="0"/>
        <w:rPr>
          <w:rFonts w:ascii="仿宋" w:hAnsi="仿宋" w:eastAsia="仿宋" w:cs="仿宋"/>
          <w:b/>
          <w:color w:val="auto"/>
          <w:sz w:val="24"/>
          <w:highlight w:val="none"/>
        </w:rPr>
      </w:pPr>
      <w:bookmarkStart w:id="77" w:name="_Toc6311"/>
      <w:bookmarkStart w:id="78" w:name="_Toc2918"/>
      <w:bookmarkStart w:id="79" w:name="_Toc6773"/>
      <w:bookmarkStart w:id="80" w:name="_Toc22185"/>
      <w:bookmarkStart w:id="81" w:name="_Toc18585"/>
      <w:r>
        <w:rPr>
          <w:rFonts w:hint="eastAsia" w:ascii="仿宋" w:hAnsi="仿宋" w:eastAsia="仿宋" w:cs="仿宋"/>
          <w:b/>
          <w:color w:val="auto"/>
          <w:sz w:val="24"/>
          <w:highlight w:val="none"/>
        </w:rPr>
        <w:t>1.2 标的</w:t>
      </w:r>
      <w:bookmarkEnd w:id="77"/>
      <w:bookmarkEnd w:id="78"/>
      <w:bookmarkEnd w:id="79"/>
      <w:bookmarkEnd w:id="80"/>
      <w:bookmarkEnd w:id="81"/>
    </w:p>
    <w:p w14:paraId="25DDC71C">
      <w:pPr>
        <w:spacing w:line="336"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1.2.1 服务内容：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778BE2B">
      <w:pPr>
        <w:spacing w:line="336"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1.2.2 服务标准：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33F028B0">
      <w:pPr>
        <w:spacing w:line="336"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1.2.3 技术保障：</w:t>
      </w:r>
      <w:r>
        <w:rPr>
          <w:rFonts w:hint="eastAsia" w:ascii="仿宋" w:hAnsi="仿宋" w:eastAsia="仿宋" w:cs="仿宋"/>
          <w:color w:val="auto"/>
          <w:sz w:val="24"/>
          <w:highlight w:val="none"/>
          <w:u w:val="single"/>
        </w:rPr>
        <w:t>　　　　　　　　　                      　      ；</w:t>
      </w:r>
    </w:p>
    <w:p w14:paraId="2BD92442">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1.2.4 服务人员组成：</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DEEAE33">
      <w:pPr>
        <w:pStyle w:val="28"/>
        <w:spacing w:before="0" w:beforeAutospacing="0" w:after="0" w:afterAutospacing="0" w:line="336" w:lineRule="auto"/>
        <w:ind w:firstLine="480"/>
        <w:rPr>
          <w:rFonts w:ascii="仿宋" w:hAnsi="仿宋" w:eastAsia="仿宋" w:cs="仿宋"/>
          <w:color w:val="auto"/>
          <w:highlight w:val="none"/>
        </w:rPr>
      </w:pPr>
      <w:r>
        <w:rPr>
          <w:rFonts w:hint="eastAsia" w:ascii="仿宋" w:hAnsi="仿宋" w:eastAsia="仿宋" w:cs="仿宋"/>
          <w:color w:val="auto"/>
          <w:highlight w:val="none"/>
        </w:rPr>
        <w:t>1.2.5合同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（是/否）涉及货物。若涉及货物的，则：</w:t>
      </w:r>
    </w:p>
    <w:p w14:paraId="66C8CC31">
      <w:pPr>
        <w:spacing w:line="336" w:lineRule="auto"/>
        <w:ind w:firstLine="480" w:firstLineChars="200"/>
        <w:rPr>
          <w:rFonts w:ascii="仿宋" w:hAnsi="仿宋" w:eastAsia="仿宋" w:cs="仿宋"/>
          <w:color w:val="auto"/>
          <w:sz w:val="24"/>
          <w:highlight w:val="none"/>
          <w:u w:val="single"/>
        </w:rPr>
      </w:pPr>
      <w:bookmarkStart w:id="82" w:name="_Toc1386"/>
      <w:bookmarkStart w:id="83" w:name="_Toc13918"/>
      <w:bookmarkStart w:id="84" w:name="_Toc4929"/>
      <w:bookmarkStart w:id="85" w:name="_Toc21124"/>
      <w:bookmarkStart w:id="86" w:name="_Toc5635"/>
      <w:r>
        <w:rPr>
          <w:rFonts w:hint="eastAsia" w:ascii="仿宋" w:hAnsi="仿宋" w:eastAsia="仿宋" w:cs="仿宋"/>
          <w:color w:val="auto"/>
          <w:sz w:val="24"/>
          <w:highlight w:val="none"/>
        </w:rPr>
        <w:t>1.2.5.1 货物名称、品牌、规格型号、花色：</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6CDABB0">
      <w:pPr>
        <w:spacing w:line="336"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1.2.5.2 货物数量：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24884FB6">
      <w:pPr>
        <w:spacing w:line="336"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1.2.5.3 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B1A2233">
      <w:pPr>
        <w:spacing w:line="336" w:lineRule="auto"/>
        <w:ind w:firstLine="482" w:firstLineChars="2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1.3 价款</w:t>
      </w:r>
      <w:bookmarkEnd w:id="82"/>
      <w:bookmarkEnd w:id="83"/>
      <w:bookmarkEnd w:id="84"/>
      <w:bookmarkEnd w:id="85"/>
      <w:bookmarkEnd w:id="86"/>
    </w:p>
    <w:p w14:paraId="195C76A3">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本项目采用以下第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条款规定的计价方式计价。</w:t>
      </w:r>
    </w:p>
    <w:p w14:paraId="0FE91CB9">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1.3.1总价合同，本合同总价（含税）为：￥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29EC0E70">
      <w:pPr>
        <w:spacing w:line="336"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17"/>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C781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610F476">
            <w:pPr>
              <w:pStyle w:val="29"/>
              <w:spacing w:line="336"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noWrap w:val="0"/>
            <w:vAlign w:val="center"/>
          </w:tcPr>
          <w:p w14:paraId="5886C590">
            <w:pPr>
              <w:pStyle w:val="29"/>
              <w:spacing w:line="336" w:lineRule="auto"/>
              <w:ind w:firstLine="20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noWrap w:val="0"/>
            <w:vAlign w:val="center"/>
          </w:tcPr>
          <w:p w14:paraId="0664B00A">
            <w:pPr>
              <w:pStyle w:val="29"/>
              <w:spacing w:line="336"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2AF01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BE5A32B">
            <w:pPr>
              <w:pStyle w:val="29"/>
              <w:spacing w:line="336" w:lineRule="auto"/>
              <w:ind w:firstLine="200"/>
              <w:jc w:val="center"/>
              <w:rPr>
                <w:rFonts w:ascii="仿宋" w:hAnsi="仿宋" w:eastAsia="仿宋" w:cs="仿宋"/>
                <w:color w:val="auto"/>
                <w:sz w:val="24"/>
                <w:szCs w:val="24"/>
                <w:highlight w:val="none"/>
              </w:rPr>
            </w:pPr>
          </w:p>
        </w:tc>
        <w:tc>
          <w:tcPr>
            <w:tcW w:w="3402" w:type="dxa"/>
            <w:noWrap w:val="0"/>
            <w:vAlign w:val="center"/>
          </w:tcPr>
          <w:p w14:paraId="71B18B9B">
            <w:pPr>
              <w:pStyle w:val="29"/>
              <w:spacing w:line="336" w:lineRule="auto"/>
              <w:ind w:firstLine="200"/>
              <w:jc w:val="center"/>
              <w:rPr>
                <w:rFonts w:ascii="仿宋" w:hAnsi="仿宋" w:eastAsia="仿宋" w:cs="仿宋"/>
                <w:color w:val="auto"/>
                <w:sz w:val="24"/>
                <w:szCs w:val="24"/>
                <w:highlight w:val="none"/>
              </w:rPr>
            </w:pPr>
          </w:p>
        </w:tc>
        <w:tc>
          <w:tcPr>
            <w:tcW w:w="2552" w:type="dxa"/>
            <w:noWrap w:val="0"/>
            <w:vAlign w:val="center"/>
          </w:tcPr>
          <w:p w14:paraId="06F65987">
            <w:pPr>
              <w:pStyle w:val="29"/>
              <w:spacing w:line="336" w:lineRule="auto"/>
              <w:ind w:firstLine="200"/>
              <w:jc w:val="center"/>
              <w:rPr>
                <w:rFonts w:ascii="仿宋" w:hAnsi="仿宋" w:eastAsia="仿宋" w:cs="仿宋"/>
                <w:color w:val="auto"/>
                <w:sz w:val="24"/>
                <w:szCs w:val="24"/>
                <w:highlight w:val="none"/>
              </w:rPr>
            </w:pPr>
          </w:p>
        </w:tc>
      </w:tr>
      <w:tr w14:paraId="04773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E757374">
            <w:pPr>
              <w:pStyle w:val="29"/>
              <w:spacing w:line="336" w:lineRule="auto"/>
              <w:ind w:firstLine="200"/>
              <w:jc w:val="center"/>
              <w:rPr>
                <w:rFonts w:ascii="仿宋" w:hAnsi="仿宋" w:eastAsia="仿宋" w:cs="仿宋"/>
                <w:color w:val="auto"/>
                <w:sz w:val="24"/>
                <w:szCs w:val="24"/>
                <w:highlight w:val="none"/>
              </w:rPr>
            </w:pPr>
          </w:p>
        </w:tc>
        <w:tc>
          <w:tcPr>
            <w:tcW w:w="3402" w:type="dxa"/>
            <w:noWrap w:val="0"/>
            <w:vAlign w:val="center"/>
          </w:tcPr>
          <w:p w14:paraId="08C4947A">
            <w:pPr>
              <w:pStyle w:val="29"/>
              <w:spacing w:line="336" w:lineRule="auto"/>
              <w:ind w:firstLine="200"/>
              <w:jc w:val="center"/>
              <w:rPr>
                <w:rFonts w:ascii="仿宋" w:hAnsi="仿宋" w:eastAsia="仿宋" w:cs="仿宋"/>
                <w:color w:val="auto"/>
                <w:sz w:val="24"/>
                <w:szCs w:val="24"/>
                <w:highlight w:val="none"/>
              </w:rPr>
            </w:pPr>
          </w:p>
        </w:tc>
        <w:tc>
          <w:tcPr>
            <w:tcW w:w="2552" w:type="dxa"/>
            <w:noWrap w:val="0"/>
            <w:vAlign w:val="center"/>
          </w:tcPr>
          <w:p w14:paraId="73CE95F1">
            <w:pPr>
              <w:pStyle w:val="29"/>
              <w:spacing w:line="336" w:lineRule="auto"/>
              <w:ind w:firstLine="200"/>
              <w:jc w:val="center"/>
              <w:rPr>
                <w:rFonts w:ascii="仿宋" w:hAnsi="仿宋" w:eastAsia="仿宋" w:cs="仿宋"/>
                <w:color w:val="auto"/>
                <w:sz w:val="24"/>
                <w:szCs w:val="24"/>
                <w:highlight w:val="none"/>
              </w:rPr>
            </w:pPr>
          </w:p>
        </w:tc>
      </w:tr>
      <w:tr w14:paraId="72C1A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noWrap w:val="0"/>
            <w:vAlign w:val="center"/>
          </w:tcPr>
          <w:p w14:paraId="35119F80">
            <w:pPr>
              <w:pStyle w:val="29"/>
              <w:spacing w:line="336" w:lineRule="auto"/>
              <w:ind w:firstLine="200"/>
              <w:jc w:val="center"/>
              <w:rPr>
                <w:rFonts w:ascii="仿宋" w:hAnsi="仿宋" w:eastAsia="仿宋" w:cs="仿宋"/>
                <w:color w:val="auto"/>
                <w:sz w:val="24"/>
                <w:szCs w:val="24"/>
                <w:highlight w:val="none"/>
              </w:rPr>
            </w:pPr>
          </w:p>
        </w:tc>
        <w:tc>
          <w:tcPr>
            <w:tcW w:w="3402" w:type="dxa"/>
            <w:noWrap w:val="0"/>
            <w:vAlign w:val="center"/>
          </w:tcPr>
          <w:p w14:paraId="3547A4A3">
            <w:pPr>
              <w:pStyle w:val="29"/>
              <w:spacing w:line="336" w:lineRule="auto"/>
              <w:ind w:firstLine="200"/>
              <w:jc w:val="center"/>
              <w:rPr>
                <w:rFonts w:ascii="仿宋" w:hAnsi="仿宋" w:eastAsia="仿宋" w:cs="仿宋"/>
                <w:color w:val="auto"/>
                <w:sz w:val="24"/>
                <w:szCs w:val="24"/>
                <w:highlight w:val="none"/>
              </w:rPr>
            </w:pPr>
          </w:p>
        </w:tc>
        <w:tc>
          <w:tcPr>
            <w:tcW w:w="2552" w:type="dxa"/>
            <w:noWrap w:val="0"/>
            <w:vAlign w:val="center"/>
          </w:tcPr>
          <w:p w14:paraId="2EF2F127">
            <w:pPr>
              <w:pStyle w:val="29"/>
              <w:spacing w:line="336" w:lineRule="auto"/>
              <w:ind w:firstLine="200"/>
              <w:jc w:val="center"/>
              <w:rPr>
                <w:rFonts w:ascii="仿宋" w:hAnsi="仿宋" w:eastAsia="仿宋" w:cs="仿宋"/>
                <w:color w:val="auto"/>
                <w:sz w:val="24"/>
                <w:szCs w:val="24"/>
                <w:highlight w:val="none"/>
              </w:rPr>
            </w:pPr>
          </w:p>
        </w:tc>
      </w:tr>
      <w:tr w14:paraId="4AB46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E93FA8F">
            <w:pPr>
              <w:pStyle w:val="29"/>
              <w:spacing w:line="336" w:lineRule="auto"/>
              <w:ind w:firstLine="200"/>
              <w:jc w:val="center"/>
              <w:rPr>
                <w:rFonts w:ascii="仿宋" w:hAnsi="仿宋" w:eastAsia="仿宋" w:cs="仿宋"/>
                <w:color w:val="auto"/>
                <w:sz w:val="24"/>
                <w:szCs w:val="24"/>
                <w:highlight w:val="none"/>
              </w:rPr>
            </w:pPr>
          </w:p>
        </w:tc>
        <w:tc>
          <w:tcPr>
            <w:tcW w:w="3402" w:type="dxa"/>
            <w:noWrap w:val="0"/>
            <w:vAlign w:val="center"/>
          </w:tcPr>
          <w:p w14:paraId="44E359C7">
            <w:pPr>
              <w:pStyle w:val="29"/>
              <w:spacing w:line="336" w:lineRule="auto"/>
              <w:ind w:firstLine="200"/>
              <w:jc w:val="center"/>
              <w:rPr>
                <w:rFonts w:ascii="仿宋" w:hAnsi="仿宋" w:eastAsia="仿宋" w:cs="仿宋"/>
                <w:color w:val="auto"/>
                <w:sz w:val="24"/>
                <w:szCs w:val="24"/>
                <w:highlight w:val="none"/>
              </w:rPr>
            </w:pPr>
          </w:p>
        </w:tc>
        <w:tc>
          <w:tcPr>
            <w:tcW w:w="2552" w:type="dxa"/>
            <w:noWrap w:val="0"/>
            <w:vAlign w:val="center"/>
          </w:tcPr>
          <w:p w14:paraId="20E2AB87">
            <w:pPr>
              <w:pStyle w:val="29"/>
              <w:spacing w:line="336" w:lineRule="auto"/>
              <w:ind w:firstLine="200"/>
              <w:jc w:val="center"/>
              <w:rPr>
                <w:rFonts w:ascii="仿宋" w:hAnsi="仿宋" w:eastAsia="仿宋" w:cs="仿宋"/>
                <w:color w:val="auto"/>
                <w:sz w:val="24"/>
                <w:szCs w:val="24"/>
                <w:highlight w:val="none"/>
              </w:rPr>
            </w:pPr>
          </w:p>
        </w:tc>
      </w:tr>
      <w:tr w14:paraId="325A3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69C7D6C8">
            <w:pPr>
              <w:pStyle w:val="29"/>
              <w:spacing w:line="336" w:lineRule="auto"/>
              <w:ind w:firstLine="20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noWrap w:val="0"/>
            <w:vAlign w:val="center"/>
          </w:tcPr>
          <w:p w14:paraId="3DA95E03">
            <w:pPr>
              <w:pStyle w:val="29"/>
              <w:spacing w:line="336" w:lineRule="auto"/>
              <w:ind w:firstLine="200"/>
              <w:jc w:val="center"/>
              <w:rPr>
                <w:rFonts w:ascii="仿宋" w:hAnsi="仿宋" w:eastAsia="仿宋" w:cs="仿宋"/>
                <w:color w:val="auto"/>
                <w:sz w:val="24"/>
                <w:szCs w:val="24"/>
                <w:highlight w:val="none"/>
              </w:rPr>
            </w:pPr>
          </w:p>
        </w:tc>
      </w:tr>
    </w:tbl>
    <w:p w14:paraId="259E8B84">
      <w:pPr>
        <w:spacing w:line="336" w:lineRule="auto"/>
        <w:ind w:firstLine="480" w:firstLineChars="200"/>
        <w:rPr>
          <w:rFonts w:ascii="仿宋" w:hAnsi="仿宋" w:eastAsia="仿宋" w:cs="仿宋"/>
          <w:color w:val="auto"/>
          <w:sz w:val="24"/>
          <w:highlight w:val="none"/>
        </w:rPr>
      </w:pPr>
      <w:bookmarkStart w:id="87" w:name="_Toc3654"/>
      <w:bookmarkStart w:id="88" w:name="_Toc14993"/>
      <w:bookmarkStart w:id="89" w:name="_Toc26916"/>
      <w:bookmarkStart w:id="90" w:name="_Toc30506"/>
      <w:bookmarkStart w:id="91" w:name="_Toc30158"/>
      <w:r>
        <w:rPr>
          <w:rFonts w:hint="eastAsia" w:ascii="仿宋" w:hAnsi="仿宋" w:eastAsia="仿宋" w:cs="仿宋"/>
          <w:bCs/>
          <w:color w:val="auto"/>
          <w:sz w:val="24"/>
          <w:highlight w:val="none"/>
        </w:rPr>
        <w:t>1.3.2单价合同，本合同单价（含税）标准为：</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。服务工作量的计量方式为：</w:t>
      </w:r>
      <w:r>
        <w:rPr>
          <w:rFonts w:hint="eastAsia" w:ascii="仿宋" w:hAnsi="仿宋" w:eastAsia="仿宋" w:cs="仿宋"/>
          <w:bCs/>
          <w:color w:val="auto"/>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。单价合同，在合同履行期间内，根据实际完成的工作量据实结算，但结算总价上限不得超过预算金额或者双方确定的金额￥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0ABF8C22">
      <w:pPr>
        <w:pStyle w:val="4"/>
        <w:numPr>
          <w:ilvl w:val="0"/>
          <w:numId w:val="0"/>
        </w:numPr>
        <w:spacing w:line="336" w:lineRule="auto"/>
        <w:ind w:left="-432" w:firstLine="482" w:firstLineChars="200"/>
        <w:rPr>
          <w:rFonts w:ascii="仿宋" w:eastAsia="仿宋" w:cs="仿宋"/>
          <w:color w:val="auto"/>
          <w:highlight w:val="none"/>
          <w:lang w:val="en-US"/>
        </w:rPr>
      </w:pPr>
      <w:r>
        <w:rPr>
          <w:rFonts w:hint="eastAsia" w:ascii="仿宋" w:eastAsia="仿宋" w:cs="仿宋"/>
          <w:color w:val="auto"/>
          <w:sz w:val="24"/>
          <w:highlight w:val="none"/>
          <w:lang w:val="en-US"/>
        </w:rPr>
        <w:t xml:space="preserve">    </w:t>
      </w:r>
      <w:r>
        <w:rPr>
          <w:rFonts w:hint="eastAsia" w:ascii="仿宋" w:eastAsia="仿宋" w:cs="仿宋"/>
          <w:b w:val="0"/>
          <w:bCs w:val="0"/>
          <w:color w:val="auto"/>
          <w:sz w:val="24"/>
          <w:highlight w:val="none"/>
          <w:lang w:val="en-US"/>
        </w:rPr>
        <w:t>1.3.3其他计价方式：</w:t>
      </w:r>
      <w:r>
        <w:rPr>
          <w:rFonts w:hint="eastAsia" w:ascii="仿宋" w:eastAsia="仿宋" w:cs="仿宋"/>
          <w:b w:val="0"/>
          <w:bCs w:val="0"/>
          <w:color w:val="auto"/>
          <w:sz w:val="24"/>
          <w:highlight w:val="none"/>
          <w:u w:val="single"/>
          <w:lang w:val="en-US"/>
        </w:rPr>
        <w:t xml:space="preserve">                   </w:t>
      </w:r>
      <w:r>
        <w:rPr>
          <w:rFonts w:hint="eastAsia" w:ascii="仿宋" w:eastAsia="仿宋" w:cs="仿宋"/>
          <w:b w:val="0"/>
          <w:bCs w:val="0"/>
          <w:color w:val="auto"/>
          <w:sz w:val="24"/>
          <w:highlight w:val="none"/>
        </w:rPr>
        <w:t>。</w:t>
      </w:r>
    </w:p>
    <w:bookmarkEnd w:id="87"/>
    <w:bookmarkEnd w:id="88"/>
    <w:bookmarkEnd w:id="89"/>
    <w:bookmarkEnd w:id="90"/>
    <w:bookmarkEnd w:id="91"/>
    <w:p w14:paraId="0F1E4B6B">
      <w:pPr>
        <w:pStyle w:val="28"/>
        <w:spacing w:before="0" w:beforeAutospacing="0" w:after="0" w:afterAutospacing="0" w:line="336" w:lineRule="auto"/>
        <w:ind w:firstLine="480"/>
        <w:rPr>
          <w:rFonts w:ascii="仿宋" w:hAnsi="仿宋" w:eastAsia="仿宋" w:cs="仿宋"/>
          <w:b/>
          <w:color w:val="auto"/>
          <w:highlight w:val="none"/>
        </w:rPr>
      </w:pPr>
      <w:bookmarkStart w:id="92" w:name="_Toc22618"/>
      <w:bookmarkStart w:id="93" w:name="_Toc1814"/>
      <w:bookmarkStart w:id="94" w:name="_Toc10340"/>
      <w:bookmarkStart w:id="95" w:name="_Toc4760"/>
      <w:bookmarkStart w:id="96" w:name="_Toc3625"/>
      <w:bookmarkStart w:id="97" w:name="_Toc8772"/>
      <w:bookmarkStart w:id="98" w:name="_Toc31421"/>
      <w:bookmarkStart w:id="99" w:name="_Toc11108"/>
      <w:r>
        <w:rPr>
          <w:rFonts w:hint="eastAsia" w:ascii="仿宋" w:hAnsi="仿宋" w:eastAsia="仿宋" w:cs="仿宋"/>
          <w:b/>
          <w:color w:val="auto"/>
          <w:highlight w:val="none"/>
        </w:rPr>
        <w:t>1.4履约保证金</w:t>
      </w:r>
    </w:p>
    <w:p w14:paraId="53FBF116">
      <w:pPr>
        <w:pStyle w:val="28"/>
        <w:spacing w:before="0" w:beforeAutospacing="0" w:after="0" w:afterAutospacing="0" w:line="336" w:lineRule="auto"/>
        <w:ind w:firstLine="480"/>
        <w:rPr>
          <w:rFonts w:ascii="仿宋" w:hAnsi="仿宋" w:eastAsia="仿宋" w:cs="仿宋"/>
          <w:color w:val="auto"/>
          <w:highlight w:val="non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（是/否）需要支付履约保证金。若需要支付履约保证金的，则：</w:t>
      </w:r>
    </w:p>
    <w:p w14:paraId="5D17FD1E">
      <w:pPr>
        <w:spacing w:line="336" w:lineRule="auto"/>
        <w:ind w:firstLine="480" w:firstLineChars="200"/>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1.4.1履约保证金的比例为合同金额的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18838BC0">
      <w:pPr>
        <w:spacing w:line="336" w:lineRule="auto"/>
        <w:ind w:firstLine="480" w:firstLineChars="200"/>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1.4.2履约保证金支付方式详见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17B6D14D">
      <w:pPr>
        <w:pStyle w:val="4"/>
        <w:numPr>
          <w:ilvl w:val="0"/>
          <w:numId w:val="0"/>
        </w:numPr>
        <w:tabs>
          <w:tab w:val="clear" w:pos="432"/>
        </w:tabs>
        <w:spacing w:line="336" w:lineRule="auto"/>
        <w:ind w:left="420" w:leftChars="200"/>
        <w:rPr>
          <w:rFonts w:ascii="仿宋" w:eastAsia="仿宋" w:cs="仿宋"/>
          <w:color w:val="auto"/>
          <w:highlight w:val="none"/>
          <w:lang w:val="en-US"/>
        </w:rPr>
      </w:pPr>
      <w:r>
        <w:rPr>
          <w:rFonts w:hint="eastAsia" w:ascii="仿宋" w:eastAsia="仿宋" w:cs="仿宋"/>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E827E61">
      <w:pPr>
        <w:spacing w:line="336" w:lineRule="auto"/>
        <w:ind w:firstLine="480" w:firstLineChars="200"/>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1.4.4甲方在项目验收结束后及时退还履约保证金。甲方在项目通过验收之日起</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%计算，最高限额为本合同履约保证金的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 xml:space="preserve"> %。</w:t>
      </w:r>
    </w:p>
    <w:p w14:paraId="1DE0EAAA">
      <w:pPr>
        <w:spacing w:line="336" w:lineRule="auto"/>
        <w:ind w:firstLine="482" w:firstLineChars="2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1.5</w:t>
      </w:r>
      <w:bookmarkEnd w:id="92"/>
      <w:bookmarkEnd w:id="93"/>
      <w:bookmarkEnd w:id="94"/>
      <w:r>
        <w:rPr>
          <w:rFonts w:hint="eastAsia" w:ascii="仿宋" w:hAnsi="仿宋" w:eastAsia="仿宋" w:cs="仿宋"/>
          <w:b/>
          <w:color w:val="auto"/>
          <w:sz w:val="24"/>
          <w:highlight w:val="none"/>
        </w:rPr>
        <w:t>预付款</w:t>
      </w:r>
    </w:p>
    <w:p w14:paraId="762D59FF">
      <w:pPr>
        <w:pStyle w:val="28"/>
        <w:spacing w:before="0" w:beforeAutospacing="0" w:after="0" w:afterAutospacing="0" w:line="336" w:lineRule="auto"/>
        <w:ind w:firstLine="480"/>
        <w:rPr>
          <w:rFonts w:ascii="仿宋" w:hAnsi="仿宋" w:eastAsia="仿宋" w:cs="仿宋"/>
          <w:color w:val="auto"/>
          <w:highlight w:val="non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（是/否）需要支付预付款。若需要支付预付款的，则：</w:t>
      </w:r>
    </w:p>
    <w:p w14:paraId="2A6CAC0C">
      <w:pPr>
        <w:spacing w:line="336"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1.5.1预付款比例、支付方式、时间详见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4EE0449C">
      <w:pPr>
        <w:pStyle w:val="28"/>
        <w:spacing w:before="0" w:beforeAutospacing="0" w:after="0" w:afterAutospacing="0" w:line="336" w:lineRule="auto"/>
        <w:ind w:firstLine="480"/>
        <w:rPr>
          <w:rFonts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011037D9">
      <w:pPr>
        <w:pStyle w:val="28"/>
        <w:spacing w:before="0" w:beforeAutospacing="0" w:after="0" w:afterAutospacing="0" w:line="336" w:lineRule="auto"/>
        <w:ind w:firstLine="480"/>
        <w:rPr>
          <w:rFonts w:ascii="仿宋" w:hAnsi="仿宋" w:eastAsia="仿宋" w:cs="仿宋"/>
          <w:color w:val="auto"/>
          <w:highlight w:val="none"/>
          <w:u w:val="single"/>
        </w:rPr>
      </w:pPr>
      <w:r>
        <w:rPr>
          <w:rFonts w:hint="eastAsia" w:ascii="仿宋" w:hAnsi="仿宋" w:eastAsia="仿宋" w:cs="仿宋"/>
          <w:color w:val="auto"/>
          <w:highlight w:val="none"/>
        </w:rPr>
        <w:t>1.5.3预付款的担保措施详见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C6D1D9B">
      <w:pPr>
        <w:pStyle w:val="28"/>
        <w:spacing w:before="0" w:beforeAutospacing="0" w:after="0" w:afterAutospacing="0" w:line="336" w:lineRule="auto"/>
        <w:ind w:firstLine="480"/>
        <w:rPr>
          <w:rFonts w:ascii="仿宋" w:hAnsi="仿宋" w:eastAsia="仿宋" w:cs="仿宋"/>
          <w:b/>
          <w:bCs/>
          <w:color w:val="auto"/>
          <w:highlight w:val="none"/>
        </w:rPr>
      </w:pPr>
      <w:r>
        <w:rPr>
          <w:rFonts w:hint="eastAsia" w:ascii="仿宋" w:hAnsi="仿宋" w:eastAsia="仿宋" w:cs="仿宋"/>
          <w:b/>
          <w:bCs/>
          <w:color w:val="auto"/>
          <w:highlight w:val="none"/>
        </w:rPr>
        <w:t>1.6资金支付</w:t>
      </w:r>
    </w:p>
    <w:p w14:paraId="6AFA04ED">
      <w:pPr>
        <w:pStyle w:val="28"/>
        <w:spacing w:before="0" w:beforeAutospacing="0" w:after="0" w:afterAutospacing="0" w:line="336" w:lineRule="auto"/>
        <w:ind w:firstLine="480"/>
        <w:rPr>
          <w:rFonts w:ascii="仿宋" w:hAnsi="仿宋" w:eastAsia="仿宋" w:cs="仿宋"/>
          <w:color w:val="auto"/>
          <w:highlight w:val="none"/>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个工作日内将资金支付到合同约定的乙方账户，有条件的甲方可以即时支付。甲方不得以机构变动、人员更替、政策调整、单位放假等为由延迟付款。</w:t>
      </w:r>
    </w:p>
    <w:p w14:paraId="404ADD14">
      <w:pPr>
        <w:spacing w:line="336" w:lineRule="auto"/>
        <w:ind w:firstLine="480" w:firstLineChars="200"/>
        <w:outlineLvl w:val="0"/>
        <w:rPr>
          <w:rFonts w:ascii="仿宋" w:hAnsi="仿宋" w:eastAsia="仿宋" w:cs="仿宋"/>
          <w:color w:val="auto"/>
          <w:sz w:val="24"/>
          <w:highlight w:val="none"/>
        </w:rPr>
      </w:pPr>
      <w:r>
        <w:rPr>
          <w:rFonts w:hint="eastAsia" w:ascii="仿宋" w:hAnsi="仿宋" w:eastAsia="仿宋" w:cs="仿宋"/>
          <w:color w:val="auto"/>
          <w:sz w:val="24"/>
          <w:highlight w:val="none"/>
        </w:rPr>
        <w:t>1.6.2资金支付的方式、时间和条件详见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33AC005">
      <w:pPr>
        <w:spacing w:line="336" w:lineRule="auto"/>
        <w:ind w:firstLine="482" w:firstLineChars="2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1.7 履行期限、地点和方式</w:t>
      </w:r>
      <w:bookmarkEnd w:id="95"/>
      <w:bookmarkEnd w:id="96"/>
      <w:bookmarkEnd w:id="97"/>
      <w:bookmarkEnd w:id="98"/>
      <w:bookmarkEnd w:id="99"/>
    </w:p>
    <w:p w14:paraId="3C3F5217">
      <w:pPr>
        <w:spacing w:line="336"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1.7.1 服务交付（实施）的时间（期限）：</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385BA60A">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1.7.2 服务交付（实施）的地点（地域范围）：</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75AA5EF3">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1.7.3 服务交付（实施）的方式：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3B9E49A">
      <w:pPr>
        <w:spacing w:line="336" w:lineRule="auto"/>
        <w:ind w:firstLine="480" w:firstLineChars="200"/>
        <w:outlineLvl w:val="0"/>
        <w:rPr>
          <w:rFonts w:ascii="仿宋" w:hAnsi="仿宋" w:eastAsia="仿宋" w:cs="仿宋"/>
          <w:bCs/>
          <w:color w:val="auto"/>
          <w:sz w:val="24"/>
          <w:highlight w:val="none"/>
        </w:rPr>
      </w:pPr>
      <w:bookmarkStart w:id="100" w:name="_Toc24662"/>
      <w:bookmarkStart w:id="101" w:name="_Toc2375"/>
      <w:bookmarkStart w:id="102" w:name="_Toc8586"/>
      <w:bookmarkStart w:id="103" w:name="_Toc3079"/>
      <w:bookmarkStart w:id="104" w:name="_Toc5698"/>
      <w:r>
        <w:rPr>
          <w:rFonts w:hint="eastAsia" w:ascii="仿宋" w:hAnsi="仿宋" w:eastAsia="仿宋" w:cs="仿宋"/>
          <w:bCs/>
          <w:color w:val="auto"/>
          <w:sz w:val="24"/>
          <w:highlight w:val="none"/>
        </w:rPr>
        <w:t>1.7.4若服务涉及货物的，则货物的：</w:t>
      </w:r>
    </w:p>
    <w:p w14:paraId="5E401562">
      <w:pPr>
        <w:spacing w:line="336"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1.7.4.1 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36AD9489">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1.7.4.2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77634ACA">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1.7.4.3 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C23B4F5">
      <w:pPr>
        <w:spacing w:line="336" w:lineRule="auto"/>
        <w:ind w:firstLine="482" w:firstLineChars="200"/>
        <w:outlineLvl w:val="0"/>
        <w:rPr>
          <w:rFonts w:ascii="仿宋" w:hAnsi="仿宋" w:eastAsia="仿宋" w:cs="仿宋"/>
          <w:color w:val="auto"/>
          <w:sz w:val="24"/>
          <w:highlight w:val="none"/>
          <w:u w:val="single"/>
        </w:rPr>
      </w:pPr>
      <w:r>
        <w:rPr>
          <w:rFonts w:hint="eastAsia" w:ascii="仿宋" w:hAnsi="仿宋" w:eastAsia="仿宋" w:cs="仿宋"/>
          <w:b/>
          <w:color w:val="auto"/>
          <w:sz w:val="24"/>
          <w:highlight w:val="none"/>
        </w:rPr>
        <w:t>1.8违约责任</w:t>
      </w:r>
      <w:bookmarkEnd w:id="100"/>
      <w:bookmarkEnd w:id="101"/>
      <w:bookmarkEnd w:id="102"/>
      <w:bookmarkEnd w:id="103"/>
      <w:bookmarkEnd w:id="104"/>
    </w:p>
    <w:p w14:paraId="63B74342">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%；迟延履行的违约金计算数额达到前述最高限额之日起，甲方有权在要求乙方支付违约金的同时，书面通知乙方解除本合同；</w:t>
      </w:r>
    </w:p>
    <w:p w14:paraId="40A810BC">
      <w:pPr>
        <w:pStyle w:val="4"/>
        <w:numPr>
          <w:ilvl w:val="0"/>
          <w:numId w:val="0"/>
        </w:numPr>
        <w:spacing w:line="336" w:lineRule="auto"/>
        <w:ind w:left="0" w:leftChars="0" w:firstLine="480" w:firstLineChars="200"/>
        <w:rPr>
          <w:rFonts w:ascii="仿宋" w:eastAsia="仿宋" w:cs="仿宋"/>
          <w:b w:val="0"/>
          <w:bCs w:val="0"/>
          <w:color w:val="auto"/>
          <w:sz w:val="24"/>
          <w:szCs w:val="24"/>
          <w:highlight w:val="none"/>
          <w:lang w:val="en-US"/>
        </w:rPr>
      </w:pPr>
      <w:r>
        <w:rPr>
          <w:rFonts w:hint="eastAsia" w:ascii="仿宋" w:eastAsia="仿宋" w:cs="仿宋"/>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u w:val="single"/>
          <w:lang w:val="en-US" w:eastAsia="zh-CN"/>
        </w:rPr>
        <w:t xml:space="preserve">   </w:t>
      </w:r>
      <w:r>
        <w:rPr>
          <w:rFonts w:hint="eastAsia" w:asci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lang w:val="en-US"/>
        </w:rPr>
        <w:t>%计算，最高限额为本合同总价的</w:t>
      </w:r>
      <w:r>
        <w:rPr>
          <w:rFonts w:hint="eastAsia" w:asci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u w:val="single"/>
          <w:lang w:val="en-US" w:eastAsia="zh-CN"/>
        </w:rPr>
        <w:t xml:space="preserve">  </w:t>
      </w:r>
      <w:r>
        <w:rPr>
          <w:rFonts w:hint="eastAsia" w:asci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536B07DB">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14:paraId="61C25DF5">
      <w:pPr>
        <w:spacing w:line="336" w:lineRule="auto"/>
        <w:ind w:firstLine="480" w:firstLineChars="200"/>
        <w:rPr>
          <w:rFonts w:ascii="仿宋" w:hAnsi="仿宋" w:eastAsia="仿宋" w:cs="仿宋"/>
          <w:color w:val="auto"/>
          <w:sz w:val="24"/>
          <w:highlight w:val="none"/>
        </w:rPr>
      </w:pPr>
      <w:bookmarkStart w:id="105" w:name="_Toc30329"/>
      <w:bookmarkStart w:id="106" w:name="_Toc9497"/>
      <w:bookmarkStart w:id="107" w:name="_Toc18683"/>
      <w:bookmarkStart w:id="108" w:name="_Toc26807"/>
      <w:bookmarkStart w:id="109" w:name="_Toc32454"/>
      <w:r>
        <w:rPr>
          <w:rFonts w:hint="eastAsia" w:ascii="仿宋" w:hAnsi="仿宋" w:eastAsia="仿宋" w:cs="仿宋"/>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694C3AA">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AF7BE3E">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02F716F1">
      <w:pPr>
        <w:spacing w:line="336"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1.8.7违约责任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bookmarkEnd w:id="105"/>
    <w:bookmarkEnd w:id="106"/>
    <w:bookmarkEnd w:id="107"/>
    <w:bookmarkEnd w:id="108"/>
    <w:bookmarkEnd w:id="109"/>
    <w:p w14:paraId="4D3310A5">
      <w:pPr>
        <w:spacing w:line="336" w:lineRule="auto"/>
        <w:ind w:firstLine="482" w:firstLineChars="2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1.9合同争议的解决</w:t>
      </w:r>
    </w:p>
    <w:p w14:paraId="1E279AB1">
      <w:pPr>
        <w:spacing w:line="336" w:lineRule="auto"/>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 xml:space="preserve">  本合同履行过程中发生的任何争议，双方当事人均可通过和解或者调解解决；不愿和解、调解或者和解、调解不成的，将争议提交绍兴仲裁委员会仲裁。</w:t>
      </w:r>
    </w:p>
    <w:p w14:paraId="3DAE3C83">
      <w:pPr>
        <w:spacing w:line="336" w:lineRule="auto"/>
        <w:ind w:firstLine="482" w:firstLineChars="2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2.0 合同生效</w:t>
      </w:r>
    </w:p>
    <w:p w14:paraId="335B7FC1">
      <w:pPr>
        <w:spacing w:line="336" w:lineRule="auto"/>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本合同自双方当事人盖章签字时生效。</w:t>
      </w:r>
    </w:p>
    <w:p w14:paraId="355B7617">
      <w:pPr>
        <w:autoSpaceDE w:val="0"/>
        <w:autoSpaceDN w:val="0"/>
        <w:spacing w:line="336" w:lineRule="auto"/>
        <w:rPr>
          <w:rFonts w:ascii="仿宋" w:hAnsi="仿宋" w:eastAsia="仿宋" w:cs="仿宋"/>
          <w:color w:val="auto"/>
          <w:sz w:val="24"/>
          <w:highlight w:val="none"/>
          <w:lang w:val="zh-CN"/>
        </w:rPr>
      </w:pPr>
    </w:p>
    <w:p w14:paraId="393D5E1E">
      <w:pPr>
        <w:autoSpaceDE w:val="0"/>
        <w:autoSpaceDN w:val="0"/>
        <w:spacing w:line="336" w:lineRule="auto"/>
        <w:rPr>
          <w:rFonts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2C4A80DB">
      <w:pPr>
        <w:autoSpaceDE w:val="0"/>
        <w:autoSpaceDN w:val="0"/>
        <w:spacing w:line="336"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718DFD90">
      <w:pPr>
        <w:autoSpaceDE w:val="0"/>
        <w:autoSpaceDN w:val="0"/>
        <w:spacing w:line="336" w:lineRule="auto"/>
        <w:rPr>
          <w:rFonts w:ascii="仿宋" w:hAnsi="仿宋" w:eastAsia="仿宋" w:cs="仿宋"/>
          <w:color w:val="auto"/>
          <w:sz w:val="24"/>
          <w:highlight w:val="none"/>
          <w:lang w:val="zh-CN"/>
        </w:rPr>
      </w:pPr>
    </w:p>
    <w:p w14:paraId="0C769B90">
      <w:pPr>
        <w:autoSpaceDE w:val="0"/>
        <w:autoSpaceDN w:val="0"/>
        <w:spacing w:line="336"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0A56578A">
      <w:pPr>
        <w:autoSpaceDE w:val="0"/>
        <w:autoSpaceDN w:val="0"/>
        <w:spacing w:line="336"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14:paraId="7B08FDC6">
      <w:pPr>
        <w:autoSpaceDE w:val="0"/>
        <w:autoSpaceDN w:val="0"/>
        <w:spacing w:line="336"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14:paraId="3E61FE95">
      <w:pPr>
        <w:autoSpaceDE w:val="0"/>
        <w:autoSpaceDN w:val="0"/>
        <w:spacing w:line="336"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4BB9A6E5">
      <w:pPr>
        <w:autoSpaceDE w:val="0"/>
        <w:autoSpaceDN w:val="0"/>
        <w:spacing w:line="336"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14:paraId="772F7CDE">
      <w:pPr>
        <w:autoSpaceDE w:val="0"/>
        <w:autoSpaceDN w:val="0"/>
        <w:spacing w:line="336"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6F861F1F">
      <w:pPr>
        <w:autoSpaceDE w:val="0"/>
        <w:autoSpaceDN w:val="0"/>
        <w:spacing w:line="336"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55249879">
      <w:pPr>
        <w:autoSpaceDE w:val="0"/>
        <w:autoSpaceDN w:val="0"/>
        <w:spacing w:line="336"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67EEC912">
      <w:pPr>
        <w:autoSpaceDE w:val="0"/>
        <w:autoSpaceDN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11A92F76">
      <w:pPr>
        <w:autoSpaceDE w:val="0"/>
        <w:autoSpaceDN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1BB55164">
      <w:pPr>
        <w:autoSpaceDE w:val="0"/>
        <w:autoSpaceDN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17439176">
      <w:pPr>
        <w:autoSpaceDE w:val="0"/>
        <w:autoSpaceDN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160062CE">
      <w:pPr>
        <w:widowControl/>
        <w:spacing w:line="336" w:lineRule="auto"/>
        <w:jc w:val="left"/>
        <w:rPr>
          <w:rFonts w:ascii="仿宋" w:hAnsi="仿宋" w:eastAsia="仿宋" w:cs="仿宋"/>
          <w:b/>
          <w:color w:val="auto"/>
          <w:sz w:val="24"/>
          <w:highlight w:val="none"/>
        </w:rPr>
      </w:pPr>
    </w:p>
    <w:p w14:paraId="07D9381B">
      <w:pPr>
        <w:widowControl/>
        <w:adjustRightInd/>
        <w:spacing w:line="336" w:lineRule="auto"/>
        <w:jc w:val="left"/>
        <w:rPr>
          <w:rFonts w:ascii="仿宋" w:hAnsi="仿宋" w:eastAsia="仿宋" w:cs="仿宋"/>
          <w:b/>
          <w:color w:val="auto"/>
          <w:sz w:val="24"/>
          <w:highlight w:val="none"/>
        </w:rPr>
      </w:pPr>
      <w:r>
        <w:rPr>
          <w:rFonts w:hint="eastAsia" w:ascii="仿宋" w:hAnsi="仿宋" w:eastAsia="仿宋" w:cs="仿宋"/>
          <w:b/>
          <w:color w:val="auto"/>
          <w:highlight w:val="none"/>
        </w:rPr>
        <w:br w:type="page"/>
      </w:r>
    </w:p>
    <w:p w14:paraId="5239883F">
      <w:pPr>
        <w:pStyle w:val="26"/>
        <w:spacing w:after="0" w:line="336" w:lineRule="auto"/>
        <w:ind w:left="0" w:leftChars="0" w:firstLine="482"/>
        <w:jc w:val="center"/>
        <w:rPr>
          <w:rFonts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14:paraId="632A84D3">
      <w:pPr>
        <w:spacing w:line="336" w:lineRule="auto"/>
        <w:ind w:firstLine="482" w:firstLineChars="200"/>
        <w:outlineLvl w:val="0"/>
        <w:rPr>
          <w:rFonts w:ascii="仿宋" w:hAnsi="仿宋" w:eastAsia="仿宋" w:cs="仿宋"/>
          <w:b/>
          <w:color w:val="auto"/>
          <w:sz w:val="24"/>
          <w:highlight w:val="none"/>
        </w:rPr>
      </w:pPr>
      <w:bookmarkStart w:id="110" w:name="_Toc19680"/>
      <w:bookmarkStart w:id="111" w:name="_Toc25079"/>
      <w:bookmarkStart w:id="112" w:name="_Toc31297"/>
      <w:bookmarkStart w:id="113" w:name="_Toc5228"/>
      <w:bookmarkStart w:id="114" w:name="_Toc14021"/>
      <w:r>
        <w:rPr>
          <w:rFonts w:hint="eastAsia" w:ascii="仿宋" w:hAnsi="仿宋" w:eastAsia="仿宋" w:cs="仿宋"/>
          <w:b/>
          <w:color w:val="auto"/>
          <w:sz w:val="24"/>
          <w:highlight w:val="none"/>
        </w:rPr>
        <w:t>2.1 定义</w:t>
      </w:r>
      <w:bookmarkEnd w:id="110"/>
      <w:bookmarkEnd w:id="111"/>
      <w:bookmarkEnd w:id="112"/>
      <w:bookmarkEnd w:id="113"/>
      <w:bookmarkEnd w:id="114"/>
    </w:p>
    <w:p w14:paraId="4223EB67">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585440FB">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“合同”系指采购人和中标或成交供应商签订的载明双方当事人所达成的协议，并包括所有的附件、附录和构成合同的其他文件。</w:t>
      </w:r>
    </w:p>
    <w:p w14:paraId="39644A95">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“合同价”系指根据合同约定，中标或成交供应商在完全履行合同义务后，采购人应支付给中标或成交供应商的价格。</w:t>
      </w:r>
    </w:p>
    <w:p w14:paraId="4EDEC072">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2.1.3 “服务”系指中标或成交供应商根据合同约定应向采购人履行的除货物和工程以外的其他政府采购对象，包括采购人自身需要的服务和向社会公众提供的公共服务。</w:t>
      </w:r>
    </w:p>
    <w:p w14:paraId="09FA5BAB">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 “甲方”系指与中标或成交供应商签署合同的采购人；采购人委托采购代理机构代表其与乙方签订合同的，采购人的授权委托书作为合同附件。</w:t>
      </w:r>
    </w:p>
    <w:p w14:paraId="70FBE606">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3C77C093">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2.1.6 “现场”系指合同约定提供服务的地点。</w:t>
      </w:r>
    </w:p>
    <w:p w14:paraId="0E516949">
      <w:pPr>
        <w:spacing w:line="336" w:lineRule="auto"/>
        <w:ind w:firstLine="482" w:firstLineChars="200"/>
        <w:outlineLvl w:val="0"/>
        <w:rPr>
          <w:rFonts w:ascii="仿宋" w:hAnsi="仿宋" w:eastAsia="仿宋" w:cs="仿宋"/>
          <w:b/>
          <w:color w:val="auto"/>
          <w:sz w:val="24"/>
          <w:highlight w:val="none"/>
        </w:rPr>
      </w:pPr>
      <w:bookmarkStart w:id="115" w:name="_Toc16752"/>
      <w:bookmarkStart w:id="116" w:name="_Toc31402"/>
      <w:bookmarkStart w:id="117" w:name="_Toc19539"/>
      <w:bookmarkStart w:id="118" w:name="_Toc23289"/>
      <w:bookmarkStart w:id="119" w:name="_Toc3769"/>
      <w:r>
        <w:rPr>
          <w:rFonts w:hint="eastAsia" w:ascii="仿宋" w:hAnsi="仿宋" w:eastAsia="仿宋" w:cs="仿宋"/>
          <w:b/>
          <w:color w:val="auto"/>
          <w:sz w:val="24"/>
          <w:highlight w:val="none"/>
        </w:rPr>
        <w:t>2.2 技术规范</w:t>
      </w:r>
      <w:bookmarkEnd w:id="115"/>
      <w:bookmarkEnd w:id="116"/>
      <w:bookmarkEnd w:id="117"/>
      <w:bookmarkEnd w:id="118"/>
      <w:bookmarkEnd w:id="119"/>
    </w:p>
    <w:p w14:paraId="60E3BC9F">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AF43903">
      <w:pPr>
        <w:spacing w:line="336" w:lineRule="auto"/>
        <w:ind w:firstLine="482" w:firstLineChars="200"/>
        <w:outlineLvl w:val="0"/>
        <w:rPr>
          <w:rFonts w:ascii="仿宋" w:hAnsi="仿宋" w:eastAsia="仿宋" w:cs="仿宋"/>
          <w:b/>
          <w:color w:val="auto"/>
          <w:sz w:val="24"/>
          <w:highlight w:val="none"/>
        </w:rPr>
      </w:pPr>
      <w:bookmarkStart w:id="120" w:name="_Toc13673"/>
      <w:bookmarkStart w:id="121" w:name="_Toc12412"/>
      <w:bookmarkStart w:id="122" w:name="_Toc27945"/>
      <w:bookmarkStart w:id="123" w:name="_Toc9161"/>
      <w:bookmarkStart w:id="124" w:name="_Toc4133"/>
      <w:r>
        <w:rPr>
          <w:rFonts w:hint="eastAsia" w:ascii="仿宋" w:hAnsi="仿宋" w:eastAsia="仿宋" w:cs="仿宋"/>
          <w:b/>
          <w:color w:val="auto"/>
          <w:sz w:val="24"/>
          <w:highlight w:val="none"/>
        </w:rPr>
        <w:t>2.3 知识产权</w:t>
      </w:r>
      <w:bookmarkEnd w:id="120"/>
      <w:bookmarkEnd w:id="121"/>
      <w:bookmarkEnd w:id="122"/>
      <w:bookmarkEnd w:id="123"/>
      <w:bookmarkEnd w:id="124"/>
    </w:p>
    <w:p w14:paraId="04544873">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3C3F701E">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2.3.2 合同涉及技术成果的归属和收益的分成办法的，详见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3F29D38">
      <w:pPr>
        <w:spacing w:line="336"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2.4 履约检查和问题反馈</w:t>
      </w:r>
    </w:p>
    <w:p w14:paraId="079769CE">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32BBCE8">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2.4.2 合同履行期间，甲方有权将履行过程中出现的问题反馈给乙方，双方当事人应以书面形式约定需要完善和改进的内容。</w:t>
      </w:r>
    </w:p>
    <w:p w14:paraId="4E2ADD79">
      <w:pPr>
        <w:spacing w:line="336" w:lineRule="auto"/>
        <w:ind w:firstLine="482" w:firstLineChars="200"/>
        <w:outlineLvl w:val="0"/>
        <w:rPr>
          <w:rFonts w:ascii="仿宋" w:hAnsi="仿宋" w:eastAsia="仿宋" w:cs="仿宋"/>
          <w:b/>
          <w:color w:val="auto"/>
          <w:sz w:val="24"/>
          <w:highlight w:val="none"/>
        </w:rPr>
      </w:pPr>
      <w:bookmarkStart w:id="125" w:name="_Toc15447"/>
      <w:bookmarkStart w:id="126" w:name="_Toc32670"/>
      <w:bookmarkStart w:id="127" w:name="_Toc26555"/>
      <w:bookmarkStart w:id="128" w:name="_Toc31233"/>
      <w:bookmarkStart w:id="129" w:name="_Toc22011"/>
      <w:r>
        <w:rPr>
          <w:rFonts w:hint="eastAsia" w:ascii="仿宋" w:hAnsi="仿宋" w:eastAsia="仿宋" w:cs="仿宋"/>
          <w:b/>
          <w:color w:val="auto"/>
          <w:sz w:val="24"/>
          <w:highlight w:val="none"/>
        </w:rPr>
        <w:t>2.5 结算方式和付款条件</w:t>
      </w:r>
      <w:bookmarkEnd w:id="125"/>
      <w:bookmarkEnd w:id="126"/>
      <w:bookmarkEnd w:id="127"/>
      <w:bookmarkEnd w:id="128"/>
      <w:bookmarkEnd w:id="129"/>
    </w:p>
    <w:p w14:paraId="1E8473A1">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5CCC938">
      <w:pPr>
        <w:spacing w:line="336" w:lineRule="auto"/>
        <w:ind w:firstLine="482" w:firstLineChars="200"/>
        <w:outlineLvl w:val="0"/>
        <w:rPr>
          <w:rFonts w:ascii="仿宋" w:hAnsi="仿宋" w:eastAsia="仿宋" w:cs="仿宋"/>
          <w:b/>
          <w:color w:val="auto"/>
          <w:sz w:val="24"/>
          <w:highlight w:val="none"/>
        </w:rPr>
      </w:pPr>
      <w:bookmarkStart w:id="130" w:name="_Toc13154"/>
      <w:bookmarkStart w:id="131" w:name="_Toc16163"/>
      <w:bookmarkStart w:id="132" w:name="_Toc13467"/>
      <w:bookmarkStart w:id="133" w:name="_Toc30507"/>
      <w:bookmarkStart w:id="134" w:name="_Toc18990"/>
      <w:r>
        <w:rPr>
          <w:rFonts w:hint="eastAsia" w:ascii="仿宋" w:hAnsi="仿宋" w:eastAsia="仿宋" w:cs="仿宋"/>
          <w:b/>
          <w:color w:val="auto"/>
          <w:sz w:val="24"/>
          <w:highlight w:val="none"/>
        </w:rPr>
        <w:t>2.6 技术资料和保密义务</w:t>
      </w:r>
      <w:bookmarkEnd w:id="130"/>
      <w:bookmarkEnd w:id="131"/>
      <w:bookmarkEnd w:id="132"/>
      <w:bookmarkEnd w:id="133"/>
      <w:bookmarkEnd w:id="134"/>
    </w:p>
    <w:p w14:paraId="3CD4D272">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14:paraId="34ED4564">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14:paraId="54CDA8A5">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DAFEB83">
      <w:pPr>
        <w:spacing w:line="336" w:lineRule="auto"/>
        <w:ind w:firstLine="482" w:firstLineChars="200"/>
        <w:outlineLvl w:val="0"/>
        <w:rPr>
          <w:rFonts w:ascii="仿宋" w:hAnsi="仿宋" w:eastAsia="仿宋" w:cs="仿宋"/>
          <w:b/>
          <w:color w:val="auto"/>
          <w:sz w:val="24"/>
          <w:highlight w:val="none"/>
        </w:rPr>
      </w:pPr>
      <w:bookmarkStart w:id="135" w:name="_Toc19069"/>
      <w:r>
        <w:rPr>
          <w:rFonts w:hint="eastAsia" w:ascii="仿宋" w:hAnsi="仿宋" w:eastAsia="仿宋" w:cs="仿宋"/>
          <w:b/>
          <w:color w:val="auto"/>
          <w:sz w:val="24"/>
          <w:highlight w:val="none"/>
        </w:rPr>
        <w:t>2.7 质量保证</w:t>
      </w:r>
      <w:bookmarkEnd w:id="135"/>
    </w:p>
    <w:p w14:paraId="5FDEE319">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14:paraId="3EA98DB8">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14:paraId="30F7713A">
      <w:pPr>
        <w:spacing w:line="336" w:lineRule="auto"/>
        <w:ind w:firstLine="482" w:firstLineChars="200"/>
        <w:outlineLvl w:val="0"/>
        <w:rPr>
          <w:rFonts w:ascii="仿宋" w:hAnsi="仿宋" w:eastAsia="仿宋" w:cs="仿宋"/>
          <w:b/>
          <w:color w:val="auto"/>
          <w:sz w:val="24"/>
          <w:highlight w:val="none"/>
        </w:rPr>
      </w:pPr>
      <w:bookmarkStart w:id="136" w:name="_Toc22267"/>
      <w:r>
        <w:rPr>
          <w:rFonts w:hint="eastAsia" w:ascii="仿宋" w:hAnsi="仿宋" w:eastAsia="仿宋" w:cs="仿宋"/>
          <w:b/>
          <w:color w:val="auto"/>
          <w:sz w:val="24"/>
          <w:highlight w:val="none"/>
        </w:rPr>
        <w:t>2.8 延迟履行</w:t>
      </w:r>
      <w:bookmarkEnd w:id="136"/>
    </w:p>
    <w:p w14:paraId="5E910D4D">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6FDB4204">
      <w:pPr>
        <w:spacing w:line="336" w:lineRule="auto"/>
        <w:ind w:firstLine="482" w:firstLineChars="200"/>
        <w:outlineLvl w:val="0"/>
        <w:rPr>
          <w:rFonts w:ascii="仿宋" w:hAnsi="仿宋" w:eastAsia="仿宋" w:cs="仿宋"/>
          <w:b/>
          <w:color w:val="auto"/>
          <w:sz w:val="24"/>
          <w:highlight w:val="none"/>
        </w:rPr>
      </w:pPr>
      <w:bookmarkStart w:id="137" w:name="_Toc10611"/>
      <w:r>
        <w:rPr>
          <w:rFonts w:hint="eastAsia" w:ascii="仿宋" w:hAnsi="仿宋" w:eastAsia="仿宋" w:cs="仿宋"/>
          <w:b/>
          <w:color w:val="auto"/>
          <w:sz w:val="24"/>
          <w:highlight w:val="none"/>
        </w:rPr>
        <w:t>2.9 合同变更</w:t>
      </w:r>
      <w:bookmarkEnd w:id="137"/>
    </w:p>
    <w:p w14:paraId="5D43B28B">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3D5C5E74">
      <w:pPr>
        <w:spacing w:line="336" w:lineRule="auto"/>
        <w:ind w:firstLine="482" w:firstLineChars="200"/>
        <w:outlineLvl w:val="0"/>
        <w:rPr>
          <w:rFonts w:ascii="仿宋" w:hAnsi="仿宋" w:eastAsia="仿宋" w:cs="仿宋"/>
          <w:b/>
          <w:color w:val="auto"/>
          <w:sz w:val="24"/>
          <w:highlight w:val="none"/>
        </w:rPr>
      </w:pPr>
      <w:bookmarkStart w:id="138" w:name="_Toc42"/>
      <w:bookmarkStart w:id="139" w:name="_Toc26689"/>
      <w:bookmarkStart w:id="140" w:name="_Toc21830"/>
      <w:bookmarkStart w:id="141" w:name="_Toc23368"/>
      <w:bookmarkStart w:id="142" w:name="_Toc10663"/>
      <w:r>
        <w:rPr>
          <w:rFonts w:hint="eastAsia" w:ascii="仿宋" w:hAnsi="仿宋" w:eastAsia="仿宋" w:cs="仿宋"/>
          <w:b/>
          <w:color w:val="auto"/>
          <w:sz w:val="24"/>
          <w:highlight w:val="none"/>
        </w:rPr>
        <w:t>2.10 合同转让和分包</w:t>
      </w:r>
      <w:bookmarkEnd w:id="138"/>
      <w:bookmarkEnd w:id="139"/>
      <w:bookmarkEnd w:id="140"/>
      <w:bookmarkEnd w:id="141"/>
      <w:bookmarkEnd w:id="142"/>
    </w:p>
    <w:p w14:paraId="5949A65C">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B8555A5">
      <w:pPr>
        <w:spacing w:line="336" w:lineRule="auto"/>
        <w:ind w:firstLine="482" w:firstLineChars="200"/>
        <w:outlineLvl w:val="0"/>
        <w:rPr>
          <w:rFonts w:ascii="仿宋" w:hAnsi="仿宋" w:eastAsia="仿宋" w:cs="仿宋"/>
          <w:b/>
          <w:color w:val="auto"/>
          <w:sz w:val="24"/>
          <w:highlight w:val="none"/>
        </w:rPr>
      </w:pPr>
      <w:bookmarkStart w:id="143" w:name="_Toc4720"/>
      <w:bookmarkStart w:id="144" w:name="_Toc14371"/>
      <w:bookmarkStart w:id="145" w:name="_Toc26633"/>
      <w:bookmarkStart w:id="146" w:name="_Toc32494"/>
      <w:bookmarkStart w:id="147" w:name="_Toc25571"/>
      <w:r>
        <w:rPr>
          <w:rFonts w:hint="eastAsia" w:ascii="仿宋" w:hAnsi="仿宋" w:eastAsia="仿宋" w:cs="仿宋"/>
          <w:b/>
          <w:color w:val="auto"/>
          <w:sz w:val="24"/>
          <w:highlight w:val="none"/>
        </w:rPr>
        <w:t>2.11 不可抗力</w:t>
      </w:r>
      <w:bookmarkEnd w:id="143"/>
      <w:bookmarkEnd w:id="144"/>
      <w:bookmarkEnd w:id="145"/>
      <w:bookmarkEnd w:id="146"/>
      <w:bookmarkEnd w:id="147"/>
    </w:p>
    <w:p w14:paraId="2188BF1C">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14:paraId="577AB7EE">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2.11.2 因不可抗力致使不能实现合同目的的，当事人可以解除合同；</w:t>
      </w:r>
    </w:p>
    <w:p w14:paraId="2F8D7262">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4897C65C">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1549CDAE">
      <w:pPr>
        <w:spacing w:line="336" w:lineRule="auto"/>
        <w:ind w:firstLine="482" w:firstLineChars="200"/>
        <w:outlineLvl w:val="0"/>
        <w:rPr>
          <w:rFonts w:ascii="仿宋" w:hAnsi="仿宋" w:eastAsia="仿宋" w:cs="仿宋"/>
          <w:b/>
          <w:color w:val="auto"/>
          <w:sz w:val="24"/>
          <w:highlight w:val="none"/>
        </w:rPr>
      </w:pPr>
      <w:bookmarkStart w:id="148" w:name="_Toc25783"/>
      <w:bookmarkStart w:id="149" w:name="_Toc14115"/>
      <w:bookmarkStart w:id="150" w:name="_Toc3638"/>
      <w:bookmarkStart w:id="151" w:name="_Toc24465"/>
      <w:bookmarkStart w:id="152" w:name="_Toc23854"/>
      <w:r>
        <w:rPr>
          <w:rFonts w:hint="eastAsia" w:ascii="仿宋" w:hAnsi="仿宋" w:eastAsia="仿宋" w:cs="仿宋"/>
          <w:b/>
          <w:color w:val="auto"/>
          <w:sz w:val="24"/>
          <w:highlight w:val="none"/>
        </w:rPr>
        <w:t>2.12 税费</w:t>
      </w:r>
      <w:bookmarkEnd w:id="148"/>
      <w:bookmarkEnd w:id="149"/>
      <w:bookmarkEnd w:id="150"/>
      <w:bookmarkEnd w:id="151"/>
      <w:bookmarkEnd w:id="152"/>
    </w:p>
    <w:p w14:paraId="51B845A8">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14:paraId="6E2B4483">
      <w:pPr>
        <w:spacing w:line="336" w:lineRule="auto"/>
        <w:ind w:firstLine="482" w:firstLineChars="200"/>
        <w:outlineLvl w:val="0"/>
        <w:rPr>
          <w:rFonts w:ascii="仿宋" w:hAnsi="仿宋" w:eastAsia="仿宋" w:cs="仿宋"/>
          <w:b/>
          <w:color w:val="auto"/>
          <w:sz w:val="24"/>
          <w:highlight w:val="none"/>
        </w:rPr>
      </w:pPr>
      <w:bookmarkStart w:id="153" w:name="_Toc14814"/>
      <w:bookmarkStart w:id="154" w:name="_Toc25525"/>
      <w:bookmarkStart w:id="155" w:name="_Toc7315"/>
      <w:bookmarkStart w:id="156" w:name="_Toc30105"/>
      <w:bookmarkStart w:id="157" w:name="_Toc26883"/>
      <w:r>
        <w:rPr>
          <w:rFonts w:hint="eastAsia" w:ascii="仿宋" w:hAnsi="仿宋" w:eastAsia="仿宋" w:cs="仿宋"/>
          <w:b/>
          <w:color w:val="auto"/>
          <w:sz w:val="24"/>
          <w:highlight w:val="none"/>
        </w:rPr>
        <w:t>2.13 乙方破产</w:t>
      </w:r>
      <w:bookmarkEnd w:id="153"/>
      <w:bookmarkEnd w:id="154"/>
      <w:bookmarkEnd w:id="155"/>
      <w:bookmarkEnd w:id="156"/>
      <w:bookmarkEnd w:id="157"/>
    </w:p>
    <w:p w14:paraId="67605E49">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193DB5F">
      <w:pPr>
        <w:spacing w:line="336" w:lineRule="auto"/>
        <w:ind w:firstLine="482" w:firstLineChars="200"/>
        <w:outlineLvl w:val="0"/>
        <w:rPr>
          <w:rFonts w:ascii="仿宋" w:hAnsi="仿宋" w:eastAsia="仿宋" w:cs="仿宋"/>
          <w:b/>
          <w:color w:val="auto"/>
          <w:sz w:val="24"/>
          <w:highlight w:val="none"/>
        </w:rPr>
      </w:pPr>
      <w:bookmarkStart w:id="158" w:name="_Toc23323"/>
      <w:bookmarkStart w:id="159" w:name="_Toc1123"/>
      <w:bookmarkStart w:id="160" w:name="_Toc2016"/>
      <w:r>
        <w:rPr>
          <w:rFonts w:hint="eastAsia" w:ascii="仿宋" w:hAnsi="仿宋" w:eastAsia="仿宋" w:cs="仿宋"/>
          <w:b/>
          <w:color w:val="auto"/>
          <w:sz w:val="24"/>
          <w:highlight w:val="none"/>
        </w:rPr>
        <w:t>2.14 合同中止、终止</w:t>
      </w:r>
      <w:bookmarkEnd w:id="158"/>
      <w:bookmarkEnd w:id="159"/>
      <w:bookmarkEnd w:id="160"/>
    </w:p>
    <w:p w14:paraId="7D201111">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2.14.1 双方当事人不得擅自中止或者终止合同；</w:t>
      </w:r>
    </w:p>
    <w:p w14:paraId="5ED3B231">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3032498E">
      <w:pPr>
        <w:spacing w:line="336" w:lineRule="auto"/>
        <w:ind w:firstLine="482" w:firstLineChars="200"/>
        <w:outlineLvl w:val="0"/>
        <w:rPr>
          <w:rFonts w:ascii="仿宋" w:hAnsi="仿宋" w:eastAsia="仿宋" w:cs="仿宋"/>
          <w:b/>
          <w:color w:val="auto"/>
          <w:sz w:val="24"/>
          <w:highlight w:val="none"/>
        </w:rPr>
      </w:pPr>
      <w:bookmarkStart w:id="161" w:name="_Toc1969"/>
      <w:bookmarkStart w:id="162" w:name="_Toc14525"/>
      <w:bookmarkStart w:id="163" w:name="_Toc17363"/>
      <w:r>
        <w:rPr>
          <w:rFonts w:hint="eastAsia" w:ascii="仿宋" w:hAnsi="仿宋" w:eastAsia="仿宋" w:cs="仿宋"/>
          <w:b/>
          <w:color w:val="auto"/>
          <w:sz w:val="24"/>
          <w:highlight w:val="none"/>
        </w:rPr>
        <w:t>2.15 检验和验收</w:t>
      </w:r>
      <w:bookmarkEnd w:id="161"/>
      <w:bookmarkEnd w:id="162"/>
      <w:bookmarkEnd w:id="163"/>
    </w:p>
    <w:p w14:paraId="340F9E3A">
      <w:pPr>
        <w:tabs>
          <w:tab w:val="left" w:pos="360"/>
          <w:tab w:val="left" w:pos="540"/>
          <w:tab w:val="left" w:pos="1080"/>
        </w:tabs>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2.15.1 乙方按照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的约定进行定期验收；</w:t>
      </w:r>
    </w:p>
    <w:p w14:paraId="743B58CC">
      <w:pPr>
        <w:tabs>
          <w:tab w:val="left" w:pos="360"/>
          <w:tab w:val="left" w:pos="540"/>
          <w:tab w:val="left" w:pos="1080"/>
        </w:tabs>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6A93C29">
      <w:pPr>
        <w:tabs>
          <w:tab w:val="left" w:pos="360"/>
          <w:tab w:val="left" w:pos="540"/>
          <w:tab w:val="left" w:pos="1080"/>
        </w:tabs>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14:paraId="6B64F753">
      <w:pPr>
        <w:spacing w:line="336" w:lineRule="auto"/>
        <w:ind w:firstLine="482" w:firstLineChars="200"/>
        <w:outlineLvl w:val="0"/>
        <w:rPr>
          <w:rFonts w:ascii="仿宋" w:hAnsi="仿宋" w:eastAsia="仿宋" w:cs="仿宋"/>
          <w:b/>
          <w:color w:val="auto"/>
          <w:sz w:val="24"/>
          <w:highlight w:val="none"/>
        </w:rPr>
      </w:pPr>
      <w:bookmarkStart w:id="164" w:name="_Toc9808"/>
      <w:bookmarkStart w:id="165" w:name="_Toc31892"/>
      <w:bookmarkStart w:id="166" w:name="_Toc12666"/>
      <w:bookmarkStart w:id="167" w:name="_Toc25198"/>
      <w:bookmarkStart w:id="168" w:name="_Toc2308"/>
      <w:r>
        <w:rPr>
          <w:rFonts w:hint="eastAsia" w:ascii="仿宋" w:hAnsi="仿宋" w:eastAsia="仿宋" w:cs="仿宋"/>
          <w:b/>
          <w:color w:val="auto"/>
          <w:sz w:val="24"/>
          <w:highlight w:val="none"/>
        </w:rPr>
        <w:t>2.16 通知和送达</w:t>
      </w:r>
      <w:bookmarkEnd w:id="164"/>
      <w:bookmarkEnd w:id="165"/>
      <w:bookmarkEnd w:id="166"/>
      <w:bookmarkEnd w:id="167"/>
      <w:bookmarkEnd w:id="168"/>
    </w:p>
    <w:p w14:paraId="0FF0AE48">
      <w:pPr>
        <w:spacing w:line="336" w:lineRule="auto"/>
        <w:ind w:firstLine="480" w:firstLineChars="200"/>
        <w:rPr>
          <w:rFonts w:ascii="仿宋" w:hAnsi="仿宋" w:eastAsia="仿宋" w:cs="仿宋"/>
          <w:color w:val="auto"/>
          <w:sz w:val="24"/>
          <w:highlight w:val="none"/>
        </w:rPr>
      </w:pPr>
      <w:bookmarkStart w:id="169" w:name="_Toc27674"/>
      <w:bookmarkStart w:id="170" w:name="_Toc18401"/>
      <w:r>
        <w:rPr>
          <w:rFonts w:hint="eastAsia" w:ascii="仿宋" w:hAnsi="仿宋" w:eastAsia="仿宋" w:cs="仿宋"/>
          <w:color w:val="auto"/>
          <w:sz w:val="24"/>
          <w:highlight w:val="none"/>
        </w:rPr>
        <w:t xml:space="preserve">2.17.1任何一方因履行合同而以合同第一部分尾部所列明的传真或电子邮件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14:paraId="3A4A2C13">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69"/>
      <w:bookmarkEnd w:id="170"/>
    </w:p>
    <w:p w14:paraId="00F0E64F">
      <w:pPr>
        <w:spacing w:line="336" w:lineRule="auto"/>
        <w:ind w:firstLine="482" w:firstLineChars="200"/>
        <w:outlineLvl w:val="0"/>
        <w:rPr>
          <w:rFonts w:ascii="仿宋" w:hAnsi="仿宋" w:eastAsia="仿宋" w:cs="仿宋"/>
          <w:b/>
          <w:color w:val="auto"/>
          <w:sz w:val="24"/>
          <w:highlight w:val="none"/>
        </w:rPr>
      </w:pPr>
      <w:bookmarkStart w:id="171" w:name="_Toc20808"/>
      <w:bookmarkStart w:id="172" w:name="_Toc27644"/>
      <w:bookmarkStart w:id="173" w:name="_Toc12254"/>
      <w:bookmarkStart w:id="174" w:name="_Toc28906"/>
      <w:bookmarkStart w:id="175" w:name="_Toc5063"/>
      <w:r>
        <w:rPr>
          <w:rFonts w:hint="eastAsia" w:ascii="仿宋" w:hAnsi="仿宋" w:eastAsia="仿宋" w:cs="仿宋"/>
          <w:b/>
          <w:color w:val="auto"/>
          <w:sz w:val="24"/>
          <w:highlight w:val="none"/>
        </w:rPr>
        <w:t>2.17 合同使用的文字和适用的法律</w:t>
      </w:r>
      <w:bookmarkEnd w:id="171"/>
      <w:bookmarkEnd w:id="172"/>
      <w:bookmarkEnd w:id="173"/>
      <w:bookmarkEnd w:id="174"/>
      <w:bookmarkEnd w:id="175"/>
    </w:p>
    <w:p w14:paraId="65559965">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2.17.1 合同使用汉语书就、变更和解释；</w:t>
      </w:r>
    </w:p>
    <w:p w14:paraId="49862062">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2.17.2 合同适用中华人民共和国法律。</w:t>
      </w:r>
    </w:p>
    <w:p w14:paraId="59662DAF">
      <w:pPr>
        <w:spacing w:line="336" w:lineRule="auto"/>
        <w:ind w:firstLine="482" w:firstLineChars="2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2.18 计量单位</w:t>
      </w:r>
    </w:p>
    <w:p w14:paraId="6762DAC7">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64F5D5CF">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19</w:t>
      </w:r>
      <w:r>
        <w:rPr>
          <w:rFonts w:hint="eastAsia" w:ascii="仿宋" w:hAnsi="仿宋" w:eastAsia="仿宋" w:cs="仿宋"/>
          <w:b/>
          <w:color w:val="auto"/>
          <w:sz w:val="24"/>
          <w:highlight w:val="none"/>
        </w:rPr>
        <w:t>合同份数</w:t>
      </w:r>
    </w:p>
    <w:p w14:paraId="167E48B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695DD23C">
      <w:pPr>
        <w:spacing w:line="336" w:lineRule="auto"/>
        <w:ind w:firstLine="480" w:firstLineChars="200"/>
        <w:jc w:val="center"/>
        <w:outlineLvl w:val="0"/>
        <w:rPr>
          <w:rFonts w:hint="eastAsia" w:ascii="仿宋_GB2312" w:hAnsi="仿宋" w:eastAsia="仿宋_GB2312" w:cs="Times New Roman"/>
          <w:b/>
          <w:color w:val="auto"/>
          <w:kern w:val="2"/>
          <w:sz w:val="24"/>
          <w:szCs w:val="24"/>
          <w:highlight w:val="none"/>
          <w:lang w:val="en-US" w:eastAsia="zh-CN" w:bidi="ar-SA"/>
        </w:rPr>
      </w:pPr>
      <w:r>
        <w:rPr>
          <w:rFonts w:hint="eastAsia" w:ascii="仿宋" w:hAnsi="仿宋" w:eastAsia="仿宋" w:cs="仿宋"/>
          <w:color w:val="auto"/>
          <w:sz w:val="24"/>
          <w:highlight w:val="none"/>
        </w:rPr>
        <w:br w:type="page"/>
      </w:r>
      <w:r>
        <w:rPr>
          <w:rFonts w:hint="eastAsia" w:ascii="仿宋" w:hAnsi="仿宋" w:eastAsia="仿宋" w:cs="仿宋"/>
          <w:b/>
          <w:color w:val="auto"/>
          <w:sz w:val="24"/>
          <w:highlight w:val="none"/>
        </w:rPr>
        <w:t xml:space="preserve"> </w:t>
      </w:r>
      <w:r>
        <w:rPr>
          <w:rFonts w:hint="eastAsia" w:ascii="仿宋_GB2312" w:hAnsi="仿宋" w:eastAsia="仿宋_GB2312" w:cs="Times New Roman"/>
          <w:b/>
          <w:color w:val="auto"/>
          <w:kern w:val="2"/>
          <w:sz w:val="24"/>
          <w:szCs w:val="24"/>
          <w:highlight w:val="none"/>
          <w:lang w:val="en-US" w:eastAsia="zh-CN" w:bidi="ar-SA"/>
        </w:rPr>
        <w:t>第三部分  合同专用条款</w:t>
      </w:r>
    </w:p>
    <w:p w14:paraId="7D949D7A">
      <w:pPr>
        <w:spacing w:line="336"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7"/>
        <w:tblW w:w="901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65"/>
        <w:gridCol w:w="8049"/>
      </w:tblGrid>
      <w:tr w14:paraId="496A62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65" w:type="dxa"/>
            <w:tcBorders>
              <w:left w:val="single" w:color="auto" w:sz="4" w:space="0"/>
            </w:tcBorders>
            <w:noWrap w:val="0"/>
            <w:vAlign w:val="center"/>
          </w:tcPr>
          <w:p w14:paraId="6D4DE9E2">
            <w:pPr>
              <w:spacing w:line="336"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8049" w:type="dxa"/>
            <w:noWrap w:val="0"/>
            <w:vAlign w:val="center"/>
          </w:tcPr>
          <w:p w14:paraId="5E0A6910">
            <w:pPr>
              <w:spacing w:line="336"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14:paraId="6AEAED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02738366">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1.3.2</w:t>
            </w:r>
          </w:p>
        </w:tc>
        <w:tc>
          <w:tcPr>
            <w:tcW w:w="8049" w:type="dxa"/>
            <w:noWrap w:val="0"/>
            <w:vAlign w:val="center"/>
          </w:tcPr>
          <w:p w14:paraId="078CD634">
            <w:pPr>
              <w:spacing w:line="336" w:lineRule="auto"/>
              <w:rPr>
                <w:rFonts w:ascii="仿宋" w:hAnsi="仿宋" w:eastAsia="仿宋" w:cs="仿宋"/>
                <w:color w:val="auto"/>
                <w:sz w:val="24"/>
                <w:highlight w:val="none"/>
              </w:rPr>
            </w:pPr>
          </w:p>
        </w:tc>
      </w:tr>
      <w:tr w14:paraId="11E8D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6295156A">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1.4.2</w:t>
            </w:r>
          </w:p>
        </w:tc>
        <w:tc>
          <w:tcPr>
            <w:tcW w:w="8049" w:type="dxa"/>
            <w:noWrap w:val="0"/>
            <w:vAlign w:val="center"/>
          </w:tcPr>
          <w:p w14:paraId="74756BD9">
            <w:pPr>
              <w:spacing w:line="336" w:lineRule="auto"/>
              <w:rPr>
                <w:rFonts w:ascii="仿宋" w:hAnsi="仿宋" w:eastAsia="仿宋" w:cs="仿宋"/>
                <w:color w:val="auto"/>
                <w:sz w:val="24"/>
                <w:highlight w:val="none"/>
              </w:rPr>
            </w:pPr>
          </w:p>
        </w:tc>
      </w:tr>
      <w:tr w14:paraId="7B1893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24DAEF5D">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1.5.1 </w:t>
            </w:r>
          </w:p>
        </w:tc>
        <w:tc>
          <w:tcPr>
            <w:tcW w:w="8049" w:type="dxa"/>
            <w:noWrap w:val="0"/>
            <w:vAlign w:val="center"/>
          </w:tcPr>
          <w:p w14:paraId="7A2C8CA5">
            <w:pPr>
              <w:spacing w:line="336" w:lineRule="auto"/>
              <w:rPr>
                <w:rFonts w:ascii="仿宋" w:hAnsi="仿宋" w:eastAsia="仿宋" w:cs="仿宋"/>
                <w:color w:val="auto"/>
                <w:sz w:val="24"/>
                <w:highlight w:val="none"/>
              </w:rPr>
            </w:pPr>
          </w:p>
        </w:tc>
      </w:tr>
      <w:tr w14:paraId="6C9E5C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145154A4">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1.5.2</w:t>
            </w:r>
          </w:p>
        </w:tc>
        <w:tc>
          <w:tcPr>
            <w:tcW w:w="8049" w:type="dxa"/>
            <w:noWrap w:val="0"/>
            <w:vAlign w:val="center"/>
          </w:tcPr>
          <w:p w14:paraId="11997F22">
            <w:pPr>
              <w:spacing w:line="336" w:lineRule="auto"/>
              <w:rPr>
                <w:rFonts w:ascii="仿宋" w:hAnsi="仿宋" w:eastAsia="仿宋" w:cs="仿宋"/>
                <w:color w:val="auto"/>
                <w:sz w:val="24"/>
                <w:highlight w:val="none"/>
              </w:rPr>
            </w:pPr>
          </w:p>
        </w:tc>
      </w:tr>
      <w:tr w14:paraId="4234CB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609DA6ED">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1.5.3 </w:t>
            </w:r>
          </w:p>
        </w:tc>
        <w:tc>
          <w:tcPr>
            <w:tcW w:w="8049" w:type="dxa"/>
            <w:noWrap w:val="0"/>
            <w:vAlign w:val="center"/>
          </w:tcPr>
          <w:p w14:paraId="60AE8A57">
            <w:pPr>
              <w:spacing w:line="336" w:lineRule="auto"/>
              <w:rPr>
                <w:rFonts w:ascii="仿宋" w:hAnsi="仿宋" w:eastAsia="仿宋" w:cs="仿宋"/>
                <w:color w:val="auto"/>
                <w:sz w:val="24"/>
                <w:highlight w:val="none"/>
              </w:rPr>
            </w:pPr>
          </w:p>
        </w:tc>
      </w:tr>
      <w:tr w14:paraId="7987C5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32FAE85D">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1.6.2</w:t>
            </w:r>
          </w:p>
        </w:tc>
        <w:tc>
          <w:tcPr>
            <w:tcW w:w="8049" w:type="dxa"/>
            <w:noWrap w:val="0"/>
            <w:vAlign w:val="center"/>
          </w:tcPr>
          <w:p w14:paraId="4A79FE52">
            <w:pPr>
              <w:spacing w:line="336" w:lineRule="auto"/>
              <w:rPr>
                <w:rFonts w:ascii="仿宋" w:hAnsi="仿宋" w:eastAsia="仿宋" w:cs="仿宋"/>
                <w:color w:val="auto"/>
                <w:sz w:val="24"/>
                <w:highlight w:val="none"/>
              </w:rPr>
            </w:pPr>
          </w:p>
        </w:tc>
      </w:tr>
      <w:tr w14:paraId="5F5672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6E7C5C50">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1.7.1</w:t>
            </w:r>
          </w:p>
        </w:tc>
        <w:tc>
          <w:tcPr>
            <w:tcW w:w="8049" w:type="dxa"/>
            <w:noWrap w:val="0"/>
            <w:vAlign w:val="center"/>
          </w:tcPr>
          <w:p w14:paraId="66A598F5">
            <w:pPr>
              <w:spacing w:line="336" w:lineRule="auto"/>
              <w:rPr>
                <w:rFonts w:ascii="仿宋" w:hAnsi="仿宋" w:eastAsia="仿宋" w:cs="仿宋"/>
                <w:color w:val="auto"/>
                <w:sz w:val="24"/>
                <w:highlight w:val="none"/>
              </w:rPr>
            </w:pPr>
          </w:p>
        </w:tc>
      </w:tr>
      <w:tr w14:paraId="3D77C0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63098D98">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1.7.2</w:t>
            </w:r>
          </w:p>
        </w:tc>
        <w:tc>
          <w:tcPr>
            <w:tcW w:w="8049" w:type="dxa"/>
            <w:noWrap w:val="0"/>
            <w:vAlign w:val="center"/>
          </w:tcPr>
          <w:p w14:paraId="1425B473">
            <w:pPr>
              <w:spacing w:line="336" w:lineRule="auto"/>
              <w:rPr>
                <w:rFonts w:ascii="仿宋" w:hAnsi="仿宋" w:eastAsia="仿宋" w:cs="仿宋"/>
                <w:color w:val="auto"/>
                <w:sz w:val="24"/>
                <w:highlight w:val="none"/>
              </w:rPr>
            </w:pPr>
          </w:p>
        </w:tc>
      </w:tr>
      <w:tr w14:paraId="390FE9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26FD0D31">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1.7.3</w:t>
            </w:r>
          </w:p>
        </w:tc>
        <w:tc>
          <w:tcPr>
            <w:tcW w:w="8049" w:type="dxa"/>
            <w:noWrap w:val="0"/>
            <w:vAlign w:val="center"/>
          </w:tcPr>
          <w:p w14:paraId="192E057A">
            <w:pPr>
              <w:spacing w:line="336" w:lineRule="auto"/>
              <w:rPr>
                <w:rFonts w:ascii="仿宋" w:hAnsi="仿宋" w:eastAsia="仿宋" w:cs="仿宋"/>
                <w:color w:val="auto"/>
                <w:sz w:val="24"/>
                <w:highlight w:val="none"/>
              </w:rPr>
            </w:pPr>
          </w:p>
        </w:tc>
      </w:tr>
      <w:tr w14:paraId="358C13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6F307A49">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1.7.4.1</w:t>
            </w:r>
          </w:p>
        </w:tc>
        <w:tc>
          <w:tcPr>
            <w:tcW w:w="8049" w:type="dxa"/>
            <w:noWrap w:val="0"/>
            <w:vAlign w:val="center"/>
          </w:tcPr>
          <w:p w14:paraId="4D48749F">
            <w:pPr>
              <w:spacing w:line="336" w:lineRule="auto"/>
              <w:rPr>
                <w:rFonts w:ascii="仿宋" w:hAnsi="仿宋" w:eastAsia="仿宋" w:cs="仿宋"/>
                <w:color w:val="auto"/>
                <w:sz w:val="24"/>
                <w:highlight w:val="none"/>
              </w:rPr>
            </w:pPr>
          </w:p>
        </w:tc>
      </w:tr>
      <w:tr w14:paraId="02E748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5F146A31">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1.7.4.2</w:t>
            </w:r>
          </w:p>
        </w:tc>
        <w:tc>
          <w:tcPr>
            <w:tcW w:w="8049" w:type="dxa"/>
            <w:noWrap w:val="0"/>
            <w:vAlign w:val="center"/>
          </w:tcPr>
          <w:p w14:paraId="7C688FFE">
            <w:pPr>
              <w:spacing w:line="336" w:lineRule="auto"/>
              <w:rPr>
                <w:rFonts w:ascii="仿宋" w:hAnsi="仿宋" w:eastAsia="仿宋" w:cs="仿宋"/>
                <w:color w:val="auto"/>
                <w:sz w:val="24"/>
                <w:highlight w:val="none"/>
              </w:rPr>
            </w:pPr>
          </w:p>
        </w:tc>
      </w:tr>
      <w:tr w14:paraId="001D6F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604BE17B">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1.7.4.3</w:t>
            </w:r>
          </w:p>
        </w:tc>
        <w:tc>
          <w:tcPr>
            <w:tcW w:w="8049" w:type="dxa"/>
            <w:noWrap w:val="0"/>
            <w:vAlign w:val="center"/>
          </w:tcPr>
          <w:p w14:paraId="756A635A">
            <w:pPr>
              <w:spacing w:line="336" w:lineRule="auto"/>
              <w:rPr>
                <w:rFonts w:ascii="仿宋" w:hAnsi="仿宋" w:eastAsia="仿宋" w:cs="仿宋"/>
                <w:color w:val="auto"/>
                <w:sz w:val="24"/>
                <w:highlight w:val="none"/>
              </w:rPr>
            </w:pPr>
          </w:p>
        </w:tc>
      </w:tr>
      <w:tr w14:paraId="332D62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26663D33">
            <w:pPr>
              <w:spacing w:line="336"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1.8.7</w:t>
            </w:r>
          </w:p>
        </w:tc>
        <w:tc>
          <w:tcPr>
            <w:tcW w:w="8049" w:type="dxa"/>
            <w:noWrap w:val="0"/>
            <w:vAlign w:val="center"/>
          </w:tcPr>
          <w:p w14:paraId="17E5C56A">
            <w:pPr>
              <w:spacing w:line="336" w:lineRule="auto"/>
              <w:rPr>
                <w:rFonts w:ascii="仿宋" w:hAnsi="仿宋" w:eastAsia="仿宋" w:cs="仿宋"/>
                <w:color w:val="auto"/>
                <w:sz w:val="24"/>
                <w:highlight w:val="none"/>
              </w:rPr>
            </w:pPr>
          </w:p>
        </w:tc>
      </w:tr>
      <w:tr w14:paraId="72E1E2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441CCDA7">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2.2</w:t>
            </w:r>
          </w:p>
        </w:tc>
        <w:tc>
          <w:tcPr>
            <w:tcW w:w="8049" w:type="dxa"/>
            <w:noWrap w:val="0"/>
            <w:vAlign w:val="center"/>
          </w:tcPr>
          <w:p w14:paraId="54D7116E">
            <w:pPr>
              <w:spacing w:line="336" w:lineRule="auto"/>
              <w:rPr>
                <w:rFonts w:ascii="仿宋" w:hAnsi="仿宋" w:eastAsia="仿宋" w:cs="仿宋"/>
                <w:color w:val="auto"/>
                <w:sz w:val="24"/>
                <w:highlight w:val="none"/>
              </w:rPr>
            </w:pPr>
          </w:p>
        </w:tc>
      </w:tr>
      <w:tr w14:paraId="1BB8D0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53E1FD6A">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2.3.2</w:t>
            </w:r>
          </w:p>
        </w:tc>
        <w:tc>
          <w:tcPr>
            <w:tcW w:w="8049" w:type="dxa"/>
            <w:noWrap w:val="0"/>
            <w:vAlign w:val="center"/>
          </w:tcPr>
          <w:p w14:paraId="53C16B4F">
            <w:pPr>
              <w:spacing w:line="336" w:lineRule="auto"/>
              <w:ind w:firstLine="480" w:firstLineChars="200"/>
              <w:rPr>
                <w:rFonts w:ascii="仿宋" w:hAnsi="仿宋" w:eastAsia="仿宋" w:cs="仿宋"/>
                <w:color w:val="auto"/>
                <w:sz w:val="24"/>
                <w:highlight w:val="none"/>
              </w:rPr>
            </w:pPr>
          </w:p>
        </w:tc>
      </w:tr>
      <w:tr w14:paraId="675362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2A2E417B">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2.5</w:t>
            </w:r>
          </w:p>
        </w:tc>
        <w:tc>
          <w:tcPr>
            <w:tcW w:w="8049" w:type="dxa"/>
            <w:noWrap w:val="0"/>
            <w:vAlign w:val="center"/>
          </w:tcPr>
          <w:p w14:paraId="297DE881">
            <w:pPr>
              <w:spacing w:line="336" w:lineRule="auto"/>
              <w:ind w:firstLine="480" w:firstLineChars="200"/>
              <w:rPr>
                <w:rFonts w:ascii="仿宋" w:hAnsi="仿宋" w:eastAsia="仿宋" w:cs="仿宋"/>
                <w:color w:val="auto"/>
                <w:sz w:val="24"/>
                <w:highlight w:val="none"/>
              </w:rPr>
            </w:pPr>
          </w:p>
        </w:tc>
      </w:tr>
      <w:tr w14:paraId="18D1EA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14EE7454">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2.11.3</w:t>
            </w:r>
          </w:p>
        </w:tc>
        <w:tc>
          <w:tcPr>
            <w:tcW w:w="8049" w:type="dxa"/>
            <w:noWrap w:val="0"/>
            <w:vAlign w:val="center"/>
          </w:tcPr>
          <w:p w14:paraId="5387500B">
            <w:pPr>
              <w:spacing w:line="336" w:lineRule="auto"/>
              <w:rPr>
                <w:rFonts w:ascii="仿宋" w:hAnsi="仿宋" w:eastAsia="仿宋" w:cs="仿宋"/>
                <w:color w:val="auto"/>
                <w:sz w:val="24"/>
                <w:highlight w:val="none"/>
              </w:rPr>
            </w:pPr>
          </w:p>
        </w:tc>
      </w:tr>
      <w:tr w14:paraId="42C21C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top"/>
          </w:tcPr>
          <w:p w14:paraId="1BE44372">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2.11.4 </w:t>
            </w:r>
          </w:p>
        </w:tc>
        <w:tc>
          <w:tcPr>
            <w:tcW w:w="8049" w:type="dxa"/>
            <w:noWrap w:val="0"/>
            <w:vAlign w:val="top"/>
          </w:tcPr>
          <w:p w14:paraId="5D4D6AD0">
            <w:pPr>
              <w:spacing w:line="336" w:lineRule="auto"/>
              <w:rPr>
                <w:rFonts w:ascii="仿宋" w:hAnsi="仿宋" w:eastAsia="仿宋" w:cs="仿宋"/>
                <w:color w:val="auto"/>
                <w:sz w:val="24"/>
                <w:highlight w:val="none"/>
              </w:rPr>
            </w:pPr>
          </w:p>
        </w:tc>
      </w:tr>
      <w:tr w14:paraId="0A226D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23B4C62E">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2.15.1</w:t>
            </w:r>
          </w:p>
        </w:tc>
        <w:tc>
          <w:tcPr>
            <w:tcW w:w="8049" w:type="dxa"/>
            <w:noWrap w:val="0"/>
            <w:vAlign w:val="center"/>
          </w:tcPr>
          <w:p w14:paraId="438F56E4">
            <w:pPr>
              <w:spacing w:line="336" w:lineRule="auto"/>
              <w:rPr>
                <w:rFonts w:ascii="仿宋" w:hAnsi="仿宋" w:eastAsia="仿宋" w:cs="仿宋"/>
                <w:color w:val="auto"/>
                <w:sz w:val="24"/>
                <w:highlight w:val="none"/>
              </w:rPr>
            </w:pPr>
          </w:p>
        </w:tc>
      </w:tr>
      <w:tr w14:paraId="2114D8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628AE0FA">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2.15.3</w:t>
            </w:r>
          </w:p>
        </w:tc>
        <w:tc>
          <w:tcPr>
            <w:tcW w:w="8049" w:type="dxa"/>
            <w:noWrap w:val="0"/>
            <w:vAlign w:val="center"/>
          </w:tcPr>
          <w:p w14:paraId="3034E261">
            <w:pPr>
              <w:spacing w:line="336" w:lineRule="auto"/>
              <w:rPr>
                <w:rFonts w:ascii="仿宋" w:hAnsi="仿宋" w:eastAsia="仿宋" w:cs="仿宋"/>
                <w:color w:val="auto"/>
                <w:sz w:val="24"/>
                <w:highlight w:val="none"/>
              </w:rPr>
            </w:pPr>
          </w:p>
        </w:tc>
      </w:tr>
      <w:tr w14:paraId="59E65F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5" w:type="dxa"/>
            <w:tcBorders>
              <w:left w:val="single" w:color="auto" w:sz="4" w:space="0"/>
            </w:tcBorders>
            <w:noWrap w:val="0"/>
            <w:vAlign w:val="center"/>
          </w:tcPr>
          <w:p w14:paraId="60E251C2">
            <w:pPr>
              <w:spacing w:line="336"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19</w:t>
            </w:r>
          </w:p>
        </w:tc>
        <w:tc>
          <w:tcPr>
            <w:tcW w:w="8049" w:type="dxa"/>
            <w:noWrap w:val="0"/>
            <w:vAlign w:val="center"/>
          </w:tcPr>
          <w:p w14:paraId="2CA1770E">
            <w:pPr>
              <w:spacing w:line="336" w:lineRule="auto"/>
              <w:rPr>
                <w:rFonts w:ascii="仿宋" w:hAnsi="仿宋" w:eastAsia="仿宋" w:cs="仿宋"/>
                <w:color w:val="auto"/>
                <w:sz w:val="24"/>
                <w:highlight w:val="none"/>
              </w:rPr>
            </w:pPr>
          </w:p>
        </w:tc>
      </w:tr>
    </w:tbl>
    <w:p w14:paraId="1DDF4FC2">
      <w:pPr>
        <w:pStyle w:val="2"/>
        <w:rPr>
          <w:rFonts w:ascii="仿宋" w:hAnsi="仿宋" w:eastAsia="仿宋" w:cs="仿宋"/>
          <w:color w:val="auto"/>
          <w:highlight w:val="none"/>
        </w:rPr>
      </w:pPr>
    </w:p>
    <w:bookmarkEnd w:id="70"/>
    <w:bookmarkEnd w:id="71"/>
    <w:p w14:paraId="640C4EF2">
      <w:pPr>
        <w:adjustRightInd/>
        <w:spacing w:line="336" w:lineRule="auto"/>
        <w:jc w:val="center"/>
        <w:outlineLvl w:val="0"/>
        <w:rPr>
          <w:rFonts w:hint="eastAsia" w:ascii="仿宋" w:hAnsi="仿宋" w:eastAsia="仿宋" w:cs="仿宋"/>
          <w:b/>
          <w:color w:val="auto"/>
          <w:sz w:val="36"/>
          <w:szCs w:val="36"/>
          <w:highlight w:val="none"/>
        </w:rPr>
      </w:pPr>
    </w:p>
    <w:p w14:paraId="470529A3">
      <w:pPr>
        <w:adjustRightInd/>
        <w:spacing w:line="336" w:lineRule="auto"/>
        <w:jc w:val="center"/>
        <w:outlineLvl w:val="0"/>
        <w:rPr>
          <w:rFonts w:hint="eastAsia" w:ascii="仿宋" w:hAnsi="仿宋" w:eastAsia="仿宋" w:cs="仿宋"/>
          <w:b/>
          <w:color w:val="auto"/>
          <w:sz w:val="36"/>
          <w:szCs w:val="36"/>
          <w:highlight w:val="none"/>
        </w:rPr>
      </w:pPr>
    </w:p>
    <w:p w14:paraId="76E6B467">
      <w:pPr>
        <w:adjustRightInd/>
        <w:spacing w:line="336"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第五部分  </w:t>
      </w:r>
      <w:bookmarkEnd w:id="59"/>
      <w:bookmarkEnd w:id="60"/>
      <w:bookmarkStart w:id="176" w:name="第四部分"/>
      <w:r>
        <w:rPr>
          <w:rFonts w:hint="eastAsia" w:ascii="仿宋" w:hAnsi="仿宋" w:eastAsia="仿宋" w:cs="仿宋"/>
          <w:b/>
          <w:color w:val="auto"/>
          <w:sz w:val="36"/>
          <w:szCs w:val="36"/>
          <w:highlight w:val="none"/>
        </w:rPr>
        <w:t>评审方法及评审标准</w:t>
      </w:r>
    </w:p>
    <w:p w14:paraId="6A8759B8">
      <w:pPr>
        <w:spacing w:line="336"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1、磋商方法：</w:t>
      </w:r>
    </w:p>
    <w:p w14:paraId="09D15D8D">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采用综合评分法，磋商响应文件满足磋商文件全部实质性要求且按照评审因素的量化指标评审得分最高的供应商为成交候选供应商。磋商小组根据综合评分情况，按照评审得分从高到低顺序推荐评审得分最高的为成交候选供应商。评审得分相同的，按照最后报价由低到高的顺序推荐。评审得分且最后报价相同的，按照技术指标优劣顺序推荐。</w:t>
      </w:r>
    </w:p>
    <w:p w14:paraId="4E275E29">
      <w:pPr>
        <w:spacing w:line="336" w:lineRule="auto"/>
        <w:ind w:firstLine="472" w:firstLineChars="196"/>
        <w:jc w:val="left"/>
        <w:rPr>
          <w:rFonts w:ascii="仿宋" w:hAnsi="仿宋" w:eastAsia="仿宋" w:cs="仿宋"/>
          <w:b/>
          <w:color w:val="auto"/>
          <w:sz w:val="24"/>
          <w:highlight w:val="none"/>
        </w:rPr>
      </w:pPr>
      <w:r>
        <w:rPr>
          <w:rFonts w:hint="eastAsia" w:ascii="仿宋" w:hAnsi="仿宋" w:eastAsia="仿宋" w:cs="仿宋"/>
          <w:b/>
          <w:color w:val="auto"/>
          <w:sz w:val="24"/>
          <w:highlight w:val="none"/>
        </w:rPr>
        <w:t>1.2采用综合评分法的，提供相同品牌产品且通过资格审查、符合性审查的不同供应商参加同一合同项下磋商的，按一家供应商计算，评审后得分最高的同品牌供应商获得</w:t>
      </w:r>
      <w:r>
        <w:rPr>
          <w:rFonts w:hint="eastAsia" w:ascii="仿宋" w:hAnsi="仿宋" w:eastAsia="仿宋" w:cs="仿宋"/>
          <w:b/>
          <w:color w:val="auto"/>
          <w:sz w:val="24"/>
          <w:highlight w:val="none"/>
          <w:lang w:eastAsia="zh-CN"/>
        </w:rPr>
        <w:t>成交人</w:t>
      </w:r>
      <w:r>
        <w:rPr>
          <w:rFonts w:hint="eastAsia" w:ascii="仿宋" w:hAnsi="仿宋" w:eastAsia="仿宋" w:cs="仿宋"/>
          <w:b/>
          <w:color w:val="auto"/>
          <w:sz w:val="24"/>
          <w:highlight w:val="none"/>
        </w:rPr>
        <w:t>推荐资格；评审得分相同的，由采购人或者采购人委托评标委员会按照磋商文件规定的方式确定一个供应商获得</w:t>
      </w:r>
      <w:r>
        <w:rPr>
          <w:rFonts w:hint="eastAsia" w:ascii="仿宋" w:hAnsi="仿宋" w:eastAsia="仿宋" w:cs="仿宋"/>
          <w:b/>
          <w:color w:val="auto"/>
          <w:sz w:val="24"/>
          <w:highlight w:val="none"/>
          <w:lang w:eastAsia="zh-CN"/>
        </w:rPr>
        <w:t>成交人</w:t>
      </w:r>
      <w:r>
        <w:rPr>
          <w:rFonts w:hint="eastAsia" w:ascii="仿宋" w:hAnsi="仿宋" w:eastAsia="仿宋" w:cs="仿宋"/>
          <w:b/>
          <w:color w:val="auto"/>
          <w:sz w:val="24"/>
          <w:highlight w:val="none"/>
        </w:rPr>
        <w:t>推荐资格，磋商文件未规定的采取随机抽取方式确定，其他同品牌供应商不作为中标候选人。</w:t>
      </w:r>
    </w:p>
    <w:p w14:paraId="05C24ABA">
      <w:pPr>
        <w:spacing w:line="336" w:lineRule="auto"/>
        <w:ind w:firstLine="482" w:firstLineChars="200"/>
        <w:jc w:val="left"/>
        <w:rPr>
          <w:rFonts w:ascii="仿宋" w:hAnsi="仿宋" w:eastAsia="仿宋" w:cs="仿宋"/>
          <w:color w:val="auto"/>
          <w:sz w:val="24"/>
          <w:highlight w:val="none"/>
        </w:rPr>
      </w:pPr>
      <w:r>
        <w:rPr>
          <w:rFonts w:hint="eastAsia" w:ascii="仿宋" w:hAnsi="仿宋" w:eastAsia="仿宋" w:cs="仿宋"/>
          <w:b/>
          <w:color w:val="auto"/>
          <w:sz w:val="24"/>
          <w:highlight w:val="none"/>
        </w:rPr>
        <w:t>非单一产品采购项目，采购人应当根据采购项目技术构成、产品价格比重等合理确定核心产品，并在磋商文件中载明。多家供应商提供的核心产品品牌相同的，按前款规定处理。</w:t>
      </w:r>
    </w:p>
    <w:p w14:paraId="1989B24E">
      <w:pPr>
        <w:spacing w:line="336"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2.评审标准：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single"/>
          <w:lang w:val="en-US" w:eastAsia="zh-CN"/>
        </w:rPr>
        <w:t>90</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rPr>
        <w:t>分。评分依下述所列为评审打分依据，分值如下（计算分值时，按其算术平均值保留小数2位）。</w:t>
      </w:r>
    </w:p>
    <w:p w14:paraId="34A61DCF">
      <w:pPr>
        <w:spacing w:line="336" w:lineRule="auto"/>
        <w:ind w:firstLine="482" w:firstLineChars="200"/>
        <w:rPr>
          <w:rFonts w:ascii="仿宋" w:hAnsi="仿宋" w:eastAsia="仿宋" w:cs="仿宋"/>
          <w:color w:val="auto"/>
          <w:sz w:val="24"/>
          <w:highlight w:val="none"/>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u w:val="single"/>
          <w:lang w:val="en-US" w:eastAsia="zh-CN"/>
        </w:rPr>
        <w:t>90</w:t>
      </w:r>
      <w:r>
        <w:rPr>
          <w:rFonts w:hint="eastAsia" w:ascii="仿宋" w:hAnsi="仿宋" w:eastAsia="仿宋" w:cs="仿宋"/>
          <w:b/>
          <w:bCs/>
          <w:iCs/>
          <w:color w:val="auto"/>
          <w:sz w:val="24"/>
          <w:highlight w:val="none"/>
        </w:rPr>
        <w:t>分）</w:t>
      </w:r>
    </w:p>
    <w:tbl>
      <w:tblPr>
        <w:tblStyle w:val="17"/>
        <w:tblW w:w="92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
        <w:gridCol w:w="1391"/>
        <w:gridCol w:w="6356"/>
        <w:gridCol w:w="721"/>
      </w:tblGrid>
      <w:tr w14:paraId="369B0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804" w:type="dxa"/>
            <w:shd w:val="clear" w:color="auto" w:fill="FFFFFF"/>
            <w:vAlign w:val="center"/>
          </w:tcPr>
          <w:p w14:paraId="017F3AED">
            <w:pPr>
              <w:keepNext w:val="0"/>
              <w:keepLines w:val="0"/>
              <w:pageBreakBefore w:val="0"/>
              <w:widowControl w:val="0"/>
              <w:kinsoku/>
              <w:wordWrap/>
              <w:overflowPunct/>
              <w:topLinePunct w:val="0"/>
              <w:bidi w:val="0"/>
              <w:snapToGrid w:val="0"/>
              <w:spacing w:line="324" w:lineRule="auto"/>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序号</w:t>
            </w:r>
          </w:p>
        </w:tc>
        <w:tc>
          <w:tcPr>
            <w:tcW w:w="1391" w:type="dxa"/>
            <w:shd w:val="clear" w:color="auto" w:fill="FFFFFF"/>
            <w:vAlign w:val="center"/>
          </w:tcPr>
          <w:p w14:paraId="099C0DE5">
            <w:pPr>
              <w:keepNext w:val="0"/>
              <w:keepLines w:val="0"/>
              <w:pageBreakBefore w:val="0"/>
              <w:widowControl w:val="0"/>
              <w:kinsoku/>
              <w:wordWrap/>
              <w:overflowPunct/>
              <w:topLinePunct w:val="0"/>
              <w:bidi w:val="0"/>
              <w:snapToGrid w:val="0"/>
              <w:spacing w:line="324" w:lineRule="auto"/>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评审内容</w:t>
            </w:r>
          </w:p>
        </w:tc>
        <w:tc>
          <w:tcPr>
            <w:tcW w:w="6356" w:type="dxa"/>
            <w:shd w:val="clear" w:color="auto" w:fill="FFFFFF"/>
            <w:vAlign w:val="center"/>
          </w:tcPr>
          <w:p w14:paraId="79C7CB57">
            <w:pPr>
              <w:keepNext w:val="0"/>
              <w:keepLines w:val="0"/>
              <w:pageBreakBefore w:val="0"/>
              <w:widowControl w:val="0"/>
              <w:kinsoku/>
              <w:wordWrap/>
              <w:overflowPunct/>
              <w:topLinePunct w:val="0"/>
              <w:bidi w:val="0"/>
              <w:snapToGrid w:val="0"/>
              <w:spacing w:line="324" w:lineRule="auto"/>
              <w:ind w:firstLine="240" w:firstLineChars="100"/>
              <w:jc w:val="left"/>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评审要点</w:t>
            </w:r>
          </w:p>
        </w:tc>
        <w:tc>
          <w:tcPr>
            <w:tcW w:w="721" w:type="dxa"/>
            <w:shd w:val="clear" w:color="auto" w:fill="FFFFFF"/>
            <w:vAlign w:val="center"/>
          </w:tcPr>
          <w:p w14:paraId="60B75DC6">
            <w:pPr>
              <w:keepNext w:val="0"/>
              <w:keepLines w:val="0"/>
              <w:pageBreakBefore w:val="0"/>
              <w:widowControl w:val="0"/>
              <w:kinsoku/>
              <w:wordWrap/>
              <w:overflowPunct/>
              <w:topLinePunct w:val="0"/>
              <w:bidi w:val="0"/>
              <w:snapToGrid w:val="0"/>
              <w:spacing w:line="324" w:lineRule="auto"/>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最高分值</w:t>
            </w:r>
          </w:p>
        </w:tc>
      </w:tr>
      <w:tr w14:paraId="15F22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jc w:val="center"/>
        </w:trPr>
        <w:tc>
          <w:tcPr>
            <w:tcW w:w="804" w:type="dxa"/>
            <w:shd w:val="clear" w:color="auto" w:fill="FFFFFF"/>
            <w:vAlign w:val="center"/>
          </w:tcPr>
          <w:p w14:paraId="5B68C412">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w:t>
            </w:r>
          </w:p>
        </w:tc>
        <w:tc>
          <w:tcPr>
            <w:tcW w:w="1391" w:type="dxa"/>
            <w:shd w:val="clear" w:color="auto" w:fill="FFFFFF"/>
            <w:vAlign w:val="center"/>
          </w:tcPr>
          <w:p w14:paraId="632C94AF">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类似业绩</w:t>
            </w:r>
          </w:p>
        </w:tc>
        <w:tc>
          <w:tcPr>
            <w:tcW w:w="6356" w:type="dxa"/>
            <w:shd w:val="clear" w:color="auto" w:fill="FFFFFF"/>
            <w:vAlign w:val="center"/>
          </w:tcPr>
          <w:p w14:paraId="3AA2A6E8">
            <w:pPr>
              <w:keepNext w:val="0"/>
              <w:keepLines w:val="0"/>
              <w:pageBreakBefore w:val="0"/>
              <w:widowControl w:val="0"/>
              <w:kinsoku/>
              <w:wordWrap/>
              <w:overflowPunct/>
              <w:topLinePunct w:val="0"/>
              <w:bidi w:val="0"/>
              <w:snapToGrid w:val="0"/>
              <w:spacing w:line="324" w:lineRule="auto"/>
              <w:jc w:val="left"/>
              <w:textAlignment w:val="auto"/>
              <w:rPr>
                <w:rFonts w:hint="eastAsia" w:ascii="仿宋" w:hAnsi="仿宋" w:eastAsia="仿宋" w:cs="仿宋"/>
                <w:b w:val="0"/>
                <w:bCs/>
                <w:color w:val="auto"/>
                <w:spacing w:val="-9"/>
                <w:w w:val="105"/>
                <w:sz w:val="24"/>
                <w:szCs w:val="24"/>
                <w:highlight w:val="none"/>
              </w:rPr>
            </w:pPr>
            <w:r>
              <w:rPr>
                <w:rFonts w:hint="eastAsia" w:ascii="仿宋" w:hAnsi="仿宋" w:eastAsia="仿宋" w:cs="仿宋"/>
                <w:b w:val="0"/>
                <w:bCs/>
                <w:color w:val="auto"/>
                <w:sz w:val="24"/>
                <w:szCs w:val="24"/>
                <w:highlight w:val="none"/>
              </w:rPr>
              <w:t>供应商2</w:t>
            </w:r>
            <w:r>
              <w:rPr>
                <w:rFonts w:hint="eastAsia" w:ascii="仿宋" w:hAnsi="仿宋" w:eastAsia="仿宋" w:cs="仿宋"/>
                <w:b w:val="0"/>
                <w:bCs/>
                <w:color w:val="auto"/>
                <w:sz w:val="24"/>
                <w:szCs w:val="24"/>
                <w:highlight w:val="none"/>
                <w:lang w:val="en-US" w:eastAsia="zh-CN"/>
              </w:rPr>
              <w:t>022年1月1日起（以合同签订时间为准），</w:t>
            </w:r>
            <w:r>
              <w:rPr>
                <w:rFonts w:hint="eastAsia" w:ascii="仿宋" w:hAnsi="仿宋" w:eastAsia="仿宋" w:cs="仿宋"/>
                <w:b w:val="0"/>
                <w:bCs/>
                <w:color w:val="auto"/>
                <w:sz w:val="24"/>
                <w:szCs w:val="24"/>
                <w:highlight w:val="none"/>
              </w:rPr>
              <w:t>供应商承担过类似项目业绩，每提供一个业绩的</w:t>
            </w:r>
            <w:r>
              <w:rPr>
                <w:rFonts w:hint="eastAsia" w:ascii="仿宋" w:hAnsi="仿宋" w:eastAsia="仿宋" w:cs="仿宋"/>
                <w:b w:val="0"/>
                <w:bCs/>
                <w:color w:val="auto"/>
                <w:sz w:val="24"/>
                <w:szCs w:val="24"/>
                <w:highlight w:val="none"/>
                <w:lang w:val="en-US" w:eastAsia="zh-CN"/>
              </w:rPr>
              <w:t>0.5</w:t>
            </w:r>
            <w:r>
              <w:rPr>
                <w:rFonts w:hint="eastAsia" w:ascii="仿宋" w:hAnsi="仿宋" w:eastAsia="仿宋" w:cs="仿宋"/>
                <w:b w:val="0"/>
                <w:bCs/>
                <w:color w:val="auto"/>
                <w:sz w:val="24"/>
                <w:szCs w:val="24"/>
                <w:highlight w:val="none"/>
              </w:rPr>
              <w:t>分，最高可得</w:t>
            </w:r>
            <w:r>
              <w:rPr>
                <w:rFonts w:hint="eastAsia" w:ascii="仿宋" w:hAnsi="仿宋" w:eastAsia="仿宋" w:cs="仿宋"/>
                <w:b w:val="0"/>
                <w:bCs/>
                <w:color w:val="auto"/>
                <w:sz w:val="24"/>
                <w:szCs w:val="24"/>
                <w:highlight w:val="none"/>
                <w:lang w:val="en-US" w:eastAsia="zh-CN"/>
              </w:rPr>
              <w:t>1</w:t>
            </w:r>
            <w:r>
              <w:rPr>
                <w:rFonts w:hint="eastAsia" w:ascii="仿宋" w:hAnsi="仿宋" w:eastAsia="仿宋" w:cs="仿宋"/>
                <w:b w:val="0"/>
                <w:bCs/>
                <w:color w:val="auto"/>
                <w:sz w:val="24"/>
                <w:szCs w:val="24"/>
                <w:highlight w:val="none"/>
              </w:rPr>
              <w:t>分</w:t>
            </w:r>
            <w:r>
              <w:rPr>
                <w:rFonts w:hint="eastAsia" w:ascii="仿宋" w:hAnsi="仿宋" w:eastAsia="仿宋" w:cs="仿宋"/>
                <w:b w:val="0"/>
                <w:bCs/>
                <w:color w:val="auto"/>
                <w:sz w:val="24"/>
                <w:szCs w:val="24"/>
                <w:highlight w:val="none"/>
                <w:lang w:val="en-US" w:eastAsia="zh-CN"/>
              </w:rPr>
              <w:t>。</w:t>
            </w:r>
          </w:p>
          <w:p w14:paraId="4F12C48B">
            <w:pPr>
              <w:keepNext w:val="0"/>
              <w:keepLines w:val="0"/>
              <w:pageBreakBefore w:val="0"/>
              <w:widowControl w:val="0"/>
              <w:kinsoku/>
              <w:wordWrap/>
              <w:overflowPunct/>
              <w:topLinePunct w:val="0"/>
              <w:bidi w:val="0"/>
              <w:spacing w:line="324" w:lineRule="auto"/>
              <w:jc w:val="left"/>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每个</w:t>
            </w:r>
            <w:r>
              <w:rPr>
                <w:rFonts w:hint="eastAsia" w:ascii="仿宋" w:hAnsi="仿宋" w:eastAsia="仿宋" w:cs="仿宋"/>
                <w:b w:val="0"/>
                <w:bCs/>
                <w:color w:val="auto"/>
                <w:sz w:val="24"/>
                <w:szCs w:val="24"/>
                <w:highlight w:val="none"/>
                <w:lang w:val="en-US" w:eastAsia="zh-CN"/>
              </w:rPr>
              <w:t>业绩</w:t>
            </w:r>
            <w:r>
              <w:rPr>
                <w:rFonts w:hint="eastAsia" w:ascii="仿宋" w:hAnsi="仿宋" w:eastAsia="仿宋" w:cs="仿宋"/>
                <w:b w:val="0"/>
                <w:bCs/>
                <w:color w:val="auto"/>
                <w:sz w:val="24"/>
                <w:szCs w:val="24"/>
                <w:highlight w:val="none"/>
              </w:rPr>
              <w:t>案例提供合同和验收报告复印件，并加盖投标人公章，否则不得分。</w:t>
            </w:r>
          </w:p>
        </w:tc>
        <w:tc>
          <w:tcPr>
            <w:tcW w:w="721" w:type="dxa"/>
            <w:shd w:val="clear" w:color="auto" w:fill="FFFFFF"/>
            <w:vAlign w:val="center"/>
          </w:tcPr>
          <w:p w14:paraId="08A376BD">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1</w:t>
            </w:r>
          </w:p>
        </w:tc>
      </w:tr>
      <w:bookmarkEnd w:id="185"/>
      <w:tr w14:paraId="450A8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jc w:val="center"/>
        </w:trPr>
        <w:tc>
          <w:tcPr>
            <w:tcW w:w="804" w:type="dxa"/>
            <w:shd w:val="clear" w:color="auto" w:fill="FFFFFF"/>
            <w:vAlign w:val="center"/>
          </w:tcPr>
          <w:p w14:paraId="39CCEA8F">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w:t>
            </w:r>
          </w:p>
        </w:tc>
        <w:tc>
          <w:tcPr>
            <w:tcW w:w="1391" w:type="dxa"/>
            <w:shd w:val="clear" w:color="auto" w:fill="FFFFFF"/>
            <w:vAlign w:val="center"/>
          </w:tcPr>
          <w:p w14:paraId="30ED8D7E">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综合实力</w:t>
            </w:r>
          </w:p>
        </w:tc>
        <w:tc>
          <w:tcPr>
            <w:tcW w:w="6356" w:type="dxa"/>
            <w:shd w:val="clear" w:color="auto" w:fill="FFFFFF"/>
            <w:vAlign w:val="center"/>
          </w:tcPr>
          <w:p w14:paraId="17BE0282">
            <w:pPr>
              <w:keepNext w:val="0"/>
              <w:keepLines w:val="0"/>
              <w:pageBreakBefore w:val="0"/>
              <w:widowControl w:val="0"/>
              <w:numPr>
                <w:ilvl w:val="0"/>
                <w:numId w:val="0"/>
              </w:numPr>
              <w:kinsoku/>
              <w:wordWrap/>
              <w:overflowPunct/>
              <w:topLinePunct w:val="0"/>
              <w:bidi w:val="0"/>
              <w:spacing w:line="324" w:lineRule="auto"/>
              <w:jc w:val="left"/>
              <w:textAlignment w:val="auto"/>
              <w:rPr>
                <w:rFonts w:hint="eastAsia" w:ascii="仿宋" w:hAnsi="仿宋" w:eastAsia="仿宋" w:cs="仿宋"/>
                <w:b w:val="0"/>
                <w:bCs/>
                <w:color w:val="auto"/>
                <w:sz w:val="24"/>
                <w:szCs w:val="24"/>
                <w:highlight w:val="none"/>
                <w:lang w:val="zh-CN"/>
              </w:rPr>
            </w:pPr>
            <w:r>
              <w:rPr>
                <w:rFonts w:hint="eastAsia" w:ascii="仿宋" w:hAnsi="仿宋" w:eastAsia="仿宋" w:cs="仿宋"/>
                <w:b w:val="0"/>
                <w:bCs/>
                <w:color w:val="auto"/>
                <w:sz w:val="24"/>
                <w:szCs w:val="24"/>
                <w:highlight w:val="none"/>
                <w:lang w:val="zh-CN"/>
              </w:rPr>
              <w:t>供应商2</w:t>
            </w:r>
            <w:r>
              <w:rPr>
                <w:rFonts w:hint="eastAsia" w:ascii="仿宋" w:hAnsi="仿宋" w:eastAsia="仿宋" w:cs="仿宋"/>
                <w:b w:val="0"/>
                <w:bCs/>
                <w:color w:val="auto"/>
                <w:sz w:val="24"/>
                <w:szCs w:val="24"/>
                <w:highlight w:val="none"/>
                <w:lang w:val="en-US" w:eastAsia="zh-CN"/>
              </w:rPr>
              <w:t>021年1月1日起</w:t>
            </w:r>
            <w:r>
              <w:rPr>
                <w:rFonts w:hint="eastAsia" w:ascii="仿宋" w:hAnsi="仿宋" w:eastAsia="仿宋" w:cs="仿宋"/>
                <w:b w:val="0"/>
                <w:bCs/>
                <w:color w:val="auto"/>
                <w:sz w:val="24"/>
                <w:szCs w:val="24"/>
                <w:highlight w:val="none"/>
                <w:lang w:val="zh-CN"/>
              </w:rPr>
              <w:t>课题研究获得国家级奖项的得2分，省级奖项</w:t>
            </w:r>
            <w:r>
              <w:rPr>
                <w:rFonts w:hint="eastAsia" w:ascii="仿宋" w:hAnsi="仿宋" w:eastAsia="仿宋" w:cs="仿宋"/>
                <w:b w:val="0"/>
                <w:bCs/>
                <w:color w:val="auto"/>
                <w:sz w:val="24"/>
                <w:szCs w:val="24"/>
                <w:highlight w:val="none"/>
                <w:lang w:val="en-US" w:eastAsia="zh-CN"/>
              </w:rPr>
              <w:t>的</w:t>
            </w:r>
            <w:r>
              <w:rPr>
                <w:rFonts w:hint="eastAsia" w:ascii="仿宋" w:hAnsi="仿宋" w:eastAsia="仿宋" w:cs="仿宋"/>
                <w:b w:val="0"/>
                <w:bCs/>
                <w:color w:val="auto"/>
                <w:sz w:val="24"/>
                <w:szCs w:val="24"/>
                <w:highlight w:val="none"/>
                <w:lang w:val="zh-CN"/>
              </w:rPr>
              <w:t>得1分，本项按最高奖项计分，最高</w:t>
            </w:r>
            <w:r>
              <w:rPr>
                <w:rFonts w:hint="eastAsia" w:ascii="仿宋" w:hAnsi="仿宋" w:eastAsia="仿宋" w:cs="仿宋"/>
                <w:b w:val="0"/>
                <w:bCs/>
                <w:color w:val="auto"/>
                <w:sz w:val="24"/>
                <w:szCs w:val="24"/>
                <w:highlight w:val="none"/>
                <w:lang w:val="en-US" w:eastAsia="zh-CN"/>
              </w:rPr>
              <w:t>可得</w:t>
            </w:r>
            <w:r>
              <w:rPr>
                <w:rFonts w:hint="eastAsia" w:ascii="仿宋" w:hAnsi="仿宋" w:eastAsia="仿宋" w:cs="仿宋"/>
                <w:b w:val="0"/>
                <w:bCs/>
                <w:color w:val="auto"/>
                <w:sz w:val="24"/>
                <w:szCs w:val="24"/>
                <w:highlight w:val="none"/>
                <w:lang w:val="zh-CN"/>
              </w:rPr>
              <w:t>3分。</w:t>
            </w:r>
          </w:p>
          <w:p w14:paraId="4EE4C280">
            <w:pPr>
              <w:pStyle w:val="15"/>
              <w:keepNext w:val="0"/>
              <w:keepLines w:val="0"/>
              <w:pageBreakBefore w:val="0"/>
              <w:widowControl w:val="0"/>
              <w:tabs>
                <w:tab w:val="right" w:leader="dot" w:pos="9060"/>
              </w:tabs>
              <w:kinsoku/>
              <w:wordWrap/>
              <w:overflowPunct/>
              <w:topLinePunct w:val="0"/>
              <w:bidi w:val="0"/>
              <w:spacing w:line="324" w:lineRule="auto"/>
              <w:jc w:val="left"/>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bidi="ar"/>
              </w:rPr>
              <w:t>响应文件内须提供</w:t>
            </w:r>
            <w:r>
              <w:rPr>
                <w:rFonts w:hint="eastAsia" w:ascii="仿宋" w:hAnsi="仿宋" w:eastAsia="仿宋" w:cs="仿宋"/>
                <w:b w:val="0"/>
                <w:bCs/>
                <w:color w:val="auto"/>
                <w:sz w:val="24"/>
                <w:szCs w:val="24"/>
                <w:highlight w:val="none"/>
                <w:lang w:val="en-US" w:eastAsia="zh-CN" w:bidi="ar"/>
              </w:rPr>
              <w:t>相关</w:t>
            </w:r>
            <w:r>
              <w:rPr>
                <w:rFonts w:hint="eastAsia" w:ascii="仿宋" w:hAnsi="仿宋" w:eastAsia="仿宋" w:cs="仿宋"/>
                <w:b w:val="0"/>
                <w:bCs/>
                <w:color w:val="auto"/>
                <w:sz w:val="24"/>
                <w:szCs w:val="24"/>
                <w:highlight w:val="none"/>
                <w:lang w:bidi="ar"/>
              </w:rPr>
              <w:t>证书原件扫描件</w:t>
            </w:r>
            <w:r>
              <w:rPr>
                <w:rFonts w:hint="eastAsia" w:ascii="仿宋" w:hAnsi="仿宋" w:eastAsia="仿宋" w:cs="仿宋"/>
                <w:b w:val="0"/>
                <w:bCs/>
                <w:color w:val="auto"/>
                <w:kern w:val="2"/>
                <w:sz w:val="24"/>
                <w:szCs w:val="24"/>
                <w:highlight w:val="none"/>
                <w:lang w:val="en-US" w:eastAsia="zh-CN" w:bidi="ar-SA"/>
              </w:rPr>
              <w:t>，</w:t>
            </w:r>
            <w:r>
              <w:rPr>
                <w:rFonts w:hint="eastAsia" w:ascii="仿宋" w:hAnsi="仿宋" w:eastAsia="仿宋" w:cs="仿宋"/>
                <w:b w:val="0"/>
                <w:bCs/>
                <w:color w:val="auto"/>
                <w:sz w:val="24"/>
                <w:szCs w:val="24"/>
                <w:highlight w:val="none"/>
              </w:rPr>
              <w:t>否则不得分。</w:t>
            </w:r>
          </w:p>
        </w:tc>
        <w:tc>
          <w:tcPr>
            <w:tcW w:w="721" w:type="dxa"/>
            <w:shd w:val="clear" w:color="auto" w:fill="FFFFFF"/>
            <w:vAlign w:val="center"/>
          </w:tcPr>
          <w:p w14:paraId="7C5E0526">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w:t>
            </w:r>
          </w:p>
        </w:tc>
      </w:tr>
      <w:tr w14:paraId="3A37E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804" w:type="dxa"/>
            <w:vMerge w:val="restart"/>
            <w:shd w:val="clear" w:color="auto" w:fill="FFFFFF"/>
            <w:vAlign w:val="center"/>
          </w:tcPr>
          <w:p w14:paraId="7F9ED3AF">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w:t>
            </w:r>
          </w:p>
        </w:tc>
        <w:tc>
          <w:tcPr>
            <w:tcW w:w="1391" w:type="dxa"/>
            <w:vMerge w:val="restart"/>
            <w:shd w:val="clear" w:color="auto" w:fill="FFFFFF"/>
            <w:vAlign w:val="center"/>
          </w:tcPr>
          <w:p w14:paraId="62F884B8">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人员配备</w:t>
            </w:r>
          </w:p>
        </w:tc>
        <w:tc>
          <w:tcPr>
            <w:tcW w:w="6356" w:type="dxa"/>
            <w:shd w:val="clear" w:color="auto" w:fill="FFFFFF"/>
            <w:vAlign w:val="center"/>
          </w:tcPr>
          <w:p w14:paraId="06EA9101">
            <w:pPr>
              <w:keepNext w:val="0"/>
              <w:keepLines w:val="0"/>
              <w:pageBreakBefore w:val="0"/>
              <w:widowControl w:val="0"/>
              <w:kinsoku/>
              <w:wordWrap/>
              <w:overflowPunct/>
              <w:topLinePunct w:val="0"/>
              <w:bidi w:val="0"/>
              <w:spacing w:line="324" w:lineRule="auto"/>
              <w:jc w:val="left"/>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①</w:t>
            </w:r>
            <w:r>
              <w:rPr>
                <w:rFonts w:hint="eastAsia" w:ascii="仿宋" w:hAnsi="仿宋" w:eastAsia="仿宋" w:cs="仿宋"/>
                <w:b w:val="0"/>
                <w:bCs/>
                <w:color w:val="auto"/>
                <w:sz w:val="24"/>
                <w:szCs w:val="24"/>
                <w:highlight w:val="none"/>
                <w:lang w:val="zh-CN"/>
              </w:rPr>
              <w:t>本项目拟派的项目负责人具</w:t>
            </w:r>
            <w:r>
              <w:rPr>
                <w:rFonts w:hint="eastAsia" w:ascii="仿宋" w:hAnsi="仿宋" w:eastAsia="仿宋" w:cs="仿宋"/>
                <w:b w:val="0"/>
                <w:bCs/>
                <w:color w:val="auto"/>
                <w:sz w:val="24"/>
                <w:szCs w:val="24"/>
                <w:highlight w:val="none"/>
                <w:lang w:val="en-US" w:eastAsia="zh-CN"/>
              </w:rPr>
              <w:t>有</w:t>
            </w:r>
            <w:r>
              <w:rPr>
                <w:rFonts w:hint="eastAsia" w:ascii="仿宋" w:hAnsi="仿宋" w:eastAsia="仿宋" w:cs="仿宋"/>
                <w:b w:val="0"/>
                <w:bCs/>
                <w:color w:val="auto"/>
                <w:sz w:val="24"/>
                <w:szCs w:val="24"/>
                <w:highlight w:val="none"/>
                <w:lang w:val="zh-CN"/>
              </w:rPr>
              <w:t>高级</w:t>
            </w:r>
            <w:r>
              <w:rPr>
                <w:rFonts w:hint="eastAsia" w:ascii="仿宋" w:hAnsi="仿宋" w:eastAsia="仿宋" w:cs="仿宋"/>
                <w:b w:val="0"/>
                <w:bCs/>
                <w:color w:val="auto"/>
                <w:sz w:val="24"/>
                <w:szCs w:val="24"/>
                <w:highlight w:val="none"/>
                <w:lang w:val="en-US" w:eastAsia="zh-CN"/>
              </w:rPr>
              <w:t>及以上</w:t>
            </w:r>
            <w:r>
              <w:rPr>
                <w:rFonts w:hint="eastAsia" w:ascii="仿宋" w:hAnsi="仿宋" w:eastAsia="仿宋" w:cs="仿宋"/>
                <w:b w:val="0"/>
                <w:bCs/>
                <w:color w:val="auto"/>
                <w:sz w:val="24"/>
                <w:szCs w:val="24"/>
                <w:highlight w:val="none"/>
                <w:lang w:val="zh-CN"/>
              </w:rPr>
              <w:t>职称的，得</w:t>
            </w:r>
            <w:r>
              <w:rPr>
                <w:rFonts w:hint="eastAsia" w:ascii="仿宋" w:hAnsi="仿宋" w:eastAsia="仿宋" w:cs="仿宋"/>
                <w:b w:val="0"/>
                <w:bCs/>
                <w:color w:val="auto"/>
                <w:sz w:val="24"/>
                <w:szCs w:val="24"/>
                <w:highlight w:val="none"/>
                <w:lang w:val="en-US" w:eastAsia="zh-CN"/>
              </w:rPr>
              <w:t>2</w:t>
            </w:r>
            <w:r>
              <w:rPr>
                <w:rFonts w:hint="eastAsia" w:ascii="仿宋" w:hAnsi="仿宋" w:eastAsia="仿宋" w:cs="仿宋"/>
                <w:b w:val="0"/>
                <w:bCs/>
                <w:color w:val="auto"/>
                <w:sz w:val="24"/>
                <w:szCs w:val="24"/>
                <w:highlight w:val="none"/>
                <w:lang w:val="zh-CN"/>
              </w:rPr>
              <w:t>分，具有国家注册咨询师或注册城乡规划师的，得2分，</w:t>
            </w:r>
            <w:r>
              <w:rPr>
                <w:rFonts w:hint="eastAsia" w:ascii="仿宋" w:hAnsi="仿宋" w:eastAsia="仿宋" w:cs="仿宋"/>
                <w:b w:val="0"/>
                <w:bCs/>
                <w:color w:val="auto"/>
                <w:sz w:val="24"/>
                <w:szCs w:val="24"/>
                <w:highlight w:val="none"/>
                <w:lang w:val="zh-CN" w:eastAsia="zh-CN"/>
              </w:rPr>
              <w:t>本项</w:t>
            </w:r>
            <w:r>
              <w:rPr>
                <w:rFonts w:hint="eastAsia" w:ascii="仿宋" w:hAnsi="仿宋" w:eastAsia="仿宋" w:cs="仿宋"/>
                <w:b w:val="0"/>
                <w:bCs/>
                <w:color w:val="auto"/>
                <w:sz w:val="24"/>
                <w:szCs w:val="24"/>
                <w:highlight w:val="none"/>
                <w:lang w:val="zh-CN"/>
              </w:rPr>
              <w:t>最高</w:t>
            </w:r>
            <w:r>
              <w:rPr>
                <w:rFonts w:hint="eastAsia" w:ascii="仿宋" w:hAnsi="仿宋" w:eastAsia="仿宋" w:cs="仿宋"/>
                <w:b w:val="0"/>
                <w:bCs/>
                <w:color w:val="auto"/>
                <w:sz w:val="24"/>
                <w:szCs w:val="24"/>
                <w:highlight w:val="none"/>
                <w:lang w:val="en-US" w:eastAsia="zh-CN"/>
              </w:rPr>
              <w:t>可</w:t>
            </w:r>
            <w:r>
              <w:rPr>
                <w:rFonts w:hint="eastAsia" w:ascii="仿宋" w:hAnsi="仿宋" w:eastAsia="仿宋" w:cs="仿宋"/>
                <w:b w:val="0"/>
                <w:bCs/>
                <w:color w:val="auto"/>
                <w:sz w:val="24"/>
                <w:szCs w:val="24"/>
                <w:highlight w:val="none"/>
                <w:lang w:val="zh-CN"/>
              </w:rPr>
              <w:t>得4分</w:t>
            </w:r>
            <w:r>
              <w:rPr>
                <w:rFonts w:hint="eastAsia" w:ascii="仿宋" w:hAnsi="仿宋" w:eastAsia="仿宋" w:cs="仿宋"/>
                <w:b w:val="0"/>
                <w:bCs/>
                <w:color w:val="auto"/>
                <w:sz w:val="24"/>
                <w:szCs w:val="24"/>
                <w:highlight w:val="none"/>
                <w:lang w:val="zh-CN" w:eastAsia="zh-CN"/>
              </w:rPr>
              <w:t>。</w:t>
            </w:r>
          </w:p>
        </w:tc>
        <w:tc>
          <w:tcPr>
            <w:tcW w:w="721" w:type="dxa"/>
            <w:shd w:val="clear" w:color="auto" w:fill="FFFFFF"/>
            <w:vAlign w:val="center"/>
          </w:tcPr>
          <w:p w14:paraId="19FA6FDF">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r>
      <w:tr w14:paraId="5926B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804" w:type="dxa"/>
            <w:vMerge w:val="continue"/>
            <w:tcBorders/>
            <w:shd w:val="clear" w:color="auto" w:fill="FFFFFF"/>
            <w:vAlign w:val="center"/>
          </w:tcPr>
          <w:p w14:paraId="5DE5801C">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val="en-US" w:eastAsia="zh-CN"/>
              </w:rPr>
            </w:pPr>
          </w:p>
        </w:tc>
        <w:tc>
          <w:tcPr>
            <w:tcW w:w="1391" w:type="dxa"/>
            <w:vMerge w:val="continue"/>
            <w:tcBorders/>
            <w:shd w:val="clear" w:color="auto" w:fill="FFFFFF"/>
            <w:vAlign w:val="center"/>
          </w:tcPr>
          <w:p w14:paraId="56676877">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rPr>
            </w:pPr>
          </w:p>
        </w:tc>
        <w:tc>
          <w:tcPr>
            <w:tcW w:w="6356" w:type="dxa"/>
            <w:shd w:val="clear" w:color="auto" w:fill="FFFFFF"/>
            <w:vAlign w:val="center"/>
          </w:tcPr>
          <w:p w14:paraId="382F9144">
            <w:pPr>
              <w:keepNext w:val="0"/>
              <w:keepLines w:val="0"/>
              <w:pageBreakBefore w:val="0"/>
              <w:widowControl w:val="0"/>
              <w:kinsoku/>
              <w:wordWrap/>
              <w:overflowPunct/>
              <w:topLinePunct w:val="0"/>
              <w:bidi w:val="0"/>
              <w:spacing w:line="324" w:lineRule="auto"/>
              <w:jc w:val="left"/>
              <w:textAlignment w:val="auto"/>
              <w:rPr>
                <w:rFonts w:hint="eastAsia" w:ascii="仿宋" w:hAnsi="仿宋" w:eastAsia="仿宋" w:cs="仿宋"/>
                <w:b w:val="0"/>
                <w:bCs/>
                <w:color w:val="auto"/>
                <w:sz w:val="24"/>
                <w:szCs w:val="24"/>
                <w:highlight w:val="none"/>
                <w:lang w:val="zh-CN"/>
              </w:rPr>
            </w:pPr>
            <w:r>
              <w:rPr>
                <w:rFonts w:hint="eastAsia" w:ascii="仿宋" w:hAnsi="仿宋" w:eastAsia="仿宋" w:cs="仿宋"/>
                <w:b w:val="0"/>
                <w:bCs/>
                <w:color w:val="auto"/>
                <w:sz w:val="24"/>
                <w:szCs w:val="24"/>
                <w:highlight w:val="none"/>
                <w:lang w:val="en-US" w:eastAsia="zh-CN"/>
              </w:rPr>
              <w:t>②</w:t>
            </w:r>
            <w:r>
              <w:rPr>
                <w:rFonts w:hint="eastAsia" w:ascii="仿宋" w:hAnsi="仿宋" w:eastAsia="仿宋" w:cs="仿宋"/>
                <w:b w:val="0"/>
                <w:bCs/>
                <w:color w:val="auto"/>
                <w:sz w:val="24"/>
                <w:szCs w:val="24"/>
                <w:highlight w:val="none"/>
                <w:lang w:val="zh-CN"/>
              </w:rPr>
              <w:t>项目组成员（除项目负责人外）：具</w:t>
            </w:r>
            <w:r>
              <w:rPr>
                <w:rFonts w:hint="eastAsia" w:ascii="仿宋" w:hAnsi="仿宋" w:eastAsia="仿宋" w:cs="仿宋"/>
                <w:b w:val="0"/>
                <w:bCs/>
                <w:color w:val="auto"/>
                <w:sz w:val="24"/>
                <w:szCs w:val="24"/>
                <w:highlight w:val="none"/>
                <w:lang w:val="en-US" w:eastAsia="zh-CN"/>
              </w:rPr>
              <w:t>有</w:t>
            </w:r>
            <w:r>
              <w:rPr>
                <w:rFonts w:hint="eastAsia" w:ascii="仿宋" w:hAnsi="仿宋" w:eastAsia="仿宋" w:cs="仿宋"/>
                <w:b w:val="0"/>
                <w:bCs/>
                <w:color w:val="auto"/>
                <w:sz w:val="24"/>
                <w:szCs w:val="24"/>
                <w:highlight w:val="none"/>
                <w:lang w:val="zh-CN"/>
              </w:rPr>
              <w:t>高级及以上职称的得2分，具</w:t>
            </w:r>
            <w:r>
              <w:rPr>
                <w:rFonts w:hint="eastAsia" w:ascii="仿宋" w:hAnsi="仿宋" w:eastAsia="仿宋" w:cs="仿宋"/>
                <w:b w:val="0"/>
                <w:bCs/>
                <w:color w:val="auto"/>
                <w:sz w:val="24"/>
                <w:szCs w:val="24"/>
                <w:highlight w:val="none"/>
                <w:lang w:val="en-US" w:eastAsia="zh-CN"/>
              </w:rPr>
              <w:t>有</w:t>
            </w:r>
            <w:r>
              <w:rPr>
                <w:rFonts w:hint="eastAsia" w:ascii="仿宋" w:hAnsi="仿宋" w:eastAsia="仿宋" w:cs="仿宋"/>
                <w:b w:val="0"/>
                <w:bCs/>
                <w:color w:val="auto"/>
                <w:sz w:val="24"/>
                <w:szCs w:val="24"/>
                <w:highlight w:val="none"/>
                <w:lang w:val="zh-CN"/>
              </w:rPr>
              <w:t>中级职称的</w:t>
            </w:r>
            <w:r>
              <w:rPr>
                <w:rFonts w:hint="eastAsia" w:ascii="仿宋" w:hAnsi="仿宋" w:eastAsia="仿宋" w:cs="仿宋"/>
                <w:b w:val="0"/>
                <w:bCs/>
                <w:color w:val="auto"/>
                <w:sz w:val="24"/>
                <w:szCs w:val="24"/>
                <w:highlight w:val="none"/>
                <w:lang w:val="en-US" w:eastAsia="zh-CN"/>
              </w:rPr>
              <w:t>得1分</w:t>
            </w:r>
            <w:r>
              <w:rPr>
                <w:rFonts w:hint="eastAsia" w:ascii="仿宋" w:hAnsi="仿宋" w:eastAsia="仿宋" w:cs="仿宋"/>
                <w:b w:val="0"/>
                <w:bCs/>
                <w:color w:val="auto"/>
                <w:sz w:val="24"/>
                <w:szCs w:val="24"/>
                <w:highlight w:val="none"/>
                <w:lang w:val="zh-CN"/>
              </w:rPr>
              <w:t>，</w:t>
            </w:r>
            <w:r>
              <w:rPr>
                <w:rFonts w:hint="eastAsia" w:ascii="仿宋" w:hAnsi="仿宋" w:eastAsia="仿宋" w:cs="仿宋"/>
                <w:b w:val="0"/>
                <w:bCs/>
                <w:color w:val="auto"/>
                <w:sz w:val="24"/>
                <w:szCs w:val="24"/>
                <w:highlight w:val="none"/>
                <w:lang w:val="en-US" w:eastAsia="zh-CN"/>
              </w:rPr>
              <w:t>同一个人按最高职称计一次分，</w:t>
            </w:r>
            <w:r>
              <w:rPr>
                <w:rFonts w:hint="eastAsia" w:ascii="仿宋" w:hAnsi="仿宋" w:eastAsia="仿宋" w:cs="仿宋"/>
                <w:b w:val="0"/>
                <w:bCs/>
                <w:color w:val="auto"/>
                <w:sz w:val="24"/>
                <w:szCs w:val="24"/>
                <w:highlight w:val="none"/>
                <w:lang w:val="zh-CN" w:eastAsia="zh-CN"/>
              </w:rPr>
              <w:t>本项累计最高可得</w:t>
            </w:r>
            <w:r>
              <w:rPr>
                <w:rFonts w:hint="eastAsia" w:ascii="仿宋" w:hAnsi="仿宋" w:eastAsia="仿宋" w:cs="仿宋"/>
                <w:b w:val="0"/>
                <w:bCs/>
                <w:color w:val="auto"/>
                <w:sz w:val="24"/>
                <w:szCs w:val="24"/>
                <w:highlight w:val="none"/>
                <w:lang w:val="en-US" w:eastAsia="zh-CN"/>
              </w:rPr>
              <w:t>8</w:t>
            </w:r>
            <w:r>
              <w:rPr>
                <w:rFonts w:hint="eastAsia" w:ascii="仿宋" w:hAnsi="仿宋" w:eastAsia="仿宋" w:cs="仿宋"/>
                <w:b w:val="0"/>
                <w:bCs/>
                <w:color w:val="auto"/>
                <w:sz w:val="24"/>
                <w:szCs w:val="24"/>
                <w:highlight w:val="none"/>
                <w:lang w:val="zh-CN" w:eastAsia="zh-CN"/>
              </w:rPr>
              <w:t>分。</w:t>
            </w:r>
          </w:p>
          <w:p w14:paraId="0C8708C4">
            <w:pPr>
              <w:keepNext w:val="0"/>
              <w:keepLines w:val="0"/>
              <w:pageBreakBefore w:val="0"/>
              <w:widowControl w:val="0"/>
              <w:tabs>
                <w:tab w:val="left" w:pos="993"/>
                <w:tab w:val="left" w:pos="1300"/>
                <w:tab w:val="left" w:pos="2000"/>
                <w:tab w:val="left" w:pos="2040"/>
              </w:tabs>
              <w:kinsoku/>
              <w:wordWrap/>
              <w:overflowPunct/>
              <w:topLinePunct w:val="0"/>
              <w:bidi w:val="0"/>
              <w:snapToGrid w:val="0"/>
              <w:spacing w:line="324" w:lineRule="auto"/>
              <w:jc w:val="left"/>
              <w:textAlignment w:val="auto"/>
              <w:rPr>
                <w:rFonts w:hint="eastAsia" w:ascii="仿宋" w:hAnsi="仿宋" w:eastAsia="仿宋" w:cs="仿宋"/>
                <w:b w:val="0"/>
                <w:bCs/>
                <w:color w:val="auto"/>
                <w:sz w:val="24"/>
                <w:szCs w:val="24"/>
                <w:highlight w:val="none"/>
                <w:lang w:bidi="ar"/>
              </w:rPr>
            </w:pPr>
            <w:r>
              <w:rPr>
                <w:rFonts w:hint="eastAsia" w:ascii="仿宋" w:hAnsi="仿宋" w:eastAsia="仿宋" w:cs="仿宋"/>
                <w:b w:val="0"/>
                <w:bCs/>
                <w:color w:val="auto"/>
                <w:sz w:val="24"/>
                <w:szCs w:val="24"/>
                <w:highlight w:val="none"/>
                <w:lang w:bidi="ar"/>
              </w:rPr>
              <w:t>响应文件内须提供相应</w:t>
            </w:r>
            <w:r>
              <w:rPr>
                <w:rFonts w:hint="eastAsia" w:ascii="仿宋" w:hAnsi="仿宋" w:eastAsia="仿宋" w:cs="仿宋"/>
                <w:b w:val="0"/>
                <w:bCs/>
                <w:color w:val="auto"/>
                <w:sz w:val="24"/>
                <w:szCs w:val="24"/>
                <w:highlight w:val="none"/>
                <w:lang w:val="en-US" w:eastAsia="zh-CN" w:bidi="ar"/>
              </w:rPr>
              <w:t>的人员</w:t>
            </w:r>
            <w:r>
              <w:rPr>
                <w:rFonts w:hint="eastAsia" w:ascii="仿宋" w:hAnsi="仿宋" w:eastAsia="仿宋" w:cs="仿宋"/>
                <w:b w:val="0"/>
                <w:bCs/>
                <w:color w:val="auto"/>
                <w:sz w:val="24"/>
                <w:szCs w:val="24"/>
                <w:highlight w:val="none"/>
                <w:lang w:bidi="ar"/>
              </w:rPr>
              <w:t>证书</w:t>
            </w:r>
            <w:r>
              <w:rPr>
                <w:rFonts w:hint="eastAsia" w:ascii="仿宋" w:hAnsi="仿宋" w:eastAsia="仿宋" w:cs="仿宋"/>
                <w:b w:val="0"/>
                <w:bCs/>
                <w:color w:val="auto"/>
                <w:sz w:val="24"/>
                <w:szCs w:val="24"/>
                <w:highlight w:val="none"/>
                <w:lang w:val="en-US" w:eastAsia="zh-CN" w:bidi="ar"/>
              </w:rPr>
              <w:t>原件扫描件</w:t>
            </w:r>
            <w:r>
              <w:rPr>
                <w:rFonts w:hint="eastAsia" w:ascii="仿宋" w:hAnsi="仿宋" w:eastAsia="仿宋" w:cs="仿宋"/>
                <w:b w:val="0"/>
                <w:bCs/>
                <w:color w:val="auto"/>
                <w:sz w:val="24"/>
                <w:szCs w:val="24"/>
                <w:highlight w:val="none"/>
                <w:lang w:bidi="ar"/>
              </w:rPr>
              <w:t>，</w:t>
            </w:r>
            <w:r>
              <w:rPr>
                <w:rFonts w:hint="eastAsia" w:ascii="仿宋" w:hAnsi="仿宋" w:eastAsia="仿宋" w:cs="仿宋"/>
                <w:b w:val="0"/>
                <w:bCs/>
                <w:color w:val="auto"/>
                <w:kern w:val="2"/>
                <w:sz w:val="24"/>
                <w:szCs w:val="24"/>
                <w:highlight w:val="none"/>
                <w:lang w:val="en-US" w:eastAsia="zh-CN" w:bidi="ar-SA"/>
              </w:rPr>
              <w:t>以及其在供应商单位缴纳的近期社保证明</w:t>
            </w:r>
            <w:r>
              <w:rPr>
                <w:rFonts w:hint="eastAsia" w:ascii="仿宋" w:hAnsi="仿宋" w:eastAsia="仿宋" w:cs="仿宋"/>
                <w:b w:val="0"/>
                <w:bCs/>
                <w:color w:val="auto"/>
                <w:sz w:val="24"/>
                <w:szCs w:val="24"/>
                <w:highlight w:val="none"/>
                <w:lang w:bidi="ar"/>
              </w:rPr>
              <w:t>否则不得分</w:t>
            </w:r>
            <w:r>
              <w:rPr>
                <w:rFonts w:hint="eastAsia" w:ascii="仿宋" w:hAnsi="仿宋" w:eastAsia="仿宋" w:cs="仿宋"/>
                <w:b w:val="0"/>
                <w:bCs/>
                <w:color w:val="auto"/>
                <w:sz w:val="24"/>
                <w:szCs w:val="24"/>
                <w:highlight w:val="none"/>
              </w:rPr>
              <w:t>。</w:t>
            </w:r>
          </w:p>
        </w:tc>
        <w:tc>
          <w:tcPr>
            <w:tcW w:w="721" w:type="dxa"/>
            <w:shd w:val="clear" w:color="auto" w:fill="FFFFFF"/>
            <w:vAlign w:val="center"/>
          </w:tcPr>
          <w:p w14:paraId="61382937">
            <w:pPr>
              <w:keepNext w:val="0"/>
              <w:keepLines w:val="0"/>
              <w:pageBreakBefore w:val="0"/>
              <w:widowControl w:val="0"/>
              <w:kinsoku/>
              <w:wordWrap/>
              <w:overflowPunct/>
              <w:topLinePunct w:val="0"/>
              <w:bidi w:val="0"/>
              <w:spacing w:line="324" w:lineRule="auto"/>
              <w:jc w:val="center"/>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8</w:t>
            </w:r>
          </w:p>
        </w:tc>
      </w:tr>
      <w:tr w14:paraId="18033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804" w:type="dxa"/>
            <w:shd w:val="clear" w:color="auto" w:fill="FFFFFF"/>
            <w:vAlign w:val="center"/>
          </w:tcPr>
          <w:p w14:paraId="30DF1D32">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1391" w:type="dxa"/>
            <w:shd w:val="clear" w:color="auto" w:fill="FFFFFF"/>
            <w:vAlign w:val="center"/>
          </w:tcPr>
          <w:p w14:paraId="0B01204F">
            <w:pPr>
              <w:keepNext w:val="0"/>
              <w:keepLines w:val="0"/>
              <w:pageBreakBefore w:val="0"/>
              <w:widowControl w:val="0"/>
              <w:tabs>
                <w:tab w:val="left" w:pos="5129"/>
              </w:tabs>
              <w:kinsoku/>
              <w:wordWrap/>
              <w:overflowPunct/>
              <w:topLinePunct w:val="0"/>
              <w:bidi w:val="0"/>
              <w:snapToGrid w:val="0"/>
              <w:spacing w:line="324" w:lineRule="auto"/>
              <w:jc w:val="center"/>
              <w:textAlignment w:val="auto"/>
              <w:rPr>
                <w:rFonts w:hint="eastAsia" w:ascii="仿宋" w:hAnsi="仿宋" w:eastAsia="仿宋" w:cs="仿宋"/>
                <w:b w:val="0"/>
                <w:bCs/>
                <w:color w:val="auto"/>
                <w:spacing w:val="-2"/>
                <w:sz w:val="24"/>
                <w:szCs w:val="24"/>
                <w:highlight w:val="none"/>
                <w:lang w:val="en-US" w:eastAsia="zh-CN"/>
              </w:rPr>
            </w:pPr>
            <w:r>
              <w:rPr>
                <w:rFonts w:hint="eastAsia" w:ascii="仿宋" w:hAnsi="仿宋" w:eastAsia="仿宋" w:cs="仿宋"/>
                <w:b w:val="0"/>
                <w:bCs/>
                <w:color w:val="auto"/>
                <w:spacing w:val="-2"/>
                <w:sz w:val="24"/>
                <w:szCs w:val="24"/>
                <w:highlight w:val="none"/>
                <w:lang w:val="en-US" w:eastAsia="zh-CN"/>
              </w:rPr>
              <w:t>项目负责人能力</w:t>
            </w:r>
          </w:p>
        </w:tc>
        <w:tc>
          <w:tcPr>
            <w:tcW w:w="6356" w:type="dxa"/>
            <w:shd w:val="clear" w:color="auto" w:fill="FFFFFF"/>
            <w:vAlign w:val="center"/>
          </w:tcPr>
          <w:p w14:paraId="7E6E88DE">
            <w:pPr>
              <w:keepNext w:val="0"/>
              <w:keepLines w:val="0"/>
              <w:pageBreakBefore w:val="0"/>
              <w:widowControl w:val="0"/>
              <w:tabs>
                <w:tab w:val="left" w:pos="993"/>
                <w:tab w:val="left" w:pos="1300"/>
                <w:tab w:val="left" w:pos="2000"/>
                <w:tab w:val="left" w:pos="2040"/>
              </w:tabs>
              <w:kinsoku/>
              <w:wordWrap/>
              <w:overflowPunct/>
              <w:topLinePunct w:val="0"/>
              <w:bidi w:val="0"/>
              <w:snapToGrid w:val="0"/>
              <w:spacing w:line="324" w:lineRule="auto"/>
              <w:jc w:val="left"/>
              <w:textAlignment w:val="auto"/>
              <w:rPr>
                <w:rFonts w:hint="eastAsia" w:ascii="仿宋" w:hAnsi="仿宋" w:eastAsia="仿宋" w:cs="仿宋"/>
                <w:b w:val="0"/>
                <w:bCs/>
                <w:color w:val="auto"/>
                <w:sz w:val="24"/>
                <w:szCs w:val="24"/>
                <w:highlight w:val="none"/>
                <w:lang w:val="zh-CN" w:eastAsia="zh-CN"/>
              </w:rPr>
            </w:pPr>
            <w:r>
              <w:rPr>
                <w:rFonts w:hint="eastAsia" w:ascii="仿宋" w:hAnsi="仿宋" w:eastAsia="仿宋" w:cs="仿宋"/>
                <w:b w:val="0"/>
                <w:bCs/>
                <w:color w:val="auto"/>
                <w:sz w:val="24"/>
                <w:szCs w:val="24"/>
                <w:highlight w:val="none"/>
                <w:lang w:val="zh-CN"/>
              </w:rPr>
              <w:t>项目负责人承担过</w:t>
            </w:r>
            <w:r>
              <w:rPr>
                <w:rFonts w:hint="eastAsia" w:ascii="仿宋" w:hAnsi="仿宋" w:eastAsia="仿宋" w:cs="仿宋"/>
                <w:b w:val="0"/>
                <w:bCs/>
                <w:color w:val="auto"/>
                <w:sz w:val="24"/>
                <w:szCs w:val="24"/>
                <w:highlight w:val="none"/>
                <w:lang w:val="en-US" w:eastAsia="zh-CN"/>
              </w:rPr>
              <w:t>投融资、区域发展</w:t>
            </w:r>
            <w:r>
              <w:rPr>
                <w:rFonts w:hint="eastAsia" w:ascii="仿宋" w:hAnsi="仿宋" w:eastAsia="仿宋" w:cs="仿宋"/>
                <w:b w:val="0"/>
                <w:bCs/>
                <w:color w:val="auto"/>
                <w:sz w:val="24"/>
                <w:szCs w:val="24"/>
                <w:highlight w:val="none"/>
                <w:lang w:val="zh-CN"/>
              </w:rPr>
              <w:t>、战略研究等相关服务内容的，是否能有效为本项目提供指导服务的进行评分，</w:t>
            </w:r>
            <w:r>
              <w:rPr>
                <w:rFonts w:hint="eastAsia" w:ascii="仿宋" w:hAnsi="仿宋" w:eastAsia="仿宋" w:cs="仿宋"/>
                <w:b w:val="0"/>
                <w:bCs/>
                <w:color w:val="auto"/>
                <w:sz w:val="24"/>
                <w:szCs w:val="24"/>
                <w:highlight w:val="none"/>
                <w:lang w:val="en-US" w:eastAsia="zh-CN"/>
              </w:rPr>
              <w:t>0-5分</w:t>
            </w:r>
            <w:r>
              <w:rPr>
                <w:rFonts w:hint="eastAsia" w:ascii="仿宋" w:hAnsi="仿宋" w:eastAsia="仿宋" w:cs="仿宋"/>
                <w:b w:val="0"/>
                <w:bCs/>
                <w:color w:val="auto"/>
                <w:sz w:val="24"/>
                <w:szCs w:val="24"/>
                <w:highlight w:val="none"/>
                <w:lang w:val="zh-CN" w:eastAsia="zh-CN"/>
              </w:rPr>
              <w:t>。</w:t>
            </w:r>
          </w:p>
          <w:p w14:paraId="24B147AE">
            <w:pPr>
              <w:keepNext w:val="0"/>
              <w:keepLines w:val="0"/>
              <w:pageBreakBefore w:val="0"/>
              <w:widowControl w:val="0"/>
              <w:tabs>
                <w:tab w:val="left" w:pos="993"/>
                <w:tab w:val="left" w:pos="1300"/>
                <w:tab w:val="left" w:pos="2000"/>
                <w:tab w:val="left" w:pos="2040"/>
              </w:tabs>
              <w:kinsoku/>
              <w:wordWrap/>
              <w:overflowPunct/>
              <w:topLinePunct w:val="0"/>
              <w:bidi w:val="0"/>
              <w:snapToGrid w:val="0"/>
              <w:spacing w:line="324" w:lineRule="auto"/>
              <w:jc w:val="left"/>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bidi="ar"/>
              </w:rPr>
              <w:t>响应文件内须提供</w:t>
            </w:r>
            <w:r>
              <w:rPr>
                <w:rFonts w:hint="eastAsia" w:ascii="仿宋" w:hAnsi="仿宋" w:eastAsia="仿宋" w:cs="仿宋"/>
                <w:b w:val="0"/>
                <w:bCs/>
                <w:color w:val="auto"/>
                <w:sz w:val="24"/>
                <w:szCs w:val="24"/>
                <w:highlight w:val="none"/>
                <w:lang w:val="en-US" w:eastAsia="zh-CN" w:bidi="ar"/>
              </w:rPr>
              <w:t>相关证明资料，</w:t>
            </w:r>
            <w:r>
              <w:rPr>
                <w:rFonts w:hint="eastAsia" w:ascii="仿宋" w:hAnsi="仿宋" w:eastAsia="仿宋" w:cs="仿宋"/>
                <w:b w:val="0"/>
                <w:bCs/>
                <w:color w:val="auto"/>
                <w:sz w:val="24"/>
                <w:szCs w:val="24"/>
                <w:highlight w:val="none"/>
              </w:rPr>
              <w:t>否则不得分。</w:t>
            </w:r>
          </w:p>
        </w:tc>
        <w:tc>
          <w:tcPr>
            <w:tcW w:w="721" w:type="dxa"/>
            <w:shd w:val="clear" w:color="auto" w:fill="FFFFFF"/>
            <w:vAlign w:val="center"/>
          </w:tcPr>
          <w:p w14:paraId="2294E3FD">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w:t>
            </w:r>
          </w:p>
        </w:tc>
      </w:tr>
      <w:tr w14:paraId="58BEE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804" w:type="dxa"/>
            <w:vMerge w:val="restart"/>
            <w:shd w:val="clear" w:color="auto" w:fill="FFFFFF"/>
            <w:vAlign w:val="center"/>
          </w:tcPr>
          <w:p w14:paraId="073FABE5">
            <w:pPr>
              <w:pStyle w:val="2"/>
              <w:rPr>
                <w:rFonts w:hint="default"/>
                <w:b w:val="0"/>
                <w:bCs/>
                <w:color w:val="auto"/>
                <w:highlight w:val="none"/>
                <w:lang w:val="en-US" w:eastAsia="zh-CN"/>
              </w:rPr>
            </w:pPr>
            <w:r>
              <w:rPr>
                <w:rFonts w:hint="eastAsia" w:ascii="仿宋" w:hAnsi="仿宋" w:eastAsia="仿宋" w:cs="仿宋"/>
                <w:b w:val="0"/>
                <w:bCs/>
                <w:color w:val="auto"/>
                <w:sz w:val="24"/>
                <w:szCs w:val="24"/>
                <w:highlight w:val="none"/>
                <w:lang w:val="en-US" w:eastAsia="zh-CN"/>
              </w:rPr>
              <w:t>5</w:t>
            </w:r>
          </w:p>
        </w:tc>
        <w:tc>
          <w:tcPr>
            <w:tcW w:w="1391" w:type="dxa"/>
            <w:vMerge w:val="restart"/>
            <w:shd w:val="clear" w:color="auto" w:fill="auto"/>
            <w:vAlign w:val="center"/>
          </w:tcPr>
          <w:p w14:paraId="0BE764A9">
            <w:pPr>
              <w:keepNext w:val="0"/>
              <w:keepLines w:val="0"/>
              <w:pageBreakBefore w:val="0"/>
              <w:kinsoku/>
              <w:wordWrap/>
              <w:overflowPunct/>
              <w:topLinePunct w:val="0"/>
              <w:bidi w:val="0"/>
              <w:spacing w:line="420" w:lineRule="exact"/>
              <w:ind w:right="0" w:right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项目理解</w:t>
            </w:r>
          </w:p>
        </w:tc>
        <w:tc>
          <w:tcPr>
            <w:tcW w:w="6356" w:type="dxa"/>
            <w:shd w:val="clear" w:color="auto" w:fill="auto"/>
            <w:vAlign w:val="center"/>
          </w:tcPr>
          <w:p w14:paraId="6C264002">
            <w:pPr>
              <w:keepNext w:val="0"/>
              <w:keepLines w:val="0"/>
              <w:pageBreakBefore w:val="0"/>
              <w:kinsoku/>
              <w:wordWrap/>
              <w:overflowPunct/>
              <w:topLinePunct w:val="0"/>
              <w:bidi w:val="0"/>
              <w:spacing w:line="420" w:lineRule="exact"/>
              <w:ind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①</w:t>
            </w:r>
            <w:r>
              <w:rPr>
                <w:rFonts w:hint="eastAsia" w:ascii="仿宋" w:hAnsi="仿宋" w:eastAsia="仿宋" w:cs="仿宋"/>
                <w:b w:val="0"/>
                <w:bCs/>
                <w:color w:val="auto"/>
                <w:sz w:val="24"/>
                <w:szCs w:val="24"/>
                <w:highlight w:val="none"/>
              </w:rPr>
              <w:t>对投标人在项目背景、涉及范围及流程的了解熟悉程度，以及对项目任务的理解清晰程度进行打分，0</w:t>
            </w:r>
            <w:r>
              <w:rPr>
                <w:rFonts w:hint="eastAsia" w:ascii="仿宋" w:hAnsi="仿宋" w:eastAsia="仿宋" w:cs="仿宋"/>
                <w:b w:val="0"/>
                <w:bCs/>
                <w:color w:val="auto"/>
                <w:sz w:val="24"/>
                <w:szCs w:val="24"/>
                <w:highlight w:val="none"/>
                <w:lang w:val="en-US" w:eastAsia="zh-CN"/>
              </w:rPr>
              <w:t>-6</w:t>
            </w:r>
            <w:r>
              <w:rPr>
                <w:rFonts w:hint="eastAsia" w:ascii="仿宋" w:hAnsi="仿宋" w:eastAsia="仿宋" w:cs="仿宋"/>
                <w:b w:val="0"/>
                <w:bCs/>
                <w:color w:val="auto"/>
                <w:sz w:val="24"/>
                <w:szCs w:val="24"/>
                <w:highlight w:val="none"/>
              </w:rPr>
              <w:t>分</w:t>
            </w:r>
            <w:r>
              <w:rPr>
                <w:rFonts w:hint="eastAsia" w:ascii="仿宋" w:hAnsi="仿宋" w:eastAsia="仿宋" w:cs="仿宋"/>
                <w:b w:val="0"/>
                <w:bCs/>
                <w:color w:val="auto"/>
                <w:sz w:val="24"/>
                <w:szCs w:val="24"/>
                <w:highlight w:val="none"/>
                <w:lang w:val="en-US" w:eastAsia="zh-CN"/>
              </w:rPr>
              <w:t>；</w:t>
            </w:r>
          </w:p>
        </w:tc>
        <w:tc>
          <w:tcPr>
            <w:tcW w:w="721" w:type="dxa"/>
            <w:shd w:val="clear" w:color="auto" w:fill="auto"/>
            <w:vAlign w:val="center"/>
          </w:tcPr>
          <w:p w14:paraId="008A45B1">
            <w:pPr>
              <w:keepNext w:val="0"/>
              <w:keepLines w:val="0"/>
              <w:pageBreakBefore w:val="0"/>
              <w:kinsoku/>
              <w:wordWrap/>
              <w:overflowPunct/>
              <w:topLinePunct w:val="0"/>
              <w:bidi w:val="0"/>
              <w:spacing w:line="420" w:lineRule="exact"/>
              <w:ind w:right="0" w:right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6</w:t>
            </w:r>
          </w:p>
        </w:tc>
      </w:tr>
      <w:tr w14:paraId="3D80E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804" w:type="dxa"/>
            <w:vMerge w:val="continue"/>
            <w:shd w:val="clear" w:color="auto" w:fill="FFFFFF"/>
            <w:vAlign w:val="center"/>
          </w:tcPr>
          <w:p w14:paraId="4EF4D412">
            <w:pPr>
              <w:pStyle w:val="2"/>
              <w:rPr>
                <w:rFonts w:hint="eastAsia"/>
                <w:b w:val="0"/>
                <w:bCs/>
                <w:color w:val="auto"/>
                <w:highlight w:val="none"/>
                <w:lang w:val="en-US" w:eastAsia="zh-CN"/>
              </w:rPr>
            </w:pPr>
          </w:p>
        </w:tc>
        <w:tc>
          <w:tcPr>
            <w:tcW w:w="1391" w:type="dxa"/>
            <w:vMerge w:val="continue"/>
            <w:shd w:val="clear" w:color="auto" w:fill="FFFFFF"/>
            <w:vAlign w:val="center"/>
          </w:tcPr>
          <w:p w14:paraId="0AE71976">
            <w:pPr>
              <w:keepNext w:val="0"/>
              <w:keepLines w:val="0"/>
              <w:pageBreakBefore w:val="0"/>
              <w:widowControl w:val="0"/>
              <w:tabs>
                <w:tab w:val="left" w:pos="5129"/>
              </w:tabs>
              <w:kinsoku/>
              <w:wordWrap/>
              <w:overflowPunct/>
              <w:topLinePunct w:val="0"/>
              <w:bidi w:val="0"/>
              <w:snapToGrid w:val="0"/>
              <w:spacing w:line="324" w:lineRule="auto"/>
              <w:jc w:val="center"/>
              <w:textAlignment w:val="auto"/>
              <w:rPr>
                <w:rFonts w:hint="eastAsia" w:ascii="仿宋" w:hAnsi="仿宋" w:eastAsia="仿宋" w:cs="仿宋"/>
                <w:b w:val="0"/>
                <w:bCs/>
                <w:color w:val="auto"/>
                <w:spacing w:val="-2"/>
                <w:sz w:val="24"/>
                <w:szCs w:val="24"/>
                <w:highlight w:val="none"/>
                <w:lang w:val="en-US" w:eastAsia="zh-CN"/>
              </w:rPr>
            </w:pPr>
          </w:p>
        </w:tc>
        <w:tc>
          <w:tcPr>
            <w:tcW w:w="6356" w:type="dxa"/>
            <w:shd w:val="clear" w:color="auto" w:fill="auto"/>
            <w:vAlign w:val="center"/>
          </w:tcPr>
          <w:p w14:paraId="2F64FEEA">
            <w:pPr>
              <w:pStyle w:val="2"/>
              <w:keepNext w:val="0"/>
              <w:keepLines w:val="0"/>
              <w:pageBreakBefore w:val="0"/>
              <w:kinsoku/>
              <w:wordWrap/>
              <w:overflowPunct/>
              <w:topLinePunct w:val="0"/>
              <w:bidi w:val="0"/>
              <w:spacing w:line="420" w:lineRule="exact"/>
              <w:ind w:right="0" w:rightChars="0"/>
              <w:textAlignment w:val="auto"/>
              <w:rPr>
                <w:rFonts w:hint="eastAsia" w:ascii="仿宋" w:hAnsi="仿宋" w:eastAsia="仿宋" w:cs="仿宋"/>
                <w:b w:val="0"/>
                <w:bCs/>
                <w:color w:val="auto"/>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②针对本项目重点和难点问题分析的全面性与准确性，以及提出有效、全面解决措施的情况进行打分，0-6分；</w:t>
            </w:r>
          </w:p>
        </w:tc>
        <w:tc>
          <w:tcPr>
            <w:tcW w:w="721" w:type="dxa"/>
            <w:shd w:val="clear" w:color="auto" w:fill="auto"/>
            <w:vAlign w:val="center"/>
          </w:tcPr>
          <w:p w14:paraId="228C24CB">
            <w:pPr>
              <w:keepNext w:val="0"/>
              <w:keepLines w:val="0"/>
              <w:pageBreakBefore w:val="0"/>
              <w:kinsoku/>
              <w:wordWrap/>
              <w:overflowPunct/>
              <w:topLinePunct w:val="0"/>
              <w:bidi w:val="0"/>
              <w:spacing w:line="420" w:lineRule="exact"/>
              <w:ind w:right="0" w:right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6</w:t>
            </w:r>
          </w:p>
        </w:tc>
      </w:tr>
      <w:tr w14:paraId="4952F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804" w:type="dxa"/>
            <w:vMerge w:val="restart"/>
            <w:shd w:val="clear" w:color="auto" w:fill="FFFFFF"/>
            <w:vAlign w:val="center"/>
          </w:tcPr>
          <w:p w14:paraId="2355B924">
            <w:pPr>
              <w:keepNext w:val="0"/>
              <w:keepLines w:val="0"/>
              <w:pageBreakBefore w:val="0"/>
              <w:widowControl w:val="0"/>
              <w:kinsoku/>
              <w:wordWrap/>
              <w:overflowPunct/>
              <w:topLinePunct w:val="0"/>
              <w:bidi w:val="0"/>
              <w:spacing w:line="324" w:lineRule="auto"/>
              <w:jc w:val="center"/>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w:t>
            </w:r>
          </w:p>
        </w:tc>
        <w:tc>
          <w:tcPr>
            <w:tcW w:w="1391" w:type="dxa"/>
            <w:vMerge w:val="restart"/>
            <w:shd w:val="clear" w:color="auto" w:fill="FFFFFF"/>
            <w:vAlign w:val="center"/>
          </w:tcPr>
          <w:p w14:paraId="34FC5580">
            <w:pPr>
              <w:keepNext w:val="0"/>
              <w:keepLines w:val="0"/>
              <w:pageBreakBefore w:val="0"/>
              <w:widowControl w:val="0"/>
              <w:tabs>
                <w:tab w:val="left" w:pos="5129"/>
              </w:tabs>
              <w:kinsoku/>
              <w:wordWrap/>
              <w:overflowPunct/>
              <w:topLinePunct w:val="0"/>
              <w:bidi w:val="0"/>
              <w:snapToGrid w:val="0"/>
              <w:spacing w:line="324" w:lineRule="auto"/>
              <w:jc w:val="center"/>
              <w:textAlignment w:val="auto"/>
              <w:rPr>
                <w:rFonts w:hint="eastAsia" w:ascii="仿宋" w:hAnsi="仿宋" w:eastAsia="仿宋" w:cs="仿宋"/>
                <w:b w:val="0"/>
                <w:bCs/>
                <w:color w:val="auto"/>
                <w:spacing w:val="-2"/>
                <w:sz w:val="24"/>
                <w:szCs w:val="24"/>
                <w:highlight w:val="none"/>
                <w:lang w:val="en-US" w:eastAsia="zh-CN"/>
              </w:rPr>
            </w:pPr>
            <w:r>
              <w:rPr>
                <w:rFonts w:hint="eastAsia" w:ascii="仿宋" w:hAnsi="仿宋" w:eastAsia="仿宋" w:cs="仿宋"/>
                <w:b w:val="0"/>
                <w:bCs/>
                <w:color w:val="auto"/>
                <w:spacing w:val="-2"/>
                <w:sz w:val="24"/>
                <w:szCs w:val="24"/>
                <w:highlight w:val="none"/>
                <w:lang w:val="en-US" w:eastAsia="zh-CN"/>
              </w:rPr>
              <w:t>技术方案</w:t>
            </w:r>
          </w:p>
        </w:tc>
        <w:tc>
          <w:tcPr>
            <w:tcW w:w="6356" w:type="dxa"/>
            <w:shd w:val="clear" w:color="auto" w:fill="auto"/>
            <w:vAlign w:val="center"/>
          </w:tcPr>
          <w:p w14:paraId="3B823473">
            <w:pPr>
              <w:pStyle w:val="2"/>
              <w:keepNext w:val="0"/>
              <w:keepLines w:val="0"/>
              <w:pageBreakBefore w:val="0"/>
              <w:kinsoku/>
              <w:wordWrap/>
              <w:overflowPunct/>
              <w:topLinePunct w:val="0"/>
              <w:bidi w:val="0"/>
              <w:spacing w:line="420" w:lineRule="exact"/>
              <w:ind w:right="0" w:righ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①根据投标人针对本项目的总体内容梳理是否全面完整、科学完善、合理、针对性强进行打分，0-9分；</w:t>
            </w:r>
          </w:p>
        </w:tc>
        <w:tc>
          <w:tcPr>
            <w:tcW w:w="721" w:type="dxa"/>
            <w:shd w:val="clear" w:color="auto" w:fill="auto"/>
            <w:vAlign w:val="center"/>
          </w:tcPr>
          <w:p w14:paraId="533EE36F">
            <w:pPr>
              <w:keepNext w:val="0"/>
              <w:keepLines w:val="0"/>
              <w:pageBreakBefore w:val="0"/>
              <w:kinsoku/>
              <w:wordWrap/>
              <w:overflowPunct/>
              <w:topLinePunct w:val="0"/>
              <w:bidi w:val="0"/>
              <w:spacing w:line="420" w:lineRule="exact"/>
              <w:ind w:right="0" w:rightChars="0"/>
              <w:jc w:val="center"/>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9</w:t>
            </w:r>
          </w:p>
        </w:tc>
      </w:tr>
      <w:tr w14:paraId="38254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804" w:type="dxa"/>
            <w:vMerge w:val="continue"/>
            <w:shd w:val="clear" w:color="auto" w:fill="FFFFFF"/>
            <w:vAlign w:val="center"/>
          </w:tcPr>
          <w:p w14:paraId="32865698">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val="en-US" w:eastAsia="zh-CN"/>
              </w:rPr>
            </w:pPr>
          </w:p>
        </w:tc>
        <w:tc>
          <w:tcPr>
            <w:tcW w:w="1391" w:type="dxa"/>
            <w:vMerge w:val="continue"/>
            <w:shd w:val="clear" w:color="auto" w:fill="FFFFFF"/>
            <w:vAlign w:val="center"/>
          </w:tcPr>
          <w:p w14:paraId="4313D9C5">
            <w:pPr>
              <w:keepNext w:val="0"/>
              <w:keepLines w:val="0"/>
              <w:pageBreakBefore w:val="0"/>
              <w:widowControl w:val="0"/>
              <w:tabs>
                <w:tab w:val="left" w:pos="5129"/>
              </w:tabs>
              <w:kinsoku/>
              <w:wordWrap/>
              <w:overflowPunct/>
              <w:topLinePunct w:val="0"/>
              <w:bidi w:val="0"/>
              <w:snapToGrid w:val="0"/>
              <w:spacing w:line="324" w:lineRule="auto"/>
              <w:jc w:val="center"/>
              <w:textAlignment w:val="auto"/>
              <w:rPr>
                <w:rFonts w:hint="eastAsia" w:ascii="仿宋" w:hAnsi="仿宋" w:eastAsia="仿宋" w:cs="仿宋"/>
                <w:b w:val="0"/>
                <w:bCs/>
                <w:color w:val="auto"/>
                <w:spacing w:val="-2"/>
                <w:sz w:val="24"/>
                <w:szCs w:val="24"/>
                <w:highlight w:val="none"/>
                <w:lang w:val="en-US" w:eastAsia="zh-CN"/>
              </w:rPr>
            </w:pPr>
          </w:p>
        </w:tc>
        <w:tc>
          <w:tcPr>
            <w:tcW w:w="6356" w:type="dxa"/>
            <w:shd w:val="clear" w:color="auto" w:fill="auto"/>
            <w:vAlign w:val="center"/>
          </w:tcPr>
          <w:p w14:paraId="5139F716">
            <w:pPr>
              <w:pStyle w:val="2"/>
              <w:keepNext w:val="0"/>
              <w:keepLines w:val="0"/>
              <w:pageBreakBefore w:val="0"/>
              <w:kinsoku/>
              <w:wordWrap/>
              <w:overflowPunct/>
              <w:topLinePunct w:val="0"/>
              <w:bidi w:val="0"/>
              <w:spacing w:line="420" w:lineRule="exact"/>
              <w:ind w:right="0" w:righ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②根据投标人针对本项目的总体架构设计和技术方案设计是否具备指导意义、切合实际，思路明确、定位精准进行打分，0-10分；</w:t>
            </w:r>
          </w:p>
        </w:tc>
        <w:tc>
          <w:tcPr>
            <w:tcW w:w="721" w:type="dxa"/>
            <w:shd w:val="clear" w:color="auto" w:fill="auto"/>
            <w:vAlign w:val="center"/>
          </w:tcPr>
          <w:p w14:paraId="6892E47B">
            <w:pPr>
              <w:keepNext w:val="0"/>
              <w:keepLines w:val="0"/>
              <w:pageBreakBefore w:val="0"/>
              <w:kinsoku/>
              <w:wordWrap/>
              <w:overflowPunct/>
              <w:topLinePunct w:val="0"/>
              <w:bidi w:val="0"/>
              <w:spacing w:line="420" w:lineRule="exact"/>
              <w:ind w:right="0" w:rightChars="0"/>
              <w:jc w:val="center"/>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10</w:t>
            </w:r>
          </w:p>
        </w:tc>
      </w:tr>
      <w:tr w14:paraId="6146E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804" w:type="dxa"/>
            <w:vMerge w:val="continue"/>
            <w:shd w:val="clear" w:color="auto" w:fill="FFFFFF"/>
            <w:vAlign w:val="center"/>
          </w:tcPr>
          <w:p w14:paraId="32601195">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val="en-US" w:eastAsia="zh-CN"/>
              </w:rPr>
            </w:pPr>
          </w:p>
        </w:tc>
        <w:tc>
          <w:tcPr>
            <w:tcW w:w="1391" w:type="dxa"/>
            <w:vMerge w:val="continue"/>
            <w:shd w:val="clear" w:color="auto" w:fill="FFFFFF"/>
            <w:vAlign w:val="center"/>
          </w:tcPr>
          <w:p w14:paraId="19FD3BD4">
            <w:pPr>
              <w:keepNext w:val="0"/>
              <w:keepLines w:val="0"/>
              <w:pageBreakBefore w:val="0"/>
              <w:widowControl w:val="0"/>
              <w:tabs>
                <w:tab w:val="left" w:pos="5129"/>
              </w:tabs>
              <w:kinsoku/>
              <w:wordWrap/>
              <w:overflowPunct/>
              <w:topLinePunct w:val="0"/>
              <w:bidi w:val="0"/>
              <w:snapToGrid w:val="0"/>
              <w:spacing w:line="324" w:lineRule="auto"/>
              <w:jc w:val="center"/>
              <w:textAlignment w:val="auto"/>
              <w:rPr>
                <w:rFonts w:hint="eastAsia" w:ascii="仿宋" w:hAnsi="仿宋" w:eastAsia="仿宋" w:cs="仿宋"/>
                <w:b w:val="0"/>
                <w:bCs/>
                <w:color w:val="auto"/>
                <w:spacing w:val="-2"/>
                <w:sz w:val="24"/>
                <w:szCs w:val="24"/>
                <w:highlight w:val="none"/>
                <w:lang w:val="en-US" w:eastAsia="zh-CN"/>
              </w:rPr>
            </w:pPr>
          </w:p>
        </w:tc>
        <w:tc>
          <w:tcPr>
            <w:tcW w:w="6356" w:type="dxa"/>
            <w:shd w:val="clear" w:color="auto" w:fill="auto"/>
            <w:vAlign w:val="center"/>
          </w:tcPr>
          <w:p w14:paraId="3993B4A4">
            <w:pPr>
              <w:pStyle w:val="2"/>
              <w:keepNext w:val="0"/>
              <w:keepLines w:val="0"/>
              <w:pageBreakBefore w:val="0"/>
              <w:kinsoku/>
              <w:wordWrap/>
              <w:overflowPunct/>
              <w:topLinePunct w:val="0"/>
              <w:bidi w:val="0"/>
              <w:spacing w:line="420" w:lineRule="exact"/>
              <w:ind w:right="0" w:rightChars="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③根据投标人针对本项目的外业调查技术手段及作业方法等进行打分，0-6分。</w:t>
            </w:r>
          </w:p>
        </w:tc>
        <w:tc>
          <w:tcPr>
            <w:tcW w:w="721" w:type="dxa"/>
            <w:shd w:val="clear" w:color="auto" w:fill="auto"/>
            <w:vAlign w:val="center"/>
          </w:tcPr>
          <w:p w14:paraId="3EC94F1A">
            <w:pPr>
              <w:keepNext w:val="0"/>
              <w:keepLines w:val="0"/>
              <w:pageBreakBefore w:val="0"/>
              <w:kinsoku/>
              <w:wordWrap/>
              <w:overflowPunct/>
              <w:topLinePunct w:val="0"/>
              <w:bidi w:val="0"/>
              <w:spacing w:line="420" w:lineRule="exact"/>
              <w:ind w:right="0" w:rightChars="0"/>
              <w:jc w:val="center"/>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w:t>
            </w:r>
          </w:p>
        </w:tc>
      </w:tr>
      <w:tr w14:paraId="5C7BC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804" w:type="dxa"/>
            <w:vMerge w:val="restart"/>
            <w:shd w:val="clear" w:color="auto" w:fill="FFFFFF"/>
            <w:vAlign w:val="center"/>
          </w:tcPr>
          <w:p w14:paraId="736D2DBF">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w:t>
            </w:r>
          </w:p>
        </w:tc>
        <w:tc>
          <w:tcPr>
            <w:tcW w:w="1391" w:type="dxa"/>
            <w:vMerge w:val="restart"/>
            <w:shd w:val="clear" w:color="auto" w:fill="FFFFFF"/>
            <w:vAlign w:val="center"/>
          </w:tcPr>
          <w:p w14:paraId="02D9FF1D">
            <w:pPr>
              <w:keepNext w:val="0"/>
              <w:keepLines w:val="0"/>
              <w:pageBreakBefore w:val="0"/>
              <w:kinsoku/>
              <w:wordWrap/>
              <w:overflowPunct/>
              <w:topLinePunct w:val="0"/>
              <w:bidi w:val="0"/>
              <w:spacing w:line="420" w:lineRule="exact"/>
              <w:ind w:right="0" w:rightChars="0"/>
              <w:jc w:val="center"/>
              <w:textAlignment w:val="auto"/>
              <w:rPr>
                <w:rFonts w:hint="eastAsia" w:ascii="仿宋" w:hAnsi="仿宋" w:eastAsia="仿宋" w:cs="仿宋"/>
                <w:b w:val="0"/>
                <w:bCs/>
                <w:color w:val="auto"/>
                <w:spacing w:val="-2"/>
                <w:sz w:val="24"/>
                <w:szCs w:val="24"/>
                <w:highlight w:val="none"/>
                <w:lang w:val="en-US" w:eastAsia="zh-CN"/>
              </w:rPr>
            </w:pPr>
            <w:r>
              <w:rPr>
                <w:rFonts w:hint="eastAsia" w:ascii="仿宋" w:hAnsi="仿宋" w:eastAsia="仿宋" w:cs="仿宋"/>
                <w:b w:val="0"/>
                <w:bCs/>
                <w:color w:val="auto"/>
                <w:sz w:val="24"/>
                <w:szCs w:val="24"/>
                <w:highlight w:val="none"/>
                <w:lang w:val="en-US" w:eastAsia="zh-CN"/>
              </w:rPr>
              <w:t>实施方案</w:t>
            </w:r>
          </w:p>
        </w:tc>
        <w:tc>
          <w:tcPr>
            <w:tcW w:w="6356" w:type="dxa"/>
            <w:shd w:val="clear" w:color="auto" w:fill="FFFFFF"/>
            <w:vAlign w:val="center"/>
          </w:tcPr>
          <w:p w14:paraId="36B83705">
            <w:pPr>
              <w:keepNext w:val="0"/>
              <w:keepLines w:val="0"/>
              <w:pageBreakBefore w:val="0"/>
              <w:kinsoku/>
              <w:wordWrap/>
              <w:overflowPunct/>
              <w:topLinePunct w:val="0"/>
              <w:bidi w:val="0"/>
              <w:spacing w:line="420" w:lineRule="exact"/>
              <w:ind w:right="0" w:rightChars="0"/>
              <w:jc w:val="left"/>
              <w:textAlignment w:val="auto"/>
              <w:rPr>
                <w:rFonts w:hint="eastAsia" w:ascii="仿宋" w:hAnsi="仿宋" w:eastAsia="仿宋" w:cs="仿宋"/>
                <w:b w:val="0"/>
                <w:bCs/>
                <w:color w:val="auto"/>
                <w:kern w:val="0"/>
                <w:sz w:val="24"/>
                <w:szCs w:val="24"/>
                <w:highlight w:val="none"/>
                <w:lang w:val="zh-CN"/>
              </w:rPr>
            </w:pPr>
            <w:r>
              <w:rPr>
                <w:rFonts w:hint="eastAsia" w:ascii="仿宋" w:hAnsi="仿宋" w:eastAsia="仿宋" w:cs="仿宋"/>
                <w:b w:val="0"/>
                <w:bCs/>
                <w:color w:val="auto"/>
                <w:sz w:val="24"/>
                <w:szCs w:val="24"/>
                <w:highlight w:val="none"/>
                <w:lang w:val="en-US" w:eastAsia="zh-CN"/>
              </w:rPr>
              <w:t>①根据投标人针对本项目的实施组织方案(包括人员分工、工作流程、技术支持等)，方案是否符合要求，内容是否全面、针对性强进行打分，0-7分；</w:t>
            </w:r>
          </w:p>
        </w:tc>
        <w:tc>
          <w:tcPr>
            <w:tcW w:w="721" w:type="dxa"/>
            <w:shd w:val="clear" w:color="auto" w:fill="FFFFFF"/>
            <w:vAlign w:val="center"/>
          </w:tcPr>
          <w:p w14:paraId="40CF4967">
            <w:pPr>
              <w:keepNext w:val="0"/>
              <w:keepLines w:val="0"/>
              <w:pageBreakBefore w:val="0"/>
              <w:widowControl w:val="0"/>
              <w:kinsoku/>
              <w:wordWrap/>
              <w:overflowPunct/>
              <w:topLinePunct w:val="0"/>
              <w:bidi w:val="0"/>
              <w:spacing w:line="324" w:lineRule="auto"/>
              <w:jc w:val="center"/>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w:t>
            </w:r>
          </w:p>
        </w:tc>
      </w:tr>
      <w:tr w14:paraId="22578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804" w:type="dxa"/>
            <w:vMerge w:val="continue"/>
            <w:shd w:val="clear" w:color="auto" w:fill="FFFFFF"/>
            <w:vAlign w:val="center"/>
          </w:tcPr>
          <w:p w14:paraId="164981F0">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val="en-US" w:eastAsia="zh-CN"/>
              </w:rPr>
            </w:pPr>
          </w:p>
        </w:tc>
        <w:tc>
          <w:tcPr>
            <w:tcW w:w="1391" w:type="dxa"/>
            <w:vMerge w:val="continue"/>
            <w:shd w:val="clear" w:color="auto" w:fill="FFFFFF"/>
            <w:vAlign w:val="center"/>
          </w:tcPr>
          <w:p w14:paraId="7684AFBF">
            <w:pPr>
              <w:keepNext w:val="0"/>
              <w:keepLines w:val="0"/>
              <w:pageBreakBefore w:val="0"/>
              <w:kinsoku/>
              <w:wordWrap/>
              <w:overflowPunct/>
              <w:topLinePunct w:val="0"/>
              <w:bidi w:val="0"/>
              <w:spacing w:line="420" w:lineRule="exact"/>
              <w:ind w:right="0" w:rightChars="0"/>
              <w:jc w:val="center"/>
              <w:textAlignment w:val="auto"/>
              <w:rPr>
                <w:rFonts w:hint="eastAsia" w:ascii="仿宋" w:hAnsi="仿宋" w:eastAsia="仿宋" w:cs="仿宋"/>
                <w:b w:val="0"/>
                <w:bCs/>
                <w:color w:val="auto"/>
                <w:spacing w:val="-2"/>
                <w:sz w:val="24"/>
                <w:szCs w:val="24"/>
                <w:highlight w:val="none"/>
                <w:lang w:val="en-US" w:eastAsia="zh-CN"/>
              </w:rPr>
            </w:pPr>
          </w:p>
        </w:tc>
        <w:tc>
          <w:tcPr>
            <w:tcW w:w="6356" w:type="dxa"/>
            <w:shd w:val="clear" w:color="auto" w:fill="FFFFFF"/>
            <w:vAlign w:val="center"/>
          </w:tcPr>
          <w:p w14:paraId="2C0AD3A0">
            <w:pPr>
              <w:keepNext w:val="0"/>
              <w:keepLines w:val="0"/>
              <w:pageBreakBefore w:val="0"/>
              <w:kinsoku/>
              <w:wordWrap/>
              <w:overflowPunct/>
              <w:topLinePunct w:val="0"/>
              <w:bidi w:val="0"/>
              <w:spacing w:line="420" w:lineRule="exact"/>
              <w:ind w:right="0" w:rightChars="0"/>
              <w:jc w:val="left"/>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sz w:val="24"/>
                <w:szCs w:val="24"/>
                <w:highlight w:val="none"/>
                <w:lang w:val="en-US" w:eastAsia="zh-CN"/>
              </w:rPr>
              <w:t>②根据投标人针对本项目的工期进度计划及保证措施等进行打分，包括但不限于项目总体进度安排，关键节点、进度保证措施、质量控制进度实施等方面，0-10分。</w:t>
            </w:r>
          </w:p>
        </w:tc>
        <w:tc>
          <w:tcPr>
            <w:tcW w:w="721" w:type="dxa"/>
            <w:shd w:val="clear" w:color="auto" w:fill="FFFFFF"/>
            <w:vAlign w:val="center"/>
          </w:tcPr>
          <w:p w14:paraId="76D3B196">
            <w:pPr>
              <w:keepNext w:val="0"/>
              <w:keepLines w:val="0"/>
              <w:pageBreakBefore w:val="0"/>
              <w:widowControl w:val="0"/>
              <w:kinsoku/>
              <w:wordWrap/>
              <w:overflowPunct/>
              <w:topLinePunct w:val="0"/>
              <w:bidi w:val="0"/>
              <w:spacing w:line="324" w:lineRule="auto"/>
              <w:jc w:val="center"/>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10</w:t>
            </w:r>
          </w:p>
        </w:tc>
      </w:tr>
      <w:tr w14:paraId="22895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804" w:type="dxa"/>
            <w:shd w:val="clear" w:color="auto" w:fill="FFFFFF"/>
            <w:vAlign w:val="center"/>
          </w:tcPr>
          <w:p w14:paraId="445251E7">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8</w:t>
            </w:r>
          </w:p>
        </w:tc>
        <w:tc>
          <w:tcPr>
            <w:tcW w:w="1391" w:type="dxa"/>
            <w:shd w:val="clear" w:color="auto" w:fill="FFFFFF"/>
            <w:vAlign w:val="center"/>
          </w:tcPr>
          <w:p w14:paraId="33ED7A77">
            <w:pPr>
              <w:keepNext w:val="0"/>
              <w:keepLines w:val="0"/>
              <w:pageBreakBefore w:val="0"/>
              <w:kinsoku/>
              <w:wordWrap/>
              <w:overflowPunct/>
              <w:topLinePunct w:val="0"/>
              <w:bidi w:val="0"/>
              <w:spacing w:line="420" w:lineRule="exact"/>
              <w:ind w:right="0" w:rightChars="0"/>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应急响应</w:t>
            </w:r>
          </w:p>
        </w:tc>
        <w:tc>
          <w:tcPr>
            <w:tcW w:w="6356" w:type="dxa"/>
            <w:shd w:val="clear" w:color="auto" w:fill="FFFFFF"/>
            <w:vAlign w:val="center"/>
          </w:tcPr>
          <w:p w14:paraId="5A1F1D7F">
            <w:pPr>
              <w:keepNext w:val="0"/>
              <w:keepLines w:val="0"/>
              <w:pageBreakBefore w:val="0"/>
              <w:kinsoku/>
              <w:wordWrap/>
              <w:overflowPunct/>
              <w:topLinePunct w:val="0"/>
              <w:bidi w:val="0"/>
              <w:spacing w:line="420" w:lineRule="exact"/>
              <w:ind w:right="0" w:rightChars="0"/>
              <w:jc w:val="left"/>
              <w:textAlignment w:val="auto"/>
              <w:rPr>
                <w:rFonts w:hint="eastAsia" w:ascii="仿宋" w:hAnsi="仿宋" w:eastAsia="仿宋" w:cs="仿宋"/>
                <w:b w:val="0"/>
                <w:bCs/>
                <w:color w:val="auto"/>
                <w:sz w:val="24"/>
                <w:szCs w:val="24"/>
                <w:highlight w:val="none"/>
                <w:lang w:val="zh-CN"/>
              </w:rPr>
            </w:pPr>
            <w:r>
              <w:rPr>
                <w:rFonts w:hint="eastAsia" w:ascii="仿宋" w:hAnsi="仿宋" w:eastAsia="仿宋" w:cs="仿宋"/>
                <w:b w:val="0"/>
                <w:bCs/>
                <w:color w:val="auto"/>
                <w:sz w:val="24"/>
                <w:szCs w:val="24"/>
                <w:highlight w:val="none"/>
                <w:lang w:val="en-US" w:eastAsia="zh-CN"/>
              </w:rPr>
              <w:t>根据投标人针对本项目提供的应急响应服务方案，包括但不限于应急情况分析及响应时间、人员及设备安排等应急保障措施，0-5分。</w:t>
            </w:r>
          </w:p>
        </w:tc>
        <w:tc>
          <w:tcPr>
            <w:tcW w:w="721" w:type="dxa"/>
            <w:shd w:val="clear" w:color="auto" w:fill="FFFFFF"/>
            <w:vAlign w:val="center"/>
          </w:tcPr>
          <w:p w14:paraId="6A7AE7F5">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5</w:t>
            </w:r>
          </w:p>
        </w:tc>
      </w:tr>
      <w:tr w14:paraId="12CCD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04" w:type="dxa"/>
            <w:shd w:val="clear" w:color="auto" w:fill="FFFFFF"/>
            <w:vAlign w:val="center"/>
          </w:tcPr>
          <w:p w14:paraId="6C6C44E7">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9</w:t>
            </w:r>
          </w:p>
        </w:tc>
        <w:tc>
          <w:tcPr>
            <w:tcW w:w="1391" w:type="dxa"/>
            <w:shd w:val="clear" w:color="auto" w:fill="FFFFFF"/>
            <w:vAlign w:val="center"/>
          </w:tcPr>
          <w:p w14:paraId="6F6D5A5B">
            <w:pPr>
              <w:keepNext w:val="0"/>
              <w:keepLines w:val="0"/>
              <w:pageBreakBefore w:val="0"/>
              <w:widowControl/>
              <w:kinsoku/>
              <w:wordWrap/>
              <w:overflowPunct/>
              <w:topLinePunct w:val="0"/>
              <w:autoSpaceDE/>
              <w:autoSpaceDN/>
              <w:bidi w:val="0"/>
              <w:snapToGrid/>
              <w:spacing w:line="420" w:lineRule="exact"/>
              <w:ind w:right="0" w:rightChars="0"/>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档案管理</w:t>
            </w:r>
          </w:p>
        </w:tc>
        <w:tc>
          <w:tcPr>
            <w:tcW w:w="6356" w:type="dxa"/>
            <w:shd w:val="clear" w:color="auto" w:fill="FFFFFF"/>
            <w:vAlign w:val="center"/>
          </w:tcPr>
          <w:p w14:paraId="70D603AC">
            <w:pPr>
              <w:keepNext w:val="0"/>
              <w:keepLines w:val="0"/>
              <w:pageBreakBefore w:val="0"/>
              <w:widowControl/>
              <w:kinsoku/>
              <w:wordWrap/>
              <w:overflowPunct/>
              <w:topLinePunct w:val="0"/>
              <w:autoSpaceDE/>
              <w:autoSpaceDN/>
              <w:bidi w:val="0"/>
              <w:snapToGrid/>
              <w:spacing w:line="420" w:lineRule="exact"/>
              <w:ind w:right="0" w:rightChars="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根据投标人针对本项目的资料数据整合建立档案方案等进行打分，0-5分。</w:t>
            </w:r>
          </w:p>
        </w:tc>
        <w:tc>
          <w:tcPr>
            <w:tcW w:w="721" w:type="dxa"/>
            <w:shd w:val="clear" w:color="auto" w:fill="FFFFFF"/>
            <w:vAlign w:val="center"/>
          </w:tcPr>
          <w:p w14:paraId="7E346EE1">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5</w:t>
            </w:r>
          </w:p>
        </w:tc>
      </w:tr>
      <w:tr w14:paraId="34B2B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jc w:val="center"/>
        </w:trPr>
        <w:tc>
          <w:tcPr>
            <w:tcW w:w="804" w:type="dxa"/>
            <w:shd w:val="clear" w:color="auto" w:fill="FFFFFF"/>
            <w:vAlign w:val="center"/>
          </w:tcPr>
          <w:p w14:paraId="523B64C3">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val="en-US" w:eastAsia="zh-CN"/>
              </w:rPr>
            </w:pPr>
            <w:bookmarkStart w:id="186" w:name="_GoBack" w:colFirst="3" w:colLast="3"/>
            <w:r>
              <w:rPr>
                <w:rFonts w:hint="eastAsia" w:ascii="仿宋" w:hAnsi="仿宋" w:eastAsia="仿宋" w:cs="仿宋"/>
                <w:b w:val="0"/>
                <w:bCs/>
                <w:color w:val="auto"/>
                <w:sz w:val="24"/>
                <w:szCs w:val="24"/>
                <w:highlight w:val="none"/>
                <w:lang w:val="en-US" w:eastAsia="zh-CN"/>
              </w:rPr>
              <w:t>10</w:t>
            </w:r>
          </w:p>
        </w:tc>
        <w:tc>
          <w:tcPr>
            <w:tcW w:w="1391" w:type="dxa"/>
            <w:shd w:val="clear" w:color="auto" w:fill="FFFFFF"/>
            <w:vAlign w:val="center"/>
          </w:tcPr>
          <w:p w14:paraId="5B539425">
            <w:pPr>
              <w:keepNext w:val="0"/>
              <w:keepLines w:val="0"/>
              <w:pageBreakBefore w:val="0"/>
              <w:kinsoku/>
              <w:wordWrap/>
              <w:overflowPunct/>
              <w:topLinePunct w:val="0"/>
              <w:bidi w:val="0"/>
              <w:spacing w:line="420" w:lineRule="exact"/>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保密措施</w:t>
            </w:r>
          </w:p>
        </w:tc>
        <w:tc>
          <w:tcPr>
            <w:tcW w:w="6356" w:type="dxa"/>
            <w:shd w:val="clear" w:color="auto" w:fill="FFFFFF"/>
            <w:vAlign w:val="center"/>
          </w:tcPr>
          <w:p w14:paraId="3BF94F81">
            <w:pPr>
              <w:keepNext w:val="0"/>
              <w:keepLines w:val="0"/>
              <w:pageBreakBefore w:val="0"/>
              <w:kinsoku/>
              <w:wordWrap/>
              <w:overflowPunct/>
              <w:topLinePunct w:val="0"/>
              <w:bidi w:val="0"/>
              <w:spacing w:line="420" w:lineRule="exact"/>
              <w:jc w:val="left"/>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项目档案管理和成果资料安全保密措施是否全面有针对性进行打分，0-5分。</w:t>
            </w:r>
          </w:p>
        </w:tc>
        <w:tc>
          <w:tcPr>
            <w:tcW w:w="721" w:type="dxa"/>
            <w:shd w:val="clear" w:color="auto" w:fill="FFFFFF"/>
            <w:vAlign w:val="center"/>
          </w:tcPr>
          <w:p w14:paraId="6189D209">
            <w:pPr>
              <w:keepNext w:val="0"/>
              <w:keepLines w:val="0"/>
              <w:pageBreakBefore w:val="0"/>
              <w:widowControl w:val="0"/>
              <w:kinsoku/>
              <w:wordWrap/>
              <w:overflowPunct/>
              <w:topLinePunct w:val="0"/>
              <w:bidi w:val="0"/>
              <w:spacing w:line="324" w:lineRule="auto"/>
              <w:jc w:val="center"/>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5</w:t>
            </w:r>
          </w:p>
        </w:tc>
      </w:tr>
    </w:tbl>
    <w:p w14:paraId="63CA36C4">
      <w:pPr>
        <w:adjustRightInd/>
        <w:spacing w:line="336" w:lineRule="auto"/>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备注：供应商编制响应文件时，建议按此目录（序号和内容）提供评审标准相应的商务技术资料。</w:t>
      </w:r>
    </w:p>
    <w:p w14:paraId="265B2118">
      <w:pPr>
        <w:spacing w:line="336" w:lineRule="auto"/>
        <w:ind w:firstLine="482" w:firstLineChars="200"/>
        <w:rPr>
          <w:rFonts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u w:val="single"/>
          <w:lang w:val="en-US" w:eastAsia="zh-CN"/>
        </w:rPr>
        <w:t>10</w:t>
      </w:r>
      <w:r>
        <w:rPr>
          <w:rFonts w:hint="eastAsia" w:ascii="仿宋" w:hAnsi="仿宋" w:eastAsia="仿宋" w:cs="仿宋"/>
          <w:b/>
          <w:bCs/>
          <w:iCs/>
          <w:color w:val="auto"/>
          <w:sz w:val="24"/>
          <w:highlight w:val="none"/>
        </w:rPr>
        <w:t>分）</w:t>
      </w:r>
    </w:p>
    <w:p w14:paraId="02A6CB82">
      <w:pPr>
        <w:spacing w:line="336" w:lineRule="auto"/>
        <w:ind w:firstLine="480" w:firstLineChars="200"/>
        <w:rPr>
          <w:rFonts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2.2.1评标基准价：即满足磋商文件要求且磋商价格最低的磋商报价为评标基准价，其价格分为满分。</w:t>
      </w:r>
    </w:p>
    <w:p w14:paraId="5AEBFFB8">
      <w:pPr>
        <w:spacing w:line="336" w:lineRule="auto"/>
        <w:ind w:firstLine="480" w:firstLineChars="200"/>
        <w:rPr>
          <w:rFonts w:ascii="仿宋" w:hAnsi="仿宋" w:eastAsia="仿宋" w:cs="仿宋"/>
          <w:bCs/>
          <w:iCs/>
          <w:color w:val="auto"/>
          <w:sz w:val="24"/>
          <w:highlight w:val="none"/>
        </w:rPr>
      </w:pPr>
      <w:r>
        <w:rPr>
          <w:rFonts w:hint="eastAsia" w:ascii="仿宋" w:hAnsi="仿宋" w:eastAsia="仿宋" w:cs="仿宋"/>
          <w:bCs/>
          <w:iCs/>
          <w:color w:val="auto"/>
          <w:sz w:val="24"/>
          <w:highlight w:val="none"/>
        </w:rPr>
        <w:t>2.2.2其他供应商的价格分统一按照下列公式计算：</w:t>
      </w:r>
    </w:p>
    <w:p w14:paraId="6E9BE1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6" w:lineRule="auto"/>
        <w:ind w:firstLine="480" w:firstLineChars="200"/>
        <w:rPr>
          <w:rFonts w:ascii="仿宋" w:hAnsi="仿宋" w:eastAsia="仿宋" w:cs="仿宋"/>
          <w:bCs/>
          <w:iCs/>
          <w:color w:val="auto"/>
          <w:sz w:val="24"/>
          <w:highlight w:val="none"/>
        </w:rPr>
      </w:pPr>
      <w:r>
        <w:rPr>
          <w:rFonts w:hint="eastAsia" w:ascii="仿宋" w:hAnsi="仿宋" w:eastAsia="仿宋" w:cs="仿宋"/>
          <w:bCs/>
          <w:iCs/>
          <w:color w:val="auto"/>
          <w:sz w:val="24"/>
          <w:highlight w:val="none"/>
        </w:rPr>
        <w:t>磋商报价得分=(评标基准价／磋商报价)×价格权值×100</w:t>
      </w:r>
    </w:p>
    <w:p w14:paraId="24472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6" w:lineRule="auto"/>
        <w:ind w:firstLine="480" w:firstLineChars="200"/>
        <w:rPr>
          <w:rFonts w:hint="default" w:ascii="仿宋" w:hAnsi="仿宋" w:eastAsia="仿宋" w:cs="仿宋"/>
          <w:bCs/>
          <w:iCs/>
          <w:color w:val="auto"/>
          <w:sz w:val="24"/>
          <w:highlight w:val="none"/>
          <w:lang w:val="en-US" w:eastAsia="zh-CN"/>
        </w:rPr>
      </w:pPr>
      <w:r>
        <w:rPr>
          <w:rFonts w:hint="eastAsia" w:ascii="仿宋" w:hAnsi="仿宋" w:eastAsia="仿宋" w:cs="仿宋"/>
          <w:bCs/>
          <w:iCs/>
          <w:color w:val="auto"/>
          <w:sz w:val="24"/>
          <w:highlight w:val="none"/>
        </w:rPr>
        <w:t>即：磋商报价得分=(评标基准价／磋商报价)×</w:t>
      </w:r>
      <w:r>
        <w:rPr>
          <w:rFonts w:hint="eastAsia" w:ascii="仿宋" w:hAnsi="仿宋" w:eastAsia="仿宋" w:cs="仿宋"/>
          <w:bCs/>
          <w:iCs/>
          <w:color w:val="auto"/>
          <w:sz w:val="24"/>
          <w:highlight w:val="none"/>
          <w:u w:val="single"/>
          <w:lang w:val="en-US" w:eastAsia="zh-CN"/>
        </w:rPr>
        <w:t>10</w:t>
      </w:r>
    </w:p>
    <w:p w14:paraId="62CFB53A">
      <w:pPr>
        <w:pStyle w:val="2"/>
        <w:spacing w:line="336" w:lineRule="auto"/>
        <w:rPr>
          <w:rFonts w:ascii="仿宋" w:hAnsi="仿宋" w:eastAsia="仿宋" w:cs="仿宋"/>
          <w:color w:val="auto"/>
          <w:highlight w:val="none"/>
        </w:rPr>
      </w:pPr>
    </w:p>
    <w:p w14:paraId="53B6F6A6">
      <w:pPr>
        <w:adjustRightInd/>
        <w:spacing w:line="336" w:lineRule="auto"/>
        <w:ind w:firstLine="482" w:firstLineChars="200"/>
        <w:rPr>
          <w:rFonts w:ascii="仿宋" w:hAnsi="仿宋" w:eastAsia="仿宋" w:cs="仿宋"/>
          <w:b/>
          <w:color w:val="auto"/>
          <w:kern w:val="0"/>
          <w:sz w:val="24"/>
          <w:highlight w:val="none"/>
        </w:rPr>
      </w:pPr>
    </w:p>
    <w:p w14:paraId="606F9347">
      <w:pPr>
        <w:pStyle w:val="2"/>
        <w:spacing w:line="336" w:lineRule="auto"/>
        <w:rPr>
          <w:rFonts w:ascii="仿宋" w:hAnsi="仿宋" w:eastAsia="仿宋" w:cs="仿宋"/>
          <w:b/>
          <w:color w:val="auto"/>
          <w:highlight w:val="none"/>
        </w:rPr>
      </w:pPr>
    </w:p>
    <w:p w14:paraId="0AE95372">
      <w:pPr>
        <w:pStyle w:val="24"/>
        <w:spacing w:line="336" w:lineRule="auto"/>
        <w:ind w:left="0"/>
        <w:rPr>
          <w:rFonts w:ascii="仿宋" w:hAnsi="仿宋" w:eastAsia="仿宋" w:cs="仿宋"/>
          <w:b/>
          <w:color w:val="auto"/>
          <w:sz w:val="24"/>
          <w:highlight w:val="none"/>
        </w:rPr>
      </w:pPr>
    </w:p>
    <w:p w14:paraId="01650E73">
      <w:pPr>
        <w:spacing w:line="336" w:lineRule="auto"/>
        <w:rPr>
          <w:rFonts w:ascii="仿宋" w:hAnsi="仿宋" w:eastAsia="仿宋" w:cs="仿宋"/>
          <w:b/>
          <w:color w:val="auto"/>
          <w:kern w:val="0"/>
          <w:sz w:val="24"/>
          <w:highlight w:val="none"/>
        </w:rPr>
      </w:pPr>
    </w:p>
    <w:p w14:paraId="704B89F7">
      <w:pPr>
        <w:pStyle w:val="2"/>
        <w:spacing w:line="336" w:lineRule="auto"/>
        <w:rPr>
          <w:rFonts w:ascii="仿宋" w:hAnsi="仿宋" w:eastAsia="仿宋" w:cs="仿宋"/>
          <w:b/>
          <w:color w:val="auto"/>
          <w:highlight w:val="none"/>
        </w:rPr>
      </w:pPr>
    </w:p>
    <w:p w14:paraId="75FF297E">
      <w:pPr>
        <w:pStyle w:val="24"/>
        <w:spacing w:line="336" w:lineRule="auto"/>
        <w:ind w:left="0"/>
        <w:rPr>
          <w:rFonts w:ascii="仿宋" w:hAnsi="仿宋" w:eastAsia="仿宋" w:cs="仿宋"/>
          <w:b/>
          <w:color w:val="auto"/>
          <w:sz w:val="24"/>
          <w:highlight w:val="none"/>
        </w:rPr>
      </w:pPr>
    </w:p>
    <w:p w14:paraId="3EF18AAF">
      <w:pPr>
        <w:spacing w:line="336" w:lineRule="auto"/>
        <w:rPr>
          <w:rFonts w:ascii="仿宋" w:hAnsi="仿宋" w:eastAsia="仿宋" w:cs="仿宋"/>
          <w:b/>
          <w:color w:val="auto"/>
          <w:kern w:val="0"/>
          <w:sz w:val="24"/>
          <w:highlight w:val="none"/>
        </w:rPr>
      </w:pPr>
    </w:p>
    <w:p w14:paraId="5F0D77E3">
      <w:pPr>
        <w:pStyle w:val="2"/>
        <w:spacing w:line="336" w:lineRule="auto"/>
        <w:rPr>
          <w:rFonts w:ascii="仿宋" w:hAnsi="仿宋" w:eastAsia="仿宋" w:cs="仿宋"/>
          <w:b/>
          <w:color w:val="auto"/>
          <w:highlight w:val="none"/>
        </w:rPr>
      </w:pPr>
    </w:p>
    <w:p w14:paraId="79098772">
      <w:pPr>
        <w:pStyle w:val="24"/>
        <w:spacing w:line="336" w:lineRule="auto"/>
        <w:ind w:left="0"/>
        <w:rPr>
          <w:rFonts w:ascii="仿宋" w:hAnsi="仿宋" w:eastAsia="仿宋" w:cs="仿宋"/>
          <w:b/>
          <w:color w:val="auto"/>
          <w:sz w:val="24"/>
          <w:highlight w:val="none"/>
        </w:rPr>
      </w:pPr>
    </w:p>
    <w:p w14:paraId="29EC50D5">
      <w:pPr>
        <w:spacing w:line="336" w:lineRule="auto"/>
        <w:rPr>
          <w:rFonts w:ascii="仿宋" w:hAnsi="仿宋" w:eastAsia="仿宋" w:cs="仿宋"/>
          <w:b/>
          <w:color w:val="auto"/>
          <w:kern w:val="0"/>
          <w:sz w:val="24"/>
          <w:highlight w:val="none"/>
        </w:rPr>
      </w:pPr>
    </w:p>
    <w:p w14:paraId="03C9377C">
      <w:pPr>
        <w:pStyle w:val="2"/>
        <w:spacing w:line="336" w:lineRule="auto"/>
        <w:rPr>
          <w:rFonts w:ascii="仿宋" w:hAnsi="仿宋" w:eastAsia="仿宋" w:cs="仿宋"/>
          <w:b/>
          <w:color w:val="auto"/>
          <w:highlight w:val="none"/>
        </w:rPr>
      </w:pPr>
    </w:p>
    <w:p w14:paraId="232B2A8B">
      <w:pPr>
        <w:pStyle w:val="24"/>
        <w:spacing w:line="336" w:lineRule="auto"/>
        <w:ind w:left="0"/>
        <w:rPr>
          <w:rFonts w:ascii="仿宋" w:hAnsi="仿宋" w:eastAsia="仿宋" w:cs="仿宋"/>
          <w:b/>
          <w:color w:val="auto"/>
          <w:sz w:val="24"/>
          <w:highlight w:val="none"/>
        </w:rPr>
      </w:pPr>
    </w:p>
    <w:p w14:paraId="35326AFD">
      <w:pPr>
        <w:spacing w:line="336" w:lineRule="auto"/>
        <w:rPr>
          <w:rFonts w:ascii="仿宋" w:hAnsi="仿宋" w:eastAsia="仿宋" w:cs="仿宋"/>
          <w:b/>
          <w:color w:val="auto"/>
          <w:kern w:val="0"/>
          <w:sz w:val="24"/>
          <w:highlight w:val="none"/>
        </w:rPr>
      </w:pPr>
    </w:p>
    <w:p w14:paraId="5A56D3FC">
      <w:pPr>
        <w:pStyle w:val="2"/>
        <w:spacing w:line="336" w:lineRule="auto"/>
        <w:rPr>
          <w:rFonts w:ascii="仿宋" w:hAnsi="仿宋" w:eastAsia="仿宋" w:cs="仿宋"/>
          <w:b/>
          <w:color w:val="auto"/>
          <w:highlight w:val="none"/>
        </w:rPr>
      </w:pPr>
    </w:p>
    <w:p w14:paraId="7894941C">
      <w:pPr>
        <w:pStyle w:val="24"/>
        <w:spacing w:line="336" w:lineRule="auto"/>
        <w:ind w:left="0"/>
        <w:rPr>
          <w:rFonts w:ascii="仿宋" w:hAnsi="仿宋" w:eastAsia="仿宋" w:cs="仿宋"/>
          <w:b/>
          <w:color w:val="auto"/>
          <w:sz w:val="24"/>
          <w:highlight w:val="none"/>
        </w:rPr>
      </w:pPr>
    </w:p>
    <w:p w14:paraId="26A31E4F">
      <w:pPr>
        <w:spacing w:line="336" w:lineRule="auto"/>
        <w:rPr>
          <w:rFonts w:ascii="仿宋" w:hAnsi="仿宋" w:eastAsia="仿宋" w:cs="仿宋"/>
          <w:b/>
          <w:color w:val="auto"/>
          <w:kern w:val="0"/>
          <w:sz w:val="24"/>
          <w:highlight w:val="none"/>
        </w:rPr>
      </w:pPr>
    </w:p>
    <w:p w14:paraId="411C3120">
      <w:pPr>
        <w:pStyle w:val="24"/>
        <w:spacing w:line="336" w:lineRule="auto"/>
        <w:ind w:left="0"/>
        <w:rPr>
          <w:rFonts w:ascii="仿宋" w:hAnsi="仿宋" w:eastAsia="仿宋" w:cs="仿宋"/>
          <w:b/>
          <w:color w:val="auto"/>
          <w:sz w:val="24"/>
          <w:highlight w:val="none"/>
        </w:rPr>
      </w:pPr>
    </w:p>
    <w:p w14:paraId="07F9BFE6">
      <w:pPr>
        <w:rPr>
          <w:rFonts w:ascii="仿宋" w:hAnsi="仿宋" w:eastAsia="仿宋" w:cs="仿宋"/>
          <w:b/>
          <w:color w:val="auto"/>
          <w:sz w:val="24"/>
          <w:highlight w:val="none"/>
        </w:rPr>
      </w:pPr>
    </w:p>
    <w:p w14:paraId="00626611">
      <w:pPr>
        <w:pStyle w:val="4"/>
        <w:numPr>
          <w:ilvl w:val="0"/>
          <w:numId w:val="0"/>
        </w:numPr>
        <w:ind w:leftChars="0"/>
        <w:rPr>
          <w:rFonts w:ascii="仿宋" w:hAnsi="仿宋" w:eastAsia="仿宋" w:cs="仿宋"/>
          <w:b/>
          <w:color w:val="auto"/>
          <w:sz w:val="24"/>
          <w:highlight w:val="none"/>
        </w:rPr>
      </w:pPr>
    </w:p>
    <w:p w14:paraId="23306FA0">
      <w:pPr>
        <w:rPr>
          <w:rFonts w:ascii="仿宋" w:hAnsi="仿宋" w:eastAsia="仿宋" w:cs="仿宋"/>
          <w:b/>
          <w:color w:val="auto"/>
          <w:sz w:val="24"/>
          <w:highlight w:val="none"/>
        </w:rPr>
      </w:pPr>
    </w:p>
    <w:p w14:paraId="6CA2C530">
      <w:pPr>
        <w:pStyle w:val="4"/>
        <w:numPr>
          <w:ilvl w:val="0"/>
          <w:numId w:val="0"/>
        </w:numPr>
        <w:ind w:leftChars="0"/>
        <w:rPr>
          <w:color w:val="auto"/>
          <w:highlight w:val="none"/>
        </w:rPr>
      </w:pPr>
    </w:p>
    <w:p w14:paraId="716780FF">
      <w:pPr>
        <w:rPr>
          <w:color w:val="auto"/>
          <w:highlight w:val="none"/>
        </w:rPr>
      </w:pPr>
    </w:p>
    <w:p w14:paraId="7D75C0C8">
      <w:pPr>
        <w:spacing w:line="336" w:lineRule="auto"/>
        <w:jc w:val="center"/>
        <w:rPr>
          <w:rFonts w:ascii="仿宋" w:hAnsi="仿宋" w:eastAsia="仿宋" w:cs="仿宋"/>
          <w:b/>
          <w:color w:val="auto"/>
          <w:kern w:val="0"/>
          <w:sz w:val="24"/>
          <w:highlight w:val="none"/>
        </w:rPr>
      </w:pPr>
      <w:r>
        <w:rPr>
          <w:rFonts w:hint="eastAsia" w:ascii="仿宋" w:hAnsi="仿宋" w:eastAsia="仿宋" w:cs="仿宋"/>
          <w:b/>
          <w:color w:val="auto"/>
          <w:sz w:val="36"/>
          <w:szCs w:val="20"/>
          <w:highlight w:val="none"/>
        </w:rPr>
        <w:t xml:space="preserve">第六部分 </w:t>
      </w:r>
      <w:r>
        <w:rPr>
          <w:rFonts w:hint="default" w:ascii="仿宋" w:hAnsi="仿宋" w:eastAsia="仿宋" w:cs="仿宋"/>
          <w:b/>
          <w:color w:val="auto"/>
          <w:sz w:val="36"/>
          <w:szCs w:val="20"/>
          <w:highlight w:val="none"/>
          <w:lang w:val="en-US"/>
        </w:rPr>
        <w:t>磋商响应文件及其附件格式</w:t>
      </w:r>
    </w:p>
    <w:p w14:paraId="1EC9CFE9">
      <w:pPr>
        <w:pStyle w:val="24"/>
        <w:spacing w:line="336" w:lineRule="auto"/>
        <w:ind w:left="0"/>
        <w:rPr>
          <w:rFonts w:ascii="仿宋" w:hAnsi="仿宋" w:eastAsia="仿宋" w:cs="仿宋"/>
          <w:b/>
          <w:color w:val="auto"/>
          <w:sz w:val="24"/>
          <w:highlight w:val="none"/>
        </w:rPr>
      </w:pPr>
    </w:p>
    <w:p w14:paraId="78D20130">
      <w:pPr>
        <w:spacing w:line="336" w:lineRule="auto"/>
        <w:rPr>
          <w:rFonts w:ascii="仿宋" w:hAnsi="仿宋" w:eastAsia="仿宋" w:cs="仿宋"/>
          <w:b/>
          <w:color w:val="auto"/>
          <w:kern w:val="0"/>
          <w:sz w:val="24"/>
          <w:highlight w:val="none"/>
        </w:rPr>
      </w:pPr>
    </w:p>
    <w:p w14:paraId="04D1DC5E">
      <w:pPr>
        <w:pStyle w:val="2"/>
        <w:spacing w:line="336" w:lineRule="auto"/>
        <w:rPr>
          <w:rFonts w:ascii="仿宋" w:hAnsi="仿宋" w:eastAsia="仿宋" w:cs="仿宋"/>
          <w:color w:val="auto"/>
          <w:highlight w:val="none"/>
        </w:rPr>
      </w:pPr>
    </w:p>
    <w:bookmarkEnd w:id="176"/>
    <w:p w14:paraId="72BAA2B3">
      <w:pPr>
        <w:spacing w:line="336"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1D2C3A17">
      <w:pPr>
        <w:spacing w:line="336"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10BB9F7E">
      <w:pPr>
        <w:spacing w:line="336" w:lineRule="auto"/>
        <w:jc w:val="center"/>
        <w:outlineLvl w:val="0"/>
        <w:rPr>
          <w:rFonts w:ascii="仿宋" w:hAnsi="仿宋" w:eastAsia="仿宋" w:cs="仿宋"/>
          <w:b/>
          <w:color w:val="auto"/>
          <w:kern w:val="0"/>
          <w:sz w:val="36"/>
          <w:szCs w:val="36"/>
          <w:highlight w:val="none"/>
        </w:rPr>
      </w:pPr>
    </w:p>
    <w:p w14:paraId="319EC0A4">
      <w:pPr>
        <w:numPr>
          <w:ilvl w:val="0"/>
          <w:numId w:val="7"/>
        </w:num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符合参加政府采购活动应当具备的一般条件的承诺函……………（页码）</w:t>
      </w:r>
    </w:p>
    <w:p w14:paraId="1CBCFDD8">
      <w:pPr>
        <w:numPr>
          <w:ilvl w:val="0"/>
          <w:numId w:val="7"/>
        </w:numPr>
        <w:snapToGrid w:val="0"/>
        <w:spacing w:line="336" w:lineRule="auto"/>
        <w:rPr>
          <w:rFonts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联合协议</w:t>
      </w:r>
      <w:r>
        <w:rPr>
          <w:rFonts w:hint="eastAsia" w:ascii="仿宋" w:hAnsi="仿宋" w:eastAsia="仿宋" w:cs="仿宋"/>
          <w:color w:val="auto"/>
          <w:sz w:val="24"/>
          <w:highlight w:val="none"/>
        </w:rPr>
        <w:t>………………………………………………………………（页码）</w:t>
      </w:r>
    </w:p>
    <w:p w14:paraId="639F4E55">
      <w:pPr>
        <w:pStyle w:val="9"/>
        <w:spacing w:line="336" w:lineRule="auto"/>
        <w:rPr>
          <w:rFonts w:ascii="仿宋" w:hAnsi="仿宋" w:eastAsia="仿宋" w:cs="仿宋"/>
          <w:color w:val="auto"/>
          <w:highlight w:val="none"/>
        </w:rPr>
      </w:pPr>
      <w:r>
        <w:rPr>
          <w:rFonts w:hint="eastAsia" w:ascii="仿宋" w:hAnsi="仿宋" w:eastAsia="仿宋" w:cs="仿宋"/>
          <w:color w:val="auto"/>
          <w:highlight w:val="none"/>
        </w:rPr>
        <w:t>（3）分包协议………………………………………………………………（页码）</w:t>
      </w:r>
    </w:p>
    <w:p w14:paraId="712AA16C">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（4）落实政府采购政策需满足的资格要求………………………………（页码）</w:t>
      </w:r>
    </w:p>
    <w:p w14:paraId="3164F430">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（5）本项目的特定资格要求………………………………………………（页码）</w:t>
      </w:r>
    </w:p>
    <w:p w14:paraId="5F9430E0">
      <w:pPr>
        <w:pStyle w:val="30"/>
        <w:keepNext w:val="0"/>
        <w:pageBreakBefore w:val="0"/>
        <w:tabs>
          <w:tab w:val="clear" w:pos="720"/>
        </w:tabs>
        <w:spacing w:line="336" w:lineRule="auto"/>
        <w:jc w:val="center"/>
        <w:outlineLvl w:val="9"/>
        <w:rPr>
          <w:rFonts w:ascii="仿宋" w:hAnsi="仿宋" w:eastAsia="仿宋" w:cs="仿宋"/>
          <w:color w:val="auto"/>
          <w:kern w:val="0"/>
          <w:sz w:val="32"/>
          <w:szCs w:val="32"/>
          <w:highlight w:val="none"/>
        </w:rPr>
      </w:pPr>
      <w:r>
        <w:rPr>
          <w:rFonts w:hint="eastAsia" w:ascii="仿宋" w:hAnsi="仿宋" w:eastAsia="仿宋" w:cs="仿宋"/>
          <w:color w:val="auto"/>
          <w:szCs w:val="36"/>
          <w:highlight w:val="none"/>
        </w:rPr>
        <w:br w:type="page"/>
      </w:r>
      <w:r>
        <w:rPr>
          <w:rFonts w:hint="eastAsia" w:ascii="仿宋" w:hAnsi="仿宋" w:eastAsia="仿宋" w:cs="仿宋"/>
          <w:color w:val="auto"/>
          <w:szCs w:val="36"/>
          <w:highlight w:val="none"/>
        </w:rPr>
        <w:t>一</w:t>
      </w:r>
      <w:r>
        <w:rPr>
          <w:rFonts w:hint="eastAsia" w:ascii="仿宋" w:hAnsi="仿宋" w:eastAsia="仿宋" w:cs="仿宋"/>
          <w:color w:val="auto"/>
          <w:kern w:val="0"/>
          <w:sz w:val="32"/>
          <w:szCs w:val="32"/>
          <w:highlight w:val="none"/>
        </w:rPr>
        <w:t>、符合参加政府采购活动应当具备的一般条件的承诺函</w:t>
      </w:r>
    </w:p>
    <w:p w14:paraId="37C89148">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24F7DAD0">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lang w:eastAsia="zh-CN"/>
        </w:rPr>
        <w:t>绍兴市“十五五”期间盘活存量资产推动高质量发展专项规划项目</w:t>
      </w:r>
      <w:r>
        <w:rPr>
          <w:rFonts w:hint="eastAsia" w:ascii="仿宋" w:hAnsi="仿宋" w:eastAsia="仿宋" w:cs="仿宋"/>
          <w:color w:val="auto"/>
          <w:kern w:val="0"/>
          <w:sz w:val="24"/>
          <w:highlight w:val="none"/>
          <w:lang w:val="zh-CN"/>
        </w:rPr>
        <w:t>【项目编号：SXQS-202502-CS011】</w:t>
      </w:r>
      <w:r>
        <w:rPr>
          <w:rFonts w:hint="eastAsia" w:ascii="仿宋" w:hAnsi="仿宋" w:eastAsia="仿宋" w:cs="仿宋"/>
          <w:color w:val="auto"/>
          <w:sz w:val="24"/>
          <w:highlight w:val="none"/>
        </w:rPr>
        <w:t>政府采购活动，郑重承诺：</w:t>
      </w:r>
    </w:p>
    <w:p w14:paraId="3D411C76">
      <w:pPr>
        <w:snapToGrid w:val="0"/>
        <w:spacing w:line="336"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47C467AB">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1、具有独立承担民事责任的能力（如</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04E8F724">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72B038B7">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3A9E92BB">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3D00E159">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143F6137">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425DA2FA">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2AB124F8">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4F95213A">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4E69A37D">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56D1B8F4">
      <w:pPr>
        <w:spacing w:line="336"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37EDEC42">
      <w:pPr>
        <w:spacing w:line="336" w:lineRule="auto"/>
        <w:ind w:firstLine="6960" w:firstLineChars="2900"/>
        <w:rPr>
          <w:rFonts w:ascii="仿宋" w:hAnsi="仿宋" w:eastAsia="仿宋" w:cs="仿宋"/>
          <w:color w:val="auto"/>
          <w:sz w:val="24"/>
          <w:highlight w:val="none"/>
        </w:rPr>
      </w:pPr>
      <w:r>
        <w:rPr>
          <w:rFonts w:hint="eastAsia" w:ascii="仿宋" w:hAnsi="仿宋" w:eastAsia="仿宋" w:cs="仿宋"/>
          <w:color w:val="auto"/>
          <w:sz w:val="24"/>
          <w:highlight w:val="none"/>
        </w:rPr>
        <w:t>日 期：</w:t>
      </w:r>
    </w:p>
    <w:p w14:paraId="312A21F8">
      <w:pPr>
        <w:snapToGrid w:val="0"/>
        <w:spacing w:line="336" w:lineRule="auto"/>
        <w:jc w:val="center"/>
        <w:rPr>
          <w:rFonts w:ascii="仿宋" w:hAnsi="仿宋" w:eastAsia="仿宋" w:cs="仿宋"/>
          <w:b/>
          <w:color w:val="auto"/>
          <w:kern w:val="0"/>
          <w:sz w:val="32"/>
          <w:szCs w:val="32"/>
          <w:highlight w:val="none"/>
        </w:rPr>
      </w:pPr>
    </w:p>
    <w:p w14:paraId="6D9D98B5">
      <w:pPr>
        <w:widowControl/>
        <w:adjustRightInd/>
        <w:spacing w:line="336" w:lineRule="auto"/>
        <w:jc w:val="left"/>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5FEC8C06">
      <w:pPr>
        <w:widowControl/>
        <w:spacing w:line="336" w:lineRule="auto"/>
        <w:ind w:firstLine="643" w:firstLineChars="200"/>
        <w:jc w:val="center"/>
        <w:rPr>
          <w:rFonts w:hint="eastAsia" w:ascii="仿宋" w:hAnsi="仿宋" w:eastAsia="仿宋" w:cs="仿宋"/>
          <w:b/>
          <w:color w:val="auto"/>
          <w:kern w:val="0"/>
          <w:sz w:val="32"/>
          <w:szCs w:val="32"/>
          <w:highlight w:val="none"/>
        </w:rPr>
      </w:pPr>
    </w:p>
    <w:p w14:paraId="4B8153EA">
      <w:pPr>
        <w:widowControl/>
        <w:spacing w:line="336" w:lineRule="auto"/>
        <w:ind w:firstLine="643" w:firstLineChars="200"/>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二、联合协议（如有）</w:t>
      </w:r>
    </w:p>
    <w:p w14:paraId="2A594D3A">
      <w:pPr>
        <w:widowControl/>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[以联合体形式磋商的，提供联合协议（附件4）；本项目不接受联合体磋商或者供应商不以联合体形式磋商的，则不需要提供）]</w:t>
      </w:r>
    </w:p>
    <w:p w14:paraId="1DEBF7E5">
      <w:pPr>
        <w:snapToGrid w:val="0"/>
        <w:spacing w:line="336" w:lineRule="auto"/>
        <w:jc w:val="center"/>
        <w:rPr>
          <w:rFonts w:ascii="仿宋" w:hAnsi="仿宋" w:eastAsia="仿宋" w:cs="仿宋"/>
          <w:b/>
          <w:color w:val="auto"/>
          <w:kern w:val="0"/>
          <w:sz w:val="32"/>
          <w:szCs w:val="32"/>
          <w:highlight w:val="none"/>
        </w:rPr>
      </w:pPr>
    </w:p>
    <w:p w14:paraId="35808447">
      <w:pPr>
        <w:pStyle w:val="2"/>
        <w:rPr>
          <w:color w:val="auto"/>
          <w:highlight w:val="none"/>
        </w:rPr>
      </w:pPr>
    </w:p>
    <w:p w14:paraId="52391763">
      <w:pPr>
        <w:rPr>
          <w:color w:val="auto"/>
          <w:highlight w:val="none"/>
        </w:rPr>
      </w:pPr>
    </w:p>
    <w:p w14:paraId="3811FFF3">
      <w:pPr>
        <w:snapToGrid w:val="0"/>
        <w:spacing w:line="336" w:lineRule="auto"/>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三、分包意向协议（如有）</w:t>
      </w:r>
    </w:p>
    <w:p w14:paraId="68A46C06">
      <w:pPr>
        <w:widowControl/>
        <w:spacing w:line="336" w:lineRule="auto"/>
        <w:ind w:firstLine="361" w:firstLineChars="15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[中标后以分包方式履行合同的，提供分包意向协议(附件5)；采购人不同意分包或者供应商中标后不以分包方式履行合同的，则不需要提供。]</w:t>
      </w:r>
    </w:p>
    <w:p w14:paraId="415049D3">
      <w:pPr>
        <w:snapToGrid w:val="0"/>
        <w:spacing w:line="336" w:lineRule="auto"/>
        <w:jc w:val="both"/>
        <w:rPr>
          <w:rFonts w:ascii="仿宋" w:hAnsi="仿宋" w:eastAsia="仿宋" w:cs="仿宋"/>
          <w:b/>
          <w:color w:val="auto"/>
          <w:sz w:val="32"/>
          <w:szCs w:val="32"/>
          <w:highlight w:val="none"/>
        </w:rPr>
      </w:pPr>
    </w:p>
    <w:p w14:paraId="19D10689">
      <w:pPr>
        <w:pStyle w:val="2"/>
        <w:rPr>
          <w:rFonts w:ascii="仿宋" w:hAnsi="仿宋" w:eastAsia="仿宋" w:cs="仿宋"/>
          <w:b/>
          <w:color w:val="auto"/>
          <w:sz w:val="32"/>
          <w:szCs w:val="32"/>
          <w:highlight w:val="none"/>
        </w:rPr>
      </w:pPr>
    </w:p>
    <w:p w14:paraId="721E16B7">
      <w:pPr>
        <w:pStyle w:val="24"/>
        <w:ind w:left="0" w:leftChars="0" w:firstLine="0" w:firstLineChars="0"/>
        <w:rPr>
          <w:rFonts w:ascii="仿宋" w:hAnsi="仿宋" w:eastAsia="仿宋" w:cs="仿宋"/>
          <w:b/>
          <w:color w:val="auto"/>
          <w:sz w:val="32"/>
          <w:szCs w:val="32"/>
          <w:highlight w:val="none"/>
        </w:rPr>
      </w:pPr>
    </w:p>
    <w:p w14:paraId="0C1B5566">
      <w:pPr>
        <w:rPr>
          <w:rFonts w:ascii="仿宋" w:hAnsi="仿宋" w:eastAsia="仿宋" w:cs="仿宋"/>
          <w:b/>
          <w:color w:val="auto"/>
          <w:sz w:val="32"/>
          <w:szCs w:val="32"/>
          <w:highlight w:val="none"/>
        </w:rPr>
      </w:pPr>
    </w:p>
    <w:p w14:paraId="771243A3">
      <w:pPr>
        <w:pStyle w:val="2"/>
        <w:rPr>
          <w:rFonts w:ascii="仿宋" w:hAnsi="仿宋" w:eastAsia="仿宋" w:cs="仿宋"/>
          <w:b/>
          <w:color w:val="auto"/>
          <w:sz w:val="32"/>
          <w:szCs w:val="32"/>
          <w:highlight w:val="none"/>
        </w:rPr>
      </w:pPr>
    </w:p>
    <w:p w14:paraId="0538DD85">
      <w:pPr>
        <w:pStyle w:val="24"/>
        <w:rPr>
          <w:rFonts w:ascii="仿宋" w:hAnsi="仿宋" w:eastAsia="仿宋" w:cs="仿宋"/>
          <w:b/>
          <w:color w:val="auto"/>
          <w:sz w:val="32"/>
          <w:szCs w:val="32"/>
          <w:highlight w:val="none"/>
        </w:rPr>
      </w:pPr>
    </w:p>
    <w:p w14:paraId="3B332D22">
      <w:pPr>
        <w:rPr>
          <w:rFonts w:ascii="仿宋" w:hAnsi="仿宋" w:eastAsia="仿宋" w:cs="仿宋"/>
          <w:b/>
          <w:color w:val="auto"/>
          <w:sz w:val="32"/>
          <w:szCs w:val="32"/>
          <w:highlight w:val="none"/>
        </w:rPr>
      </w:pPr>
    </w:p>
    <w:p w14:paraId="69A1CE16">
      <w:pPr>
        <w:pStyle w:val="2"/>
        <w:rPr>
          <w:rFonts w:ascii="仿宋" w:hAnsi="仿宋" w:eastAsia="仿宋" w:cs="仿宋"/>
          <w:b/>
          <w:color w:val="auto"/>
          <w:sz w:val="32"/>
          <w:szCs w:val="32"/>
          <w:highlight w:val="none"/>
        </w:rPr>
      </w:pPr>
    </w:p>
    <w:p w14:paraId="7A15353F">
      <w:pPr>
        <w:pStyle w:val="24"/>
        <w:rPr>
          <w:rFonts w:ascii="仿宋" w:hAnsi="仿宋" w:eastAsia="仿宋" w:cs="仿宋"/>
          <w:b/>
          <w:color w:val="auto"/>
          <w:sz w:val="32"/>
          <w:szCs w:val="32"/>
          <w:highlight w:val="none"/>
        </w:rPr>
      </w:pPr>
    </w:p>
    <w:p w14:paraId="09E0F314">
      <w:pPr>
        <w:rPr>
          <w:rFonts w:ascii="仿宋" w:hAnsi="仿宋" w:eastAsia="仿宋" w:cs="仿宋"/>
          <w:b/>
          <w:color w:val="auto"/>
          <w:sz w:val="32"/>
          <w:szCs w:val="32"/>
          <w:highlight w:val="none"/>
        </w:rPr>
      </w:pPr>
    </w:p>
    <w:p w14:paraId="54D9CCFE">
      <w:pPr>
        <w:pStyle w:val="2"/>
        <w:rPr>
          <w:rFonts w:ascii="仿宋" w:hAnsi="仿宋" w:eastAsia="仿宋" w:cs="仿宋"/>
          <w:b/>
          <w:color w:val="auto"/>
          <w:sz w:val="32"/>
          <w:szCs w:val="32"/>
          <w:highlight w:val="none"/>
        </w:rPr>
      </w:pPr>
    </w:p>
    <w:p w14:paraId="0F50E19D">
      <w:pPr>
        <w:pStyle w:val="24"/>
        <w:rPr>
          <w:rFonts w:ascii="仿宋" w:hAnsi="仿宋" w:eastAsia="仿宋" w:cs="仿宋"/>
          <w:b/>
          <w:color w:val="auto"/>
          <w:sz w:val="32"/>
          <w:szCs w:val="32"/>
          <w:highlight w:val="none"/>
        </w:rPr>
      </w:pPr>
    </w:p>
    <w:p w14:paraId="4CFF7F92">
      <w:pPr>
        <w:rPr>
          <w:rFonts w:ascii="仿宋" w:hAnsi="仿宋" w:eastAsia="仿宋" w:cs="仿宋"/>
          <w:b/>
          <w:color w:val="auto"/>
          <w:sz w:val="32"/>
          <w:szCs w:val="32"/>
          <w:highlight w:val="none"/>
        </w:rPr>
      </w:pPr>
    </w:p>
    <w:p w14:paraId="6E0A990D">
      <w:pPr>
        <w:pStyle w:val="2"/>
        <w:rPr>
          <w:rFonts w:ascii="仿宋" w:hAnsi="仿宋" w:eastAsia="仿宋" w:cs="仿宋"/>
          <w:b/>
          <w:color w:val="auto"/>
          <w:sz w:val="32"/>
          <w:szCs w:val="32"/>
          <w:highlight w:val="none"/>
        </w:rPr>
      </w:pPr>
    </w:p>
    <w:p w14:paraId="62BB8FB6">
      <w:pPr>
        <w:pStyle w:val="24"/>
        <w:rPr>
          <w:rFonts w:ascii="仿宋" w:hAnsi="仿宋" w:eastAsia="仿宋" w:cs="仿宋"/>
          <w:b/>
          <w:color w:val="auto"/>
          <w:sz w:val="32"/>
          <w:szCs w:val="32"/>
          <w:highlight w:val="none"/>
        </w:rPr>
      </w:pPr>
    </w:p>
    <w:p w14:paraId="190D7F47">
      <w:pPr>
        <w:rPr>
          <w:rFonts w:ascii="仿宋" w:hAnsi="仿宋" w:eastAsia="仿宋" w:cs="仿宋"/>
          <w:b/>
          <w:color w:val="auto"/>
          <w:sz w:val="32"/>
          <w:szCs w:val="32"/>
          <w:highlight w:val="none"/>
        </w:rPr>
      </w:pPr>
    </w:p>
    <w:p w14:paraId="6AA2C50C">
      <w:pPr>
        <w:pStyle w:val="4"/>
        <w:numPr>
          <w:ilvl w:val="0"/>
          <w:numId w:val="0"/>
        </w:numPr>
        <w:ind w:leftChars="0"/>
        <w:rPr>
          <w:color w:val="auto"/>
          <w:highlight w:val="none"/>
        </w:rPr>
      </w:pPr>
    </w:p>
    <w:p w14:paraId="64DEF152">
      <w:pPr>
        <w:rPr>
          <w:color w:val="auto"/>
          <w:highlight w:val="none"/>
        </w:rPr>
      </w:pPr>
    </w:p>
    <w:p w14:paraId="5FD0C2BB">
      <w:pPr>
        <w:pStyle w:val="2"/>
        <w:rPr>
          <w:rFonts w:ascii="仿宋" w:hAnsi="仿宋" w:eastAsia="仿宋" w:cs="仿宋"/>
          <w:b/>
          <w:color w:val="auto"/>
          <w:sz w:val="32"/>
          <w:szCs w:val="32"/>
          <w:highlight w:val="none"/>
        </w:rPr>
      </w:pPr>
    </w:p>
    <w:p w14:paraId="33F7D3BF">
      <w:pPr>
        <w:pStyle w:val="2"/>
        <w:rPr>
          <w:color w:val="auto"/>
          <w:highlight w:val="none"/>
        </w:rPr>
      </w:pPr>
    </w:p>
    <w:p w14:paraId="4511CA8F">
      <w:pPr>
        <w:widowControl/>
        <w:adjustRightInd/>
        <w:spacing w:line="336" w:lineRule="auto"/>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四、落实政府采购政策需满足的资格要求</w:t>
      </w:r>
    </w:p>
    <w:p w14:paraId="401F5204">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（根据</w:t>
      </w:r>
      <w:r>
        <w:rPr>
          <w:rFonts w:hint="eastAsia" w:ascii="仿宋" w:hAnsi="仿宋" w:eastAsia="仿宋" w:cs="仿宋"/>
          <w:b/>
          <w:bCs/>
          <w:color w:val="auto"/>
          <w:sz w:val="24"/>
          <w:highlight w:val="none"/>
        </w:rPr>
        <w:t>磋商文件第一部分竞争性磋商邀请公告中</w:t>
      </w:r>
      <w:r>
        <w:rPr>
          <w:rFonts w:hint="eastAsia" w:ascii="仿宋" w:hAnsi="仿宋" w:eastAsia="仿宋" w:cs="仿宋"/>
          <w:color w:val="auto"/>
          <w:sz w:val="24"/>
          <w:highlight w:val="none"/>
        </w:rPr>
        <w:t>落实政府采购政策需满足的资格要求选择提供相应的材料；未要求的，无需提供）</w:t>
      </w:r>
    </w:p>
    <w:p w14:paraId="454D4209">
      <w:pPr>
        <w:snapToGrid w:val="0"/>
        <w:spacing w:line="336" w:lineRule="auto"/>
        <w:ind w:firstLine="472" w:firstLineChars="196"/>
        <w:jc w:val="left"/>
        <w:rPr>
          <w:rFonts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7576A905">
      <w:pPr>
        <w:widowControl/>
        <w:spacing w:line="336" w:lineRule="auto"/>
        <w:ind w:firstLine="480"/>
        <w:jc w:val="left"/>
        <w:rPr>
          <w:rFonts w:ascii="仿宋" w:hAnsi="仿宋" w:eastAsia="仿宋" w:cs="仿宋"/>
          <w:color w:val="auto"/>
          <w:sz w:val="24"/>
          <w:highlight w:val="none"/>
        </w:rPr>
      </w:pPr>
    </w:p>
    <w:p w14:paraId="18C51174">
      <w:pPr>
        <w:widowControl/>
        <w:spacing w:line="336" w:lineRule="auto"/>
        <w:ind w:firstLine="472" w:firstLineChars="196"/>
        <w:jc w:val="left"/>
        <w:rPr>
          <w:rFonts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要求以联合体形式参加的，提供联合协议和中小企业声明函（附件7），联合协议中中小企业合同金额应当达到</w:t>
      </w:r>
      <w:r>
        <w:rPr>
          <w:rFonts w:hint="eastAsia" w:ascii="仿宋" w:hAnsi="仿宋" w:eastAsia="仿宋" w:cs="仿宋"/>
          <w:b/>
          <w:bCs/>
          <w:color w:val="auto"/>
          <w:sz w:val="24"/>
          <w:highlight w:val="none"/>
        </w:rPr>
        <w:t>竞争性磋商邀请公告</w:t>
      </w:r>
      <w:r>
        <w:rPr>
          <w:rFonts w:hint="eastAsia" w:ascii="仿宋" w:hAnsi="仿宋" w:eastAsia="仿宋" w:cs="仿宋"/>
          <w:color w:val="auto"/>
          <w:sz w:val="24"/>
          <w:highlight w:val="none"/>
        </w:rPr>
        <w:t>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14:paraId="18B0EBAE">
      <w:pPr>
        <w:snapToGrid w:val="0"/>
        <w:spacing w:line="336" w:lineRule="auto"/>
        <w:jc w:val="center"/>
        <w:rPr>
          <w:rFonts w:ascii="仿宋" w:hAnsi="仿宋" w:eastAsia="仿宋" w:cs="仿宋"/>
          <w:color w:val="auto"/>
          <w:sz w:val="24"/>
          <w:highlight w:val="none"/>
        </w:rPr>
      </w:pPr>
      <w:r>
        <w:rPr>
          <w:rFonts w:hint="eastAsia" w:ascii="仿宋" w:hAnsi="仿宋" w:eastAsia="仿宋" w:cs="仿宋"/>
          <w:b/>
          <w:color w:val="auto"/>
          <w:sz w:val="24"/>
          <w:highlight w:val="none"/>
        </w:rPr>
        <w:t xml:space="preserve">    </w:t>
      </w:r>
    </w:p>
    <w:p w14:paraId="676ACDD3">
      <w:pPr>
        <w:spacing w:line="336"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要求合同分包的，提供分包意向协议和中小企业声明函（附件7），分包意向协议中中小企业合同金额应当达到</w:t>
      </w:r>
      <w:r>
        <w:rPr>
          <w:rFonts w:hint="eastAsia" w:ascii="仿宋" w:hAnsi="仿宋" w:eastAsia="仿宋" w:cs="仿宋"/>
          <w:b/>
          <w:bCs/>
          <w:color w:val="auto"/>
          <w:sz w:val="24"/>
          <w:highlight w:val="none"/>
        </w:rPr>
        <w:t>竞争性磋商邀请公告</w:t>
      </w:r>
      <w:r>
        <w:rPr>
          <w:rFonts w:hint="eastAsia" w:ascii="仿宋" w:hAnsi="仿宋" w:eastAsia="仿宋" w:cs="仿宋"/>
          <w:color w:val="auto"/>
          <w:sz w:val="24"/>
          <w:highlight w:val="none"/>
        </w:rPr>
        <w:t>载明的比例；如果供应商本身提供的所有标的均由中小企业承接的，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1A963897">
      <w:pPr>
        <w:spacing w:line="336" w:lineRule="auto"/>
        <w:jc w:val="both"/>
        <w:rPr>
          <w:rFonts w:ascii="仿宋" w:hAnsi="仿宋" w:eastAsia="仿宋" w:cs="仿宋"/>
          <w:b/>
          <w:color w:val="auto"/>
          <w:sz w:val="32"/>
          <w:szCs w:val="32"/>
          <w:highlight w:val="none"/>
        </w:rPr>
      </w:pPr>
    </w:p>
    <w:p w14:paraId="42161B7F">
      <w:pPr>
        <w:spacing w:line="336" w:lineRule="auto"/>
        <w:jc w:val="center"/>
        <w:rPr>
          <w:rFonts w:hint="eastAsia" w:ascii="仿宋" w:hAnsi="仿宋" w:eastAsia="仿宋" w:cs="仿宋"/>
          <w:b/>
          <w:color w:val="auto"/>
          <w:kern w:val="0"/>
          <w:sz w:val="32"/>
          <w:szCs w:val="32"/>
          <w:highlight w:val="none"/>
        </w:rPr>
      </w:pPr>
    </w:p>
    <w:p w14:paraId="0112E898">
      <w:pPr>
        <w:spacing w:line="336" w:lineRule="auto"/>
        <w:jc w:val="center"/>
        <w:rPr>
          <w:rFonts w:hint="eastAsia" w:ascii="仿宋" w:hAnsi="仿宋" w:eastAsia="仿宋" w:cs="仿宋"/>
          <w:b/>
          <w:color w:val="auto"/>
          <w:kern w:val="0"/>
          <w:sz w:val="32"/>
          <w:szCs w:val="32"/>
          <w:highlight w:val="none"/>
        </w:rPr>
      </w:pPr>
    </w:p>
    <w:p w14:paraId="058CE005">
      <w:pPr>
        <w:spacing w:line="336" w:lineRule="auto"/>
        <w:jc w:val="center"/>
        <w:rPr>
          <w:rFonts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五、</w:t>
      </w:r>
      <w:r>
        <w:rPr>
          <w:rFonts w:hint="eastAsia" w:ascii="仿宋" w:hAnsi="仿宋" w:eastAsia="仿宋" w:cs="仿宋"/>
          <w:b/>
          <w:color w:val="auto"/>
          <w:sz w:val="32"/>
          <w:szCs w:val="32"/>
          <w:highlight w:val="none"/>
        </w:rPr>
        <w:t>符合特定资格条件要求的资质文件（复印件）</w:t>
      </w:r>
    </w:p>
    <w:p w14:paraId="437C14CE">
      <w:pPr>
        <w:widowControl/>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（由供应商根据“磋商文件第一部分”中“合格的供应商应具备的特定资格要求”编制；如果本项目没有设置特定资格条件，则不需要提供）</w:t>
      </w:r>
    </w:p>
    <w:p w14:paraId="5B715E27">
      <w:pPr>
        <w:widowControl/>
        <w:spacing w:line="336" w:lineRule="auto"/>
        <w:ind w:firstLine="480" w:firstLineChars="200"/>
        <w:jc w:val="left"/>
        <w:rPr>
          <w:rFonts w:ascii="仿宋" w:hAnsi="仿宋" w:eastAsia="仿宋" w:cs="仿宋"/>
          <w:color w:val="auto"/>
          <w:sz w:val="24"/>
          <w:highlight w:val="none"/>
        </w:rPr>
      </w:pPr>
    </w:p>
    <w:p w14:paraId="7D7CB071">
      <w:pPr>
        <w:spacing w:line="336"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02714D8F">
      <w:pPr>
        <w:spacing w:line="336" w:lineRule="auto"/>
        <w:ind w:firstLine="6120" w:firstLineChars="2550"/>
        <w:rPr>
          <w:rFonts w:ascii="仿宋" w:hAnsi="仿宋" w:eastAsia="仿宋" w:cs="仿宋"/>
          <w:color w:val="auto"/>
          <w:sz w:val="24"/>
          <w:highlight w:val="none"/>
        </w:rPr>
      </w:pPr>
      <w:r>
        <w:rPr>
          <w:rFonts w:hint="eastAsia" w:ascii="仿宋" w:hAnsi="仿宋" w:eastAsia="仿宋" w:cs="仿宋"/>
          <w:color w:val="auto"/>
          <w:sz w:val="24"/>
          <w:highlight w:val="none"/>
        </w:rPr>
        <w:t>日 期：</w:t>
      </w:r>
    </w:p>
    <w:p w14:paraId="2C1606A1">
      <w:pPr>
        <w:snapToGrid w:val="0"/>
        <w:spacing w:line="336" w:lineRule="auto"/>
        <w:rPr>
          <w:rFonts w:ascii="仿宋" w:hAnsi="仿宋" w:eastAsia="仿宋" w:cs="仿宋"/>
          <w:color w:val="auto"/>
          <w:kern w:val="0"/>
          <w:sz w:val="24"/>
          <w:highlight w:val="none"/>
          <w:lang w:val="zh-CN"/>
        </w:rPr>
      </w:pPr>
    </w:p>
    <w:p w14:paraId="38BC606E">
      <w:pPr>
        <w:spacing w:line="336" w:lineRule="auto"/>
        <w:rPr>
          <w:rFonts w:ascii="仿宋" w:hAnsi="仿宋" w:eastAsia="仿宋" w:cs="仿宋"/>
          <w:color w:val="auto"/>
          <w:kern w:val="0"/>
          <w:sz w:val="24"/>
          <w:highlight w:val="none"/>
          <w:lang w:val="zh-CN"/>
        </w:rPr>
      </w:pPr>
    </w:p>
    <w:p w14:paraId="18B3AB52">
      <w:pPr>
        <w:pStyle w:val="2"/>
        <w:spacing w:line="336" w:lineRule="auto"/>
        <w:rPr>
          <w:rFonts w:ascii="仿宋" w:hAnsi="仿宋" w:eastAsia="仿宋" w:cs="仿宋"/>
          <w:color w:val="auto"/>
          <w:highlight w:val="none"/>
          <w:lang w:val="zh-CN"/>
        </w:rPr>
      </w:pPr>
    </w:p>
    <w:p w14:paraId="5114980B">
      <w:pPr>
        <w:spacing w:line="336" w:lineRule="auto"/>
        <w:jc w:val="center"/>
        <w:rPr>
          <w:rFonts w:hint="eastAsia" w:ascii="仿宋" w:hAnsi="仿宋" w:eastAsia="仿宋" w:cs="仿宋"/>
          <w:b/>
          <w:color w:val="auto"/>
          <w:kern w:val="0"/>
          <w:sz w:val="36"/>
          <w:szCs w:val="36"/>
          <w:highlight w:val="none"/>
        </w:rPr>
      </w:pPr>
    </w:p>
    <w:p w14:paraId="51727495">
      <w:pPr>
        <w:spacing w:line="336" w:lineRule="auto"/>
        <w:jc w:val="center"/>
        <w:rPr>
          <w:rFonts w:hint="eastAsia" w:ascii="仿宋" w:hAnsi="仿宋" w:eastAsia="仿宋" w:cs="仿宋"/>
          <w:b/>
          <w:color w:val="auto"/>
          <w:kern w:val="0"/>
          <w:sz w:val="36"/>
          <w:szCs w:val="36"/>
          <w:highlight w:val="none"/>
        </w:rPr>
      </w:pPr>
    </w:p>
    <w:p w14:paraId="1C1942FC">
      <w:pPr>
        <w:spacing w:line="336" w:lineRule="auto"/>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130D93C0">
      <w:pPr>
        <w:spacing w:line="336" w:lineRule="auto"/>
        <w:jc w:val="center"/>
        <w:outlineLvl w:val="0"/>
        <w:rPr>
          <w:rFonts w:ascii="仿宋" w:hAnsi="仿宋" w:eastAsia="仿宋" w:cs="仿宋"/>
          <w:b/>
          <w:color w:val="auto"/>
          <w:kern w:val="0"/>
          <w:sz w:val="24"/>
          <w:highlight w:val="none"/>
        </w:rPr>
      </w:pPr>
    </w:p>
    <w:p w14:paraId="141B5F13">
      <w:pP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4475A899">
      <w:pPr>
        <w:pStyle w:val="31"/>
        <w:numPr>
          <w:ilvl w:val="0"/>
          <w:numId w:val="8"/>
        </w:numPr>
        <w:spacing w:line="336" w:lineRule="auto"/>
        <w:ind w:left="0" w:firstLine="0" w:firstLineChars="0"/>
        <w:jc w:val="both"/>
        <w:rPr>
          <w:rFonts w:ascii="仿宋" w:eastAsia="仿宋" w:cs="仿宋"/>
          <w:color w:val="auto"/>
          <w:highlight w:val="none"/>
        </w:rPr>
      </w:pPr>
      <w:r>
        <w:rPr>
          <w:rFonts w:hint="eastAsia" w:ascii="仿宋" w:eastAsia="仿宋" w:cs="仿宋"/>
          <w:color w:val="auto"/>
          <w:highlight w:val="none"/>
        </w:rPr>
        <w:t>响应函…………………………………………………………………………（页码）</w:t>
      </w:r>
    </w:p>
    <w:p w14:paraId="53CC3AB6">
      <w:pPr>
        <w:pStyle w:val="31"/>
        <w:numPr>
          <w:ilvl w:val="0"/>
          <w:numId w:val="8"/>
        </w:numPr>
        <w:spacing w:line="336" w:lineRule="auto"/>
        <w:ind w:left="0" w:firstLine="0" w:firstLineChars="0"/>
        <w:jc w:val="both"/>
        <w:rPr>
          <w:rFonts w:ascii="仿宋" w:eastAsia="仿宋" w:cs="仿宋"/>
          <w:color w:val="auto"/>
          <w:highlight w:val="none"/>
        </w:rPr>
      </w:pPr>
      <w:r>
        <w:rPr>
          <w:rFonts w:hint="eastAsia" w:ascii="仿宋" w:eastAsia="仿宋" w:cs="仿宋"/>
          <w:color w:val="auto"/>
          <w:highlight w:val="none"/>
        </w:rPr>
        <w:t>法定代表人授权委托书………………………………………………………（页码）</w:t>
      </w:r>
    </w:p>
    <w:p w14:paraId="155737DE">
      <w:pPr>
        <w:pStyle w:val="31"/>
        <w:numPr>
          <w:ilvl w:val="0"/>
          <w:numId w:val="8"/>
        </w:numPr>
        <w:spacing w:line="336" w:lineRule="auto"/>
        <w:ind w:left="0" w:firstLine="0" w:firstLineChars="0"/>
        <w:jc w:val="both"/>
        <w:rPr>
          <w:rFonts w:ascii="仿宋" w:eastAsia="仿宋" w:cs="仿宋"/>
          <w:color w:val="auto"/>
          <w:highlight w:val="none"/>
        </w:rPr>
      </w:pPr>
      <w:r>
        <w:rPr>
          <w:rFonts w:hint="eastAsia" w:ascii="仿宋" w:eastAsia="仿宋" w:cs="仿宋"/>
          <w:color w:val="auto"/>
          <w:highlight w:val="none"/>
        </w:rPr>
        <w:t>法定代表人及其授权代表身份证复印件……………………………………（页码）</w:t>
      </w:r>
    </w:p>
    <w:p w14:paraId="69A10E6C">
      <w:pPr>
        <w:pStyle w:val="31"/>
        <w:numPr>
          <w:ilvl w:val="0"/>
          <w:numId w:val="8"/>
        </w:numPr>
        <w:spacing w:line="336" w:lineRule="auto"/>
        <w:ind w:left="0" w:firstLine="0" w:firstLineChars="0"/>
        <w:jc w:val="both"/>
        <w:rPr>
          <w:rFonts w:ascii="仿宋" w:eastAsia="仿宋" w:cs="仿宋"/>
          <w:color w:val="auto"/>
          <w:highlight w:val="none"/>
        </w:rPr>
      </w:pPr>
      <w:r>
        <w:rPr>
          <w:rFonts w:hint="eastAsia" w:ascii="仿宋" w:eastAsia="仿宋" w:cs="仿宋"/>
          <w:color w:val="auto"/>
          <w:highlight w:val="none"/>
        </w:rPr>
        <w:t>授权代表社保证明……………………………………………………………（页码）</w:t>
      </w:r>
    </w:p>
    <w:p w14:paraId="72C0DC96">
      <w:pPr>
        <w:pStyle w:val="31"/>
        <w:numPr>
          <w:ilvl w:val="0"/>
          <w:numId w:val="8"/>
        </w:numPr>
        <w:spacing w:line="336" w:lineRule="auto"/>
        <w:ind w:left="0" w:firstLine="0" w:firstLineChars="0"/>
        <w:jc w:val="both"/>
        <w:rPr>
          <w:rFonts w:ascii="仿宋" w:eastAsia="仿宋" w:cs="仿宋"/>
          <w:color w:val="auto"/>
          <w:highlight w:val="none"/>
        </w:rPr>
      </w:pPr>
      <w:r>
        <w:rPr>
          <w:rFonts w:hint="eastAsia" w:ascii="仿宋" w:eastAsia="仿宋" w:cs="仿宋"/>
          <w:color w:val="auto"/>
          <w:highlight w:val="none"/>
        </w:rPr>
        <w:t>法定代表人身份证明书………………………………………………………（页码）</w:t>
      </w:r>
    </w:p>
    <w:p w14:paraId="5666C1D8">
      <w:pPr>
        <w:pStyle w:val="31"/>
        <w:numPr>
          <w:ilvl w:val="0"/>
          <w:numId w:val="8"/>
        </w:numPr>
        <w:spacing w:line="336" w:lineRule="auto"/>
        <w:ind w:left="0" w:firstLine="0" w:firstLineChars="0"/>
        <w:jc w:val="both"/>
        <w:rPr>
          <w:rFonts w:ascii="仿宋" w:eastAsia="仿宋" w:cs="仿宋"/>
          <w:color w:val="auto"/>
          <w:highlight w:val="none"/>
        </w:rPr>
      </w:pPr>
      <w:r>
        <w:rPr>
          <w:rFonts w:hint="eastAsia" w:ascii="仿宋" w:eastAsia="仿宋" w:cs="仿宋"/>
          <w:color w:val="auto"/>
          <w:highlight w:val="none"/>
        </w:rPr>
        <w:t>商务技术</w:t>
      </w:r>
      <w:r>
        <w:rPr>
          <w:rFonts w:hint="eastAsia" w:ascii="仿宋" w:eastAsia="仿宋" w:cs="仿宋"/>
          <w:color w:val="auto"/>
          <w:highlight w:val="none"/>
          <w:lang w:eastAsia="zh-CN"/>
        </w:rPr>
        <w:t>偏离表</w:t>
      </w:r>
      <w:r>
        <w:rPr>
          <w:rFonts w:hint="eastAsia" w:ascii="仿宋" w:eastAsia="仿宋" w:cs="仿宋"/>
          <w:color w:val="auto"/>
          <w:highlight w:val="none"/>
        </w:rPr>
        <w:t>………………………………………………………………（页码）</w:t>
      </w:r>
    </w:p>
    <w:p w14:paraId="3AF4CA4A">
      <w:pPr>
        <w:pStyle w:val="31"/>
        <w:numPr>
          <w:ilvl w:val="0"/>
          <w:numId w:val="8"/>
        </w:numPr>
        <w:spacing w:line="336" w:lineRule="auto"/>
        <w:ind w:left="0" w:firstLine="0" w:firstLineChars="0"/>
        <w:jc w:val="both"/>
        <w:rPr>
          <w:rFonts w:ascii="仿宋" w:eastAsia="仿宋" w:cs="仿宋"/>
          <w:color w:val="auto"/>
          <w:highlight w:val="none"/>
        </w:rPr>
      </w:pPr>
      <w:r>
        <w:rPr>
          <w:rFonts w:hint="eastAsia" w:ascii="仿宋" w:eastAsia="仿宋" w:cs="仿宋"/>
          <w:color w:val="auto"/>
          <w:highlight w:val="none"/>
          <w:lang w:val="zh-CN"/>
        </w:rPr>
        <w:t>政府采购供应商廉洁自律承诺书</w:t>
      </w:r>
      <w:r>
        <w:rPr>
          <w:rFonts w:hint="eastAsia" w:ascii="仿宋" w:eastAsia="仿宋" w:cs="仿宋"/>
          <w:color w:val="auto"/>
          <w:highlight w:val="none"/>
        </w:rPr>
        <w:t>……………………………………………（页码）</w:t>
      </w:r>
    </w:p>
    <w:p w14:paraId="1966A3A6">
      <w:pPr>
        <w:adjustRightInd w:val="0"/>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highlight w:val="none"/>
        </w:rPr>
        <w:t>……………………………………………………………………………</w:t>
      </w:r>
      <w:r>
        <w:rPr>
          <w:rFonts w:hint="eastAsia" w:ascii="仿宋" w:hAnsi="仿宋" w:eastAsia="仿宋" w:cs="仿宋"/>
          <w:color w:val="auto"/>
          <w:sz w:val="24"/>
          <w:highlight w:val="none"/>
        </w:rPr>
        <w:t>（页码）</w:t>
      </w:r>
    </w:p>
    <w:p w14:paraId="1D765AB7">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en-US" w:eastAsia="zh-CN"/>
        </w:rPr>
        <w:t>9</w:t>
      </w:r>
      <w:r>
        <w:rPr>
          <w:rFonts w:hint="eastAsia" w:ascii="仿宋" w:hAnsi="仿宋" w:eastAsia="仿宋" w:cs="仿宋"/>
          <w:color w:val="auto"/>
          <w:kern w:val="2"/>
          <w:sz w:val="24"/>
          <w:highlight w:val="none"/>
          <w:lang w:val="zh-CN"/>
        </w:rPr>
        <w:t>）</w:t>
      </w:r>
      <w:r>
        <w:rPr>
          <w:rFonts w:hint="eastAsia" w:ascii="仿宋" w:hAnsi="仿宋" w:eastAsia="仿宋" w:cs="仿宋"/>
          <w:color w:val="auto"/>
          <w:kern w:val="0"/>
          <w:sz w:val="24"/>
          <w:highlight w:val="none"/>
        </w:rPr>
        <w:t>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4C5DFD9">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eastAsia="zh-CN"/>
        </w:rPr>
        <w:t>（</w:t>
      </w:r>
      <w:r>
        <w:rPr>
          <w:rFonts w:hint="eastAsia" w:ascii="仿宋" w:hAnsi="仿宋" w:eastAsia="仿宋" w:cs="仿宋"/>
          <w:color w:val="auto"/>
          <w:kern w:val="2"/>
          <w:sz w:val="24"/>
          <w:highlight w:val="none"/>
          <w:lang w:val="en-US" w:eastAsia="zh-CN"/>
        </w:rPr>
        <w:t>10</w:t>
      </w:r>
      <w:r>
        <w:rPr>
          <w:rFonts w:hint="eastAsia" w:ascii="仿宋" w:hAnsi="仿宋" w:eastAsia="仿宋" w:cs="仿宋"/>
          <w:color w:val="auto"/>
          <w:kern w:val="2"/>
          <w:sz w:val="24"/>
          <w:highlight w:val="none"/>
          <w:lang w:val="zh-CN" w:eastAsia="zh-CN"/>
        </w:rPr>
        <w:t>）</w:t>
      </w:r>
      <w:r>
        <w:rPr>
          <w:rFonts w:hint="eastAsia" w:ascii="仿宋" w:hAnsi="仿宋" w:eastAsia="仿宋" w:cs="仿宋"/>
          <w:color w:val="auto"/>
          <w:kern w:val="0"/>
          <w:sz w:val="24"/>
          <w:highlight w:val="none"/>
        </w:rPr>
        <w:t>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F9022D6">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en-US" w:eastAsia="zh-CN"/>
        </w:rPr>
        <w:t>11</w:t>
      </w:r>
      <w:r>
        <w:rPr>
          <w:rFonts w:hint="eastAsia" w:ascii="仿宋" w:hAnsi="仿宋" w:eastAsia="仿宋" w:cs="仿宋"/>
          <w:color w:val="auto"/>
          <w:kern w:val="2"/>
          <w:sz w:val="24"/>
          <w:highlight w:val="none"/>
          <w:lang w:val="zh-CN"/>
        </w:rPr>
        <w:t>）</w:t>
      </w:r>
      <w:r>
        <w:rPr>
          <w:rFonts w:hint="eastAsia" w:ascii="仿宋" w:hAnsi="仿宋" w:eastAsia="仿宋" w:cs="仿宋"/>
          <w:color w:val="auto"/>
          <w:kern w:val="0"/>
          <w:sz w:val="24"/>
          <w:highlight w:val="none"/>
        </w:rPr>
        <w:t>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7DC5E18C">
      <w:pPr>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eastAsia="zh-CN"/>
        </w:rPr>
        <w:t>（1</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zh-CN" w:eastAsia="zh-CN"/>
        </w:rPr>
        <w:t>）</w:t>
      </w:r>
      <w:r>
        <w:rPr>
          <w:rFonts w:hint="eastAsia" w:ascii="仿宋" w:hAnsi="仿宋" w:eastAsia="仿宋" w:cs="仿宋"/>
          <w:color w:val="auto"/>
          <w:sz w:val="24"/>
          <w:highlight w:val="none"/>
        </w:rPr>
        <w:t>供应商售后服务证明材料</w:t>
      </w:r>
      <w:r>
        <w:rPr>
          <w:rFonts w:hint="eastAsia" w:ascii="仿宋" w:hAnsi="仿宋" w:eastAsia="仿宋" w:cs="仿宋"/>
          <w:color w:val="auto"/>
          <w:highlight w:val="none"/>
        </w:rPr>
        <w:t>……………………………………………………………</w:t>
      </w:r>
      <w:r>
        <w:rPr>
          <w:rFonts w:hint="eastAsia" w:ascii="仿宋" w:hAnsi="仿宋" w:eastAsia="仿宋" w:cs="仿宋"/>
          <w:color w:val="auto"/>
          <w:sz w:val="24"/>
          <w:highlight w:val="none"/>
        </w:rPr>
        <w:t>（页码）</w:t>
      </w:r>
    </w:p>
    <w:p w14:paraId="7F273EC0">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zh-CN" w:eastAsia="zh-CN"/>
        </w:rPr>
        <w:t>1</w:t>
      </w:r>
      <w:r>
        <w:rPr>
          <w:rFonts w:hint="eastAsia" w:ascii="仿宋" w:hAnsi="仿宋" w:eastAsia="仿宋" w:cs="仿宋"/>
          <w:color w:val="auto"/>
          <w:kern w:val="2"/>
          <w:sz w:val="24"/>
          <w:highlight w:val="none"/>
          <w:lang w:val="en-US" w:eastAsia="zh-CN"/>
        </w:rPr>
        <w:t>3</w:t>
      </w:r>
      <w:r>
        <w:rPr>
          <w:rFonts w:hint="eastAsia" w:ascii="仿宋" w:hAnsi="仿宋" w:eastAsia="仿宋" w:cs="仿宋"/>
          <w:color w:val="auto"/>
          <w:kern w:val="2"/>
          <w:sz w:val="24"/>
          <w:highlight w:val="none"/>
          <w:lang w:val="zh-CN"/>
        </w:rPr>
        <w:t>）</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78699364">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zh-CN" w:eastAsia="zh-CN"/>
        </w:rPr>
        <w:t>1</w:t>
      </w:r>
      <w:r>
        <w:rPr>
          <w:rFonts w:hint="eastAsia" w:ascii="仿宋" w:hAnsi="仿宋" w:eastAsia="仿宋" w:cs="仿宋"/>
          <w:color w:val="auto"/>
          <w:kern w:val="2"/>
          <w:sz w:val="24"/>
          <w:highlight w:val="none"/>
          <w:lang w:val="en-US" w:eastAsia="zh-CN"/>
        </w:rPr>
        <w:t>4</w:t>
      </w:r>
      <w:r>
        <w:rPr>
          <w:rFonts w:hint="eastAsia" w:ascii="仿宋" w:hAnsi="仿宋" w:eastAsia="仿宋" w:cs="仿宋"/>
          <w:color w:val="auto"/>
          <w:kern w:val="2"/>
          <w:sz w:val="24"/>
          <w:highlight w:val="none"/>
          <w:lang w:val="zh-CN"/>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7DB8FEA">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zh-CN" w:eastAsia="zh-CN"/>
        </w:rPr>
        <w:t>1</w:t>
      </w:r>
      <w:r>
        <w:rPr>
          <w:rFonts w:hint="eastAsia" w:ascii="仿宋" w:hAnsi="仿宋" w:eastAsia="仿宋" w:cs="仿宋"/>
          <w:color w:val="auto"/>
          <w:kern w:val="2"/>
          <w:sz w:val="24"/>
          <w:highlight w:val="none"/>
          <w:lang w:val="en-US" w:eastAsia="zh-CN"/>
        </w:rPr>
        <w:t>5</w:t>
      </w:r>
      <w:r>
        <w:rPr>
          <w:rFonts w:hint="eastAsia" w:ascii="仿宋" w:hAnsi="仿宋" w:eastAsia="仿宋" w:cs="仿宋"/>
          <w:color w:val="auto"/>
          <w:kern w:val="2"/>
          <w:sz w:val="24"/>
          <w:highlight w:val="none"/>
          <w:lang w:val="zh-CN"/>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A03C3E9">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zh-CN" w:eastAsia="zh-CN"/>
        </w:rPr>
        <w:t>1</w:t>
      </w:r>
      <w:r>
        <w:rPr>
          <w:rFonts w:hint="eastAsia" w:ascii="仿宋" w:hAnsi="仿宋" w:eastAsia="仿宋" w:cs="仿宋"/>
          <w:color w:val="auto"/>
          <w:kern w:val="2"/>
          <w:sz w:val="24"/>
          <w:highlight w:val="none"/>
          <w:lang w:val="en-US" w:eastAsia="zh-CN"/>
        </w:rPr>
        <w:t>6</w:t>
      </w:r>
      <w:r>
        <w:rPr>
          <w:rFonts w:hint="eastAsia" w:ascii="仿宋" w:hAnsi="仿宋" w:eastAsia="仿宋" w:cs="仿宋"/>
          <w:color w:val="auto"/>
          <w:kern w:val="2"/>
          <w:sz w:val="24"/>
          <w:highlight w:val="none"/>
          <w:lang w:val="zh-CN"/>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0C20FA56">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zh-CN" w:eastAsia="zh-CN"/>
        </w:rPr>
        <w:t>1</w:t>
      </w:r>
      <w:r>
        <w:rPr>
          <w:rFonts w:hint="eastAsia" w:ascii="仿宋" w:hAnsi="仿宋" w:eastAsia="仿宋" w:cs="仿宋"/>
          <w:color w:val="auto"/>
          <w:kern w:val="2"/>
          <w:sz w:val="24"/>
          <w:highlight w:val="none"/>
          <w:lang w:val="en-US" w:eastAsia="zh-CN"/>
        </w:rPr>
        <w:t>7</w:t>
      </w:r>
      <w:r>
        <w:rPr>
          <w:rFonts w:hint="eastAsia" w:ascii="仿宋" w:hAnsi="仿宋" w:eastAsia="仿宋" w:cs="仿宋"/>
          <w:color w:val="auto"/>
          <w:kern w:val="2"/>
          <w:sz w:val="24"/>
          <w:highlight w:val="none"/>
          <w:lang w:val="zh-CN"/>
        </w:rPr>
        <w:t>）验</w:t>
      </w:r>
      <w:r>
        <w:rPr>
          <w:rFonts w:hint="eastAsia" w:ascii="仿宋" w:hAnsi="仿宋" w:eastAsia="仿宋" w:cs="仿宋"/>
          <w:color w:val="auto"/>
          <w:kern w:val="0"/>
          <w:sz w:val="24"/>
          <w:highlight w:val="none"/>
          <w:lang w:val="zh-CN"/>
        </w:rPr>
        <w:t>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0CF0F0DF">
      <w:pPr>
        <w:spacing w:line="360" w:lineRule="auto"/>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2"/>
          <w:sz w:val="24"/>
          <w:highlight w:val="none"/>
          <w:lang w:val="zh-CN"/>
        </w:rPr>
        <w:t>（</w:t>
      </w:r>
      <w:r>
        <w:rPr>
          <w:rFonts w:hint="eastAsia" w:ascii="仿宋" w:hAnsi="仿宋" w:eastAsia="仿宋" w:cs="仿宋"/>
          <w:color w:val="auto"/>
          <w:kern w:val="2"/>
          <w:sz w:val="24"/>
          <w:highlight w:val="none"/>
          <w:lang w:val="zh-CN" w:eastAsia="zh-CN"/>
        </w:rPr>
        <w:t>1</w:t>
      </w:r>
      <w:r>
        <w:rPr>
          <w:rFonts w:hint="eastAsia" w:ascii="仿宋" w:hAnsi="仿宋" w:eastAsia="仿宋" w:cs="仿宋"/>
          <w:color w:val="auto"/>
          <w:kern w:val="2"/>
          <w:sz w:val="24"/>
          <w:highlight w:val="none"/>
          <w:lang w:val="en-US" w:eastAsia="zh-CN"/>
        </w:rPr>
        <w:t>8</w:t>
      </w:r>
      <w:r>
        <w:rPr>
          <w:rFonts w:hint="eastAsia" w:ascii="仿宋" w:hAnsi="仿宋" w:eastAsia="仿宋" w:cs="仿宋"/>
          <w:color w:val="auto"/>
          <w:kern w:val="2"/>
          <w:sz w:val="24"/>
          <w:highlight w:val="none"/>
          <w:lang w:val="zh-CN"/>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CCDBF9B">
      <w:pPr>
        <w:pStyle w:val="24"/>
        <w:rPr>
          <w:rFonts w:hint="eastAsia" w:ascii="仿宋" w:hAnsi="仿宋" w:eastAsia="仿宋" w:cs="仿宋"/>
          <w:color w:val="auto"/>
          <w:highlight w:val="none"/>
          <w:lang w:val="zh-CN"/>
        </w:rPr>
        <w:sectPr>
          <w:footerReference r:id="rId10" w:type="default"/>
          <w:pgSz w:w="11906" w:h="16838"/>
          <w:pgMar w:top="1814" w:right="1474" w:bottom="1814" w:left="1474" w:header="851" w:footer="992" w:gutter="0"/>
          <w:pgNumType w:start="1"/>
          <w:cols w:space="720" w:num="1"/>
          <w:docGrid w:linePitch="312" w:charSpace="0"/>
        </w:sectPr>
      </w:pPr>
    </w:p>
    <w:p w14:paraId="05CB1CE9">
      <w:pPr>
        <w:keepNext w:val="0"/>
        <w:keepLines w:val="0"/>
        <w:pageBreakBefore w:val="0"/>
        <w:kinsoku/>
        <w:wordWrap/>
        <w:overflowPunct/>
        <w:topLinePunct w:val="0"/>
        <w:autoSpaceDE/>
        <w:autoSpaceDN/>
        <w:bidi w:val="0"/>
        <w:spacing w:line="440" w:lineRule="exact"/>
        <w:jc w:val="center"/>
        <w:textAlignment w:val="auto"/>
        <w:rPr>
          <w:rFonts w:ascii="仿宋" w:hAnsi="仿宋" w:eastAsia="仿宋" w:cs="仿宋"/>
          <w:b/>
          <w:bCs/>
          <w:color w:val="auto"/>
          <w:sz w:val="32"/>
          <w:szCs w:val="32"/>
          <w:highlight w:val="none"/>
        </w:rPr>
      </w:pPr>
      <w:r>
        <w:rPr>
          <w:rFonts w:hint="eastAsia" w:ascii="仿宋" w:hAnsi="仿宋" w:eastAsia="仿宋" w:cs="仿宋"/>
          <w:b/>
          <w:color w:val="auto"/>
          <w:kern w:val="0"/>
          <w:sz w:val="32"/>
          <w:szCs w:val="32"/>
          <w:highlight w:val="none"/>
        </w:rPr>
        <w:t>一、响应</w:t>
      </w:r>
      <w:r>
        <w:rPr>
          <w:rFonts w:hint="eastAsia" w:ascii="仿宋" w:hAnsi="仿宋" w:eastAsia="仿宋" w:cs="仿宋"/>
          <w:b/>
          <w:color w:val="auto"/>
          <w:sz w:val="32"/>
          <w:szCs w:val="32"/>
          <w:highlight w:val="none"/>
        </w:rPr>
        <w:t>函</w:t>
      </w:r>
    </w:p>
    <w:p w14:paraId="3961D813">
      <w:pPr>
        <w:pStyle w:val="32"/>
        <w:keepNext w:val="0"/>
        <w:keepLines w:val="0"/>
        <w:pageBreakBefore w:val="0"/>
        <w:kinsoku/>
        <w:wordWrap/>
        <w:overflowPunct/>
        <w:topLinePunct w:val="0"/>
        <w:autoSpaceDE/>
        <w:autoSpaceDN/>
        <w:bidi w:val="0"/>
        <w:spacing w:afterLines="0" w:line="440" w:lineRule="exact"/>
        <w:ind w:firstLine="0" w:firstLineChars="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致：</w:t>
      </w:r>
      <w:r>
        <w:rPr>
          <w:rFonts w:hint="eastAsia" w:ascii="仿宋" w:hAnsi="仿宋" w:eastAsia="仿宋" w:cs="仿宋"/>
          <w:color w:val="auto"/>
          <w:szCs w:val="24"/>
          <w:highlight w:val="none"/>
          <w:u w:val="single"/>
          <w:lang w:val="en-US" w:eastAsia="zh-CN"/>
        </w:rPr>
        <w:t xml:space="preserve"> </w:t>
      </w:r>
      <w:r>
        <w:rPr>
          <w:rFonts w:hint="eastAsia" w:ascii="仿宋" w:hAnsi="仿宋" w:eastAsia="仿宋" w:cs="仿宋"/>
          <w:color w:val="auto"/>
          <w:sz w:val="24"/>
          <w:highlight w:val="none"/>
        </w:rPr>
        <w:t>（采购人）、（采购代理机构）</w:t>
      </w:r>
      <w:r>
        <w:rPr>
          <w:rFonts w:hint="eastAsia" w:ascii="仿宋" w:hAnsi="仿宋" w:eastAsia="仿宋" w:cs="仿宋"/>
          <w:color w:val="auto"/>
          <w:szCs w:val="24"/>
          <w:highlight w:val="none"/>
          <w:u w:val="single"/>
        </w:rPr>
        <w:t xml:space="preserve"> </w:t>
      </w:r>
    </w:p>
    <w:p w14:paraId="7F6AB05F">
      <w:pPr>
        <w:pStyle w:val="32"/>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根据贵方磋商文件（</w:t>
      </w:r>
      <w:r>
        <w:rPr>
          <w:rFonts w:hint="eastAsia" w:ascii="仿宋" w:hAnsi="仿宋" w:eastAsia="仿宋" w:cs="仿宋"/>
          <w:b/>
          <w:color w:val="auto"/>
          <w:szCs w:val="24"/>
          <w:highlight w:val="none"/>
          <w:u w:val="single"/>
        </w:rPr>
        <w:t>填写磋商编号：</w:t>
      </w:r>
      <w:r>
        <w:rPr>
          <w:rFonts w:hint="eastAsia" w:ascii="仿宋" w:hAnsi="仿宋" w:eastAsia="仿宋" w:cs="仿宋"/>
          <w:color w:val="auto"/>
          <w:szCs w:val="24"/>
          <w:highlight w:val="none"/>
          <w:u w:val="single"/>
        </w:rPr>
        <w:t xml:space="preserve">     </w:t>
      </w:r>
      <w:r>
        <w:rPr>
          <w:rFonts w:hint="eastAsia" w:ascii="仿宋" w:hAnsi="仿宋" w:eastAsia="仿宋" w:cs="仿宋"/>
          <w:color w:val="auto"/>
          <w:szCs w:val="24"/>
          <w:highlight w:val="none"/>
        </w:rPr>
        <w:t>）的要求，正式授权</w:t>
      </w:r>
      <w:r>
        <w:rPr>
          <w:rFonts w:hint="eastAsia" w:ascii="仿宋" w:hAnsi="仿宋" w:eastAsia="仿宋" w:cs="仿宋"/>
          <w:b/>
          <w:color w:val="auto"/>
          <w:szCs w:val="24"/>
          <w:highlight w:val="none"/>
          <w:u w:val="single"/>
        </w:rPr>
        <w:t>（全权代表姓名    、单位    、职务   ）</w:t>
      </w:r>
      <w:r>
        <w:rPr>
          <w:rFonts w:hint="eastAsia" w:ascii="仿宋" w:hAnsi="仿宋" w:eastAsia="仿宋" w:cs="仿宋"/>
          <w:color w:val="auto"/>
          <w:szCs w:val="24"/>
          <w:highlight w:val="none"/>
        </w:rPr>
        <w:t>代表供应商</w:t>
      </w:r>
      <w:r>
        <w:rPr>
          <w:rFonts w:hint="eastAsia" w:ascii="仿宋" w:hAnsi="仿宋" w:eastAsia="仿宋" w:cs="仿宋"/>
          <w:color w:val="auto"/>
          <w:szCs w:val="24"/>
          <w:highlight w:val="none"/>
          <w:u w:val="single"/>
        </w:rPr>
        <w:t>（</w:t>
      </w:r>
      <w:r>
        <w:rPr>
          <w:rFonts w:hint="eastAsia" w:ascii="仿宋" w:hAnsi="仿宋" w:eastAsia="仿宋" w:cs="仿宋"/>
          <w:b/>
          <w:color w:val="auto"/>
          <w:szCs w:val="24"/>
          <w:highlight w:val="none"/>
          <w:u w:val="single"/>
        </w:rPr>
        <w:t xml:space="preserve">填写单位    、地址   </w:t>
      </w:r>
      <w:r>
        <w:rPr>
          <w:rFonts w:hint="eastAsia" w:ascii="仿宋" w:hAnsi="仿宋" w:eastAsia="仿宋" w:cs="仿宋"/>
          <w:color w:val="auto"/>
          <w:szCs w:val="24"/>
          <w:highlight w:val="none"/>
          <w:u w:val="single"/>
        </w:rPr>
        <w:t>）</w:t>
      </w:r>
      <w:r>
        <w:rPr>
          <w:rFonts w:hint="eastAsia" w:ascii="仿宋" w:hAnsi="仿宋" w:eastAsia="仿宋" w:cs="仿宋"/>
          <w:color w:val="auto"/>
          <w:szCs w:val="24"/>
          <w:highlight w:val="none"/>
        </w:rPr>
        <w:t>提交磋商响应文件。</w:t>
      </w:r>
    </w:p>
    <w:p w14:paraId="4B654CFA">
      <w:pPr>
        <w:pStyle w:val="32"/>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我方已完全明白磋商文件的所有条款要求，兹声明同意如下：</w:t>
      </w:r>
    </w:p>
    <w:p w14:paraId="2119A0DD">
      <w:pPr>
        <w:pStyle w:val="5"/>
        <w:keepNext w:val="0"/>
        <w:keepLines w:val="0"/>
        <w:pageBreakBefore w:val="0"/>
        <w:kinsoku/>
        <w:wordWrap/>
        <w:overflowPunct/>
        <w:topLinePunct w:val="0"/>
        <w:autoSpaceDE/>
        <w:autoSpaceDN/>
        <w:bidi w:val="0"/>
        <w:spacing w:afterLines="0" w:line="440" w:lineRule="exact"/>
        <w:ind w:left="0" w:firstLine="42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1.</w:t>
      </w:r>
      <w:r>
        <w:rPr>
          <w:rFonts w:hint="eastAsia" w:ascii="仿宋" w:hAnsi="仿宋" w:eastAsia="仿宋" w:cs="仿宋"/>
          <w:color w:val="auto"/>
          <w:highlight w:val="none"/>
        </w:rPr>
        <w:t xml:space="preserve"> 我方同意在供应商</w:t>
      </w:r>
      <w:r>
        <w:rPr>
          <w:rFonts w:hint="eastAsia" w:ascii="仿宋" w:hAnsi="仿宋" w:eastAsia="仿宋" w:cs="仿宋"/>
          <w:color w:val="auto"/>
          <w:kern w:val="44"/>
          <w:highlight w:val="none"/>
        </w:rPr>
        <w:t>须知</w:t>
      </w:r>
      <w:r>
        <w:rPr>
          <w:rFonts w:hint="eastAsia" w:ascii="仿宋" w:hAnsi="仿宋" w:eastAsia="仿宋" w:cs="仿宋"/>
          <w:color w:val="auto"/>
          <w:highlight w:val="none"/>
        </w:rPr>
        <w:t>规定的响应日期起遵守本磋商响应文件中的承诺且在响应有效期满之前均具有约束力</w:t>
      </w:r>
      <w:r>
        <w:rPr>
          <w:rFonts w:hint="eastAsia" w:ascii="仿宋" w:hAnsi="仿宋" w:eastAsia="仿宋" w:cs="仿宋"/>
          <w:color w:val="auto"/>
          <w:szCs w:val="24"/>
          <w:highlight w:val="none"/>
        </w:rPr>
        <w:t>。</w:t>
      </w:r>
    </w:p>
    <w:p w14:paraId="1C123666">
      <w:pPr>
        <w:pStyle w:val="32"/>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2.我方承诺已经具备《中华人民共和国政府采购法》中规定的参加政府采购活动的供应商应当具备的条件。</w:t>
      </w:r>
    </w:p>
    <w:p w14:paraId="4286B5B6">
      <w:pPr>
        <w:pStyle w:val="32"/>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3.</w:t>
      </w:r>
      <w:r>
        <w:rPr>
          <w:rFonts w:hint="eastAsia" w:ascii="仿宋" w:hAnsi="仿宋" w:eastAsia="仿宋" w:cs="仿宋"/>
          <w:color w:val="auto"/>
          <w:highlight w:val="none"/>
        </w:rPr>
        <w:t>本公司磋商响应文件中填列的技术参数、配置、服务、数量等相关内容都是真实、准确的。保证在本次项目中所提供的资料全部真实和合法。</w:t>
      </w:r>
      <w:r>
        <w:rPr>
          <w:rFonts w:hint="eastAsia" w:ascii="仿宋" w:hAnsi="仿宋" w:eastAsia="仿宋" w:cs="仿宋"/>
          <w:color w:val="auto"/>
          <w:szCs w:val="24"/>
          <w:highlight w:val="none"/>
        </w:rPr>
        <w:t>同意向</w:t>
      </w:r>
      <w:r>
        <w:rPr>
          <w:rFonts w:hint="eastAsia" w:ascii="仿宋" w:hAnsi="仿宋" w:eastAsia="仿宋" w:cs="仿宋"/>
          <w:color w:val="auto"/>
          <w:szCs w:val="24"/>
          <w:highlight w:val="none"/>
          <w:lang w:val="en-US" w:eastAsia="zh-CN"/>
        </w:rPr>
        <w:t>代理机构</w:t>
      </w:r>
      <w:r>
        <w:rPr>
          <w:rFonts w:hint="eastAsia" w:ascii="仿宋" w:hAnsi="仿宋" w:eastAsia="仿宋" w:cs="仿宋"/>
          <w:color w:val="auto"/>
          <w:szCs w:val="24"/>
          <w:highlight w:val="none"/>
        </w:rPr>
        <w:t>提供可能另外要求的与磋商有关的任何数据或资料；</w:t>
      </w:r>
    </w:p>
    <w:p w14:paraId="505955DE">
      <w:pPr>
        <w:pStyle w:val="32"/>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4.我方理解贵方将不受你们所收到的最低报价的约束。</w:t>
      </w:r>
    </w:p>
    <w:p w14:paraId="3A1DF1D4">
      <w:pPr>
        <w:pStyle w:val="5"/>
        <w:keepNext w:val="0"/>
        <w:keepLines w:val="0"/>
        <w:pageBreakBefore w:val="0"/>
        <w:kinsoku/>
        <w:wordWrap/>
        <w:overflowPunct/>
        <w:topLinePunct w:val="0"/>
        <w:autoSpaceDE/>
        <w:autoSpaceDN/>
        <w:bidi w:val="0"/>
        <w:spacing w:afterLines="0" w:line="440" w:lineRule="exact"/>
        <w:ind w:left="0" w:firstLine="42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highlight w:val="none"/>
        </w:rPr>
        <w:t>5.磋商有效期为从提交磋商响应文件的截止之日起90天。</w:t>
      </w:r>
    </w:p>
    <w:p w14:paraId="2375409F">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12A5DF8D">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a)提供虚假材料谋取中标、成交的；</w:t>
      </w:r>
    </w:p>
    <w:p w14:paraId="08E5F195">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b)采取不正当手段诋毁、排挤其他供应商的；</w:t>
      </w:r>
    </w:p>
    <w:p w14:paraId="4C9476A5">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c)与采购人、其它供应商或者采购代理机构恶意串通的；</w:t>
      </w:r>
    </w:p>
    <w:p w14:paraId="05BF38DF">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d)向采购人、采购代理机构行贿或者提供其他不正当利益的；</w:t>
      </w:r>
    </w:p>
    <w:p w14:paraId="1CB3EF10">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e)在采购过程中与采购人进行协商谈判的；</w:t>
      </w:r>
    </w:p>
    <w:p w14:paraId="49A16A5F">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f)拒绝有关部门监督检查或提供虚假情况的。</w:t>
      </w:r>
    </w:p>
    <w:p w14:paraId="22AD20D4">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供应商有前款第a)至e)项情形之一的，中标、成交无效。</w:t>
      </w:r>
    </w:p>
    <w:p w14:paraId="7C17F95B">
      <w:pPr>
        <w:pStyle w:val="32"/>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地址：　　　　　　　　　　　　　　　邮政编码：</w:t>
      </w:r>
    </w:p>
    <w:p w14:paraId="15E263B9">
      <w:pPr>
        <w:pStyle w:val="32"/>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电话：                              传真：</w:t>
      </w:r>
    </w:p>
    <w:p w14:paraId="321EF744">
      <w:pPr>
        <w:pStyle w:val="32"/>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开户银行：                          账号：</w:t>
      </w:r>
    </w:p>
    <w:p w14:paraId="3F227C8E">
      <w:pPr>
        <w:pStyle w:val="32"/>
        <w:keepNext w:val="0"/>
        <w:keepLines w:val="0"/>
        <w:pageBreakBefore w:val="0"/>
        <w:kinsoku/>
        <w:wordWrap/>
        <w:overflowPunct/>
        <w:topLinePunct w:val="0"/>
        <w:autoSpaceDE/>
        <w:autoSpaceDN/>
        <w:bidi w:val="0"/>
        <w:spacing w:afterLines="0" w:line="44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法定代表人或其授权代表(签字或签章)：</w:t>
      </w:r>
    </w:p>
    <w:p w14:paraId="10B7DF20">
      <w:pPr>
        <w:keepNext w:val="0"/>
        <w:keepLines w:val="0"/>
        <w:pageBreakBefore w:val="0"/>
        <w:kinsoku/>
        <w:wordWrap/>
        <w:overflowPunct/>
        <w:topLinePunct w:val="0"/>
        <w:autoSpaceDE/>
        <w:autoSpaceDN/>
        <w:bidi w:val="0"/>
        <w:spacing w:line="440" w:lineRule="exact"/>
        <w:jc w:val="both"/>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Cs w:val="24"/>
          <w:highlight w:val="none"/>
        </w:rPr>
        <w:t xml:space="preserve">日期：     </w:t>
      </w:r>
    </w:p>
    <w:p w14:paraId="5238847D">
      <w:pPr>
        <w:pageBreakBefore/>
        <w:spacing w:line="336" w:lineRule="auto"/>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二、法定代表人授权委托书（格式） </w:t>
      </w:r>
      <w:r>
        <w:rPr>
          <w:rFonts w:hint="eastAsia" w:ascii="仿宋" w:hAnsi="仿宋" w:eastAsia="仿宋" w:cs="仿宋"/>
          <w:b/>
          <w:color w:val="auto"/>
          <w:kern w:val="0"/>
          <w:sz w:val="32"/>
          <w:szCs w:val="32"/>
          <w:highlight w:val="none"/>
          <w:lang w:val="zh-CN"/>
        </w:rPr>
        <w:t>（适用于非联合体磋商）</w:t>
      </w:r>
    </w:p>
    <w:p w14:paraId="0C01DD8B">
      <w:pPr>
        <w:spacing w:line="336" w:lineRule="auto"/>
        <w:jc w:val="center"/>
        <w:rPr>
          <w:rFonts w:ascii="仿宋" w:hAnsi="仿宋" w:eastAsia="仿宋" w:cs="仿宋"/>
          <w:b/>
          <w:color w:val="auto"/>
          <w:sz w:val="24"/>
          <w:highlight w:val="none"/>
        </w:rPr>
      </w:pPr>
    </w:p>
    <w:p w14:paraId="22709C7D">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（填写供应商单位全称）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磋商活动。授权代表在磋商、合同签订过程中所签署的一切文件和处理与之有关的一切事务，我均予以承认。</w:t>
      </w:r>
    </w:p>
    <w:p w14:paraId="582A801C">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67E920D4">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5B57BA0E">
      <w:pPr>
        <w:snapToGrid w:val="0"/>
        <w:spacing w:line="336" w:lineRule="auto"/>
        <w:jc w:val="left"/>
        <w:rPr>
          <w:rFonts w:ascii="仿宋" w:hAnsi="仿宋" w:eastAsia="仿宋" w:cs="仿宋"/>
          <w:color w:val="auto"/>
          <w:sz w:val="24"/>
          <w:highlight w:val="none"/>
        </w:rPr>
      </w:pPr>
    </w:p>
    <w:p w14:paraId="6DFCC20F">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233A2F45">
      <w:pPr>
        <w:spacing w:line="336" w:lineRule="auto"/>
        <w:rPr>
          <w:rFonts w:ascii="仿宋" w:hAnsi="仿宋" w:eastAsia="仿宋" w:cs="仿宋"/>
          <w:color w:val="auto"/>
          <w:sz w:val="24"/>
          <w:highlight w:val="none"/>
        </w:rPr>
      </w:pPr>
    </w:p>
    <w:p w14:paraId="03829080">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101B75AD">
      <w:pPr>
        <w:spacing w:line="336" w:lineRule="auto"/>
        <w:rPr>
          <w:rFonts w:ascii="仿宋" w:hAnsi="仿宋" w:eastAsia="仿宋" w:cs="仿宋"/>
          <w:color w:val="auto"/>
          <w:sz w:val="24"/>
          <w:highlight w:val="none"/>
        </w:rPr>
      </w:pPr>
    </w:p>
    <w:p w14:paraId="3631B366">
      <w:pPr>
        <w:widowControl/>
        <w:snapToGrid w:val="0"/>
        <w:spacing w:line="336" w:lineRule="auto"/>
        <w:rPr>
          <w:rFonts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392CA931">
      <w:pPr>
        <w:spacing w:line="336" w:lineRule="auto"/>
        <w:rPr>
          <w:rFonts w:ascii="仿宋" w:hAnsi="仿宋" w:eastAsia="仿宋" w:cs="仿宋"/>
          <w:color w:val="auto"/>
          <w:sz w:val="24"/>
          <w:highlight w:val="none"/>
        </w:rPr>
      </w:pPr>
    </w:p>
    <w:p w14:paraId="463B6DB2">
      <w:pPr>
        <w:spacing w:line="336" w:lineRule="auto"/>
        <w:rPr>
          <w:rFonts w:ascii="仿宋" w:hAnsi="仿宋" w:eastAsia="仿宋" w:cs="仿宋"/>
          <w:color w:val="auto"/>
          <w:sz w:val="24"/>
          <w:highlight w:val="none"/>
        </w:rPr>
      </w:pPr>
    </w:p>
    <w:p w14:paraId="2FBD5145">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供应商名称（电子签章）：</w:t>
      </w:r>
    </w:p>
    <w:p w14:paraId="63F720D4">
      <w:pPr>
        <w:spacing w:line="336" w:lineRule="auto"/>
        <w:rPr>
          <w:rFonts w:ascii="仿宋" w:hAnsi="仿宋" w:eastAsia="仿宋" w:cs="仿宋"/>
          <w:color w:val="auto"/>
          <w:sz w:val="24"/>
          <w:highlight w:val="none"/>
        </w:rPr>
      </w:pPr>
    </w:p>
    <w:p w14:paraId="156E2390">
      <w:pPr>
        <w:spacing w:line="336" w:lineRule="auto"/>
        <w:rPr>
          <w:rFonts w:ascii="仿宋" w:hAnsi="仿宋" w:eastAsia="仿宋" w:cs="仿宋"/>
          <w:color w:val="auto"/>
          <w:sz w:val="24"/>
          <w:highlight w:val="none"/>
        </w:rPr>
      </w:pPr>
    </w:p>
    <w:p w14:paraId="2C33F297">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413BBE12">
      <w:pPr>
        <w:spacing w:line="336" w:lineRule="auto"/>
        <w:rPr>
          <w:rFonts w:ascii="仿宋" w:hAnsi="仿宋" w:eastAsia="仿宋" w:cs="仿宋"/>
          <w:color w:val="auto"/>
          <w:sz w:val="24"/>
          <w:highlight w:val="none"/>
        </w:rPr>
      </w:pPr>
    </w:p>
    <w:p w14:paraId="7073AEF4">
      <w:pPr>
        <w:spacing w:line="336" w:lineRule="auto"/>
        <w:rPr>
          <w:rFonts w:ascii="仿宋" w:hAnsi="仿宋" w:eastAsia="仿宋" w:cs="仿宋"/>
          <w:color w:val="auto"/>
          <w:sz w:val="24"/>
          <w:highlight w:val="none"/>
        </w:rPr>
      </w:pPr>
    </w:p>
    <w:p w14:paraId="3B3957F5">
      <w:pPr>
        <w:spacing w:line="336" w:lineRule="auto"/>
        <w:ind w:firstLine="5280" w:firstLineChars="2200"/>
        <w:jc w:val="left"/>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3C55AF28">
      <w:pPr>
        <w:spacing w:line="336" w:lineRule="auto"/>
        <w:ind w:firstLine="4920" w:firstLineChars="2050"/>
        <w:jc w:val="left"/>
        <w:rPr>
          <w:rFonts w:ascii="仿宋" w:hAnsi="仿宋" w:eastAsia="仿宋" w:cs="仿宋"/>
          <w:color w:val="auto"/>
          <w:sz w:val="24"/>
          <w:highlight w:val="none"/>
        </w:rPr>
      </w:pPr>
    </w:p>
    <w:p w14:paraId="7A01A312">
      <w:pPr>
        <w:pageBreakBefore/>
        <w:spacing w:line="336" w:lineRule="auto"/>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（适用于联合体磋商）</w:t>
      </w:r>
    </w:p>
    <w:p w14:paraId="1F88E89C">
      <w:pPr>
        <w:spacing w:line="336" w:lineRule="auto"/>
        <w:jc w:val="center"/>
        <w:rPr>
          <w:rFonts w:ascii="仿宋" w:hAnsi="仿宋" w:eastAsia="仿宋" w:cs="仿宋"/>
          <w:b/>
          <w:color w:val="auto"/>
          <w:sz w:val="24"/>
          <w:highlight w:val="none"/>
        </w:rPr>
      </w:pPr>
    </w:p>
    <w:p w14:paraId="1188F9B3">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本授权委托书声明：</w:t>
      </w:r>
    </w:p>
    <w:p w14:paraId="097E0C0E">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为我方授权代表，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。以我方的名义参加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磋商活动。授权代表在磋商、合同签订过程中所签署的一切文件和处理与之有关的一切事务，我方均予以承认。</w:t>
      </w:r>
    </w:p>
    <w:p w14:paraId="21BCB4C3">
      <w:pPr>
        <w:snapToGrid w:val="0"/>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394743FE">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4A66C1C9">
      <w:pPr>
        <w:snapToGrid w:val="0"/>
        <w:spacing w:line="336" w:lineRule="auto"/>
        <w:jc w:val="left"/>
        <w:rPr>
          <w:rFonts w:ascii="仿宋" w:hAnsi="仿宋" w:eastAsia="仿宋" w:cs="仿宋"/>
          <w:color w:val="auto"/>
          <w:sz w:val="24"/>
          <w:highlight w:val="none"/>
        </w:rPr>
      </w:pPr>
    </w:p>
    <w:p w14:paraId="5FF5D23F">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0E2E41F9">
      <w:pPr>
        <w:spacing w:line="336" w:lineRule="auto"/>
        <w:rPr>
          <w:rFonts w:ascii="仿宋" w:hAnsi="仿宋" w:eastAsia="仿宋" w:cs="仿宋"/>
          <w:color w:val="auto"/>
          <w:sz w:val="24"/>
          <w:highlight w:val="none"/>
        </w:rPr>
      </w:pPr>
    </w:p>
    <w:p w14:paraId="5589DC40">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1C3C224B">
      <w:pPr>
        <w:spacing w:line="336" w:lineRule="auto"/>
        <w:rPr>
          <w:rFonts w:ascii="仿宋" w:hAnsi="仿宋" w:eastAsia="仿宋" w:cs="仿宋"/>
          <w:color w:val="auto"/>
          <w:sz w:val="24"/>
          <w:highlight w:val="none"/>
        </w:rPr>
      </w:pPr>
    </w:p>
    <w:p w14:paraId="6740740F">
      <w:pPr>
        <w:widowControl/>
        <w:snapToGrid w:val="0"/>
        <w:spacing w:line="336" w:lineRule="auto"/>
        <w:rPr>
          <w:rFonts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5F02D742">
      <w:pPr>
        <w:spacing w:line="336" w:lineRule="auto"/>
        <w:rPr>
          <w:rFonts w:ascii="仿宋" w:hAnsi="仿宋" w:eastAsia="仿宋" w:cs="仿宋"/>
          <w:color w:val="auto"/>
          <w:sz w:val="24"/>
          <w:highlight w:val="none"/>
        </w:rPr>
      </w:pPr>
    </w:p>
    <w:p w14:paraId="2C24C62F">
      <w:pPr>
        <w:spacing w:line="336" w:lineRule="auto"/>
        <w:rPr>
          <w:rFonts w:ascii="仿宋" w:hAnsi="仿宋" w:eastAsia="仿宋" w:cs="仿宋"/>
          <w:color w:val="auto"/>
          <w:sz w:val="24"/>
          <w:highlight w:val="none"/>
        </w:rPr>
      </w:pPr>
    </w:p>
    <w:p w14:paraId="59C53843">
      <w:pPr>
        <w:spacing w:line="336" w:lineRule="auto"/>
        <w:jc w:val="right"/>
        <w:rPr>
          <w:rFonts w:ascii="仿宋" w:hAnsi="仿宋" w:eastAsia="仿宋" w:cs="仿宋"/>
          <w:color w:val="auto"/>
          <w:highlight w:val="none"/>
        </w:rPr>
      </w:pPr>
    </w:p>
    <w:p w14:paraId="1CD9A0FD">
      <w:pPr>
        <w:snapToGrid w:val="0"/>
        <w:spacing w:line="336" w:lineRule="auto"/>
        <w:jc w:val="righ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23EB2C5">
      <w:pPr>
        <w:snapToGrid w:val="0"/>
        <w:spacing w:line="336" w:lineRule="auto"/>
        <w:jc w:val="righ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32C7FAA8">
      <w:pPr>
        <w:snapToGrid w:val="0"/>
        <w:spacing w:line="336"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2E9F269E">
      <w:pPr>
        <w:snapToGrid w:val="0"/>
        <w:spacing w:line="336"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14884BA">
      <w:pPr>
        <w:spacing w:line="336" w:lineRule="auto"/>
        <w:ind w:firstLine="4320" w:firstLineChars="1800"/>
        <w:rPr>
          <w:rFonts w:ascii="仿宋" w:hAnsi="仿宋" w:eastAsia="仿宋" w:cs="仿宋"/>
          <w:color w:val="auto"/>
          <w:sz w:val="24"/>
          <w:highlight w:val="none"/>
        </w:rPr>
      </w:pPr>
    </w:p>
    <w:p w14:paraId="19AD9328">
      <w:pPr>
        <w:spacing w:line="336" w:lineRule="auto"/>
        <w:ind w:firstLine="4337" w:firstLineChars="1800"/>
        <w:rPr>
          <w:rFonts w:ascii="仿宋" w:hAnsi="仿宋" w:eastAsia="仿宋" w:cs="仿宋"/>
          <w:b/>
          <w:color w:val="auto"/>
          <w:sz w:val="24"/>
          <w:highlight w:val="none"/>
        </w:rPr>
      </w:pPr>
    </w:p>
    <w:p w14:paraId="3E7EDC7D">
      <w:pPr>
        <w:spacing w:line="336" w:lineRule="auto"/>
        <w:rPr>
          <w:rFonts w:ascii="仿宋" w:hAnsi="仿宋" w:eastAsia="仿宋" w:cs="仿宋"/>
          <w:b/>
          <w:color w:val="auto"/>
          <w:sz w:val="30"/>
          <w:szCs w:val="30"/>
          <w:highlight w:val="none"/>
        </w:rPr>
      </w:pPr>
    </w:p>
    <w:p w14:paraId="57DCE216">
      <w:pPr>
        <w:spacing w:line="336" w:lineRule="auto"/>
        <w:rPr>
          <w:rFonts w:ascii="仿宋" w:hAnsi="仿宋" w:eastAsia="仿宋" w:cs="仿宋"/>
          <w:b/>
          <w:color w:val="auto"/>
          <w:sz w:val="30"/>
          <w:szCs w:val="30"/>
          <w:highlight w:val="none"/>
        </w:rPr>
      </w:pPr>
    </w:p>
    <w:p w14:paraId="124649EE">
      <w:pPr>
        <w:spacing w:line="336" w:lineRule="auto"/>
        <w:jc w:val="center"/>
        <w:rPr>
          <w:rFonts w:hint="eastAsia" w:ascii="仿宋" w:hAnsi="仿宋" w:eastAsia="仿宋" w:cs="仿宋"/>
          <w:b/>
          <w:color w:val="auto"/>
          <w:sz w:val="30"/>
          <w:szCs w:val="30"/>
          <w:highlight w:val="none"/>
        </w:rPr>
      </w:pPr>
    </w:p>
    <w:p w14:paraId="22FECAA1">
      <w:pPr>
        <w:spacing w:line="336" w:lineRule="auto"/>
        <w:jc w:val="center"/>
        <w:rPr>
          <w:rFonts w:hint="eastAsia" w:ascii="仿宋" w:hAnsi="仿宋" w:eastAsia="仿宋" w:cs="仿宋"/>
          <w:b/>
          <w:color w:val="auto"/>
          <w:sz w:val="30"/>
          <w:szCs w:val="30"/>
          <w:highlight w:val="none"/>
        </w:rPr>
      </w:pPr>
    </w:p>
    <w:p w14:paraId="4927773C">
      <w:pPr>
        <w:pageBreakBefore w:val="0"/>
        <w:spacing w:line="800" w:lineRule="exact"/>
        <w:jc w:val="center"/>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三、授权代表社保证明（复印件）</w:t>
      </w:r>
    </w:p>
    <w:p w14:paraId="5CA8AA2F">
      <w:pPr>
        <w:spacing w:line="800" w:lineRule="exact"/>
        <w:ind w:firstLine="480" w:firstLineChars="200"/>
        <w:rPr>
          <w:rFonts w:ascii="仿宋_GB2312" w:hAnsi="仿宋_GB2312" w:eastAsia="仿宋_GB2312" w:cs="仿宋_GB2312"/>
          <w:b/>
          <w:color w:val="auto"/>
          <w:sz w:val="24"/>
          <w:highlight w:val="none"/>
          <w:u w:val="wave"/>
        </w:rPr>
      </w:pPr>
      <w:r>
        <w:rPr>
          <w:rFonts w:hint="eastAsia" w:ascii="仿宋_GB2312" w:hAnsi="仿宋_GB2312" w:eastAsia="仿宋_GB2312" w:cs="仿宋_GB2312"/>
          <w:color w:val="auto"/>
          <w:sz w:val="24"/>
          <w:highlight w:val="none"/>
          <w:u w:val="wave"/>
          <w:shd w:val="clear" w:color="auto" w:fill="FFFFFF"/>
        </w:rPr>
        <w:t>法定代表人的被授权委托人必须是供应商职工，需在磋商响应文件技术部分内提供由社保机构出具的该授权代表的社保证明（1.如该授权代表为离退休返聘人员的，磋商响应文件技术部分内需提供退休证明及单位聘用证明;2.如由第三方代理社保事项的，则需提供加盖供应商公章的委托代理协议复印件），格式自拟。</w:t>
      </w:r>
    </w:p>
    <w:p w14:paraId="69BC3359">
      <w:pPr>
        <w:spacing w:line="800" w:lineRule="exact"/>
        <w:ind w:firstLine="480" w:firstLineChars="200"/>
        <w:rPr>
          <w:rFonts w:ascii="仿宋_GB2312" w:hAnsi="宋体" w:eastAsia="仿宋_GB2312"/>
          <w:color w:val="auto"/>
          <w:sz w:val="24"/>
          <w:highlight w:val="none"/>
          <w:u w:val="wave"/>
        </w:rPr>
      </w:pPr>
    </w:p>
    <w:p w14:paraId="1F7A62CF">
      <w:pPr>
        <w:spacing w:line="336" w:lineRule="auto"/>
        <w:jc w:val="center"/>
        <w:rPr>
          <w:rFonts w:hint="eastAsia" w:ascii="仿宋" w:hAnsi="仿宋" w:eastAsia="仿宋" w:cs="仿宋"/>
          <w:b/>
          <w:color w:val="auto"/>
          <w:sz w:val="30"/>
          <w:szCs w:val="30"/>
          <w:highlight w:val="none"/>
        </w:rPr>
      </w:pPr>
    </w:p>
    <w:p w14:paraId="6892B5FF">
      <w:pPr>
        <w:spacing w:line="336" w:lineRule="auto"/>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四</w:t>
      </w:r>
      <w:r>
        <w:rPr>
          <w:rFonts w:hint="eastAsia" w:ascii="仿宋" w:hAnsi="仿宋" w:eastAsia="仿宋" w:cs="仿宋"/>
          <w:b/>
          <w:color w:val="auto"/>
          <w:sz w:val="30"/>
          <w:szCs w:val="30"/>
          <w:highlight w:val="none"/>
        </w:rPr>
        <w:t>、法定代表人及其授权代表身份证复印件（正反面）</w:t>
      </w:r>
    </w:p>
    <w:p w14:paraId="5DA1C35E">
      <w:pPr>
        <w:spacing w:line="336" w:lineRule="auto"/>
        <w:rPr>
          <w:rFonts w:ascii="仿宋" w:hAnsi="仿宋" w:eastAsia="仿宋" w:cs="仿宋"/>
          <w:b/>
          <w:color w:val="auto"/>
          <w:sz w:val="24"/>
          <w:highlight w:val="none"/>
        </w:rPr>
      </w:pPr>
    </w:p>
    <w:p w14:paraId="061884ED">
      <w:pPr>
        <w:pStyle w:val="24"/>
        <w:ind w:left="0" w:leftChars="0" w:firstLine="0" w:firstLineChars="0"/>
        <w:rPr>
          <w:rFonts w:ascii="仿宋" w:hAnsi="仿宋" w:eastAsia="仿宋" w:cs="仿宋"/>
          <w:b/>
          <w:color w:val="auto"/>
          <w:sz w:val="24"/>
          <w:highlight w:val="none"/>
        </w:rPr>
      </w:pPr>
    </w:p>
    <w:p w14:paraId="5EA8E5F7">
      <w:pPr>
        <w:rPr>
          <w:color w:val="auto"/>
          <w:highlight w:val="none"/>
        </w:rPr>
      </w:pPr>
    </w:p>
    <w:p w14:paraId="5DDB95B6">
      <w:pPr>
        <w:pStyle w:val="2"/>
        <w:rPr>
          <w:color w:val="auto"/>
          <w:highlight w:val="none"/>
        </w:rPr>
      </w:pPr>
    </w:p>
    <w:p w14:paraId="1C3FFF3B">
      <w:pPr>
        <w:pStyle w:val="24"/>
        <w:rPr>
          <w:color w:val="auto"/>
          <w:highlight w:val="none"/>
        </w:rPr>
      </w:pPr>
    </w:p>
    <w:p w14:paraId="150F0525">
      <w:pPr>
        <w:rPr>
          <w:color w:val="auto"/>
          <w:highlight w:val="none"/>
        </w:rPr>
      </w:pPr>
    </w:p>
    <w:p w14:paraId="1D303822">
      <w:pPr>
        <w:spacing w:line="336" w:lineRule="auto"/>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五</w:t>
      </w:r>
      <w:r>
        <w:rPr>
          <w:rFonts w:hint="eastAsia" w:ascii="仿宋" w:hAnsi="仿宋" w:eastAsia="仿宋" w:cs="仿宋"/>
          <w:b/>
          <w:color w:val="auto"/>
          <w:sz w:val="30"/>
          <w:szCs w:val="30"/>
          <w:highlight w:val="none"/>
        </w:rPr>
        <w:t>、法定代表人身份证明书(格式)</w:t>
      </w:r>
    </w:p>
    <w:p w14:paraId="033BBF96">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178A8A51">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0ADE653D">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52473819">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5B6E1E06">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4D0CFC4E">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（填写供应商名称）</w:t>
      </w:r>
      <w:r>
        <w:rPr>
          <w:rFonts w:hint="eastAsia" w:ascii="仿宋" w:hAnsi="仿宋" w:eastAsia="仿宋" w:cs="仿宋"/>
          <w:color w:val="auto"/>
          <w:sz w:val="24"/>
          <w:highlight w:val="none"/>
        </w:rPr>
        <w:t>的法定代表人。</w:t>
      </w:r>
    </w:p>
    <w:p w14:paraId="0FBA4002">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特此证明。</w:t>
      </w:r>
    </w:p>
    <w:p w14:paraId="035B6D32">
      <w:pPr>
        <w:spacing w:line="336" w:lineRule="auto"/>
        <w:rPr>
          <w:rFonts w:ascii="仿宋" w:hAnsi="仿宋" w:eastAsia="仿宋" w:cs="仿宋"/>
          <w:color w:val="auto"/>
          <w:sz w:val="24"/>
          <w:highlight w:val="none"/>
        </w:rPr>
      </w:pPr>
    </w:p>
    <w:p w14:paraId="3EC7BBFB">
      <w:pPr>
        <w:spacing w:line="336"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1988E06D">
      <w:pPr>
        <w:spacing w:line="336" w:lineRule="auto"/>
        <w:ind w:firstLine="6120" w:firstLineChars="2550"/>
        <w:rPr>
          <w:rFonts w:ascii="仿宋" w:hAnsi="仿宋" w:eastAsia="仿宋" w:cs="仿宋"/>
          <w:color w:val="auto"/>
          <w:sz w:val="24"/>
          <w:highlight w:val="none"/>
        </w:rPr>
      </w:pPr>
      <w:r>
        <w:rPr>
          <w:rFonts w:hint="eastAsia" w:ascii="仿宋" w:hAnsi="仿宋" w:eastAsia="仿宋" w:cs="仿宋"/>
          <w:color w:val="auto"/>
          <w:sz w:val="24"/>
          <w:highlight w:val="none"/>
        </w:rPr>
        <w:t>日 期：</w:t>
      </w:r>
    </w:p>
    <w:p w14:paraId="5AD100E0">
      <w:pPr>
        <w:spacing w:line="336" w:lineRule="auto"/>
        <w:jc w:val="center"/>
        <w:rPr>
          <w:rFonts w:ascii="仿宋" w:hAnsi="仿宋" w:eastAsia="仿宋" w:cs="仿宋"/>
          <w:b/>
          <w:color w:val="auto"/>
          <w:kern w:val="0"/>
          <w:sz w:val="32"/>
          <w:szCs w:val="32"/>
          <w:highlight w:val="none"/>
        </w:rPr>
      </w:pPr>
    </w:p>
    <w:p w14:paraId="6E15B1BD">
      <w:pPr>
        <w:pageBreakBefore/>
        <w:spacing w:line="336" w:lineRule="auto"/>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、商务技术偏离表</w:t>
      </w:r>
    </w:p>
    <w:tbl>
      <w:tblPr>
        <w:tblStyle w:val="18"/>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8BB6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21935B7B">
            <w:pPr>
              <w:spacing w:line="336" w:lineRule="auto"/>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noWrap w:val="0"/>
            <w:vAlign w:val="top"/>
          </w:tcPr>
          <w:p w14:paraId="442623FD">
            <w:pPr>
              <w:spacing w:line="336" w:lineRule="auto"/>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磋商文件章节及具体内容</w:t>
            </w:r>
          </w:p>
        </w:tc>
        <w:tc>
          <w:tcPr>
            <w:tcW w:w="3546" w:type="dxa"/>
            <w:noWrap w:val="0"/>
            <w:vAlign w:val="top"/>
          </w:tcPr>
          <w:p w14:paraId="2DCFF001">
            <w:pPr>
              <w:spacing w:line="336" w:lineRule="auto"/>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磋商文件章节及具体内容</w:t>
            </w:r>
          </w:p>
        </w:tc>
        <w:tc>
          <w:tcPr>
            <w:tcW w:w="1276" w:type="dxa"/>
            <w:noWrap w:val="0"/>
            <w:vAlign w:val="top"/>
          </w:tcPr>
          <w:p w14:paraId="42EF28DA">
            <w:pPr>
              <w:spacing w:line="336" w:lineRule="auto"/>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03010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7D019345">
            <w:pPr>
              <w:spacing w:line="336"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noWrap w:val="0"/>
            <w:vAlign w:val="top"/>
          </w:tcPr>
          <w:p w14:paraId="5806A200">
            <w:pPr>
              <w:spacing w:line="336" w:lineRule="auto"/>
              <w:jc w:val="center"/>
              <w:rPr>
                <w:rFonts w:ascii="仿宋" w:hAnsi="仿宋" w:eastAsia="仿宋" w:cs="仿宋"/>
                <w:b/>
                <w:color w:val="auto"/>
                <w:kern w:val="0"/>
                <w:sz w:val="32"/>
                <w:szCs w:val="32"/>
                <w:highlight w:val="none"/>
              </w:rPr>
            </w:pPr>
          </w:p>
        </w:tc>
        <w:tc>
          <w:tcPr>
            <w:tcW w:w="3546" w:type="dxa"/>
            <w:noWrap w:val="0"/>
            <w:vAlign w:val="top"/>
          </w:tcPr>
          <w:p w14:paraId="63511B2B">
            <w:pPr>
              <w:spacing w:line="336" w:lineRule="auto"/>
              <w:jc w:val="center"/>
              <w:rPr>
                <w:rFonts w:ascii="仿宋" w:hAnsi="仿宋" w:eastAsia="仿宋" w:cs="仿宋"/>
                <w:b/>
                <w:color w:val="auto"/>
                <w:kern w:val="0"/>
                <w:sz w:val="32"/>
                <w:szCs w:val="32"/>
                <w:highlight w:val="none"/>
              </w:rPr>
            </w:pPr>
          </w:p>
        </w:tc>
        <w:tc>
          <w:tcPr>
            <w:tcW w:w="1276" w:type="dxa"/>
            <w:noWrap w:val="0"/>
            <w:vAlign w:val="top"/>
          </w:tcPr>
          <w:p w14:paraId="79F77520">
            <w:pPr>
              <w:spacing w:line="336" w:lineRule="auto"/>
              <w:jc w:val="center"/>
              <w:rPr>
                <w:rFonts w:ascii="仿宋" w:hAnsi="仿宋" w:eastAsia="仿宋" w:cs="仿宋"/>
                <w:b/>
                <w:color w:val="auto"/>
                <w:kern w:val="0"/>
                <w:sz w:val="32"/>
                <w:szCs w:val="32"/>
                <w:highlight w:val="none"/>
              </w:rPr>
            </w:pPr>
          </w:p>
        </w:tc>
      </w:tr>
      <w:tr w14:paraId="7EF7A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235B356B">
            <w:pPr>
              <w:spacing w:line="336"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noWrap w:val="0"/>
            <w:vAlign w:val="top"/>
          </w:tcPr>
          <w:p w14:paraId="6035C7A5">
            <w:pPr>
              <w:spacing w:line="336" w:lineRule="auto"/>
              <w:jc w:val="center"/>
              <w:rPr>
                <w:rFonts w:ascii="仿宋" w:hAnsi="仿宋" w:eastAsia="仿宋" w:cs="仿宋"/>
                <w:b/>
                <w:color w:val="auto"/>
                <w:kern w:val="0"/>
                <w:sz w:val="32"/>
                <w:szCs w:val="32"/>
                <w:highlight w:val="none"/>
              </w:rPr>
            </w:pPr>
          </w:p>
        </w:tc>
        <w:tc>
          <w:tcPr>
            <w:tcW w:w="3546" w:type="dxa"/>
            <w:noWrap w:val="0"/>
            <w:vAlign w:val="top"/>
          </w:tcPr>
          <w:p w14:paraId="28E10391">
            <w:pPr>
              <w:spacing w:line="336" w:lineRule="auto"/>
              <w:jc w:val="center"/>
              <w:rPr>
                <w:rFonts w:ascii="仿宋" w:hAnsi="仿宋" w:eastAsia="仿宋" w:cs="仿宋"/>
                <w:b/>
                <w:color w:val="auto"/>
                <w:kern w:val="0"/>
                <w:sz w:val="32"/>
                <w:szCs w:val="32"/>
                <w:highlight w:val="none"/>
              </w:rPr>
            </w:pPr>
          </w:p>
        </w:tc>
        <w:tc>
          <w:tcPr>
            <w:tcW w:w="1276" w:type="dxa"/>
            <w:noWrap w:val="0"/>
            <w:vAlign w:val="top"/>
          </w:tcPr>
          <w:p w14:paraId="5A667086">
            <w:pPr>
              <w:spacing w:line="336" w:lineRule="auto"/>
              <w:jc w:val="center"/>
              <w:rPr>
                <w:rFonts w:ascii="仿宋" w:hAnsi="仿宋" w:eastAsia="仿宋" w:cs="仿宋"/>
                <w:b/>
                <w:color w:val="auto"/>
                <w:kern w:val="0"/>
                <w:sz w:val="32"/>
                <w:szCs w:val="32"/>
                <w:highlight w:val="none"/>
              </w:rPr>
            </w:pPr>
          </w:p>
        </w:tc>
      </w:tr>
      <w:tr w14:paraId="38164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02849733">
            <w:pPr>
              <w:spacing w:line="336"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noWrap w:val="0"/>
            <w:vAlign w:val="top"/>
          </w:tcPr>
          <w:p w14:paraId="5C56BBB8">
            <w:pPr>
              <w:spacing w:line="336" w:lineRule="auto"/>
              <w:jc w:val="center"/>
              <w:rPr>
                <w:rFonts w:ascii="仿宋" w:hAnsi="仿宋" w:eastAsia="仿宋" w:cs="仿宋"/>
                <w:b/>
                <w:color w:val="auto"/>
                <w:kern w:val="0"/>
                <w:sz w:val="32"/>
                <w:szCs w:val="32"/>
                <w:highlight w:val="none"/>
              </w:rPr>
            </w:pPr>
          </w:p>
        </w:tc>
        <w:tc>
          <w:tcPr>
            <w:tcW w:w="3546" w:type="dxa"/>
            <w:noWrap w:val="0"/>
            <w:vAlign w:val="top"/>
          </w:tcPr>
          <w:p w14:paraId="4081C716">
            <w:pPr>
              <w:spacing w:line="336" w:lineRule="auto"/>
              <w:jc w:val="center"/>
              <w:rPr>
                <w:rFonts w:ascii="仿宋" w:hAnsi="仿宋" w:eastAsia="仿宋" w:cs="仿宋"/>
                <w:b/>
                <w:color w:val="auto"/>
                <w:kern w:val="0"/>
                <w:sz w:val="32"/>
                <w:szCs w:val="32"/>
                <w:highlight w:val="none"/>
              </w:rPr>
            </w:pPr>
          </w:p>
        </w:tc>
        <w:tc>
          <w:tcPr>
            <w:tcW w:w="1276" w:type="dxa"/>
            <w:noWrap w:val="0"/>
            <w:vAlign w:val="top"/>
          </w:tcPr>
          <w:p w14:paraId="70086C16">
            <w:pPr>
              <w:spacing w:line="336" w:lineRule="auto"/>
              <w:jc w:val="center"/>
              <w:rPr>
                <w:rFonts w:ascii="仿宋" w:hAnsi="仿宋" w:eastAsia="仿宋" w:cs="仿宋"/>
                <w:b/>
                <w:color w:val="auto"/>
                <w:kern w:val="0"/>
                <w:sz w:val="32"/>
                <w:szCs w:val="32"/>
                <w:highlight w:val="none"/>
              </w:rPr>
            </w:pPr>
          </w:p>
        </w:tc>
      </w:tr>
    </w:tbl>
    <w:p w14:paraId="630544A7">
      <w:pPr>
        <w:spacing w:line="336" w:lineRule="auto"/>
        <w:jc w:val="left"/>
        <w:rPr>
          <w:rFonts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t>供应商保证：除商务技术偏离表列出的偏离外，供应商响应磋商文件的全部要求</w:t>
      </w:r>
    </w:p>
    <w:p w14:paraId="061FB34B">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238C9D6">
      <w:pPr>
        <w:pStyle w:val="2"/>
        <w:rPr>
          <w:rFonts w:hint="eastAsia"/>
          <w:color w:val="auto"/>
          <w:highlight w:val="none"/>
        </w:rPr>
      </w:pPr>
    </w:p>
    <w:p w14:paraId="54164821">
      <w:pPr>
        <w:spacing w:line="336"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501B6C92">
      <w:pPr>
        <w:spacing w:line="336" w:lineRule="auto"/>
        <w:ind w:firstLine="6120" w:firstLineChars="25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5349F738">
      <w:pPr>
        <w:pStyle w:val="2"/>
        <w:rPr>
          <w:color w:val="auto"/>
          <w:highlight w:val="none"/>
        </w:rPr>
      </w:pPr>
    </w:p>
    <w:p w14:paraId="3AAEB325">
      <w:pPr>
        <w:pageBreakBefore/>
        <w:widowControl/>
        <w:adjustRightInd/>
        <w:spacing w:line="336" w:lineRule="auto"/>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七</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008F2A27">
      <w:pPr>
        <w:snapToGrid w:val="0"/>
        <w:spacing w:line="336" w:lineRule="auto"/>
        <w:rPr>
          <w:rFonts w:ascii="仿宋" w:hAnsi="仿宋" w:eastAsia="仿宋" w:cs="仿宋"/>
          <w:color w:val="auto"/>
          <w:sz w:val="24"/>
          <w:highlight w:val="none"/>
        </w:rPr>
      </w:pPr>
    </w:p>
    <w:p w14:paraId="60DC6649">
      <w:pPr>
        <w:snapToGrid w:val="0"/>
        <w:spacing w:line="336"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3E475045">
      <w:pPr>
        <w:autoSpaceDE w:val="0"/>
        <w:autoSpaceDN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项目磋商要求参加磋商。在这次磋商过程中和中标后，我们将严格遵守国家法律法规要求，并郑重承诺：</w:t>
      </w:r>
    </w:p>
    <w:p w14:paraId="65CA2A8E">
      <w:pPr>
        <w:autoSpaceDE w:val="0"/>
        <w:autoSpaceDN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7945F68D">
      <w:pPr>
        <w:autoSpaceDE w:val="0"/>
        <w:autoSpaceDN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3BA60316">
      <w:pPr>
        <w:autoSpaceDE w:val="0"/>
        <w:autoSpaceDN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4CCAF0BF">
      <w:pPr>
        <w:autoSpaceDE w:val="0"/>
        <w:autoSpaceDN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2B273691">
      <w:pPr>
        <w:autoSpaceDE w:val="0"/>
        <w:autoSpaceDN w:val="0"/>
        <w:spacing w:line="336"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6AE5EFC6">
      <w:pPr>
        <w:autoSpaceDE w:val="0"/>
        <w:autoSpaceDN w:val="0"/>
        <w:spacing w:line="336"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4633715E">
      <w:pPr>
        <w:autoSpaceDE w:val="0"/>
        <w:autoSpaceDN w:val="0"/>
        <w:spacing w:line="336"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528D9F9F">
      <w:pPr>
        <w:autoSpaceDE w:val="0"/>
        <w:autoSpaceDN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有权立即取消我单位磋商、中标或在建项目的建设资格，有权拒绝我单位在一定时期内进入你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082603A7">
      <w:pPr>
        <w:autoSpaceDE w:val="0"/>
        <w:autoSpaceDN w:val="0"/>
        <w:spacing w:line="336" w:lineRule="auto"/>
        <w:jc w:val="left"/>
        <w:rPr>
          <w:rFonts w:ascii="仿宋" w:hAnsi="仿宋" w:eastAsia="仿宋" w:cs="仿宋"/>
          <w:color w:val="auto"/>
          <w:kern w:val="0"/>
          <w:sz w:val="24"/>
          <w:highlight w:val="none"/>
          <w:lang w:val="zh-CN"/>
        </w:rPr>
      </w:pPr>
    </w:p>
    <w:p w14:paraId="054F859D">
      <w:pPr>
        <w:autoSpaceDE w:val="0"/>
        <w:autoSpaceDN w:val="0"/>
        <w:spacing w:line="336" w:lineRule="auto"/>
        <w:jc w:val="left"/>
        <w:rPr>
          <w:rFonts w:ascii="仿宋" w:hAnsi="仿宋" w:eastAsia="仿宋" w:cs="仿宋"/>
          <w:color w:val="auto"/>
          <w:kern w:val="0"/>
          <w:sz w:val="24"/>
          <w:highlight w:val="none"/>
          <w:lang w:val="zh-CN"/>
        </w:rPr>
      </w:pPr>
    </w:p>
    <w:p w14:paraId="2F193F6A">
      <w:pPr>
        <w:autoSpaceDE w:val="0"/>
        <w:autoSpaceDN w:val="0"/>
        <w:spacing w:line="336" w:lineRule="auto"/>
        <w:jc w:val="left"/>
        <w:rPr>
          <w:rFonts w:ascii="仿宋" w:hAnsi="仿宋" w:eastAsia="仿宋" w:cs="仿宋"/>
          <w:color w:val="auto"/>
          <w:kern w:val="0"/>
          <w:sz w:val="24"/>
          <w:highlight w:val="none"/>
          <w:lang w:val="zh-CN"/>
        </w:rPr>
      </w:pPr>
    </w:p>
    <w:p w14:paraId="62AB80DF">
      <w:pPr>
        <w:spacing w:line="336"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2E24AE8E">
      <w:pPr>
        <w:spacing w:line="336" w:lineRule="auto"/>
        <w:ind w:firstLine="6120" w:firstLineChars="2550"/>
        <w:rPr>
          <w:rFonts w:ascii="仿宋" w:hAnsi="仿宋" w:eastAsia="仿宋" w:cs="仿宋"/>
          <w:color w:val="auto"/>
          <w:sz w:val="24"/>
          <w:highlight w:val="none"/>
        </w:rPr>
      </w:pPr>
      <w:r>
        <w:rPr>
          <w:rFonts w:hint="eastAsia" w:ascii="仿宋" w:hAnsi="仿宋" w:eastAsia="仿宋" w:cs="仿宋"/>
          <w:color w:val="auto"/>
          <w:sz w:val="24"/>
          <w:highlight w:val="none"/>
        </w:rPr>
        <w:t>日 期：</w:t>
      </w:r>
    </w:p>
    <w:p w14:paraId="7212EB7A">
      <w:pPr>
        <w:spacing w:line="336" w:lineRule="auto"/>
        <w:jc w:val="center"/>
        <w:rPr>
          <w:rFonts w:ascii="仿宋" w:hAnsi="仿宋" w:eastAsia="仿宋" w:cs="仿宋"/>
          <w:b/>
          <w:bCs/>
          <w:color w:val="auto"/>
          <w:sz w:val="24"/>
          <w:highlight w:val="none"/>
        </w:rPr>
      </w:pPr>
    </w:p>
    <w:p w14:paraId="2FF6D2D2">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D3D528C">
      <w:pPr>
        <w:spacing w:line="336" w:lineRule="auto"/>
        <w:jc w:val="center"/>
        <w:rPr>
          <w:rFonts w:ascii="仿宋" w:hAnsi="仿宋" w:eastAsia="仿宋" w:cs="仿宋"/>
          <w:b/>
          <w:bCs/>
          <w:color w:val="auto"/>
          <w:sz w:val="24"/>
          <w:highlight w:val="none"/>
        </w:rPr>
      </w:pPr>
    </w:p>
    <w:p w14:paraId="433F8746">
      <w:pPr>
        <w:spacing w:line="360" w:lineRule="auto"/>
        <w:rPr>
          <w:rFonts w:hint="eastAsia" w:ascii="仿宋_GB2312" w:hAnsi="仿宋_GB2312" w:eastAsia="仿宋_GB2312" w:cs="仿宋_GB2312"/>
          <w:b/>
          <w:color w:val="auto"/>
          <w:sz w:val="32"/>
          <w:szCs w:val="32"/>
          <w:highlight w:val="none"/>
          <w:lang w:eastAsia="zh-CN"/>
        </w:rPr>
      </w:pPr>
    </w:p>
    <w:p w14:paraId="1FB3582C">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lang w:val="en-US" w:eastAsia="zh-CN"/>
        </w:rPr>
        <w:t>八</w:t>
      </w:r>
      <w:r>
        <w:rPr>
          <w:rFonts w:hint="eastAsia" w:ascii="仿宋_GB2312" w:hAnsi="仿宋_GB2312" w:eastAsia="仿宋_GB2312" w:cs="仿宋_GB2312"/>
          <w:b/>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主要业绩证明</w:t>
      </w:r>
    </w:p>
    <w:p w14:paraId="1B1AF096">
      <w:pPr>
        <w:autoSpaceDE w:val="0"/>
        <w:autoSpaceDN w:val="0"/>
        <w:spacing w:line="360" w:lineRule="auto"/>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17"/>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7880D41E">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noWrap w:val="0"/>
            <w:vAlign w:val="center"/>
          </w:tcPr>
          <w:p w14:paraId="289D605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noWrap w:val="0"/>
            <w:vAlign w:val="center"/>
          </w:tcPr>
          <w:p w14:paraId="6E3B7D5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14:paraId="1E0E50D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noWrap w:val="0"/>
            <w:vAlign w:val="center"/>
          </w:tcPr>
          <w:p w14:paraId="71D6897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noWrap w:val="0"/>
            <w:vAlign w:val="center"/>
          </w:tcPr>
          <w:p w14:paraId="2007BFD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14:paraId="7077DFE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14:paraId="7334CF4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noWrap w:val="0"/>
            <w:vAlign w:val="center"/>
          </w:tcPr>
          <w:p w14:paraId="323ECD1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noWrap w:val="0"/>
            <w:vAlign w:val="center"/>
          </w:tcPr>
          <w:p w14:paraId="2CB9C39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noWrap w:val="0"/>
            <w:vAlign w:val="center"/>
          </w:tcPr>
          <w:p w14:paraId="5E86966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14:paraId="76FFCA1B">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1965F2F9">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5DCDCCC5">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755015EE">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20BADCDA">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5A440359">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50354705">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75CB96ED">
            <w:pPr>
              <w:autoSpaceDE w:val="0"/>
              <w:autoSpaceDN w:val="0"/>
              <w:spacing w:line="360" w:lineRule="auto"/>
              <w:rPr>
                <w:rFonts w:ascii="仿宋_GB2312" w:hAnsi="仿宋_GB2312" w:eastAsia="仿宋_GB2312" w:cs="仿宋_GB2312"/>
                <w:color w:val="auto"/>
                <w:sz w:val="24"/>
                <w:highlight w:val="none"/>
              </w:rPr>
            </w:pPr>
          </w:p>
        </w:tc>
      </w:tr>
      <w:tr w14:paraId="104112AB">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4BB57337">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49B7BE72">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349C3A3A">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595278E4">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1E757ED7">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704920B5">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742D2891">
            <w:pPr>
              <w:autoSpaceDE w:val="0"/>
              <w:autoSpaceDN w:val="0"/>
              <w:spacing w:line="360" w:lineRule="auto"/>
              <w:rPr>
                <w:rFonts w:ascii="仿宋_GB2312" w:hAnsi="仿宋_GB2312" w:eastAsia="仿宋_GB2312" w:cs="仿宋_GB2312"/>
                <w:color w:val="auto"/>
                <w:sz w:val="24"/>
                <w:highlight w:val="none"/>
              </w:rPr>
            </w:pPr>
          </w:p>
        </w:tc>
      </w:tr>
      <w:tr w14:paraId="08EDE647">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35534CA2">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77BE9719">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4132BC71">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2EDFAFF2">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2DFA444E">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168C486F">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71FEA8B7">
            <w:pPr>
              <w:autoSpaceDE w:val="0"/>
              <w:autoSpaceDN w:val="0"/>
              <w:spacing w:line="360" w:lineRule="auto"/>
              <w:rPr>
                <w:rFonts w:ascii="仿宋_GB2312" w:hAnsi="仿宋_GB2312" w:eastAsia="仿宋_GB2312" w:cs="仿宋_GB2312"/>
                <w:color w:val="auto"/>
                <w:sz w:val="24"/>
                <w:highlight w:val="none"/>
              </w:rPr>
            </w:pPr>
          </w:p>
        </w:tc>
      </w:tr>
    </w:tbl>
    <w:p w14:paraId="064C3E29">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注：供应商可按上述的格式自行编制，须随表提交相应的合同复印件和用户单位验收证明并注明页码。</w:t>
      </w:r>
    </w:p>
    <w:p w14:paraId="1DC3D0FC">
      <w:pPr>
        <w:autoSpaceDE w:val="0"/>
        <w:autoSpaceDN w:val="0"/>
        <w:spacing w:line="360" w:lineRule="auto"/>
        <w:rPr>
          <w:rFonts w:ascii="仿宋_GB2312" w:hAnsi="仿宋_GB2312" w:eastAsia="仿宋_GB2312" w:cs="仿宋_GB2312"/>
          <w:b/>
          <w:color w:val="auto"/>
          <w:sz w:val="24"/>
          <w:highlight w:val="none"/>
        </w:rPr>
      </w:pPr>
    </w:p>
    <w:p w14:paraId="008D82D9">
      <w:pPr>
        <w:autoSpaceDE w:val="0"/>
        <w:autoSpaceDN w:val="0"/>
        <w:spacing w:line="360" w:lineRule="auto"/>
        <w:rPr>
          <w:rFonts w:ascii="仿宋_GB2312" w:hAnsi="仿宋_GB2312" w:eastAsia="仿宋_GB2312" w:cs="仿宋_GB2312"/>
          <w:color w:val="auto"/>
          <w:sz w:val="24"/>
          <w:highlight w:val="none"/>
        </w:rPr>
      </w:pPr>
    </w:p>
    <w:p w14:paraId="16FD67BC">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4D54CAA1">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029DDF0">
      <w:pPr>
        <w:pStyle w:val="33"/>
        <w:ind w:firstLine="0"/>
        <w:jc w:val="both"/>
        <w:rPr>
          <w:rFonts w:hAnsi="仿宋_GB2312" w:cs="仿宋_GB2312"/>
          <w:color w:val="auto"/>
          <w:highlight w:val="none"/>
        </w:rPr>
      </w:pPr>
    </w:p>
    <w:p w14:paraId="5A7B6F7D">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九</w:t>
      </w:r>
      <w:r>
        <w:rPr>
          <w:rFonts w:hint="eastAsia" w:ascii="仿宋_GB2312" w:hAnsi="仿宋_GB2312" w:eastAsia="仿宋_GB2312" w:cs="仿宋_GB2312"/>
          <w:b/>
          <w:bCs/>
          <w:color w:val="auto"/>
          <w:sz w:val="32"/>
          <w:szCs w:val="32"/>
          <w:highlight w:val="none"/>
        </w:rPr>
        <w:t>、技术解决方案</w:t>
      </w:r>
    </w:p>
    <w:p w14:paraId="5330CD42">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（由供应商根据采购需求及磋商文件要求编制）</w:t>
      </w:r>
    </w:p>
    <w:p w14:paraId="76168B14">
      <w:pPr>
        <w:spacing w:line="360" w:lineRule="auto"/>
        <w:jc w:val="center"/>
        <w:rPr>
          <w:rFonts w:ascii="仿宋_GB2312" w:hAnsi="仿宋_GB2312" w:eastAsia="仿宋_GB2312" w:cs="仿宋_GB2312"/>
          <w:color w:val="auto"/>
          <w:sz w:val="24"/>
          <w:highlight w:val="none"/>
        </w:rPr>
      </w:pPr>
    </w:p>
    <w:p w14:paraId="5A8EC4BD">
      <w:pPr>
        <w:snapToGrid w:val="0"/>
        <w:spacing w:line="360" w:lineRule="auto"/>
        <w:jc w:val="center"/>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磋商产品规格配置清单</w:t>
      </w:r>
    </w:p>
    <w:tbl>
      <w:tblPr>
        <w:tblStyle w:val="17"/>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407DF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noWrap w:val="0"/>
            <w:vAlign w:val="center"/>
          </w:tcPr>
          <w:p w14:paraId="3FA20B0C">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noWrap w:val="0"/>
            <w:vAlign w:val="center"/>
          </w:tcPr>
          <w:p w14:paraId="2E5EB9B8">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noWrap w:val="0"/>
            <w:vAlign w:val="center"/>
          </w:tcPr>
          <w:p w14:paraId="10F99632">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磋商品牌及型号</w:t>
            </w:r>
          </w:p>
        </w:tc>
        <w:tc>
          <w:tcPr>
            <w:tcW w:w="2340" w:type="dxa"/>
            <w:noWrap w:val="0"/>
            <w:vAlign w:val="center"/>
          </w:tcPr>
          <w:p w14:paraId="5907363F">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noWrap w:val="0"/>
            <w:vAlign w:val="center"/>
          </w:tcPr>
          <w:p w14:paraId="21FFC525">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noWrap w:val="0"/>
            <w:vAlign w:val="center"/>
          </w:tcPr>
          <w:p w14:paraId="41E72F24">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14:paraId="34C63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noWrap w:val="0"/>
            <w:vAlign w:val="center"/>
          </w:tcPr>
          <w:p w14:paraId="17F0365E">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noWrap w:val="0"/>
            <w:vAlign w:val="center"/>
          </w:tcPr>
          <w:p w14:paraId="61AA7966">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158E1DB8">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58F48316">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57CF96BB">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2A63A3DF">
            <w:pPr>
              <w:spacing w:line="360" w:lineRule="auto"/>
              <w:jc w:val="center"/>
              <w:rPr>
                <w:rFonts w:ascii="仿宋_GB2312" w:hAnsi="仿宋_GB2312" w:eastAsia="仿宋_GB2312" w:cs="仿宋_GB2312"/>
                <w:color w:val="auto"/>
                <w:sz w:val="24"/>
                <w:highlight w:val="none"/>
              </w:rPr>
            </w:pPr>
          </w:p>
        </w:tc>
      </w:tr>
      <w:tr w14:paraId="0E79C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4E318805">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noWrap w:val="0"/>
            <w:vAlign w:val="center"/>
          </w:tcPr>
          <w:p w14:paraId="0EF86AEC">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7F642DF5">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47631164">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1E310355">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7B330ED3">
            <w:pPr>
              <w:spacing w:line="360" w:lineRule="auto"/>
              <w:jc w:val="center"/>
              <w:rPr>
                <w:rFonts w:ascii="仿宋_GB2312" w:hAnsi="仿宋_GB2312" w:eastAsia="仿宋_GB2312" w:cs="仿宋_GB2312"/>
                <w:color w:val="auto"/>
                <w:sz w:val="24"/>
                <w:highlight w:val="none"/>
              </w:rPr>
            </w:pPr>
          </w:p>
        </w:tc>
      </w:tr>
      <w:tr w14:paraId="1D9E4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7CB5DE6A">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noWrap w:val="0"/>
            <w:vAlign w:val="center"/>
          </w:tcPr>
          <w:p w14:paraId="7A9C430F">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0B3BFA0E">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44529F18">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29FAEE67">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614A132E">
            <w:pPr>
              <w:spacing w:line="360" w:lineRule="auto"/>
              <w:jc w:val="center"/>
              <w:rPr>
                <w:rFonts w:ascii="仿宋_GB2312" w:hAnsi="仿宋_GB2312" w:eastAsia="仿宋_GB2312" w:cs="仿宋_GB2312"/>
                <w:color w:val="auto"/>
                <w:sz w:val="24"/>
                <w:highlight w:val="none"/>
              </w:rPr>
            </w:pPr>
          </w:p>
        </w:tc>
      </w:tr>
      <w:tr w14:paraId="68C78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7B45B266">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noWrap w:val="0"/>
            <w:vAlign w:val="center"/>
          </w:tcPr>
          <w:p w14:paraId="3525F752">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26213D26">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53660806">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675CEFC1">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537E0E4C">
            <w:pPr>
              <w:spacing w:line="360" w:lineRule="auto"/>
              <w:jc w:val="center"/>
              <w:rPr>
                <w:rFonts w:ascii="仿宋_GB2312" w:hAnsi="仿宋_GB2312" w:eastAsia="仿宋_GB2312" w:cs="仿宋_GB2312"/>
                <w:color w:val="auto"/>
                <w:sz w:val="24"/>
                <w:highlight w:val="none"/>
              </w:rPr>
            </w:pPr>
          </w:p>
        </w:tc>
      </w:tr>
      <w:tr w14:paraId="5CB40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2C76E143">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noWrap w:val="0"/>
            <w:vAlign w:val="center"/>
          </w:tcPr>
          <w:p w14:paraId="70812253">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0B1DFB8A">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06ADFAFD">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20CB0733">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10A67F23">
            <w:pPr>
              <w:spacing w:line="360" w:lineRule="auto"/>
              <w:jc w:val="center"/>
              <w:rPr>
                <w:rFonts w:ascii="仿宋_GB2312" w:hAnsi="仿宋_GB2312" w:eastAsia="仿宋_GB2312" w:cs="仿宋_GB2312"/>
                <w:color w:val="auto"/>
                <w:sz w:val="24"/>
                <w:highlight w:val="none"/>
              </w:rPr>
            </w:pPr>
          </w:p>
        </w:tc>
      </w:tr>
    </w:tbl>
    <w:p w14:paraId="46CEB6B7">
      <w:pPr>
        <w:autoSpaceDE w:val="0"/>
        <w:autoSpaceDN w:val="0"/>
        <w:spacing w:line="360" w:lineRule="auto"/>
        <w:rPr>
          <w:rFonts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t>注：</w:t>
      </w:r>
    </w:p>
    <w:p w14:paraId="23909F9B">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1.</w:t>
      </w:r>
      <w:r>
        <w:rPr>
          <w:rFonts w:hint="eastAsia" w:ascii="仿宋_GB2312" w:hAnsi="仿宋_GB2312" w:eastAsia="仿宋_GB2312" w:cs="仿宋_GB2312"/>
          <w:b/>
          <w:color w:val="auto"/>
          <w:sz w:val="24"/>
          <w:highlight w:val="none"/>
        </w:rPr>
        <w:t>如果本项目涉及硬件设备采购，须在</w:t>
      </w:r>
      <w:r>
        <w:rPr>
          <w:rFonts w:hint="eastAsia" w:ascii="仿宋_GB2312" w:hAnsi="仿宋_GB2312" w:eastAsia="仿宋_GB2312" w:cs="仿宋_GB2312"/>
          <w:b/>
          <w:color w:val="auto"/>
          <w:sz w:val="24"/>
          <w:highlight w:val="none"/>
          <w:lang w:eastAsia="zh-CN"/>
        </w:rPr>
        <w:t>商务技术文件</w:t>
      </w:r>
      <w:r>
        <w:rPr>
          <w:rFonts w:hint="eastAsia" w:ascii="仿宋_GB2312" w:hAnsi="仿宋_GB2312" w:eastAsia="仿宋_GB2312" w:cs="仿宋_GB2312"/>
          <w:b/>
          <w:color w:val="auto"/>
          <w:sz w:val="24"/>
          <w:highlight w:val="none"/>
        </w:rPr>
        <w:t>中提供此配置清单，提供主要磋商产品的技术参数证明材料（如官网截图、产品彩页、原厂技术说明等）。</w:t>
      </w:r>
    </w:p>
    <w:p w14:paraId="3933C2A1">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 w:eastAsia="仿宋_GB2312"/>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本项目如需采购政府强制采购的节能产品的或磋商响应人提供的产品是环境标志产品，磋商响应人须提供节能产品、环境标志产品认证证书复印件。</w:t>
      </w:r>
    </w:p>
    <w:p w14:paraId="6AA9B473">
      <w:pPr>
        <w:autoSpaceDE w:val="0"/>
        <w:autoSpaceDN w:val="0"/>
        <w:spacing w:line="360" w:lineRule="auto"/>
        <w:ind w:firstLine="496" w:firstLineChars="196"/>
        <w:rPr>
          <w:rFonts w:ascii="仿宋_GB2312" w:hAnsi="仿宋" w:eastAsia="仿宋_GB2312"/>
          <w:b/>
          <w:color w:val="auto"/>
          <w:spacing w:val="6"/>
          <w:sz w:val="24"/>
          <w:highlight w:val="none"/>
        </w:rPr>
      </w:pPr>
      <w:r>
        <w:rPr>
          <w:rFonts w:hint="eastAsia" w:ascii="仿宋_GB2312" w:hAnsi="仿宋" w:eastAsia="仿宋_GB2312"/>
          <w:b/>
          <w:color w:val="auto"/>
          <w:spacing w:val="6"/>
          <w:sz w:val="24"/>
          <w:highlight w:val="none"/>
        </w:rPr>
        <w:t>附：</w:t>
      </w:r>
    </w:p>
    <w:p w14:paraId="227789C0">
      <w:pPr>
        <w:autoSpaceDE w:val="0"/>
        <w:autoSpaceDN w:val="0"/>
        <w:spacing w:line="360" w:lineRule="auto"/>
        <w:rPr>
          <w:rFonts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object>
          <v:shape id="_x0000_i1025" o:spt="75" type="#_x0000_t75" style="height:42.1pt;width:442.2pt;" o:ole="t" filled="f" o:preferrelative="t" stroked="f" coordsize="21600,21600">
            <v:path/>
            <v:fill on="f" focussize="0,0"/>
            <v:stroke on="f" joinstyle="miter"/>
            <v:imagedata r:id="rId22" o:title=""/>
            <o:lock v:ext="edit" aspectratio="t"/>
            <w10:wrap type="none"/>
            <w10:anchorlock/>
          </v:shape>
          <o:OLEObject Type="Embed" ProgID="Package" ShapeID="_x0000_i1025" DrawAspect="Content" ObjectID="_1468075725" r:id="rId21">
            <o:LockedField>false</o:LockedField>
          </o:OLEObject>
        </w:object>
      </w:r>
      <w:r>
        <w:rPr>
          <w:rFonts w:hint="eastAsia" w:ascii="仿宋_GB2312" w:hAnsi="仿宋_GB2312" w:eastAsia="仿宋_GB2312" w:cs="仿宋_GB2312"/>
          <w:b/>
          <w:color w:val="auto"/>
          <w:kern w:val="0"/>
          <w:sz w:val="24"/>
          <w:highlight w:val="none"/>
        </w:rPr>
        <w:object>
          <v:shape id="_x0000_i1026" o:spt="75" type="#_x0000_t75" style="height:42.1pt;width:442.2pt;" o:ole="t" filled="f" o:preferrelative="t" stroked="f" coordsize="21600,21600">
            <v:path/>
            <v:fill on="f" focussize="0,0"/>
            <v:stroke on="f" joinstyle="miter"/>
            <v:imagedata r:id="rId24" o:title=""/>
            <o:lock v:ext="edit" aspectratio="t"/>
            <w10:wrap type="none"/>
            <w10:anchorlock/>
          </v:shape>
          <o:OLEObject Type="Embed" ProgID="Package" ShapeID="_x0000_i1026" DrawAspect="Content" ObjectID="_1468075726" r:id="rId23">
            <o:LockedField>false</o:LockedField>
          </o:OLEObject>
        </w:object>
      </w:r>
    </w:p>
    <w:p w14:paraId="7173B078">
      <w:pPr>
        <w:autoSpaceDE w:val="0"/>
        <w:autoSpaceDN w:val="0"/>
        <w:spacing w:line="360" w:lineRule="auto"/>
        <w:ind w:firstLine="4560" w:firstLineChars="1900"/>
        <w:rPr>
          <w:rFonts w:ascii="仿宋_GB2312" w:hAnsi="仿宋_GB2312" w:eastAsia="仿宋_GB2312" w:cs="仿宋_GB2312"/>
          <w:color w:val="auto"/>
          <w:kern w:val="0"/>
          <w:sz w:val="24"/>
          <w:highlight w:val="none"/>
        </w:rPr>
      </w:pPr>
    </w:p>
    <w:p w14:paraId="185D92FB">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2051049D">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254ED1B">
      <w:pPr>
        <w:pageBreakBefore/>
        <w:tabs>
          <w:tab w:val="left" w:pos="2790"/>
          <w:tab w:val="left" w:pos="4230"/>
        </w:tabs>
        <w:autoSpaceDE w:val="0"/>
        <w:autoSpaceDN w:val="0"/>
        <w:spacing w:line="360" w:lineRule="auto"/>
        <w:ind w:right="1400"/>
        <w:jc w:val="center"/>
        <w:outlineLvl w:val="1"/>
        <w:rPr>
          <w:rFonts w:hint="eastAsia"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14:paraId="604361E3">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en-US" w:eastAsia="zh-CN"/>
        </w:rPr>
        <w:t>十</w:t>
      </w:r>
      <w:r>
        <w:rPr>
          <w:rFonts w:hint="eastAsia" w:ascii="仿宋_GB2312" w:hAnsi="仿宋_GB2312" w:eastAsia="仿宋_GB2312" w:cs="仿宋_GB2312"/>
          <w:b/>
          <w:bCs/>
          <w:color w:val="auto"/>
          <w:kern w:val="0"/>
          <w:sz w:val="32"/>
          <w:szCs w:val="32"/>
          <w:highlight w:val="none"/>
          <w:lang w:val="zh-CN"/>
        </w:rPr>
        <w:t>、组织实施方案</w:t>
      </w:r>
    </w:p>
    <w:p w14:paraId="0203C76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（由供应商根据采购需求及磋商文件要求编制）</w:t>
      </w:r>
    </w:p>
    <w:p w14:paraId="6B8EBE31">
      <w:pPr>
        <w:tabs>
          <w:tab w:val="left" w:pos="2790"/>
          <w:tab w:val="left" w:pos="4230"/>
        </w:tabs>
        <w:autoSpaceDE w:val="0"/>
        <w:autoSpaceDN w:val="0"/>
        <w:spacing w:line="360" w:lineRule="auto"/>
        <w:ind w:right="1400"/>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17"/>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4D12B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noWrap w:val="0"/>
            <w:vAlign w:val="center"/>
          </w:tcPr>
          <w:p w14:paraId="266525E1">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14:paraId="760B81E9">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noWrap w:val="0"/>
            <w:vAlign w:val="center"/>
          </w:tcPr>
          <w:p w14:paraId="65A66158">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noWrap w:val="0"/>
            <w:vAlign w:val="center"/>
          </w:tcPr>
          <w:p w14:paraId="517BBEBD">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noWrap w:val="0"/>
            <w:vAlign w:val="center"/>
          </w:tcPr>
          <w:p w14:paraId="631CA771">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noWrap w:val="0"/>
            <w:vAlign w:val="center"/>
          </w:tcPr>
          <w:p w14:paraId="4540B7D5">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noWrap w:val="0"/>
            <w:vAlign w:val="center"/>
          </w:tcPr>
          <w:p w14:paraId="2CB23A97">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noWrap w:val="0"/>
            <w:vAlign w:val="center"/>
          </w:tcPr>
          <w:p w14:paraId="2F21C0C8">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noWrap w:val="0"/>
            <w:vAlign w:val="center"/>
          </w:tcPr>
          <w:p w14:paraId="645CE355">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noWrap w:val="0"/>
            <w:vAlign w:val="center"/>
          </w:tcPr>
          <w:p w14:paraId="5101F96E">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noWrap w:val="0"/>
            <w:vAlign w:val="center"/>
          </w:tcPr>
          <w:p w14:paraId="56D9C254">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noWrap w:val="0"/>
            <w:vAlign w:val="center"/>
          </w:tcPr>
          <w:p w14:paraId="3E839FD8">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noWrap w:val="0"/>
            <w:vAlign w:val="center"/>
          </w:tcPr>
          <w:p w14:paraId="31E4B564">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noWrap w:val="0"/>
            <w:vAlign w:val="center"/>
          </w:tcPr>
          <w:p w14:paraId="619074ED">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noWrap w:val="0"/>
            <w:vAlign w:val="center"/>
          </w:tcPr>
          <w:p w14:paraId="12B7CEF7">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noWrap w:val="0"/>
            <w:vAlign w:val="center"/>
          </w:tcPr>
          <w:p w14:paraId="7CF6C198">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noWrap w:val="0"/>
            <w:vAlign w:val="center"/>
          </w:tcPr>
          <w:p w14:paraId="3179FBEF">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noWrap w:val="0"/>
            <w:vAlign w:val="center"/>
          </w:tcPr>
          <w:p w14:paraId="34C342B2">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14:paraId="12D06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5124603D">
            <w:pPr>
              <w:spacing w:line="360" w:lineRule="auto"/>
              <w:rPr>
                <w:rFonts w:ascii="仿宋_GB2312" w:hAnsi="仿宋_GB2312" w:eastAsia="仿宋_GB2312" w:cs="仿宋_GB2312"/>
                <w:color w:val="auto"/>
                <w:sz w:val="24"/>
                <w:highlight w:val="none"/>
              </w:rPr>
            </w:pPr>
          </w:p>
        </w:tc>
        <w:tc>
          <w:tcPr>
            <w:tcW w:w="552" w:type="dxa"/>
            <w:noWrap w:val="0"/>
            <w:vAlign w:val="top"/>
          </w:tcPr>
          <w:p w14:paraId="6F53D3B2">
            <w:pPr>
              <w:spacing w:line="360" w:lineRule="auto"/>
              <w:rPr>
                <w:rFonts w:ascii="仿宋_GB2312" w:hAnsi="仿宋_GB2312" w:eastAsia="仿宋_GB2312" w:cs="仿宋_GB2312"/>
                <w:color w:val="auto"/>
                <w:sz w:val="24"/>
                <w:highlight w:val="none"/>
              </w:rPr>
            </w:pPr>
          </w:p>
        </w:tc>
        <w:tc>
          <w:tcPr>
            <w:tcW w:w="552" w:type="dxa"/>
            <w:noWrap w:val="0"/>
            <w:vAlign w:val="top"/>
          </w:tcPr>
          <w:p w14:paraId="6C68AAF6">
            <w:pPr>
              <w:spacing w:line="360" w:lineRule="auto"/>
              <w:rPr>
                <w:rFonts w:ascii="仿宋_GB2312" w:hAnsi="仿宋_GB2312" w:eastAsia="仿宋_GB2312" w:cs="仿宋_GB2312"/>
                <w:color w:val="auto"/>
                <w:sz w:val="24"/>
                <w:highlight w:val="none"/>
              </w:rPr>
            </w:pPr>
          </w:p>
        </w:tc>
        <w:tc>
          <w:tcPr>
            <w:tcW w:w="552" w:type="dxa"/>
            <w:noWrap w:val="0"/>
            <w:vAlign w:val="top"/>
          </w:tcPr>
          <w:p w14:paraId="6A332531">
            <w:pPr>
              <w:spacing w:line="360" w:lineRule="auto"/>
              <w:rPr>
                <w:rFonts w:ascii="仿宋_GB2312" w:hAnsi="仿宋_GB2312" w:eastAsia="仿宋_GB2312" w:cs="仿宋_GB2312"/>
                <w:color w:val="auto"/>
                <w:sz w:val="24"/>
                <w:highlight w:val="none"/>
              </w:rPr>
            </w:pPr>
          </w:p>
        </w:tc>
        <w:tc>
          <w:tcPr>
            <w:tcW w:w="552" w:type="dxa"/>
            <w:noWrap w:val="0"/>
            <w:vAlign w:val="top"/>
          </w:tcPr>
          <w:p w14:paraId="08B9BA51">
            <w:pPr>
              <w:spacing w:line="360" w:lineRule="auto"/>
              <w:rPr>
                <w:rFonts w:ascii="仿宋_GB2312" w:hAnsi="仿宋_GB2312" w:eastAsia="仿宋_GB2312" w:cs="仿宋_GB2312"/>
                <w:color w:val="auto"/>
                <w:sz w:val="24"/>
                <w:highlight w:val="none"/>
              </w:rPr>
            </w:pPr>
          </w:p>
        </w:tc>
        <w:tc>
          <w:tcPr>
            <w:tcW w:w="552" w:type="dxa"/>
            <w:noWrap w:val="0"/>
            <w:vAlign w:val="top"/>
          </w:tcPr>
          <w:p w14:paraId="1C60C61F">
            <w:pPr>
              <w:spacing w:line="360" w:lineRule="auto"/>
              <w:rPr>
                <w:rFonts w:ascii="仿宋_GB2312" w:hAnsi="仿宋_GB2312" w:eastAsia="仿宋_GB2312" w:cs="仿宋_GB2312"/>
                <w:color w:val="auto"/>
                <w:sz w:val="24"/>
                <w:highlight w:val="none"/>
              </w:rPr>
            </w:pPr>
          </w:p>
        </w:tc>
        <w:tc>
          <w:tcPr>
            <w:tcW w:w="552" w:type="dxa"/>
            <w:noWrap w:val="0"/>
            <w:vAlign w:val="top"/>
          </w:tcPr>
          <w:p w14:paraId="35558CF3">
            <w:pPr>
              <w:spacing w:line="360" w:lineRule="auto"/>
              <w:rPr>
                <w:rFonts w:ascii="仿宋_GB2312" w:hAnsi="仿宋_GB2312" w:eastAsia="仿宋_GB2312" w:cs="仿宋_GB2312"/>
                <w:color w:val="auto"/>
                <w:sz w:val="24"/>
                <w:highlight w:val="none"/>
              </w:rPr>
            </w:pPr>
          </w:p>
        </w:tc>
        <w:tc>
          <w:tcPr>
            <w:tcW w:w="553" w:type="dxa"/>
            <w:noWrap w:val="0"/>
            <w:vAlign w:val="top"/>
          </w:tcPr>
          <w:p w14:paraId="6E2C0D0A">
            <w:pPr>
              <w:spacing w:line="360" w:lineRule="auto"/>
              <w:rPr>
                <w:rFonts w:ascii="仿宋_GB2312" w:hAnsi="仿宋_GB2312" w:eastAsia="仿宋_GB2312" w:cs="仿宋_GB2312"/>
                <w:color w:val="auto"/>
                <w:sz w:val="24"/>
                <w:highlight w:val="none"/>
              </w:rPr>
            </w:pPr>
          </w:p>
        </w:tc>
        <w:tc>
          <w:tcPr>
            <w:tcW w:w="553" w:type="dxa"/>
            <w:noWrap w:val="0"/>
            <w:vAlign w:val="top"/>
          </w:tcPr>
          <w:p w14:paraId="30B83289">
            <w:pPr>
              <w:spacing w:line="360" w:lineRule="auto"/>
              <w:rPr>
                <w:rFonts w:ascii="仿宋_GB2312" w:hAnsi="仿宋_GB2312" w:eastAsia="仿宋_GB2312" w:cs="仿宋_GB2312"/>
                <w:color w:val="auto"/>
                <w:sz w:val="24"/>
                <w:highlight w:val="none"/>
              </w:rPr>
            </w:pPr>
          </w:p>
        </w:tc>
        <w:tc>
          <w:tcPr>
            <w:tcW w:w="553" w:type="dxa"/>
            <w:noWrap w:val="0"/>
            <w:vAlign w:val="top"/>
          </w:tcPr>
          <w:p w14:paraId="5065AE58">
            <w:pPr>
              <w:spacing w:line="360" w:lineRule="auto"/>
              <w:rPr>
                <w:rFonts w:ascii="仿宋_GB2312" w:hAnsi="仿宋_GB2312" w:eastAsia="仿宋_GB2312" w:cs="仿宋_GB2312"/>
                <w:color w:val="auto"/>
                <w:sz w:val="24"/>
                <w:highlight w:val="none"/>
              </w:rPr>
            </w:pPr>
          </w:p>
        </w:tc>
        <w:tc>
          <w:tcPr>
            <w:tcW w:w="553" w:type="dxa"/>
            <w:noWrap w:val="0"/>
            <w:vAlign w:val="top"/>
          </w:tcPr>
          <w:p w14:paraId="43DB6FDD">
            <w:pPr>
              <w:spacing w:line="360" w:lineRule="auto"/>
              <w:rPr>
                <w:rFonts w:ascii="仿宋_GB2312" w:hAnsi="仿宋_GB2312" w:eastAsia="仿宋_GB2312" w:cs="仿宋_GB2312"/>
                <w:color w:val="auto"/>
                <w:sz w:val="24"/>
                <w:highlight w:val="none"/>
              </w:rPr>
            </w:pPr>
          </w:p>
        </w:tc>
        <w:tc>
          <w:tcPr>
            <w:tcW w:w="553" w:type="dxa"/>
            <w:noWrap w:val="0"/>
            <w:vAlign w:val="top"/>
          </w:tcPr>
          <w:p w14:paraId="46B37881">
            <w:pPr>
              <w:spacing w:line="360" w:lineRule="auto"/>
              <w:rPr>
                <w:rFonts w:ascii="仿宋_GB2312" w:hAnsi="仿宋_GB2312" w:eastAsia="仿宋_GB2312" w:cs="仿宋_GB2312"/>
                <w:color w:val="auto"/>
                <w:sz w:val="24"/>
                <w:highlight w:val="none"/>
              </w:rPr>
            </w:pPr>
          </w:p>
        </w:tc>
        <w:tc>
          <w:tcPr>
            <w:tcW w:w="553" w:type="dxa"/>
            <w:noWrap w:val="0"/>
            <w:vAlign w:val="top"/>
          </w:tcPr>
          <w:p w14:paraId="7D6F22E4">
            <w:pPr>
              <w:spacing w:line="360" w:lineRule="auto"/>
              <w:rPr>
                <w:rFonts w:ascii="仿宋_GB2312" w:hAnsi="仿宋_GB2312" w:eastAsia="仿宋_GB2312" w:cs="仿宋_GB2312"/>
                <w:color w:val="auto"/>
                <w:sz w:val="24"/>
                <w:highlight w:val="none"/>
              </w:rPr>
            </w:pPr>
          </w:p>
        </w:tc>
        <w:tc>
          <w:tcPr>
            <w:tcW w:w="553" w:type="dxa"/>
            <w:noWrap w:val="0"/>
            <w:vAlign w:val="top"/>
          </w:tcPr>
          <w:p w14:paraId="45706981">
            <w:pPr>
              <w:spacing w:line="360" w:lineRule="auto"/>
              <w:rPr>
                <w:rFonts w:ascii="仿宋_GB2312" w:hAnsi="仿宋_GB2312" w:eastAsia="仿宋_GB2312" w:cs="仿宋_GB2312"/>
                <w:color w:val="auto"/>
                <w:sz w:val="24"/>
                <w:highlight w:val="none"/>
              </w:rPr>
            </w:pPr>
          </w:p>
        </w:tc>
        <w:tc>
          <w:tcPr>
            <w:tcW w:w="553" w:type="dxa"/>
            <w:noWrap w:val="0"/>
            <w:vAlign w:val="top"/>
          </w:tcPr>
          <w:p w14:paraId="1AA6DE93">
            <w:pPr>
              <w:spacing w:line="360" w:lineRule="auto"/>
              <w:rPr>
                <w:rFonts w:ascii="仿宋_GB2312" w:hAnsi="仿宋_GB2312" w:eastAsia="仿宋_GB2312" w:cs="仿宋_GB2312"/>
                <w:color w:val="auto"/>
                <w:sz w:val="24"/>
                <w:highlight w:val="none"/>
              </w:rPr>
            </w:pPr>
          </w:p>
        </w:tc>
        <w:tc>
          <w:tcPr>
            <w:tcW w:w="553" w:type="dxa"/>
            <w:noWrap w:val="0"/>
            <w:vAlign w:val="top"/>
          </w:tcPr>
          <w:p w14:paraId="65B0B684">
            <w:pPr>
              <w:spacing w:line="360" w:lineRule="auto"/>
              <w:rPr>
                <w:rFonts w:ascii="仿宋_GB2312" w:hAnsi="仿宋_GB2312" w:eastAsia="仿宋_GB2312" w:cs="仿宋_GB2312"/>
                <w:color w:val="auto"/>
                <w:sz w:val="24"/>
                <w:highlight w:val="none"/>
              </w:rPr>
            </w:pPr>
          </w:p>
        </w:tc>
        <w:tc>
          <w:tcPr>
            <w:tcW w:w="553" w:type="dxa"/>
            <w:noWrap w:val="0"/>
            <w:vAlign w:val="top"/>
          </w:tcPr>
          <w:p w14:paraId="44D5402A">
            <w:pPr>
              <w:spacing w:line="360" w:lineRule="auto"/>
              <w:rPr>
                <w:rFonts w:ascii="仿宋_GB2312" w:hAnsi="仿宋_GB2312" w:eastAsia="仿宋_GB2312" w:cs="仿宋_GB2312"/>
                <w:color w:val="auto"/>
                <w:sz w:val="24"/>
                <w:highlight w:val="none"/>
              </w:rPr>
            </w:pPr>
          </w:p>
        </w:tc>
      </w:tr>
      <w:tr w14:paraId="174E7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63C8E59F">
            <w:pPr>
              <w:spacing w:line="360" w:lineRule="auto"/>
              <w:rPr>
                <w:rFonts w:ascii="仿宋_GB2312" w:hAnsi="仿宋_GB2312" w:eastAsia="仿宋_GB2312" w:cs="仿宋_GB2312"/>
                <w:color w:val="auto"/>
                <w:sz w:val="24"/>
                <w:highlight w:val="none"/>
              </w:rPr>
            </w:pPr>
          </w:p>
        </w:tc>
        <w:tc>
          <w:tcPr>
            <w:tcW w:w="552" w:type="dxa"/>
            <w:noWrap w:val="0"/>
            <w:vAlign w:val="top"/>
          </w:tcPr>
          <w:p w14:paraId="7D708A59">
            <w:pPr>
              <w:spacing w:line="360" w:lineRule="auto"/>
              <w:rPr>
                <w:rFonts w:ascii="仿宋_GB2312" w:hAnsi="仿宋_GB2312" w:eastAsia="仿宋_GB2312" w:cs="仿宋_GB2312"/>
                <w:color w:val="auto"/>
                <w:sz w:val="24"/>
                <w:highlight w:val="none"/>
              </w:rPr>
            </w:pPr>
          </w:p>
        </w:tc>
        <w:tc>
          <w:tcPr>
            <w:tcW w:w="552" w:type="dxa"/>
            <w:noWrap w:val="0"/>
            <w:vAlign w:val="top"/>
          </w:tcPr>
          <w:p w14:paraId="5D0DFD91">
            <w:pPr>
              <w:spacing w:line="360" w:lineRule="auto"/>
              <w:rPr>
                <w:rFonts w:ascii="仿宋_GB2312" w:hAnsi="仿宋_GB2312" w:eastAsia="仿宋_GB2312" w:cs="仿宋_GB2312"/>
                <w:color w:val="auto"/>
                <w:sz w:val="24"/>
                <w:highlight w:val="none"/>
              </w:rPr>
            </w:pPr>
          </w:p>
        </w:tc>
        <w:tc>
          <w:tcPr>
            <w:tcW w:w="552" w:type="dxa"/>
            <w:noWrap w:val="0"/>
            <w:vAlign w:val="top"/>
          </w:tcPr>
          <w:p w14:paraId="05BED9C3">
            <w:pPr>
              <w:spacing w:line="360" w:lineRule="auto"/>
              <w:rPr>
                <w:rFonts w:ascii="仿宋_GB2312" w:hAnsi="仿宋_GB2312" w:eastAsia="仿宋_GB2312" w:cs="仿宋_GB2312"/>
                <w:color w:val="auto"/>
                <w:sz w:val="24"/>
                <w:highlight w:val="none"/>
              </w:rPr>
            </w:pPr>
          </w:p>
        </w:tc>
        <w:tc>
          <w:tcPr>
            <w:tcW w:w="552" w:type="dxa"/>
            <w:noWrap w:val="0"/>
            <w:vAlign w:val="top"/>
          </w:tcPr>
          <w:p w14:paraId="160194BB">
            <w:pPr>
              <w:spacing w:line="360" w:lineRule="auto"/>
              <w:rPr>
                <w:rFonts w:ascii="仿宋_GB2312" w:hAnsi="仿宋_GB2312" w:eastAsia="仿宋_GB2312" w:cs="仿宋_GB2312"/>
                <w:color w:val="auto"/>
                <w:sz w:val="24"/>
                <w:highlight w:val="none"/>
              </w:rPr>
            </w:pPr>
          </w:p>
        </w:tc>
        <w:tc>
          <w:tcPr>
            <w:tcW w:w="552" w:type="dxa"/>
            <w:noWrap w:val="0"/>
            <w:vAlign w:val="top"/>
          </w:tcPr>
          <w:p w14:paraId="15D3159F">
            <w:pPr>
              <w:spacing w:line="360" w:lineRule="auto"/>
              <w:rPr>
                <w:rFonts w:ascii="仿宋_GB2312" w:hAnsi="仿宋_GB2312" w:eastAsia="仿宋_GB2312" w:cs="仿宋_GB2312"/>
                <w:color w:val="auto"/>
                <w:sz w:val="24"/>
                <w:highlight w:val="none"/>
              </w:rPr>
            </w:pPr>
          </w:p>
        </w:tc>
        <w:tc>
          <w:tcPr>
            <w:tcW w:w="552" w:type="dxa"/>
            <w:noWrap w:val="0"/>
            <w:vAlign w:val="top"/>
          </w:tcPr>
          <w:p w14:paraId="3127D9A0">
            <w:pPr>
              <w:spacing w:line="360" w:lineRule="auto"/>
              <w:rPr>
                <w:rFonts w:ascii="仿宋_GB2312" w:hAnsi="仿宋_GB2312" w:eastAsia="仿宋_GB2312" w:cs="仿宋_GB2312"/>
                <w:color w:val="auto"/>
                <w:sz w:val="24"/>
                <w:highlight w:val="none"/>
              </w:rPr>
            </w:pPr>
          </w:p>
        </w:tc>
        <w:tc>
          <w:tcPr>
            <w:tcW w:w="553" w:type="dxa"/>
            <w:noWrap w:val="0"/>
            <w:vAlign w:val="top"/>
          </w:tcPr>
          <w:p w14:paraId="5D0B7BA6">
            <w:pPr>
              <w:spacing w:line="360" w:lineRule="auto"/>
              <w:rPr>
                <w:rFonts w:ascii="仿宋_GB2312" w:hAnsi="仿宋_GB2312" w:eastAsia="仿宋_GB2312" w:cs="仿宋_GB2312"/>
                <w:color w:val="auto"/>
                <w:sz w:val="24"/>
                <w:highlight w:val="none"/>
              </w:rPr>
            </w:pPr>
          </w:p>
        </w:tc>
        <w:tc>
          <w:tcPr>
            <w:tcW w:w="553" w:type="dxa"/>
            <w:noWrap w:val="0"/>
            <w:vAlign w:val="top"/>
          </w:tcPr>
          <w:p w14:paraId="013F1945">
            <w:pPr>
              <w:spacing w:line="360" w:lineRule="auto"/>
              <w:rPr>
                <w:rFonts w:ascii="仿宋_GB2312" w:hAnsi="仿宋_GB2312" w:eastAsia="仿宋_GB2312" w:cs="仿宋_GB2312"/>
                <w:color w:val="auto"/>
                <w:sz w:val="24"/>
                <w:highlight w:val="none"/>
              </w:rPr>
            </w:pPr>
          </w:p>
        </w:tc>
        <w:tc>
          <w:tcPr>
            <w:tcW w:w="553" w:type="dxa"/>
            <w:noWrap w:val="0"/>
            <w:vAlign w:val="top"/>
          </w:tcPr>
          <w:p w14:paraId="046A5D46">
            <w:pPr>
              <w:spacing w:line="360" w:lineRule="auto"/>
              <w:rPr>
                <w:rFonts w:ascii="仿宋_GB2312" w:hAnsi="仿宋_GB2312" w:eastAsia="仿宋_GB2312" w:cs="仿宋_GB2312"/>
                <w:color w:val="auto"/>
                <w:sz w:val="24"/>
                <w:highlight w:val="none"/>
              </w:rPr>
            </w:pPr>
          </w:p>
        </w:tc>
        <w:tc>
          <w:tcPr>
            <w:tcW w:w="553" w:type="dxa"/>
            <w:noWrap w:val="0"/>
            <w:vAlign w:val="top"/>
          </w:tcPr>
          <w:p w14:paraId="282289A8">
            <w:pPr>
              <w:spacing w:line="360" w:lineRule="auto"/>
              <w:rPr>
                <w:rFonts w:ascii="仿宋_GB2312" w:hAnsi="仿宋_GB2312" w:eastAsia="仿宋_GB2312" w:cs="仿宋_GB2312"/>
                <w:color w:val="auto"/>
                <w:sz w:val="24"/>
                <w:highlight w:val="none"/>
              </w:rPr>
            </w:pPr>
          </w:p>
        </w:tc>
        <w:tc>
          <w:tcPr>
            <w:tcW w:w="553" w:type="dxa"/>
            <w:noWrap w:val="0"/>
            <w:vAlign w:val="top"/>
          </w:tcPr>
          <w:p w14:paraId="1942074E">
            <w:pPr>
              <w:spacing w:line="360" w:lineRule="auto"/>
              <w:rPr>
                <w:rFonts w:ascii="仿宋_GB2312" w:hAnsi="仿宋_GB2312" w:eastAsia="仿宋_GB2312" w:cs="仿宋_GB2312"/>
                <w:color w:val="auto"/>
                <w:sz w:val="24"/>
                <w:highlight w:val="none"/>
              </w:rPr>
            </w:pPr>
          </w:p>
        </w:tc>
        <w:tc>
          <w:tcPr>
            <w:tcW w:w="553" w:type="dxa"/>
            <w:noWrap w:val="0"/>
            <w:vAlign w:val="top"/>
          </w:tcPr>
          <w:p w14:paraId="7D961A8C">
            <w:pPr>
              <w:spacing w:line="360" w:lineRule="auto"/>
              <w:rPr>
                <w:rFonts w:ascii="仿宋_GB2312" w:hAnsi="仿宋_GB2312" w:eastAsia="仿宋_GB2312" w:cs="仿宋_GB2312"/>
                <w:color w:val="auto"/>
                <w:sz w:val="24"/>
                <w:highlight w:val="none"/>
              </w:rPr>
            </w:pPr>
          </w:p>
        </w:tc>
        <w:tc>
          <w:tcPr>
            <w:tcW w:w="553" w:type="dxa"/>
            <w:noWrap w:val="0"/>
            <w:vAlign w:val="top"/>
          </w:tcPr>
          <w:p w14:paraId="05C4172C">
            <w:pPr>
              <w:spacing w:line="360" w:lineRule="auto"/>
              <w:rPr>
                <w:rFonts w:ascii="仿宋_GB2312" w:hAnsi="仿宋_GB2312" w:eastAsia="仿宋_GB2312" w:cs="仿宋_GB2312"/>
                <w:color w:val="auto"/>
                <w:sz w:val="24"/>
                <w:highlight w:val="none"/>
              </w:rPr>
            </w:pPr>
          </w:p>
        </w:tc>
        <w:tc>
          <w:tcPr>
            <w:tcW w:w="553" w:type="dxa"/>
            <w:noWrap w:val="0"/>
            <w:vAlign w:val="top"/>
          </w:tcPr>
          <w:p w14:paraId="0EAADD07">
            <w:pPr>
              <w:spacing w:line="360" w:lineRule="auto"/>
              <w:rPr>
                <w:rFonts w:ascii="仿宋_GB2312" w:hAnsi="仿宋_GB2312" w:eastAsia="仿宋_GB2312" w:cs="仿宋_GB2312"/>
                <w:color w:val="auto"/>
                <w:sz w:val="24"/>
                <w:highlight w:val="none"/>
              </w:rPr>
            </w:pPr>
          </w:p>
        </w:tc>
        <w:tc>
          <w:tcPr>
            <w:tcW w:w="553" w:type="dxa"/>
            <w:noWrap w:val="0"/>
            <w:vAlign w:val="top"/>
          </w:tcPr>
          <w:p w14:paraId="5561904E">
            <w:pPr>
              <w:spacing w:line="360" w:lineRule="auto"/>
              <w:rPr>
                <w:rFonts w:ascii="仿宋_GB2312" w:hAnsi="仿宋_GB2312" w:eastAsia="仿宋_GB2312" w:cs="仿宋_GB2312"/>
                <w:color w:val="auto"/>
                <w:sz w:val="24"/>
                <w:highlight w:val="none"/>
              </w:rPr>
            </w:pPr>
          </w:p>
        </w:tc>
        <w:tc>
          <w:tcPr>
            <w:tcW w:w="553" w:type="dxa"/>
            <w:noWrap w:val="0"/>
            <w:vAlign w:val="top"/>
          </w:tcPr>
          <w:p w14:paraId="4424D155">
            <w:pPr>
              <w:spacing w:line="360" w:lineRule="auto"/>
              <w:rPr>
                <w:rFonts w:ascii="仿宋_GB2312" w:hAnsi="仿宋_GB2312" w:eastAsia="仿宋_GB2312" w:cs="仿宋_GB2312"/>
                <w:color w:val="auto"/>
                <w:sz w:val="24"/>
                <w:highlight w:val="none"/>
              </w:rPr>
            </w:pPr>
          </w:p>
        </w:tc>
      </w:tr>
      <w:tr w14:paraId="61415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09A376D7">
            <w:pPr>
              <w:spacing w:line="360" w:lineRule="auto"/>
              <w:rPr>
                <w:rFonts w:ascii="仿宋_GB2312" w:hAnsi="仿宋_GB2312" w:eastAsia="仿宋_GB2312" w:cs="仿宋_GB2312"/>
                <w:color w:val="auto"/>
                <w:sz w:val="24"/>
                <w:highlight w:val="none"/>
              </w:rPr>
            </w:pPr>
          </w:p>
        </w:tc>
        <w:tc>
          <w:tcPr>
            <w:tcW w:w="552" w:type="dxa"/>
            <w:noWrap w:val="0"/>
            <w:vAlign w:val="top"/>
          </w:tcPr>
          <w:p w14:paraId="151EA2C1">
            <w:pPr>
              <w:spacing w:line="360" w:lineRule="auto"/>
              <w:rPr>
                <w:rFonts w:ascii="仿宋_GB2312" w:hAnsi="仿宋_GB2312" w:eastAsia="仿宋_GB2312" w:cs="仿宋_GB2312"/>
                <w:color w:val="auto"/>
                <w:sz w:val="24"/>
                <w:highlight w:val="none"/>
              </w:rPr>
            </w:pPr>
          </w:p>
        </w:tc>
        <w:tc>
          <w:tcPr>
            <w:tcW w:w="552" w:type="dxa"/>
            <w:noWrap w:val="0"/>
            <w:vAlign w:val="top"/>
          </w:tcPr>
          <w:p w14:paraId="2EB58E68">
            <w:pPr>
              <w:spacing w:line="360" w:lineRule="auto"/>
              <w:rPr>
                <w:rFonts w:ascii="仿宋_GB2312" w:hAnsi="仿宋_GB2312" w:eastAsia="仿宋_GB2312" w:cs="仿宋_GB2312"/>
                <w:color w:val="auto"/>
                <w:sz w:val="24"/>
                <w:highlight w:val="none"/>
              </w:rPr>
            </w:pPr>
          </w:p>
        </w:tc>
        <w:tc>
          <w:tcPr>
            <w:tcW w:w="552" w:type="dxa"/>
            <w:noWrap w:val="0"/>
            <w:vAlign w:val="top"/>
          </w:tcPr>
          <w:p w14:paraId="322D46FA">
            <w:pPr>
              <w:spacing w:line="360" w:lineRule="auto"/>
              <w:rPr>
                <w:rFonts w:ascii="仿宋_GB2312" w:hAnsi="仿宋_GB2312" w:eastAsia="仿宋_GB2312" w:cs="仿宋_GB2312"/>
                <w:color w:val="auto"/>
                <w:sz w:val="24"/>
                <w:highlight w:val="none"/>
              </w:rPr>
            </w:pPr>
          </w:p>
        </w:tc>
        <w:tc>
          <w:tcPr>
            <w:tcW w:w="552" w:type="dxa"/>
            <w:noWrap w:val="0"/>
            <w:vAlign w:val="top"/>
          </w:tcPr>
          <w:p w14:paraId="678DCC51">
            <w:pPr>
              <w:spacing w:line="360" w:lineRule="auto"/>
              <w:rPr>
                <w:rFonts w:ascii="仿宋_GB2312" w:hAnsi="仿宋_GB2312" w:eastAsia="仿宋_GB2312" w:cs="仿宋_GB2312"/>
                <w:color w:val="auto"/>
                <w:sz w:val="24"/>
                <w:highlight w:val="none"/>
              </w:rPr>
            </w:pPr>
          </w:p>
        </w:tc>
        <w:tc>
          <w:tcPr>
            <w:tcW w:w="552" w:type="dxa"/>
            <w:noWrap w:val="0"/>
            <w:vAlign w:val="top"/>
          </w:tcPr>
          <w:p w14:paraId="011C0195">
            <w:pPr>
              <w:spacing w:line="360" w:lineRule="auto"/>
              <w:rPr>
                <w:rFonts w:ascii="仿宋_GB2312" w:hAnsi="仿宋_GB2312" w:eastAsia="仿宋_GB2312" w:cs="仿宋_GB2312"/>
                <w:color w:val="auto"/>
                <w:sz w:val="24"/>
                <w:highlight w:val="none"/>
              </w:rPr>
            </w:pPr>
          </w:p>
        </w:tc>
        <w:tc>
          <w:tcPr>
            <w:tcW w:w="552" w:type="dxa"/>
            <w:noWrap w:val="0"/>
            <w:vAlign w:val="top"/>
          </w:tcPr>
          <w:p w14:paraId="2C8E6BE0">
            <w:pPr>
              <w:spacing w:line="360" w:lineRule="auto"/>
              <w:rPr>
                <w:rFonts w:ascii="仿宋_GB2312" w:hAnsi="仿宋_GB2312" w:eastAsia="仿宋_GB2312" w:cs="仿宋_GB2312"/>
                <w:color w:val="auto"/>
                <w:sz w:val="24"/>
                <w:highlight w:val="none"/>
              </w:rPr>
            </w:pPr>
          </w:p>
        </w:tc>
        <w:tc>
          <w:tcPr>
            <w:tcW w:w="553" w:type="dxa"/>
            <w:noWrap w:val="0"/>
            <w:vAlign w:val="top"/>
          </w:tcPr>
          <w:p w14:paraId="6522E9E0">
            <w:pPr>
              <w:spacing w:line="360" w:lineRule="auto"/>
              <w:rPr>
                <w:rFonts w:ascii="仿宋_GB2312" w:hAnsi="仿宋_GB2312" w:eastAsia="仿宋_GB2312" w:cs="仿宋_GB2312"/>
                <w:color w:val="auto"/>
                <w:sz w:val="24"/>
                <w:highlight w:val="none"/>
              </w:rPr>
            </w:pPr>
          </w:p>
        </w:tc>
        <w:tc>
          <w:tcPr>
            <w:tcW w:w="553" w:type="dxa"/>
            <w:noWrap w:val="0"/>
            <w:vAlign w:val="top"/>
          </w:tcPr>
          <w:p w14:paraId="44216DB8">
            <w:pPr>
              <w:spacing w:line="360" w:lineRule="auto"/>
              <w:rPr>
                <w:rFonts w:ascii="仿宋_GB2312" w:hAnsi="仿宋_GB2312" w:eastAsia="仿宋_GB2312" w:cs="仿宋_GB2312"/>
                <w:color w:val="auto"/>
                <w:sz w:val="24"/>
                <w:highlight w:val="none"/>
              </w:rPr>
            </w:pPr>
          </w:p>
        </w:tc>
        <w:tc>
          <w:tcPr>
            <w:tcW w:w="553" w:type="dxa"/>
            <w:noWrap w:val="0"/>
            <w:vAlign w:val="top"/>
          </w:tcPr>
          <w:p w14:paraId="3DD269E2">
            <w:pPr>
              <w:spacing w:line="360" w:lineRule="auto"/>
              <w:rPr>
                <w:rFonts w:ascii="仿宋_GB2312" w:hAnsi="仿宋_GB2312" w:eastAsia="仿宋_GB2312" w:cs="仿宋_GB2312"/>
                <w:color w:val="auto"/>
                <w:sz w:val="24"/>
                <w:highlight w:val="none"/>
              </w:rPr>
            </w:pPr>
          </w:p>
        </w:tc>
        <w:tc>
          <w:tcPr>
            <w:tcW w:w="553" w:type="dxa"/>
            <w:noWrap w:val="0"/>
            <w:vAlign w:val="top"/>
          </w:tcPr>
          <w:p w14:paraId="40616AFD">
            <w:pPr>
              <w:spacing w:line="360" w:lineRule="auto"/>
              <w:rPr>
                <w:rFonts w:ascii="仿宋_GB2312" w:hAnsi="仿宋_GB2312" w:eastAsia="仿宋_GB2312" w:cs="仿宋_GB2312"/>
                <w:color w:val="auto"/>
                <w:sz w:val="24"/>
                <w:highlight w:val="none"/>
              </w:rPr>
            </w:pPr>
          </w:p>
        </w:tc>
        <w:tc>
          <w:tcPr>
            <w:tcW w:w="553" w:type="dxa"/>
            <w:noWrap w:val="0"/>
            <w:vAlign w:val="top"/>
          </w:tcPr>
          <w:p w14:paraId="2D181CB5">
            <w:pPr>
              <w:spacing w:line="360" w:lineRule="auto"/>
              <w:rPr>
                <w:rFonts w:ascii="仿宋_GB2312" w:hAnsi="仿宋_GB2312" w:eastAsia="仿宋_GB2312" w:cs="仿宋_GB2312"/>
                <w:color w:val="auto"/>
                <w:sz w:val="24"/>
                <w:highlight w:val="none"/>
              </w:rPr>
            </w:pPr>
          </w:p>
        </w:tc>
        <w:tc>
          <w:tcPr>
            <w:tcW w:w="553" w:type="dxa"/>
            <w:noWrap w:val="0"/>
            <w:vAlign w:val="top"/>
          </w:tcPr>
          <w:p w14:paraId="3AA35236">
            <w:pPr>
              <w:spacing w:line="360" w:lineRule="auto"/>
              <w:rPr>
                <w:rFonts w:ascii="仿宋_GB2312" w:hAnsi="仿宋_GB2312" w:eastAsia="仿宋_GB2312" w:cs="仿宋_GB2312"/>
                <w:color w:val="auto"/>
                <w:sz w:val="24"/>
                <w:highlight w:val="none"/>
              </w:rPr>
            </w:pPr>
          </w:p>
        </w:tc>
        <w:tc>
          <w:tcPr>
            <w:tcW w:w="553" w:type="dxa"/>
            <w:noWrap w:val="0"/>
            <w:vAlign w:val="top"/>
          </w:tcPr>
          <w:p w14:paraId="70F6B6C2">
            <w:pPr>
              <w:spacing w:line="360" w:lineRule="auto"/>
              <w:rPr>
                <w:rFonts w:ascii="仿宋_GB2312" w:hAnsi="仿宋_GB2312" w:eastAsia="仿宋_GB2312" w:cs="仿宋_GB2312"/>
                <w:color w:val="auto"/>
                <w:sz w:val="24"/>
                <w:highlight w:val="none"/>
              </w:rPr>
            </w:pPr>
          </w:p>
        </w:tc>
        <w:tc>
          <w:tcPr>
            <w:tcW w:w="553" w:type="dxa"/>
            <w:noWrap w:val="0"/>
            <w:vAlign w:val="top"/>
          </w:tcPr>
          <w:p w14:paraId="1A9AF385">
            <w:pPr>
              <w:spacing w:line="360" w:lineRule="auto"/>
              <w:rPr>
                <w:rFonts w:ascii="仿宋_GB2312" w:hAnsi="仿宋_GB2312" w:eastAsia="仿宋_GB2312" w:cs="仿宋_GB2312"/>
                <w:color w:val="auto"/>
                <w:sz w:val="24"/>
                <w:highlight w:val="none"/>
              </w:rPr>
            </w:pPr>
          </w:p>
        </w:tc>
        <w:tc>
          <w:tcPr>
            <w:tcW w:w="553" w:type="dxa"/>
            <w:noWrap w:val="0"/>
            <w:vAlign w:val="top"/>
          </w:tcPr>
          <w:p w14:paraId="385EB395">
            <w:pPr>
              <w:spacing w:line="360" w:lineRule="auto"/>
              <w:rPr>
                <w:rFonts w:ascii="仿宋_GB2312" w:hAnsi="仿宋_GB2312" w:eastAsia="仿宋_GB2312" w:cs="仿宋_GB2312"/>
                <w:color w:val="auto"/>
                <w:sz w:val="24"/>
                <w:highlight w:val="none"/>
              </w:rPr>
            </w:pPr>
          </w:p>
        </w:tc>
        <w:tc>
          <w:tcPr>
            <w:tcW w:w="553" w:type="dxa"/>
            <w:noWrap w:val="0"/>
            <w:vAlign w:val="top"/>
          </w:tcPr>
          <w:p w14:paraId="73DC7027">
            <w:pPr>
              <w:spacing w:line="360" w:lineRule="auto"/>
              <w:rPr>
                <w:rFonts w:ascii="仿宋_GB2312" w:hAnsi="仿宋_GB2312" w:eastAsia="仿宋_GB2312" w:cs="仿宋_GB2312"/>
                <w:color w:val="auto"/>
                <w:sz w:val="24"/>
                <w:highlight w:val="none"/>
              </w:rPr>
            </w:pPr>
          </w:p>
        </w:tc>
      </w:tr>
    </w:tbl>
    <w:p w14:paraId="184C8FA3">
      <w:pPr>
        <w:autoSpaceDE w:val="0"/>
        <w:autoSpaceDN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注：供应商可按上述时间表的格式自行编制切合实际的具体时间表。</w:t>
      </w:r>
    </w:p>
    <w:p w14:paraId="51BB65E9">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7B27EA87">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B6180C8">
      <w:pPr>
        <w:spacing w:line="360" w:lineRule="auto"/>
        <w:rPr>
          <w:rFonts w:ascii="仿宋_GB2312" w:hAnsi="仿宋_GB2312" w:eastAsia="仿宋_GB2312" w:cs="仿宋_GB2312"/>
          <w:color w:val="auto"/>
          <w:kern w:val="0"/>
          <w:sz w:val="24"/>
          <w:highlight w:val="none"/>
        </w:rPr>
      </w:pPr>
    </w:p>
    <w:p w14:paraId="3E99A891">
      <w:pPr>
        <w:spacing w:line="360" w:lineRule="auto"/>
        <w:jc w:val="center"/>
        <w:rPr>
          <w:rFonts w:hint="eastAsia" w:ascii="仿宋_GB2312" w:hAnsi="仿宋_GB2312" w:eastAsia="仿宋_GB2312" w:cs="仿宋_GB2312"/>
          <w:b/>
          <w:bCs/>
          <w:color w:val="auto"/>
          <w:sz w:val="32"/>
          <w:szCs w:val="32"/>
          <w:highlight w:val="none"/>
          <w:lang w:eastAsia="zh-CN"/>
        </w:rPr>
      </w:pPr>
    </w:p>
    <w:p w14:paraId="3F180D88">
      <w:pPr>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一</w:t>
      </w:r>
      <w:r>
        <w:rPr>
          <w:rFonts w:hint="eastAsia" w:ascii="仿宋_GB2312" w:hAnsi="仿宋_GB2312" w:eastAsia="仿宋_GB2312" w:cs="仿宋_GB2312"/>
          <w:b/>
          <w:bCs/>
          <w:color w:val="auto"/>
          <w:sz w:val="32"/>
          <w:szCs w:val="32"/>
          <w:highlight w:val="none"/>
        </w:rPr>
        <w:t>、售后服务方案</w:t>
      </w:r>
    </w:p>
    <w:p w14:paraId="5F2CA89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（由供应商根据采购需求及磋商文件要求编制）</w:t>
      </w:r>
    </w:p>
    <w:p w14:paraId="28C48E54">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17"/>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64DAC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noWrap w:val="0"/>
            <w:vAlign w:val="top"/>
          </w:tcPr>
          <w:p w14:paraId="639F83D7">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noWrap w:val="0"/>
            <w:vAlign w:val="top"/>
          </w:tcPr>
          <w:p w14:paraId="17A30A79">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noWrap w:val="0"/>
            <w:vAlign w:val="top"/>
          </w:tcPr>
          <w:p w14:paraId="6A60F02E">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noWrap w:val="0"/>
            <w:vAlign w:val="top"/>
          </w:tcPr>
          <w:p w14:paraId="5218A78E">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noWrap w:val="0"/>
            <w:vAlign w:val="top"/>
          </w:tcPr>
          <w:p w14:paraId="5976453E">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noWrap w:val="0"/>
            <w:vAlign w:val="top"/>
          </w:tcPr>
          <w:p w14:paraId="751C30B9">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14:paraId="26EAC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3593650C">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noWrap w:val="0"/>
            <w:vAlign w:val="top"/>
          </w:tcPr>
          <w:p w14:paraId="22D28830">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noWrap w:val="0"/>
            <w:vAlign w:val="top"/>
          </w:tcPr>
          <w:p w14:paraId="6F180C48">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noWrap w:val="0"/>
            <w:vAlign w:val="top"/>
          </w:tcPr>
          <w:p w14:paraId="4BDF264F">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noWrap w:val="0"/>
            <w:vAlign w:val="top"/>
          </w:tcPr>
          <w:p w14:paraId="2372628E">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noWrap w:val="0"/>
            <w:vAlign w:val="top"/>
          </w:tcPr>
          <w:p w14:paraId="737DF1F7">
            <w:pPr>
              <w:autoSpaceDE w:val="0"/>
              <w:autoSpaceDN w:val="0"/>
              <w:spacing w:line="360" w:lineRule="auto"/>
              <w:jc w:val="center"/>
              <w:rPr>
                <w:rFonts w:ascii="仿宋_GB2312" w:hAnsi="仿宋_GB2312" w:eastAsia="仿宋_GB2312" w:cs="仿宋_GB2312"/>
                <w:color w:val="auto"/>
                <w:sz w:val="24"/>
                <w:highlight w:val="none"/>
              </w:rPr>
            </w:pPr>
          </w:p>
        </w:tc>
      </w:tr>
      <w:tr w14:paraId="012A2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41A48816">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noWrap w:val="0"/>
            <w:vAlign w:val="top"/>
          </w:tcPr>
          <w:p w14:paraId="18B7E00F">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noWrap w:val="0"/>
            <w:vAlign w:val="top"/>
          </w:tcPr>
          <w:p w14:paraId="249A9786">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noWrap w:val="0"/>
            <w:vAlign w:val="top"/>
          </w:tcPr>
          <w:p w14:paraId="3E6C33EC">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noWrap w:val="0"/>
            <w:vAlign w:val="top"/>
          </w:tcPr>
          <w:p w14:paraId="15F38C13">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noWrap w:val="0"/>
            <w:vAlign w:val="top"/>
          </w:tcPr>
          <w:p w14:paraId="6151C5F5">
            <w:pPr>
              <w:autoSpaceDE w:val="0"/>
              <w:autoSpaceDN w:val="0"/>
              <w:spacing w:line="360" w:lineRule="auto"/>
              <w:jc w:val="center"/>
              <w:rPr>
                <w:rFonts w:ascii="仿宋_GB2312" w:hAnsi="仿宋_GB2312" w:eastAsia="仿宋_GB2312" w:cs="仿宋_GB2312"/>
                <w:color w:val="auto"/>
                <w:sz w:val="24"/>
                <w:highlight w:val="none"/>
              </w:rPr>
            </w:pPr>
          </w:p>
        </w:tc>
      </w:tr>
      <w:tr w14:paraId="391CB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6775A4A9">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noWrap w:val="0"/>
            <w:vAlign w:val="top"/>
          </w:tcPr>
          <w:p w14:paraId="33BD4347">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noWrap w:val="0"/>
            <w:vAlign w:val="top"/>
          </w:tcPr>
          <w:p w14:paraId="415BBD1E">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noWrap w:val="0"/>
            <w:vAlign w:val="top"/>
          </w:tcPr>
          <w:p w14:paraId="046AAE5D">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noWrap w:val="0"/>
            <w:vAlign w:val="top"/>
          </w:tcPr>
          <w:p w14:paraId="31E9B79B">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noWrap w:val="0"/>
            <w:vAlign w:val="top"/>
          </w:tcPr>
          <w:p w14:paraId="03D4C293">
            <w:pPr>
              <w:autoSpaceDE w:val="0"/>
              <w:autoSpaceDN w:val="0"/>
              <w:spacing w:line="360" w:lineRule="auto"/>
              <w:jc w:val="center"/>
              <w:rPr>
                <w:rFonts w:ascii="仿宋_GB2312" w:hAnsi="仿宋_GB2312" w:eastAsia="仿宋_GB2312" w:cs="仿宋_GB2312"/>
                <w:color w:val="auto"/>
                <w:sz w:val="24"/>
                <w:highlight w:val="none"/>
              </w:rPr>
            </w:pPr>
          </w:p>
        </w:tc>
      </w:tr>
    </w:tbl>
    <w:p w14:paraId="1DFBD624">
      <w:pPr>
        <w:autoSpaceDE w:val="0"/>
        <w:autoSpaceDN w:val="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注：关于项目涉及的所有售后服务机构均在本表注明，包括供应商本单位和符合条件的第三方服务机构；</w:t>
      </w:r>
    </w:p>
    <w:p w14:paraId="64B30DD9">
      <w:pPr>
        <w:autoSpaceDE w:val="0"/>
        <w:autoSpaceDN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17"/>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37AE04A2">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center"/>
          </w:tcPr>
          <w:p w14:paraId="08F74572">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noWrap w:val="0"/>
            <w:vAlign w:val="center"/>
          </w:tcPr>
          <w:p w14:paraId="597AD44B">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noWrap w:val="0"/>
            <w:vAlign w:val="center"/>
          </w:tcPr>
          <w:p w14:paraId="0379E1A3">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14:paraId="037FB017">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64F99021">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3D84EDF2">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3F56242F">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3E88B8FA">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25997DF3">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02B29523">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noWrap w:val="0"/>
            <w:vAlign w:val="center"/>
          </w:tcPr>
          <w:p w14:paraId="2611C5E1">
            <w:pPr>
              <w:autoSpaceDE w:val="0"/>
              <w:autoSpaceDN w:val="0"/>
              <w:spacing w:line="240" w:lineRule="exact"/>
              <w:ind w:left="-36" w:leftChars="-17" w:right="-181" w:rightChars="-86"/>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14:paraId="40AC1CBA">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743895A3">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057B7953">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noWrap w:val="0"/>
            <w:vAlign w:val="top"/>
          </w:tcPr>
          <w:p w14:paraId="2D20A1B9">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0822C452">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0ADDB5E6">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274BEDEE">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1D77D4CC">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0ABB4523">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1D77F7D2">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2B7DFDD5">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42A5CB4B">
            <w:pPr>
              <w:autoSpaceDE w:val="0"/>
              <w:autoSpaceDN w:val="0"/>
              <w:spacing w:line="240" w:lineRule="exact"/>
              <w:rPr>
                <w:rFonts w:ascii="仿宋_GB2312" w:hAnsi="仿宋_GB2312" w:eastAsia="仿宋_GB2312" w:cs="仿宋_GB2312"/>
                <w:color w:val="auto"/>
                <w:sz w:val="24"/>
                <w:highlight w:val="none"/>
              </w:rPr>
            </w:pPr>
          </w:p>
        </w:tc>
      </w:tr>
      <w:tr w14:paraId="3D414B65">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0C80FBD5">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6EE06A30">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noWrap w:val="0"/>
            <w:vAlign w:val="top"/>
          </w:tcPr>
          <w:p w14:paraId="578F28BF">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3B83CBA7">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15E110CA">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32E98B47">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15ADD193">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AD131E6">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6B542EEF">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2E63013C">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7412CB12">
            <w:pPr>
              <w:autoSpaceDE w:val="0"/>
              <w:autoSpaceDN w:val="0"/>
              <w:spacing w:line="240" w:lineRule="exact"/>
              <w:rPr>
                <w:rFonts w:ascii="仿宋_GB2312" w:hAnsi="仿宋_GB2312" w:eastAsia="仿宋_GB2312" w:cs="仿宋_GB2312"/>
                <w:color w:val="auto"/>
                <w:sz w:val="24"/>
                <w:highlight w:val="none"/>
              </w:rPr>
            </w:pPr>
          </w:p>
        </w:tc>
      </w:tr>
      <w:tr w14:paraId="079C1D8E">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1F259E7B">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60A4E965">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noWrap w:val="0"/>
            <w:vAlign w:val="top"/>
          </w:tcPr>
          <w:p w14:paraId="72BA0ADA">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2DB32794">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37571BA5">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52F7590B">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35E449C">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2F848D90">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64BB8429">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521D29D5">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6626522D">
            <w:pPr>
              <w:autoSpaceDE w:val="0"/>
              <w:autoSpaceDN w:val="0"/>
              <w:spacing w:line="240" w:lineRule="exact"/>
              <w:rPr>
                <w:rFonts w:ascii="仿宋_GB2312" w:hAnsi="仿宋_GB2312" w:eastAsia="仿宋_GB2312" w:cs="仿宋_GB2312"/>
                <w:color w:val="auto"/>
                <w:sz w:val="24"/>
                <w:highlight w:val="none"/>
              </w:rPr>
            </w:pPr>
          </w:p>
        </w:tc>
      </w:tr>
    </w:tbl>
    <w:p w14:paraId="1931E829">
      <w:pPr>
        <w:autoSpaceDE w:val="0"/>
        <w:autoSpaceDN w:val="0"/>
        <w:spacing w:line="360" w:lineRule="auto"/>
        <w:rPr>
          <w:rFonts w:ascii="仿宋_GB2312" w:hAnsi="仿宋_GB2312" w:eastAsia="仿宋_GB2312" w:cs="仿宋_GB2312"/>
          <w:color w:val="auto"/>
          <w:kern w:val="0"/>
          <w:sz w:val="24"/>
          <w:highlight w:val="none"/>
        </w:rPr>
      </w:pPr>
    </w:p>
    <w:p w14:paraId="0349D2D0">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23F7CEDC">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156BBB2">
      <w:pPr>
        <w:spacing w:line="360" w:lineRule="auto"/>
        <w:rPr>
          <w:rFonts w:hint="eastAsia" w:ascii="仿宋_GB2312" w:hAnsi="仿宋_GB2312" w:eastAsia="仿宋_GB2312" w:cs="仿宋_GB2312"/>
          <w:color w:val="auto"/>
          <w:kern w:val="0"/>
          <w:sz w:val="24"/>
          <w:highlight w:val="none"/>
        </w:rPr>
      </w:pPr>
    </w:p>
    <w:p w14:paraId="25497B22">
      <w:pPr>
        <w:spacing w:line="360" w:lineRule="auto"/>
        <w:rPr>
          <w:rFonts w:hint="eastAsia" w:ascii="仿宋_GB2312" w:hAnsi="仿宋_GB2312" w:eastAsia="仿宋_GB2312" w:cs="仿宋_GB2312"/>
          <w:b/>
          <w:color w:val="auto"/>
          <w:sz w:val="30"/>
          <w:szCs w:val="30"/>
          <w:highlight w:val="none"/>
          <w:lang w:eastAsia="zh-CN"/>
        </w:rPr>
      </w:pPr>
    </w:p>
    <w:p w14:paraId="20C242FC">
      <w:pPr>
        <w:spacing w:line="360" w:lineRule="auto"/>
        <w:rPr>
          <w:rFonts w:hint="eastAsia" w:ascii="仿宋_GB2312" w:hAnsi="仿宋_GB2312" w:eastAsia="仿宋_GB2312" w:cs="仿宋_GB2312"/>
          <w:b/>
          <w:color w:val="auto"/>
          <w:sz w:val="30"/>
          <w:szCs w:val="30"/>
          <w:highlight w:val="none"/>
          <w:lang w:eastAsia="zh-CN"/>
        </w:rPr>
      </w:pPr>
    </w:p>
    <w:p w14:paraId="50E22D0F">
      <w:pPr>
        <w:spacing w:line="360" w:lineRule="auto"/>
        <w:rPr>
          <w:rFonts w:hint="eastAsia" w:ascii="仿宋_GB2312" w:hAnsi="仿宋_GB2312" w:eastAsia="仿宋_GB2312" w:cs="仿宋_GB2312"/>
          <w:b/>
          <w:color w:val="auto"/>
          <w:sz w:val="30"/>
          <w:szCs w:val="30"/>
          <w:highlight w:val="none"/>
          <w:lang w:eastAsia="zh-CN"/>
        </w:rPr>
      </w:pPr>
    </w:p>
    <w:p w14:paraId="14559FE7">
      <w:pPr>
        <w:spacing w:line="360" w:lineRule="auto"/>
        <w:rPr>
          <w:rFonts w:hint="eastAsia" w:ascii="仿宋_GB2312" w:hAnsi="仿宋_GB2312" w:eastAsia="仿宋_GB2312" w:cs="仿宋_GB2312"/>
          <w:b/>
          <w:color w:val="auto"/>
          <w:sz w:val="30"/>
          <w:szCs w:val="30"/>
          <w:highlight w:val="none"/>
          <w:lang w:eastAsia="zh-CN"/>
        </w:rPr>
      </w:pPr>
    </w:p>
    <w:p w14:paraId="35EF27E9">
      <w:pPr>
        <w:pStyle w:val="2"/>
        <w:rPr>
          <w:rFonts w:hint="eastAsia" w:ascii="仿宋_GB2312" w:hAnsi="仿宋_GB2312" w:eastAsia="仿宋_GB2312" w:cs="仿宋_GB2312"/>
          <w:b/>
          <w:color w:val="auto"/>
          <w:sz w:val="30"/>
          <w:szCs w:val="30"/>
          <w:highlight w:val="none"/>
          <w:lang w:eastAsia="zh-CN"/>
        </w:rPr>
      </w:pPr>
    </w:p>
    <w:p w14:paraId="5F5FAD28">
      <w:pPr>
        <w:pStyle w:val="24"/>
        <w:rPr>
          <w:rFonts w:hint="eastAsia" w:ascii="仿宋_GB2312" w:hAnsi="仿宋_GB2312" w:eastAsia="仿宋_GB2312" w:cs="仿宋_GB2312"/>
          <w:b/>
          <w:color w:val="auto"/>
          <w:sz w:val="30"/>
          <w:szCs w:val="30"/>
          <w:highlight w:val="none"/>
          <w:lang w:eastAsia="zh-CN"/>
        </w:rPr>
      </w:pPr>
    </w:p>
    <w:p w14:paraId="5F639A35">
      <w:pPr>
        <w:rPr>
          <w:rFonts w:hint="eastAsia"/>
          <w:color w:val="auto"/>
          <w:highlight w:val="none"/>
          <w:lang w:eastAsia="zh-CN"/>
        </w:rPr>
      </w:pPr>
    </w:p>
    <w:p w14:paraId="083D1A61">
      <w:pPr>
        <w:spacing w:line="360" w:lineRule="auto"/>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十</w:t>
      </w:r>
      <w:r>
        <w:rPr>
          <w:rFonts w:hint="eastAsia" w:ascii="仿宋_GB2312" w:hAnsi="仿宋_GB2312" w:eastAsia="仿宋_GB2312" w:cs="仿宋_GB2312"/>
          <w:b/>
          <w:color w:val="auto"/>
          <w:sz w:val="30"/>
          <w:szCs w:val="30"/>
          <w:highlight w:val="none"/>
          <w:lang w:val="en-US" w:eastAsia="zh-CN"/>
        </w:rPr>
        <w:t>二</w:t>
      </w:r>
      <w:r>
        <w:rPr>
          <w:rFonts w:hint="eastAsia" w:ascii="仿宋_GB2312" w:hAnsi="仿宋_GB2312" w:eastAsia="仿宋_GB2312" w:cs="仿宋_GB2312"/>
          <w:b/>
          <w:color w:val="auto"/>
          <w:sz w:val="30"/>
          <w:szCs w:val="30"/>
          <w:highlight w:val="none"/>
        </w:rPr>
        <w:t>、供应商售后服务能力证明材料</w:t>
      </w:r>
    </w:p>
    <w:p w14:paraId="1BB4CF88">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（由供应商根据采购需求及磋商文件要求编制）</w:t>
      </w:r>
    </w:p>
    <w:p w14:paraId="6F4F6CCF">
      <w:pPr>
        <w:spacing w:line="336" w:lineRule="auto"/>
        <w:ind w:firstLine="3600" w:firstLineChars="1500"/>
        <w:rPr>
          <w:rFonts w:hint="eastAsia" w:ascii="仿宋" w:hAnsi="仿宋" w:eastAsia="仿宋" w:cs="仿宋"/>
          <w:color w:val="auto"/>
          <w:sz w:val="24"/>
          <w:highlight w:val="none"/>
        </w:rPr>
      </w:pPr>
    </w:p>
    <w:p w14:paraId="365ACFE1">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6ED98C21">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4B4320A">
      <w:pPr>
        <w:pStyle w:val="2"/>
        <w:rPr>
          <w:color w:val="auto"/>
          <w:highlight w:val="none"/>
        </w:rPr>
      </w:pPr>
    </w:p>
    <w:p w14:paraId="7FBD244B">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三</w:t>
      </w:r>
      <w:r>
        <w:rPr>
          <w:rFonts w:hint="eastAsia" w:ascii="仿宋_GB2312" w:hAnsi="仿宋_GB2312" w:eastAsia="仿宋_GB2312" w:cs="仿宋_GB2312"/>
          <w:b/>
          <w:bCs/>
          <w:color w:val="auto"/>
          <w:sz w:val="32"/>
          <w:szCs w:val="32"/>
          <w:highlight w:val="none"/>
        </w:rPr>
        <w:t>、项目小组人员名单</w:t>
      </w:r>
    </w:p>
    <w:p w14:paraId="2DAD2E65">
      <w:pPr>
        <w:spacing w:line="360" w:lineRule="auto"/>
        <w:jc w:val="center"/>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（由供应商根据采购需求及磋商文件要求编制）</w:t>
      </w:r>
    </w:p>
    <w:p w14:paraId="08976204">
      <w:pPr>
        <w:keepNext/>
        <w:autoSpaceDE w:val="0"/>
        <w:autoSpaceDN w:val="0"/>
        <w:spacing w:line="360" w:lineRule="auto"/>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17"/>
        <w:tblW w:w="9058" w:type="dxa"/>
        <w:tblInd w:w="0" w:type="dxa"/>
        <w:tblLayout w:type="fixed"/>
        <w:tblCellMar>
          <w:top w:w="0" w:type="dxa"/>
          <w:left w:w="108" w:type="dxa"/>
          <w:bottom w:w="0" w:type="dxa"/>
          <w:right w:w="108" w:type="dxa"/>
        </w:tblCellMar>
      </w:tblPr>
      <w:tblGrid>
        <w:gridCol w:w="2132"/>
        <w:gridCol w:w="1331"/>
        <w:gridCol w:w="1303"/>
        <w:gridCol w:w="4292"/>
      </w:tblGrid>
      <w:tr w14:paraId="2B0A56CD">
        <w:tblPrEx>
          <w:tblCellMar>
            <w:top w:w="0" w:type="dxa"/>
            <w:left w:w="108" w:type="dxa"/>
            <w:bottom w:w="0" w:type="dxa"/>
            <w:right w:w="108" w:type="dxa"/>
          </w:tblCellMar>
        </w:tblPrEx>
        <w:trPr>
          <w:trHeight w:val="1346" w:hRule="atLeast"/>
        </w:trPr>
        <w:tc>
          <w:tcPr>
            <w:tcW w:w="2132"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2F569B80">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331" w:type="dxa"/>
            <w:tcBorders>
              <w:top w:val="single" w:color="auto" w:sz="6" w:space="0"/>
              <w:left w:val="single" w:color="auto" w:sz="6" w:space="0"/>
              <w:bottom w:val="single" w:color="auto" w:sz="6" w:space="0"/>
              <w:right w:val="single" w:color="auto" w:sz="4" w:space="0"/>
            </w:tcBorders>
            <w:shd w:val="clear" w:color="auto" w:fill="B3B3B3"/>
            <w:noWrap w:val="0"/>
            <w:vAlign w:val="center"/>
          </w:tcPr>
          <w:p w14:paraId="7E7EA9F1">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noWrap w:val="0"/>
            <w:vAlign w:val="center"/>
          </w:tcPr>
          <w:p w14:paraId="76D9F43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292" w:type="dxa"/>
            <w:tcBorders>
              <w:top w:val="single" w:color="auto" w:sz="6" w:space="0"/>
              <w:left w:val="single" w:color="auto" w:sz="6" w:space="0"/>
              <w:bottom w:val="single" w:color="auto" w:sz="6" w:space="0"/>
              <w:right w:val="single" w:color="auto" w:sz="6" w:space="0"/>
            </w:tcBorders>
            <w:noWrap w:val="0"/>
            <w:vAlign w:val="center"/>
          </w:tcPr>
          <w:p w14:paraId="5FB17C86">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截止磋商时间近3年业绩及承担的主要工作情况，曾担任项目经理的项目应列明细</w:t>
            </w:r>
          </w:p>
        </w:tc>
      </w:tr>
      <w:tr w14:paraId="7D4274D2">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40DF7BF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331"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4F915D1D">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168D0851">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restart"/>
            <w:tcBorders>
              <w:top w:val="single" w:color="auto" w:sz="6" w:space="0"/>
              <w:left w:val="single" w:color="auto" w:sz="6" w:space="0"/>
              <w:bottom w:val="single" w:color="auto" w:sz="6" w:space="0"/>
              <w:right w:val="single" w:color="auto" w:sz="6" w:space="0"/>
            </w:tcBorders>
            <w:noWrap w:val="0"/>
            <w:vAlign w:val="center"/>
          </w:tcPr>
          <w:p w14:paraId="104B58F1">
            <w:pPr>
              <w:autoSpaceDE w:val="0"/>
              <w:autoSpaceDN w:val="0"/>
              <w:spacing w:line="360" w:lineRule="auto"/>
              <w:jc w:val="center"/>
              <w:rPr>
                <w:rFonts w:ascii="仿宋_GB2312" w:hAnsi="仿宋_GB2312" w:eastAsia="仿宋_GB2312" w:cs="仿宋_GB2312"/>
                <w:color w:val="auto"/>
                <w:sz w:val="24"/>
                <w:highlight w:val="none"/>
              </w:rPr>
            </w:pPr>
          </w:p>
        </w:tc>
      </w:tr>
      <w:tr w14:paraId="70426C66">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03BD56C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331"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2C0FD23F">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6F744C08">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2C90E047">
            <w:pPr>
              <w:autoSpaceDE w:val="0"/>
              <w:autoSpaceDN w:val="0"/>
              <w:spacing w:line="360" w:lineRule="auto"/>
              <w:jc w:val="center"/>
              <w:rPr>
                <w:rFonts w:ascii="仿宋_GB2312" w:hAnsi="仿宋_GB2312" w:eastAsia="仿宋_GB2312" w:cs="仿宋_GB2312"/>
                <w:color w:val="auto"/>
                <w:sz w:val="24"/>
                <w:highlight w:val="none"/>
              </w:rPr>
            </w:pPr>
          </w:p>
        </w:tc>
      </w:tr>
      <w:tr w14:paraId="072E7B2C">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noWrap w:val="0"/>
            <w:vAlign w:val="center"/>
          </w:tcPr>
          <w:p w14:paraId="1BDCA2F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331" w:type="dxa"/>
            <w:tcBorders>
              <w:top w:val="single" w:color="auto" w:sz="6" w:space="0"/>
              <w:left w:val="single" w:color="auto" w:sz="6" w:space="0"/>
              <w:bottom w:val="single" w:color="auto" w:sz="6" w:space="0"/>
              <w:right w:val="single" w:color="auto" w:sz="4" w:space="0"/>
            </w:tcBorders>
            <w:noWrap w:val="0"/>
            <w:vAlign w:val="center"/>
          </w:tcPr>
          <w:p w14:paraId="0593358E">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noWrap w:val="0"/>
            <w:vAlign w:val="center"/>
          </w:tcPr>
          <w:p w14:paraId="4F8ECB43">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0A85B969">
            <w:pPr>
              <w:autoSpaceDE w:val="0"/>
              <w:autoSpaceDN w:val="0"/>
              <w:spacing w:line="360" w:lineRule="auto"/>
              <w:jc w:val="center"/>
              <w:rPr>
                <w:rFonts w:ascii="仿宋_GB2312" w:hAnsi="仿宋_GB2312" w:eastAsia="仿宋_GB2312" w:cs="仿宋_GB2312"/>
                <w:color w:val="auto"/>
                <w:sz w:val="24"/>
                <w:highlight w:val="none"/>
              </w:rPr>
            </w:pPr>
          </w:p>
        </w:tc>
      </w:tr>
      <w:tr w14:paraId="104568B0">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noWrap w:val="0"/>
            <w:vAlign w:val="center"/>
          </w:tcPr>
          <w:p w14:paraId="636425E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331" w:type="dxa"/>
            <w:tcBorders>
              <w:top w:val="single" w:color="auto" w:sz="6" w:space="0"/>
              <w:left w:val="single" w:color="auto" w:sz="6" w:space="0"/>
              <w:bottom w:val="single" w:color="auto" w:sz="6" w:space="0"/>
              <w:right w:val="single" w:color="auto" w:sz="4" w:space="0"/>
            </w:tcBorders>
            <w:noWrap w:val="0"/>
            <w:vAlign w:val="center"/>
          </w:tcPr>
          <w:p w14:paraId="16845042">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noWrap w:val="0"/>
            <w:vAlign w:val="center"/>
          </w:tcPr>
          <w:p w14:paraId="32E4684D">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5F8790FE">
            <w:pPr>
              <w:autoSpaceDE w:val="0"/>
              <w:autoSpaceDN w:val="0"/>
              <w:spacing w:line="360" w:lineRule="auto"/>
              <w:jc w:val="center"/>
              <w:rPr>
                <w:rFonts w:ascii="仿宋_GB2312" w:hAnsi="仿宋_GB2312" w:eastAsia="仿宋_GB2312" w:cs="仿宋_GB2312"/>
                <w:color w:val="auto"/>
                <w:sz w:val="24"/>
                <w:highlight w:val="none"/>
              </w:rPr>
            </w:pPr>
          </w:p>
        </w:tc>
      </w:tr>
      <w:tr w14:paraId="56916B9E">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noWrap w:val="0"/>
            <w:vAlign w:val="center"/>
          </w:tcPr>
          <w:p w14:paraId="0108619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331" w:type="dxa"/>
            <w:tcBorders>
              <w:top w:val="single" w:color="auto" w:sz="6" w:space="0"/>
              <w:left w:val="single" w:color="auto" w:sz="6" w:space="0"/>
              <w:bottom w:val="single" w:color="auto" w:sz="6" w:space="0"/>
              <w:right w:val="single" w:color="auto" w:sz="4" w:space="0"/>
            </w:tcBorders>
            <w:noWrap w:val="0"/>
            <w:vAlign w:val="center"/>
          </w:tcPr>
          <w:p w14:paraId="4654134C">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noWrap w:val="0"/>
            <w:vAlign w:val="center"/>
          </w:tcPr>
          <w:p w14:paraId="09599FC2">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36908983">
            <w:pPr>
              <w:autoSpaceDE w:val="0"/>
              <w:autoSpaceDN w:val="0"/>
              <w:spacing w:line="360" w:lineRule="auto"/>
              <w:jc w:val="center"/>
              <w:rPr>
                <w:rFonts w:ascii="仿宋_GB2312" w:hAnsi="仿宋_GB2312" w:eastAsia="仿宋_GB2312" w:cs="仿宋_GB2312"/>
                <w:color w:val="auto"/>
                <w:sz w:val="24"/>
                <w:highlight w:val="none"/>
              </w:rPr>
            </w:pPr>
          </w:p>
        </w:tc>
      </w:tr>
      <w:tr w14:paraId="66FB8F66">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noWrap w:val="0"/>
            <w:vAlign w:val="center"/>
          </w:tcPr>
          <w:p w14:paraId="7A19978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331" w:type="dxa"/>
            <w:tcBorders>
              <w:top w:val="single" w:color="auto" w:sz="6" w:space="0"/>
              <w:left w:val="single" w:color="auto" w:sz="6" w:space="0"/>
              <w:bottom w:val="single" w:color="auto" w:sz="6" w:space="0"/>
              <w:right w:val="single" w:color="auto" w:sz="4" w:space="0"/>
            </w:tcBorders>
            <w:noWrap w:val="0"/>
            <w:vAlign w:val="center"/>
          </w:tcPr>
          <w:p w14:paraId="16ECEE6D">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noWrap w:val="0"/>
            <w:vAlign w:val="center"/>
          </w:tcPr>
          <w:p w14:paraId="0EA2FE14">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2613CE50">
            <w:pPr>
              <w:autoSpaceDE w:val="0"/>
              <w:autoSpaceDN w:val="0"/>
              <w:spacing w:line="360" w:lineRule="auto"/>
              <w:jc w:val="center"/>
              <w:rPr>
                <w:rFonts w:ascii="仿宋_GB2312" w:hAnsi="仿宋_GB2312" w:eastAsia="仿宋_GB2312" w:cs="仿宋_GB2312"/>
                <w:color w:val="auto"/>
                <w:sz w:val="24"/>
                <w:highlight w:val="none"/>
              </w:rPr>
            </w:pPr>
          </w:p>
        </w:tc>
      </w:tr>
      <w:tr w14:paraId="495E7016">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noWrap w:val="0"/>
            <w:vAlign w:val="center"/>
          </w:tcPr>
          <w:p w14:paraId="7FE7C50E">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331" w:type="dxa"/>
            <w:tcBorders>
              <w:top w:val="single" w:color="auto" w:sz="6" w:space="0"/>
              <w:left w:val="single" w:color="auto" w:sz="6" w:space="0"/>
              <w:bottom w:val="single" w:color="auto" w:sz="6" w:space="0"/>
              <w:right w:val="single" w:color="auto" w:sz="4" w:space="0"/>
            </w:tcBorders>
            <w:noWrap w:val="0"/>
            <w:vAlign w:val="center"/>
          </w:tcPr>
          <w:p w14:paraId="294BADE7">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noWrap w:val="0"/>
            <w:vAlign w:val="center"/>
          </w:tcPr>
          <w:p w14:paraId="7EB604DC">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678F4763">
            <w:pPr>
              <w:autoSpaceDE w:val="0"/>
              <w:autoSpaceDN w:val="0"/>
              <w:spacing w:line="360" w:lineRule="auto"/>
              <w:jc w:val="center"/>
              <w:rPr>
                <w:rFonts w:ascii="仿宋_GB2312" w:hAnsi="仿宋_GB2312" w:eastAsia="仿宋_GB2312" w:cs="仿宋_GB2312"/>
                <w:color w:val="auto"/>
                <w:sz w:val="24"/>
                <w:highlight w:val="none"/>
              </w:rPr>
            </w:pPr>
          </w:p>
        </w:tc>
      </w:tr>
      <w:tr w14:paraId="480BF914">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noWrap w:val="0"/>
            <w:vAlign w:val="center"/>
          </w:tcPr>
          <w:p w14:paraId="2D3C6998">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331" w:type="dxa"/>
            <w:tcBorders>
              <w:top w:val="single" w:color="auto" w:sz="6" w:space="0"/>
              <w:left w:val="single" w:color="auto" w:sz="6" w:space="0"/>
              <w:bottom w:val="single" w:color="auto" w:sz="6" w:space="0"/>
              <w:right w:val="single" w:color="auto" w:sz="4" w:space="0"/>
            </w:tcBorders>
            <w:noWrap w:val="0"/>
            <w:vAlign w:val="center"/>
          </w:tcPr>
          <w:p w14:paraId="3F3DE12A">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noWrap w:val="0"/>
            <w:vAlign w:val="center"/>
          </w:tcPr>
          <w:p w14:paraId="3C0CFE4C">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4B59AC08">
            <w:pPr>
              <w:autoSpaceDE w:val="0"/>
              <w:autoSpaceDN w:val="0"/>
              <w:spacing w:line="360" w:lineRule="auto"/>
              <w:jc w:val="center"/>
              <w:rPr>
                <w:rFonts w:ascii="仿宋_GB2312" w:hAnsi="仿宋_GB2312" w:eastAsia="仿宋_GB2312" w:cs="仿宋_GB2312"/>
                <w:color w:val="auto"/>
                <w:sz w:val="24"/>
                <w:highlight w:val="none"/>
              </w:rPr>
            </w:pPr>
          </w:p>
        </w:tc>
      </w:tr>
      <w:tr w14:paraId="3802E37A">
        <w:tblPrEx>
          <w:tblCellMar>
            <w:top w:w="0" w:type="dxa"/>
            <w:left w:w="108" w:type="dxa"/>
            <w:bottom w:w="0" w:type="dxa"/>
            <w:right w:w="108" w:type="dxa"/>
          </w:tblCellMar>
        </w:tblPrEx>
        <w:trPr>
          <w:cantSplit/>
          <w:trHeight w:val="472" w:hRule="atLeast"/>
        </w:trPr>
        <w:tc>
          <w:tcPr>
            <w:tcW w:w="2132"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53EE6E9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331"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166183CB">
            <w:pPr>
              <w:autoSpaceDE w:val="0"/>
              <w:autoSpaceDN w:val="0"/>
              <w:spacing w:line="360" w:lineRule="auto"/>
              <w:jc w:val="center"/>
              <w:rPr>
                <w:rFonts w:ascii="仿宋_GB2312" w:hAnsi="仿宋_GB2312" w:eastAsia="仿宋_GB2312" w:cs="仿宋_GB2312"/>
                <w:color w:val="auto"/>
                <w:sz w:val="24"/>
                <w:highlight w:val="none"/>
              </w:rPr>
            </w:pPr>
          </w:p>
        </w:tc>
        <w:tc>
          <w:tcPr>
            <w:tcW w:w="1303"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50D4ABCB">
            <w:pPr>
              <w:autoSpaceDE w:val="0"/>
              <w:autoSpaceDN w:val="0"/>
              <w:spacing w:line="360" w:lineRule="auto"/>
              <w:jc w:val="center"/>
              <w:rPr>
                <w:rFonts w:ascii="仿宋_GB2312" w:hAnsi="仿宋_GB2312" w:eastAsia="仿宋_GB2312" w:cs="仿宋_GB2312"/>
                <w:color w:val="auto"/>
                <w:sz w:val="24"/>
                <w:highlight w:val="none"/>
              </w:rPr>
            </w:pPr>
          </w:p>
        </w:tc>
        <w:tc>
          <w:tcPr>
            <w:tcW w:w="4292" w:type="dxa"/>
            <w:vMerge w:val="continue"/>
            <w:tcBorders>
              <w:top w:val="single" w:color="auto" w:sz="6" w:space="0"/>
              <w:left w:val="single" w:color="auto" w:sz="6" w:space="0"/>
              <w:bottom w:val="single" w:color="auto" w:sz="6" w:space="0"/>
              <w:right w:val="single" w:color="auto" w:sz="6" w:space="0"/>
            </w:tcBorders>
            <w:noWrap w:val="0"/>
            <w:vAlign w:val="center"/>
          </w:tcPr>
          <w:p w14:paraId="21CBECB5">
            <w:pPr>
              <w:autoSpaceDE w:val="0"/>
              <w:autoSpaceDN w:val="0"/>
              <w:spacing w:line="360" w:lineRule="auto"/>
              <w:jc w:val="center"/>
              <w:rPr>
                <w:rFonts w:ascii="仿宋_GB2312" w:hAnsi="仿宋_GB2312" w:eastAsia="仿宋_GB2312" w:cs="仿宋_GB2312"/>
                <w:color w:val="auto"/>
                <w:sz w:val="24"/>
                <w:highlight w:val="none"/>
              </w:rPr>
            </w:pPr>
          </w:p>
        </w:tc>
      </w:tr>
    </w:tbl>
    <w:p w14:paraId="762682DC">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注：须随表提交相应的证书复印件并注明所在磋商</w:t>
      </w:r>
      <w:r>
        <w:rPr>
          <w:rFonts w:hint="eastAsia" w:ascii="仿宋_GB2312" w:hAnsi="仿宋_GB2312" w:eastAsia="仿宋_GB2312" w:cs="仿宋_GB2312"/>
          <w:b/>
          <w:color w:val="auto"/>
          <w:sz w:val="24"/>
          <w:highlight w:val="none"/>
          <w:lang w:eastAsia="zh-CN"/>
        </w:rPr>
        <w:t>商务技术文件</w:t>
      </w:r>
      <w:r>
        <w:rPr>
          <w:rFonts w:hint="eastAsia" w:ascii="仿宋_GB2312" w:hAnsi="仿宋_GB2312" w:eastAsia="仿宋_GB2312" w:cs="仿宋_GB2312"/>
          <w:b/>
          <w:color w:val="auto"/>
          <w:sz w:val="24"/>
          <w:highlight w:val="none"/>
        </w:rPr>
        <w:t>页码。</w:t>
      </w:r>
    </w:p>
    <w:p w14:paraId="63FD7A13">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17"/>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63F8DC51">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noWrap w:val="0"/>
            <w:vAlign w:val="center"/>
          </w:tcPr>
          <w:p w14:paraId="22D55AC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noWrap w:val="0"/>
            <w:vAlign w:val="center"/>
          </w:tcPr>
          <w:p w14:paraId="7594778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14:paraId="136AC3C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noWrap w:val="0"/>
            <w:vAlign w:val="center"/>
          </w:tcPr>
          <w:p w14:paraId="706BFCE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noWrap w:val="0"/>
            <w:vAlign w:val="center"/>
          </w:tcPr>
          <w:p w14:paraId="63556DA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14:paraId="1A8DC79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0DB4274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14:paraId="3C9951C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3DC8A0F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14:paraId="7F1A0A6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03F21530">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237C7BC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noWrap w:val="0"/>
            <w:vAlign w:val="center"/>
          </w:tcPr>
          <w:p w14:paraId="5761338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14:paraId="196198D3">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noWrap w:val="0"/>
            <w:vAlign w:val="top"/>
          </w:tcPr>
          <w:p w14:paraId="2A214290">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noWrap w:val="0"/>
            <w:vAlign w:val="top"/>
          </w:tcPr>
          <w:p w14:paraId="001BB699">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19F4028E">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noWrap w:val="0"/>
            <w:vAlign w:val="top"/>
          </w:tcPr>
          <w:p w14:paraId="53B7BBA5">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noWrap w:val="0"/>
            <w:vAlign w:val="top"/>
          </w:tcPr>
          <w:p w14:paraId="02F8F69F">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6AA0ABF2">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1279EDDD">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66D87EAA">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7E7E1ACA">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noWrap w:val="0"/>
            <w:vAlign w:val="top"/>
          </w:tcPr>
          <w:p w14:paraId="3FDA5D0E">
            <w:pPr>
              <w:autoSpaceDE w:val="0"/>
              <w:autoSpaceDN w:val="0"/>
              <w:spacing w:line="360" w:lineRule="auto"/>
              <w:rPr>
                <w:rFonts w:ascii="仿宋_GB2312" w:hAnsi="仿宋_GB2312" w:eastAsia="仿宋_GB2312" w:cs="仿宋_GB2312"/>
                <w:color w:val="auto"/>
                <w:sz w:val="24"/>
                <w:highlight w:val="none"/>
              </w:rPr>
            </w:pPr>
          </w:p>
        </w:tc>
      </w:tr>
      <w:tr w14:paraId="17FECDF7">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noWrap w:val="0"/>
            <w:vAlign w:val="top"/>
          </w:tcPr>
          <w:p w14:paraId="7BE47EEF">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noWrap w:val="0"/>
            <w:vAlign w:val="top"/>
          </w:tcPr>
          <w:p w14:paraId="0296D55F">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18498569">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noWrap w:val="0"/>
            <w:vAlign w:val="top"/>
          </w:tcPr>
          <w:p w14:paraId="5C5BCCCC">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noWrap w:val="0"/>
            <w:vAlign w:val="top"/>
          </w:tcPr>
          <w:p w14:paraId="78EAA3A6">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5445301B">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0A36082">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61E973B3">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5F026689">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noWrap w:val="0"/>
            <w:vAlign w:val="top"/>
          </w:tcPr>
          <w:p w14:paraId="2A54B214">
            <w:pPr>
              <w:autoSpaceDE w:val="0"/>
              <w:autoSpaceDN w:val="0"/>
              <w:spacing w:line="360" w:lineRule="auto"/>
              <w:rPr>
                <w:rFonts w:ascii="仿宋_GB2312" w:hAnsi="仿宋_GB2312" w:eastAsia="仿宋_GB2312" w:cs="仿宋_GB2312"/>
                <w:color w:val="auto"/>
                <w:sz w:val="24"/>
                <w:highlight w:val="none"/>
              </w:rPr>
            </w:pPr>
          </w:p>
        </w:tc>
      </w:tr>
    </w:tbl>
    <w:p w14:paraId="14E3D8CC">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注：供应商可按上述的格式自行编制，须随表提交相应的证书复印件并注明所在磋商响应</w:t>
      </w:r>
      <w:r>
        <w:rPr>
          <w:rFonts w:hint="eastAsia" w:ascii="仿宋_GB2312" w:hAnsi="仿宋_GB2312" w:eastAsia="仿宋_GB2312" w:cs="仿宋_GB2312"/>
          <w:b/>
          <w:color w:val="auto"/>
          <w:sz w:val="24"/>
          <w:highlight w:val="none"/>
          <w:lang w:eastAsia="zh-CN"/>
        </w:rPr>
        <w:t>商务技术文件</w:t>
      </w:r>
      <w:r>
        <w:rPr>
          <w:rFonts w:hint="eastAsia" w:ascii="仿宋_GB2312" w:hAnsi="仿宋_GB2312" w:eastAsia="仿宋_GB2312" w:cs="仿宋_GB2312"/>
          <w:b/>
          <w:color w:val="auto"/>
          <w:sz w:val="24"/>
          <w:highlight w:val="none"/>
        </w:rPr>
        <w:t>页码。</w:t>
      </w:r>
    </w:p>
    <w:p w14:paraId="036DCB89">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附表C:本项目的项目经理和小组人员提供交纳社保记录情况表</w:t>
      </w:r>
      <w:r>
        <w:rPr>
          <w:rFonts w:hint="eastAsia" w:ascii="仿宋_GB2312" w:hAnsi="仿宋_GB2312" w:eastAsia="仿宋_GB2312" w:cs="仿宋_GB2312"/>
          <w:color w:val="auto"/>
          <w:sz w:val="24"/>
          <w:highlight w:val="none"/>
        </w:rPr>
        <w:t>（以社保局缴纳凭证作附件）</w:t>
      </w:r>
    </w:p>
    <w:p w14:paraId="602C0FB1">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6C27621B">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035E78E">
      <w:pPr>
        <w:snapToGrid w:val="0"/>
        <w:spacing w:line="360" w:lineRule="auto"/>
        <w:ind w:right="960"/>
        <w:jc w:val="both"/>
        <w:rPr>
          <w:rFonts w:hint="eastAsia" w:ascii="仿宋_GB2312" w:hAnsi="仿宋_GB2312" w:eastAsia="仿宋_GB2312" w:cs="仿宋_GB2312"/>
          <w:color w:val="auto"/>
          <w:kern w:val="0"/>
          <w:sz w:val="24"/>
          <w:highlight w:val="none"/>
          <w:lang w:val="zh-CN"/>
        </w:rPr>
      </w:pPr>
    </w:p>
    <w:p w14:paraId="537D3222">
      <w:pPr>
        <w:snapToGrid w:val="0"/>
        <w:spacing w:line="360" w:lineRule="auto"/>
        <w:ind w:right="960"/>
        <w:jc w:val="both"/>
        <w:rPr>
          <w:rFonts w:hint="eastAsia" w:ascii="仿宋_GB2312" w:hAnsi="仿宋_GB2312" w:eastAsia="仿宋_GB2312" w:cs="仿宋_GB2312"/>
          <w:color w:val="auto"/>
          <w:kern w:val="0"/>
          <w:sz w:val="24"/>
          <w:highlight w:val="none"/>
          <w:lang w:val="zh-CN"/>
        </w:rPr>
      </w:pPr>
    </w:p>
    <w:p w14:paraId="034A0BB8">
      <w:pPr>
        <w:snapToGrid w:val="0"/>
        <w:spacing w:line="360" w:lineRule="auto"/>
        <w:ind w:right="960"/>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四</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优惠条件及特殊承诺</w:t>
      </w:r>
    </w:p>
    <w:p w14:paraId="0941B723">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（由供应商根据采购需求自行编制）</w:t>
      </w:r>
    </w:p>
    <w:p w14:paraId="152BA5D1">
      <w:pPr>
        <w:spacing w:line="360" w:lineRule="auto"/>
        <w:rPr>
          <w:rFonts w:ascii="仿宋_GB2312" w:hAnsi="仿宋_GB2312" w:eastAsia="仿宋_GB2312" w:cs="仿宋_GB2312"/>
          <w:color w:val="auto"/>
          <w:sz w:val="18"/>
          <w:szCs w:val="18"/>
          <w:highlight w:val="none"/>
        </w:rPr>
      </w:pPr>
    </w:p>
    <w:p w14:paraId="163A4DF2">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017DCE52">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C8DC4D1">
      <w:pPr>
        <w:spacing w:line="360" w:lineRule="auto"/>
        <w:rPr>
          <w:rFonts w:ascii="仿宋_GB2312" w:hAnsi="仿宋_GB2312" w:eastAsia="仿宋_GB2312" w:cs="仿宋_GB2312"/>
          <w:b/>
          <w:bCs/>
          <w:color w:val="auto"/>
          <w:sz w:val="18"/>
          <w:szCs w:val="18"/>
          <w:highlight w:val="none"/>
        </w:rPr>
      </w:pPr>
    </w:p>
    <w:p w14:paraId="70D456EC">
      <w:pPr>
        <w:spacing w:line="360" w:lineRule="auto"/>
        <w:rPr>
          <w:rFonts w:ascii="仿宋_GB2312" w:hAnsi="仿宋_GB2312" w:eastAsia="仿宋_GB2312" w:cs="仿宋_GB2312"/>
          <w:b/>
          <w:bCs/>
          <w:color w:val="auto"/>
          <w:sz w:val="32"/>
          <w:szCs w:val="32"/>
          <w:highlight w:val="none"/>
        </w:rPr>
      </w:pPr>
    </w:p>
    <w:p w14:paraId="4494419D">
      <w:pPr>
        <w:spacing w:line="360" w:lineRule="auto"/>
        <w:rPr>
          <w:rFonts w:hint="eastAsia" w:ascii="仿宋_GB2312" w:hAnsi="仿宋_GB2312" w:eastAsia="仿宋_GB2312" w:cs="仿宋_GB2312"/>
          <w:b/>
          <w:bCs/>
          <w:color w:val="auto"/>
          <w:sz w:val="32"/>
          <w:szCs w:val="32"/>
          <w:highlight w:val="none"/>
          <w:lang w:eastAsia="zh-CN"/>
        </w:rPr>
      </w:pPr>
    </w:p>
    <w:p w14:paraId="1552BAB4">
      <w:pPr>
        <w:spacing w:line="360" w:lineRule="auto"/>
        <w:rPr>
          <w:rFonts w:hint="eastAsia" w:ascii="仿宋_GB2312" w:hAnsi="仿宋_GB2312" w:eastAsia="仿宋_GB2312" w:cs="仿宋_GB2312"/>
          <w:b/>
          <w:bCs/>
          <w:color w:val="auto"/>
          <w:sz w:val="32"/>
          <w:szCs w:val="32"/>
          <w:highlight w:val="none"/>
          <w:lang w:eastAsia="zh-CN"/>
        </w:rPr>
      </w:pPr>
    </w:p>
    <w:p w14:paraId="406C3DBA">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五</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备品备件及供选择的配套零部件清单</w:t>
      </w:r>
    </w:p>
    <w:p w14:paraId="5FB8718B">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（由供应商根据采购需求自行编制）</w:t>
      </w:r>
    </w:p>
    <w:p w14:paraId="303EC000">
      <w:pPr>
        <w:snapToGrid w:val="0"/>
        <w:spacing w:line="360" w:lineRule="auto"/>
        <w:ind w:right="960"/>
        <w:jc w:val="right"/>
        <w:rPr>
          <w:rFonts w:ascii="仿宋_GB2312" w:hAnsi="仿宋_GB2312" w:eastAsia="仿宋_GB2312" w:cs="仿宋_GB2312"/>
          <w:color w:val="auto"/>
          <w:kern w:val="0"/>
          <w:sz w:val="24"/>
          <w:highlight w:val="none"/>
          <w:lang w:val="zh-CN"/>
        </w:rPr>
      </w:pPr>
    </w:p>
    <w:p w14:paraId="58334E77">
      <w:pPr>
        <w:snapToGrid w:val="0"/>
        <w:spacing w:line="360" w:lineRule="auto"/>
        <w:ind w:right="960"/>
        <w:jc w:val="right"/>
        <w:rPr>
          <w:rFonts w:ascii="仿宋_GB2312" w:hAnsi="仿宋_GB2312" w:eastAsia="仿宋_GB2312" w:cs="仿宋_GB2312"/>
          <w:color w:val="auto"/>
          <w:kern w:val="0"/>
          <w:sz w:val="24"/>
          <w:highlight w:val="none"/>
          <w:lang w:val="zh-CN"/>
        </w:rPr>
      </w:pPr>
    </w:p>
    <w:p w14:paraId="290EA010">
      <w:pPr>
        <w:snapToGrid w:val="0"/>
        <w:spacing w:line="360" w:lineRule="auto"/>
        <w:ind w:right="960"/>
        <w:jc w:val="right"/>
        <w:rPr>
          <w:rFonts w:ascii="仿宋_GB2312" w:hAnsi="仿宋_GB2312" w:eastAsia="仿宋_GB2312" w:cs="仿宋_GB2312"/>
          <w:color w:val="auto"/>
          <w:kern w:val="0"/>
          <w:sz w:val="24"/>
          <w:highlight w:val="none"/>
          <w:lang w:val="zh-CN"/>
        </w:rPr>
      </w:pPr>
    </w:p>
    <w:p w14:paraId="0FE5B443">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6F41420C">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301CD87">
      <w:pPr>
        <w:spacing w:line="360" w:lineRule="auto"/>
        <w:rPr>
          <w:rFonts w:ascii="仿宋_GB2312" w:hAnsi="仿宋_GB2312" w:eastAsia="仿宋_GB2312" w:cs="仿宋_GB2312"/>
          <w:b/>
          <w:bCs/>
          <w:color w:val="auto"/>
          <w:sz w:val="32"/>
          <w:szCs w:val="32"/>
          <w:highlight w:val="none"/>
        </w:rPr>
      </w:pPr>
    </w:p>
    <w:p w14:paraId="508CEBF4">
      <w:pPr>
        <w:spacing w:line="360" w:lineRule="auto"/>
        <w:rPr>
          <w:rFonts w:ascii="仿宋_GB2312" w:hAnsi="仿宋_GB2312" w:eastAsia="仿宋_GB2312" w:cs="仿宋_GB2312"/>
          <w:b/>
          <w:bCs/>
          <w:color w:val="auto"/>
          <w:sz w:val="32"/>
          <w:szCs w:val="32"/>
          <w:highlight w:val="none"/>
        </w:rPr>
      </w:pPr>
    </w:p>
    <w:p w14:paraId="17767890">
      <w:pPr>
        <w:spacing w:line="360" w:lineRule="auto"/>
        <w:rPr>
          <w:rFonts w:ascii="仿宋_GB2312" w:hAnsi="仿宋_GB2312" w:eastAsia="仿宋_GB2312" w:cs="仿宋_GB2312"/>
          <w:b/>
          <w:bCs/>
          <w:color w:val="auto"/>
          <w:sz w:val="32"/>
          <w:szCs w:val="32"/>
          <w:highlight w:val="none"/>
        </w:rPr>
      </w:pPr>
    </w:p>
    <w:p w14:paraId="2F2B99ED">
      <w:pPr>
        <w:spacing w:line="360" w:lineRule="auto"/>
        <w:rPr>
          <w:rFonts w:ascii="仿宋_GB2312" w:hAnsi="仿宋_GB2312" w:eastAsia="仿宋_GB2312" w:cs="仿宋_GB2312"/>
          <w:b/>
          <w:bCs/>
          <w:color w:val="auto"/>
          <w:sz w:val="32"/>
          <w:szCs w:val="32"/>
          <w:highlight w:val="none"/>
        </w:rPr>
      </w:pPr>
    </w:p>
    <w:p w14:paraId="7922DEC6">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六</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培训计划</w:t>
      </w:r>
    </w:p>
    <w:p w14:paraId="741496B0">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（由供应商根据采购需求自行编制）</w:t>
      </w:r>
    </w:p>
    <w:p w14:paraId="38D7DE9B">
      <w:pPr>
        <w:keepNext/>
        <w:autoSpaceDE w:val="0"/>
        <w:autoSpaceDN w:val="0"/>
        <w:spacing w:line="360" w:lineRule="auto"/>
        <w:ind w:firstLine="477"/>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17"/>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42856DE2">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noWrap w:val="0"/>
            <w:vAlign w:val="center"/>
          </w:tcPr>
          <w:p w14:paraId="28901BEC">
            <w:pPr>
              <w:tabs>
                <w:tab w:val="center" w:pos="169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noWrap w:val="0"/>
            <w:vAlign w:val="top"/>
          </w:tcPr>
          <w:p w14:paraId="507DDE59">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noWrap w:val="0"/>
            <w:vAlign w:val="center"/>
          </w:tcPr>
          <w:p w14:paraId="729225C3">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noWrap w:val="0"/>
            <w:vAlign w:val="center"/>
          </w:tcPr>
          <w:p w14:paraId="6CC01D1D">
            <w:pPr>
              <w:tabs>
                <w:tab w:val="center" w:pos="1028"/>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noWrap w:val="0"/>
            <w:vAlign w:val="center"/>
          </w:tcPr>
          <w:p w14:paraId="6F773260">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noWrap w:val="0"/>
            <w:vAlign w:val="center"/>
          </w:tcPr>
          <w:p w14:paraId="2855CC45">
            <w:pPr>
              <w:tabs>
                <w:tab w:val="center" w:pos="52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noWrap w:val="0"/>
            <w:vAlign w:val="center"/>
          </w:tcPr>
          <w:p w14:paraId="596584B6">
            <w:pPr>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14:paraId="6260EDF1">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noWrap w:val="0"/>
            <w:vAlign w:val="top"/>
          </w:tcPr>
          <w:p w14:paraId="58C64A57">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noWrap w:val="0"/>
            <w:vAlign w:val="top"/>
          </w:tcPr>
          <w:p w14:paraId="4456E5A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noWrap w:val="0"/>
            <w:vAlign w:val="top"/>
          </w:tcPr>
          <w:p w14:paraId="7D708479">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noWrap w:val="0"/>
            <w:vAlign w:val="top"/>
          </w:tcPr>
          <w:p w14:paraId="0680F5AF">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noWrap w:val="0"/>
            <w:vAlign w:val="top"/>
          </w:tcPr>
          <w:p w14:paraId="03B3920A">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noWrap w:val="0"/>
            <w:vAlign w:val="top"/>
          </w:tcPr>
          <w:p w14:paraId="37F4868D">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noWrap w:val="0"/>
            <w:vAlign w:val="top"/>
          </w:tcPr>
          <w:p w14:paraId="38AE0DEC">
            <w:pPr>
              <w:suppressAutoHyphens/>
              <w:autoSpaceDE w:val="0"/>
              <w:autoSpaceDN w:val="0"/>
              <w:spacing w:line="360" w:lineRule="auto"/>
              <w:rPr>
                <w:rFonts w:ascii="仿宋_GB2312" w:hAnsi="仿宋_GB2312" w:eastAsia="仿宋_GB2312" w:cs="仿宋_GB2312"/>
                <w:color w:val="auto"/>
                <w:sz w:val="24"/>
                <w:highlight w:val="none"/>
              </w:rPr>
            </w:pPr>
          </w:p>
        </w:tc>
      </w:tr>
      <w:tr w14:paraId="012C1577">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noWrap w:val="0"/>
            <w:vAlign w:val="center"/>
          </w:tcPr>
          <w:p w14:paraId="3F629070">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noWrap w:val="0"/>
            <w:vAlign w:val="top"/>
          </w:tcPr>
          <w:p w14:paraId="6DC22FA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noWrap w:val="0"/>
            <w:vAlign w:val="top"/>
          </w:tcPr>
          <w:p w14:paraId="78362E0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noWrap w:val="0"/>
            <w:vAlign w:val="top"/>
          </w:tcPr>
          <w:p w14:paraId="1CEE3E76">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noWrap w:val="0"/>
            <w:vAlign w:val="top"/>
          </w:tcPr>
          <w:p w14:paraId="7A740EAA">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noWrap w:val="0"/>
            <w:vAlign w:val="top"/>
          </w:tcPr>
          <w:p w14:paraId="7EF38E2B">
            <w:pPr>
              <w:tabs>
                <w:tab w:val="left" w:pos="7"/>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4D7DDD42">
            <w:pPr>
              <w:suppressAutoHyphens/>
              <w:autoSpaceDE w:val="0"/>
              <w:autoSpaceDN w:val="0"/>
              <w:spacing w:line="360" w:lineRule="auto"/>
              <w:rPr>
                <w:rFonts w:ascii="仿宋_GB2312" w:hAnsi="仿宋_GB2312" w:eastAsia="仿宋_GB2312" w:cs="仿宋_GB2312"/>
                <w:color w:val="auto"/>
                <w:sz w:val="24"/>
                <w:highlight w:val="none"/>
              </w:rPr>
            </w:pPr>
          </w:p>
        </w:tc>
      </w:tr>
    </w:tbl>
    <w:p w14:paraId="30E0F4CD">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14:paraId="1A81167B">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1.</w:t>
      </w:r>
      <w:r>
        <w:rPr>
          <w:rFonts w:hint="eastAsia" w:ascii="仿宋_GB2312" w:hAnsi="仿宋_GB2312" w:eastAsia="仿宋_GB2312" w:cs="仿宋_GB2312"/>
          <w:color w:val="auto"/>
          <w:sz w:val="24"/>
          <w:highlight w:val="none"/>
        </w:rPr>
        <w:t>课程概要</w:t>
      </w:r>
    </w:p>
    <w:p w14:paraId="226D6F19">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2.</w:t>
      </w:r>
      <w:r>
        <w:rPr>
          <w:rFonts w:hint="eastAsia" w:ascii="仿宋_GB2312" w:hAnsi="仿宋_GB2312" w:eastAsia="仿宋_GB2312" w:cs="仿宋_GB2312"/>
          <w:color w:val="auto"/>
          <w:sz w:val="24"/>
          <w:highlight w:val="none"/>
        </w:rPr>
        <w:t>课程目的</w:t>
      </w:r>
    </w:p>
    <w:p w14:paraId="5D024B2F">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color w:val="auto"/>
          <w:sz w:val="24"/>
          <w:highlight w:val="none"/>
        </w:rPr>
        <w:t>教学方式</w:t>
      </w:r>
    </w:p>
    <w:p w14:paraId="5F8FE286">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4.</w:t>
      </w:r>
      <w:r>
        <w:rPr>
          <w:rFonts w:hint="eastAsia" w:ascii="仿宋_GB2312" w:hAnsi="仿宋_GB2312" w:eastAsia="仿宋_GB2312" w:cs="仿宋_GB2312"/>
          <w:color w:val="auto"/>
          <w:sz w:val="24"/>
          <w:highlight w:val="none"/>
        </w:rPr>
        <w:t>先决条件</w:t>
      </w:r>
    </w:p>
    <w:p w14:paraId="7399AA3B">
      <w:pPr>
        <w:keepNext w:val="0"/>
        <w:keepLines w:val="0"/>
        <w:pageBreakBefore w:val="0"/>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adjustRightInd w:val="0"/>
        <w:snapToGrid/>
        <w:spacing w:line="360" w:lineRule="auto"/>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教材目录</w:t>
      </w:r>
    </w:p>
    <w:p w14:paraId="5737BCF1">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14:paraId="35940EEA">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注：须随表提交相应的证书复印件并注明所在磋商</w:t>
      </w:r>
      <w:r>
        <w:rPr>
          <w:rFonts w:hint="eastAsia" w:ascii="仿宋_GB2312" w:hAnsi="仿宋_GB2312" w:eastAsia="仿宋_GB2312" w:cs="仿宋_GB2312"/>
          <w:b/>
          <w:color w:val="auto"/>
          <w:sz w:val="24"/>
          <w:highlight w:val="none"/>
          <w:lang w:eastAsia="zh-CN"/>
        </w:rPr>
        <w:t>商务技术文件</w:t>
      </w:r>
      <w:r>
        <w:rPr>
          <w:rFonts w:hint="eastAsia" w:ascii="仿宋_GB2312" w:hAnsi="仿宋_GB2312" w:eastAsia="仿宋_GB2312" w:cs="仿宋_GB2312"/>
          <w:b/>
          <w:color w:val="auto"/>
          <w:sz w:val="24"/>
          <w:highlight w:val="none"/>
        </w:rPr>
        <w:t>页码。</w:t>
      </w:r>
    </w:p>
    <w:p w14:paraId="4298EEFA">
      <w:pPr>
        <w:spacing w:line="336" w:lineRule="auto"/>
        <w:ind w:firstLine="3600" w:firstLineChars="1500"/>
        <w:rPr>
          <w:rFonts w:hint="eastAsia" w:ascii="仿宋" w:hAnsi="仿宋" w:eastAsia="仿宋" w:cs="仿宋"/>
          <w:color w:val="auto"/>
          <w:sz w:val="24"/>
          <w:highlight w:val="none"/>
        </w:rPr>
      </w:pPr>
    </w:p>
    <w:p w14:paraId="62348057">
      <w:pPr>
        <w:spacing w:line="336" w:lineRule="auto"/>
        <w:ind w:firstLine="3600" w:firstLineChars="1500"/>
        <w:rPr>
          <w:rFonts w:hint="eastAsia" w:ascii="仿宋" w:hAnsi="仿宋" w:eastAsia="仿宋" w:cs="仿宋"/>
          <w:color w:val="auto"/>
          <w:sz w:val="24"/>
          <w:highlight w:val="none"/>
        </w:rPr>
      </w:pPr>
    </w:p>
    <w:p w14:paraId="6E147A27">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4B78D9C2">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15C7897">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bCs/>
          <w:color w:val="auto"/>
          <w:sz w:val="32"/>
          <w:szCs w:val="32"/>
          <w:highlight w:val="none"/>
        </w:rPr>
        <w:t>、验收方案</w:t>
      </w:r>
    </w:p>
    <w:p w14:paraId="76669D99">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（由供应商根据采购需求自行编制）</w:t>
      </w:r>
    </w:p>
    <w:p w14:paraId="3F2A32C3">
      <w:pPr>
        <w:spacing w:line="360" w:lineRule="auto"/>
        <w:jc w:val="center"/>
        <w:rPr>
          <w:rFonts w:ascii="仿宋_GB2312" w:hAnsi="仿宋_GB2312" w:eastAsia="仿宋_GB2312" w:cs="仿宋_GB2312"/>
          <w:color w:val="auto"/>
          <w:sz w:val="24"/>
          <w:highlight w:val="none"/>
        </w:rPr>
      </w:pPr>
    </w:p>
    <w:p w14:paraId="428040A6">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7184FCCA">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DBD90CC">
      <w:pPr>
        <w:spacing w:line="360" w:lineRule="auto"/>
        <w:jc w:val="center"/>
        <w:rPr>
          <w:rFonts w:ascii="仿宋_GB2312" w:hAnsi="仿宋_GB2312" w:eastAsia="仿宋_GB2312" w:cs="仿宋_GB2312"/>
          <w:b/>
          <w:bCs/>
          <w:color w:val="auto"/>
          <w:sz w:val="30"/>
          <w:szCs w:val="30"/>
          <w:highlight w:val="none"/>
        </w:rPr>
      </w:pPr>
    </w:p>
    <w:p w14:paraId="0F96E9E5">
      <w:pPr>
        <w:spacing w:line="360" w:lineRule="auto"/>
        <w:jc w:val="center"/>
        <w:rPr>
          <w:rFonts w:ascii="仿宋_GB2312" w:hAnsi="仿宋_GB2312" w:eastAsia="仿宋_GB2312" w:cs="仿宋_GB2312"/>
          <w:b/>
          <w:bCs/>
          <w:color w:val="auto"/>
          <w:sz w:val="30"/>
          <w:szCs w:val="30"/>
          <w:highlight w:val="none"/>
        </w:rPr>
      </w:pPr>
    </w:p>
    <w:p w14:paraId="6F980FA8">
      <w:pPr>
        <w:spacing w:line="360" w:lineRule="auto"/>
        <w:jc w:val="center"/>
        <w:rPr>
          <w:rFonts w:ascii="仿宋_GB2312" w:hAnsi="仿宋_GB2312" w:eastAsia="仿宋_GB2312" w:cs="仿宋_GB2312"/>
          <w:b/>
          <w:bCs/>
          <w:color w:val="auto"/>
          <w:sz w:val="24"/>
          <w:highlight w:val="none"/>
        </w:rPr>
      </w:pPr>
    </w:p>
    <w:p w14:paraId="07B25CD8">
      <w:pPr>
        <w:spacing w:line="360" w:lineRule="auto"/>
        <w:jc w:val="center"/>
        <w:rPr>
          <w:rFonts w:ascii="仿宋_GB2312" w:hAnsi="仿宋_GB2312" w:eastAsia="仿宋_GB2312" w:cs="仿宋_GB2312"/>
          <w:b/>
          <w:bCs/>
          <w:color w:val="auto"/>
          <w:sz w:val="24"/>
          <w:highlight w:val="none"/>
        </w:rPr>
      </w:pPr>
    </w:p>
    <w:p w14:paraId="0F167DC7">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八</w:t>
      </w:r>
      <w:r>
        <w:rPr>
          <w:rFonts w:hint="eastAsia" w:ascii="仿宋_GB2312" w:hAnsi="仿宋_GB2312" w:eastAsia="仿宋_GB2312" w:cs="仿宋_GB2312"/>
          <w:b/>
          <w:bCs/>
          <w:color w:val="auto"/>
          <w:sz w:val="32"/>
          <w:szCs w:val="32"/>
          <w:highlight w:val="none"/>
        </w:rPr>
        <w:t>、认为需要的</w:t>
      </w:r>
      <w:r>
        <w:rPr>
          <w:rFonts w:hint="eastAsia" w:ascii="仿宋_GB2312" w:hAnsi="仿宋_GB2312" w:eastAsia="仿宋_GB2312" w:cs="仿宋_GB2312"/>
          <w:b/>
          <w:color w:val="auto"/>
          <w:kern w:val="0"/>
          <w:sz w:val="32"/>
          <w:szCs w:val="32"/>
          <w:highlight w:val="none"/>
          <w:lang w:val="zh-CN"/>
        </w:rPr>
        <w:t>其他商务技术文件或说明</w:t>
      </w:r>
    </w:p>
    <w:p w14:paraId="611497FE">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（由供应商根据采购需求自行编制）</w:t>
      </w:r>
    </w:p>
    <w:p w14:paraId="4DEF8992">
      <w:pPr>
        <w:spacing w:line="360" w:lineRule="auto"/>
        <w:rPr>
          <w:rFonts w:ascii="仿宋_GB2312" w:hAnsi="仿宋_GB2312" w:eastAsia="仿宋_GB2312" w:cs="仿宋_GB2312"/>
          <w:color w:val="auto"/>
          <w:sz w:val="24"/>
          <w:highlight w:val="none"/>
        </w:rPr>
      </w:pPr>
    </w:p>
    <w:p w14:paraId="1AD11EE8">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07CC8429">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CF40683">
      <w:pPr>
        <w:pStyle w:val="2"/>
        <w:rPr>
          <w:color w:val="auto"/>
          <w:highlight w:val="none"/>
        </w:rPr>
        <w:sectPr>
          <w:headerReference r:id="rId12" w:type="first"/>
          <w:footerReference r:id="rId14" w:type="first"/>
          <w:headerReference r:id="rId11" w:type="default"/>
          <w:footerReference r:id="rId13" w:type="default"/>
          <w:pgSz w:w="11906" w:h="16838"/>
          <w:pgMar w:top="1814" w:right="1474" w:bottom="1814" w:left="1474" w:header="851" w:footer="992" w:gutter="0"/>
          <w:cols w:space="720" w:num="1"/>
          <w:titlePg/>
          <w:docGrid w:linePitch="312" w:charSpace="0"/>
        </w:sectPr>
      </w:pPr>
    </w:p>
    <w:p w14:paraId="017A92BA">
      <w:pPr>
        <w:spacing w:line="336" w:lineRule="auto"/>
        <w:jc w:val="center"/>
        <w:rPr>
          <w:rFonts w:ascii="仿宋" w:hAnsi="仿宋" w:eastAsia="仿宋" w:cs="仿宋"/>
          <w:b/>
          <w:color w:val="auto"/>
          <w:sz w:val="36"/>
          <w:szCs w:val="36"/>
          <w:highlight w:val="none"/>
        </w:rPr>
      </w:pPr>
    </w:p>
    <w:p w14:paraId="28E74794">
      <w:pPr>
        <w:spacing w:line="336"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7663A8AA">
      <w:pPr>
        <w:spacing w:line="336"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3AF7A514">
      <w:pPr>
        <w:spacing w:line="336" w:lineRule="auto"/>
        <w:jc w:val="center"/>
        <w:outlineLvl w:val="0"/>
        <w:rPr>
          <w:rFonts w:ascii="仿宋" w:hAnsi="仿宋" w:eastAsia="仿宋" w:cs="仿宋"/>
          <w:b/>
          <w:color w:val="auto"/>
          <w:kern w:val="0"/>
          <w:sz w:val="36"/>
          <w:szCs w:val="36"/>
          <w:highlight w:val="none"/>
        </w:rPr>
      </w:pPr>
    </w:p>
    <w:p w14:paraId="14A538DC">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（1）磋商一览表（报价表）………………………………………………………（页码）</w:t>
      </w:r>
    </w:p>
    <w:p w14:paraId="27818A8C">
      <w:p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48A48386">
      <w:pPr>
        <w:numPr>
          <w:ilvl w:val="0"/>
          <w:numId w:val="0"/>
        </w:numPr>
        <w:snapToGrid w:val="0"/>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残疾人福利性单位声明函……………………………………………………（页码）</w:t>
      </w:r>
    </w:p>
    <w:p w14:paraId="068C5D86">
      <w:pPr>
        <w:pStyle w:val="2"/>
        <w:rPr>
          <w:rFonts w:hint="eastAsia" w:eastAsia="仿宋_GB2312"/>
          <w:color w:val="auto"/>
          <w:highlight w:val="none"/>
          <w:lang w:eastAsia="zh-CN"/>
        </w:rPr>
      </w:pPr>
    </w:p>
    <w:p w14:paraId="7A0C87EE">
      <w:pPr>
        <w:snapToGrid w:val="0"/>
        <w:spacing w:line="336" w:lineRule="auto"/>
        <w:jc w:val="center"/>
        <w:rPr>
          <w:rFonts w:ascii="仿宋" w:hAnsi="仿宋" w:eastAsia="仿宋" w:cs="仿宋"/>
          <w:b/>
          <w:color w:val="auto"/>
          <w:kern w:val="0"/>
          <w:sz w:val="32"/>
          <w:szCs w:val="32"/>
          <w:highlight w:val="none"/>
        </w:rPr>
      </w:pPr>
    </w:p>
    <w:p w14:paraId="67CA1A59">
      <w:pPr>
        <w:spacing w:line="336" w:lineRule="auto"/>
        <w:jc w:val="center"/>
        <w:rPr>
          <w:rFonts w:ascii="仿宋" w:hAnsi="仿宋" w:eastAsia="仿宋" w:cs="仿宋"/>
          <w:b/>
          <w:bCs/>
          <w:color w:val="auto"/>
          <w:sz w:val="32"/>
          <w:szCs w:val="32"/>
          <w:highlight w:val="none"/>
        </w:rPr>
      </w:pPr>
    </w:p>
    <w:p w14:paraId="7E03BF1F">
      <w:pPr>
        <w:widowControl/>
        <w:adjustRightInd/>
        <w:spacing w:line="336" w:lineRule="auto"/>
        <w:jc w:val="left"/>
        <w:rPr>
          <w:rFonts w:ascii="仿宋" w:hAnsi="仿宋" w:eastAsia="仿宋" w:cs="仿宋"/>
          <w:b/>
          <w:bCs/>
          <w:color w:val="auto"/>
          <w:sz w:val="30"/>
          <w:szCs w:val="30"/>
          <w:highlight w:val="none"/>
        </w:rPr>
      </w:pPr>
    </w:p>
    <w:p w14:paraId="71DB8ED8">
      <w:pPr>
        <w:widowControl/>
        <w:adjustRightInd/>
        <w:spacing w:line="336" w:lineRule="auto"/>
        <w:jc w:val="left"/>
        <w:rPr>
          <w:rFonts w:ascii="仿宋" w:hAnsi="仿宋" w:eastAsia="仿宋" w:cs="仿宋"/>
          <w:color w:val="auto"/>
          <w:kern w:val="2"/>
          <w:sz w:val="32"/>
          <w:szCs w:val="32"/>
          <w:highlight w:val="none"/>
        </w:rPr>
        <w:sectPr>
          <w:headerReference r:id="rId16" w:type="first"/>
          <w:footerReference r:id="rId19" w:type="first"/>
          <w:headerReference r:id="rId15" w:type="default"/>
          <w:footerReference r:id="rId17" w:type="default"/>
          <w:footerReference r:id="rId18" w:type="even"/>
          <w:pgSz w:w="11906" w:h="16838"/>
          <w:pgMar w:top="1814" w:right="1474" w:bottom="1814" w:left="1474" w:header="851" w:footer="992" w:gutter="0"/>
          <w:cols w:space="720" w:num="1"/>
          <w:titlePg/>
          <w:docGrid w:linePitch="312" w:charSpace="0"/>
        </w:sectPr>
      </w:pPr>
      <w:r>
        <w:rPr>
          <w:rFonts w:hint="eastAsia" w:ascii="仿宋" w:hAnsi="仿宋" w:eastAsia="仿宋" w:cs="仿宋"/>
          <w:b/>
          <w:color w:val="auto"/>
          <w:sz w:val="36"/>
          <w:szCs w:val="36"/>
          <w:highlight w:val="none"/>
        </w:rPr>
        <w:br w:type="page"/>
      </w:r>
    </w:p>
    <w:p w14:paraId="55BAE7D5">
      <w:pPr>
        <w:pStyle w:val="30"/>
        <w:keepNext w:val="0"/>
        <w:pageBreakBefore w:val="0"/>
        <w:tabs>
          <w:tab w:val="clear" w:pos="720"/>
        </w:tabs>
        <w:spacing w:line="336" w:lineRule="auto"/>
        <w:ind w:firstLine="640"/>
        <w:outlineLvl w:val="9"/>
        <w:rPr>
          <w:rFonts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（一）磋商一览表（报价表）</w:t>
      </w:r>
    </w:p>
    <w:p w14:paraId="513FBFEB">
      <w:pPr>
        <w:snapToGrid w:val="0"/>
        <w:spacing w:line="336"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2561BE25">
      <w:pPr>
        <w:snapToGrid w:val="0"/>
        <w:spacing w:line="336" w:lineRule="auto"/>
        <w:ind w:firstLine="482"/>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按你方磋商文件要求，我们，本磋商文件签字方，谨此向你方发出要约如下：如你方接受本磋商，我方承诺按照如下开标一览表（报价表）的价格完成</w:t>
      </w:r>
      <w:r>
        <w:rPr>
          <w:rFonts w:hint="eastAsia" w:ascii="仿宋" w:hAnsi="仿宋" w:eastAsia="仿宋" w:cs="仿宋"/>
          <w:color w:val="auto"/>
          <w:sz w:val="24"/>
          <w:highlight w:val="none"/>
          <w:lang w:eastAsia="zh-CN"/>
        </w:rPr>
        <w:t>绍兴市“十五五”期间盘活存量资产推动高质量发展专项规划项目</w:t>
      </w:r>
      <w:r>
        <w:rPr>
          <w:rFonts w:hint="eastAsia" w:ascii="仿宋" w:hAnsi="仿宋" w:eastAsia="仿宋" w:cs="仿宋"/>
          <w:color w:val="auto"/>
          <w:kern w:val="0"/>
          <w:sz w:val="24"/>
          <w:highlight w:val="none"/>
          <w:lang w:val="zh-CN"/>
        </w:rPr>
        <w:t>【磋商编号：</w:t>
      </w:r>
      <w:r>
        <w:rPr>
          <w:rFonts w:hint="eastAsia" w:ascii="仿宋" w:hAnsi="仿宋" w:eastAsia="仿宋" w:cs="仿宋"/>
          <w:color w:val="auto"/>
          <w:sz w:val="24"/>
          <w:highlight w:val="none"/>
          <w:lang w:eastAsia="zh-CN"/>
        </w:rPr>
        <w:t>SXQS-202502-CS011</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p w14:paraId="4DD80AA6">
      <w:pPr>
        <w:spacing w:line="336" w:lineRule="auto"/>
        <w:jc w:val="center"/>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磋商一览表（报价表）(单位均为人民币元)</w:t>
      </w:r>
    </w:p>
    <w:tbl>
      <w:tblPr>
        <w:tblStyle w:val="17"/>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6"/>
        <w:gridCol w:w="801"/>
        <w:gridCol w:w="1850"/>
        <w:gridCol w:w="1985"/>
        <w:gridCol w:w="1850"/>
        <w:gridCol w:w="1732"/>
        <w:gridCol w:w="1732"/>
        <w:gridCol w:w="1746"/>
        <w:gridCol w:w="1746"/>
      </w:tblGrid>
      <w:tr w14:paraId="268EE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3" w:type="pct"/>
            <w:noWrap w:val="0"/>
            <w:vAlign w:val="center"/>
          </w:tcPr>
          <w:p w14:paraId="267E4C8B">
            <w:pPr>
              <w:spacing w:line="336"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84" w:type="pct"/>
            <w:noWrap w:val="0"/>
            <w:vAlign w:val="center"/>
          </w:tcPr>
          <w:p w14:paraId="71CE1803">
            <w:pPr>
              <w:spacing w:line="336"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656" w:type="pct"/>
            <w:noWrap w:val="0"/>
            <w:vAlign w:val="top"/>
          </w:tcPr>
          <w:p w14:paraId="698F1B61">
            <w:pPr>
              <w:spacing w:line="336" w:lineRule="auto"/>
              <w:jc w:val="center"/>
              <w:rPr>
                <w:rFonts w:ascii="仿宋" w:hAnsi="仿宋" w:eastAsia="仿宋" w:cs="仿宋"/>
                <w:b/>
                <w:color w:val="auto"/>
                <w:sz w:val="24"/>
                <w:highlight w:val="none"/>
              </w:rPr>
            </w:pPr>
          </w:p>
          <w:p w14:paraId="56860E19">
            <w:pPr>
              <w:spacing w:line="336"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703" w:type="pct"/>
            <w:noWrap w:val="0"/>
            <w:vAlign w:val="center"/>
          </w:tcPr>
          <w:p w14:paraId="53D956BB">
            <w:pPr>
              <w:spacing w:line="336"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656" w:type="pct"/>
            <w:noWrap w:val="0"/>
            <w:vAlign w:val="center"/>
          </w:tcPr>
          <w:p w14:paraId="5272F633">
            <w:pPr>
              <w:spacing w:line="336"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614" w:type="pct"/>
            <w:noWrap w:val="0"/>
            <w:vAlign w:val="center"/>
          </w:tcPr>
          <w:p w14:paraId="6CB1409B">
            <w:pPr>
              <w:spacing w:line="336"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614" w:type="pct"/>
            <w:noWrap w:val="0"/>
            <w:vAlign w:val="top"/>
          </w:tcPr>
          <w:p w14:paraId="212038ED">
            <w:pPr>
              <w:spacing w:line="336" w:lineRule="auto"/>
              <w:jc w:val="center"/>
              <w:rPr>
                <w:rFonts w:ascii="仿宋" w:hAnsi="仿宋" w:eastAsia="仿宋" w:cs="仿宋"/>
                <w:b/>
                <w:color w:val="auto"/>
                <w:sz w:val="24"/>
                <w:highlight w:val="none"/>
              </w:rPr>
            </w:pPr>
          </w:p>
          <w:p w14:paraId="02D31BB7">
            <w:pPr>
              <w:spacing w:line="336"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619" w:type="pct"/>
            <w:noWrap w:val="0"/>
            <w:vAlign w:val="center"/>
          </w:tcPr>
          <w:p w14:paraId="03DFBF20">
            <w:pPr>
              <w:spacing w:line="336" w:lineRule="auto"/>
              <w:jc w:val="center"/>
              <w:rPr>
                <w:rFonts w:ascii="仿宋" w:hAnsi="仿宋" w:eastAsia="仿宋" w:cs="仿宋"/>
                <w:b/>
                <w:color w:val="auto"/>
                <w:sz w:val="24"/>
                <w:highlight w:val="none"/>
              </w:rPr>
            </w:pPr>
          </w:p>
          <w:p w14:paraId="0E64711E">
            <w:pPr>
              <w:spacing w:line="336"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lang w:eastAsia="zh-CN"/>
              </w:rPr>
              <w:t>服务单价</w:t>
            </w:r>
          </w:p>
          <w:p w14:paraId="51691EF4">
            <w:pPr>
              <w:spacing w:line="336" w:lineRule="auto"/>
              <w:jc w:val="center"/>
              <w:rPr>
                <w:rFonts w:ascii="仿宋" w:hAnsi="仿宋" w:eastAsia="仿宋" w:cs="仿宋"/>
                <w:b/>
                <w:color w:val="auto"/>
                <w:sz w:val="24"/>
                <w:highlight w:val="none"/>
              </w:rPr>
            </w:pPr>
          </w:p>
        </w:tc>
        <w:tc>
          <w:tcPr>
            <w:tcW w:w="618" w:type="pct"/>
            <w:noWrap w:val="0"/>
            <w:vAlign w:val="center"/>
          </w:tcPr>
          <w:p w14:paraId="6ABF6270">
            <w:pPr>
              <w:spacing w:line="336" w:lineRule="auto"/>
              <w:jc w:val="center"/>
              <w:rPr>
                <w:rFonts w:hint="eastAsia" w:ascii="仿宋" w:hAnsi="仿宋" w:eastAsia="仿宋" w:cs="仿宋"/>
                <w:b/>
                <w:color w:val="auto"/>
                <w:sz w:val="24"/>
                <w:highlight w:val="none"/>
              </w:rPr>
            </w:pPr>
          </w:p>
          <w:p w14:paraId="6C4CC07B">
            <w:pPr>
              <w:spacing w:line="336"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备注（如有）</w:t>
            </w:r>
          </w:p>
          <w:p w14:paraId="4A607B75">
            <w:pPr>
              <w:spacing w:line="336" w:lineRule="auto"/>
              <w:jc w:val="center"/>
              <w:rPr>
                <w:rFonts w:ascii="仿宋" w:hAnsi="仿宋" w:eastAsia="仿宋" w:cs="仿宋"/>
                <w:b/>
                <w:color w:val="auto"/>
                <w:sz w:val="24"/>
                <w:highlight w:val="none"/>
              </w:rPr>
            </w:pPr>
          </w:p>
        </w:tc>
      </w:tr>
      <w:tr w14:paraId="46ADE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3" w:type="pct"/>
            <w:noWrap w:val="0"/>
            <w:vAlign w:val="center"/>
          </w:tcPr>
          <w:p w14:paraId="63E84F82">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284" w:type="pct"/>
            <w:noWrap w:val="0"/>
            <w:vAlign w:val="center"/>
          </w:tcPr>
          <w:p w14:paraId="3BBF1719">
            <w:pPr>
              <w:snapToGrid w:val="0"/>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6" w:type="pct"/>
            <w:noWrap w:val="0"/>
            <w:vAlign w:val="center"/>
          </w:tcPr>
          <w:p w14:paraId="50F258A0">
            <w:pPr>
              <w:snapToGrid w:val="0"/>
              <w:spacing w:line="336" w:lineRule="auto"/>
              <w:jc w:val="center"/>
              <w:rPr>
                <w:rFonts w:ascii="仿宋" w:hAnsi="仿宋" w:eastAsia="仿宋" w:cs="仿宋"/>
                <w:color w:val="auto"/>
                <w:sz w:val="24"/>
                <w:highlight w:val="none"/>
              </w:rPr>
            </w:pPr>
          </w:p>
        </w:tc>
        <w:tc>
          <w:tcPr>
            <w:tcW w:w="703" w:type="pct"/>
            <w:noWrap w:val="0"/>
            <w:vAlign w:val="center"/>
          </w:tcPr>
          <w:p w14:paraId="651F15D5">
            <w:pPr>
              <w:snapToGrid w:val="0"/>
              <w:spacing w:line="336" w:lineRule="auto"/>
              <w:jc w:val="center"/>
              <w:rPr>
                <w:rFonts w:ascii="仿宋" w:hAnsi="仿宋" w:eastAsia="仿宋" w:cs="仿宋"/>
                <w:color w:val="auto"/>
                <w:sz w:val="24"/>
                <w:highlight w:val="none"/>
              </w:rPr>
            </w:pPr>
          </w:p>
        </w:tc>
        <w:tc>
          <w:tcPr>
            <w:tcW w:w="656" w:type="pct"/>
            <w:noWrap w:val="0"/>
            <w:vAlign w:val="center"/>
          </w:tcPr>
          <w:p w14:paraId="0FD33479">
            <w:pPr>
              <w:snapToGrid w:val="0"/>
              <w:spacing w:line="336" w:lineRule="auto"/>
              <w:jc w:val="center"/>
              <w:rPr>
                <w:rFonts w:ascii="仿宋" w:hAnsi="仿宋" w:eastAsia="仿宋" w:cs="仿宋"/>
                <w:color w:val="auto"/>
                <w:sz w:val="24"/>
                <w:highlight w:val="none"/>
              </w:rPr>
            </w:pPr>
          </w:p>
        </w:tc>
        <w:tc>
          <w:tcPr>
            <w:tcW w:w="614" w:type="pct"/>
            <w:noWrap w:val="0"/>
            <w:vAlign w:val="center"/>
          </w:tcPr>
          <w:p w14:paraId="74B71D46">
            <w:pPr>
              <w:spacing w:line="336" w:lineRule="auto"/>
              <w:jc w:val="center"/>
              <w:rPr>
                <w:rFonts w:ascii="仿宋" w:hAnsi="仿宋" w:eastAsia="仿宋" w:cs="仿宋"/>
                <w:color w:val="auto"/>
                <w:sz w:val="24"/>
                <w:highlight w:val="none"/>
              </w:rPr>
            </w:pPr>
          </w:p>
        </w:tc>
        <w:tc>
          <w:tcPr>
            <w:tcW w:w="614" w:type="pct"/>
            <w:noWrap w:val="0"/>
            <w:vAlign w:val="top"/>
          </w:tcPr>
          <w:p w14:paraId="44EA4AD5">
            <w:pPr>
              <w:spacing w:line="336" w:lineRule="auto"/>
              <w:jc w:val="center"/>
              <w:rPr>
                <w:rFonts w:ascii="仿宋" w:hAnsi="仿宋" w:eastAsia="仿宋" w:cs="仿宋"/>
                <w:color w:val="auto"/>
                <w:sz w:val="24"/>
                <w:highlight w:val="none"/>
              </w:rPr>
            </w:pPr>
          </w:p>
        </w:tc>
        <w:tc>
          <w:tcPr>
            <w:tcW w:w="619" w:type="pct"/>
            <w:noWrap w:val="0"/>
            <w:vAlign w:val="center"/>
          </w:tcPr>
          <w:p w14:paraId="3EB2AC5D">
            <w:pPr>
              <w:spacing w:line="336" w:lineRule="auto"/>
              <w:jc w:val="center"/>
              <w:rPr>
                <w:rFonts w:ascii="仿宋" w:hAnsi="仿宋" w:eastAsia="仿宋" w:cs="仿宋"/>
                <w:color w:val="auto"/>
                <w:sz w:val="24"/>
                <w:highlight w:val="none"/>
              </w:rPr>
            </w:pPr>
          </w:p>
        </w:tc>
        <w:tc>
          <w:tcPr>
            <w:tcW w:w="618" w:type="pct"/>
            <w:noWrap w:val="0"/>
            <w:vAlign w:val="center"/>
          </w:tcPr>
          <w:p w14:paraId="00176503">
            <w:pPr>
              <w:spacing w:line="336" w:lineRule="auto"/>
              <w:jc w:val="center"/>
              <w:rPr>
                <w:rFonts w:ascii="仿宋" w:hAnsi="仿宋" w:eastAsia="仿宋" w:cs="仿宋"/>
                <w:color w:val="auto"/>
                <w:sz w:val="24"/>
                <w:highlight w:val="none"/>
              </w:rPr>
            </w:pPr>
          </w:p>
        </w:tc>
      </w:tr>
      <w:tr w14:paraId="2CF34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3" w:type="pct"/>
            <w:noWrap w:val="0"/>
            <w:vAlign w:val="center"/>
          </w:tcPr>
          <w:p w14:paraId="412C1FA9">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284" w:type="pct"/>
            <w:noWrap w:val="0"/>
            <w:vAlign w:val="center"/>
          </w:tcPr>
          <w:p w14:paraId="0CFEAB49">
            <w:pPr>
              <w:snapToGrid w:val="0"/>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6" w:type="pct"/>
            <w:noWrap w:val="0"/>
            <w:vAlign w:val="center"/>
          </w:tcPr>
          <w:p w14:paraId="2EF73AAC">
            <w:pPr>
              <w:snapToGrid w:val="0"/>
              <w:spacing w:line="336" w:lineRule="auto"/>
              <w:jc w:val="center"/>
              <w:rPr>
                <w:rFonts w:ascii="仿宋" w:hAnsi="仿宋" w:eastAsia="仿宋" w:cs="仿宋"/>
                <w:color w:val="auto"/>
                <w:sz w:val="24"/>
                <w:highlight w:val="none"/>
              </w:rPr>
            </w:pPr>
          </w:p>
        </w:tc>
        <w:tc>
          <w:tcPr>
            <w:tcW w:w="703" w:type="pct"/>
            <w:noWrap w:val="0"/>
            <w:vAlign w:val="center"/>
          </w:tcPr>
          <w:p w14:paraId="20577A3A">
            <w:pPr>
              <w:snapToGrid w:val="0"/>
              <w:spacing w:line="336" w:lineRule="auto"/>
              <w:jc w:val="center"/>
              <w:rPr>
                <w:rFonts w:ascii="仿宋" w:hAnsi="仿宋" w:eastAsia="仿宋" w:cs="仿宋"/>
                <w:color w:val="auto"/>
                <w:sz w:val="24"/>
                <w:highlight w:val="none"/>
              </w:rPr>
            </w:pPr>
          </w:p>
        </w:tc>
        <w:tc>
          <w:tcPr>
            <w:tcW w:w="656" w:type="pct"/>
            <w:noWrap w:val="0"/>
            <w:vAlign w:val="center"/>
          </w:tcPr>
          <w:p w14:paraId="3B53F82B">
            <w:pPr>
              <w:snapToGrid w:val="0"/>
              <w:spacing w:line="336" w:lineRule="auto"/>
              <w:jc w:val="center"/>
              <w:rPr>
                <w:rFonts w:ascii="仿宋" w:hAnsi="仿宋" w:eastAsia="仿宋" w:cs="仿宋"/>
                <w:color w:val="auto"/>
                <w:sz w:val="24"/>
                <w:highlight w:val="none"/>
              </w:rPr>
            </w:pPr>
          </w:p>
        </w:tc>
        <w:tc>
          <w:tcPr>
            <w:tcW w:w="614" w:type="pct"/>
            <w:noWrap w:val="0"/>
            <w:vAlign w:val="center"/>
          </w:tcPr>
          <w:p w14:paraId="28BC337E">
            <w:pPr>
              <w:spacing w:line="336" w:lineRule="auto"/>
              <w:jc w:val="center"/>
              <w:rPr>
                <w:rFonts w:ascii="仿宋" w:hAnsi="仿宋" w:eastAsia="仿宋" w:cs="仿宋"/>
                <w:color w:val="auto"/>
                <w:sz w:val="24"/>
                <w:highlight w:val="none"/>
              </w:rPr>
            </w:pPr>
          </w:p>
        </w:tc>
        <w:tc>
          <w:tcPr>
            <w:tcW w:w="614" w:type="pct"/>
            <w:noWrap w:val="0"/>
            <w:vAlign w:val="top"/>
          </w:tcPr>
          <w:p w14:paraId="3F8889C1">
            <w:pPr>
              <w:spacing w:line="336" w:lineRule="auto"/>
              <w:jc w:val="center"/>
              <w:rPr>
                <w:rFonts w:ascii="仿宋" w:hAnsi="仿宋" w:eastAsia="仿宋" w:cs="仿宋"/>
                <w:color w:val="auto"/>
                <w:sz w:val="24"/>
                <w:highlight w:val="none"/>
              </w:rPr>
            </w:pPr>
          </w:p>
        </w:tc>
        <w:tc>
          <w:tcPr>
            <w:tcW w:w="619" w:type="pct"/>
            <w:noWrap w:val="0"/>
            <w:vAlign w:val="center"/>
          </w:tcPr>
          <w:p w14:paraId="50C05663">
            <w:pPr>
              <w:spacing w:line="336" w:lineRule="auto"/>
              <w:jc w:val="center"/>
              <w:rPr>
                <w:rFonts w:ascii="仿宋" w:hAnsi="仿宋" w:eastAsia="仿宋" w:cs="仿宋"/>
                <w:color w:val="auto"/>
                <w:sz w:val="24"/>
                <w:highlight w:val="none"/>
              </w:rPr>
            </w:pPr>
          </w:p>
        </w:tc>
        <w:tc>
          <w:tcPr>
            <w:tcW w:w="618" w:type="pct"/>
            <w:noWrap w:val="0"/>
            <w:vAlign w:val="center"/>
          </w:tcPr>
          <w:p w14:paraId="486EB789">
            <w:pPr>
              <w:spacing w:line="336" w:lineRule="auto"/>
              <w:jc w:val="center"/>
              <w:rPr>
                <w:rFonts w:ascii="仿宋" w:hAnsi="仿宋" w:eastAsia="仿宋" w:cs="仿宋"/>
                <w:color w:val="auto"/>
                <w:sz w:val="24"/>
                <w:highlight w:val="none"/>
              </w:rPr>
            </w:pPr>
          </w:p>
        </w:tc>
      </w:tr>
      <w:tr w14:paraId="369DE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3" w:type="pct"/>
            <w:noWrap w:val="0"/>
            <w:vAlign w:val="center"/>
          </w:tcPr>
          <w:p w14:paraId="6DD4F71A">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284" w:type="pct"/>
            <w:noWrap w:val="0"/>
            <w:vAlign w:val="center"/>
          </w:tcPr>
          <w:p w14:paraId="495E8A6F">
            <w:pPr>
              <w:snapToGrid w:val="0"/>
              <w:spacing w:line="336" w:lineRule="auto"/>
              <w:jc w:val="center"/>
              <w:rPr>
                <w:rFonts w:ascii="仿宋" w:hAnsi="仿宋" w:eastAsia="仿宋" w:cs="仿宋"/>
                <w:color w:val="auto"/>
                <w:sz w:val="24"/>
                <w:highlight w:val="none"/>
              </w:rPr>
            </w:pPr>
          </w:p>
        </w:tc>
        <w:tc>
          <w:tcPr>
            <w:tcW w:w="656" w:type="pct"/>
            <w:noWrap w:val="0"/>
            <w:vAlign w:val="center"/>
          </w:tcPr>
          <w:p w14:paraId="74EDE3E9">
            <w:pPr>
              <w:snapToGrid w:val="0"/>
              <w:spacing w:line="336" w:lineRule="auto"/>
              <w:jc w:val="center"/>
              <w:rPr>
                <w:rFonts w:ascii="仿宋" w:hAnsi="仿宋" w:eastAsia="仿宋" w:cs="仿宋"/>
                <w:color w:val="auto"/>
                <w:sz w:val="24"/>
                <w:highlight w:val="none"/>
              </w:rPr>
            </w:pPr>
          </w:p>
        </w:tc>
        <w:tc>
          <w:tcPr>
            <w:tcW w:w="703" w:type="pct"/>
            <w:noWrap w:val="0"/>
            <w:vAlign w:val="center"/>
          </w:tcPr>
          <w:p w14:paraId="11C8A452">
            <w:pPr>
              <w:snapToGrid w:val="0"/>
              <w:spacing w:line="336" w:lineRule="auto"/>
              <w:jc w:val="center"/>
              <w:rPr>
                <w:rFonts w:ascii="仿宋" w:hAnsi="仿宋" w:eastAsia="仿宋" w:cs="仿宋"/>
                <w:color w:val="auto"/>
                <w:sz w:val="24"/>
                <w:highlight w:val="none"/>
              </w:rPr>
            </w:pPr>
          </w:p>
        </w:tc>
        <w:tc>
          <w:tcPr>
            <w:tcW w:w="656" w:type="pct"/>
            <w:noWrap w:val="0"/>
            <w:vAlign w:val="center"/>
          </w:tcPr>
          <w:p w14:paraId="44986560">
            <w:pPr>
              <w:snapToGrid w:val="0"/>
              <w:spacing w:line="336" w:lineRule="auto"/>
              <w:jc w:val="center"/>
              <w:rPr>
                <w:rFonts w:ascii="仿宋" w:hAnsi="仿宋" w:eastAsia="仿宋" w:cs="仿宋"/>
                <w:color w:val="auto"/>
                <w:sz w:val="24"/>
                <w:highlight w:val="none"/>
              </w:rPr>
            </w:pPr>
          </w:p>
        </w:tc>
        <w:tc>
          <w:tcPr>
            <w:tcW w:w="614" w:type="pct"/>
            <w:noWrap w:val="0"/>
            <w:vAlign w:val="center"/>
          </w:tcPr>
          <w:p w14:paraId="57C2977E">
            <w:pPr>
              <w:spacing w:line="336" w:lineRule="auto"/>
              <w:jc w:val="center"/>
              <w:rPr>
                <w:rFonts w:ascii="仿宋" w:hAnsi="仿宋" w:eastAsia="仿宋" w:cs="仿宋"/>
                <w:color w:val="auto"/>
                <w:sz w:val="24"/>
                <w:highlight w:val="none"/>
              </w:rPr>
            </w:pPr>
          </w:p>
        </w:tc>
        <w:tc>
          <w:tcPr>
            <w:tcW w:w="614" w:type="pct"/>
            <w:noWrap w:val="0"/>
            <w:vAlign w:val="top"/>
          </w:tcPr>
          <w:p w14:paraId="07604AF4">
            <w:pPr>
              <w:spacing w:line="336" w:lineRule="auto"/>
              <w:jc w:val="center"/>
              <w:rPr>
                <w:rFonts w:ascii="仿宋" w:hAnsi="仿宋" w:eastAsia="仿宋" w:cs="仿宋"/>
                <w:color w:val="auto"/>
                <w:sz w:val="24"/>
                <w:highlight w:val="none"/>
              </w:rPr>
            </w:pPr>
          </w:p>
        </w:tc>
        <w:tc>
          <w:tcPr>
            <w:tcW w:w="619" w:type="pct"/>
            <w:noWrap w:val="0"/>
            <w:vAlign w:val="center"/>
          </w:tcPr>
          <w:p w14:paraId="11625D42">
            <w:pPr>
              <w:spacing w:line="336" w:lineRule="auto"/>
              <w:jc w:val="center"/>
              <w:rPr>
                <w:rFonts w:ascii="仿宋" w:hAnsi="仿宋" w:eastAsia="仿宋" w:cs="仿宋"/>
                <w:color w:val="auto"/>
                <w:sz w:val="24"/>
                <w:highlight w:val="none"/>
              </w:rPr>
            </w:pPr>
          </w:p>
        </w:tc>
        <w:tc>
          <w:tcPr>
            <w:tcW w:w="618" w:type="pct"/>
            <w:noWrap w:val="0"/>
            <w:vAlign w:val="center"/>
          </w:tcPr>
          <w:p w14:paraId="195BB24D">
            <w:pPr>
              <w:spacing w:line="336" w:lineRule="auto"/>
              <w:jc w:val="center"/>
              <w:rPr>
                <w:rFonts w:ascii="仿宋" w:hAnsi="仿宋" w:eastAsia="仿宋" w:cs="仿宋"/>
                <w:color w:val="auto"/>
                <w:sz w:val="24"/>
                <w:highlight w:val="none"/>
              </w:rPr>
            </w:pPr>
          </w:p>
        </w:tc>
      </w:tr>
      <w:tr w14:paraId="382BA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3" w:type="pct"/>
            <w:noWrap w:val="0"/>
            <w:vAlign w:val="center"/>
          </w:tcPr>
          <w:p w14:paraId="271AA973">
            <w:pPr>
              <w:spacing w:line="336" w:lineRule="auto"/>
              <w:jc w:val="center"/>
              <w:rPr>
                <w:rFonts w:ascii="仿宋" w:hAnsi="仿宋" w:eastAsia="仿宋" w:cs="仿宋"/>
                <w:color w:val="auto"/>
                <w:sz w:val="24"/>
                <w:highlight w:val="none"/>
              </w:rPr>
            </w:pPr>
          </w:p>
        </w:tc>
        <w:tc>
          <w:tcPr>
            <w:tcW w:w="284" w:type="pct"/>
            <w:noWrap w:val="0"/>
            <w:vAlign w:val="center"/>
          </w:tcPr>
          <w:p w14:paraId="61F40CCD">
            <w:pPr>
              <w:snapToGrid w:val="0"/>
              <w:spacing w:line="336" w:lineRule="auto"/>
              <w:jc w:val="center"/>
              <w:rPr>
                <w:rFonts w:ascii="仿宋" w:hAnsi="仿宋" w:eastAsia="仿宋" w:cs="仿宋"/>
                <w:color w:val="auto"/>
                <w:sz w:val="24"/>
                <w:highlight w:val="none"/>
              </w:rPr>
            </w:pPr>
          </w:p>
        </w:tc>
        <w:tc>
          <w:tcPr>
            <w:tcW w:w="656" w:type="pct"/>
            <w:noWrap w:val="0"/>
            <w:vAlign w:val="center"/>
          </w:tcPr>
          <w:p w14:paraId="0B67352E">
            <w:pPr>
              <w:snapToGrid w:val="0"/>
              <w:spacing w:line="336" w:lineRule="auto"/>
              <w:jc w:val="center"/>
              <w:rPr>
                <w:rFonts w:ascii="仿宋" w:hAnsi="仿宋" w:eastAsia="仿宋" w:cs="仿宋"/>
                <w:color w:val="auto"/>
                <w:sz w:val="24"/>
                <w:highlight w:val="none"/>
              </w:rPr>
            </w:pPr>
          </w:p>
        </w:tc>
        <w:tc>
          <w:tcPr>
            <w:tcW w:w="703" w:type="pct"/>
            <w:noWrap w:val="0"/>
            <w:vAlign w:val="center"/>
          </w:tcPr>
          <w:p w14:paraId="56A28B27">
            <w:pPr>
              <w:snapToGrid w:val="0"/>
              <w:spacing w:line="336" w:lineRule="auto"/>
              <w:jc w:val="center"/>
              <w:rPr>
                <w:rFonts w:ascii="仿宋" w:hAnsi="仿宋" w:eastAsia="仿宋" w:cs="仿宋"/>
                <w:color w:val="auto"/>
                <w:sz w:val="24"/>
                <w:highlight w:val="none"/>
              </w:rPr>
            </w:pPr>
          </w:p>
        </w:tc>
        <w:tc>
          <w:tcPr>
            <w:tcW w:w="656" w:type="pct"/>
            <w:noWrap w:val="0"/>
            <w:vAlign w:val="center"/>
          </w:tcPr>
          <w:p w14:paraId="16B8AB4F">
            <w:pPr>
              <w:snapToGrid w:val="0"/>
              <w:spacing w:line="336" w:lineRule="auto"/>
              <w:jc w:val="center"/>
              <w:rPr>
                <w:rFonts w:ascii="仿宋" w:hAnsi="仿宋" w:eastAsia="仿宋" w:cs="仿宋"/>
                <w:color w:val="auto"/>
                <w:sz w:val="24"/>
                <w:highlight w:val="none"/>
              </w:rPr>
            </w:pPr>
          </w:p>
        </w:tc>
        <w:tc>
          <w:tcPr>
            <w:tcW w:w="614" w:type="pct"/>
            <w:noWrap w:val="0"/>
            <w:vAlign w:val="center"/>
          </w:tcPr>
          <w:p w14:paraId="12771491">
            <w:pPr>
              <w:spacing w:line="336" w:lineRule="auto"/>
              <w:jc w:val="center"/>
              <w:rPr>
                <w:rFonts w:ascii="仿宋" w:hAnsi="仿宋" w:eastAsia="仿宋" w:cs="仿宋"/>
                <w:color w:val="auto"/>
                <w:sz w:val="24"/>
                <w:highlight w:val="none"/>
              </w:rPr>
            </w:pPr>
          </w:p>
        </w:tc>
        <w:tc>
          <w:tcPr>
            <w:tcW w:w="614" w:type="pct"/>
            <w:noWrap w:val="0"/>
            <w:vAlign w:val="top"/>
          </w:tcPr>
          <w:p w14:paraId="037E6C5C">
            <w:pPr>
              <w:spacing w:line="336" w:lineRule="auto"/>
              <w:jc w:val="center"/>
              <w:rPr>
                <w:rFonts w:ascii="仿宋" w:hAnsi="仿宋" w:eastAsia="仿宋" w:cs="仿宋"/>
                <w:color w:val="auto"/>
                <w:sz w:val="24"/>
                <w:highlight w:val="none"/>
              </w:rPr>
            </w:pPr>
          </w:p>
        </w:tc>
        <w:tc>
          <w:tcPr>
            <w:tcW w:w="619" w:type="pct"/>
            <w:noWrap w:val="0"/>
            <w:vAlign w:val="center"/>
          </w:tcPr>
          <w:p w14:paraId="68B0B8D3">
            <w:pPr>
              <w:spacing w:line="336" w:lineRule="auto"/>
              <w:jc w:val="center"/>
              <w:rPr>
                <w:rFonts w:ascii="仿宋" w:hAnsi="仿宋" w:eastAsia="仿宋" w:cs="仿宋"/>
                <w:color w:val="auto"/>
                <w:sz w:val="24"/>
                <w:highlight w:val="none"/>
              </w:rPr>
            </w:pPr>
          </w:p>
        </w:tc>
        <w:tc>
          <w:tcPr>
            <w:tcW w:w="618" w:type="pct"/>
            <w:noWrap w:val="0"/>
            <w:vAlign w:val="center"/>
          </w:tcPr>
          <w:p w14:paraId="3CA09F8D">
            <w:pPr>
              <w:spacing w:line="336" w:lineRule="auto"/>
              <w:jc w:val="center"/>
              <w:rPr>
                <w:rFonts w:ascii="仿宋" w:hAnsi="仿宋" w:eastAsia="仿宋" w:cs="仿宋"/>
                <w:color w:val="auto"/>
                <w:sz w:val="24"/>
                <w:highlight w:val="none"/>
              </w:rPr>
            </w:pPr>
          </w:p>
        </w:tc>
      </w:tr>
      <w:tr w14:paraId="6DEE4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3" w:type="pct"/>
            <w:noWrap w:val="0"/>
            <w:vAlign w:val="center"/>
          </w:tcPr>
          <w:p w14:paraId="78595878">
            <w:pPr>
              <w:spacing w:line="336" w:lineRule="auto"/>
              <w:jc w:val="center"/>
              <w:rPr>
                <w:rFonts w:ascii="仿宋" w:hAnsi="仿宋" w:eastAsia="仿宋" w:cs="仿宋"/>
                <w:color w:val="auto"/>
                <w:sz w:val="24"/>
                <w:highlight w:val="none"/>
              </w:rPr>
            </w:pPr>
          </w:p>
        </w:tc>
        <w:tc>
          <w:tcPr>
            <w:tcW w:w="284" w:type="pct"/>
            <w:noWrap w:val="0"/>
            <w:vAlign w:val="center"/>
          </w:tcPr>
          <w:p w14:paraId="1FCDA87A">
            <w:pPr>
              <w:snapToGrid w:val="0"/>
              <w:spacing w:line="336" w:lineRule="auto"/>
              <w:jc w:val="center"/>
              <w:rPr>
                <w:rFonts w:ascii="仿宋" w:hAnsi="仿宋" w:eastAsia="仿宋" w:cs="仿宋"/>
                <w:color w:val="auto"/>
                <w:sz w:val="24"/>
                <w:highlight w:val="none"/>
              </w:rPr>
            </w:pPr>
          </w:p>
        </w:tc>
        <w:tc>
          <w:tcPr>
            <w:tcW w:w="656" w:type="pct"/>
            <w:noWrap w:val="0"/>
            <w:vAlign w:val="center"/>
          </w:tcPr>
          <w:p w14:paraId="39C11A9E">
            <w:pPr>
              <w:snapToGrid w:val="0"/>
              <w:spacing w:line="336" w:lineRule="auto"/>
              <w:jc w:val="center"/>
              <w:rPr>
                <w:rFonts w:ascii="仿宋" w:hAnsi="仿宋" w:eastAsia="仿宋" w:cs="仿宋"/>
                <w:color w:val="auto"/>
                <w:sz w:val="24"/>
                <w:highlight w:val="none"/>
              </w:rPr>
            </w:pPr>
          </w:p>
        </w:tc>
        <w:tc>
          <w:tcPr>
            <w:tcW w:w="703" w:type="pct"/>
            <w:noWrap w:val="0"/>
            <w:vAlign w:val="center"/>
          </w:tcPr>
          <w:p w14:paraId="4C32A5E8">
            <w:pPr>
              <w:snapToGrid w:val="0"/>
              <w:spacing w:line="336" w:lineRule="auto"/>
              <w:jc w:val="center"/>
              <w:rPr>
                <w:rFonts w:ascii="仿宋" w:hAnsi="仿宋" w:eastAsia="仿宋" w:cs="仿宋"/>
                <w:color w:val="auto"/>
                <w:sz w:val="24"/>
                <w:highlight w:val="none"/>
              </w:rPr>
            </w:pPr>
          </w:p>
        </w:tc>
        <w:tc>
          <w:tcPr>
            <w:tcW w:w="656" w:type="pct"/>
            <w:noWrap w:val="0"/>
            <w:vAlign w:val="center"/>
          </w:tcPr>
          <w:p w14:paraId="13199A79">
            <w:pPr>
              <w:snapToGrid w:val="0"/>
              <w:spacing w:line="336" w:lineRule="auto"/>
              <w:jc w:val="center"/>
              <w:rPr>
                <w:rFonts w:ascii="仿宋" w:hAnsi="仿宋" w:eastAsia="仿宋" w:cs="仿宋"/>
                <w:color w:val="auto"/>
                <w:sz w:val="24"/>
                <w:highlight w:val="none"/>
              </w:rPr>
            </w:pPr>
          </w:p>
        </w:tc>
        <w:tc>
          <w:tcPr>
            <w:tcW w:w="614" w:type="pct"/>
            <w:noWrap w:val="0"/>
            <w:vAlign w:val="center"/>
          </w:tcPr>
          <w:p w14:paraId="7093965B">
            <w:pPr>
              <w:spacing w:line="336" w:lineRule="auto"/>
              <w:jc w:val="center"/>
              <w:rPr>
                <w:rFonts w:ascii="仿宋" w:hAnsi="仿宋" w:eastAsia="仿宋" w:cs="仿宋"/>
                <w:color w:val="auto"/>
                <w:sz w:val="24"/>
                <w:highlight w:val="none"/>
              </w:rPr>
            </w:pPr>
          </w:p>
        </w:tc>
        <w:tc>
          <w:tcPr>
            <w:tcW w:w="614" w:type="pct"/>
            <w:noWrap w:val="0"/>
            <w:vAlign w:val="top"/>
          </w:tcPr>
          <w:p w14:paraId="2CFC10CC">
            <w:pPr>
              <w:spacing w:line="336" w:lineRule="auto"/>
              <w:jc w:val="center"/>
              <w:rPr>
                <w:rFonts w:ascii="仿宋" w:hAnsi="仿宋" w:eastAsia="仿宋" w:cs="仿宋"/>
                <w:color w:val="auto"/>
                <w:sz w:val="24"/>
                <w:highlight w:val="none"/>
              </w:rPr>
            </w:pPr>
          </w:p>
        </w:tc>
        <w:tc>
          <w:tcPr>
            <w:tcW w:w="619" w:type="pct"/>
            <w:noWrap w:val="0"/>
            <w:vAlign w:val="center"/>
          </w:tcPr>
          <w:p w14:paraId="3D5C6DBC">
            <w:pPr>
              <w:spacing w:line="336" w:lineRule="auto"/>
              <w:jc w:val="center"/>
              <w:rPr>
                <w:rFonts w:ascii="仿宋" w:hAnsi="仿宋" w:eastAsia="仿宋" w:cs="仿宋"/>
                <w:color w:val="auto"/>
                <w:sz w:val="24"/>
                <w:highlight w:val="none"/>
              </w:rPr>
            </w:pPr>
          </w:p>
        </w:tc>
        <w:tc>
          <w:tcPr>
            <w:tcW w:w="618" w:type="pct"/>
            <w:noWrap w:val="0"/>
            <w:vAlign w:val="center"/>
          </w:tcPr>
          <w:p w14:paraId="6D257722">
            <w:pPr>
              <w:spacing w:line="336" w:lineRule="auto"/>
              <w:jc w:val="center"/>
              <w:rPr>
                <w:rFonts w:ascii="仿宋" w:hAnsi="仿宋" w:eastAsia="仿宋" w:cs="仿宋"/>
                <w:color w:val="auto"/>
                <w:sz w:val="24"/>
                <w:highlight w:val="none"/>
              </w:rPr>
            </w:pPr>
          </w:p>
        </w:tc>
      </w:tr>
      <w:tr w14:paraId="46F14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7" w:type="pct"/>
            <w:gridSpan w:val="4"/>
            <w:noWrap w:val="0"/>
            <w:vAlign w:val="center"/>
          </w:tcPr>
          <w:p w14:paraId="6B314C70">
            <w:pPr>
              <w:spacing w:line="336"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磋商报价（小写）</w:t>
            </w:r>
          </w:p>
        </w:tc>
        <w:tc>
          <w:tcPr>
            <w:tcW w:w="3122" w:type="pct"/>
            <w:gridSpan w:val="5"/>
            <w:noWrap w:val="0"/>
            <w:vAlign w:val="top"/>
          </w:tcPr>
          <w:p w14:paraId="5ED612EE">
            <w:pPr>
              <w:spacing w:line="336" w:lineRule="auto"/>
              <w:jc w:val="center"/>
              <w:rPr>
                <w:rFonts w:ascii="仿宋" w:hAnsi="仿宋" w:eastAsia="仿宋" w:cs="仿宋"/>
                <w:color w:val="auto"/>
                <w:sz w:val="24"/>
                <w:highlight w:val="none"/>
              </w:rPr>
            </w:pPr>
          </w:p>
        </w:tc>
      </w:tr>
      <w:tr w14:paraId="70DDC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7" w:type="pct"/>
            <w:gridSpan w:val="4"/>
            <w:noWrap w:val="0"/>
            <w:vAlign w:val="center"/>
          </w:tcPr>
          <w:p w14:paraId="584648DA">
            <w:pPr>
              <w:spacing w:line="336"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磋商报价（大写）</w:t>
            </w:r>
          </w:p>
        </w:tc>
        <w:tc>
          <w:tcPr>
            <w:tcW w:w="3122" w:type="pct"/>
            <w:gridSpan w:val="5"/>
            <w:noWrap w:val="0"/>
            <w:vAlign w:val="top"/>
          </w:tcPr>
          <w:p w14:paraId="53F2B3F7">
            <w:pPr>
              <w:spacing w:line="336" w:lineRule="auto"/>
              <w:jc w:val="center"/>
              <w:rPr>
                <w:rFonts w:ascii="仿宋" w:hAnsi="仿宋" w:eastAsia="仿宋" w:cs="仿宋"/>
                <w:color w:val="auto"/>
                <w:sz w:val="24"/>
                <w:highlight w:val="none"/>
              </w:rPr>
            </w:pPr>
          </w:p>
        </w:tc>
      </w:tr>
    </w:tbl>
    <w:p w14:paraId="601B8E66">
      <w:pPr>
        <w:spacing w:line="336" w:lineRule="auto"/>
        <w:ind w:firstLine="7680" w:firstLineChars="3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45E19543">
      <w:pPr>
        <w:snapToGrid/>
        <w:spacing w:line="336" w:lineRule="auto"/>
        <w:ind w:firstLine="7680" w:firstLineChars="3200"/>
        <w:jc w:val="left"/>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rPr>
        <w:t>日期：  年   月   日</w:t>
      </w:r>
    </w:p>
    <w:p w14:paraId="7EC43364">
      <w:pPr>
        <w:snapToGrid w:val="0"/>
        <w:spacing w:line="336" w:lineRule="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5190F4C2">
      <w:pPr>
        <w:spacing w:line="336"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1、供应商需按本表格式填写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磋商文件含有采购人不能接受的附加条件，磋商无效</w:t>
      </w:r>
      <w:r>
        <w:rPr>
          <w:rFonts w:hint="eastAsia" w:ascii="仿宋" w:hAnsi="仿宋" w:eastAsia="仿宋" w:cs="仿宋"/>
          <w:color w:val="auto"/>
          <w:kern w:val="0"/>
          <w:sz w:val="24"/>
          <w:highlight w:val="none"/>
          <w:lang w:val="zh-CN"/>
        </w:rPr>
        <w:t>。</w:t>
      </w:r>
    </w:p>
    <w:p w14:paraId="7BB5E543">
      <w:pPr>
        <w:spacing w:line="336"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采购人将以合同形式有偿取得货物或服务，不接受供应商给予的赠品、回扣或者与采购无关的其他商品、服务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磋商文件含有采购人不能接受的附加条件，磋商无效</w:t>
      </w:r>
      <w:r>
        <w:rPr>
          <w:rFonts w:hint="eastAsia" w:ascii="仿宋" w:hAnsi="仿宋" w:eastAsia="仿宋" w:cs="仿宋"/>
          <w:b/>
          <w:color w:val="auto"/>
          <w:kern w:val="0"/>
          <w:sz w:val="24"/>
          <w:highlight w:val="none"/>
          <w:lang w:val="zh-CN"/>
        </w:rPr>
        <w:t>；采购内容未包含在《开标一览表（报价表）》名称栏中，供应商不能作出合理解释的，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磋商文件含有采购人不能接受的附加条件的，磋商无效。</w:t>
      </w:r>
    </w:p>
    <w:p w14:paraId="6F771B9F">
      <w:pPr>
        <w:snapToGrid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13CD140A">
      <w:pPr>
        <w:snapToGrid w:val="0"/>
        <w:spacing w:line="336"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21B03922">
      <w:pPr>
        <w:spacing w:line="336" w:lineRule="auto"/>
        <w:ind w:firstLine="480" w:firstLineChars="200"/>
        <w:rPr>
          <w:rFonts w:ascii="仿宋" w:hAnsi="仿宋" w:eastAsia="仿宋" w:cs="仿宋"/>
          <w:color w:val="auto"/>
          <w:kern w:val="0"/>
          <w:sz w:val="24"/>
          <w:highlight w:val="none"/>
          <w:u w:val="single"/>
          <w:lang w:val="zh-CN"/>
        </w:rPr>
      </w:pPr>
      <w:r>
        <w:rPr>
          <w:rFonts w:hint="eastAsia" w:ascii="仿宋" w:hAnsi="仿宋" w:eastAsia="仿宋" w:cs="仿宋"/>
          <w:color w:val="auto"/>
          <w:kern w:val="0"/>
          <w:sz w:val="24"/>
          <w:highlight w:val="none"/>
          <w:lang w:val="zh-CN"/>
        </w:rPr>
        <w:t>供虚假材料谋取中标、成交，依照《中华人民共和国政府采购法》等国家有关规定追究相应责任。</w:t>
      </w:r>
    </w:p>
    <w:p w14:paraId="44FC5EF2">
      <w:pPr>
        <w:spacing w:line="336" w:lineRule="auto"/>
        <w:rPr>
          <w:rFonts w:ascii="仿宋" w:hAnsi="仿宋" w:eastAsia="仿宋" w:cs="仿宋"/>
          <w:color w:val="auto"/>
          <w:sz w:val="24"/>
          <w:highlight w:val="none"/>
        </w:rPr>
      </w:pPr>
    </w:p>
    <w:p w14:paraId="60544D1F">
      <w:pPr>
        <w:spacing w:line="336" w:lineRule="auto"/>
        <w:rPr>
          <w:rFonts w:ascii="仿宋" w:hAnsi="仿宋" w:eastAsia="仿宋" w:cs="仿宋"/>
          <w:color w:val="auto"/>
          <w:sz w:val="24"/>
          <w:highlight w:val="none"/>
        </w:rPr>
      </w:pPr>
    </w:p>
    <w:p w14:paraId="331E171B">
      <w:pPr>
        <w:widowControl/>
        <w:adjustRightInd/>
        <w:spacing w:line="336" w:lineRule="auto"/>
        <w:jc w:val="left"/>
        <w:rPr>
          <w:rFonts w:ascii="仿宋" w:hAnsi="仿宋" w:eastAsia="仿宋" w:cs="仿宋"/>
          <w:color w:val="auto"/>
          <w:kern w:val="0"/>
          <w:sz w:val="24"/>
          <w:highlight w:val="none"/>
          <w:lang w:val="zh-CN"/>
        </w:rPr>
        <w:sectPr>
          <w:pgSz w:w="16838" w:h="11906" w:orient="landscape"/>
          <w:pgMar w:top="1814" w:right="1474" w:bottom="1814" w:left="1474" w:header="851" w:footer="992" w:gutter="0"/>
          <w:cols w:space="720" w:num="1"/>
          <w:titlePg/>
          <w:docGrid w:linePitch="312" w:charSpace="0"/>
        </w:sectPr>
      </w:pPr>
    </w:p>
    <w:p w14:paraId="0E700EB5">
      <w:pPr>
        <w:widowControl/>
        <w:adjustRightInd/>
        <w:spacing w:line="336" w:lineRule="auto"/>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（二）中小企业声明函</w:t>
      </w:r>
      <w:bookmarkStart w:id="177" w:name="_Toc465665161"/>
      <w:r>
        <w:rPr>
          <w:rFonts w:hint="eastAsia" w:ascii="仿宋" w:hAnsi="仿宋" w:eastAsia="仿宋" w:cs="仿宋"/>
          <w:b/>
          <w:color w:val="auto"/>
          <w:sz w:val="32"/>
          <w:szCs w:val="32"/>
          <w:highlight w:val="none"/>
        </w:rPr>
        <w:t>（如有）</w:t>
      </w:r>
    </w:p>
    <w:p w14:paraId="3D776D03">
      <w:pPr>
        <w:widowControl/>
        <w:spacing w:line="336" w:lineRule="auto"/>
        <w:ind w:firstLine="120" w:firstLineChars="50"/>
        <w:jc w:val="left"/>
        <w:rPr>
          <w:rFonts w:ascii="仿宋" w:hAnsi="仿宋" w:eastAsia="仿宋" w:cs="仿宋"/>
          <w:b/>
          <w:color w:val="auto"/>
          <w:sz w:val="24"/>
          <w:highlight w:val="none"/>
        </w:rPr>
      </w:pPr>
    </w:p>
    <w:p w14:paraId="400103D8">
      <w:pPr>
        <w:widowControl/>
        <w:spacing w:line="336"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w:t>
      </w:r>
      <w:r>
        <w:rPr>
          <w:rFonts w:hint="eastAsia" w:ascii="仿宋" w:hAnsi="仿宋" w:eastAsia="仿宋" w:cs="仿宋"/>
          <w:b/>
          <w:bCs/>
          <w:color w:val="auto"/>
          <w:sz w:val="24"/>
          <w:highlight w:val="none"/>
        </w:rPr>
        <w:t>竞争性磋商邀请公告</w:t>
      </w:r>
      <w:r>
        <w:rPr>
          <w:rFonts w:hint="eastAsia" w:ascii="仿宋" w:hAnsi="仿宋" w:eastAsia="仿宋" w:cs="仿宋"/>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0B96CEA9">
      <w:pPr>
        <w:widowControl/>
        <w:spacing w:line="336" w:lineRule="auto"/>
        <w:ind w:firstLine="120" w:firstLineChars="50"/>
        <w:jc w:val="left"/>
        <w:rPr>
          <w:rFonts w:hint="eastAsia" w:ascii="仿宋" w:hAnsi="仿宋" w:eastAsia="仿宋" w:cs="仿宋"/>
          <w:b/>
          <w:color w:val="auto"/>
          <w:sz w:val="24"/>
          <w:highlight w:val="none"/>
        </w:rPr>
      </w:pPr>
    </w:p>
    <w:p w14:paraId="2B23A7E6">
      <w:pPr>
        <w:pStyle w:val="2"/>
        <w:rPr>
          <w:rFonts w:hint="eastAsia" w:ascii="仿宋" w:hAnsi="仿宋" w:eastAsia="仿宋" w:cs="仿宋"/>
          <w:b/>
          <w:color w:val="auto"/>
          <w:sz w:val="24"/>
          <w:highlight w:val="none"/>
        </w:rPr>
      </w:pPr>
    </w:p>
    <w:p w14:paraId="14604FA1">
      <w:pPr>
        <w:pStyle w:val="24"/>
        <w:rPr>
          <w:rFonts w:hint="eastAsia" w:ascii="仿宋" w:hAnsi="仿宋" w:eastAsia="仿宋" w:cs="仿宋"/>
          <w:b/>
          <w:color w:val="auto"/>
          <w:sz w:val="24"/>
          <w:highlight w:val="none"/>
        </w:rPr>
      </w:pPr>
    </w:p>
    <w:p w14:paraId="29A71E14">
      <w:pPr>
        <w:rPr>
          <w:rFonts w:hint="eastAsia" w:ascii="仿宋" w:hAnsi="仿宋" w:eastAsia="仿宋" w:cs="仿宋"/>
          <w:b/>
          <w:color w:val="auto"/>
          <w:sz w:val="24"/>
          <w:highlight w:val="none"/>
        </w:rPr>
      </w:pPr>
    </w:p>
    <w:p w14:paraId="2BD286B4">
      <w:pPr>
        <w:pStyle w:val="2"/>
        <w:rPr>
          <w:rFonts w:hint="eastAsia"/>
          <w:color w:val="auto"/>
          <w:highlight w:val="none"/>
        </w:rPr>
      </w:pPr>
    </w:p>
    <w:p w14:paraId="35DCF8E7">
      <w:pPr>
        <w:widowControl/>
        <w:spacing w:line="336" w:lineRule="auto"/>
        <w:ind w:firstLine="161" w:firstLineChars="50"/>
        <w:jc w:val="center"/>
        <w:rPr>
          <w:rFonts w:ascii="仿宋" w:hAnsi="仿宋" w:eastAsia="仿宋" w:cs="仿宋"/>
          <w:b/>
          <w:color w:val="auto"/>
          <w:sz w:val="24"/>
          <w:highlight w:val="none"/>
        </w:rPr>
      </w:pPr>
      <w:r>
        <w:rPr>
          <w:rFonts w:hint="eastAsia" w:ascii="仿宋" w:hAnsi="仿宋" w:eastAsia="仿宋" w:cs="仿宋"/>
          <w:b/>
          <w:color w:val="auto"/>
          <w:sz w:val="32"/>
          <w:szCs w:val="32"/>
          <w:highlight w:val="none"/>
          <w:lang w:eastAsia="zh-CN"/>
        </w:rPr>
        <w:t>（三）</w:t>
      </w:r>
      <w:r>
        <w:rPr>
          <w:rFonts w:hint="eastAsia" w:ascii="仿宋" w:hAnsi="仿宋" w:eastAsia="仿宋" w:cs="仿宋"/>
          <w:b/>
          <w:color w:val="auto"/>
          <w:sz w:val="32"/>
          <w:szCs w:val="32"/>
          <w:highlight w:val="none"/>
        </w:rPr>
        <w:t>残疾人福利性单位声明函（如有）</w:t>
      </w:r>
    </w:p>
    <w:p w14:paraId="35204860">
      <w:pPr>
        <w:widowControl/>
        <w:spacing w:line="336" w:lineRule="auto"/>
        <w:ind w:firstLine="361" w:firstLineChars="150"/>
        <w:jc w:val="left"/>
        <w:rPr>
          <w:rFonts w:ascii="仿宋" w:hAnsi="仿宋" w:eastAsia="仿宋" w:cs="仿宋"/>
          <w:b/>
          <w:color w:val="auto"/>
          <w:sz w:val="24"/>
          <w:highlight w:val="none"/>
        </w:rPr>
      </w:pPr>
      <w:r>
        <w:rPr>
          <w:rFonts w:hint="eastAsia" w:ascii="仿宋" w:hAnsi="仿宋" w:eastAsia="仿宋" w:cs="仿宋"/>
          <w:b/>
          <w:color w:val="auto"/>
          <w:sz w:val="24"/>
          <w:highlight w:val="none"/>
        </w:rPr>
        <w:t>[符合条件的残疾人福利性单位，提供残疾人福利性单位声明函(附件</w:t>
      </w: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eastAsia="zh-CN"/>
        </w:rPr>
        <w:t>否</w:t>
      </w:r>
      <w:r>
        <w:rPr>
          <w:rFonts w:hint="eastAsia" w:ascii="仿宋" w:hAnsi="仿宋" w:eastAsia="仿宋" w:cs="仿宋"/>
          <w:b/>
          <w:color w:val="auto"/>
          <w:sz w:val="24"/>
          <w:highlight w:val="none"/>
        </w:rPr>
        <w:t>则不需要提供。]</w:t>
      </w:r>
    </w:p>
    <w:p w14:paraId="33983030">
      <w:pPr>
        <w:widowControl/>
        <w:adjustRightInd/>
        <w:spacing w:line="336" w:lineRule="auto"/>
        <w:jc w:val="center"/>
        <w:rPr>
          <w:rFonts w:ascii="仿宋" w:hAnsi="仿宋" w:eastAsia="仿宋" w:cs="仿宋"/>
          <w:color w:val="auto"/>
          <w:sz w:val="24"/>
          <w:highlight w:val="none"/>
        </w:rPr>
      </w:pPr>
    </w:p>
    <w:p w14:paraId="7BDCC895">
      <w:pPr>
        <w:widowControl/>
        <w:adjustRightInd/>
        <w:spacing w:line="336" w:lineRule="auto"/>
        <w:jc w:val="left"/>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669D9DC3">
      <w:pPr>
        <w:pStyle w:val="3"/>
        <w:keepNext w:val="0"/>
        <w:keepLines w:val="0"/>
        <w:pageBreakBefore/>
        <w:widowControl/>
        <w:numPr>
          <w:ilvl w:val="0"/>
          <w:numId w:val="0"/>
        </w:numPr>
        <w:adjustRightInd/>
        <w:spacing w:before="0" w:after="0" w:line="336" w:lineRule="auto"/>
        <w:jc w:val="center"/>
        <w:rPr>
          <w:rFonts w:ascii="仿宋" w:hAnsi="仿宋" w:eastAsia="仿宋" w:cs="仿宋"/>
          <w:color w:val="auto"/>
          <w:highlight w:val="none"/>
        </w:rPr>
      </w:pPr>
      <w:r>
        <w:rPr>
          <w:rFonts w:hint="eastAsia" w:ascii="仿宋" w:hAnsi="仿宋" w:eastAsia="仿宋" w:cs="仿宋"/>
          <w:color w:val="auto"/>
          <w:highlight w:val="none"/>
        </w:rPr>
        <w:t>附件</w:t>
      </w:r>
      <w:bookmarkEnd w:id="177"/>
    </w:p>
    <w:p w14:paraId="67B24758">
      <w:pPr>
        <w:spacing w:line="336" w:lineRule="auto"/>
        <w:jc w:val="left"/>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66900952">
      <w:pPr>
        <w:spacing w:line="336"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033DA8D0">
      <w:pPr>
        <w:snapToGrid w:val="0"/>
        <w:spacing w:line="336"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310A10A9">
      <w:pPr>
        <w:snapToGrid w:val="0"/>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0DC9E9F3">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70B604C1">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11E8F8E0">
      <w:pPr>
        <w:snapToGrid w:val="0"/>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025F7104">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5FBC294F">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14CC46CE">
      <w:pPr>
        <w:snapToGrid w:val="0"/>
        <w:spacing w:line="336"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381B30FF">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136AF05C">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6FA6149D">
      <w:pPr>
        <w:snapToGrid w:val="0"/>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598C4736">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448877AF">
      <w:pPr>
        <w:snapToGrid w:val="0"/>
        <w:spacing w:line="336"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6C409BB3">
      <w:pPr>
        <w:snapToGrid w:val="0"/>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0B0E8CEA">
      <w:pPr>
        <w:snapToGrid w:val="0"/>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4DA789F9">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4F66C694">
      <w:pPr>
        <w:snapToGrid w:val="0"/>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2B02CBFA">
      <w:pPr>
        <w:snapToGrid w:val="0"/>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3BFD518">
      <w:pPr>
        <w:snapToGrid w:val="0"/>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5768011C">
      <w:pPr>
        <w:snapToGrid w:val="0"/>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w:t>
      </w:r>
    </w:p>
    <w:p w14:paraId="6917D7C5">
      <w:pPr>
        <w:snapToGrid w:val="0"/>
        <w:spacing w:line="336"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678BDE4F">
      <w:pPr>
        <w:snapToGrid w:val="0"/>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786F8ED4">
      <w:pPr>
        <w:spacing w:line="336" w:lineRule="auto"/>
        <w:rPr>
          <w:rFonts w:ascii="仿宋" w:hAnsi="仿宋" w:eastAsia="仿宋" w:cs="仿宋"/>
          <w:color w:val="auto"/>
          <w:sz w:val="24"/>
          <w:highlight w:val="none"/>
        </w:rPr>
      </w:pPr>
    </w:p>
    <w:p w14:paraId="56B8459C">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5C233B3">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385598DC">
      <w:pPr>
        <w:spacing w:line="336" w:lineRule="auto"/>
        <w:rPr>
          <w:rFonts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698FC991">
      <w:pPr>
        <w:widowControl/>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447060F4">
      <w:pPr>
        <w:widowControl/>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0A61A39D">
      <w:pPr>
        <w:widowControl/>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09EE1AD5">
      <w:pPr>
        <w:widowControl/>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42B9A471">
      <w:pPr>
        <w:widowControl/>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7FE8669A">
      <w:pPr>
        <w:widowControl/>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0028D3CB">
      <w:pPr>
        <w:widowControl/>
        <w:spacing w:line="336" w:lineRule="auto"/>
        <w:ind w:firstLine="600" w:firstLineChars="200"/>
        <w:jc w:val="left"/>
        <w:rPr>
          <w:rFonts w:ascii="仿宋" w:hAnsi="仿宋" w:eastAsia="仿宋" w:cs="仿宋"/>
          <w:color w:val="auto"/>
          <w:sz w:val="30"/>
          <w:szCs w:val="30"/>
          <w:highlight w:val="none"/>
        </w:rPr>
      </w:pPr>
    </w:p>
    <w:p w14:paraId="5FB60778">
      <w:pPr>
        <w:spacing w:line="336" w:lineRule="auto"/>
        <w:jc w:val="left"/>
        <w:rPr>
          <w:rFonts w:ascii="仿宋" w:hAnsi="仿宋" w:eastAsia="仿宋" w:cs="仿宋"/>
          <w:b/>
          <w:color w:val="auto"/>
          <w:spacing w:val="6"/>
          <w:sz w:val="32"/>
          <w:szCs w:val="32"/>
          <w:highlight w:val="none"/>
        </w:rPr>
      </w:pPr>
      <w:r>
        <w:rPr>
          <w:rFonts w:hint="eastAsia" w:ascii="仿宋" w:hAnsi="仿宋" w:eastAsia="仿宋" w:cs="仿宋"/>
          <w:b/>
          <w:color w:val="auto"/>
          <w:sz w:val="24"/>
          <w:highlight w:val="none"/>
        </w:rPr>
        <w:br w:type="page"/>
      </w:r>
      <w:r>
        <w:rPr>
          <w:rFonts w:hint="eastAsia" w:ascii="仿宋" w:hAnsi="仿宋" w:eastAsia="仿宋" w:cs="仿宋"/>
          <w:b/>
          <w:color w:val="auto"/>
          <w:spacing w:val="6"/>
          <w:sz w:val="32"/>
          <w:szCs w:val="32"/>
          <w:highlight w:val="none"/>
        </w:rPr>
        <w:t>附件2：投诉书范本及制作说明</w:t>
      </w:r>
    </w:p>
    <w:p w14:paraId="26A32C7B">
      <w:pPr>
        <w:spacing w:line="336" w:lineRule="auto"/>
        <w:jc w:val="center"/>
        <w:rPr>
          <w:rFonts w:ascii="仿宋" w:hAnsi="仿宋" w:eastAsia="仿宋" w:cs="仿宋"/>
          <w:b/>
          <w:color w:val="auto"/>
          <w:sz w:val="24"/>
          <w:highlight w:val="none"/>
        </w:rPr>
      </w:pPr>
    </w:p>
    <w:p w14:paraId="3F46280D">
      <w:pPr>
        <w:spacing w:line="336"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03DAE9D7">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35C6BC50">
      <w:pPr>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51D0DE75">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8A0DE24">
      <w:pPr>
        <w:tabs>
          <w:tab w:val="left" w:pos="6510"/>
        </w:tabs>
        <w:spacing w:line="336"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EDEDE14">
      <w:pPr>
        <w:tabs>
          <w:tab w:val="left" w:pos="6510"/>
        </w:tabs>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2CA8F3FE">
      <w:pPr>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5523EF83">
      <w:pPr>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009AECF2">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51CF92C">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44C3D27">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A859297">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591AA19A">
      <w:pPr>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13AE03BD">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D6F178E">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32767A7">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FB04741">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4B5CABD2">
      <w:pPr>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510C1C55">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34E4223C">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59C3C92">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7CC8DEBD">
      <w:pPr>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0DD17521">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46A7BDF3">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4017596D">
      <w:pPr>
        <w:spacing w:line="336" w:lineRule="auto"/>
        <w:ind w:firstLine="480" w:firstLineChars="200"/>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6666F8C4">
      <w:pPr>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37DF1AF3">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390FD5C3">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6EA7E14B">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4F1AF319">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246CABD">
      <w:pPr>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A7AA9FB">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70A04078">
      <w:pPr>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4E5B6821">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5F57A096">
      <w:pPr>
        <w:spacing w:line="336"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7FAE084E">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1E3073BF">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93C5A2F">
      <w:pPr>
        <w:spacing w:line="336"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6F818232">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14B492E9">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14228DF9">
      <w:pPr>
        <w:spacing w:line="336" w:lineRule="auto"/>
        <w:rPr>
          <w:rFonts w:ascii="仿宋" w:hAnsi="仿宋" w:eastAsia="仿宋" w:cs="仿宋"/>
          <w:b/>
          <w:color w:val="auto"/>
          <w:sz w:val="24"/>
          <w:highlight w:val="none"/>
        </w:rPr>
      </w:pPr>
    </w:p>
    <w:p w14:paraId="244B40D1">
      <w:pPr>
        <w:spacing w:line="336" w:lineRule="auto"/>
        <w:rPr>
          <w:rFonts w:ascii="仿宋" w:hAnsi="仿宋" w:eastAsia="仿宋" w:cs="仿宋"/>
          <w:b/>
          <w:color w:val="auto"/>
          <w:sz w:val="24"/>
          <w:highlight w:val="none"/>
        </w:rPr>
      </w:pPr>
    </w:p>
    <w:p w14:paraId="5AB90243">
      <w:pPr>
        <w:spacing w:line="336"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44CB1363">
      <w:pPr>
        <w:widowControl/>
        <w:spacing w:line="336"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2C624013">
      <w:pPr>
        <w:widowControl/>
        <w:spacing w:line="336"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63C75BF7">
      <w:pPr>
        <w:widowControl/>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62E69409">
      <w:pPr>
        <w:widowControl/>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1A26F6C1">
      <w:pPr>
        <w:widowControl/>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707E0BAC">
      <w:pPr>
        <w:widowControl/>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5AA2DE0B">
      <w:pPr>
        <w:widowControl/>
        <w:spacing w:line="336"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1B639F21">
      <w:pPr>
        <w:spacing w:line="336" w:lineRule="auto"/>
        <w:rPr>
          <w:rFonts w:ascii="仿宋" w:hAnsi="仿宋" w:eastAsia="仿宋" w:cs="仿宋"/>
          <w:b/>
          <w:color w:val="auto"/>
          <w:sz w:val="24"/>
          <w:highlight w:val="none"/>
        </w:rPr>
      </w:pPr>
    </w:p>
    <w:p w14:paraId="58EFAAEF">
      <w:pPr>
        <w:widowControl/>
        <w:adjustRightInd/>
        <w:spacing w:line="336"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155C18B1">
      <w:pPr>
        <w:spacing w:line="336" w:lineRule="auto"/>
        <w:rPr>
          <w:rFonts w:ascii="仿宋" w:hAnsi="仿宋" w:eastAsia="仿宋" w:cs="仿宋"/>
          <w:b/>
          <w:color w:val="auto"/>
          <w:spacing w:val="6"/>
          <w:sz w:val="32"/>
          <w:szCs w:val="32"/>
          <w:highlight w:val="none"/>
        </w:rPr>
      </w:pPr>
    </w:p>
    <w:p w14:paraId="49A096AA">
      <w:pPr>
        <w:spacing w:line="336" w:lineRule="auto"/>
        <w:ind w:firstLine="480" w:firstLineChars="200"/>
        <w:rPr>
          <w:rFonts w:ascii="仿宋" w:hAnsi="仿宋" w:eastAsia="仿宋" w:cs="仿宋"/>
          <w:color w:val="auto"/>
          <w:sz w:val="24"/>
          <w:highlight w:val="none"/>
        </w:rPr>
      </w:pPr>
    </w:p>
    <w:p w14:paraId="5F8622D9">
      <w:pPr>
        <w:autoSpaceDE w:val="0"/>
        <w:autoSpaceDN w:val="0"/>
        <w:spacing w:line="336" w:lineRule="auto"/>
        <w:jc w:val="center"/>
        <w:rPr>
          <w:rFonts w:ascii="仿宋" w:hAnsi="仿宋" w:eastAsia="仿宋" w:cs="仿宋"/>
          <w:b/>
          <w:bCs/>
          <w:color w:val="auto"/>
          <w:sz w:val="32"/>
          <w:szCs w:val="32"/>
          <w:highlight w:val="none"/>
        </w:rPr>
      </w:pPr>
      <w:r>
        <w:rPr>
          <w:rFonts w:hint="eastAsia" w:ascii="仿宋" w:hAnsi="仿宋" w:eastAsia="仿宋" w:cs="仿宋"/>
          <w:b/>
          <w:color w:val="auto"/>
          <w:sz w:val="32"/>
          <w:szCs w:val="32"/>
          <w:highlight w:val="none"/>
        </w:rPr>
        <w:t>附件3：</w:t>
      </w:r>
      <w:r>
        <w:rPr>
          <w:rFonts w:hint="eastAsia" w:ascii="仿宋" w:hAnsi="仿宋" w:eastAsia="仿宋" w:cs="仿宋"/>
          <w:b/>
          <w:bCs/>
          <w:color w:val="auto"/>
          <w:sz w:val="32"/>
          <w:szCs w:val="32"/>
          <w:highlight w:val="none"/>
        </w:rPr>
        <w:t>业务专用章使用说明函</w:t>
      </w:r>
    </w:p>
    <w:p w14:paraId="306DE324">
      <w:pPr>
        <w:autoSpaceDE w:val="0"/>
        <w:autoSpaceDN w:val="0"/>
        <w:spacing w:line="336" w:lineRule="auto"/>
        <w:jc w:val="center"/>
        <w:rPr>
          <w:rFonts w:ascii="仿宋" w:hAnsi="仿宋" w:eastAsia="仿宋" w:cs="仿宋"/>
          <w:b/>
          <w:bCs/>
          <w:color w:val="auto"/>
          <w:sz w:val="32"/>
          <w:szCs w:val="32"/>
          <w:highlight w:val="none"/>
        </w:rPr>
      </w:pPr>
    </w:p>
    <w:p w14:paraId="05A5A31E">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2CFF359D">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(供应商全称)是中华人民共和国依法登记注册的合法企业，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贵方组织的（项目名称）【项目编号：（采购编号）】</w:t>
      </w:r>
      <w:r>
        <w:rPr>
          <w:rFonts w:hint="eastAsia" w:ascii="仿宋" w:hAnsi="仿宋" w:eastAsia="仿宋" w:cs="仿宋"/>
          <w:bCs/>
          <w:color w:val="auto"/>
          <w:sz w:val="24"/>
          <w:highlight w:val="none"/>
        </w:rPr>
        <w:t>采购活动中作如下说明：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2D63C4FA">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特此说明。</w:t>
      </w:r>
    </w:p>
    <w:p w14:paraId="75A82345">
      <w:pPr>
        <w:spacing w:line="336" w:lineRule="auto"/>
        <w:ind w:firstLine="494"/>
        <w:rPr>
          <w:rFonts w:ascii="仿宋" w:hAnsi="仿宋" w:eastAsia="仿宋" w:cs="仿宋"/>
          <w:color w:val="auto"/>
          <w:sz w:val="24"/>
          <w:highlight w:val="none"/>
        </w:rPr>
      </w:pPr>
    </w:p>
    <w:p w14:paraId="10E2B648">
      <w:pPr>
        <w:spacing w:line="336" w:lineRule="auto"/>
        <w:ind w:firstLine="494"/>
        <w:rPr>
          <w:rFonts w:ascii="仿宋" w:hAnsi="仿宋" w:eastAsia="仿宋" w:cs="仿宋"/>
          <w:color w:val="auto"/>
          <w:sz w:val="24"/>
          <w:highlight w:val="none"/>
        </w:rPr>
      </w:pPr>
    </w:p>
    <w:p w14:paraId="530F5D8D">
      <w:pPr>
        <w:spacing w:line="336" w:lineRule="auto"/>
        <w:ind w:firstLine="494"/>
        <w:rPr>
          <w:rFonts w:ascii="仿宋" w:hAnsi="仿宋" w:eastAsia="仿宋" w:cs="仿宋"/>
          <w:color w:val="auto"/>
          <w:sz w:val="24"/>
          <w:highlight w:val="none"/>
        </w:rPr>
      </w:pPr>
    </w:p>
    <w:p w14:paraId="4A0B3EE8">
      <w:pPr>
        <w:spacing w:line="336" w:lineRule="auto"/>
        <w:ind w:firstLine="494"/>
        <w:rPr>
          <w:rFonts w:ascii="仿宋" w:hAnsi="仿宋" w:eastAsia="仿宋" w:cs="仿宋"/>
          <w:color w:val="auto"/>
          <w:sz w:val="24"/>
          <w:highlight w:val="none"/>
        </w:rPr>
      </w:pPr>
    </w:p>
    <w:p w14:paraId="4494DE37">
      <w:pPr>
        <w:spacing w:line="336"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63F3CE7B">
      <w:pPr>
        <w:spacing w:line="336" w:lineRule="auto"/>
        <w:ind w:firstLine="4680" w:firstLineChars="1950"/>
        <w:rPr>
          <w:rFonts w:ascii="仿宋" w:hAnsi="仿宋" w:eastAsia="仿宋" w:cs="仿宋"/>
          <w:color w:val="auto"/>
          <w:sz w:val="24"/>
          <w:highlight w:val="none"/>
        </w:rPr>
      </w:pPr>
      <w:r>
        <w:rPr>
          <w:rFonts w:hint="eastAsia" w:ascii="仿宋" w:hAnsi="仿宋" w:eastAsia="仿宋" w:cs="仿宋"/>
          <w:color w:val="auto"/>
          <w:sz w:val="24"/>
          <w:highlight w:val="none"/>
        </w:rPr>
        <w:t>日 期：</w:t>
      </w:r>
    </w:p>
    <w:p w14:paraId="4E1B6FD1">
      <w:pPr>
        <w:spacing w:line="336" w:lineRule="auto"/>
        <w:rPr>
          <w:rFonts w:ascii="仿宋" w:hAnsi="仿宋" w:eastAsia="仿宋" w:cs="仿宋"/>
          <w:color w:val="auto"/>
          <w:sz w:val="24"/>
          <w:highlight w:val="none"/>
        </w:rPr>
      </w:pPr>
      <w:r>
        <w:rPr>
          <w:rFonts w:hint="eastAsia" w:ascii="仿宋" w:hAnsi="仿宋" w:eastAsia="仿宋" w:cs="仿宋"/>
          <w:b/>
          <w:bCs/>
          <w:color w:val="auto"/>
          <w:sz w:val="24"/>
          <w:highlight w:val="none"/>
        </w:rPr>
        <w:t>附：</w:t>
      </w:r>
    </w:p>
    <w:p w14:paraId="385A67FC">
      <w:pPr>
        <w:spacing w:line="336" w:lineRule="auto"/>
        <w:rPr>
          <w:rFonts w:ascii="仿宋" w:hAnsi="仿宋" w:eastAsia="仿宋" w:cs="仿宋"/>
          <w:bCs/>
          <w:color w:val="auto"/>
          <w:sz w:val="24"/>
          <w:highlight w:val="none"/>
        </w:rPr>
      </w:pPr>
      <w:r>
        <w:rPr>
          <w:rFonts w:ascii="仿宋" w:hAnsi="仿宋" w:eastAsia="仿宋" w:cs="仿宋"/>
          <w:color w:val="auto"/>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1026"/>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vert="horz" wrap="square" anchor="t" anchorCtr="0" upright="1"/>
                    </wps:wsp>
                  </a:graphicData>
                </a:graphic>
              </wp:anchor>
            </w:drawing>
          </mc:Choice>
          <mc:Fallback>
            <w:pict>
              <v:rect id="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HOySiw8CAABcBAAADgAAAGRycy9lMm9Eb2MueG1srVRN&#10;k9MwDL0zw3/w+E6Thm2BTNM9bCkXBnZm4QeojpN4xl/IbtPy65GdUroLhx7IIZFt+UnvScrq/mg0&#10;O0gMytmGz2clZ9IK1yrbN/z7t+2b95yFCLYF7axs+EkGfr9+/Wo1+lpWbnC6lcgIxIZ69A0fYvR1&#10;UQQxSANh5ry0dNg5NBBpiX3RIoyEbnRRleWyGB22Hp2QIdDuZjrkZ0S8BdB1nRJy48TeSBsnVJQa&#10;IlEKg/KBr3O2XSdF/Np1QUamG05MY35TELJ36V2sV1D3CH5Q4pwC3JLCC04GlKWgF6gNRGB7VH9B&#10;GSXQBdfFmXCmmIhkRYjFvHyhzdMAXmYuJHXwF9HD/4MVXw6PyFRLncCZBUMFn5fVMuky+lDT8ZN/&#10;xPMqkJlIHjs06Uvps2PW8nTRUh4jE7RZvSvv7pYLzgSdVdXi7XK+SKjFn+seQ/wknWHJaDhSsbKG&#10;cPgc4uT62yVFC06rdqu0zgvsdw8a2QGosNv8nNGfuWnLxoZ/WFQpEaBu7ahLyDSeGAfb53jPboRr&#10;4DI//wJOiW0gDFMCGSG5QW1UlJitQUL70bYsnjypammYeErGyJYzLWn2kpU9Iyh9iydpp20KInNn&#10;n1VKdZoqk6yda09UURpwknRw+JOCUnsT2x97QEoBrKDthpMMk/kQp3nYe1T9QLfmmXACo6bLFTsP&#10;SOrq6zXZ1z+F9S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xz/jB2AAAAAoBAAAPAAAAAAAAAAEA&#10;IAAAACIAAABkcnMvZG93bnJldi54bWxQSwECFAAUAAAACACHTuJAHOySiw8CAABcBAAADgAAAAAA&#10;AAABACAAAAAnAQAAZHJzL2Uyb0RvYy54bWxQSwUGAAAAAAYABgBZAQAAqAUAAAAA&#10;">
                <v:fill on="t" focussize="0,0"/>
                <v:stroke color="#000000" joinstyle="miter"/>
                <v:imagedata o:title=""/>
                <o:lock v:ext="edit" aspectratio="f"/>
              </v:rect>
            </w:pict>
          </mc:Fallback>
        </mc:AlternateContent>
      </w:r>
      <w:r>
        <w:rPr>
          <w:rFonts w:ascii="仿宋" w:hAnsi="仿宋" w:eastAsia="仿宋" w:cs="仿宋"/>
          <w:color w:val="auto"/>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1027"/>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vert="horz" wrap="square" anchor="t" anchorCtr="0" upright="1"/>
                    </wps:wsp>
                  </a:graphicData>
                </a:graphic>
              </wp:anchor>
            </w:drawing>
          </mc:Choice>
          <mc:Fallback>
            <w:pict>
              <v:rect id="1027"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0vl9xhECAABcBAAADgAAAGRycy9lMm9Eb2MueG1srVRN&#10;c9MwEL0zw3/Q6E7sGNJST5weGsKFgc4UfsBGlm3N6IuVEif8elZyGtLCIQd8sFfS6u2+t7te3h+M&#10;ZnuJQTnb8Pms5Exa4Vpl+4b/+L5595GzEMG2oJ2VDT/KwO9Xb98sR1/Lyg1OtxIZgdhQj77hQ4y+&#10;LoogBmkgzJyXlg47hwYiLbEvWoSR0I0uqrK8KUaHrUcnZAi0u54O+QkRrwF0XaeEXDuxM9LGCRWl&#10;hkiUwqB84KucbddJEb91XZCR6YYT05jfFITsbXoXqyXUPYIflDilANek8IqTAWUp6BlqDRHYDtVf&#10;UEYJdMF1cSacKSYiWRFiMS9fafM0gJeZC0kd/Fn08P9gxdf9IzLVNrzizIKhgs/L6jbpMvpQ0/GT&#10;f8TTKpCZSB46NOlL6bND1vJ41lIeIhO0Wd18uL1bkMyCzqpq8f5mvkioxZ/rHkP8LJ1hyWg4UrGy&#10;hrD/EuLk+uySogWnVbtRWucF9tsHjWwPVNhNfk7oL9y0ZWPD7xbVghIB6taOuoRM44lxsH2O9+JG&#10;uAQu8/Mv4JTYGsIwJZARkhvURkWJ2RoktJ9sy+LRk6qWhomnZIxsOdOSZi9Z2TOC0td4knbapiAy&#10;d/ZJpVSnqTLJ2rr2SBWlASdJB4e/KCi1N7H9uQOkFMAK2m44yTCZD3Gah51H1Q90a54JJzBqulyx&#10;04Ckrr5ck335U1j9B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J3TsFjYAAAACgEAAA8AAAAAAAAA&#10;AQAgAAAAIgAAAGRycy9kb3ducmV2LnhtbFBLAQIUABQAAAAIAIdO4kDS+X3GEQIAAFwEAAAOAAAA&#10;AAAAAAEAIAAAACcBAABkcnMvZTJvRG9jLnhtbFBLBQYAAAAABgAGAFkBAACqBQ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供应商法定名称章（印模）                供应商“XX专用章”（印模）</w:t>
      </w:r>
    </w:p>
    <w:p w14:paraId="0B943B44">
      <w:pPr>
        <w:widowControl/>
        <w:spacing w:line="336" w:lineRule="auto"/>
        <w:ind w:firstLine="480" w:firstLineChars="200"/>
        <w:jc w:val="left"/>
        <w:rPr>
          <w:rFonts w:ascii="仿宋" w:hAnsi="仿宋" w:eastAsia="仿宋" w:cs="仿宋"/>
          <w:color w:val="auto"/>
          <w:kern w:val="0"/>
          <w:sz w:val="24"/>
          <w:highlight w:val="none"/>
        </w:rPr>
      </w:pPr>
    </w:p>
    <w:p w14:paraId="4FB8E5F8">
      <w:pPr>
        <w:snapToGrid w:val="0"/>
        <w:spacing w:line="336" w:lineRule="auto"/>
        <w:jc w:val="center"/>
        <w:rPr>
          <w:rFonts w:ascii="仿宋" w:hAnsi="仿宋" w:eastAsia="仿宋" w:cs="仿宋"/>
          <w:b/>
          <w:color w:val="auto"/>
          <w:sz w:val="24"/>
          <w:highlight w:val="none"/>
        </w:rPr>
      </w:pPr>
    </w:p>
    <w:p w14:paraId="438B2ED0">
      <w:pPr>
        <w:widowControl/>
        <w:adjustRightInd/>
        <w:spacing w:line="336"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58507546">
      <w:pPr>
        <w:autoSpaceDE w:val="0"/>
        <w:autoSpaceDN w:val="0"/>
        <w:spacing w:line="336" w:lineRule="auto"/>
        <w:jc w:val="center"/>
        <w:rPr>
          <w:rFonts w:ascii="仿宋" w:hAnsi="仿宋" w:eastAsia="仿宋" w:cs="仿宋"/>
          <w:b/>
          <w:color w:val="auto"/>
          <w:kern w:val="0"/>
          <w:sz w:val="32"/>
          <w:szCs w:val="32"/>
          <w:highlight w:val="none"/>
          <w:lang w:val="zh-CN"/>
        </w:rPr>
      </w:pPr>
      <w:r>
        <w:rPr>
          <w:rFonts w:hint="eastAsia" w:ascii="仿宋" w:hAnsi="仿宋" w:eastAsia="仿宋" w:cs="仿宋"/>
          <w:b/>
          <w:color w:val="auto"/>
          <w:sz w:val="32"/>
          <w:szCs w:val="32"/>
          <w:highlight w:val="none"/>
        </w:rPr>
        <w:t>附件4：</w:t>
      </w:r>
      <w:r>
        <w:rPr>
          <w:rFonts w:hint="eastAsia" w:ascii="仿宋" w:hAnsi="仿宋" w:eastAsia="仿宋" w:cs="仿宋"/>
          <w:b/>
          <w:color w:val="auto"/>
          <w:kern w:val="0"/>
          <w:sz w:val="32"/>
          <w:szCs w:val="32"/>
          <w:highlight w:val="none"/>
          <w:lang w:val="zh-CN"/>
        </w:rPr>
        <w:t>联合协议</w:t>
      </w:r>
    </w:p>
    <w:p w14:paraId="73CF07DC">
      <w:pPr>
        <w:widowControl/>
        <w:spacing w:line="336"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（以联合体形式磋商的，提供联合协议；本项目不接受联合体磋商或者供应商不以联合体形式磋商的，则不需要提供）</w:t>
      </w:r>
    </w:p>
    <w:p w14:paraId="18194B50">
      <w:pPr>
        <w:snapToGrid w:val="0"/>
        <w:spacing w:line="336" w:lineRule="auto"/>
        <w:jc w:val="center"/>
        <w:rPr>
          <w:rFonts w:ascii="仿宋" w:hAnsi="仿宋" w:eastAsia="仿宋" w:cs="仿宋"/>
          <w:b/>
          <w:color w:val="auto"/>
          <w:kern w:val="0"/>
          <w:sz w:val="32"/>
          <w:szCs w:val="32"/>
          <w:highlight w:val="none"/>
          <w:lang w:val="zh-CN"/>
        </w:rPr>
      </w:pPr>
    </w:p>
    <w:p w14:paraId="44AE811E">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组成一个联合体，以一个供应商的身份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 xml:space="preserve">【项目编号：（采购编号）】响应。 </w:t>
      </w:r>
    </w:p>
    <w:p w14:paraId="7B20DC08">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，代表所有联合体成员负责响应和合同实施阶段的主办、协调工作</w:t>
      </w:r>
      <w:r>
        <w:rPr>
          <w:rFonts w:hint="eastAsia" w:ascii="仿宋" w:hAnsi="仿宋" w:eastAsia="仿宋" w:cs="仿宋"/>
          <w:color w:val="auto"/>
          <w:kern w:val="0"/>
          <w:sz w:val="24"/>
          <w:highlight w:val="none"/>
          <w:lang w:val="zh-CN"/>
        </w:rPr>
        <w:t>。</w:t>
      </w:r>
    </w:p>
    <w:p w14:paraId="2CCF6BCC">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授权代表根据磋商文件规定及采购内容而对采购人、采购代理机构所作的任何合法承诺，包括书面澄清及相应等均对联合体各方产生约束力。</w:t>
      </w:r>
    </w:p>
    <w:p w14:paraId="4B941A63">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三、本次联合响应中，分工如下：</w:t>
      </w:r>
    </w:p>
    <w:p w14:paraId="56C0DE0B">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7DAEEA12">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08993A4F">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6F2B5391">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四、联合体成员中小企业合同份额（如有）。</w:t>
      </w:r>
    </w:p>
    <w:p w14:paraId="131EA6E0">
      <w:pPr>
        <w:snapToGrid w:val="0"/>
        <w:spacing w:line="336" w:lineRule="auto"/>
        <w:ind w:firstLine="576"/>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178" w:name="_Hlk101131882"/>
      <w:r>
        <w:rPr>
          <w:rFonts w:hint="eastAsia" w:ascii="仿宋" w:hAnsi="仿宋" w:eastAsia="仿宋" w:cs="仿宋"/>
          <w:color w:val="auto"/>
          <w:kern w:val="0"/>
          <w:sz w:val="24"/>
          <w:highlight w:val="none"/>
          <w:u w:val="single"/>
        </w:rPr>
        <w:t>联合体成员X,……</w:t>
      </w:r>
      <w:bookmarkEnd w:id="178"/>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179"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179"/>
      <w:r>
        <w:rPr>
          <w:rFonts w:hint="eastAsia" w:ascii="仿宋" w:hAnsi="仿宋" w:eastAsia="仿宋" w:cs="仿宋"/>
          <w:b/>
          <w:color w:val="auto"/>
          <w:kern w:val="0"/>
          <w:sz w:val="24"/>
          <w:highlight w:val="none"/>
          <w:lang w:val="zh-CN"/>
        </w:rPr>
        <w:t>）</w:t>
      </w:r>
    </w:p>
    <w:p w14:paraId="04C027C4">
      <w:pPr>
        <w:spacing w:line="336" w:lineRule="auto"/>
        <w:ind w:firstLine="480" w:firstLineChars="200"/>
        <w:rPr>
          <w:rFonts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180"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180"/>
    </w:p>
    <w:p w14:paraId="74676F6A">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五、如果成交，</w:t>
      </w:r>
      <w:r>
        <w:rPr>
          <w:rFonts w:hint="eastAsia" w:ascii="仿宋" w:hAnsi="仿宋" w:eastAsia="仿宋" w:cs="仿宋"/>
          <w:color w:val="auto"/>
          <w:sz w:val="24"/>
          <w:highlight w:val="none"/>
        </w:rPr>
        <w:t>联合体各成员方共同与采购人签订合同，并就采购合同约定的事项对采购人承担连带责任。</w:t>
      </w:r>
    </w:p>
    <w:p w14:paraId="291CA02D">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六、有关本次联合响应的其他事宜：</w:t>
      </w:r>
    </w:p>
    <w:p w14:paraId="52E5D2F5">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51139D6E">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69CFF085">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658A46C2">
      <w:pPr>
        <w:snapToGrid w:val="0"/>
        <w:spacing w:line="336"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382CE722">
      <w:pPr>
        <w:snapToGrid w:val="0"/>
        <w:spacing w:line="336" w:lineRule="auto"/>
        <w:ind w:firstLine="5040" w:firstLineChars="21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745C9AC3">
      <w:pPr>
        <w:snapToGrid w:val="0"/>
        <w:spacing w:line="336"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3859D8FD">
      <w:pPr>
        <w:snapToGrid w:val="0"/>
        <w:spacing w:line="336" w:lineRule="auto"/>
        <w:jc w:val="righ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17C043E4">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5A476C59">
      <w:pPr>
        <w:widowControl/>
        <w:adjustRightInd/>
        <w:spacing w:line="336" w:lineRule="auto"/>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br w:type="page"/>
      </w:r>
    </w:p>
    <w:p w14:paraId="32B64F8B">
      <w:pPr>
        <w:snapToGrid w:val="0"/>
        <w:spacing w:line="336" w:lineRule="auto"/>
        <w:jc w:val="center"/>
        <w:rPr>
          <w:rFonts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kern w:val="0"/>
          <w:sz w:val="32"/>
          <w:szCs w:val="32"/>
          <w:highlight w:val="none"/>
        </w:rPr>
        <w:t>分包意向协议</w:t>
      </w:r>
    </w:p>
    <w:p w14:paraId="5FC6B2D1">
      <w:pPr>
        <w:widowControl/>
        <w:spacing w:line="336" w:lineRule="auto"/>
        <w:ind w:firstLine="120" w:firstLineChars="5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成交后以分包方式履行合同的，提供分包意向协议；采购人不同意分包或者供应商成交后不以分包方式履行合同的，则不需要提供。</w:t>
      </w:r>
      <w:r>
        <w:rPr>
          <w:rFonts w:hint="eastAsia" w:ascii="仿宋" w:hAnsi="仿宋" w:eastAsia="仿宋" w:cs="仿宋"/>
          <w:color w:val="auto"/>
          <w:sz w:val="24"/>
          <w:highlight w:val="none"/>
        </w:rPr>
        <w:t>）</w:t>
      </w:r>
    </w:p>
    <w:p w14:paraId="11A15E02">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（项目名称）【项目编号：（采购编号）】</w:t>
      </w:r>
      <w:r>
        <w:rPr>
          <w:rFonts w:hint="eastAsia" w:ascii="仿宋" w:hAnsi="仿宋" w:eastAsia="仿宋" w:cs="仿宋"/>
          <w:color w:val="auto"/>
          <w:kern w:val="0"/>
          <w:sz w:val="24"/>
          <w:highlight w:val="none"/>
          <w:lang w:val="zh-CN"/>
        </w:rPr>
        <w:t>的成交供应商，将依法采取分包方式履行合同。</w:t>
      </w: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3563B46C">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0FBAD600">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5563B015">
      <w:pPr>
        <w:pStyle w:val="4"/>
        <w:spacing w:line="336" w:lineRule="auto"/>
        <w:ind w:left="0" w:firstLine="229" w:firstLineChars="95"/>
        <w:rPr>
          <w:rFonts w:ascii="仿宋" w:eastAsia="仿宋" w:cs="仿宋"/>
          <w:color w:val="auto"/>
          <w:kern w:val="0"/>
          <w:sz w:val="24"/>
          <w:szCs w:val="24"/>
          <w:highlight w:val="none"/>
        </w:rPr>
      </w:pPr>
      <w:r>
        <w:rPr>
          <w:rFonts w:hint="eastAsia" w:ascii="仿宋" w:eastAsia="仿宋" w:cs="仿宋"/>
          <w:color w:val="auto"/>
          <w:kern w:val="0"/>
          <w:sz w:val="24"/>
          <w:szCs w:val="24"/>
          <w:highlight w:val="none"/>
        </w:rPr>
        <w:t>……</w:t>
      </w:r>
    </w:p>
    <w:p w14:paraId="145EF9DF">
      <w:pPr>
        <w:spacing w:line="336" w:lineRule="auto"/>
        <w:ind w:firstLine="305"/>
        <w:rPr>
          <w:rFonts w:ascii="仿宋" w:hAnsi="仿宋" w:eastAsia="仿宋" w:cs="仿宋"/>
          <w:color w:val="auto"/>
          <w:highlight w:val="none"/>
        </w:rPr>
      </w:pPr>
      <w:r>
        <w:rPr>
          <w:rFonts w:hint="eastAsia" w:ascii="仿宋" w:hAnsi="仿宋" w:eastAsia="仿宋" w:cs="仿宋"/>
          <w:color w:val="auto"/>
          <w:highlight w:val="none"/>
          <w:lang w:val="zh-CN"/>
        </w:rPr>
        <w:t xml:space="preserve"> </w:t>
      </w:r>
    </w:p>
    <w:p w14:paraId="6958FAA7">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二、分包供应商中小企业合同份额（如有）</w:t>
      </w:r>
    </w:p>
    <w:p w14:paraId="7DA5ACCB">
      <w:pPr>
        <w:snapToGrid w:val="0"/>
        <w:spacing w:line="336" w:lineRule="auto"/>
        <w:ind w:firstLine="576"/>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7CA288EE">
      <w:pPr>
        <w:spacing w:line="336" w:lineRule="auto"/>
        <w:ind w:firstLine="480" w:firstLineChars="200"/>
        <w:rPr>
          <w:rFonts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要求合同分包形式参加的项目或采购包，供应商按磋商文件第一部分竞争性磋商邀请公告申请人的资格要求中规定的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28F69DDC">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761E563B">
      <w:pPr>
        <w:snapToGrid w:val="0"/>
        <w:spacing w:line="336" w:lineRule="auto"/>
        <w:ind w:firstLine="576"/>
        <w:rPr>
          <w:rFonts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130CCCB2">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6D0876D7">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092F66A">
      <w:pPr>
        <w:numPr>
          <w:ilvl w:val="0"/>
          <w:numId w:val="9"/>
        </w:numPr>
        <w:snapToGrid w:val="0"/>
        <w:spacing w:line="336"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价款或者报酬</w:t>
      </w:r>
    </w:p>
    <w:p w14:paraId="2832A25F">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B071809">
      <w:pPr>
        <w:pStyle w:val="4"/>
        <w:numPr>
          <w:ilvl w:val="0"/>
          <w:numId w:val="0"/>
        </w:numPr>
        <w:ind w:left="0" w:firstLine="480" w:firstLineChars="200"/>
        <w:rPr>
          <w:rFonts w:hint="eastAsia" w:eastAsia="仿宋"/>
          <w:b w:val="0"/>
          <w:bCs w:val="0"/>
          <w:color w:val="auto"/>
          <w:highlight w:val="none"/>
          <w:lang w:val="en-US" w:eastAsia="zh-CN"/>
        </w:rPr>
      </w:pPr>
      <w:r>
        <w:rPr>
          <w:rFonts w:hint="eastAsia" w:ascii="仿宋" w:eastAsia="仿宋" w:cs="仿宋"/>
          <w:b w:val="0"/>
          <w:bCs w:val="0"/>
          <w:color w:val="auto"/>
          <w:kern w:val="0"/>
          <w:sz w:val="24"/>
          <w:highlight w:val="none"/>
          <w:lang w:val="zh-CN"/>
        </w:rPr>
        <w:t>六</w:t>
      </w:r>
      <w:r>
        <w:rPr>
          <w:rFonts w:hint="eastAsia" w:ascii="仿宋" w:hAnsi="仿宋" w:eastAsia="仿宋" w:cs="仿宋"/>
          <w:b w:val="0"/>
          <w:bCs w:val="0"/>
          <w:color w:val="auto"/>
          <w:kern w:val="0"/>
          <w:sz w:val="24"/>
          <w:highlight w:val="none"/>
          <w:lang w:val="zh-CN"/>
        </w:rPr>
        <w:t>、违约责任</w:t>
      </w:r>
    </w:p>
    <w:p w14:paraId="15EBAC4E">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035810ED">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32846772">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693FBA59">
      <w:pPr>
        <w:snapToGrid w:val="0"/>
        <w:spacing w:line="336"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1C3BE705">
      <w:pPr>
        <w:snapToGrid w:val="0"/>
        <w:spacing w:line="336" w:lineRule="auto"/>
        <w:ind w:left="5039" w:leftChars="228" w:hanging="4560" w:hangingChars="1900"/>
        <w:jc w:val="left"/>
        <w:rPr>
          <w:rFonts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供应商名称(电子签名)：</w:t>
      </w:r>
    </w:p>
    <w:p w14:paraId="4B0C07A3">
      <w:pPr>
        <w:snapToGrid w:val="0"/>
        <w:spacing w:line="336" w:lineRule="auto"/>
        <w:jc w:val="righ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69300C0B">
      <w:pPr>
        <w:snapToGrid w:val="0"/>
        <w:spacing w:line="336"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0D4B28CE">
      <w:pPr>
        <w:spacing w:line="336" w:lineRule="auto"/>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EB16D90">
      <w:pPr>
        <w:widowControl/>
        <w:adjustRightInd/>
        <w:spacing w:line="336" w:lineRule="auto"/>
        <w:jc w:val="left"/>
        <w:rPr>
          <w:rFonts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337BEAA7">
      <w:pPr>
        <w:spacing w:line="336"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附件6：残疾人福利性单位声明函</w:t>
      </w:r>
    </w:p>
    <w:p w14:paraId="2BC5DBB5">
      <w:pPr>
        <w:spacing w:line="336" w:lineRule="auto"/>
        <w:rPr>
          <w:rFonts w:ascii="仿宋" w:hAnsi="仿宋" w:eastAsia="仿宋" w:cs="仿宋"/>
          <w:b/>
          <w:color w:val="auto"/>
          <w:spacing w:val="6"/>
          <w:sz w:val="30"/>
          <w:szCs w:val="30"/>
          <w:highlight w:val="none"/>
        </w:rPr>
      </w:pPr>
    </w:p>
    <w:p w14:paraId="784E0AF3">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单位的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628D07E7">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431BB4B7">
      <w:pPr>
        <w:spacing w:line="336" w:lineRule="auto"/>
        <w:ind w:firstLine="480" w:firstLineChars="200"/>
        <w:rPr>
          <w:rFonts w:ascii="仿宋" w:hAnsi="仿宋" w:eastAsia="仿宋" w:cs="仿宋"/>
          <w:color w:val="auto"/>
          <w:sz w:val="24"/>
          <w:highlight w:val="none"/>
        </w:rPr>
      </w:pPr>
    </w:p>
    <w:p w14:paraId="3A9F25DE">
      <w:pPr>
        <w:spacing w:line="336" w:lineRule="auto"/>
        <w:ind w:firstLine="480" w:firstLineChars="200"/>
        <w:rPr>
          <w:rFonts w:ascii="仿宋" w:hAnsi="仿宋" w:eastAsia="仿宋" w:cs="仿宋"/>
          <w:color w:val="auto"/>
          <w:sz w:val="24"/>
          <w:highlight w:val="none"/>
        </w:rPr>
      </w:pPr>
    </w:p>
    <w:p w14:paraId="05564AFA">
      <w:pPr>
        <w:spacing w:line="336"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rPr>
        <w:t xml:space="preserve">         供应商名称（电子签名）：</w:t>
      </w:r>
    </w:p>
    <w:p w14:paraId="6CC43CB3">
      <w:pPr>
        <w:spacing w:line="336" w:lineRule="auto"/>
        <w:ind w:firstLine="4680" w:firstLineChars="1950"/>
        <w:rPr>
          <w:rFonts w:ascii="仿宋" w:hAnsi="仿宋" w:eastAsia="仿宋" w:cs="仿宋"/>
          <w:color w:val="auto"/>
          <w:sz w:val="24"/>
          <w:highlight w:val="none"/>
        </w:rPr>
      </w:pPr>
      <w:r>
        <w:rPr>
          <w:rFonts w:hint="eastAsia" w:ascii="仿宋" w:hAnsi="仿宋" w:eastAsia="仿宋" w:cs="仿宋"/>
          <w:color w:val="auto"/>
          <w:sz w:val="24"/>
          <w:highlight w:val="none"/>
        </w:rPr>
        <w:t>日 期：</w:t>
      </w:r>
    </w:p>
    <w:p w14:paraId="01F2470D">
      <w:pPr>
        <w:tabs>
          <w:tab w:val="left" w:pos="4860"/>
        </w:tabs>
        <w:spacing w:line="336" w:lineRule="auto"/>
        <w:ind w:firstLine="480" w:firstLineChars="200"/>
        <w:jc w:val="center"/>
        <w:rPr>
          <w:rFonts w:ascii="仿宋" w:hAnsi="仿宋" w:eastAsia="仿宋" w:cs="仿宋"/>
          <w:color w:val="auto"/>
          <w:sz w:val="24"/>
          <w:highlight w:val="none"/>
        </w:rPr>
      </w:pPr>
    </w:p>
    <w:p w14:paraId="1A7DBE2E">
      <w:pPr>
        <w:pStyle w:val="2"/>
        <w:rPr>
          <w:rFonts w:ascii="仿宋" w:hAnsi="仿宋" w:eastAsia="仿宋" w:cs="仿宋"/>
          <w:color w:val="auto"/>
          <w:sz w:val="24"/>
          <w:highlight w:val="none"/>
        </w:rPr>
      </w:pPr>
    </w:p>
    <w:p w14:paraId="5367068B">
      <w:pPr>
        <w:pStyle w:val="24"/>
        <w:rPr>
          <w:rFonts w:ascii="仿宋" w:hAnsi="仿宋" w:eastAsia="仿宋" w:cs="仿宋"/>
          <w:color w:val="auto"/>
          <w:sz w:val="24"/>
          <w:highlight w:val="none"/>
        </w:rPr>
      </w:pPr>
    </w:p>
    <w:p w14:paraId="71FCE7B2">
      <w:pPr>
        <w:rPr>
          <w:rFonts w:ascii="仿宋" w:hAnsi="仿宋" w:eastAsia="仿宋" w:cs="仿宋"/>
          <w:color w:val="auto"/>
          <w:sz w:val="24"/>
          <w:highlight w:val="none"/>
        </w:rPr>
      </w:pPr>
    </w:p>
    <w:p w14:paraId="082764E7">
      <w:pPr>
        <w:pStyle w:val="2"/>
        <w:rPr>
          <w:rFonts w:ascii="仿宋" w:hAnsi="仿宋" w:eastAsia="仿宋" w:cs="仿宋"/>
          <w:color w:val="auto"/>
          <w:sz w:val="24"/>
          <w:highlight w:val="none"/>
        </w:rPr>
      </w:pPr>
    </w:p>
    <w:p w14:paraId="300E80DB">
      <w:pPr>
        <w:pStyle w:val="24"/>
        <w:rPr>
          <w:rFonts w:ascii="仿宋" w:hAnsi="仿宋" w:eastAsia="仿宋" w:cs="仿宋"/>
          <w:color w:val="auto"/>
          <w:sz w:val="24"/>
          <w:highlight w:val="none"/>
        </w:rPr>
      </w:pPr>
    </w:p>
    <w:p w14:paraId="75916AE5">
      <w:pPr>
        <w:rPr>
          <w:rFonts w:ascii="仿宋" w:hAnsi="仿宋" w:eastAsia="仿宋" w:cs="仿宋"/>
          <w:color w:val="auto"/>
          <w:sz w:val="24"/>
          <w:highlight w:val="none"/>
        </w:rPr>
      </w:pPr>
    </w:p>
    <w:p w14:paraId="6B407BB4">
      <w:pPr>
        <w:pStyle w:val="2"/>
        <w:rPr>
          <w:rFonts w:ascii="仿宋" w:hAnsi="仿宋" w:eastAsia="仿宋" w:cs="仿宋"/>
          <w:color w:val="auto"/>
          <w:sz w:val="24"/>
          <w:highlight w:val="none"/>
        </w:rPr>
      </w:pPr>
    </w:p>
    <w:p w14:paraId="25EC32B2">
      <w:pPr>
        <w:pStyle w:val="24"/>
        <w:rPr>
          <w:rFonts w:ascii="仿宋" w:hAnsi="仿宋" w:eastAsia="仿宋" w:cs="仿宋"/>
          <w:color w:val="auto"/>
          <w:sz w:val="24"/>
          <w:highlight w:val="none"/>
        </w:rPr>
      </w:pPr>
    </w:p>
    <w:p w14:paraId="0812AC14">
      <w:pPr>
        <w:rPr>
          <w:rFonts w:ascii="仿宋" w:hAnsi="仿宋" w:eastAsia="仿宋" w:cs="仿宋"/>
          <w:color w:val="auto"/>
          <w:sz w:val="24"/>
          <w:highlight w:val="none"/>
        </w:rPr>
      </w:pPr>
    </w:p>
    <w:p w14:paraId="39DB207C">
      <w:pPr>
        <w:pStyle w:val="2"/>
        <w:rPr>
          <w:rFonts w:ascii="仿宋" w:hAnsi="仿宋" w:eastAsia="仿宋" w:cs="仿宋"/>
          <w:color w:val="auto"/>
          <w:sz w:val="24"/>
          <w:highlight w:val="none"/>
        </w:rPr>
      </w:pPr>
    </w:p>
    <w:p w14:paraId="59AE3882">
      <w:pPr>
        <w:pStyle w:val="24"/>
        <w:rPr>
          <w:rFonts w:ascii="仿宋" w:hAnsi="仿宋" w:eastAsia="仿宋" w:cs="仿宋"/>
          <w:color w:val="auto"/>
          <w:sz w:val="24"/>
          <w:highlight w:val="none"/>
        </w:rPr>
      </w:pPr>
    </w:p>
    <w:p w14:paraId="30342D2B">
      <w:pPr>
        <w:rPr>
          <w:rFonts w:ascii="仿宋" w:hAnsi="仿宋" w:eastAsia="仿宋" w:cs="仿宋"/>
          <w:color w:val="auto"/>
          <w:sz w:val="24"/>
          <w:highlight w:val="none"/>
        </w:rPr>
      </w:pPr>
    </w:p>
    <w:p w14:paraId="3019F30A">
      <w:pPr>
        <w:pStyle w:val="2"/>
        <w:rPr>
          <w:rFonts w:ascii="仿宋" w:hAnsi="仿宋" w:eastAsia="仿宋" w:cs="仿宋"/>
          <w:color w:val="auto"/>
          <w:sz w:val="24"/>
          <w:highlight w:val="none"/>
        </w:rPr>
      </w:pPr>
    </w:p>
    <w:p w14:paraId="7CA7B0E1">
      <w:pPr>
        <w:pStyle w:val="24"/>
        <w:rPr>
          <w:rFonts w:ascii="仿宋" w:hAnsi="仿宋" w:eastAsia="仿宋" w:cs="仿宋"/>
          <w:color w:val="auto"/>
          <w:sz w:val="24"/>
          <w:highlight w:val="none"/>
        </w:rPr>
      </w:pPr>
    </w:p>
    <w:p w14:paraId="1F8A5514">
      <w:pPr>
        <w:rPr>
          <w:rFonts w:ascii="仿宋" w:hAnsi="仿宋" w:eastAsia="仿宋" w:cs="仿宋"/>
          <w:color w:val="auto"/>
          <w:sz w:val="24"/>
          <w:highlight w:val="none"/>
        </w:rPr>
      </w:pPr>
    </w:p>
    <w:p w14:paraId="004D92E0">
      <w:pPr>
        <w:pStyle w:val="2"/>
        <w:rPr>
          <w:rFonts w:ascii="仿宋" w:hAnsi="仿宋" w:eastAsia="仿宋" w:cs="仿宋"/>
          <w:color w:val="auto"/>
          <w:sz w:val="24"/>
          <w:highlight w:val="none"/>
        </w:rPr>
      </w:pPr>
    </w:p>
    <w:p w14:paraId="2A3CEA83">
      <w:pPr>
        <w:pStyle w:val="24"/>
        <w:rPr>
          <w:rFonts w:ascii="仿宋" w:hAnsi="仿宋" w:eastAsia="仿宋" w:cs="仿宋"/>
          <w:color w:val="auto"/>
          <w:sz w:val="24"/>
          <w:highlight w:val="none"/>
        </w:rPr>
      </w:pPr>
    </w:p>
    <w:p w14:paraId="679919CE">
      <w:pPr>
        <w:rPr>
          <w:rFonts w:ascii="仿宋" w:hAnsi="仿宋" w:eastAsia="仿宋" w:cs="仿宋"/>
          <w:color w:val="auto"/>
          <w:sz w:val="24"/>
          <w:highlight w:val="none"/>
        </w:rPr>
      </w:pPr>
    </w:p>
    <w:p w14:paraId="3CFE7321">
      <w:pPr>
        <w:pStyle w:val="2"/>
        <w:rPr>
          <w:color w:val="auto"/>
          <w:highlight w:val="none"/>
        </w:rPr>
      </w:pPr>
    </w:p>
    <w:p w14:paraId="41BB799B">
      <w:pPr>
        <w:snapToGrid w:val="0"/>
        <w:spacing w:line="336" w:lineRule="auto"/>
        <w:jc w:val="both"/>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附件7：中小企业声明函</w:t>
      </w:r>
    </w:p>
    <w:p w14:paraId="5DCA18A0">
      <w:pPr>
        <w:autoSpaceDE w:val="0"/>
        <w:autoSpaceDN w:val="0"/>
        <w:spacing w:line="336" w:lineRule="auto"/>
        <w:jc w:val="left"/>
        <w:rPr>
          <w:rFonts w:ascii="仿宋" w:hAnsi="仿宋" w:eastAsia="仿宋" w:cs="仿宋"/>
          <w:b/>
          <w:color w:val="auto"/>
          <w:sz w:val="32"/>
          <w:szCs w:val="32"/>
          <w:highlight w:val="none"/>
        </w:rPr>
      </w:pPr>
    </w:p>
    <w:p w14:paraId="19E1DF57">
      <w:pPr>
        <w:spacing w:line="336" w:lineRule="auto"/>
        <w:jc w:val="center"/>
        <w:rPr>
          <w:rFonts w:ascii="仿宋" w:hAnsi="仿宋" w:eastAsia="仿宋" w:cs="仿宋"/>
          <w:b/>
          <w:color w:val="auto"/>
          <w:sz w:val="32"/>
          <w:szCs w:val="32"/>
          <w:highlight w:val="none"/>
        </w:rPr>
      </w:pPr>
    </w:p>
    <w:p w14:paraId="4A1C5C5D">
      <w:pPr>
        <w:adjustRightInd/>
        <w:spacing w:line="336"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中小企业声明函（服务）</w:t>
      </w:r>
    </w:p>
    <w:p w14:paraId="3C067CCB">
      <w:pPr>
        <w:spacing w:line="336" w:lineRule="auto"/>
        <w:jc w:val="center"/>
        <w:rPr>
          <w:rFonts w:ascii="仿宋" w:hAnsi="仿宋" w:eastAsia="仿宋" w:cs="仿宋"/>
          <w:b/>
          <w:color w:val="auto"/>
          <w:sz w:val="32"/>
          <w:szCs w:val="32"/>
          <w:highlight w:val="none"/>
        </w:rPr>
      </w:pPr>
    </w:p>
    <w:p w14:paraId="2DB2FE93">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采购活动，服务全部由符合政策要求的中小企业承接。相关企业（含联合体中的中小企业、签订分包意向协议的中小企业）的具体情况如下：</w:t>
      </w:r>
    </w:p>
    <w:p w14:paraId="376E5664">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1FC5D96C">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67FD3D4D">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p>
    <w:p w14:paraId="62C754D4">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77224359">
      <w:pPr>
        <w:spacing w:line="336"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3F56AED9">
      <w:pPr>
        <w:spacing w:line="336"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0268EA92">
      <w:pPr>
        <w:spacing w:line="336" w:lineRule="auto"/>
        <w:ind w:firstLine="6120" w:firstLineChars="2550"/>
        <w:rPr>
          <w:rFonts w:ascii="仿宋" w:hAnsi="仿宋" w:eastAsia="仿宋" w:cs="仿宋"/>
          <w:color w:val="auto"/>
          <w:sz w:val="24"/>
          <w:highlight w:val="none"/>
        </w:rPr>
      </w:pPr>
      <w:r>
        <w:rPr>
          <w:rFonts w:hint="eastAsia" w:ascii="仿宋" w:hAnsi="仿宋" w:eastAsia="仿宋" w:cs="仿宋"/>
          <w:color w:val="auto"/>
          <w:sz w:val="24"/>
          <w:highlight w:val="none"/>
        </w:rPr>
        <w:t>日 期：</w:t>
      </w:r>
    </w:p>
    <w:p w14:paraId="4AC9F673">
      <w:pPr>
        <w:spacing w:line="336" w:lineRule="auto"/>
        <w:ind w:firstLine="310" w:firstLineChars="147"/>
        <w:jc w:val="left"/>
        <w:rPr>
          <w:rFonts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64A2E075">
      <w:pPr>
        <w:spacing w:line="336" w:lineRule="auto"/>
        <w:rPr>
          <w:rFonts w:ascii="仿宋" w:hAnsi="仿宋" w:eastAsia="仿宋" w:cs="仿宋"/>
          <w:color w:val="auto"/>
          <w:sz w:val="24"/>
          <w:highlight w:val="none"/>
        </w:rPr>
      </w:pPr>
    </w:p>
    <w:p w14:paraId="0C53DC14">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433651F6">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2BB370C6">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6）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60C1D5B0">
      <w:pPr>
        <w:spacing w:line="336" w:lineRule="auto"/>
        <w:rPr>
          <w:rFonts w:ascii="仿宋" w:hAnsi="仿宋" w:eastAsia="仿宋" w:cs="仿宋"/>
          <w:b/>
          <w:color w:val="auto"/>
          <w:sz w:val="24"/>
          <w:highlight w:val="none"/>
        </w:rPr>
      </w:pPr>
    </w:p>
    <w:p w14:paraId="3371EC1F">
      <w:pPr>
        <w:pageBreakBefore/>
        <w:shd w:val="clear" w:color="auto" w:fill="FFFFFF"/>
        <w:spacing w:line="336" w:lineRule="auto"/>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14:paraId="166367C9">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14:paraId="3D581FBA">
      <w:pPr>
        <w:widowControl/>
        <w:shd w:val="clear" w:color="auto" w:fill="FFFFFF"/>
        <w:spacing w:line="336" w:lineRule="auto"/>
        <w:ind w:firstLine="420" w:firstLineChars="200"/>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7BE5C72A">
      <w:pPr>
        <w:widowControl/>
        <w:spacing w:line="336" w:lineRule="auto"/>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14:paraId="23938DEB">
      <w:pPr>
        <w:widowControl/>
        <w:shd w:val="clear" w:color="auto" w:fill="FFFFFF"/>
        <w:spacing w:line="336" w:lineRule="auto"/>
        <w:jc w:val="righ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14:paraId="46172E44">
      <w:pPr>
        <w:widowControl/>
        <w:shd w:val="clear" w:color="auto" w:fill="FFFFFF"/>
        <w:spacing w:line="336" w:lineRule="auto"/>
        <w:jc w:val="righ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14:paraId="249B60EE">
      <w:pPr>
        <w:pStyle w:val="9"/>
        <w:spacing w:line="336" w:lineRule="auto"/>
        <w:rPr>
          <w:rFonts w:ascii="仿宋" w:hAnsi="仿宋" w:eastAsia="仿宋" w:cs="仿宋"/>
          <w:color w:val="auto"/>
          <w:highlight w:val="none"/>
          <w:lang w:val="en-US"/>
        </w:rPr>
      </w:pPr>
    </w:p>
    <w:p w14:paraId="627F6797">
      <w:pPr>
        <w:widowControl/>
        <w:shd w:val="clear" w:color="auto" w:fill="FFFFFF"/>
        <w:spacing w:line="336" w:lineRule="auto"/>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14:paraId="2DF03ACA">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320599CE">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14:paraId="7EFA552B">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33D2CD2B">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445C4383">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14:paraId="1163FB30">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14:paraId="1499974C">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14:paraId="3E99DCA5">
      <w:pPr>
        <w:widowControl/>
        <w:spacing w:line="336" w:lineRule="auto"/>
        <w:jc w:val="left"/>
        <w:rPr>
          <w:rFonts w:ascii="仿宋" w:hAnsi="仿宋" w:eastAsia="仿宋" w:cs="仿宋"/>
          <w:color w:val="auto"/>
          <w:kern w:val="0"/>
          <w:sz w:val="24"/>
          <w:highlight w:val="none"/>
        </w:rPr>
      </w:pPr>
    </w:p>
    <w:p w14:paraId="7CF33563">
      <w:pPr>
        <w:widowControl/>
        <w:shd w:val="clear" w:color="auto" w:fill="FFFFFF"/>
        <w:spacing w:line="336" w:lineRule="auto"/>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17"/>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672D29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tcMar>
              <w:top w:w="75" w:type="dxa"/>
              <w:left w:w="75" w:type="dxa"/>
              <w:bottom w:w="75" w:type="dxa"/>
              <w:right w:w="75" w:type="dxa"/>
            </w:tcMar>
            <w:vAlign w:val="bottom"/>
          </w:tcPr>
          <w:p w14:paraId="4A3B6128">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noWrap w:val="0"/>
            <w:tcMar>
              <w:top w:w="75" w:type="dxa"/>
              <w:left w:w="75" w:type="dxa"/>
              <w:bottom w:w="75" w:type="dxa"/>
              <w:right w:w="75" w:type="dxa"/>
            </w:tcMar>
            <w:vAlign w:val="bottom"/>
          </w:tcPr>
          <w:p w14:paraId="24AEA6BA">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noWrap w:val="0"/>
            <w:tcMar>
              <w:top w:w="75" w:type="dxa"/>
              <w:left w:w="75" w:type="dxa"/>
              <w:bottom w:w="75" w:type="dxa"/>
              <w:right w:w="75" w:type="dxa"/>
            </w:tcMar>
            <w:vAlign w:val="bottom"/>
          </w:tcPr>
          <w:p w14:paraId="61C7F528">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noWrap w:val="0"/>
            <w:tcMar>
              <w:top w:w="75" w:type="dxa"/>
              <w:left w:w="75" w:type="dxa"/>
              <w:bottom w:w="75" w:type="dxa"/>
              <w:right w:w="75" w:type="dxa"/>
            </w:tcMar>
            <w:vAlign w:val="bottom"/>
          </w:tcPr>
          <w:p w14:paraId="5A4D976C">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noWrap w:val="0"/>
            <w:tcMar>
              <w:top w:w="75" w:type="dxa"/>
              <w:left w:w="75" w:type="dxa"/>
              <w:bottom w:w="75" w:type="dxa"/>
              <w:right w:w="75" w:type="dxa"/>
            </w:tcMar>
            <w:vAlign w:val="bottom"/>
          </w:tcPr>
          <w:p w14:paraId="54D50433">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noWrap w:val="0"/>
            <w:tcMar>
              <w:top w:w="75" w:type="dxa"/>
              <w:left w:w="75" w:type="dxa"/>
              <w:bottom w:w="75" w:type="dxa"/>
              <w:right w:w="75" w:type="dxa"/>
            </w:tcMar>
            <w:vAlign w:val="bottom"/>
          </w:tcPr>
          <w:p w14:paraId="3A785D4F">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noWrap w:val="0"/>
            <w:tcMar>
              <w:top w:w="75" w:type="dxa"/>
              <w:left w:w="75" w:type="dxa"/>
              <w:bottom w:w="75" w:type="dxa"/>
              <w:right w:w="75" w:type="dxa"/>
            </w:tcMar>
            <w:vAlign w:val="bottom"/>
          </w:tcPr>
          <w:p w14:paraId="50CDA949">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14:paraId="26A15B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45486B20">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noWrap w:val="0"/>
            <w:vAlign w:val="center"/>
          </w:tcPr>
          <w:p w14:paraId="488A4F9B">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0CCACE0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4F20423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noWrap w:val="0"/>
            <w:vAlign w:val="center"/>
          </w:tcPr>
          <w:p w14:paraId="5A16C62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noWrap w:val="0"/>
            <w:vAlign w:val="center"/>
          </w:tcPr>
          <w:p w14:paraId="13D7585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noWrap w:val="0"/>
            <w:vAlign w:val="center"/>
          </w:tcPr>
          <w:p w14:paraId="1FCAC81F">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531259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16EF430">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noWrap w:val="0"/>
            <w:vAlign w:val="center"/>
          </w:tcPr>
          <w:p w14:paraId="53FBA3C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379F5C1D">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0140A83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noWrap w:val="0"/>
            <w:vAlign w:val="center"/>
          </w:tcPr>
          <w:p w14:paraId="4E9ED9E0">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noWrap w:val="0"/>
            <w:vAlign w:val="center"/>
          </w:tcPr>
          <w:p w14:paraId="61E411A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noWrap w:val="0"/>
            <w:vAlign w:val="center"/>
          </w:tcPr>
          <w:p w14:paraId="70DF36E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3CBCFE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37B0E9E">
            <w:pPr>
              <w:widowControl/>
              <w:spacing w:line="336" w:lineRule="auto"/>
              <w:jc w:val="left"/>
              <w:rPr>
                <w:rFonts w:ascii="仿宋" w:hAnsi="仿宋" w:eastAsia="仿宋" w:cs="仿宋"/>
                <w:color w:val="auto"/>
                <w:kern w:val="0"/>
                <w:sz w:val="24"/>
                <w:highlight w:val="none"/>
              </w:rPr>
            </w:pPr>
          </w:p>
        </w:tc>
        <w:tc>
          <w:tcPr>
            <w:tcW w:w="1560" w:type="dxa"/>
            <w:noWrap w:val="0"/>
            <w:vAlign w:val="center"/>
          </w:tcPr>
          <w:p w14:paraId="1FF85E07">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692131E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38C3746D">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noWrap w:val="0"/>
            <w:vAlign w:val="center"/>
          </w:tcPr>
          <w:p w14:paraId="6A7E8FC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noWrap w:val="0"/>
            <w:vAlign w:val="center"/>
          </w:tcPr>
          <w:p w14:paraId="262C72DF">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noWrap w:val="0"/>
            <w:vAlign w:val="center"/>
          </w:tcPr>
          <w:p w14:paraId="324583C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34ED73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C582B3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noWrap w:val="0"/>
            <w:vAlign w:val="center"/>
          </w:tcPr>
          <w:p w14:paraId="77C6394F">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65E5F24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6221BF7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noWrap w:val="0"/>
            <w:vAlign w:val="center"/>
          </w:tcPr>
          <w:p w14:paraId="5B9916FA">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noWrap w:val="0"/>
            <w:vAlign w:val="center"/>
          </w:tcPr>
          <w:p w14:paraId="44D2CB0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noWrap w:val="0"/>
            <w:vAlign w:val="center"/>
          </w:tcPr>
          <w:p w14:paraId="7F3FC87A">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0803F3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20641B55">
            <w:pPr>
              <w:widowControl/>
              <w:spacing w:line="336" w:lineRule="auto"/>
              <w:jc w:val="left"/>
              <w:rPr>
                <w:rFonts w:ascii="仿宋" w:hAnsi="仿宋" w:eastAsia="仿宋" w:cs="仿宋"/>
                <w:color w:val="auto"/>
                <w:kern w:val="0"/>
                <w:sz w:val="24"/>
                <w:highlight w:val="none"/>
              </w:rPr>
            </w:pPr>
          </w:p>
        </w:tc>
        <w:tc>
          <w:tcPr>
            <w:tcW w:w="1560" w:type="dxa"/>
            <w:noWrap w:val="0"/>
            <w:vAlign w:val="center"/>
          </w:tcPr>
          <w:p w14:paraId="19860F9F">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noWrap w:val="0"/>
            <w:vAlign w:val="center"/>
          </w:tcPr>
          <w:p w14:paraId="3A08C75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18230DD3">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noWrap w:val="0"/>
            <w:vAlign w:val="center"/>
          </w:tcPr>
          <w:p w14:paraId="4480789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noWrap w:val="0"/>
            <w:vAlign w:val="center"/>
          </w:tcPr>
          <w:p w14:paraId="2048F69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noWrap w:val="0"/>
            <w:vAlign w:val="center"/>
          </w:tcPr>
          <w:p w14:paraId="26318B96">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14:paraId="4172AF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B117D47">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noWrap w:val="0"/>
            <w:vAlign w:val="center"/>
          </w:tcPr>
          <w:p w14:paraId="2716943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3FBBA2E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78959D56">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noWrap w:val="0"/>
            <w:vAlign w:val="center"/>
          </w:tcPr>
          <w:p w14:paraId="2D605D7D">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noWrap w:val="0"/>
            <w:vAlign w:val="center"/>
          </w:tcPr>
          <w:p w14:paraId="67B77B4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noWrap w:val="0"/>
            <w:vAlign w:val="center"/>
          </w:tcPr>
          <w:p w14:paraId="6D1C81C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14:paraId="1DCAE3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7EBBA612">
            <w:pPr>
              <w:widowControl/>
              <w:spacing w:line="336" w:lineRule="auto"/>
              <w:jc w:val="left"/>
              <w:rPr>
                <w:rFonts w:ascii="仿宋" w:hAnsi="仿宋" w:eastAsia="仿宋" w:cs="仿宋"/>
                <w:color w:val="auto"/>
                <w:kern w:val="0"/>
                <w:sz w:val="24"/>
                <w:highlight w:val="none"/>
              </w:rPr>
            </w:pPr>
          </w:p>
        </w:tc>
        <w:tc>
          <w:tcPr>
            <w:tcW w:w="1560" w:type="dxa"/>
            <w:noWrap w:val="0"/>
            <w:vAlign w:val="center"/>
          </w:tcPr>
          <w:p w14:paraId="7459F8E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18116AB3">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242D33E6">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noWrap w:val="0"/>
            <w:vAlign w:val="center"/>
          </w:tcPr>
          <w:p w14:paraId="7A76E33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noWrap w:val="0"/>
            <w:vAlign w:val="center"/>
          </w:tcPr>
          <w:p w14:paraId="375670DA">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noWrap w:val="0"/>
            <w:vAlign w:val="center"/>
          </w:tcPr>
          <w:p w14:paraId="1AF8004F">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14:paraId="380BDC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4B4EA60A">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noWrap w:val="0"/>
            <w:vAlign w:val="center"/>
          </w:tcPr>
          <w:p w14:paraId="39E1EAB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5FDA9DD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477FFC73">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noWrap w:val="0"/>
            <w:vAlign w:val="center"/>
          </w:tcPr>
          <w:p w14:paraId="38DBA93B">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noWrap w:val="0"/>
            <w:vAlign w:val="center"/>
          </w:tcPr>
          <w:p w14:paraId="5CC07F9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noWrap w:val="0"/>
            <w:vAlign w:val="center"/>
          </w:tcPr>
          <w:p w14:paraId="004B842F">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6A2ABC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7B4EC32B">
            <w:pPr>
              <w:widowControl/>
              <w:spacing w:line="336" w:lineRule="auto"/>
              <w:jc w:val="left"/>
              <w:rPr>
                <w:rFonts w:ascii="仿宋" w:hAnsi="仿宋" w:eastAsia="仿宋" w:cs="仿宋"/>
                <w:color w:val="auto"/>
                <w:kern w:val="0"/>
                <w:sz w:val="24"/>
                <w:highlight w:val="none"/>
              </w:rPr>
            </w:pPr>
          </w:p>
        </w:tc>
        <w:tc>
          <w:tcPr>
            <w:tcW w:w="1560" w:type="dxa"/>
            <w:noWrap w:val="0"/>
            <w:vAlign w:val="center"/>
          </w:tcPr>
          <w:p w14:paraId="5E30A856">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1308C87D">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49434C0D">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noWrap w:val="0"/>
            <w:vAlign w:val="center"/>
          </w:tcPr>
          <w:p w14:paraId="24CE85C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noWrap w:val="0"/>
            <w:vAlign w:val="center"/>
          </w:tcPr>
          <w:p w14:paraId="15F2333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noWrap w:val="0"/>
            <w:vAlign w:val="center"/>
          </w:tcPr>
          <w:p w14:paraId="01938CE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457DC0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17B635A">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noWrap w:val="0"/>
            <w:vAlign w:val="center"/>
          </w:tcPr>
          <w:p w14:paraId="567D30C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451D78ED">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4BC368BB">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noWrap w:val="0"/>
            <w:vAlign w:val="center"/>
          </w:tcPr>
          <w:p w14:paraId="2CFE146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noWrap w:val="0"/>
            <w:vAlign w:val="center"/>
          </w:tcPr>
          <w:p w14:paraId="73DDE9A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noWrap w:val="0"/>
            <w:vAlign w:val="center"/>
          </w:tcPr>
          <w:p w14:paraId="1631DEC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372A1E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149E7B51">
            <w:pPr>
              <w:widowControl/>
              <w:spacing w:line="336" w:lineRule="auto"/>
              <w:jc w:val="left"/>
              <w:rPr>
                <w:rFonts w:ascii="仿宋" w:hAnsi="仿宋" w:eastAsia="仿宋" w:cs="仿宋"/>
                <w:color w:val="auto"/>
                <w:kern w:val="0"/>
                <w:sz w:val="24"/>
                <w:highlight w:val="none"/>
              </w:rPr>
            </w:pPr>
          </w:p>
        </w:tc>
        <w:tc>
          <w:tcPr>
            <w:tcW w:w="1560" w:type="dxa"/>
            <w:noWrap w:val="0"/>
            <w:vAlign w:val="center"/>
          </w:tcPr>
          <w:p w14:paraId="7D7B6EA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77E37D4B">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66592596">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noWrap w:val="0"/>
            <w:vAlign w:val="center"/>
          </w:tcPr>
          <w:p w14:paraId="3F508E4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noWrap w:val="0"/>
            <w:vAlign w:val="center"/>
          </w:tcPr>
          <w:p w14:paraId="3B97AF6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noWrap w:val="0"/>
            <w:vAlign w:val="center"/>
          </w:tcPr>
          <w:p w14:paraId="59219F93">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14:paraId="010464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4A62C35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noWrap w:val="0"/>
            <w:vAlign w:val="center"/>
          </w:tcPr>
          <w:p w14:paraId="1BC6FD4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2C9A12B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2FEC00B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noWrap w:val="0"/>
            <w:vAlign w:val="center"/>
          </w:tcPr>
          <w:p w14:paraId="5A038496">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noWrap w:val="0"/>
            <w:vAlign w:val="center"/>
          </w:tcPr>
          <w:p w14:paraId="3549D98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noWrap w:val="0"/>
            <w:vAlign w:val="center"/>
          </w:tcPr>
          <w:p w14:paraId="4D8B33A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69A9C0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5149AA3">
            <w:pPr>
              <w:widowControl/>
              <w:spacing w:line="336" w:lineRule="auto"/>
              <w:jc w:val="left"/>
              <w:rPr>
                <w:rFonts w:ascii="仿宋" w:hAnsi="仿宋" w:eastAsia="仿宋" w:cs="仿宋"/>
                <w:color w:val="auto"/>
                <w:kern w:val="0"/>
                <w:sz w:val="24"/>
                <w:highlight w:val="none"/>
              </w:rPr>
            </w:pPr>
          </w:p>
        </w:tc>
        <w:tc>
          <w:tcPr>
            <w:tcW w:w="1560" w:type="dxa"/>
            <w:noWrap w:val="0"/>
            <w:vAlign w:val="center"/>
          </w:tcPr>
          <w:p w14:paraId="6CEAA2A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212DB8C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28DE54D0">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noWrap w:val="0"/>
            <w:vAlign w:val="center"/>
          </w:tcPr>
          <w:p w14:paraId="2CE294CB">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noWrap w:val="0"/>
            <w:vAlign w:val="center"/>
          </w:tcPr>
          <w:p w14:paraId="758D3707">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noWrap w:val="0"/>
            <w:vAlign w:val="center"/>
          </w:tcPr>
          <w:p w14:paraId="50DC0E5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3F5EFD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4958B77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noWrap w:val="0"/>
            <w:vAlign w:val="center"/>
          </w:tcPr>
          <w:p w14:paraId="1ADF6DE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0CD80FB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6BC5B896">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noWrap w:val="0"/>
            <w:vAlign w:val="center"/>
          </w:tcPr>
          <w:p w14:paraId="5E9AC08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noWrap w:val="0"/>
            <w:vAlign w:val="center"/>
          </w:tcPr>
          <w:p w14:paraId="4216DBC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noWrap w:val="0"/>
            <w:vAlign w:val="center"/>
          </w:tcPr>
          <w:p w14:paraId="6563327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4A0801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5AB69468">
            <w:pPr>
              <w:widowControl/>
              <w:spacing w:line="336" w:lineRule="auto"/>
              <w:jc w:val="left"/>
              <w:rPr>
                <w:rFonts w:ascii="仿宋" w:hAnsi="仿宋" w:eastAsia="仿宋" w:cs="仿宋"/>
                <w:color w:val="auto"/>
                <w:kern w:val="0"/>
                <w:sz w:val="24"/>
                <w:highlight w:val="none"/>
              </w:rPr>
            </w:pPr>
          </w:p>
        </w:tc>
        <w:tc>
          <w:tcPr>
            <w:tcW w:w="1560" w:type="dxa"/>
            <w:noWrap w:val="0"/>
            <w:vAlign w:val="center"/>
          </w:tcPr>
          <w:p w14:paraId="3AC1E7A0">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1B92548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1F7A3EA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noWrap w:val="0"/>
            <w:vAlign w:val="center"/>
          </w:tcPr>
          <w:p w14:paraId="0C6DCA9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noWrap w:val="0"/>
            <w:vAlign w:val="center"/>
          </w:tcPr>
          <w:p w14:paraId="341A1BD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noWrap w:val="0"/>
            <w:vAlign w:val="center"/>
          </w:tcPr>
          <w:p w14:paraId="06FE0D7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08D9C0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8D2FE6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noWrap w:val="0"/>
            <w:vAlign w:val="center"/>
          </w:tcPr>
          <w:p w14:paraId="3AFD997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7BB90D50">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03F3F1AD">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noWrap w:val="0"/>
            <w:vAlign w:val="center"/>
          </w:tcPr>
          <w:p w14:paraId="73AD648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noWrap w:val="0"/>
            <w:vAlign w:val="center"/>
          </w:tcPr>
          <w:p w14:paraId="656A13E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noWrap w:val="0"/>
            <w:vAlign w:val="center"/>
          </w:tcPr>
          <w:p w14:paraId="6C3900F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47C250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7999F06E">
            <w:pPr>
              <w:widowControl/>
              <w:spacing w:line="336" w:lineRule="auto"/>
              <w:jc w:val="left"/>
              <w:rPr>
                <w:rFonts w:ascii="仿宋" w:hAnsi="仿宋" w:eastAsia="仿宋" w:cs="仿宋"/>
                <w:color w:val="auto"/>
                <w:kern w:val="0"/>
                <w:sz w:val="24"/>
                <w:highlight w:val="none"/>
              </w:rPr>
            </w:pPr>
          </w:p>
        </w:tc>
        <w:tc>
          <w:tcPr>
            <w:tcW w:w="1560" w:type="dxa"/>
            <w:noWrap w:val="0"/>
            <w:vAlign w:val="center"/>
          </w:tcPr>
          <w:p w14:paraId="20388783">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33C31F3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2C42B89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noWrap w:val="0"/>
            <w:vAlign w:val="center"/>
          </w:tcPr>
          <w:p w14:paraId="475C172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noWrap w:val="0"/>
            <w:vAlign w:val="center"/>
          </w:tcPr>
          <w:p w14:paraId="2A70603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noWrap w:val="0"/>
            <w:vAlign w:val="center"/>
          </w:tcPr>
          <w:p w14:paraId="3765973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01FFF2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BB8C43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noWrap w:val="0"/>
            <w:vAlign w:val="center"/>
          </w:tcPr>
          <w:p w14:paraId="30FDCD67">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1CE1DA1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37527C6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noWrap w:val="0"/>
            <w:vAlign w:val="center"/>
          </w:tcPr>
          <w:p w14:paraId="2006915F">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noWrap w:val="0"/>
            <w:vAlign w:val="center"/>
          </w:tcPr>
          <w:p w14:paraId="0CCDC2F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noWrap w:val="0"/>
            <w:vAlign w:val="center"/>
          </w:tcPr>
          <w:p w14:paraId="00201DF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515516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6C50C6C">
            <w:pPr>
              <w:widowControl/>
              <w:spacing w:line="336" w:lineRule="auto"/>
              <w:jc w:val="left"/>
              <w:rPr>
                <w:rFonts w:ascii="仿宋" w:hAnsi="仿宋" w:eastAsia="仿宋" w:cs="仿宋"/>
                <w:color w:val="auto"/>
                <w:kern w:val="0"/>
                <w:sz w:val="24"/>
                <w:highlight w:val="none"/>
              </w:rPr>
            </w:pPr>
          </w:p>
        </w:tc>
        <w:tc>
          <w:tcPr>
            <w:tcW w:w="1560" w:type="dxa"/>
            <w:noWrap w:val="0"/>
            <w:vAlign w:val="center"/>
          </w:tcPr>
          <w:p w14:paraId="0F40D23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63A6A57F">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3F41D97D">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noWrap w:val="0"/>
            <w:vAlign w:val="center"/>
          </w:tcPr>
          <w:p w14:paraId="0D3D277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noWrap w:val="0"/>
            <w:vAlign w:val="center"/>
          </w:tcPr>
          <w:p w14:paraId="77F6F50D">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noWrap w:val="0"/>
            <w:vAlign w:val="center"/>
          </w:tcPr>
          <w:p w14:paraId="14A4D7F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3485E4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366C02B">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noWrap w:val="0"/>
            <w:vAlign w:val="center"/>
          </w:tcPr>
          <w:p w14:paraId="3336ADF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2E7F996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608555D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noWrap w:val="0"/>
            <w:vAlign w:val="center"/>
          </w:tcPr>
          <w:p w14:paraId="2A7343A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noWrap w:val="0"/>
            <w:vAlign w:val="center"/>
          </w:tcPr>
          <w:p w14:paraId="17C5872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noWrap w:val="0"/>
            <w:vAlign w:val="center"/>
          </w:tcPr>
          <w:p w14:paraId="345842A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1260A1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7E6F6D3A">
            <w:pPr>
              <w:widowControl/>
              <w:spacing w:line="336" w:lineRule="auto"/>
              <w:jc w:val="left"/>
              <w:rPr>
                <w:rFonts w:ascii="仿宋" w:hAnsi="仿宋" w:eastAsia="仿宋" w:cs="仿宋"/>
                <w:color w:val="auto"/>
                <w:kern w:val="0"/>
                <w:sz w:val="24"/>
                <w:highlight w:val="none"/>
              </w:rPr>
            </w:pPr>
          </w:p>
        </w:tc>
        <w:tc>
          <w:tcPr>
            <w:tcW w:w="1560" w:type="dxa"/>
            <w:noWrap w:val="0"/>
            <w:vAlign w:val="center"/>
          </w:tcPr>
          <w:p w14:paraId="393ACC4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753A7BA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73EC7A9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noWrap w:val="0"/>
            <w:vAlign w:val="center"/>
          </w:tcPr>
          <w:p w14:paraId="4B4F968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noWrap w:val="0"/>
            <w:vAlign w:val="center"/>
          </w:tcPr>
          <w:p w14:paraId="4E3B600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noWrap w:val="0"/>
            <w:vAlign w:val="center"/>
          </w:tcPr>
          <w:p w14:paraId="59DDFACF">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FF21F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4F307A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noWrap w:val="0"/>
            <w:vAlign w:val="center"/>
          </w:tcPr>
          <w:p w14:paraId="3E4882C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1BD4F47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4DA7B5FD">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noWrap w:val="0"/>
            <w:vAlign w:val="center"/>
          </w:tcPr>
          <w:p w14:paraId="47A9E19F">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noWrap w:val="0"/>
            <w:vAlign w:val="center"/>
          </w:tcPr>
          <w:p w14:paraId="1BDFDDD7">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noWrap w:val="0"/>
            <w:vAlign w:val="center"/>
          </w:tcPr>
          <w:p w14:paraId="62F9793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1D532B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7B16BDF1">
            <w:pPr>
              <w:widowControl/>
              <w:spacing w:line="336" w:lineRule="auto"/>
              <w:jc w:val="left"/>
              <w:rPr>
                <w:rFonts w:ascii="仿宋" w:hAnsi="仿宋" w:eastAsia="仿宋" w:cs="仿宋"/>
                <w:color w:val="auto"/>
                <w:kern w:val="0"/>
                <w:sz w:val="24"/>
                <w:highlight w:val="none"/>
              </w:rPr>
            </w:pPr>
          </w:p>
        </w:tc>
        <w:tc>
          <w:tcPr>
            <w:tcW w:w="1560" w:type="dxa"/>
            <w:noWrap w:val="0"/>
            <w:vAlign w:val="center"/>
          </w:tcPr>
          <w:p w14:paraId="636D9A6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77F29BF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7F06EFB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noWrap w:val="0"/>
            <w:vAlign w:val="center"/>
          </w:tcPr>
          <w:p w14:paraId="472F5EE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noWrap w:val="0"/>
            <w:vAlign w:val="center"/>
          </w:tcPr>
          <w:p w14:paraId="0F49BA6F">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noWrap w:val="0"/>
            <w:vAlign w:val="center"/>
          </w:tcPr>
          <w:p w14:paraId="7409CFF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1F8DFA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07F5271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noWrap w:val="0"/>
            <w:vAlign w:val="center"/>
          </w:tcPr>
          <w:p w14:paraId="0682421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58366B0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70824DD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noWrap w:val="0"/>
            <w:vAlign w:val="center"/>
          </w:tcPr>
          <w:p w14:paraId="1689C86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noWrap w:val="0"/>
            <w:vAlign w:val="center"/>
          </w:tcPr>
          <w:p w14:paraId="1FE636E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noWrap w:val="0"/>
            <w:vAlign w:val="center"/>
          </w:tcPr>
          <w:p w14:paraId="143A8A4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496DF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3DB87BF2">
            <w:pPr>
              <w:widowControl/>
              <w:spacing w:line="336" w:lineRule="auto"/>
              <w:jc w:val="left"/>
              <w:rPr>
                <w:rFonts w:ascii="仿宋" w:hAnsi="仿宋" w:eastAsia="仿宋" w:cs="仿宋"/>
                <w:color w:val="auto"/>
                <w:kern w:val="0"/>
                <w:sz w:val="24"/>
                <w:highlight w:val="none"/>
              </w:rPr>
            </w:pPr>
          </w:p>
        </w:tc>
        <w:tc>
          <w:tcPr>
            <w:tcW w:w="1560" w:type="dxa"/>
            <w:noWrap w:val="0"/>
            <w:vAlign w:val="center"/>
          </w:tcPr>
          <w:p w14:paraId="3DA2893A">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noWrap w:val="0"/>
            <w:vAlign w:val="center"/>
          </w:tcPr>
          <w:p w14:paraId="2105A18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676B0743">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noWrap w:val="0"/>
            <w:vAlign w:val="center"/>
          </w:tcPr>
          <w:p w14:paraId="24FB704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noWrap w:val="0"/>
            <w:vAlign w:val="center"/>
          </w:tcPr>
          <w:p w14:paraId="6B76584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noWrap w:val="0"/>
            <w:vAlign w:val="center"/>
          </w:tcPr>
          <w:p w14:paraId="3A008EA6">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14:paraId="19D84F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7B6256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noWrap w:val="0"/>
            <w:vAlign w:val="center"/>
          </w:tcPr>
          <w:p w14:paraId="6BDFF176">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57D495E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54410D4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noWrap w:val="0"/>
            <w:vAlign w:val="center"/>
          </w:tcPr>
          <w:p w14:paraId="52B60B1A">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noWrap w:val="0"/>
            <w:vAlign w:val="center"/>
          </w:tcPr>
          <w:p w14:paraId="37266E9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noWrap w:val="0"/>
            <w:vAlign w:val="center"/>
          </w:tcPr>
          <w:p w14:paraId="5920D18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14:paraId="04783B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2AA0D1C8">
            <w:pPr>
              <w:widowControl/>
              <w:spacing w:line="336" w:lineRule="auto"/>
              <w:jc w:val="left"/>
              <w:rPr>
                <w:rFonts w:ascii="仿宋" w:hAnsi="仿宋" w:eastAsia="仿宋" w:cs="仿宋"/>
                <w:color w:val="auto"/>
                <w:kern w:val="0"/>
                <w:sz w:val="24"/>
                <w:highlight w:val="none"/>
              </w:rPr>
            </w:pPr>
          </w:p>
        </w:tc>
        <w:tc>
          <w:tcPr>
            <w:tcW w:w="1560" w:type="dxa"/>
            <w:noWrap w:val="0"/>
            <w:vAlign w:val="center"/>
          </w:tcPr>
          <w:p w14:paraId="74D3D35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59D1E51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189DF53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noWrap w:val="0"/>
            <w:vAlign w:val="center"/>
          </w:tcPr>
          <w:p w14:paraId="2A97899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noWrap w:val="0"/>
            <w:vAlign w:val="center"/>
          </w:tcPr>
          <w:p w14:paraId="0222963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noWrap w:val="0"/>
            <w:vAlign w:val="center"/>
          </w:tcPr>
          <w:p w14:paraId="795E35A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14:paraId="336693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67B17C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noWrap w:val="0"/>
            <w:vAlign w:val="center"/>
          </w:tcPr>
          <w:p w14:paraId="66E0DFF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6678CB2A">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601DF5F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noWrap w:val="0"/>
            <w:vAlign w:val="center"/>
          </w:tcPr>
          <w:p w14:paraId="0980659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noWrap w:val="0"/>
            <w:vAlign w:val="center"/>
          </w:tcPr>
          <w:p w14:paraId="38FA2DB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noWrap w:val="0"/>
            <w:vAlign w:val="center"/>
          </w:tcPr>
          <w:p w14:paraId="0C4A5F0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5AD465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270A6C4">
            <w:pPr>
              <w:widowControl/>
              <w:spacing w:line="336" w:lineRule="auto"/>
              <w:jc w:val="left"/>
              <w:rPr>
                <w:rFonts w:ascii="仿宋" w:hAnsi="仿宋" w:eastAsia="仿宋" w:cs="仿宋"/>
                <w:color w:val="auto"/>
                <w:kern w:val="0"/>
                <w:sz w:val="24"/>
                <w:highlight w:val="none"/>
              </w:rPr>
            </w:pPr>
          </w:p>
        </w:tc>
        <w:tc>
          <w:tcPr>
            <w:tcW w:w="1560" w:type="dxa"/>
            <w:noWrap w:val="0"/>
            <w:vAlign w:val="center"/>
          </w:tcPr>
          <w:p w14:paraId="1BAC52E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noWrap w:val="0"/>
            <w:vAlign w:val="center"/>
          </w:tcPr>
          <w:p w14:paraId="058B8C90">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041DEBC7">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noWrap w:val="0"/>
            <w:vAlign w:val="center"/>
          </w:tcPr>
          <w:p w14:paraId="6BD12E3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noWrap w:val="0"/>
            <w:vAlign w:val="center"/>
          </w:tcPr>
          <w:p w14:paraId="2DB2F003">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noWrap w:val="0"/>
            <w:vAlign w:val="center"/>
          </w:tcPr>
          <w:p w14:paraId="4801047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14:paraId="1F010B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5234675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noWrap w:val="0"/>
            <w:vAlign w:val="center"/>
          </w:tcPr>
          <w:p w14:paraId="62617E17">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24EF4F93">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586EB103">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noWrap w:val="0"/>
            <w:vAlign w:val="center"/>
          </w:tcPr>
          <w:p w14:paraId="16C528BB">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noWrap w:val="0"/>
            <w:vAlign w:val="center"/>
          </w:tcPr>
          <w:p w14:paraId="77B8D25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noWrap w:val="0"/>
            <w:vAlign w:val="center"/>
          </w:tcPr>
          <w:p w14:paraId="1B6432F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14:paraId="3BC40597">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14:paraId="2CFA93E0">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1.大型、中型和小型企业须同时满足所列指标的下限，否则下划一档；微型企业只须满足所列指标中的一项即可。 　　</w:t>
      </w:r>
    </w:p>
    <w:p w14:paraId="633E9B5B">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27F4E483">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3.企业划分指标以现行统计制度为准。</w:t>
      </w:r>
    </w:p>
    <w:p w14:paraId="2E6390C0">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14:paraId="5C95F584">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07C41A51">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14:paraId="6E645B8E">
      <w:pPr>
        <w:widowControl/>
        <w:spacing w:line="336" w:lineRule="auto"/>
        <w:jc w:val="left"/>
        <w:rPr>
          <w:rFonts w:ascii="仿宋" w:hAnsi="仿宋" w:eastAsia="仿宋" w:cs="仿宋"/>
          <w:color w:val="auto"/>
          <w:kern w:val="0"/>
          <w:sz w:val="24"/>
          <w:highlight w:val="none"/>
        </w:rPr>
      </w:pPr>
    </w:p>
    <w:p w14:paraId="72198A6F">
      <w:pPr>
        <w:widowControl/>
        <w:spacing w:line="336" w:lineRule="auto"/>
        <w:jc w:val="left"/>
        <w:rPr>
          <w:rFonts w:ascii="仿宋" w:hAnsi="仿宋" w:eastAsia="仿宋" w:cs="仿宋"/>
          <w:color w:val="auto"/>
          <w:kern w:val="0"/>
          <w:sz w:val="24"/>
          <w:highlight w:val="none"/>
        </w:rPr>
      </w:pPr>
    </w:p>
    <w:p w14:paraId="7E26EC7B">
      <w:pPr>
        <w:widowControl/>
        <w:shd w:val="clear" w:color="auto" w:fill="FFFFFF"/>
        <w:spacing w:line="336" w:lineRule="auto"/>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14:paraId="33A73451">
      <w:pPr>
        <w:widowControl/>
        <w:shd w:val="clear" w:color="auto" w:fill="FFFFFF"/>
        <w:spacing w:line="336" w:lineRule="auto"/>
        <w:jc w:val="left"/>
        <w:textAlignment w:val="baseline"/>
        <w:rPr>
          <w:rFonts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14:paraId="48A5392E">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2939CF32">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6210CC71">
      <w:pPr>
        <w:widowControl/>
        <w:shd w:val="clear" w:color="auto" w:fill="FFFFFF"/>
        <w:spacing w:line="336" w:lineRule="auto"/>
        <w:jc w:val="left"/>
        <w:textAlignment w:val="baseline"/>
        <w:rPr>
          <w:rFonts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14:paraId="5DAFC9DF">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0F7FE054">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将交通运输业中包括的“装卸搬运和运输代理业”修改为“多式联运和运输代理业、装卸搬运”。</w:t>
      </w:r>
    </w:p>
    <w:p w14:paraId="20D7A9DD">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仓储业所包括的行业中类，根据《国民经济行业分类》（GB/T4754—2017）调整为“通用仓储，低温仓储，危险品仓储，谷物、棉花等农产品仓储，中药材仓储和其他仓储业”。</w:t>
      </w:r>
    </w:p>
    <w:p w14:paraId="19103FFD">
      <w:pPr>
        <w:widowControl/>
        <w:spacing w:line="336" w:lineRule="auto"/>
        <w:jc w:val="left"/>
        <w:rPr>
          <w:rFonts w:ascii="仿宋" w:hAnsi="仿宋" w:eastAsia="仿宋" w:cs="仿宋"/>
          <w:color w:val="auto"/>
          <w:kern w:val="0"/>
          <w:sz w:val="18"/>
          <w:szCs w:val="18"/>
          <w:highlight w:val="none"/>
        </w:rPr>
      </w:pPr>
    </w:p>
    <w:p w14:paraId="3ADCFA7C">
      <w:pPr>
        <w:widowControl/>
        <w:spacing w:line="336" w:lineRule="auto"/>
        <w:jc w:val="left"/>
        <w:rPr>
          <w:rFonts w:ascii="仿宋" w:hAnsi="仿宋" w:eastAsia="仿宋" w:cs="仿宋"/>
          <w:color w:val="auto"/>
          <w:kern w:val="0"/>
          <w:sz w:val="18"/>
          <w:szCs w:val="18"/>
          <w:highlight w:val="none"/>
        </w:rPr>
      </w:pPr>
    </w:p>
    <w:p w14:paraId="7054682D">
      <w:pPr>
        <w:widowControl/>
        <w:spacing w:line="336" w:lineRule="auto"/>
        <w:jc w:val="left"/>
        <w:rPr>
          <w:rFonts w:ascii="仿宋" w:hAnsi="仿宋" w:eastAsia="仿宋" w:cs="仿宋"/>
          <w:color w:val="auto"/>
          <w:kern w:val="0"/>
          <w:sz w:val="18"/>
          <w:szCs w:val="18"/>
          <w:highlight w:val="none"/>
        </w:rPr>
      </w:pPr>
    </w:p>
    <w:p w14:paraId="6BA9C9A9">
      <w:pPr>
        <w:widowControl/>
        <w:shd w:val="clear" w:color="auto" w:fill="FFFFFF"/>
        <w:spacing w:line="336" w:lineRule="auto"/>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14:paraId="79267951">
      <w:pPr>
        <w:widowControl/>
        <w:shd w:val="clear" w:color="auto" w:fill="FFFFFF"/>
        <w:spacing w:line="336" w:lineRule="auto"/>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14:paraId="7E9F5ADF">
      <w:pPr>
        <w:widowControl/>
        <w:shd w:val="clear" w:color="auto" w:fill="FFFFFF"/>
        <w:spacing w:line="336" w:lineRule="auto"/>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14:paraId="6A81544D">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5F6EB115">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请人民银行上海总部，各分行、营业管理部、省会（首府）城市中心支行、副省级城市中心支行会同所在省（区、市）银监局、证监局、保监局、统计局将本通知联合转发至辖内相关机构。</w:t>
      </w:r>
    </w:p>
    <w:p w14:paraId="2EF6F1AF">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14:paraId="38E124E8">
      <w:pPr>
        <w:widowControl/>
        <w:shd w:val="clear" w:color="auto" w:fill="FFFFFF"/>
        <w:spacing w:line="336" w:lineRule="auto"/>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14:paraId="4ABD0D59">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一、根据《中华人民共和国中小企业促进法》、《国务院关于进一步促进中小企业发展的若干意见》（国发〔2009〕36号）和《国务院办公厅关于金融支持小微企业发展的实施意见》（国办发〔2013〕87号），制定本规定。</w:t>
      </w:r>
    </w:p>
    <w:p w14:paraId="4590C741">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 二、适用范围。本规定适用于从事《国民经济行业分类》(GB/T4754-2011)中J门类（金融业）活动的企业。</w:t>
      </w:r>
    </w:p>
    <w:p w14:paraId="0B126974">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495859B7">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四、划型标准指标。采用一个完整会计年度中四个季度末法人并表口径的资产总额（信托公司为信托资产）平均值作为划型指标，该指标以监管部门数据为准。</w:t>
      </w:r>
    </w:p>
    <w:p w14:paraId="1DEE74C9">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五、指标标准值。依据指标标准值，将各类金融业企业划分为大、中、小、微四个规模类型，中型企业标准上限及以上的为大型企业。</w:t>
      </w:r>
    </w:p>
    <w:p w14:paraId="417FE0E7">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14:paraId="2563B7F2">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(二) 银行业非存款类金融机构。资产总额1000亿元以下的为中小微型企业。其中，资产总额200亿元及以上的为中型企业，资产总额50亿元及以上的为小型企业，资产总额50亿元以下的为微型企业。</w:t>
      </w:r>
    </w:p>
    <w:p w14:paraId="0585404E">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38CE38D7">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(四) 证券业金融机构。资产总额1000亿元以下的为中小微型企业。其中，资产总额100亿元及以上的为中型企业，资产总额10亿元及以上的为小型企业，资产总额10亿元以下的为微型企业。</w:t>
      </w:r>
    </w:p>
    <w:p w14:paraId="73735F27">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 (五) 保险业金融机构。资产总额5000亿元以下的为中小微型企业。其中，资产总额400亿元及以上的为中型企业，资产总额20亿元及以上的为小型企业，资产总额20亿元以下的为微型企业。</w:t>
      </w:r>
    </w:p>
    <w:p w14:paraId="15C86177">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7AEE022F">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7F8C3DA0">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447A0D70">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51251696">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七、标准值的评估和调整。金融业企业划型标准工作组毎五年对划型标准值受经济发展与通货膨胀等因素的响程度进行评估和调整。</w:t>
      </w:r>
    </w:p>
    <w:p w14:paraId="231567B1">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 八、本规定的中型金融业企业标准上限即为大型金融业企业下限。国务院有关部门据此进行相关数据的统计分析，不得制定与本规定不一致的金融业企业划型标准。</w:t>
      </w:r>
    </w:p>
    <w:p w14:paraId="700CE38B">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 九、融资担保公司参照本规定中“除贷款公司、小额贷款公司、典当行以外的其他金融机构”标准划型。</w:t>
      </w:r>
    </w:p>
    <w:p w14:paraId="3F849C13">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十、本规定由人民银行会同银监会，证监会、保监会和统计局负责解释。</w:t>
      </w:r>
    </w:p>
    <w:p w14:paraId="3E83E2A6">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十一、本规定自发布之日起实施。</w:t>
      </w:r>
    </w:p>
    <w:p w14:paraId="1A77D863">
      <w:pPr>
        <w:widowControl/>
        <w:shd w:val="clear" w:color="auto" w:fill="FFFFFF"/>
        <w:spacing w:line="336" w:lineRule="auto"/>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14:paraId="2442E24A">
      <w:pPr>
        <w:widowControl/>
        <w:shd w:val="clear" w:color="auto" w:fill="FFFFFF"/>
        <w:spacing w:line="336" w:lineRule="auto"/>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17"/>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256732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noWrap w:val="0"/>
            <w:tcMar>
              <w:top w:w="75" w:type="dxa"/>
              <w:left w:w="75" w:type="dxa"/>
              <w:bottom w:w="75" w:type="dxa"/>
              <w:right w:w="75" w:type="dxa"/>
            </w:tcMar>
            <w:vAlign w:val="bottom"/>
          </w:tcPr>
          <w:p w14:paraId="5B25985D">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noWrap w:val="0"/>
            <w:tcMar>
              <w:top w:w="75" w:type="dxa"/>
              <w:left w:w="75" w:type="dxa"/>
              <w:bottom w:w="75" w:type="dxa"/>
              <w:right w:w="75" w:type="dxa"/>
            </w:tcMar>
            <w:vAlign w:val="bottom"/>
          </w:tcPr>
          <w:p w14:paraId="20523742">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noWrap w:val="0"/>
            <w:tcMar>
              <w:top w:w="75" w:type="dxa"/>
              <w:left w:w="75" w:type="dxa"/>
              <w:bottom w:w="75" w:type="dxa"/>
              <w:right w:w="75" w:type="dxa"/>
            </w:tcMar>
            <w:vAlign w:val="bottom"/>
          </w:tcPr>
          <w:p w14:paraId="7E3CE4B2">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noWrap w:val="0"/>
            <w:tcMar>
              <w:top w:w="75" w:type="dxa"/>
              <w:left w:w="75" w:type="dxa"/>
              <w:bottom w:w="75" w:type="dxa"/>
              <w:right w:w="75" w:type="dxa"/>
            </w:tcMar>
            <w:vAlign w:val="bottom"/>
          </w:tcPr>
          <w:p w14:paraId="47E7DCC1">
            <w:pPr>
              <w:widowControl/>
              <w:spacing w:line="336" w:lineRule="auto"/>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14:paraId="16BC29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51E14F3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noWrap w:val="0"/>
            <w:vAlign w:val="center"/>
          </w:tcPr>
          <w:p w14:paraId="602B5547">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noWrap w:val="0"/>
            <w:vAlign w:val="center"/>
          </w:tcPr>
          <w:p w14:paraId="41A7F0F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noWrap w:val="0"/>
            <w:vAlign w:val="center"/>
          </w:tcPr>
          <w:p w14:paraId="3AD3842B">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645D5E9D">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17647E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E2127AF">
            <w:pPr>
              <w:widowControl/>
              <w:spacing w:line="336" w:lineRule="auto"/>
              <w:jc w:val="left"/>
              <w:rPr>
                <w:rFonts w:ascii="仿宋" w:hAnsi="仿宋" w:eastAsia="仿宋" w:cs="仿宋"/>
                <w:color w:val="auto"/>
                <w:kern w:val="0"/>
                <w:sz w:val="24"/>
                <w:highlight w:val="none"/>
              </w:rPr>
            </w:pPr>
          </w:p>
        </w:tc>
        <w:tc>
          <w:tcPr>
            <w:tcW w:w="1025" w:type="dxa"/>
            <w:vMerge w:val="continue"/>
            <w:noWrap w:val="0"/>
            <w:vAlign w:val="center"/>
          </w:tcPr>
          <w:p w14:paraId="3176E8DA">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0EA16592">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30196F40">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6439314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301190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194F6F8">
            <w:pPr>
              <w:widowControl/>
              <w:spacing w:line="336" w:lineRule="auto"/>
              <w:jc w:val="left"/>
              <w:rPr>
                <w:rFonts w:ascii="仿宋" w:hAnsi="仿宋" w:eastAsia="仿宋" w:cs="仿宋"/>
                <w:color w:val="auto"/>
                <w:kern w:val="0"/>
                <w:sz w:val="24"/>
                <w:highlight w:val="none"/>
              </w:rPr>
            </w:pPr>
          </w:p>
        </w:tc>
        <w:tc>
          <w:tcPr>
            <w:tcW w:w="1025" w:type="dxa"/>
            <w:vMerge w:val="continue"/>
            <w:noWrap w:val="0"/>
            <w:vAlign w:val="center"/>
          </w:tcPr>
          <w:p w14:paraId="50832B20">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5A96C8DA">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1D44EFB6">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16DCBDCB">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666A62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3BE21B57">
            <w:pPr>
              <w:widowControl/>
              <w:spacing w:line="336" w:lineRule="auto"/>
              <w:jc w:val="left"/>
              <w:rPr>
                <w:rFonts w:ascii="仿宋" w:hAnsi="仿宋" w:eastAsia="仿宋" w:cs="仿宋"/>
                <w:color w:val="auto"/>
                <w:kern w:val="0"/>
                <w:sz w:val="24"/>
                <w:highlight w:val="none"/>
              </w:rPr>
            </w:pPr>
          </w:p>
        </w:tc>
        <w:tc>
          <w:tcPr>
            <w:tcW w:w="1025" w:type="dxa"/>
            <w:vMerge w:val="restart"/>
            <w:noWrap w:val="0"/>
            <w:vAlign w:val="center"/>
          </w:tcPr>
          <w:p w14:paraId="2BD9C49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noWrap w:val="0"/>
            <w:vAlign w:val="center"/>
          </w:tcPr>
          <w:p w14:paraId="41ED8D2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noWrap w:val="0"/>
            <w:vAlign w:val="center"/>
          </w:tcPr>
          <w:p w14:paraId="149E5130">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3BA80A8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503D5E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D49B2A5">
            <w:pPr>
              <w:widowControl/>
              <w:spacing w:line="336" w:lineRule="auto"/>
              <w:jc w:val="left"/>
              <w:rPr>
                <w:rFonts w:ascii="仿宋" w:hAnsi="仿宋" w:eastAsia="仿宋" w:cs="仿宋"/>
                <w:color w:val="auto"/>
                <w:kern w:val="0"/>
                <w:sz w:val="24"/>
                <w:highlight w:val="none"/>
              </w:rPr>
            </w:pPr>
          </w:p>
        </w:tc>
        <w:tc>
          <w:tcPr>
            <w:tcW w:w="1025" w:type="dxa"/>
            <w:vMerge w:val="continue"/>
            <w:noWrap w:val="0"/>
            <w:vAlign w:val="center"/>
          </w:tcPr>
          <w:p w14:paraId="01CB4CFD">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16586380">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43035A00">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31E8590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6E563F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47E62CF9">
            <w:pPr>
              <w:widowControl/>
              <w:spacing w:line="336" w:lineRule="auto"/>
              <w:jc w:val="left"/>
              <w:rPr>
                <w:rFonts w:ascii="仿宋" w:hAnsi="仿宋" w:eastAsia="仿宋" w:cs="仿宋"/>
                <w:color w:val="auto"/>
                <w:kern w:val="0"/>
                <w:sz w:val="24"/>
                <w:highlight w:val="none"/>
              </w:rPr>
            </w:pPr>
          </w:p>
        </w:tc>
        <w:tc>
          <w:tcPr>
            <w:tcW w:w="1025" w:type="dxa"/>
            <w:vMerge w:val="continue"/>
            <w:noWrap w:val="0"/>
            <w:vAlign w:val="center"/>
          </w:tcPr>
          <w:p w14:paraId="1BA5688F">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562747E7">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10CAEB1B">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00E6DB1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6FED7C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B7745A2">
            <w:pPr>
              <w:widowControl/>
              <w:spacing w:line="336" w:lineRule="auto"/>
              <w:jc w:val="left"/>
              <w:rPr>
                <w:rFonts w:ascii="仿宋" w:hAnsi="仿宋" w:eastAsia="仿宋" w:cs="仿宋"/>
                <w:color w:val="auto"/>
                <w:kern w:val="0"/>
                <w:sz w:val="24"/>
                <w:highlight w:val="none"/>
              </w:rPr>
            </w:pPr>
          </w:p>
        </w:tc>
        <w:tc>
          <w:tcPr>
            <w:tcW w:w="1025" w:type="dxa"/>
            <w:vMerge w:val="continue"/>
            <w:noWrap w:val="0"/>
            <w:vAlign w:val="center"/>
          </w:tcPr>
          <w:p w14:paraId="65577A47">
            <w:pPr>
              <w:widowControl/>
              <w:spacing w:line="336" w:lineRule="auto"/>
              <w:jc w:val="left"/>
              <w:rPr>
                <w:rFonts w:ascii="仿宋" w:hAnsi="仿宋" w:eastAsia="仿宋" w:cs="仿宋"/>
                <w:color w:val="auto"/>
                <w:kern w:val="0"/>
                <w:sz w:val="24"/>
                <w:highlight w:val="none"/>
              </w:rPr>
            </w:pPr>
          </w:p>
        </w:tc>
        <w:tc>
          <w:tcPr>
            <w:tcW w:w="2836" w:type="dxa"/>
            <w:vMerge w:val="restart"/>
            <w:noWrap w:val="0"/>
            <w:vAlign w:val="center"/>
          </w:tcPr>
          <w:p w14:paraId="7EA62CD6">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noWrap w:val="0"/>
            <w:vAlign w:val="center"/>
          </w:tcPr>
          <w:p w14:paraId="640BCAB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1D625923">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5A897D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24B0C668">
            <w:pPr>
              <w:widowControl/>
              <w:spacing w:line="336" w:lineRule="auto"/>
              <w:jc w:val="left"/>
              <w:rPr>
                <w:rFonts w:ascii="仿宋" w:hAnsi="仿宋" w:eastAsia="仿宋" w:cs="仿宋"/>
                <w:color w:val="auto"/>
                <w:kern w:val="0"/>
                <w:sz w:val="24"/>
                <w:highlight w:val="none"/>
              </w:rPr>
            </w:pPr>
          </w:p>
        </w:tc>
        <w:tc>
          <w:tcPr>
            <w:tcW w:w="1025" w:type="dxa"/>
            <w:vMerge w:val="continue"/>
            <w:noWrap w:val="0"/>
            <w:vAlign w:val="center"/>
          </w:tcPr>
          <w:p w14:paraId="61F8E163">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57D9291C">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6071DD2A">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4185A0EF">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5914D1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BAFC6E3">
            <w:pPr>
              <w:widowControl/>
              <w:spacing w:line="336" w:lineRule="auto"/>
              <w:jc w:val="left"/>
              <w:rPr>
                <w:rFonts w:ascii="仿宋" w:hAnsi="仿宋" w:eastAsia="仿宋" w:cs="仿宋"/>
                <w:color w:val="auto"/>
                <w:kern w:val="0"/>
                <w:sz w:val="24"/>
                <w:highlight w:val="none"/>
              </w:rPr>
            </w:pPr>
          </w:p>
        </w:tc>
        <w:tc>
          <w:tcPr>
            <w:tcW w:w="1025" w:type="dxa"/>
            <w:vMerge w:val="continue"/>
            <w:noWrap w:val="0"/>
            <w:vAlign w:val="center"/>
          </w:tcPr>
          <w:p w14:paraId="2BE70D77">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5E127D34">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5562D6E7">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53132207">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3BF9AB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5A5E673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noWrap w:val="0"/>
            <w:vAlign w:val="center"/>
          </w:tcPr>
          <w:p w14:paraId="3DF056F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noWrap w:val="0"/>
            <w:vAlign w:val="center"/>
          </w:tcPr>
          <w:p w14:paraId="1899E60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2F6D06F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14:paraId="4A50A6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6AA2D81E">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6FF59131">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56B8B880">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0E2918D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14:paraId="5AC25D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2CE5C278">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12D24E10">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0E3CEBFD">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136A66B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14:paraId="0532A6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7B101537">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noWrap w:val="0"/>
            <w:vAlign w:val="center"/>
          </w:tcPr>
          <w:p w14:paraId="133869C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noWrap w:val="0"/>
            <w:vAlign w:val="center"/>
          </w:tcPr>
          <w:p w14:paraId="3FFCF26A">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4F63062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14:paraId="0D5D21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6AFE5AD6">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5536E32B">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3C6FE7CA">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2D6CE7F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3B5E54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7F7F4078">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4F3FB082">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259F7FB6">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08752DF2">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044CFF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7716EDB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noWrap w:val="0"/>
            <w:vAlign w:val="center"/>
          </w:tcPr>
          <w:p w14:paraId="07AC0C1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noWrap w:val="0"/>
            <w:vAlign w:val="center"/>
          </w:tcPr>
          <w:p w14:paraId="7497527A">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noWrap w:val="0"/>
            <w:vAlign w:val="center"/>
          </w:tcPr>
          <w:p w14:paraId="40C49FF3">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006E51B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14:paraId="475198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7726ECC">
            <w:pPr>
              <w:widowControl/>
              <w:spacing w:line="336" w:lineRule="auto"/>
              <w:jc w:val="left"/>
              <w:rPr>
                <w:rFonts w:ascii="仿宋" w:hAnsi="仿宋" w:eastAsia="仿宋" w:cs="仿宋"/>
                <w:color w:val="auto"/>
                <w:kern w:val="0"/>
                <w:sz w:val="24"/>
                <w:highlight w:val="none"/>
              </w:rPr>
            </w:pPr>
          </w:p>
        </w:tc>
        <w:tc>
          <w:tcPr>
            <w:tcW w:w="1025" w:type="dxa"/>
            <w:vMerge w:val="continue"/>
            <w:noWrap w:val="0"/>
            <w:vAlign w:val="center"/>
          </w:tcPr>
          <w:p w14:paraId="09DB4CC8">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279B6AE0">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7BE71FC3">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7F60B3A1">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5C1BC8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4216C69F">
            <w:pPr>
              <w:widowControl/>
              <w:spacing w:line="336" w:lineRule="auto"/>
              <w:jc w:val="left"/>
              <w:rPr>
                <w:rFonts w:ascii="仿宋" w:hAnsi="仿宋" w:eastAsia="仿宋" w:cs="仿宋"/>
                <w:color w:val="auto"/>
                <w:kern w:val="0"/>
                <w:sz w:val="24"/>
                <w:highlight w:val="none"/>
              </w:rPr>
            </w:pPr>
          </w:p>
        </w:tc>
        <w:tc>
          <w:tcPr>
            <w:tcW w:w="1025" w:type="dxa"/>
            <w:vMerge w:val="continue"/>
            <w:noWrap w:val="0"/>
            <w:vAlign w:val="center"/>
          </w:tcPr>
          <w:p w14:paraId="153D8B52">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56B68F57">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6A76264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619F829F">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248FE7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6724B9F0">
            <w:pPr>
              <w:widowControl/>
              <w:spacing w:line="336" w:lineRule="auto"/>
              <w:jc w:val="left"/>
              <w:rPr>
                <w:rFonts w:ascii="仿宋" w:hAnsi="仿宋" w:eastAsia="仿宋" w:cs="仿宋"/>
                <w:color w:val="auto"/>
                <w:kern w:val="0"/>
                <w:sz w:val="24"/>
                <w:highlight w:val="none"/>
              </w:rPr>
            </w:pPr>
          </w:p>
        </w:tc>
        <w:tc>
          <w:tcPr>
            <w:tcW w:w="1025" w:type="dxa"/>
            <w:vMerge w:val="restart"/>
            <w:noWrap w:val="0"/>
            <w:vAlign w:val="center"/>
          </w:tcPr>
          <w:p w14:paraId="7B613080">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noWrap w:val="0"/>
            <w:vAlign w:val="center"/>
          </w:tcPr>
          <w:p w14:paraId="42640FF0">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noWrap w:val="0"/>
            <w:vAlign w:val="center"/>
          </w:tcPr>
          <w:p w14:paraId="75EDE31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4F4C810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18C47F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3404413F">
            <w:pPr>
              <w:widowControl/>
              <w:spacing w:line="336" w:lineRule="auto"/>
              <w:jc w:val="left"/>
              <w:rPr>
                <w:rFonts w:ascii="仿宋" w:hAnsi="仿宋" w:eastAsia="仿宋" w:cs="仿宋"/>
                <w:color w:val="auto"/>
                <w:kern w:val="0"/>
                <w:sz w:val="24"/>
                <w:highlight w:val="none"/>
              </w:rPr>
            </w:pPr>
          </w:p>
        </w:tc>
        <w:tc>
          <w:tcPr>
            <w:tcW w:w="1025" w:type="dxa"/>
            <w:vMerge w:val="continue"/>
            <w:noWrap w:val="0"/>
            <w:vAlign w:val="center"/>
          </w:tcPr>
          <w:p w14:paraId="08353D3F">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5033B2E0">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48032EC5">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16A76573">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4E3029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CF97B46">
            <w:pPr>
              <w:widowControl/>
              <w:spacing w:line="336" w:lineRule="auto"/>
              <w:jc w:val="left"/>
              <w:rPr>
                <w:rFonts w:ascii="仿宋" w:hAnsi="仿宋" w:eastAsia="仿宋" w:cs="仿宋"/>
                <w:color w:val="auto"/>
                <w:kern w:val="0"/>
                <w:sz w:val="24"/>
                <w:highlight w:val="none"/>
              </w:rPr>
            </w:pPr>
          </w:p>
        </w:tc>
        <w:tc>
          <w:tcPr>
            <w:tcW w:w="1025" w:type="dxa"/>
            <w:vMerge w:val="continue"/>
            <w:noWrap w:val="0"/>
            <w:vAlign w:val="center"/>
          </w:tcPr>
          <w:p w14:paraId="627A6128">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329CB698">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7755E0A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5F27EF79">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76B171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53C8C3D">
            <w:pPr>
              <w:widowControl/>
              <w:spacing w:line="336" w:lineRule="auto"/>
              <w:jc w:val="left"/>
              <w:rPr>
                <w:rFonts w:ascii="仿宋" w:hAnsi="仿宋" w:eastAsia="仿宋" w:cs="仿宋"/>
                <w:color w:val="auto"/>
                <w:kern w:val="0"/>
                <w:sz w:val="24"/>
                <w:highlight w:val="none"/>
              </w:rPr>
            </w:pPr>
          </w:p>
        </w:tc>
        <w:tc>
          <w:tcPr>
            <w:tcW w:w="1025" w:type="dxa"/>
            <w:vMerge w:val="restart"/>
            <w:noWrap w:val="0"/>
            <w:vAlign w:val="center"/>
          </w:tcPr>
          <w:p w14:paraId="1D66BBD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noWrap w:val="0"/>
            <w:vAlign w:val="center"/>
          </w:tcPr>
          <w:p w14:paraId="1496D5C8">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noWrap w:val="0"/>
            <w:vAlign w:val="center"/>
          </w:tcPr>
          <w:p w14:paraId="7B37790B">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580C0D8E">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31C25A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8C797D5">
            <w:pPr>
              <w:widowControl/>
              <w:spacing w:line="336" w:lineRule="auto"/>
              <w:jc w:val="left"/>
              <w:rPr>
                <w:rFonts w:ascii="仿宋" w:hAnsi="仿宋" w:eastAsia="仿宋" w:cs="仿宋"/>
                <w:color w:val="auto"/>
                <w:kern w:val="0"/>
                <w:sz w:val="24"/>
                <w:highlight w:val="none"/>
              </w:rPr>
            </w:pPr>
          </w:p>
        </w:tc>
        <w:tc>
          <w:tcPr>
            <w:tcW w:w="1025" w:type="dxa"/>
            <w:vMerge w:val="continue"/>
            <w:noWrap w:val="0"/>
            <w:vAlign w:val="center"/>
          </w:tcPr>
          <w:p w14:paraId="33053737">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3665E9ED">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52F2001B">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2A3EC04C">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67E70F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9AA049A">
            <w:pPr>
              <w:widowControl/>
              <w:spacing w:line="336" w:lineRule="auto"/>
              <w:jc w:val="left"/>
              <w:rPr>
                <w:rFonts w:ascii="仿宋" w:hAnsi="仿宋" w:eastAsia="仿宋" w:cs="仿宋"/>
                <w:color w:val="auto"/>
                <w:kern w:val="0"/>
                <w:sz w:val="24"/>
                <w:highlight w:val="none"/>
              </w:rPr>
            </w:pPr>
          </w:p>
        </w:tc>
        <w:tc>
          <w:tcPr>
            <w:tcW w:w="1025" w:type="dxa"/>
            <w:vMerge w:val="continue"/>
            <w:noWrap w:val="0"/>
            <w:vAlign w:val="center"/>
          </w:tcPr>
          <w:p w14:paraId="121D017D">
            <w:pPr>
              <w:widowControl/>
              <w:spacing w:line="336" w:lineRule="auto"/>
              <w:jc w:val="left"/>
              <w:rPr>
                <w:rFonts w:ascii="仿宋" w:hAnsi="仿宋" w:eastAsia="仿宋" w:cs="仿宋"/>
                <w:color w:val="auto"/>
                <w:kern w:val="0"/>
                <w:sz w:val="24"/>
                <w:highlight w:val="none"/>
              </w:rPr>
            </w:pPr>
          </w:p>
        </w:tc>
        <w:tc>
          <w:tcPr>
            <w:tcW w:w="2836" w:type="dxa"/>
            <w:vMerge w:val="continue"/>
            <w:noWrap w:val="0"/>
            <w:vAlign w:val="center"/>
          </w:tcPr>
          <w:p w14:paraId="226B5550">
            <w:pPr>
              <w:widowControl/>
              <w:spacing w:line="336" w:lineRule="auto"/>
              <w:jc w:val="left"/>
              <w:rPr>
                <w:rFonts w:ascii="仿宋" w:hAnsi="仿宋" w:eastAsia="仿宋" w:cs="仿宋"/>
                <w:color w:val="auto"/>
                <w:kern w:val="0"/>
                <w:sz w:val="24"/>
                <w:highlight w:val="none"/>
              </w:rPr>
            </w:pPr>
          </w:p>
        </w:tc>
        <w:tc>
          <w:tcPr>
            <w:tcW w:w="606" w:type="dxa"/>
            <w:noWrap w:val="0"/>
            <w:vAlign w:val="center"/>
          </w:tcPr>
          <w:p w14:paraId="7CCBBDF4">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044434BA">
            <w:pPr>
              <w:widowControl/>
              <w:spacing w:line="336" w:lineRule="auto"/>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14:paraId="093DA1BF">
      <w:pPr>
        <w:spacing w:line="336" w:lineRule="auto"/>
        <w:rPr>
          <w:rFonts w:ascii="仿宋" w:hAnsi="仿宋" w:eastAsia="仿宋" w:cs="仿宋"/>
          <w:color w:val="auto"/>
          <w:sz w:val="24"/>
          <w:highlight w:val="none"/>
        </w:rPr>
      </w:pPr>
    </w:p>
    <w:p w14:paraId="148CD5FA">
      <w:pPr>
        <w:rPr>
          <w:color w:val="auto"/>
          <w:highlight w:val="none"/>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roman"/>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FCAA1">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E0C1BF">
    <w:pPr>
      <w:pStyle w:val="13"/>
      <w:framePr w:wrap="around" w:vAnchor="text" w:hAnchor="margin" w:xAlign="right" w:y="1"/>
      <w:rPr>
        <w:rStyle w:val="20"/>
      </w:rPr>
    </w:pPr>
    <w:r>
      <w:fldChar w:fldCharType="begin"/>
    </w:r>
    <w:r>
      <w:rPr>
        <w:rStyle w:val="20"/>
      </w:rPr>
      <w:instrText xml:space="preserve">PAGE  </w:instrText>
    </w:r>
    <w:r>
      <w:fldChar w:fldCharType="end"/>
    </w:r>
  </w:p>
  <w:p w14:paraId="36C8B751">
    <w:pPr>
      <w:pStyle w:val="1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DA471C">
    <w:pPr>
      <w:pStyle w:val="1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D3CE0">
    <w:pPr>
      <w:pStyle w:val="13"/>
      <w:rPr>
        <w:rFonts w:ascii="仿宋" w:hAnsi="仿宋" w:eastAsia="仿宋" w:cs="仿宋"/>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4606E4">
    <w:pPr>
      <w:pStyle w:val="13"/>
      <w:jc w:val="center"/>
      <w:rPr>
        <w:rFonts w:ascii="仿宋" w:hAnsi="仿宋" w:eastAsia="仿宋" w:cs="仿宋"/>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D80BE">
    <w:pPr>
      <w:pStyle w:val="1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14:paraId="39D011D2">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088EA">
    <w:pPr>
      <w:pStyle w:val="1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14:paraId="25EF2C2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560195">
    <w:pPr>
      <w:pStyle w:val="13"/>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03910A">
    <w:pPr>
      <w:pStyle w:val="13"/>
      <w:framePr w:wrap="around" w:vAnchor="text" w:hAnchor="margin" w:xAlign="right" w:y="1"/>
      <w:rPr>
        <w:rStyle w:val="20"/>
      </w:rPr>
    </w:pPr>
    <w:r>
      <w:fldChar w:fldCharType="begin"/>
    </w:r>
    <w:r>
      <w:rPr>
        <w:rStyle w:val="20"/>
      </w:rPr>
      <w:instrText xml:space="preserve">PAGE  </w:instrText>
    </w:r>
    <w:r>
      <w:fldChar w:fldCharType="end"/>
    </w:r>
  </w:p>
  <w:p w14:paraId="64C35BD2">
    <w:pPr>
      <w:pStyle w:val="13"/>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B04B53">
    <w:pPr>
      <w:pStyle w:val="13"/>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bookmarkStart w:id="181" w:name="_Toc164085800"/>
    <w:bookmarkStart w:id="182" w:name="_Toc91899912"/>
    <w:bookmarkStart w:id="183" w:name="_Toc36110187"/>
    <w:bookmarkStart w:id="184" w:name="_Toc131845147"/>
    <w:r>
      <w:rPr>
        <w:rFonts w:hint="eastAsia" w:ascii="仿宋_GB2312" w:eastAsia="仿宋_GB2312"/>
        <w:kern w:val="0"/>
        <w:szCs w:val="21"/>
      </w:rPr>
      <w:t xml:space="preserve"> 页</w:t>
    </w:r>
    <w:bookmarkEnd w:id="181"/>
    <w:bookmarkEnd w:id="182"/>
    <w:bookmarkEnd w:id="183"/>
    <w:bookmarkEnd w:id="18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081EA9">
    <w:pPr>
      <w:pStyle w:val="14"/>
    </w:pPr>
    <w:r>
      <w:rPr>
        <w:rFonts w:hint="eastAsia" w:ascii="仿宋" w:hAnsi="仿宋" w:eastAsia="仿宋" w:cs="仿宋"/>
        <w:lang w:eastAsia="zh-CN"/>
      </w:rPr>
      <w:t>绍兴虬实企业管理咨询有限公司</w:t>
    </w:r>
    <w:r>
      <w:rPr>
        <w:rFonts w:hint="eastAsia" w:ascii="仿宋" w:hAnsi="仿宋" w:eastAsia="仿宋" w:cs="仿宋"/>
      </w:rPr>
      <w:t xml:space="preserve">                         磋商文件编号: SXQS-202502-CS011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FAD9E4">
    <w:pPr>
      <w:pStyle w:val="1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D18983">
    <w:pPr>
      <w:pStyle w:val="14"/>
      <w:jc w:val="left"/>
      <w:rPr>
        <w:rFonts w:hint="eastAsia" w:ascii="仿宋" w:hAnsi="仿宋" w:eastAsia="仿宋" w:cs="仿宋"/>
      </w:rPr>
    </w:pPr>
    <w:r>
      <w:rPr>
        <w:rFonts w:hint="eastAsia" w:ascii="仿宋" w:hAnsi="仿宋" w:eastAsia="仿宋" w:cs="仿宋"/>
        <w:lang w:eastAsia="zh-CN"/>
      </w:rPr>
      <w:t>绍兴虬实企业管理咨询有限公司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磋商</w:t>
    </w:r>
    <w:r>
      <w:rPr>
        <w:rFonts w:hint="eastAsia" w:ascii="仿宋" w:hAnsi="仿宋" w:eastAsia="仿宋" w:cs="仿宋"/>
      </w:rPr>
      <w:t xml:space="preserve">文件编号: </w:t>
    </w:r>
    <w:r>
      <w:rPr>
        <w:rFonts w:hint="eastAsia" w:ascii="仿宋" w:hAnsi="仿宋" w:eastAsia="仿宋" w:cs="仿宋"/>
        <w:lang w:val="en-US" w:eastAsia="zh-CN"/>
      </w:rPr>
      <w:t xml:space="preserve"> </w:t>
    </w:r>
    <w:r>
      <w:rPr>
        <w:rFonts w:hint="eastAsia" w:ascii="仿宋" w:hAnsi="仿宋" w:eastAsia="仿宋" w:cs="仿宋"/>
      </w:rPr>
      <w:t>SXQS-202502-CS011</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F5D47A">
    <w:pPr>
      <w:pStyle w:val="14"/>
      <w:pBdr>
        <w:bottom w:val="single" w:color="auto" w:sz="4" w:space="1"/>
      </w:pBdr>
      <w:jc w:val="center"/>
    </w:pPr>
    <w:r>
      <w:rPr>
        <w:rFonts w:hint="eastAsia" w:ascii="仿宋" w:hAnsi="仿宋" w:eastAsia="仿宋" w:cs="仿宋"/>
        <w:lang w:eastAsia="zh-CN"/>
      </w:rPr>
      <w:t>绍兴虬实企业管理咨询有限公司</w:t>
    </w:r>
    <w:r>
      <w:rPr>
        <w:rFonts w:hint="eastAsia" w:ascii="仿宋" w:hAnsi="仿宋" w:eastAsia="仿宋" w:cs="仿宋"/>
      </w:rPr>
      <w:t xml:space="preserve">                         磋商文件编号: SXQS-202502-CS011</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534A5">
    <w:pPr>
      <w:pStyle w:val="14"/>
      <w:tabs>
        <w:tab w:val="center" w:pos="0"/>
      </w:tabs>
      <w:jc w:val="left"/>
      <w:rPr>
        <w:rFonts w:eastAsia="仿宋_GB2312"/>
      </w:rPr>
    </w:pPr>
    <w:r>
      <w:t></w:t>
    </w:r>
    <w:r>
      <w:rPr>
        <w:rFonts w:hint="eastAsia" w:ascii="仿宋" w:hAnsi="仿宋" w:eastAsia="仿宋" w:cs="仿宋"/>
      </w:rPr>
      <w:t xml:space="preserve">（代理机构）                                                           磋商文件编号:  </w:t>
    </w:r>
  </w:p>
  <w:p w14:paraId="0EA0A1D7">
    <w:pPr>
      <w:pStyle w:val="14"/>
      <w:pBdr>
        <w:bottom w:val="none" w:color="auto" w:sz="0" w:space="1"/>
      </w:pBdr>
      <w:jc w:val="right"/>
    </w:pPr>
    <w: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7B2BA8">
    <w:pPr>
      <w:pStyle w:val="14"/>
      <w:jc w:val="center"/>
      <w:rPr>
        <w:b/>
        <w:bCs/>
      </w:rPr>
    </w:pPr>
    <w:r>
      <w:rPr>
        <w:rFonts w:hint="eastAsia" w:ascii="仿宋" w:hAnsi="仿宋" w:eastAsia="仿宋" w:cs="仿宋"/>
        <w:lang w:eastAsia="zh-CN"/>
      </w:rPr>
      <w:t>绍兴虬实企业管理咨询有限公司</w:t>
    </w:r>
    <w:r>
      <w:rPr>
        <w:rFonts w:hint="eastAsia" w:ascii="仿宋" w:hAnsi="仿宋" w:eastAsia="仿宋" w:cs="仿宋"/>
      </w:rPr>
      <w:t xml:space="preserve">                         磋商文件编号: SXQS-202502-CS011</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60CA5A">
    <w:pPr>
      <w:pStyle w:val="14"/>
      <w:pBdr>
        <w:bottom w:val="single" w:color="auto" w:sz="4" w:space="1"/>
      </w:pBdr>
      <w:jc w:val="center"/>
      <w:rPr>
        <w:rFonts w:eastAsia="仿宋_GB2312"/>
      </w:rPr>
    </w:pPr>
    <w:r>
      <w:rPr>
        <w:rFonts w:hint="eastAsia" w:ascii="仿宋" w:hAnsi="仿宋" w:eastAsia="仿宋" w:cs="仿宋"/>
        <w:lang w:eastAsia="zh-CN"/>
      </w:rPr>
      <w:t>绍兴虬实企业管理咨询有限公司</w:t>
    </w:r>
    <w:r>
      <w:rPr>
        <w:rFonts w:hint="eastAsia" w:ascii="仿宋" w:hAnsi="仿宋" w:eastAsia="仿宋" w:cs="仿宋"/>
      </w:rPr>
      <w:t xml:space="preserve">                         磋商文件编号: SXQS-202502-CS011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7F796A5"/>
    <w:multiLevelType w:val="singleLevel"/>
    <w:tmpl w:val="C7F796A5"/>
    <w:lvl w:ilvl="0" w:tentative="0">
      <w:start w:val="1"/>
      <w:numFmt w:val="decimal"/>
      <w:pStyle w:val="5"/>
      <w:lvlText w:val="%1."/>
      <w:lvlJc w:val="left"/>
      <w:pPr>
        <w:tabs>
          <w:tab w:val="left" w:pos="780"/>
        </w:tabs>
        <w:ind w:left="780" w:hanging="360"/>
      </w:pPr>
    </w:lvl>
  </w:abstractNum>
  <w:abstractNum w:abstractNumId="1">
    <w:nsid w:val="ED7A3EF0"/>
    <w:multiLevelType w:val="singleLevel"/>
    <w:tmpl w:val="ED7A3EF0"/>
    <w:lvl w:ilvl="0" w:tentative="0">
      <w:start w:val="5"/>
      <w:numFmt w:val="chineseCounting"/>
      <w:suff w:val="nothing"/>
      <w:lvlText w:val="%1、"/>
      <w:lvlJc w:val="left"/>
      <w:rPr>
        <w:rFonts w:hint="eastAsia"/>
      </w:rPr>
    </w:lvl>
  </w:abstractNum>
  <w:abstractNum w:abstractNumId="2">
    <w:nsid w:val="00000000"/>
    <w:multiLevelType w:val="singleLevel"/>
    <w:tmpl w:val="00000000"/>
    <w:lvl w:ilvl="0" w:tentative="0">
      <w:start w:val="1"/>
      <w:numFmt w:val="decimal"/>
      <w:suff w:val="nothing"/>
      <w:lvlText w:val="（%1）"/>
      <w:lvlJc w:val="left"/>
    </w:lvl>
  </w:abstractNum>
  <w:abstractNum w:abstractNumId="3">
    <w:nsid w:val="00000001"/>
    <w:multiLevelType w:val="singleLevel"/>
    <w:tmpl w:val="00000001"/>
    <w:lvl w:ilvl="0" w:tentative="0">
      <w:start w:val="1"/>
      <w:numFmt w:val="decimal"/>
      <w:suff w:val="nothing"/>
      <w:lvlText w:val="（%1）"/>
      <w:lvlJc w:val="left"/>
    </w:lvl>
  </w:abstractNum>
  <w:abstractNum w:abstractNumId="4">
    <w:nsid w:val="00000003"/>
    <w:multiLevelType w:val="multilevel"/>
    <w:tmpl w:val="00000003"/>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5">
    <w:nsid w:val="00000004"/>
    <w:multiLevelType w:val="multilevel"/>
    <w:tmpl w:val="00000004"/>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6">
    <w:nsid w:val="00000005"/>
    <w:multiLevelType w:val="multilevel"/>
    <w:tmpl w:val="00000005"/>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7">
    <w:nsid w:val="531D58B7"/>
    <w:multiLevelType w:val="singleLevel"/>
    <w:tmpl w:val="531D58B7"/>
    <w:lvl w:ilvl="0" w:tentative="0">
      <w:start w:val="1"/>
      <w:numFmt w:val="decimal"/>
      <w:lvlText w:val="%1."/>
      <w:lvlJc w:val="left"/>
      <w:pPr>
        <w:tabs>
          <w:tab w:val="left" w:pos="312"/>
        </w:tabs>
      </w:pPr>
    </w:lvl>
  </w:abstractNum>
  <w:abstractNum w:abstractNumId="8">
    <w:nsid w:val="7FCCE94B"/>
    <w:multiLevelType w:val="singleLevel"/>
    <w:tmpl w:val="7FCCE94B"/>
    <w:lvl w:ilvl="0" w:tentative="0">
      <w:start w:val="1"/>
      <w:numFmt w:val="decimal"/>
      <w:pStyle w:val="6"/>
      <w:lvlText w:val="%1."/>
      <w:lvlJc w:val="left"/>
      <w:pPr>
        <w:tabs>
          <w:tab w:val="left" w:pos="360"/>
        </w:tabs>
        <w:ind w:left="360" w:hanging="360"/>
      </w:pPr>
    </w:lvl>
  </w:abstractNum>
  <w:num w:numId="1">
    <w:abstractNumId w:val="6"/>
  </w:num>
  <w:num w:numId="2">
    <w:abstractNumId w:val="5"/>
  </w:num>
  <w:num w:numId="3">
    <w:abstractNumId w:val="0"/>
  </w:num>
  <w:num w:numId="4">
    <w:abstractNumId w:val="8"/>
  </w:num>
  <w:num w:numId="5">
    <w:abstractNumId w:val="7"/>
  </w:num>
  <w:num w:numId="6">
    <w:abstractNumId w:val="4"/>
  </w:num>
  <w:num w:numId="7">
    <w:abstractNumId w:val="3"/>
  </w:num>
  <w:num w:numId="8">
    <w:abstractNumId w:val="2"/>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9426111"/>
    <w:rsid w:val="0E5057A7"/>
    <w:rsid w:val="117A212C"/>
    <w:rsid w:val="13B079DA"/>
    <w:rsid w:val="1CF10B92"/>
    <w:rsid w:val="23AE73B5"/>
    <w:rsid w:val="27522D53"/>
    <w:rsid w:val="2F535CCD"/>
    <w:rsid w:val="3127451A"/>
    <w:rsid w:val="3357573C"/>
    <w:rsid w:val="34032E1B"/>
    <w:rsid w:val="34231BA0"/>
    <w:rsid w:val="42F96647"/>
    <w:rsid w:val="48657AC5"/>
    <w:rsid w:val="49AF57A5"/>
    <w:rsid w:val="4CEF3B10"/>
    <w:rsid w:val="4E7B594C"/>
    <w:rsid w:val="4EED611E"/>
    <w:rsid w:val="500D49E0"/>
    <w:rsid w:val="5AA131CC"/>
    <w:rsid w:val="5C7F146B"/>
    <w:rsid w:val="5E24290B"/>
    <w:rsid w:val="5E4A7C8A"/>
    <w:rsid w:val="5F336207"/>
    <w:rsid w:val="5FBA1B9B"/>
    <w:rsid w:val="65590190"/>
    <w:rsid w:val="69AE3CF0"/>
    <w:rsid w:val="700D5716"/>
    <w:rsid w:val="73594AC5"/>
    <w:rsid w:val="7B11051F"/>
    <w:rsid w:val="7E83527B"/>
    <w:rsid w:val="7F0FB16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numPr>
        <w:ilvl w:val="0"/>
        <w:numId w:val="1"/>
      </w:numPr>
      <w:spacing w:before="340" w:after="330" w:line="578" w:lineRule="auto"/>
      <w:outlineLvl w:val="0"/>
    </w:pPr>
    <w:rPr>
      <w:b/>
      <w:bCs/>
      <w:kern w:val="44"/>
      <w:sz w:val="44"/>
      <w:szCs w:val="44"/>
    </w:rPr>
  </w:style>
  <w:style w:type="paragraph" w:styleId="4">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character" w:default="1" w:styleId="19">
    <w:name w:val="Default Paragraph Font"/>
    <w:semiHidden/>
    <w:qFormat/>
    <w:uiPriority w:val="0"/>
  </w:style>
  <w:style w:type="table" w:default="1" w:styleId="17">
    <w:name w:val="Normal Table"/>
    <w:semiHidden/>
    <w:qFormat/>
    <w:uiPriority w:val="0"/>
    <w:tblPr>
      <w:tblCellMar>
        <w:top w:w="0" w:type="dxa"/>
        <w:left w:w="108" w:type="dxa"/>
        <w:bottom w:w="0" w:type="dxa"/>
        <w:right w:w="108" w:type="dxa"/>
      </w:tblCellMar>
    </w:tblPr>
  </w:style>
  <w:style w:type="paragraph" w:customStyle="1" w:styleId="2">
    <w:name w:val="Default"/>
    <w:next w:val="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styleId="5">
    <w:name w:val="List Number 2"/>
    <w:basedOn w:val="1"/>
    <w:qFormat/>
    <w:uiPriority w:val="0"/>
    <w:pPr>
      <w:numPr>
        <w:ilvl w:val="0"/>
        <w:numId w:val="3"/>
      </w:numPr>
    </w:pPr>
  </w:style>
  <w:style w:type="paragraph" w:styleId="6">
    <w:name w:val="List Number"/>
    <w:basedOn w:val="1"/>
    <w:qFormat/>
    <w:uiPriority w:val="0"/>
    <w:pPr>
      <w:numPr>
        <w:ilvl w:val="0"/>
        <w:numId w:val="4"/>
      </w:numPr>
    </w:pPr>
  </w:style>
  <w:style w:type="paragraph" w:styleId="7">
    <w:name w:val="Normal Indent"/>
    <w:basedOn w:val="1"/>
    <w:qFormat/>
    <w:uiPriority w:val="0"/>
    <w:pPr>
      <w:widowControl/>
      <w:snapToGrid w:val="0"/>
      <w:spacing w:line="480" w:lineRule="exact"/>
      <w:ind w:firstLine="567"/>
    </w:pPr>
    <w:rPr>
      <w:rFonts w:ascii="宋体"/>
      <w:snapToGrid w:val="0"/>
      <w:color w:val="000000"/>
      <w:kern w:val="28"/>
      <w:sz w:val="28"/>
      <w:szCs w:val="20"/>
    </w:rPr>
  </w:style>
  <w:style w:type="paragraph" w:styleId="8">
    <w:name w:val="annotation text"/>
    <w:basedOn w:val="1"/>
    <w:qFormat/>
    <w:uiPriority w:val="99"/>
    <w:pPr>
      <w:jc w:val="left"/>
    </w:pPr>
  </w:style>
  <w:style w:type="paragraph" w:styleId="9">
    <w:name w:val="Body Text"/>
    <w:basedOn w:val="1"/>
    <w:next w:val="10"/>
    <w:qFormat/>
    <w:uiPriority w:val="0"/>
    <w:pPr>
      <w:autoSpaceDE w:val="0"/>
      <w:autoSpaceDN w:val="0"/>
      <w:spacing w:line="360" w:lineRule="auto"/>
    </w:pPr>
    <w:rPr>
      <w:rFonts w:ascii="宋体"/>
      <w:sz w:val="24"/>
      <w:szCs w:val="21"/>
      <w:lang w:val="zh-CN"/>
    </w:rPr>
  </w:style>
  <w:style w:type="paragraph" w:styleId="10">
    <w:name w:val="Body Text First Indent"/>
    <w:basedOn w:val="9"/>
    <w:next w:val="1"/>
    <w:qFormat/>
    <w:uiPriority w:val="0"/>
    <w:pPr>
      <w:ind w:firstLine="420"/>
    </w:pPr>
    <w:rPr>
      <w:szCs w:val="20"/>
    </w:rPr>
  </w:style>
  <w:style w:type="paragraph" w:styleId="11">
    <w:name w:val="Body Text Indent"/>
    <w:basedOn w:val="1"/>
    <w:qFormat/>
    <w:uiPriority w:val="0"/>
    <w:pPr>
      <w:spacing w:line="480" w:lineRule="exact"/>
      <w:ind w:firstLine="480" w:firstLineChars="200"/>
    </w:pPr>
    <w:rPr>
      <w:rFonts w:ascii="宋体" w:hAnsi="宋体"/>
      <w:sz w:val="24"/>
    </w:rPr>
  </w:style>
  <w:style w:type="paragraph" w:styleId="12">
    <w:name w:val="Plain Text"/>
    <w:basedOn w:val="1"/>
    <w:next w:val="1"/>
    <w:qFormat/>
    <w:uiPriority w:val="0"/>
    <w:rPr>
      <w:rFonts w:ascii="宋体" w:hAnsi="Courier New"/>
      <w:szCs w:val="20"/>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99"/>
  </w:style>
  <w:style w:type="paragraph" w:styleId="16">
    <w:name w:val="Normal (Web)"/>
    <w:basedOn w:val="1"/>
    <w:qFormat/>
    <w:uiPriority w:val="0"/>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table" w:styleId="18">
    <w:name w:val="Table Grid"/>
    <w:basedOn w:val="17"/>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0">
    <w:name w:val="page number"/>
    <w:basedOn w:val="19"/>
    <w:qFormat/>
    <w:uiPriority w:val="0"/>
  </w:style>
  <w:style w:type="character" w:styleId="21">
    <w:name w:val="Hyperlink"/>
    <w:qFormat/>
    <w:uiPriority w:val="0"/>
    <w:rPr>
      <w:rFonts w:ascii="Arial" w:hAnsi="Arial" w:eastAsia="黑体" w:cs="Arial"/>
      <w:snapToGrid w:val="0"/>
      <w:color w:val="000000"/>
      <w:kern w:val="0"/>
      <w:sz w:val="18"/>
      <w:szCs w:val="18"/>
      <w:u w:val="none"/>
    </w:rPr>
  </w:style>
  <w:style w:type="character" w:styleId="22">
    <w:name w:val="annotation reference"/>
    <w:qFormat/>
    <w:uiPriority w:val="99"/>
    <w:rPr>
      <w:sz w:val="21"/>
      <w:szCs w:val="21"/>
    </w:rPr>
  </w:style>
  <w:style w:type="paragraph" w:customStyle="1" w:styleId="23">
    <w:name w:val="首行缩进"/>
    <w:basedOn w:val="1"/>
    <w:qFormat/>
    <w:uiPriority w:val="0"/>
    <w:pPr>
      <w:spacing w:line="360" w:lineRule="auto"/>
      <w:ind w:firstLine="480" w:firstLineChars="200"/>
    </w:pPr>
    <w:rPr>
      <w:rFonts w:ascii="宋体" w:hAnsi="宋体" w:cs="宋体"/>
      <w:kern w:val="0"/>
      <w:sz w:val="24"/>
    </w:rPr>
  </w:style>
  <w:style w:type="paragraph" w:customStyle="1" w:styleId="24">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25">
    <w:name w:val="正文2"/>
    <w:basedOn w:val="1"/>
    <w:qFormat/>
    <w:uiPriority w:val="0"/>
    <w:pPr>
      <w:spacing w:before="156" w:line="360" w:lineRule="auto"/>
      <w:ind w:firstLine="510" w:firstLineChars="200"/>
    </w:pPr>
    <w:rPr>
      <w:sz w:val="24"/>
      <w:szCs w:val="20"/>
    </w:rPr>
  </w:style>
  <w:style w:type="paragraph" w:customStyle="1" w:styleId="26">
    <w:name w:val="正文缩进1"/>
    <w:basedOn w:val="1"/>
    <w:next w:val="1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7">
    <w:name w:val="索引 11"/>
    <w:basedOn w:val="1"/>
    <w:next w:val="1"/>
    <w:qFormat/>
    <w:uiPriority w:val="0"/>
    <w:pPr>
      <w:adjustRightInd/>
      <w:spacing w:line="360" w:lineRule="auto"/>
    </w:pPr>
    <w:rPr>
      <w:rFonts w:ascii="仿宋_GB2312" w:eastAsia="仿宋_GB2312"/>
      <w:sz w:val="24"/>
      <w:szCs w:val="20"/>
    </w:rPr>
  </w:style>
  <w:style w:type="paragraph" w:customStyle="1" w:styleId="2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29">
    <w:name w:val="纯文本1"/>
    <w:basedOn w:val="1"/>
    <w:qFormat/>
    <w:uiPriority w:val="0"/>
    <w:pPr>
      <w:adjustRightInd/>
    </w:pPr>
    <w:rPr>
      <w:rFonts w:ascii="宋体" w:hAnsi="Courier New"/>
      <w:kern w:val="0"/>
      <w:sz w:val="20"/>
      <w:szCs w:val="20"/>
    </w:rPr>
  </w:style>
  <w:style w:type="paragraph" w:customStyle="1" w:styleId="3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1">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32">
    <w:name w:val="正文段"/>
    <w:basedOn w:val="1"/>
    <w:qFormat/>
    <w:uiPriority w:val="0"/>
    <w:pPr>
      <w:widowControl/>
      <w:snapToGrid w:val="0"/>
      <w:spacing w:afterLines="50"/>
      <w:ind w:firstLine="200" w:firstLineChars="200"/>
    </w:pPr>
    <w:rPr>
      <w:kern w:val="0"/>
      <w:sz w:val="24"/>
      <w:szCs w:val="20"/>
    </w:rPr>
  </w:style>
  <w:style w:type="paragraph" w:customStyle="1" w:styleId="33">
    <w:name w:val="样式4"/>
    <w:basedOn w:val="1"/>
    <w:qFormat/>
    <w:uiPriority w:val="0"/>
    <w:pPr>
      <w:spacing w:line="360" w:lineRule="auto"/>
      <w:ind w:firstLine="420"/>
      <w:jc w:val="center"/>
      <w:outlineLvl w:val="2"/>
    </w:pPr>
    <w:rPr>
      <w:rFonts w:ascii="仿宋_GB2312" w:hAnsi="仿宋" w:eastAsia="仿宋_GB2312"/>
      <w:b/>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image" Target="media/image2.emf"/><Relationship Id="rId23" Type="http://schemas.openxmlformats.org/officeDocument/2006/relationships/oleObject" Target="embeddings/oleObject2.bin"/><Relationship Id="rId22" Type="http://schemas.openxmlformats.org/officeDocument/2006/relationships/image" Target="media/image1.emf"/><Relationship Id="rId21" Type="http://schemas.openxmlformats.org/officeDocument/2006/relationships/oleObject" Target="embeddings/oleObject1.bin"/><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89</Pages>
  <Words>24651</Words>
  <Characters>26273</Characters>
  <Lines>0</Lines>
  <Paragraphs>0</Paragraphs>
  <TotalTime>1</TotalTime>
  <ScaleCrop>false</ScaleCrop>
  <LinksUpToDate>false</LinksUpToDate>
  <CharactersWithSpaces>27838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2025-01-07T17:57:00Z</dcterms:created>
  <dc:creator>sxszf</dc:creator>
  <cp:lastModifiedBy>豆浆</cp:lastModifiedBy>
  <dcterms:modified xsi:type="dcterms:W3CDTF">2025-04-02T07:16:59Z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5A5D7204B6064318B1797EAA343A040F_13</vt:lpwstr>
  </property>
  <property fmtid="{D5CDD505-2E9C-101B-9397-08002B2CF9AE}" pid="4" name="KSOTemplateDocerSaveRecord">
    <vt:lpwstr>eyJoZGlkIjoiM2RmZmJmYmM3ZmI4YzdhZjM2MjExOGEwYWVlNDI0MWMiLCJ1c2VySWQiOiI0NDIxNTMyOTkifQ==</vt:lpwstr>
  </property>
</Properties>
</file>