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72"/>
          <w:szCs w:val="72"/>
          <w:highlight w:val="none"/>
        </w:rPr>
      </w:pPr>
      <w:bookmarkStart w:id="170" w:name="_GoBack"/>
      <w:bookmarkEnd w:id="170"/>
      <w:r>
        <w:rPr>
          <w:rFonts w:hint="eastAsia" w:ascii="仿宋" w:hAnsi="仿宋" w:eastAsia="仿宋" w:cs="仿宋"/>
          <w:b/>
          <w:color w:val="auto"/>
          <w:sz w:val="56"/>
          <w:szCs w:val="56"/>
          <w:highlight w:val="none"/>
          <w:lang w:eastAsia="zh-CN"/>
        </w:rPr>
        <w:t>2024年液化天然气加气机强制检定采购项目（重招）</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b/>
          <w:color w:val="auto"/>
          <w:sz w:val="44"/>
          <w:szCs w:val="44"/>
          <w:highlight w:val="none"/>
        </w:rPr>
        <w:t xml:space="preserve"> </w:t>
      </w:r>
    </w:p>
    <w:p>
      <w:pPr>
        <w:spacing w:after="100" w:afterAutospacing="1" w:line="440" w:lineRule="exact"/>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招标编号:</w:t>
      </w:r>
      <w:r>
        <w:rPr>
          <w:rFonts w:hint="eastAsia" w:ascii="仿宋" w:hAnsi="仿宋" w:eastAsia="仿宋" w:cs="仿宋"/>
          <w:color w:val="auto"/>
          <w:sz w:val="28"/>
          <w:szCs w:val="28"/>
          <w:highlight w:val="none"/>
          <w:lang w:eastAsia="zh-CN"/>
        </w:rPr>
        <w:t>SXQS-202406-GK064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240" w:lineRule="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both"/>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0"/>
                <w:kern w:val="0"/>
                <w:sz w:val="28"/>
                <w:szCs w:val="28"/>
                <w:highlight w:val="none"/>
                <w:lang w:val="en-US" w:eastAsia="zh-CN"/>
              </w:rPr>
              <w:t>采购代理机构</w:t>
            </w:r>
            <w:r>
              <w:rPr>
                <w:rFonts w:hint="eastAsia" w:ascii="仿宋" w:hAnsi="仿宋" w:eastAsia="仿宋" w:cs="仿宋"/>
                <w:color w:val="auto"/>
                <w:spacing w:val="93"/>
                <w:kern w:val="0"/>
                <w:sz w:val="28"/>
                <w:szCs w:val="28"/>
                <w:highlight w:val="none"/>
                <w:lang w:val="en-US" w:eastAsia="zh-CN"/>
              </w:rPr>
              <w:t>：</w:t>
            </w:r>
          </w:p>
        </w:tc>
        <w:tc>
          <w:tcPr>
            <w:tcW w:w="5445" w:type="dxa"/>
            <w:vAlign w:val="center"/>
          </w:tcPr>
          <w:p>
            <w:pPr>
              <w:spacing w:line="240" w:lineRule="auto"/>
              <w:jc w:val="both"/>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pacing w:val="93"/>
                <w:kern w:val="0"/>
                <w:sz w:val="28"/>
                <w:szCs w:val="28"/>
                <w:highlight w:val="none"/>
                <w:lang w:val="en-US" w:eastAsia="zh-CN"/>
              </w:rPr>
            </w:pPr>
            <w:r>
              <w:rPr>
                <w:rFonts w:hint="eastAsia" w:ascii="仿宋" w:hAnsi="仿宋" w:eastAsia="仿宋" w:cs="仿宋"/>
                <w:color w:val="auto"/>
                <w:spacing w:val="93"/>
                <w:kern w:val="0"/>
                <w:sz w:val="28"/>
                <w:szCs w:val="28"/>
                <w:highlight w:val="none"/>
                <w:lang w:val="en-US" w:eastAsia="zh-CN"/>
              </w:rPr>
              <w:t>监督单位：</w:t>
            </w:r>
          </w:p>
        </w:tc>
        <w:tc>
          <w:tcPr>
            <w:tcW w:w="5445" w:type="dxa"/>
          </w:tcPr>
          <w:p>
            <w:pPr>
              <w:spacing w:line="240" w:lineRule="auto"/>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2024年液化天然气加气机强制检定采购项目（重招）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eastAsia="zh-CN"/>
        </w:rPr>
        <w:t>2024年06月24日11点00分00秒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SXQS-202406-GK064</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rPr>
        <w:t xml:space="preserve"> 480000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s="仿宋"/>
          <w:b w:val="0"/>
          <w:bCs/>
          <w:color w:val="auto"/>
          <w:sz w:val="24"/>
          <w:highlight w:val="none"/>
        </w:rPr>
        <w:t>480000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rPr>
        <w:t>480000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_GB2312" w:hAnsi="仿宋_GB2312" w:eastAsia="仿宋_GB2312" w:cs="仿宋_GB2312"/>
          <w:color w:val="auto"/>
          <w:sz w:val="24"/>
          <w:highlight w:val="none"/>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_GB2312" w:hAnsi="仿宋" w:eastAsia="仿宋_GB2312" w:cs="Arial"/>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_GB2312" w:hAnsi="仿宋" w:eastAsia="仿宋_GB2312" w:cs="Arial"/>
          <w:color w:val="auto"/>
          <w:kern w:val="0"/>
          <w:sz w:val="24"/>
          <w:highlight w:val="none"/>
        </w:rPr>
        <w:sym w:font="Wingdings" w:char="00A8"/>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具有资质的法定计量检定机构。</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2024年06月24日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2024年06月24日11点00分00秒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eastAsia="zh-CN"/>
        </w:rPr>
        <w:t>2024年06月24日11点00分00秒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val="en-US" w:eastAsia="zh-CN"/>
        </w:rPr>
        <w:t>绍兴市市场监督管理局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绍兴市凤林西路216号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lang w:val="en-US" w:eastAsia="zh-CN"/>
        </w:rPr>
        <w:t xml:space="preserve">周明耀 </w:t>
      </w:r>
      <w:r>
        <w:rPr>
          <w:rFonts w:hint="eastAsia" w:ascii="仿宋_GB2312" w:hAnsi="新宋体" w:eastAsia="仿宋_GB2312"/>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_GB2312" w:hAnsi="新宋体" w:eastAsia="仿宋_GB2312"/>
          <w:color w:val="auto"/>
          <w:sz w:val="24"/>
          <w:highlight w:val="none"/>
          <w:lang w:val="en-US" w:eastAsia="zh-CN"/>
        </w:rPr>
        <w:t>0575-88132783</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val="en-US" w:eastAsia="zh-CN"/>
        </w:rPr>
        <w:t>于民权</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0575-88615235</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28359097"/>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项目联系人（询问）：韩萍</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 13989509672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 张婷婷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0575-85209697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仿宋" w:eastAsia="仿宋_GB2312" w:cs="Arial"/>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其他未列明行业</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suppressLineNumbers w:val="0"/>
              <w:kinsoku/>
              <w:wordWrap/>
              <w:overflowPunct/>
              <w:topLinePunct w:val="0"/>
              <w:bidi w:val="0"/>
              <w:adjustRightInd/>
              <w:snapToGrid w:val="0"/>
              <w:spacing w:beforeAutospacing="0" w:afterAutospacing="0" w:line="312" w:lineRule="auto"/>
              <w:ind w:left="0" w:leftChars="0" w:right="0" w:rightChars="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以中标通知中确定的中标总金额作为服务费的计算基数，具体比例参照《国家计委关于印发&lt;招标代理服务收费管理暂行办法&gt;的通知》（计价格[2002]1980号）文件规定的收费基准价格执行。收费标准：中标金额在100万以下部分为1.5%。</w:t>
            </w:r>
          </w:p>
          <w:p>
            <w:pPr>
              <w:keepNext w:val="0"/>
              <w:keepLines w:val="0"/>
              <w:pageBreakBefore w:val="0"/>
              <w:widowControl w:val="0"/>
              <w:kinsoku/>
              <w:wordWrap/>
              <w:overflowPunct/>
              <w:topLinePunct w:val="0"/>
              <w:bidi w:val="0"/>
              <w:adjustRightInd/>
              <w:spacing w:line="312"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）中标服务费的交纳方式：</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pPr>
              <w:keepNext w:val="0"/>
              <w:keepLines w:val="0"/>
              <w:pageBreakBefore w:val="0"/>
              <w:widowControl w:val="0"/>
              <w:kinsoku/>
              <w:wordWrap/>
              <w:overflowPunct/>
              <w:topLinePunct w:val="0"/>
              <w:bidi w:val="0"/>
              <w:snapToGri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r>
        <w:rPr>
          <w:rFonts w:hint="eastAsia" w:ascii="仿宋_GB2312" w:hAnsi="新宋体" w:eastAsia="仿宋_GB2312"/>
          <w:color w:val="auto"/>
          <w:sz w:val="24"/>
          <w:highlight w:val="none"/>
          <w:u w:val="single"/>
        </w:rPr>
        <w:t>具有资质的法定计量检定机构</w:t>
      </w:r>
      <w:r>
        <w:rPr>
          <w:rFonts w:hint="eastAsia" w:ascii="仿宋_GB2312" w:hAnsi="仿宋_GB2312" w:eastAsia="仿宋_GB2312" w:cs="仿宋_GB2312"/>
          <w:color w:val="auto"/>
          <w:sz w:val="24"/>
          <w:highlight w:val="none"/>
        </w:rPr>
        <w:t>（复印件）；</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68403820"/>
      <w:bookmarkEnd w:id="21"/>
      <w:bookmarkStart w:id="22" w:name="_Hlt68072990"/>
      <w:bookmarkEnd w:id="22"/>
      <w:bookmarkStart w:id="23" w:name="_Hlt75236011"/>
      <w:bookmarkEnd w:id="23"/>
      <w:bookmarkStart w:id="24" w:name="_Hlt74730295"/>
      <w:bookmarkEnd w:id="24"/>
      <w:bookmarkStart w:id="25" w:name="_Hlt68072998"/>
      <w:bookmarkEnd w:id="25"/>
      <w:bookmarkStart w:id="26" w:name="_Hlt74707468"/>
      <w:bookmarkEnd w:id="26"/>
      <w:bookmarkStart w:id="27" w:name="_Hlt75236290"/>
      <w:bookmarkEnd w:id="27"/>
      <w:bookmarkStart w:id="28" w:name="_Hlt68057669"/>
      <w:bookmarkEnd w:id="28"/>
      <w:bookmarkStart w:id="29" w:name="_Hlt74714665"/>
      <w:bookmarkEnd w:id="29"/>
      <w:bookmarkStart w:id="30" w:name="_Hlt74729768"/>
      <w:bookmarkEnd w:id="30"/>
      <w:bookmarkStart w:id="31" w:name="_Hlt68073093"/>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2"/>
          <w:szCs w:val="32"/>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keepNext w:val="0"/>
        <w:keepLines w:val="0"/>
        <w:pageBreakBefore w:val="0"/>
        <w:kinsoku/>
        <w:wordWrap/>
        <w:topLinePunct w:val="0"/>
        <w:bidi w:val="0"/>
        <w:snapToGrid w:val="0"/>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u w:val="wave"/>
        </w:rPr>
        <w:t>相关声明</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以下1-7条款如标段内另有说明的</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u w:val="wave"/>
        </w:rPr>
        <w:t>则按标内要求执行</w:t>
      </w:r>
      <w:r>
        <w:rPr>
          <w:rFonts w:hint="eastAsia" w:ascii="仿宋" w:hAnsi="仿宋" w:eastAsia="仿宋" w:cs="仿宋"/>
          <w:b/>
          <w:color w:val="auto"/>
          <w:sz w:val="24"/>
          <w:szCs w:val="24"/>
          <w:highlight w:val="none"/>
        </w:rPr>
        <w:t>。</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1.设备（材料）要求</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1.6所有货物到现场安装使用前，招标人将进行抽样检验或试验。</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2.数量调整</w:t>
      </w:r>
    </w:p>
    <w:p>
      <w:pPr>
        <w:pStyle w:val="395"/>
        <w:keepNext w:val="0"/>
        <w:keepLines w:val="0"/>
        <w:pageBreakBefore w:val="0"/>
        <w:widowControl w:val="0"/>
        <w:kinsoku/>
        <w:wordWrap/>
        <w:topLinePunct w:val="0"/>
        <w:bidi w:val="0"/>
        <w:spacing w:after="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395"/>
        <w:keepNext w:val="0"/>
        <w:keepLines w:val="0"/>
        <w:pageBreakBefore w:val="0"/>
        <w:widowControl w:val="0"/>
        <w:kinsoku/>
        <w:wordWrap/>
        <w:topLinePunct w:val="0"/>
        <w:bidi w:val="0"/>
        <w:spacing w:after="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如遇本次招标没有涉及的设备或服务时，由中标人提供申请，招标人确认后实施。</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3.安装及调试、验收</w:t>
      </w:r>
    </w:p>
    <w:p>
      <w:pPr>
        <w:pStyle w:val="395"/>
        <w:keepNext w:val="0"/>
        <w:keepLines w:val="0"/>
        <w:pageBreakBefore w:val="0"/>
        <w:widowControl w:val="0"/>
        <w:kinsoku/>
        <w:wordWrap/>
        <w:topLinePunct w:val="0"/>
        <w:bidi w:val="0"/>
        <w:spacing w:after="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中标人应派经招标人认可的有经验和能力、具有相应资质的技术人员，负责系统设备安装工作，在设备安装期间应充分了解设备安装进度要求，解决安装中出现的技术问题。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3.1中标人负责设备的安装、调试。</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3.2调试所需专用工具设施物料由中标人自备、自费运到现场，完工后自费搬走。</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keepNext w:val="0"/>
        <w:keepLines w:val="0"/>
        <w:pageBreakBefore w:val="0"/>
        <w:tabs>
          <w:tab w:val="left" w:pos="1365"/>
        </w:tabs>
        <w:kinsoku/>
        <w:wordWrap/>
        <w:topLinePunct w:val="0"/>
        <w:bidi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3.5所有的招标设备应按照国家有关技术标准在制造厂检查和试验合格，以表明其运行性能、安全性能以及设备材料和结构在电气、机械上的完整性。</w:t>
      </w:r>
    </w:p>
    <w:p>
      <w:pPr>
        <w:pStyle w:val="395"/>
        <w:keepNext w:val="0"/>
        <w:keepLines w:val="0"/>
        <w:pageBreakBefore w:val="0"/>
        <w:widowControl w:val="0"/>
        <w:kinsoku/>
        <w:wordWrap/>
        <w:topLinePunct w:val="0"/>
        <w:bidi w:val="0"/>
        <w:spacing w:after="0" w:afterLines="0" w:line="288" w:lineRule="auto"/>
        <w:ind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4.技术培训</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4.1中标人须对招标人的技术人员培训。投标人须在投标文件中提供详细的培训计划，包括培训内容、培训时间、培训费用等。</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4.2中标人提供的负责培训的人员应具备同类设备五年以上的经验。</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4.3技术培训费用应包含在投标总价中。    </w:t>
      </w:r>
    </w:p>
    <w:p>
      <w:pPr>
        <w:keepNext w:val="0"/>
        <w:keepLines w:val="0"/>
        <w:pageBreakBefore w:val="0"/>
        <w:kinsoku/>
        <w:wordWrap/>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4.4技术培训至少应包括下列内容：</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4.4.1原理、构成和功能的描述。</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4.4.2常见故障的处理或排除。</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4.4.3各系统部件（设备）的检查、调整和维护。</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4.4.4对使用者关于设备基本操作技能的培训。</w:t>
      </w:r>
    </w:p>
    <w:p>
      <w:pPr>
        <w:pStyle w:val="26"/>
        <w:keepNext w:val="0"/>
        <w:keepLines w:val="0"/>
        <w:pageBreakBefore w:val="0"/>
        <w:widowControl w:val="0"/>
        <w:tabs>
          <w:tab w:val="clear" w:pos="360"/>
          <w:tab w:val="clear" w:pos="482"/>
        </w:tabs>
        <w:kinsoku/>
        <w:wordWrap/>
        <w:topLinePunct w:val="0"/>
        <w:bidi w:val="0"/>
        <w:spacing w:after="0" w:afterLines="0" w:line="288" w:lineRule="auto"/>
        <w:ind w:left="0"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5.售后服务</w:t>
      </w:r>
    </w:p>
    <w:p>
      <w:pPr>
        <w:pStyle w:val="5"/>
        <w:keepNext w:val="0"/>
        <w:keepLines w:val="0"/>
        <w:pageBreakBefore w:val="0"/>
        <w:kinsoku/>
        <w:wordWrap/>
        <w:topLinePunct w:val="0"/>
        <w:bidi w:val="0"/>
        <w:spacing w:line="288"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5.1投标人须提供经调试、试运行、验收合格后至少3年的质保期(投标人可根据自身实力作出更长时间的质保承诺)。在此期间，投标人应免费处理因质量发生的故障，并进行正常保养。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topLinePunct w:val="0"/>
        <w:bidi w:val="0"/>
        <w:snapToGrid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5.2中标人必须有可靠的售后服务保障包括但不限于在</w:t>
      </w:r>
      <w:r>
        <w:rPr>
          <w:rFonts w:hint="eastAsia" w:ascii="仿宋" w:hAnsi="仿宋" w:eastAsia="仿宋" w:cs="仿宋"/>
          <w:b/>
          <w:color w:val="auto"/>
          <w:sz w:val="24"/>
          <w:szCs w:val="24"/>
          <w:highlight w:val="none"/>
          <w:u w:val="single"/>
        </w:rPr>
        <w:t>绍兴附近</w:t>
      </w:r>
      <w:r>
        <w:rPr>
          <w:rFonts w:hint="eastAsia" w:ascii="仿宋" w:hAnsi="仿宋" w:eastAsia="仿宋" w:cs="仿宋"/>
          <w:color w:val="auto"/>
          <w:sz w:val="24"/>
          <w:szCs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kern w:val="0"/>
          <w:sz w:val="24"/>
          <w:szCs w:val="24"/>
          <w:highlight w:val="none"/>
          <w:u w:val="wave"/>
        </w:rPr>
      </w:pPr>
      <w:r>
        <w:rPr>
          <w:rFonts w:hint="eastAsia" w:ascii="仿宋" w:hAnsi="仿宋" w:eastAsia="仿宋" w:cs="仿宋"/>
          <w:b/>
          <w:color w:val="auto"/>
          <w:sz w:val="24"/>
          <w:szCs w:val="24"/>
          <w:highlight w:val="none"/>
        </w:rPr>
        <w:t>6. 服务要求</w:t>
      </w:r>
    </w:p>
    <w:p>
      <w:pPr>
        <w:keepNext w:val="0"/>
        <w:keepLines w:val="0"/>
        <w:pageBreakBefore w:val="0"/>
        <w:tabs>
          <w:tab w:val="left" w:pos="3870"/>
          <w:tab w:val="left" w:pos="4085"/>
        </w:tabs>
        <w:kinsoku/>
        <w:wordWrap/>
        <w:topLinePunct w:val="0"/>
        <w:bidi w:val="0"/>
        <w:snapToGrid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6.1设备包修期内（各标项内已有要求的除外），如出现故障，中标人在接到电话6小时内到达采购人指定地点，</w:t>
      </w:r>
    </w:p>
    <w:p>
      <w:pPr>
        <w:keepNext w:val="0"/>
        <w:keepLines w:val="0"/>
        <w:pageBreakBefore w:val="0"/>
        <w:tabs>
          <w:tab w:val="left" w:pos="3870"/>
          <w:tab w:val="left" w:pos="4085"/>
        </w:tabs>
        <w:kinsoku/>
        <w:wordWrap/>
        <w:topLinePunct w:val="0"/>
        <w:bidi w:val="0"/>
        <w:snapToGrid w:val="0"/>
        <w:spacing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项目实施人员费用</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中标人应自行承担选派专业人员的住宿、就餐和交通等费用。</w:t>
      </w:r>
    </w:p>
    <w:p>
      <w:pPr>
        <w:keepNext w:val="0"/>
        <w:keepLines w:val="0"/>
        <w:pageBreakBefore w:val="0"/>
        <w:kinsoku/>
        <w:wordWrap/>
        <w:topLinePunct w:val="0"/>
        <w:bidi w:val="0"/>
        <w:snapToGrid w:val="0"/>
        <w:spacing w:line="288" w:lineRule="auto"/>
        <w:jc w:val="left"/>
        <w:rPr>
          <w:rFonts w:hint="eastAsia" w:ascii="仿宋" w:hAnsi="仿宋" w:eastAsia="仿宋" w:cs="仿宋"/>
          <w:b/>
          <w:color w:val="auto"/>
          <w:sz w:val="24"/>
          <w:szCs w:val="24"/>
          <w:highlight w:val="none"/>
        </w:rPr>
      </w:pPr>
      <w:bookmarkStart w:id="38" w:name="_Toc151354173"/>
      <w:r>
        <w:rPr>
          <w:rFonts w:hint="eastAsia" w:ascii="仿宋" w:hAnsi="仿宋" w:eastAsia="仿宋" w:cs="仿宋"/>
          <w:b/>
          <w:color w:val="auto"/>
          <w:sz w:val="24"/>
          <w:szCs w:val="24"/>
          <w:highlight w:val="none"/>
        </w:rPr>
        <w:t>8.招标项目设备名称及数量：</w:t>
      </w:r>
    </w:p>
    <w:p>
      <w:pPr>
        <w:keepNext w:val="0"/>
        <w:keepLines w:val="0"/>
        <w:pageBreakBefore w:val="0"/>
        <w:kinsoku/>
        <w:wordWrap/>
        <w:topLinePunct w:val="0"/>
        <w:bidi w:val="0"/>
        <w:adjustRightInd w:val="0"/>
        <w:spacing w:line="288" w:lineRule="auto"/>
        <w:ind w:right="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bdr w:val="single" w:color="auto" w:sz="4" w:space="0"/>
        </w:rPr>
        <w:t>01标</w:t>
      </w:r>
      <w:bookmarkStart w:id="39" w:name="_Toc32678"/>
      <w:bookmarkStart w:id="40" w:name="_Toc7206"/>
      <w:r>
        <w:rPr>
          <w:rFonts w:hint="eastAsia" w:ascii="仿宋" w:hAnsi="仿宋" w:eastAsia="仿宋" w:cs="仿宋"/>
          <w:b/>
          <w:color w:val="auto"/>
          <w:sz w:val="24"/>
          <w:szCs w:val="24"/>
          <w:highlight w:val="none"/>
          <w:lang w:eastAsia="zh-CN"/>
        </w:rPr>
        <w:t>2024年液化天然气加气机强制检定采购项目（重招）</w:t>
      </w:r>
      <w:r>
        <w:rPr>
          <w:rFonts w:hint="eastAsia" w:ascii="仿宋" w:hAnsi="仿宋" w:eastAsia="仿宋" w:cs="仿宋"/>
          <w:b/>
          <w:color w:val="auto"/>
          <w:sz w:val="24"/>
          <w:szCs w:val="24"/>
          <w:highlight w:val="none"/>
        </w:rPr>
        <w:t>（预算：</w:t>
      </w:r>
      <w:r>
        <w:rPr>
          <w:rFonts w:hint="eastAsia" w:ascii="仿宋" w:hAnsi="仿宋" w:eastAsia="仿宋" w:cs="仿宋"/>
          <w:b/>
          <w:color w:val="auto"/>
          <w:sz w:val="24"/>
          <w:szCs w:val="24"/>
          <w:highlight w:val="none"/>
          <w:lang w:val="en-US" w:eastAsia="zh-CN"/>
        </w:rPr>
        <w:t>48</w:t>
      </w:r>
      <w:r>
        <w:rPr>
          <w:rFonts w:hint="eastAsia" w:ascii="仿宋" w:hAnsi="仿宋" w:eastAsia="仿宋" w:cs="仿宋"/>
          <w:b/>
          <w:color w:val="auto"/>
          <w:sz w:val="24"/>
          <w:szCs w:val="24"/>
          <w:highlight w:val="none"/>
        </w:rPr>
        <w:t>万元）</w:t>
      </w:r>
    </w:p>
    <w:bookmarkEnd w:id="38"/>
    <w:bookmarkEnd w:id="39"/>
    <w:bookmarkEnd w:id="40"/>
    <w:p>
      <w:pPr>
        <w:pStyle w:val="59"/>
        <w:spacing w:before="0" w:beforeLines="0" w:after="0" w:afterLines="0" w:line="360" w:lineRule="auto"/>
        <w:jc w:val="both"/>
        <w:rPr>
          <w:rFonts w:hint="eastAsia" w:ascii="宋体" w:hAnsi="宋体"/>
          <w:color w:val="auto"/>
          <w:sz w:val="24"/>
          <w:szCs w:val="24"/>
          <w:highlight w:val="none"/>
        </w:rPr>
      </w:pPr>
      <w:r>
        <w:rPr>
          <w:rFonts w:hint="eastAsia" w:ascii="宋体" w:hAnsi="宋体"/>
          <w:color w:val="auto"/>
          <w:sz w:val="24"/>
          <w:szCs w:val="24"/>
          <w:highlight w:val="none"/>
        </w:rPr>
        <w:t>（一）项目概况</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为加强对我市液化天然气加气机监督管理，维护公平公正的消费环境，根据《中华人民共和国计量法》《中华人民共和国强制检定的工作计量器具检定管理办法》《市场监管总局关于调整实施强制管理的计量器具目录的公告》（2020年第42号）的要求，拟对全市液化天然气加气机开展强制检定。</w:t>
      </w:r>
    </w:p>
    <w:p>
      <w:pPr>
        <w:spacing w:beforeLines="0" w:afterLines="0"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1 服务内容</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1.1承接绍兴市统筹执行的强制检定任务的计量检定机构相关项目须经过国家或省或绍兴市计量授权。根据《中华人民共和国计量法》第十条：计量检定必须执行计量检定规程。第二十条：县级以上人民政府计量行政部门可以根据需要设置计量检定机构、或者授权其他单位的计量检定机构，执行强制检定和其他检定、测试任务。</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1.2承接绍兴市统筹执行的强制检定任务的计量检定机构须将强制检定数据（包括检定证书）上传至“E-CQS”平台。</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1.3承接绍兴市统筹执行的强制检定任务的计量检定机构对临近检定周期的计量器具，要及时提醒使用者按期申请检定。（《浙江省计量监督管理条例》第十八条规定）</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1.4承接绍兴市统筹执行的强制检定任务的计量检定机构应当在服务期限内完成“E-CQS”平台上的强制检定预约受理。</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1.5完成采购人安排的其他相关工作内容。</w:t>
      </w:r>
    </w:p>
    <w:p>
      <w:pPr>
        <w:spacing w:beforeLines="0" w:afterLines="0" w:line="360" w:lineRule="auto"/>
        <w:rPr>
          <w:rFonts w:hint="eastAsia" w:ascii="仿宋_GB2312" w:hAnsi="仿宋_GB2312" w:eastAsia="仿宋_GB2312" w:cs="仿宋_GB2312"/>
          <w:b/>
          <w:color w:val="auto"/>
          <w:sz w:val="24"/>
          <w:szCs w:val="24"/>
          <w:highlight w:val="none"/>
          <w:shd w:val="clear" w:color="auto" w:fill="FFFFFF"/>
        </w:rPr>
      </w:pPr>
      <w:r>
        <w:rPr>
          <w:rFonts w:hint="eastAsia" w:ascii="仿宋_GB2312" w:hAnsi="仿宋_GB2312" w:eastAsia="仿宋_GB2312" w:cs="仿宋_GB2312"/>
          <w:b/>
          <w:color w:val="auto"/>
          <w:sz w:val="24"/>
          <w:szCs w:val="24"/>
          <w:highlight w:val="none"/>
          <w:shd w:val="clear" w:color="auto" w:fill="FFFFFF"/>
        </w:rPr>
        <w:t>2 服务方式、进度和要求</w:t>
      </w:r>
    </w:p>
    <w:p>
      <w:pPr>
        <w:spacing w:beforeLines="0" w:afterLines="0" w:line="360" w:lineRule="auto"/>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 xml:space="preserve">    2.1技术服务的方式：室内、外试验和室内计算分析、现场服务；</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2.2技术服务进度：根据采购人工作要求；</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2.3技术服务质量要求：按相关技术标准；</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2.4其它要求：</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（1）中标人配合采购人完成市级及以上行政主管部门和监督管理部门组织的质量专项检查工作；</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（2）中标人根据甲方要求对完成的检定项目定期进行工作总结；对检定工作存在的问题进行分析并提出改进的合理化建议。</w:t>
      </w:r>
    </w:p>
    <w:p>
      <w:pPr>
        <w:spacing w:beforeLines="0" w:afterLines="0" w:line="360" w:lineRule="auto"/>
        <w:ind w:firstLine="480" w:firstLineChars="200"/>
        <w:rPr>
          <w:rFonts w:hint="eastAsia" w:ascii="仿宋_GB2312" w:hAnsi="仿宋_GB2312" w:eastAsia="仿宋_GB2312" w:cs="仿宋_GB2312"/>
          <w:color w:val="auto"/>
          <w:sz w:val="24"/>
          <w:szCs w:val="24"/>
          <w:highlight w:val="none"/>
          <w:shd w:val="clear" w:color="auto" w:fill="FFFFFF"/>
        </w:rPr>
      </w:pPr>
      <w:r>
        <w:rPr>
          <w:rFonts w:hint="eastAsia" w:ascii="仿宋_GB2312" w:hAnsi="仿宋_GB2312" w:eastAsia="仿宋_GB2312" w:cs="仿宋_GB2312"/>
          <w:color w:val="auto"/>
          <w:sz w:val="24"/>
          <w:szCs w:val="24"/>
          <w:highlight w:val="none"/>
          <w:shd w:val="clear" w:color="auto" w:fill="FFFFFF"/>
        </w:rPr>
        <w:t>（3）中标人对安全、环保工作应负有责任。</w:t>
      </w:r>
    </w:p>
    <w:p>
      <w:pPr>
        <w:spacing w:beforeLines="0" w:afterLines="0" w:line="360" w:lineRule="auto"/>
        <w:ind w:firstLine="480" w:firstLineChars="200"/>
        <w:rPr>
          <w:rFonts w:hint="eastAsia" w:ascii="仿宋" w:hAnsi="仿宋" w:eastAsia="仿宋" w:cs="仿宋"/>
          <w:color w:val="auto"/>
          <w:sz w:val="24"/>
          <w:szCs w:val="24"/>
          <w:highlight w:val="none"/>
        </w:rPr>
      </w:pPr>
      <w:r>
        <w:rPr>
          <w:rFonts w:hint="eastAsia" w:ascii="仿宋_GB2312" w:hAnsi="仿宋_GB2312" w:eastAsia="仿宋_GB2312" w:cs="仿宋_GB2312"/>
          <w:color w:val="auto"/>
          <w:sz w:val="24"/>
          <w:szCs w:val="24"/>
          <w:highlight w:val="none"/>
          <w:shd w:val="clear" w:color="auto" w:fill="FFFFFF"/>
        </w:rPr>
        <w:t>（4）检定报告由中标人送至采购人处。</w:t>
      </w:r>
    </w:p>
    <w:p>
      <w:pPr>
        <w:pStyle w:val="59"/>
        <w:keepNext w:val="0"/>
        <w:keepLines w:val="0"/>
        <w:pageBreakBefore w:val="0"/>
        <w:kinsoku/>
        <w:wordWrap/>
        <w:topLinePunct w:val="0"/>
        <w:bidi w:val="0"/>
        <w:adjustRightInd w:val="0"/>
        <w:spacing w:before="0" w:line="288" w:lineRule="auto"/>
        <w:ind w:right="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（二）服务时间</w:t>
      </w:r>
    </w:p>
    <w:p>
      <w:pPr>
        <w:keepNext w:val="0"/>
        <w:keepLines w:val="0"/>
        <w:pageBreakBefore w:val="0"/>
        <w:tabs>
          <w:tab w:val="left" w:pos="642"/>
          <w:tab w:val="left" w:pos="994"/>
        </w:tabs>
        <w:kinsoku/>
        <w:wordWrap/>
        <w:topLinePunct w:val="0"/>
        <w:bidi w:val="0"/>
        <w:adjustRightInd w:val="0"/>
        <w:spacing w:line="288" w:lineRule="auto"/>
        <w:ind w:righ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自合同签订后至</w:t>
      </w:r>
      <w:r>
        <w:rPr>
          <w:rFonts w:hint="eastAsia" w:ascii="仿宋" w:hAnsi="仿宋" w:eastAsia="仿宋" w:cs="仿宋"/>
          <w:color w:val="auto"/>
          <w:sz w:val="24"/>
          <w:szCs w:val="24"/>
          <w:highlight w:val="none"/>
          <w:lang w:eastAsia="zh-CN"/>
        </w:rPr>
        <w:t>2024</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日结束</w:t>
      </w:r>
    </w:p>
    <w:p>
      <w:pPr>
        <w:pStyle w:val="59"/>
        <w:keepNext w:val="0"/>
        <w:keepLines w:val="0"/>
        <w:pageBreakBefore w:val="0"/>
        <w:kinsoku/>
        <w:wordWrap/>
        <w:topLinePunct w:val="0"/>
        <w:bidi w:val="0"/>
        <w:adjustRightInd w:val="0"/>
        <w:spacing w:before="0" w:line="288" w:lineRule="auto"/>
        <w:ind w:right="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（三）付款方式</w:t>
      </w:r>
    </w:p>
    <w:p>
      <w:pPr>
        <w:keepNext w:val="0"/>
        <w:keepLines w:val="0"/>
        <w:pageBreakBefore w:val="0"/>
        <w:kinsoku/>
        <w:wordWrap/>
        <w:topLinePunct w:val="0"/>
        <w:bidi w:val="0"/>
        <w:adjustRightInd w:val="0"/>
        <w:spacing w:line="288" w:lineRule="auto"/>
        <w:ind w:right="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付款方式按《浙江省财政厅关于进一步发挥政府采购政策功能全力推动经济稳进提质的通知》（浙财采监〔2022〕3号）文件要求执行，具体付款方式由双方协商后在合同中明确。</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7"/>
        <w:spacing w:before="120" w:line="22" w:lineRule="atLeast"/>
        <w:rPr>
          <w:rFonts w:hint="eastAsia" w:ascii="仿宋" w:hAnsi="仿宋" w:eastAsia="仿宋" w:cs="仿宋"/>
          <w:color w:val="auto"/>
          <w:szCs w:val="24"/>
          <w:highlight w:val="none"/>
        </w:rPr>
      </w:pPr>
    </w:p>
    <w:p>
      <w:pPr>
        <w:pStyle w:val="597"/>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2024年液化天然气加气机强制检定采购项目（重招）</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1" w:name="_Toc19273"/>
      <w:bookmarkStart w:id="42" w:name="_Toc20421"/>
      <w:bookmarkStart w:id="43" w:name="_Toc15367"/>
      <w:bookmarkStart w:id="44" w:name="_Toc28855"/>
      <w:bookmarkStart w:id="45" w:name="_Toc22967"/>
      <w:r>
        <w:rPr>
          <w:rFonts w:hint="eastAsia" w:ascii="仿宋" w:hAnsi="仿宋" w:eastAsia="仿宋" w:cs="仿宋"/>
          <w:b/>
          <w:color w:val="auto"/>
          <w:sz w:val="24"/>
          <w:highlight w:val="none"/>
        </w:rPr>
        <w:t>1.1 合同组成部分</w:t>
      </w:r>
      <w:bookmarkEnd w:id="41"/>
      <w:bookmarkEnd w:id="42"/>
      <w:bookmarkEnd w:id="43"/>
      <w:bookmarkEnd w:id="44"/>
      <w:bookmarkEnd w:id="4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6" w:name="_Toc18585"/>
      <w:bookmarkStart w:id="47" w:name="_Toc2918"/>
      <w:bookmarkStart w:id="48" w:name="_Toc6773"/>
      <w:bookmarkStart w:id="49" w:name="_Toc22185"/>
      <w:bookmarkStart w:id="50" w:name="_Toc6311"/>
      <w:r>
        <w:rPr>
          <w:rFonts w:hint="eastAsia" w:ascii="仿宋" w:hAnsi="仿宋" w:eastAsia="仿宋" w:cs="仿宋"/>
          <w:b/>
          <w:color w:val="auto"/>
          <w:sz w:val="24"/>
          <w:highlight w:val="none"/>
        </w:rPr>
        <w:t>1.2 标的</w:t>
      </w:r>
      <w:bookmarkEnd w:id="46"/>
      <w:bookmarkEnd w:id="47"/>
      <w:bookmarkEnd w:id="48"/>
      <w:bookmarkEnd w:id="49"/>
      <w:bookmarkEnd w:id="5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1" w:name="_Toc13918"/>
      <w:bookmarkStart w:id="52" w:name="_Toc4929"/>
      <w:bookmarkStart w:id="53" w:name="_Toc1386"/>
      <w:bookmarkStart w:id="54" w:name="_Toc21124"/>
      <w:bookmarkStart w:id="55"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1"/>
      <w:bookmarkEnd w:id="52"/>
      <w:bookmarkEnd w:id="53"/>
      <w:bookmarkEnd w:id="54"/>
      <w:bookmarkEnd w:id="5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6" w:name="_Toc3654"/>
      <w:bookmarkStart w:id="57" w:name="_Toc30158"/>
      <w:bookmarkStart w:id="58" w:name="_Toc14993"/>
      <w:bookmarkStart w:id="59" w:name="_Toc30506"/>
      <w:bookmarkStart w:id="60"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6"/>
    <w:bookmarkEnd w:id="57"/>
    <w:bookmarkEnd w:id="58"/>
    <w:bookmarkEnd w:id="59"/>
    <w:bookmarkEnd w:id="60"/>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1" w:name="_Toc10340"/>
      <w:bookmarkStart w:id="62" w:name="_Toc1814"/>
      <w:bookmarkStart w:id="63" w:name="_Toc22618"/>
      <w:bookmarkStart w:id="64" w:name="_Toc8772"/>
      <w:bookmarkStart w:id="65" w:name="_Toc4760"/>
      <w:bookmarkStart w:id="66" w:name="_Toc11108"/>
      <w:bookmarkStart w:id="67" w:name="_Toc31421"/>
      <w:bookmarkStart w:id="68" w:name="_Toc3625"/>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1"/>
      <w:bookmarkEnd w:id="62"/>
      <w:bookmarkEnd w:id="63"/>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4"/>
      <w:bookmarkEnd w:id="65"/>
      <w:bookmarkEnd w:id="66"/>
      <w:bookmarkEnd w:id="67"/>
      <w:bookmarkEnd w:id="6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9" w:name="_Toc24662"/>
      <w:bookmarkStart w:id="70" w:name="_Toc5698"/>
      <w:bookmarkStart w:id="71" w:name="_Toc8586"/>
      <w:bookmarkStart w:id="72" w:name="_Toc2375"/>
      <w:bookmarkStart w:id="73" w:name="_Toc3079"/>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9"/>
      <w:bookmarkEnd w:id="70"/>
      <w:bookmarkEnd w:id="71"/>
      <w:bookmarkEnd w:id="72"/>
      <w:bookmarkEnd w:id="7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4" w:name="_Toc18683"/>
      <w:bookmarkStart w:id="75" w:name="_Toc32454"/>
      <w:bookmarkStart w:id="76" w:name="_Toc30329"/>
      <w:bookmarkStart w:id="77" w:name="_Toc26807"/>
      <w:bookmarkStart w:id="78"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4"/>
    <w:bookmarkEnd w:id="75"/>
    <w:bookmarkEnd w:id="76"/>
    <w:bookmarkEnd w:id="77"/>
    <w:bookmarkEnd w:id="78"/>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583"/>
      <w:bookmarkStart w:id="80" w:name="_Toc28375"/>
      <w:bookmarkStart w:id="81" w:name="_Toc16021"/>
      <w:r>
        <w:rPr>
          <w:rFonts w:hint="eastAsia" w:ascii="仿宋" w:hAnsi="仿宋" w:eastAsia="仿宋" w:cs="仿宋"/>
          <w:b/>
          <w:color w:val="auto"/>
          <w:sz w:val="24"/>
          <w:highlight w:val="none"/>
        </w:rPr>
        <w:t>1.9合同争议的解决</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2" w:name="_Toc7245"/>
      <w:bookmarkStart w:id="83" w:name="_Toc11173"/>
      <w:bookmarkStart w:id="84" w:name="_Toc15322"/>
      <w:r>
        <w:rPr>
          <w:rFonts w:hint="eastAsia" w:ascii="仿宋" w:hAnsi="仿宋" w:eastAsia="仿宋" w:cs="仿宋"/>
          <w:b/>
          <w:color w:val="auto"/>
          <w:sz w:val="24"/>
          <w:highlight w:val="none"/>
        </w:rPr>
        <w:t>2.0 合同生效</w:t>
      </w:r>
      <w:bookmarkEnd w:id="82"/>
      <w:bookmarkEnd w:id="83"/>
      <w:bookmarkEnd w:id="8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5" w:name="_Toc5228"/>
      <w:bookmarkStart w:id="86" w:name="_Toc19680"/>
      <w:bookmarkStart w:id="87" w:name="_Toc14021"/>
      <w:bookmarkStart w:id="88" w:name="_Toc25079"/>
      <w:bookmarkStart w:id="89" w:name="_Toc31297"/>
      <w:r>
        <w:rPr>
          <w:rFonts w:hint="eastAsia" w:ascii="仿宋" w:hAnsi="仿宋" w:eastAsia="仿宋" w:cs="仿宋"/>
          <w:b/>
          <w:color w:val="auto"/>
          <w:sz w:val="24"/>
          <w:highlight w:val="none"/>
        </w:rPr>
        <w:t>2.1 定义</w:t>
      </w:r>
      <w:bookmarkEnd w:id="85"/>
      <w:bookmarkEnd w:id="86"/>
      <w:bookmarkEnd w:id="87"/>
      <w:bookmarkEnd w:id="88"/>
      <w:bookmarkEnd w:id="8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90" w:name="_Toc23289"/>
      <w:bookmarkStart w:id="91" w:name="_Toc3769"/>
      <w:bookmarkStart w:id="92" w:name="_Toc16752"/>
      <w:bookmarkStart w:id="93" w:name="_Toc31402"/>
      <w:bookmarkStart w:id="94" w:name="_Toc19539"/>
      <w:r>
        <w:rPr>
          <w:rFonts w:hint="eastAsia" w:ascii="仿宋" w:hAnsi="仿宋" w:eastAsia="仿宋" w:cs="仿宋"/>
          <w:b/>
          <w:color w:val="auto"/>
          <w:sz w:val="24"/>
          <w:highlight w:val="none"/>
        </w:rPr>
        <w:t>2.2 技术规范</w:t>
      </w:r>
      <w:bookmarkEnd w:id="90"/>
      <w:bookmarkEnd w:id="91"/>
      <w:bookmarkEnd w:id="92"/>
      <w:bookmarkEnd w:id="93"/>
      <w:bookmarkEnd w:id="9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5" w:name="_Toc9161"/>
      <w:bookmarkStart w:id="96" w:name="_Toc27945"/>
      <w:bookmarkStart w:id="97" w:name="_Toc4133"/>
      <w:bookmarkStart w:id="98" w:name="_Toc12412"/>
      <w:bookmarkStart w:id="99" w:name="_Toc13673"/>
      <w:r>
        <w:rPr>
          <w:rFonts w:hint="eastAsia" w:ascii="仿宋" w:hAnsi="仿宋" w:eastAsia="仿宋" w:cs="仿宋"/>
          <w:b/>
          <w:color w:val="auto"/>
          <w:sz w:val="24"/>
          <w:highlight w:val="none"/>
        </w:rPr>
        <w:t>2.3 知识产权</w:t>
      </w:r>
      <w:bookmarkEnd w:id="95"/>
      <w:bookmarkEnd w:id="96"/>
      <w:bookmarkEnd w:id="97"/>
      <w:bookmarkEnd w:id="98"/>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100" w:name="_Toc22011"/>
      <w:bookmarkStart w:id="101" w:name="_Toc15447"/>
      <w:bookmarkStart w:id="102" w:name="_Toc26555"/>
      <w:bookmarkStart w:id="103" w:name="_Toc32670"/>
      <w:bookmarkStart w:id="104" w:name="_Toc31233"/>
      <w:r>
        <w:rPr>
          <w:rFonts w:hint="eastAsia" w:ascii="仿宋" w:hAnsi="仿宋" w:eastAsia="仿宋" w:cs="仿宋"/>
          <w:b/>
          <w:color w:val="auto"/>
          <w:sz w:val="24"/>
          <w:highlight w:val="none"/>
        </w:rPr>
        <w:t>2.5 结算方式和付款条件</w:t>
      </w:r>
      <w:bookmarkEnd w:id="100"/>
      <w:bookmarkEnd w:id="101"/>
      <w:bookmarkEnd w:id="102"/>
      <w:bookmarkEnd w:id="103"/>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5" w:name="_Toc13154"/>
      <w:bookmarkStart w:id="106" w:name="_Toc13467"/>
      <w:bookmarkStart w:id="107" w:name="_Toc30507"/>
      <w:bookmarkStart w:id="108" w:name="_Toc16163"/>
      <w:bookmarkStart w:id="109" w:name="_Toc18990"/>
      <w:r>
        <w:rPr>
          <w:rFonts w:hint="eastAsia" w:ascii="仿宋" w:hAnsi="仿宋" w:eastAsia="仿宋" w:cs="仿宋"/>
          <w:b/>
          <w:color w:val="auto"/>
          <w:sz w:val="24"/>
          <w:highlight w:val="none"/>
        </w:rPr>
        <w:t>2.6 技术资料和保密义务</w:t>
      </w:r>
      <w:bookmarkEnd w:id="105"/>
      <w:bookmarkEnd w:id="106"/>
      <w:bookmarkEnd w:id="107"/>
      <w:bookmarkEnd w:id="108"/>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10" w:name="_Toc19069"/>
      <w:r>
        <w:rPr>
          <w:rFonts w:hint="eastAsia" w:ascii="仿宋" w:hAnsi="仿宋" w:eastAsia="仿宋" w:cs="仿宋"/>
          <w:b/>
          <w:color w:val="auto"/>
          <w:sz w:val="24"/>
          <w:highlight w:val="none"/>
        </w:rPr>
        <w:t>2.7 质量保证</w:t>
      </w:r>
      <w:bookmarkEnd w:id="11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1" w:name="_Toc22267"/>
      <w:r>
        <w:rPr>
          <w:rFonts w:hint="eastAsia" w:ascii="仿宋" w:hAnsi="仿宋" w:eastAsia="仿宋" w:cs="仿宋"/>
          <w:b/>
          <w:color w:val="auto"/>
          <w:sz w:val="24"/>
          <w:highlight w:val="none"/>
        </w:rPr>
        <w:t>2.8 延迟履行</w:t>
      </w:r>
      <w:bookmarkEnd w:id="11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2" w:name="_Toc10611"/>
      <w:r>
        <w:rPr>
          <w:rFonts w:hint="eastAsia" w:ascii="仿宋" w:hAnsi="仿宋" w:eastAsia="仿宋" w:cs="仿宋"/>
          <w:b/>
          <w:color w:val="auto"/>
          <w:sz w:val="24"/>
          <w:highlight w:val="none"/>
        </w:rPr>
        <w:t>2.9 合同变更</w:t>
      </w:r>
      <w:bookmarkEnd w:id="11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3" w:name="_Toc23368"/>
      <w:bookmarkStart w:id="114" w:name="_Toc21830"/>
      <w:bookmarkStart w:id="115" w:name="_Toc10663"/>
      <w:bookmarkStart w:id="116" w:name="_Toc42"/>
      <w:bookmarkStart w:id="117" w:name="_Toc26689"/>
      <w:r>
        <w:rPr>
          <w:rFonts w:hint="eastAsia" w:ascii="仿宋" w:hAnsi="仿宋" w:eastAsia="仿宋" w:cs="仿宋"/>
          <w:b/>
          <w:color w:val="auto"/>
          <w:sz w:val="24"/>
          <w:highlight w:val="none"/>
        </w:rPr>
        <w:t>2.10 合同转让和分包</w:t>
      </w:r>
      <w:bookmarkEnd w:id="113"/>
      <w:bookmarkEnd w:id="114"/>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8" w:name="_Toc26633"/>
      <w:bookmarkStart w:id="119" w:name="_Toc25571"/>
      <w:bookmarkStart w:id="120" w:name="_Toc32494"/>
      <w:bookmarkStart w:id="121" w:name="_Toc4720"/>
      <w:bookmarkStart w:id="122" w:name="_Toc14371"/>
      <w:r>
        <w:rPr>
          <w:rFonts w:hint="eastAsia" w:ascii="仿宋" w:hAnsi="仿宋" w:eastAsia="仿宋" w:cs="仿宋"/>
          <w:b/>
          <w:color w:val="auto"/>
          <w:sz w:val="24"/>
          <w:highlight w:val="none"/>
        </w:rPr>
        <w:t>2.11 不可抗力</w:t>
      </w:r>
      <w:bookmarkEnd w:id="118"/>
      <w:bookmarkEnd w:id="119"/>
      <w:bookmarkEnd w:id="120"/>
      <w:bookmarkEnd w:id="121"/>
      <w:bookmarkEnd w:id="12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3" w:name="_Toc14115"/>
      <w:bookmarkStart w:id="124" w:name="_Toc25783"/>
      <w:bookmarkStart w:id="125" w:name="_Toc23854"/>
      <w:bookmarkStart w:id="126" w:name="_Toc24465"/>
      <w:bookmarkStart w:id="127" w:name="_Toc3638"/>
      <w:r>
        <w:rPr>
          <w:rFonts w:hint="eastAsia" w:ascii="仿宋" w:hAnsi="仿宋" w:eastAsia="仿宋" w:cs="仿宋"/>
          <w:b/>
          <w:color w:val="auto"/>
          <w:sz w:val="24"/>
          <w:highlight w:val="none"/>
        </w:rPr>
        <w:t>2.12 税费</w:t>
      </w:r>
      <w:bookmarkEnd w:id="123"/>
      <w:bookmarkEnd w:id="124"/>
      <w:bookmarkEnd w:id="125"/>
      <w:bookmarkEnd w:id="126"/>
      <w:bookmarkEnd w:id="12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8" w:name="_Toc7315"/>
      <w:bookmarkStart w:id="129" w:name="_Toc25525"/>
      <w:bookmarkStart w:id="130" w:name="_Toc26883"/>
      <w:bookmarkStart w:id="131" w:name="_Toc30105"/>
      <w:bookmarkStart w:id="132" w:name="_Toc14814"/>
      <w:r>
        <w:rPr>
          <w:rFonts w:hint="eastAsia" w:ascii="仿宋" w:hAnsi="仿宋" w:eastAsia="仿宋" w:cs="仿宋"/>
          <w:b/>
          <w:color w:val="auto"/>
          <w:sz w:val="24"/>
          <w:highlight w:val="none"/>
        </w:rPr>
        <w:t>2.13 乙方破产</w:t>
      </w:r>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3" w:name="_Toc1123"/>
      <w:bookmarkStart w:id="134" w:name="_Toc23323"/>
      <w:bookmarkStart w:id="135" w:name="_Toc2016"/>
      <w:r>
        <w:rPr>
          <w:rFonts w:hint="eastAsia" w:ascii="仿宋" w:hAnsi="仿宋" w:eastAsia="仿宋" w:cs="仿宋"/>
          <w:b/>
          <w:color w:val="auto"/>
          <w:sz w:val="24"/>
          <w:highlight w:val="none"/>
        </w:rPr>
        <w:t>2.14 合同中止、终止</w:t>
      </w:r>
      <w:bookmarkEnd w:id="133"/>
      <w:bookmarkEnd w:id="134"/>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6" w:name="_Toc1969"/>
      <w:bookmarkStart w:id="137" w:name="_Toc14525"/>
      <w:bookmarkStart w:id="138" w:name="_Toc17363"/>
      <w:r>
        <w:rPr>
          <w:rFonts w:hint="eastAsia" w:ascii="仿宋" w:hAnsi="仿宋" w:eastAsia="仿宋" w:cs="仿宋"/>
          <w:b/>
          <w:color w:val="auto"/>
          <w:sz w:val="24"/>
          <w:highlight w:val="none"/>
        </w:rPr>
        <w:t>2.15 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9" w:name="_Toc12666"/>
      <w:bookmarkStart w:id="140" w:name="_Toc31892"/>
      <w:bookmarkStart w:id="141" w:name="_Toc2308"/>
      <w:bookmarkStart w:id="142" w:name="_Toc9808"/>
      <w:bookmarkStart w:id="143" w:name="_Toc25198"/>
      <w:r>
        <w:rPr>
          <w:rFonts w:hint="eastAsia" w:ascii="仿宋" w:hAnsi="仿宋" w:eastAsia="仿宋" w:cs="仿宋"/>
          <w:b/>
          <w:color w:val="auto"/>
          <w:sz w:val="24"/>
          <w:highlight w:val="none"/>
        </w:rPr>
        <w:t>2.16 通知和送达</w:t>
      </w:r>
      <w:bookmarkEnd w:id="139"/>
      <w:bookmarkEnd w:id="140"/>
      <w:bookmarkEnd w:id="141"/>
      <w:bookmarkEnd w:id="142"/>
      <w:bookmarkEnd w:id="143"/>
    </w:p>
    <w:p>
      <w:pPr>
        <w:spacing w:line="560" w:lineRule="exact"/>
        <w:ind w:firstLine="480" w:firstLineChars="200"/>
        <w:rPr>
          <w:rFonts w:hint="eastAsia" w:ascii="仿宋" w:hAnsi="仿宋" w:eastAsia="仿宋" w:cs="仿宋"/>
          <w:color w:val="auto"/>
          <w:sz w:val="24"/>
          <w:highlight w:val="none"/>
        </w:rPr>
      </w:pPr>
      <w:bookmarkStart w:id="144" w:name="_Toc18401"/>
      <w:bookmarkStart w:id="14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spacing w:line="560" w:lineRule="exact"/>
        <w:ind w:firstLine="482" w:firstLineChars="200"/>
        <w:outlineLvl w:val="0"/>
        <w:rPr>
          <w:rFonts w:hint="eastAsia" w:ascii="仿宋" w:hAnsi="仿宋" w:eastAsia="仿宋" w:cs="仿宋"/>
          <w:b/>
          <w:color w:val="auto"/>
          <w:sz w:val="24"/>
          <w:highlight w:val="none"/>
        </w:rPr>
      </w:pPr>
      <w:bookmarkStart w:id="146" w:name="_Toc12254"/>
      <w:bookmarkStart w:id="147" w:name="_Toc28906"/>
      <w:bookmarkStart w:id="148" w:name="_Toc5063"/>
      <w:bookmarkStart w:id="149" w:name="_Toc20808"/>
      <w:bookmarkStart w:id="150" w:name="_Toc27644"/>
      <w:r>
        <w:rPr>
          <w:rFonts w:hint="eastAsia" w:ascii="仿宋" w:hAnsi="仿宋" w:eastAsia="仿宋" w:cs="仿宋"/>
          <w:b/>
          <w:color w:val="auto"/>
          <w:sz w:val="24"/>
          <w:highlight w:val="none"/>
        </w:rPr>
        <w:t>2.17 合同使用的文字和适用的法律</w:t>
      </w:r>
      <w:bookmarkEnd w:id="146"/>
      <w:bookmarkEnd w:id="147"/>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1" w:name="_Toc30599"/>
      <w:bookmarkStart w:id="152" w:name="_Toc4355"/>
      <w:bookmarkStart w:id="153" w:name="_Toc18540"/>
      <w:r>
        <w:rPr>
          <w:rFonts w:hint="eastAsia" w:ascii="仿宋" w:hAnsi="仿宋" w:eastAsia="仿宋" w:cs="仿宋"/>
          <w:b/>
          <w:color w:val="auto"/>
          <w:sz w:val="24"/>
          <w:highlight w:val="none"/>
        </w:rPr>
        <w:t>2.18 计量单位</w:t>
      </w:r>
      <w:bookmarkEnd w:id="151"/>
      <w:bookmarkEnd w:id="152"/>
      <w:bookmarkEnd w:id="1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4" w:name="_Toc18567"/>
      <w:bookmarkStart w:id="155" w:name="_Toc12773"/>
      <w:bookmarkStart w:id="156" w:name="_Toc487900373"/>
      <w:bookmarkStart w:id="157" w:name="_Toc10330"/>
      <w:bookmarkStart w:id="158" w:name="_Toc279701263"/>
      <w:bookmarkStart w:id="159" w:name="_Toc259093692"/>
      <w:r>
        <w:rPr>
          <w:rFonts w:hint="eastAsia" w:ascii="仿宋" w:hAnsi="仿宋" w:eastAsia="仿宋" w:cs="仿宋"/>
          <w:b/>
          <w:color w:val="auto"/>
          <w:sz w:val="24"/>
          <w:highlight w:val="none"/>
        </w:rPr>
        <w:t>2.19 合同使用的文字和适用的法律</w:t>
      </w:r>
      <w:bookmarkEnd w:id="154"/>
      <w:bookmarkEnd w:id="155"/>
      <w:bookmarkEnd w:id="156"/>
      <w:bookmarkEnd w:id="157"/>
      <w:bookmarkEnd w:id="158"/>
      <w:bookmarkEnd w:id="15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0" w:name="_Toc331685784"/>
      <w:r>
        <w:rPr>
          <w:rFonts w:hint="eastAsia" w:ascii="仿宋" w:hAnsi="仿宋" w:eastAsia="仿宋" w:cs="仿宋"/>
          <w:b/>
          <w:color w:val="auto"/>
          <w:sz w:val="24"/>
          <w:highlight w:val="none"/>
        </w:rPr>
        <w:t xml:space="preserve"> </w:t>
      </w:r>
      <w:bookmarkEnd w:id="160"/>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pPr>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left="0" w:leftChars="0"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ind w:left="0" w:leftChars="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ind w:left="0" w:leftChars="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277" w:type="dxa"/>
        <w:tblInd w:w="-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990"/>
        <w:gridCol w:w="6810"/>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评审依据及标准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96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5" w:hRule="atLeast"/>
        </w:trPr>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企业综合实力</w:t>
            </w:r>
          </w:p>
        </w:tc>
        <w:tc>
          <w:tcPr>
            <w:tcW w:w="6810" w:type="dxa"/>
            <w:tcBorders>
              <w:top w:val="single" w:color="000000" w:sz="4" w:space="0"/>
              <w:left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的企业综合实力、履行能力、企业信用情况、专业能力等进行评价，优4.1-6分，良2.1-4分，一般0-2分。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0" w:hRule="atLeast"/>
        </w:trPr>
        <w:tc>
          <w:tcPr>
            <w:tcW w:w="62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lang w:val="en-US" w:eastAsia="zh-CN"/>
              </w:rPr>
            </w:pPr>
            <w:r>
              <w:rPr>
                <w:rStyle w:val="964"/>
                <w:rFonts w:hint="eastAsia" w:ascii="仿宋" w:hAnsi="仿宋" w:eastAsia="仿宋" w:cs="仿宋"/>
                <w:color w:val="auto"/>
                <w:sz w:val="24"/>
                <w:szCs w:val="24"/>
                <w:highlight w:val="none"/>
                <w:lang w:val="en-US" w:eastAsia="zh-CN"/>
              </w:rPr>
              <w:t>2</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同类业绩</w:t>
            </w:r>
          </w:p>
        </w:tc>
        <w:tc>
          <w:tcPr>
            <w:tcW w:w="6810" w:type="dxa"/>
            <w:tcBorders>
              <w:top w:val="single" w:color="000000" w:sz="4" w:space="0"/>
              <w:left w:val="single" w:color="000000" w:sz="4" w:space="0"/>
              <w:right w:val="single" w:color="000000" w:sz="4" w:space="0"/>
              <w:tl2br w:val="nil"/>
              <w:tr2bl w:val="nil"/>
            </w:tcBorders>
            <w:noWrap w:val="0"/>
            <w:vAlign w:val="center"/>
          </w:tcPr>
          <w:p>
            <w:pPr>
              <w:keepNext w:val="0"/>
              <w:keepLines w:val="0"/>
              <w:pageBreakBefore w:val="0"/>
              <w:kinsoku/>
              <w:wordWrap/>
              <w:overflowPunct/>
              <w:topLinePunct w:val="0"/>
              <w:autoSpaceDE/>
              <w:autoSpaceDN/>
              <w:bidi w:val="0"/>
              <w:adjustRightInd w:val="0"/>
              <w:spacing w:beforeLines="0" w:afterLines="0" w:line="440" w:lineRule="exact"/>
              <w:ind w:left="0" w:leftChars="0"/>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rPr>
              <w:t>自202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年1月1日以来（以合同签订时间为准），</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承接过同类项目的，每个得1分，最高得3分。（提供业绩合同扫描件加盖单位公章。）</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pacing w:beforeLines="0" w:afterLines="0" w:line="440" w:lineRule="exact"/>
              <w:ind w:left="0" w:lef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trPr>
        <w:tc>
          <w:tcPr>
            <w:tcW w:w="627"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服务方案</w:t>
            </w:r>
          </w:p>
        </w:tc>
        <w:tc>
          <w:tcPr>
            <w:tcW w:w="681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1、项目实施方案：</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根据本项目采购需求，针对性提出项目实施方案，包括对本项目系统总体要求的理解、重难点分析、工作方案，由评委综合评价打分。</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（1）方案完善</w:t>
            </w:r>
            <w:r>
              <w:rPr>
                <w:rStyle w:val="964"/>
                <w:rFonts w:hint="eastAsia" w:ascii="仿宋" w:hAnsi="仿宋" w:eastAsia="仿宋" w:cs="仿宋"/>
                <w:color w:val="auto"/>
                <w:sz w:val="24"/>
                <w:szCs w:val="24"/>
                <w:highlight w:val="none"/>
                <w:lang w:eastAsia="zh-CN"/>
              </w:rPr>
              <w:t>并</w:t>
            </w:r>
            <w:r>
              <w:rPr>
                <w:rStyle w:val="964"/>
                <w:rFonts w:hint="eastAsia" w:ascii="仿宋" w:hAnsi="仿宋" w:eastAsia="仿宋" w:cs="仿宋"/>
                <w:color w:val="auto"/>
                <w:sz w:val="24"/>
                <w:szCs w:val="24"/>
                <w:highlight w:val="none"/>
              </w:rPr>
              <w:t>符合本项目实际情况，实施管理科学合理的，得6.1-12分；</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（2）方案内容简单，阐述片面，缺乏可行性的，得0.1-6分；</w:t>
            </w:r>
          </w:p>
          <w:p>
            <w:pPr>
              <w:kinsoku/>
              <w:overflowPunct/>
              <w:topLinePunct w:val="0"/>
              <w:autoSpaceDE/>
              <w:autoSpaceDN/>
              <w:bidi w:val="0"/>
              <w:adjustRightInd/>
              <w:snapToGrid w:val="0"/>
              <w:spacing w:beforeLines="0" w:afterLines="0" w:line="400" w:lineRule="exact"/>
              <w:ind w:left="105" w:leftChars="50" w:right="105" w:rightChars="50"/>
              <w:jc w:val="left"/>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（3）不提供或严重欠缺不足的，不得分。</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2、质量保障措施：</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供应商具有完善的质量控制方案、安全检验工作制度、检验责任追究制度、检验档案管理制度等，由评委综合评价打分。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（1）方案完善并符合本项目实际情况，保障措施科学合理的，得</w:t>
            </w:r>
            <w:r>
              <w:rPr>
                <w:rFonts w:hint="eastAsia" w:ascii="仿宋" w:hAnsi="仿宋" w:eastAsia="仿宋"/>
                <w:color w:val="auto"/>
                <w:sz w:val="24"/>
                <w:szCs w:val="24"/>
                <w:highlight w:val="none"/>
                <w:lang w:val="en-US" w:eastAsia="zh-CN"/>
              </w:rPr>
              <w:t>4.6</w:t>
            </w:r>
            <w:r>
              <w:rPr>
                <w:rFonts w:hint="eastAsia" w:ascii="仿宋" w:hAnsi="仿宋" w:eastAsia="仿宋"/>
                <w:color w:val="auto"/>
                <w:sz w:val="24"/>
                <w:szCs w:val="24"/>
                <w:highlight w:val="none"/>
              </w:rPr>
              <w:t>-9</w:t>
            </w:r>
            <w:r>
              <w:rPr>
                <w:rStyle w:val="964"/>
                <w:rFonts w:hint="eastAsia" w:ascii="仿宋" w:hAnsi="仿宋" w:eastAsia="仿宋" w:cs="仿宋"/>
                <w:color w:val="auto"/>
                <w:sz w:val="24"/>
                <w:szCs w:val="24"/>
                <w:highlight w:val="none"/>
              </w:rPr>
              <w:t>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（2）方案内容简单，阐述片面，缺乏可行性的，得0.1-4</w:t>
            </w:r>
            <w:r>
              <w:rPr>
                <w:rStyle w:val="964"/>
                <w:rFonts w:hint="eastAsia" w:ascii="仿宋" w:hAnsi="仿宋" w:eastAsia="仿宋" w:cs="仿宋"/>
                <w:color w:val="auto"/>
                <w:sz w:val="24"/>
                <w:szCs w:val="24"/>
                <w:highlight w:val="none"/>
                <w:lang w:val="en-US" w:eastAsia="zh-CN"/>
              </w:rPr>
              <w:t>.5</w:t>
            </w:r>
            <w:r>
              <w:rPr>
                <w:rStyle w:val="964"/>
                <w:rFonts w:hint="eastAsia" w:ascii="仿宋" w:hAnsi="仿宋" w:eastAsia="仿宋" w:cs="仿宋"/>
                <w:color w:val="auto"/>
                <w:sz w:val="24"/>
                <w:szCs w:val="24"/>
                <w:highlight w:val="none"/>
              </w:rPr>
              <w:t>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（3）不提供或严重欠缺不足的，不得分。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9</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3、服务质量保证：</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供应商具有完备的服务质量保证方案，包括服务及时率、</w:t>
            </w:r>
            <w:r>
              <w:rPr>
                <w:rStyle w:val="964"/>
                <w:rFonts w:hint="eastAsia" w:ascii="仿宋" w:hAnsi="仿宋" w:eastAsia="仿宋" w:cs="仿宋"/>
                <w:color w:val="auto"/>
                <w:sz w:val="24"/>
                <w:szCs w:val="24"/>
                <w:highlight w:val="none"/>
                <w:lang w:eastAsia="zh-CN"/>
              </w:rPr>
              <w:t>检验</w:t>
            </w:r>
            <w:r>
              <w:rPr>
                <w:rStyle w:val="964"/>
                <w:rFonts w:hint="eastAsia" w:ascii="仿宋" w:hAnsi="仿宋" w:eastAsia="仿宋" w:cs="仿宋"/>
                <w:color w:val="auto"/>
                <w:sz w:val="24"/>
                <w:szCs w:val="24"/>
                <w:highlight w:val="none"/>
              </w:rPr>
              <w:t>有效性、业务培训、质量分析等，由评委综合评价打分。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（1）方案完善并符合本项目实际情况，保障措施科学合理的，得</w:t>
            </w:r>
            <w:r>
              <w:rPr>
                <w:rFonts w:hint="eastAsia" w:ascii="仿宋" w:hAnsi="仿宋" w:eastAsia="仿宋"/>
                <w:color w:val="auto"/>
                <w:sz w:val="24"/>
                <w:szCs w:val="24"/>
                <w:highlight w:val="none"/>
                <w:lang w:val="en-US" w:eastAsia="zh-CN"/>
              </w:rPr>
              <w:t>4.6</w:t>
            </w:r>
            <w:r>
              <w:rPr>
                <w:rFonts w:hint="eastAsia" w:ascii="仿宋" w:hAnsi="仿宋" w:eastAsia="仿宋"/>
                <w:color w:val="auto"/>
                <w:sz w:val="24"/>
                <w:szCs w:val="24"/>
                <w:highlight w:val="none"/>
              </w:rPr>
              <w:t>-9</w:t>
            </w:r>
            <w:r>
              <w:rPr>
                <w:rStyle w:val="964"/>
                <w:rFonts w:hint="eastAsia" w:ascii="仿宋" w:hAnsi="仿宋" w:eastAsia="仿宋" w:cs="仿宋"/>
                <w:color w:val="auto"/>
                <w:sz w:val="24"/>
                <w:szCs w:val="24"/>
                <w:highlight w:val="none"/>
              </w:rPr>
              <w:t>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（2）方案内容简单，阐述片面，缺乏可行性的，得0.1-4</w:t>
            </w:r>
            <w:r>
              <w:rPr>
                <w:rStyle w:val="964"/>
                <w:rFonts w:hint="eastAsia" w:ascii="仿宋" w:hAnsi="仿宋" w:eastAsia="仿宋" w:cs="仿宋"/>
                <w:color w:val="auto"/>
                <w:sz w:val="24"/>
                <w:szCs w:val="24"/>
                <w:highlight w:val="none"/>
                <w:lang w:val="en-US" w:eastAsia="zh-CN"/>
              </w:rPr>
              <w:t>.5</w:t>
            </w:r>
            <w:r>
              <w:rPr>
                <w:rStyle w:val="964"/>
                <w:rFonts w:hint="eastAsia" w:ascii="仿宋" w:hAnsi="仿宋" w:eastAsia="仿宋" w:cs="仿宋"/>
                <w:color w:val="auto"/>
                <w:sz w:val="24"/>
                <w:szCs w:val="24"/>
                <w:highlight w:val="none"/>
              </w:rPr>
              <w:t>分；</w:t>
            </w:r>
          </w:p>
          <w:p>
            <w:pPr>
              <w:kinsoku/>
              <w:overflowPunct/>
              <w:topLinePunct w:val="0"/>
              <w:autoSpaceDE/>
              <w:autoSpaceDN/>
              <w:bidi w:val="0"/>
              <w:adjustRightInd/>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（3）不提供或严重欠缺不足的，不得分。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9</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27"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4</w:t>
            </w:r>
          </w:p>
        </w:tc>
        <w:tc>
          <w:tcPr>
            <w:tcW w:w="99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人员配置</w:t>
            </w:r>
          </w:p>
        </w:tc>
        <w:tc>
          <w:tcPr>
            <w:tcW w:w="681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1、项目负责人：</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具有正高级职称的，得3分，具有副高级职称的得1分，其他不得分。本项累计最高不超过3分。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lang w:eastAsia="zh-CN"/>
              </w:rPr>
            </w:pPr>
            <w:r>
              <w:rPr>
                <w:rStyle w:val="964"/>
                <w:rFonts w:hint="eastAsia" w:ascii="仿宋" w:hAnsi="仿宋" w:eastAsia="仿宋" w:cs="仿宋"/>
                <w:color w:val="auto"/>
                <w:sz w:val="24"/>
                <w:szCs w:val="24"/>
                <w:highlight w:val="none"/>
              </w:rPr>
              <w:t>注：提供人员相关职称证书证明材料和社保部门出具的投标单位社保证明作为得分依据</w:t>
            </w:r>
            <w:r>
              <w:rPr>
                <w:rStyle w:val="964"/>
                <w:rFonts w:hint="eastAsia" w:ascii="仿宋" w:hAnsi="仿宋" w:eastAsia="仿宋" w:cs="仿宋"/>
                <w:color w:val="auto"/>
                <w:sz w:val="24"/>
                <w:szCs w:val="24"/>
                <w:highlight w:val="none"/>
                <w:lang w:eastAsia="zh-CN"/>
              </w:rPr>
              <w:t>。</w:t>
            </w:r>
          </w:p>
        </w:tc>
        <w:tc>
          <w:tcPr>
            <w:tcW w:w="85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627"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2、项目小组人员（项目负责人除外）：</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拟投入本项目的项目团队人员情况，包括学历、工作年限、工作经验、执业资格等，由评委进行综合打分：</w:t>
            </w:r>
            <w:r>
              <w:rPr>
                <w:rStyle w:val="964"/>
                <w:rFonts w:hint="eastAsia" w:ascii="仿宋" w:hAnsi="仿宋" w:eastAsia="仿宋" w:cs="仿宋"/>
                <w:color w:val="auto"/>
                <w:sz w:val="24"/>
                <w:szCs w:val="24"/>
                <w:highlight w:val="none"/>
                <w:lang w:val="zh-CN"/>
              </w:rPr>
              <w:t>能充分满足项目需求，保障项目实施质量的得</w:t>
            </w:r>
            <w:r>
              <w:rPr>
                <w:rStyle w:val="964"/>
                <w:rFonts w:hint="eastAsia" w:ascii="仿宋" w:hAnsi="仿宋" w:eastAsia="仿宋" w:cs="仿宋"/>
                <w:color w:val="auto"/>
                <w:sz w:val="24"/>
                <w:szCs w:val="24"/>
                <w:highlight w:val="none"/>
                <w:lang w:val="en-US" w:eastAsia="zh-CN"/>
              </w:rPr>
              <w:t>4.1</w:t>
            </w:r>
            <w:r>
              <w:rPr>
                <w:rStyle w:val="964"/>
                <w:rFonts w:hint="eastAsia" w:ascii="仿宋" w:hAnsi="仿宋" w:eastAsia="仿宋" w:cs="仿宋"/>
                <w:color w:val="auto"/>
                <w:sz w:val="24"/>
                <w:szCs w:val="24"/>
                <w:highlight w:val="none"/>
              </w:rPr>
              <w:t>-</w:t>
            </w:r>
            <w:r>
              <w:rPr>
                <w:rStyle w:val="964"/>
                <w:rFonts w:hint="eastAsia" w:ascii="仿宋" w:hAnsi="仿宋" w:eastAsia="仿宋" w:cs="仿宋"/>
                <w:color w:val="auto"/>
                <w:sz w:val="24"/>
                <w:szCs w:val="24"/>
                <w:highlight w:val="none"/>
                <w:lang w:val="en-US" w:eastAsia="zh-CN"/>
              </w:rPr>
              <w:t>8</w:t>
            </w:r>
            <w:r>
              <w:rPr>
                <w:rStyle w:val="964"/>
                <w:rFonts w:hint="eastAsia" w:ascii="仿宋" w:hAnsi="仿宋" w:eastAsia="仿宋" w:cs="仿宋"/>
                <w:color w:val="auto"/>
                <w:sz w:val="24"/>
                <w:szCs w:val="24"/>
                <w:highlight w:val="none"/>
              </w:rPr>
              <w:t>分；明显欠缺或不足的得0.1-</w:t>
            </w:r>
            <w:r>
              <w:rPr>
                <w:rStyle w:val="964"/>
                <w:rFonts w:hint="eastAsia" w:ascii="仿宋" w:hAnsi="仿宋" w:eastAsia="仿宋" w:cs="仿宋"/>
                <w:color w:val="auto"/>
                <w:sz w:val="24"/>
                <w:szCs w:val="24"/>
                <w:highlight w:val="none"/>
                <w:lang w:val="en-US" w:eastAsia="zh-CN"/>
              </w:rPr>
              <w:t>4</w:t>
            </w:r>
            <w:r>
              <w:rPr>
                <w:rStyle w:val="964"/>
                <w:rFonts w:hint="eastAsia" w:ascii="仿宋" w:hAnsi="仿宋" w:eastAsia="仿宋" w:cs="仿宋"/>
                <w:color w:val="auto"/>
                <w:sz w:val="24"/>
                <w:szCs w:val="24"/>
                <w:highlight w:val="none"/>
              </w:rPr>
              <w:t>分；不提供或严重欠缺不足的不得分。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注：要求提供所有人员社保证明材料和上述人员证书扫描件。</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8</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27"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5</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rPr>
              <w:t>设备配置</w:t>
            </w:r>
          </w:p>
        </w:tc>
        <w:tc>
          <w:tcPr>
            <w:tcW w:w="681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964"/>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zh-CN"/>
              </w:rPr>
              <w:t>供应商配备满足本项目产品检测的仪器设备，性能先进优越的，种类能充分满足检测需求，保障项目实施质量的得</w:t>
            </w:r>
            <w:r>
              <w:rPr>
                <w:rStyle w:val="964"/>
                <w:rFonts w:hint="eastAsia" w:ascii="仿宋" w:hAnsi="仿宋" w:eastAsia="仿宋" w:cs="仿宋"/>
                <w:color w:val="auto"/>
                <w:sz w:val="24"/>
                <w:szCs w:val="24"/>
                <w:highlight w:val="none"/>
                <w:lang w:val="en-US" w:eastAsia="zh-CN"/>
              </w:rPr>
              <w:t>4.1</w:t>
            </w:r>
            <w:r>
              <w:rPr>
                <w:rStyle w:val="964"/>
                <w:rFonts w:hint="eastAsia" w:ascii="仿宋" w:hAnsi="仿宋" w:eastAsia="仿宋" w:cs="仿宋"/>
                <w:color w:val="auto"/>
                <w:sz w:val="24"/>
                <w:szCs w:val="24"/>
                <w:highlight w:val="none"/>
              </w:rPr>
              <w:t>-</w:t>
            </w:r>
            <w:r>
              <w:rPr>
                <w:rStyle w:val="964"/>
                <w:rFonts w:hint="eastAsia" w:ascii="仿宋" w:hAnsi="仿宋" w:eastAsia="仿宋" w:cs="仿宋"/>
                <w:color w:val="auto"/>
                <w:sz w:val="24"/>
                <w:szCs w:val="24"/>
                <w:highlight w:val="none"/>
                <w:lang w:val="en-US" w:eastAsia="zh-CN"/>
              </w:rPr>
              <w:t>8</w:t>
            </w:r>
            <w:r>
              <w:rPr>
                <w:rStyle w:val="964"/>
                <w:rFonts w:hint="eastAsia" w:ascii="仿宋" w:hAnsi="仿宋" w:eastAsia="仿宋" w:cs="仿宋"/>
                <w:color w:val="auto"/>
                <w:sz w:val="24"/>
                <w:szCs w:val="24"/>
                <w:highlight w:val="none"/>
              </w:rPr>
              <w:t>分；明显欠缺或不足的得0.1-</w:t>
            </w:r>
            <w:r>
              <w:rPr>
                <w:rStyle w:val="964"/>
                <w:rFonts w:hint="eastAsia" w:ascii="仿宋" w:hAnsi="仿宋" w:eastAsia="仿宋" w:cs="仿宋"/>
                <w:color w:val="auto"/>
                <w:sz w:val="24"/>
                <w:szCs w:val="24"/>
                <w:highlight w:val="none"/>
                <w:lang w:val="en-US" w:eastAsia="zh-CN"/>
              </w:rPr>
              <w:t>4</w:t>
            </w:r>
            <w:r>
              <w:rPr>
                <w:rStyle w:val="964"/>
                <w:rFonts w:hint="eastAsia" w:ascii="仿宋" w:hAnsi="仿宋" w:eastAsia="仿宋" w:cs="仿宋"/>
                <w:color w:val="auto"/>
                <w:sz w:val="24"/>
                <w:szCs w:val="24"/>
                <w:highlight w:val="none"/>
              </w:rPr>
              <w:t>分；不提供或严重欠缺不足的不得分。</w:t>
            </w:r>
          </w:p>
          <w:p>
            <w:pPr>
              <w:kinsoku/>
              <w:overflowPunct/>
              <w:topLinePunct w:val="0"/>
              <w:autoSpaceDE/>
              <w:autoSpaceDN/>
              <w:bidi w:val="0"/>
              <w:spacing w:beforeLines="0" w:afterLines="0" w:line="400" w:lineRule="exact"/>
              <w:rPr>
                <w:rFonts w:hint="default" w:ascii="宋体" w:hAnsi="Times New Roman" w:eastAsia="宋体" w:cs="Times New Roman"/>
                <w:color w:val="auto"/>
                <w:kern w:val="2"/>
                <w:sz w:val="21"/>
                <w:szCs w:val="24"/>
                <w:highlight w:val="none"/>
              </w:rPr>
            </w:pPr>
            <w:r>
              <w:rPr>
                <w:rStyle w:val="964"/>
                <w:rFonts w:hint="eastAsia" w:ascii="仿宋" w:hAnsi="仿宋" w:eastAsia="仿宋" w:cs="仿宋"/>
                <w:color w:val="auto"/>
                <w:sz w:val="24"/>
                <w:szCs w:val="24"/>
                <w:highlight w:val="none"/>
              </w:rPr>
              <w:t>注：</w:t>
            </w:r>
            <w:r>
              <w:rPr>
                <w:rStyle w:val="964"/>
                <w:rFonts w:hint="eastAsia" w:ascii="仿宋" w:hAnsi="仿宋" w:eastAsia="仿宋" w:cs="仿宋"/>
                <w:color w:val="auto"/>
                <w:sz w:val="24"/>
                <w:szCs w:val="24"/>
                <w:highlight w:val="none"/>
                <w:lang w:val="zh-CN"/>
              </w:rPr>
              <w:t>提供设备清单、照片、购置发票等相关证明材料。</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964"/>
                <w:rFonts w:hint="eastAsia" w:ascii="仿宋" w:hAnsi="仿宋" w:eastAsia="仿宋" w:cs="仿宋"/>
                <w:color w:val="auto"/>
                <w:sz w:val="24"/>
                <w:szCs w:val="24"/>
                <w:highlight w:val="none"/>
                <w:lang w:val="en-US" w:eastAsia="zh-CN"/>
              </w:rPr>
              <w:t>8</w:t>
            </w:r>
            <w:r>
              <w:rPr>
                <w:rStyle w:val="964"/>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627"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964"/>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jc w:val="center"/>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应急处置能力</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供应商提供</w:t>
            </w:r>
            <w:r>
              <w:rPr>
                <w:rFonts w:hint="eastAsia" w:ascii="仿宋" w:hAnsi="仿宋" w:eastAsia="仿宋" w:cs="仿宋"/>
                <w:color w:val="auto"/>
                <w:sz w:val="24"/>
                <w:szCs w:val="24"/>
                <w:highlight w:val="none"/>
              </w:rPr>
              <w:t>项目服务过程中的</w:t>
            </w:r>
            <w:r>
              <w:rPr>
                <w:rFonts w:hint="eastAsia" w:ascii="仿宋" w:hAnsi="仿宋" w:eastAsia="仿宋" w:cs="仿宋"/>
                <w:color w:val="auto"/>
                <w:sz w:val="24"/>
                <w:szCs w:val="24"/>
                <w:highlight w:val="none"/>
                <w:lang w:val="zh-CN"/>
              </w:rPr>
              <w:t>相关应急预案，预案应针对可能出现的产品质量突发性、应急性等事件，设置应对</w:t>
            </w:r>
            <w:r>
              <w:rPr>
                <w:rFonts w:hint="eastAsia" w:ascii="仿宋" w:hAnsi="仿宋" w:eastAsia="仿宋" w:cs="仿宋"/>
                <w:color w:val="auto"/>
                <w:sz w:val="24"/>
                <w:szCs w:val="24"/>
                <w:highlight w:val="none"/>
              </w:rPr>
              <w:t>机构、人员及</w:t>
            </w:r>
            <w:r>
              <w:rPr>
                <w:rFonts w:hint="eastAsia" w:ascii="仿宋" w:hAnsi="仿宋" w:eastAsia="仿宋" w:cs="仿宋"/>
                <w:color w:val="auto"/>
                <w:sz w:val="24"/>
                <w:szCs w:val="24"/>
                <w:highlight w:val="none"/>
                <w:lang w:val="zh-CN"/>
              </w:rPr>
              <w:t>措施，提供有效保障等内容。</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）应急预案内容要素完整，方案合理、可行，完全满足采购需求的，得</w:t>
            </w: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）预案基本可行，</w:t>
            </w:r>
            <w:r>
              <w:rPr>
                <w:rFonts w:hint="eastAsia" w:ascii="仿宋" w:hAnsi="仿宋" w:eastAsia="仿宋" w:cs="仿宋"/>
                <w:color w:val="auto"/>
                <w:sz w:val="24"/>
                <w:szCs w:val="24"/>
                <w:highlight w:val="none"/>
              </w:rPr>
              <w:t>部分内容稍有不足的，得0.1-2分；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（3）未提及此项，不得分。</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96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627"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服务承诺</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针对本项目的其他优惠服务措施及验收后的服务承诺等进行综合评审，优得</w:t>
            </w:r>
            <w:r>
              <w:rPr>
                <w:rFonts w:hint="eastAsia" w:ascii="仿宋" w:hAnsi="仿宋" w:eastAsia="仿宋" w:cs="仿宋"/>
                <w:color w:val="auto"/>
                <w:sz w:val="24"/>
                <w:szCs w:val="24"/>
                <w:highlight w:val="none"/>
                <w:u w:val="none"/>
                <w:shd w:val="clear" w:color="auto" w:fill="auto"/>
              </w:rPr>
              <w:t>4.1-6</w:t>
            </w:r>
            <w:r>
              <w:rPr>
                <w:rFonts w:hint="eastAsia" w:ascii="仿宋" w:hAnsi="仿宋" w:eastAsia="仿宋" w:cs="仿宋"/>
                <w:color w:val="auto"/>
                <w:sz w:val="24"/>
                <w:szCs w:val="24"/>
                <w:highlight w:val="none"/>
              </w:rPr>
              <w:t>分，良得</w:t>
            </w:r>
            <w:r>
              <w:rPr>
                <w:rFonts w:hint="eastAsia" w:ascii="仿宋" w:hAnsi="仿宋" w:eastAsia="仿宋" w:cs="仿宋"/>
                <w:color w:val="auto"/>
                <w:sz w:val="24"/>
                <w:szCs w:val="24"/>
                <w:highlight w:val="none"/>
                <w:u w:val="none"/>
                <w:shd w:val="clear" w:color="auto" w:fill="auto"/>
              </w:rPr>
              <w:t>2.1-4</w:t>
            </w:r>
            <w:r>
              <w:rPr>
                <w:rFonts w:hint="eastAsia" w:ascii="仿宋" w:hAnsi="仿宋" w:eastAsia="仿宋" w:cs="仿宋"/>
                <w:color w:val="auto"/>
                <w:sz w:val="24"/>
                <w:szCs w:val="24"/>
                <w:highlight w:val="none"/>
              </w:rPr>
              <w:t>分，一般得</w:t>
            </w:r>
            <w:r>
              <w:rPr>
                <w:rFonts w:hint="eastAsia" w:ascii="仿宋" w:hAnsi="仿宋" w:eastAsia="仿宋" w:cs="仿宋"/>
                <w:color w:val="auto"/>
                <w:sz w:val="24"/>
                <w:szCs w:val="24"/>
                <w:highlight w:val="none"/>
                <w:u w:val="none"/>
                <w:shd w:val="clear" w:color="auto" w:fill="auto"/>
              </w:rPr>
              <w:t>0</w:t>
            </w:r>
            <w:r>
              <w:rPr>
                <w:rFonts w:hint="eastAsia" w:ascii="仿宋" w:hAnsi="仿宋" w:eastAsia="仿宋" w:cs="仿宋"/>
                <w:color w:val="auto"/>
                <w:sz w:val="24"/>
                <w:szCs w:val="24"/>
                <w:highlight w:val="none"/>
                <w:u w:val="none"/>
                <w:shd w:val="clear" w:color="auto" w:fill="auto"/>
                <w:lang w:val="en-US" w:eastAsia="zh-CN"/>
              </w:rPr>
              <w:t>.1</w:t>
            </w:r>
            <w:r>
              <w:rPr>
                <w:rFonts w:hint="eastAsia" w:ascii="仿宋" w:hAnsi="仿宋" w:eastAsia="仿宋" w:cs="仿宋"/>
                <w:color w:val="auto"/>
                <w:sz w:val="24"/>
                <w:szCs w:val="24"/>
                <w:highlight w:val="none"/>
                <w:u w:val="none"/>
                <w:shd w:val="clear" w:color="auto" w:fill="auto"/>
              </w:rPr>
              <w:t>-2</w:t>
            </w:r>
            <w:r>
              <w:rPr>
                <w:rFonts w:hint="eastAsia" w:ascii="仿宋" w:hAnsi="仿宋" w:eastAsia="仿宋" w:cs="仿宋"/>
                <w:color w:val="auto"/>
                <w:sz w:val="24"/>
                <w:szCs w:val="24"/>
                <w:highlight w:val="none"/>
              </w:rPr>
              <w:t>分，差不得分。</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bl>
    <w:p>
      <w:pPr>
        <w:keepNext w:val="0"/>
        <w:keepLines w:val="0"/>
        <w:pageBreakBefore w:val="0"/>
        <w:kinsoku/>
        <w:wordWrap/>
        <w:overflowPunct/>
        <w:topLinePunct w:val="0"/>
        <w:autoSpaceDE/>
        <w:autoSpaceDN/>
        <w:bidi w:val="0"/>
        <w:adjustRightInd w:val="0"/>
        <w:snapToGrid w:val="0"/>
        <w:spacing w:line="440" w:lineRule="exact"/>
        <w:ind w:left="0" w:leftChars="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autoSpaceDE/>
        <w:autoSpaceDN/>
        <w:bidi w:val="0"/>
        <w:adjustRightInd w:val="0"/>
        <w:spacing w:line="440" w:lineRule="exact"/>
        <w:ind w:left="0" w:leftChars="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autoSpaceDE/>
        <w:autoSpaceDN/>
        <w:bidi w:val="0"/>
        <w:adjustRightInd w:val="0"/>
        <w:spacing w:line="440" w:lineRule="exact"/>
        <w:ind w:left="0" w:leftChars="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440" w:lineRule="exact"/>
        <w:ind w:left="0" w:leftChars="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kinsoku/>
        <w:wordWrap/>
        <w:overflowPunct/>
        <w:topLinePunct w:val="0"/>
        <w:autoSpaceDE/>
        <w:autoSpaceDN/>
        <w:bidi w:val="0"/>
        <w:adjustRightInd w:val="0"/>
        <w:spacing w:line="440" w:lineRule="exact"/>
        <w:ind w:left="0" w:leftChars="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kinsoku/>
        <w:wordWrap/>
        <w:overflowPunct/>
        <w:topLinePunct w:val="0"/>
        <w:autoSpaceDE/>
        <w:autoSpaceDN/>
        <w:bidi w:val="0"/>
        <w:adjustRightInd w:val="0"/>
        <w:spacing w:line="440" w:lineRule="exact"/>
        <w:ind w:left="0" w:leftChars="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p>
      <w:pPr>
        <w:pStyle w:val="24"/>
        <w:ind w:left="0" w:leftChars="0" w:firstLine="0" w:firstLineChars="0"/>
        <w:rPr>
          <w:rFonts w:hint="eastAsia"/>
          <w:color w:val="auto"/>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904"/>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keepNext w:val="0"/>
        <w:keepLines w:val="0"/>
        <w:pageBreakBefore w:val="0"/>
        <w:kinsoku/>
        <w:wordWrap/>
        <w:overflowPunct/>
        <w:topLinePunct w:val="0"/>
        <w:autoSpaceDE/>
        <w:autoSpaceDN/>
        <w:bidi w:val="0"/>
        <w:snapToGrid w:val="0"/>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5"/>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5"/>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jc w:val="center"/>
        <w:rPr>
          <w:rFonts w:hint="eastAsia" w:ascii="仿宋" w:hAnsi="仿宋" w:eastAsia="仿宋" w:cs="仿宋"/>
          <w:b/>
          <w:bCs/>
          <w:color w:val="auto"/>
          <w:sz w:val="24"/>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hint="eastAsia" w:ascii="仿宋_GB2312" w:hAnsi="仿宋_GB2312" w:eastAsia="仿宋_GB2312" w:cs="仿宋_GB2312"/>
          <w:b/>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hint="eastAsia" w:ascii="仿宋_GB2312" w:hAnsi="仿宋_GB2312" w:eastAsia="仿宋_GB2312" w:cs="仿宋_GB2312"/>
          <w:b/>
          <w:bCs/>
          <w:color w:val="auto"/>
          <w:sz w:val="32"/>
          <w:szCs w:val="32"/>
          <w:highlight w:val="none"/>
          <w:lang w:eastAsia="zh-CN"/>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79"/>
        <w:rPr>
          <w:rFonts w:hint="eastAsia"/>
          <w:color w:val="auto"/>
          <w:highlight w:val="none"/>
          <w:lang w:eastAsia="zh-CN"/>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79"/>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color w:val="auto"/>
          <w:highlight w:val="none"/>
        </w:rPr>
        <w:sectPr>
          <w:footerReference r:id="rId8" w:type="first"/>
          <w:footerReference r:id="rId7"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1" w:type="first"/>
          <w:headerReference r:id="rId9" w:type="default"/>
          <w:footerReference r:id="rId10"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79"/>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1" w:name="_Hlk101131882"/>
      <w:r>
        <w:rPr>
          <w:rFonts w:hint="eastAsia" w:ascii="仿宋" w:hAnsi="仿宋" w:eastAsia="仿宋" w:cs="仿宋"/>
          <w:color w:val="auto"/>
          <w:kern w:val="0"/>
          <w:sz w:val="24"/>
          <w:highlight w:val="none"/>
          <w:u w:val="single"/>
        </w:rPr>
        <w:t>联合体成员X,……</w:t>
      </w:r>
      <w:bookmarkEnd w:id="161"/>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2"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2"/>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2024年液化天然气加气机强制检定采购项目（重招）</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79"/>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4" w:name="OLE_LINK13"/>
      <w:bookmarkStart w:id="165" w:name="OLE_LINK14"/>
      <w:r>
        <w:rPr>
          <w:rFonts w:hint="eastAsia" w:ascii="仿宋" w:hAnsi="仿宋" w:eastAsia="仿宋" w:cs="仿宋"/>
          <w:b/>
          <w:color w:val="auto"/>
          <w:spacing w:val="6"/>
          <w:sz w:val="32"/>
          <w:szCs w:val="32"/>
          <w:highlight w:val="none"/>
        </w:rPr>
        <w:t>残疾人福利性单位声明函</w:t>
      </w:r>
    </w:p>
    <w:bookmarkEnd w:id="164"/>
    <w:bookmarkEnd w:id="165"/>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2024年液化天然气加气机强制检定采购项目（重招）</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2024年液化天然气加气机强制检定采购项目（重招）</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6" w:name="_Toc164085800"/>
    <w:bookmarkStart w:id="167" w:name="_Toc91899912"/>
    <w:bookmarkStart w:id="168" w:name="_Toc36110187"/>
    <w:bookmarkStart w:id="169" w:name="_Toc131845147"/>
    <w:r>
      <w:rPr>
        <w:rFonts w:hint="eastAsia" w:ascii="仿宋_GB2312" w:eastAsia="仿宋_GB2312"/>
        <w:kern w:val="0"/>
        <w:szCs w:val="21"/>
      </w:rPr>
      <w:t xml:space="preserve"> 页</w:t>
    </w:r>
    <w:bookmarkEnd w:id="166"/>
    <w:bookmarkEnd w:id="167"/>
    <w:bookmarkEnd w:id="168"/>
    <w:bookmarkEnd w:id="169"/>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SXQS-202406-GK064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SXQS-202406-GK064</w:t>
    </w:r>
  </w:p>
  <w:p>
    <w:pPr>
      <w:pStyle w:val="41"/>
      <w:pBdr>
        <w:bottom w:val="none" w:color="auto" w:sz="0" w:space="0"/>
      </w:pBdr>
      <w:tabs>
        <w:tab w:val="clear" w:pos="4153"/>
        <w:tab w:val="clear" w:pos="8306"/>
      </w:tabs>
      <w:jc w:val="both"/>
      <w:rPr>
        <w:rFonts w:hint="eastAsia" w:ascii="仿宋" w:hAnsi="仿宋" w:eastAsia="仿宋" w:cs="仿宋"/>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SXQS-202406-GK064</w:t>
    </w:r>
    <w:r>
      <w:rPr>
        <w:rFonts w:hint="eastAsia" w:ascii="仿宋" w:hAnsi="仿宋" w:eastAsia="仿宋" w:cs="仿宋"/>
      </w:rPr>
      <w:t xml:space="preserve">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b w:val="0"/>
        <w:i/>
        <w:sz w:val="18"/>
        <w:u w:val="single"/>
        <w:lang w:val="en-US" w:eastAsia="zh-CN"/>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SXQS-202406-GK064</w:t>
    </w:r>
  </w:p>
  <w:p>
    <w:pPr>
      <w:pStyle w:val="41"/>
      <w:pBdr>
        <w:bottom w:val="none" w:color="auto" w:sz="0" w:space="1"/>
      </w:pBdr>
      <w:jc w:val="right"/>
      <w:rPr>
        <w:rFonts w:ascii="仿宋_GB2312" w:eastAsia="仿宋_GB2312"/>
        <w:b/>
        <w:i/>
        <w:iCs/>
        <w:u w:val="single"/>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val="en-US" w:eastAsia="zh-CN"/>
      </w:rPr>
      <w:t>绍兴虬实企业管理咨询有限公司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SXQS-202406-GK064</w:t>
    </w:r>
    <w:r>
      <w:rPr>
        <w:rFonts w:hint="eastAsia" w:ascii="仿宋" w:hAnsi="仿宋" w:eastAsia="仿宋" w:cs="仿宋"/>
      </w:rPr>
      <w:t xml:space="preserve">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5ZDQ2MTUyMWIxYjY3OTY2MGY3ZjhmYzhiODY2YzQifQ=="/>
  </w:docVars>
  <w:rsids>
    <w:rsidRoot w:val="00172A27"/>
    <w:rsid w:val="00BB6EE8"/>
    <w:rsid w:val="01087B09"/>
    <w:rsid w:val="04123BD0"/>
    <w:rsid w:val="04D60CAF"/>
    <w:rsid w:val="0608101F"/>
    <w:rsid w:val="06CE6614"/>
    <w:rsid w:val="082936CA"/>
    <w:rsid w:val="0B6D4294"/>
    <w:rsid w:val="0DC50B9E"/>
    <w:rsid w:val="0F096B8F"/>
    <w:rsid w:val="0F63063F"/>
    <w:rsid w:val="0F9D602C"/>
    <w:rsid w:val="12FF4848"/>
    <w:rsid w:val="16D567E2"/>
    <w:rsid w:val="18E60774"/>
    <w:rsid w:val="1B040045"/>
    <w:rsid w:val="1B6E7990"/>
    <w:rsid w:val="1C6568C1"/>
    <w:rsid w:val="1D2F1C3B"/>
    <w:rsid w:val="27F019EE"/>
    <w:rsid w:val="27F95B73"/>
    <w:rsid w:val="29A80427"/>
    <w:rsid w:val="2C9254B0"/>
    <w:rsid w:val="2CBC0949"/>
    <w:rsid w:val="2DA64CC9"/>
    <w:rsid w:val="30265EC3"/>
    <w:rsid w:val="30CD01D9"/>
    <w:rsid w:val="31221C11"/>
    <w:rsid w:val="33387A25"/>
    <w:rsid w:val="34766FB1"/>
    <w:rsid w:val="370B2364"/>
    <w:rsid w:val="38AD752A"/>
    <w:rsid w:val="38CB7945"/>
    <w:rsid w:val="3A5D3DCC"/>
    <w:rsid w:val="3B597AE8"/>
    <w:rsid w:val="3C1F06C3"/>
    <w:rsid w:val="3DB64D77"/>
    <w:rsid w:val="3DE15ED8"/>
    <w:rsid w:val="3E4F21BF"/>
    <w:rsid w:val="3FD62F2F"/>
    <w:rsid w:val="405939A2"/>
    <w:rsid w:val="427E60E8"/>
    <w:rsid w:val="428E6EDE"/>
    <w:rsid w:val="438F4944"/>
    <w:rsid w:val="443251C4"/>
    <w:rsid w:val="444E2219"/>
    <w:rsid w:val="48FD0C8D"/>
    <w:rsid w:val="4AA414CB"/>
    <w:rsid w:val="4B847D71"/>
    <w:rsid w:val="4E102281"/>
    <w:rsid w:val="4E95673A"/>
    <w:rsid w:val="4F4B3D85"/>
    <w:rsid w:val="52FC6E8F"/>
    <w:rsid w:val="547C17C0"/>
    <w:rsid w:val="55E02539"/>
    <w:rsid w:val="56C740B3"/>
    <w:rsid w:val="56FD1D12"/>
    <w:rsid w:val="57995095"/>
    <w:rsid w:val="57E80FEC"/>
    <w:rsid w:val="583512EE"/>
    <w:rsid w:val="58F9403E"/>
    <w:rsid w:val="5996188C"/>
    <w:rsid w:val="5A31407C"/>
    <w:rsid w:val="5A8C2C8F"/>
    <w:rsid w:val="5B3F450E"/>
    <w:rsid w:val="5C7A1030"/>
    <w:rsid w:val="5CE67FA1"/>
    <w:rsid w:val="5F0D2797"/>
    <w:rsid w:val="5F561B6F"/>
    <w:rsid w:val="5F57E5CA"/>
    <w:rsid w:val="614D4BF4"/>
    <w:rsid w:val="61FD75F3"/>
    <w:rsid w:val="621A1E1B"/>
    <w:rsid w:val="62752540"/>
    <w:rsid w:val="62FE1710"/>
    <w:rsid w:val="63D41FBE"/>
    <w:rsid w:val="64444F91"/>
    <w:rsid w:val="64C5571C"/>
    <w:rsid w:val="64DF4A2F"/>
    <w:rsid w:val="654314F9"/>
    <w:rsid w:val="66747DFB"/>
    <w:rsid w:val="669C35D3"/>
    <w:rsid w:val="67782081"/>
    <w:rsid w:val="6B8E45DC"/>
    <w:rsid w:val="6CFB2798"/>
    <w:rsid w:val="6E8D1368"/>
    <w:rsid w:val="6FC37AD4"/>
    <w:rsid w:val="6FD41F9F"/>
    <w:rsid w:val="729D4772"/>
    <w:rsid w:val="72D37886"/>
    <w:rsid w:val="75421CD8"/>
    <w:rsid w:val="75A67813"/>
    <w:rsid w:val="76065B94"/>
    <w:rsid w:val="762E72D7"/>
    <w:rsid w:val="768865A9"/>
    <w:rsid w:val="78AD1F79"/>
    <w:rsid w:val="799B3619"/>
    <w:rsid w:val="79C7D1AC"/>
    <w:rsid w:val="7B0D1B94"/>
    <w:rsid w:val="7C7E0232"/>
    <w:rsid w:val="7D876366"/>
    <w:rsid w:val="7DFF3A1B"/>
    <w:rsid w:val="7FCE9F2A"/>
    <w:rsid w:val="BB596676"/>
    <w:rsid w:val="BFFFD9E2"/>
    <w:rsid w:val="F7F76871"/>
    <w:rsid w:val="F95BD9D6"/>
    <w:rsid w:val="FF3F59ED"/>
    <w:rsid w:val="FF6FDBC5"/>
    <w:rsid w:val="FFFD1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autoRedefine/>
    <w:qFormat/>
    <w:uiPriority w:val="0"/>
    <w:pPr>
      <w:ind w:firstLine="420"/>
    </w:pPr>
    <w:rPr>
      <w:rFonts w:hAnsi="Calibri" w:cs="Times New Roman"/>
      <w:snapToGrid/>
      <w:szCs w:val="20"/>
    </w:rPr>
  </w:style>
  <w:style w:type="paragraph" w:styleId="25">
    <w:name w:val="Body Text Indent"/>
    <w:basedOn w:val="1"/>
    <w:link w:val="263"/>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0"/>
    <w:autoRedefine/>
    <w:qFormat/>
    <w:uiPriority w:val="0"/>
    <w:pPr>
      <w:ind w:left="100" w:leftChars="2500"/>
    </w:pPr>
    <w:rPr>
      <w:rFonts w:ascii="宋体"/>
      <w:sz w:val="24"/>
      <w:szCs w:val="21"/>
      <w:lang w:val="zh-CN"/>
    </w:rPr>
  </w:style>
  <w:style w:type="paragraph" w:styleId="37">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7"/>
    <w:autoRedefine/>
    <w:qFormat/>
    <w:uiPriority w:val="0"/>
    <w:rPr>
      <w:sz w:val="18"/>
      <w:szCs w:val="18"/>
    </w:rPr>
  </w:style>
  <w:style w:type="paragraph" w:styleId="40">
    <w:name w:val="footer"/>
    <w:basedOn w:val="1"/>
    <w:link w:val="381"/>
    <w:autoRedefine/>
    <w:qFormat/>
    <w:uiPriority w:val="99"/>
    <w:pPr>
      <w:tabs>
        <w:tab w:val="center" w:pos="4153"/>
        <w:tab w:val="right" w:pos="8306"/>
      </w:tabs>
      <w:snapToGrid w:val="0"/>
      <w:jc w:val="left"/>
    </w:pPr>
    <w:rPr>
      <w:sz w:val="18"/>
      <w:szCs w:val="18"/>
    </w:rPr>
  </w:style>
  <w:style w:type="paragraph" w:styleId="41">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3"/>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0"/>
    <w:autoRedefine/>
    <w:qFormat/>
    <w:uiPriority w:val="0"/>
    <w:pPr>
      <w:spacing w:after="120" w:line="480" w:lineRule="auto"/>
    </w:pPr>
  </w:style>
  <w:style w:type="paragraph" w:styleId="57">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5"/>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7"/>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3"/>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6"/>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9"/>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0"/>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5"/>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2"/>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9"/>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7"/>
    <w:autoRedefine/>
    <w:qFormat/>
    <w:uiPriority w:val="0"/>
    <w:rPr>
      <w:rFonts w:ascii="黑体" w:hAnsi="Courier New" w:eastAsia="黑体"/>
    </w:rPr>
  </w:style>
  <w:style w:type="character" w:customStyle="1" w:styleId="300">
    <w:name w:val="正文文本 2 Char1"/>
    <w:link w:val="56"/>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7"/>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50"/>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24"/>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2"/>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3"/>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40"/>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1"/>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4"/>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2"/>
    <w:autoRedefine/>
    <w:qFormat/>
    <w:uiPriority w:val="0"/>
    <w:pPr>
      <w:tabs>
        <w:tab w:val="left" w:pos="840"/>
      </w:tabs>
      <w:adjustRightInd/>
      <w:ind w:left="840" w:hanging="420"/>
    </w:pPr>
  </w:style>
  <w:style w:type="paragraph" w:customStyle="1" w:styleId="624">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after="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5"/>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8"/>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autoRedefine/>
    <w:qFormat/>
    <w:uiPriority w:val="0"/>
    <w:pPr>
      <w:tabs>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2"/>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44990</Words>
  <Characters>47858</Characters>
  <Paragraphs>1943</Paragraphs>
  <TotalTime>34</TotalTime>
  <ScaleCrop>false</ScaleCrop>
  <LinksUpToDate>false</LinksUpToDate>
  <CharactersWithSpaces>55268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豆浆</cp:lastModifiedBy>
  <cp:lastPrinted>2021-12-29T03:06:00Z</cp:lastPrinted>
  <dcterms:modified xsi:type="dcterms:W3CDTF">2024-06-04T09:54:20Z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F732E9C9418847E2823764F31795EBF7_13</vt:lpwstr>
  </property>
</Properties>
</file>