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56"/>
          <w:szCs w:val="56"/>
          <w:highlight w:val="none"/>
          <w:lang w:eastAsia="zh-CN"/>
        </w:rPr>
        <w:t>高速交警（2024年）视频专网主干网络传输租赁服务项目</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44"/>
          <w:szCs w:val="44"/>
          <w:highlight w:val="none"/>
        </w:rPr>
        <w:t xml:space="preserve"> </w:t>
      </w:r>
    </w:p>
    <w:p>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招标编号:</w:t>
      </w:r>
      <w:r>
        <w:rPr>
          <w:rFonts w:hint="eastAsia" w:ascii="仿宋" w:hAnsi="仿宋" w:eastAsia="仿宋" w:cs="仿宋"/>
          <w:color w:val="auto"/>
          <w:sz w:val="28"/>
          <w:szCs w:val="28"/>
          <w:highlight w:val="none"/>
          <w:lang w:eastAsia="zh-CN"/>
        </w:rPr>
        <w:t>SXQS-202404-GK039</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pageBreakBefore w:val="0"/>
              <w:widowControl w:val="0"/>
              <w:kinsoku/>
              <w:wordWrap/>
              <w:overflowPunct/>
              <w:topLinePunct w:val="0"/>
              <w:autoSpaceDE/>
              <w:autoSpaceDN/>
              <w:bidi w:val="0"/>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绍兴市公安局高速公路交通警察支队</w:t>
            </w:r>
          </w:p>
        </w:tc>
      </w:tr>
      <w:tr>
        <w:tblPrEx>
          <w:tblCellMar>
            <w:top w:w="0" w:type="dxa"/>
            <w:left w:w="108" w:type="dxa"/>
            <w:bottom w:w="0" w:type="dxa"/>
            <w:right w:w="108" w:type="dxa"/>
          </w:tblCellMar>
        </w:tblPrEx>
        <w:trPr>
          <w:trHeight w:val="494" w:hRule="atLeast"/>
          <w:jc w:val="center"/>
        </w:trPr>
        <w:tc>
          <w:tcPr>
            <w:tcW w:w="2356" w:type="dxa"/>
          </w:tcPr>
          <w:p>
            <w:pPr>
              <w:pageBreakBefore w:val="0"/>
              <w:widowControl w:val="0"/>
              <w:kinsoku/>
              <w:wordWrap/>
              <w:overflowPunct/>
              <w:topLinePunct w:val="0"/>
              <w:autoSpaceDE/>
              <w:autoSpaceDN/>
              <w:bidi w:val="0"/>
              <w:spacing w:after="100" w:afterAutospacing="1" w:line="240" w:lineRule="auto"/>
              <w:jc w:val="both"/>
              <w:textAlignment w:val="auto"/>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采购代理机构</w:t>
            </w:r>
            <w:r>
              <w:rPr>
                <w:rFonts w:hint="eastAsia" w:ascii="仿宋" w:hAnsi="仿宋" w:eastAsia="仿宋" w:cs="仿宋"/>
                <w:color w:val="auto"/>
                <w:spacing w:val="93"/>
                <w:kern w:val="0"/>
                <w:sz w:val="28"/>
                <w:szCs w:val="28"/>
                <w:highlight w:val="none"/>
                <w:lang w:val="en-US" w:eastAsia="zh-CN"/>
              </w:rPr>
              <w:t>：</w:t>
            </w:r>
          </w:p>
        </w:tc>
        <w:tc>
          <w:tcPr>
            <w:tcW w:w="5445" w:type="dxa"/>
          </w:tcPr>
          <w:p>
            <w:pPr>
              <w:pageBreakBefore w:val="0"/>
              <w:widowControl w:val="0"/>
              <w:kinsoku/>
              <w:wordWrap/>
              <w:overflowPunct/>
              <w:topLinePunct w:val="0"/>
              <w:autoSpaceDE/>
              <w:autoSpaceDN/>
              <w:bidi w:val="0"/>
              <w:spacing w:line="240" w:lineRule="auto"/>
              <w:textAlignment w:val="auto"/>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93"/>
                <w:kern w:val="0"/>
                <w:sz w:val="28"/>
                <w:szCs w:val="28"/>
                <w:highlight w:val="none"/>
                <w:lang w:val="en-US" w:eastAsia="zh-CN"/>
              </w:rPr>
              <w:t>监督单位：</w:t>
            </w:r>
          </w:p>
        </w:tc>
        <w:tc>
          <w:tcPr>
            <w:tcW w:w="5445" w:type="dxa"/>
          </w:tcPr>
          <w:p>
            <w:pPr>
              <w:pageBreakBefore w:val="0"/>
              <w:widowControl w:val="0"/>
              <w:kinsoku/>
              <w:wordWrap/>
              <w:overflowPunct/>
              <w:topLinePunct w:val="0"/>
              <w:autoSpaceDE/>
              <w:autoSpaceDN/>
              <w:bidi w:val="0"/>
              <w:spacing w:line="240" w:lineRule="auto"/>
              <w:textAlignment w:val="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pPr>
        <w:pStyle w:val="635"/>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400" w:lineRule="exact"/>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400" w:lineRule="exact"/>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400" w:lineRule="exact"/>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400" w:lineRule="exact"/>
        <w:ind w:firstLine="549" w:firstLineChars="229"/>
        <w:textAlignment w:val="auto"/>
        <w:rPr>
          <w:rFonts w:hint="eastAsia" w:ascii="仿宋" w:hAnsi="仿宋" w:eastAsia="仿宋" w:cs="仿宋"/>
          <w:color w:val="auto"/>
          <w:sz w:val="24"/>
          <w:highlight w:val="none"/>
        </w:rPr>
      </w:pPr>
    </w:p>
    <w:p>
      <w:pPr>
        <w:pageBreakBefore w:val="0"/>
        <w:widowControl w:val="0"/>
        <w:kinsoku/>
        <w:wordWrap/>
        <w:overflowPunct/>
        <w:topLinePunct w:val="0"/>
        <w:bidi w:val="0"/>
        <w:spacing w:line="400" w:lineRule="exact"/>
        <w:ind w:firstLine="549" w:firstLineChars="229"/>
        <w:textAlignment w:val="auto"/>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ind w:firstLine="549" w:firstLineChars="229"/>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高速交警（2024年）视频专网主干网络传输租赁服务项目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6</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SXQS-202404-GK039</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高速交警（2024年）视频专网主干网络传输租赁服务项目</w:t>
      </w:r>
      <w:r>
        <w:rPr>
          <w:rFonts w:hint="eastAsia" w:ascii="仿宋" w:hAnsi="仿宋" w:eastAsia="仿宋" w:cs="仿宋"/>
          <w:color w:val="auto"/>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735500</w:t>
      </w:r>
      <w:r>
        <w:rPr>
          <w:rFonts w:hint="eastAsia" w:ascii="仿宋" w:hAnsi="仿宋" w:eastAsia="仿宋" w:cs="仿宋"/>
          <w:bCs/>
          <w:color w:val="auto"/>
          <w:sz w:val="24"/>
          <w:highlight w:val="none"/>
        </w:rPr>
        <w:t>.00</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b/>
          <w:bCs w:val="0"/>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735500.00</w:t>
      </w:r>
    </w:p>
    <w:p>
      <w:pPr>
        <w:keepNext w:val="0"/>
        <w:keepLines w:val="0"/>
        <w:pageBreakBefore w:val="0"/>
        <w:widowControl w:val="0"/>
        <w:kinsoku/>
        <w:wordWrap/>
        <w:overflowPunct/>
        <w:topLinePunct w:val="0"/>
        <w:autoSpaceDE/>
        <w:autoSpaceDN/>
        <w:bidi w:val="0"/>
        <w:adjustRightInd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高速交警（2024年）视频专网主干网络传输租赁服务项目</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keepNext w:val="0"/>
        <w:keepLines w:val="0"/>
        <w:pageBreakBefore w:val="0"/>
        <w:widowControl w:val="0"/>
        <w:kinsoku/>
        <w:wordWrap/>
        <w:overflowPunct/>
        <w:topLinePunct w:val="0"/>
        <w:autoSpaceDE/>
        <w:autoSpaceDN/>
        <w:bidi w:val="0"/>
        <w:adjustRightInd w:val="0"/>
        <w:spacing w:line="400" w:lineRule="exact"/>
        <w:ind w:left="0" w:firstLine="480" w:firstLineChars="200"/>
        <w:textAlignment w:val="auto"/>
        <w:rPr>
          <w:rFonts w:hint="eastAsia" w:ascii="仿宋" w:hAnsi="仿宋" w:eastAsia="仿宋" w:cs="仿宋"/>
          <w:b w:val="0"/>
          <w:bCs/>
          <w:color w:val="auto"/>
          <w:sz w:val="24"/>
          <w:szCs w:val="20"/>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eastAsia="zh-CN"/>
        </w:rPr>
        <w:t>735500.00</w:t>
      </w:r>
    </w:p>
    <w:p>
      <w:pPr>
        <w:pStyle w:val="395"/>
        <w:keepNext w:val="0"/>
        <w:keepLines w:val="0"/>
        <w:pageBreakBefore w:val="0"/>
        <w:kinsoku/>
        <w:wordWrap/>
        <w:overflowPunct/>
        <w:topLinePunct w:val="0"/>
        <w:autoSpaceDE/>
        <w:autoSpaceDN/>
        <w:bidi w:val="0"/>
        <w:adjustRightInd w:val="0"/>
        <w:spacing w:after="0" w:afterLines="0" w:line="400" w:lineRule="exact"/>
        <w:ind w:firstLine="480"/>
        <w:textAlignment w:val="auto"/>
        <w:rPr>
          <w:rFonts w:hint="eastAsia" w:ascii="仿宋_GB2312" w:hAnsi="新宋体" w:eastAsia="仿宋_GB2312"/>
          <w:color w:val="auto"/>
          <w:sz w:val="24"/>
          <w:szCs w:val="24"/>
          <w:highlight w:val="none"/>
        </w:rPr>
      </w:pPr>
      <w:r>
        <w:rPr>
          <w:rFonts w:hint="eastAsia" w:ascii="仿宋_GB2312" w:hAnsi="新宋体" w:eastAsia="仿宋_GB2312"/>
          <w:color w:val="auto"/>
          <w:sz w:val="24"/>
          <w:szCs w:val="24"/>
          <w:highlight w:val="none"/>
        </w:rPr>
        <w:t>简要规格描述或项目基本概况介绍、用途：详见采购文件 </w:t>
      </w:r>
    </w:p>
    <w:p>
      <w:pPr>
        <w:keepNext w:val="0"/>
        <w:keepLines w:val="0"/>
        <w:pageBreakBefore w:val="0"/>
        <w:kinsoku/>
        <w:wordWrap/>
        <w:overflowPunct/>
        <w:topLinePunct w:val="0"/>
        <w:autoSpaceDE/>
        <w:autoSpaceDN/>
        <w:bidi w:val="0"/>
        <w:adjustRightInd w:val="0"/>
        <w:spacing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合同履约期限：按双方合同约定条款执行。</w:t>
      </w:r>
    </w:p>
    <w:p>
      <w:pPr>
        <w:pStyle w:val="395"/>
        <w:keepNext w:val="0"/>
        <w:keepLines w:val="0"/>
        <w:pageBreakBefore w:val="0"/>
        <w:kinsoku/>
        <w:wordWrap/>
        <w:overflowPunct/>
        <w:topLinePunct w:val="0"/>
        <w:autoSpaceDE/>
        <w:autoSpaceDN/>
        <w:bidi w:val="0"/>
        <w:adjustRightInd w:val="0"/>
        <w:spacing w:after="0" w:afterLines="0" w:line="400" w:lineRule="exact"/>
        <w:ind w:firstLine="482"/>
        <w:textAlignment w:val="auto"/>
        <w:rPr>
          <w:rFonts w:hint="eastAsia" w:ascii="仿宋_GB2312" w:hAnsi="新宋体" w:eastAsia="仿宋_GB2312"/>
          <w:color w:val="auto"/>
          <w:sz w:val="24"/>
          <w:szCs w:val="24"/>
          <w:highlight w:val="none"/>
        </w:rPr>
      </w:pPr>
      <w:r>
        <w:rPr>
          <w:rFonts w:hint="eastAsia" w:ascii="仿宋_GB2312" w:hAnsi="新宋体" w:eastAsia="仿宋_GB2312"/>
          <w:color w:val="auto"/>
          <w:sz w:val="24"/>
          <w:szCs w:val="24"/>
          <w:highlight w:val="none"/>
        </w:rPr>
        <w:t>本项目接受联合体投标：</w:t>
      </w:r>
      <w:r>
        <w:rPr>
          <w:rFonts w:hint="eastAsia" w:ascii="仿宋" w:hAnsi="仿宋" w:eastAsia="仿宋" w:cs="仿宋"/>
          <w:color w:val="auto"/>
          <w:sz w:val="24"/>
          <w:szCs w:val="20"/>
          <w:highlight w:val="none"/>
        </w:rPr>
        <w:t>☑</w:t>
      </w:r>
      <w:r>
        <w:rPr>
          <w:rFonts w:hint="eastAsia" w:ascii="仿宋_GB2312" w:hAnsi="新宋体" w:eastAsia="仿宋_GB2312"/>
          <w:color w:val="auto"/>
          <w:sz w:val="24"/>
          <w:szCs w:val="24"/>
          <w:highlight w:val="none"/>
        </w:rPr>
        <w:t>是，</w:t>
      </w:r>
      <w:r>
        <w:rPr>
          <w:rFonts w:hint="eastAsia" w:ascii="仿宋" w:hAnsi="仿宋" w:eastAsia="仿宋" w:cs="仿宋"/>
          <w:color w:val="auto"/>
          <w:sz w:val="24"/>
          <w:szCs w:val="20"/>
          <w:highlight w:val="none"/>
        </w:rPr>
        <w:t>☐</w:t>
      </w:r>
      <w:r>
        <w:rPr>
          <w:rFonts w:hint="eastAsia" w:ascii="仿宋_GB2312" w:hAnsi="新宋体" w:eastAsia="仿宋_GB2312"/>
          <w:color w:val="auto"/>
          <w:sz w:val="24"/>
          <w:szCs w:val="24"/>
          <w:highlight w:val="none"/>
        </w:rPr>
        <w:t>否。</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点30分00秒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0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5"/>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绍兴市公安局高速公路交通警察支队</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址：绍兴市越城区中兴南路1501号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Style w:val="5"/>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bookmarkStart w:id="9" w:name="_Toc28359097"/>
      <w:bookmarkStart w:id="10" w:name="_Toc28359020"/>
      <w:bookmarkStart w:id="11" w:name="_Toc35393807"/>
      <w:bookmarkStart w:id="12" w:name="_Toc35393638"/>
      <w:r>
        <w:rPr>
          <w:rFonts w:hint="eastAsia" w:ascii="仿宋" w:hAnsi="仿宋" w:eastAsia="仿宋" w:cs="仿宋"/>
          <w:b w:val="0"/>
          <w:bCs w:val="0"/>
          <w:color w:val="auto"/>
          <w:sz w:val="24"/>
          <w:highlight w:val="none"/>
        </w:rPr>
        <w:t xml:space="preserve">项目联系人（询问）：沈昱 </w:t>
      </w:r>
    </w:p>
    <w:p>
      <w:pPr>
        <w:pStyle w:val="5"/>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项目联系方式（询问）：0575-88557515</w:t>
      </w:r>
    </w:p>
    <w:p>
      <w:pPr>
        <w:pStyle w:val="5"/>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rPr>
        <w:t xml:space="preserve">质疑联系人： </w:t>
      </w:r>
      <w:r>
        <w:rPr>
          <w:rFonts w:hint="eastAsia" w:ascii="仿宋" w:eastAsia="仿宋" w:cs="仿宋"/>
          <w:b w:val="0"/>
          <w:bCs w:val="0"/>
          <w:color w:val="auto"/>
          <w:sz w:val="24"/>
          <w:highlight w:val="none"/>
          <w:lang w:val="en-US" w:eastAsia="zh-CN"/>
        </w:rPr>
        <w:t>安黎明</w:t>
      </w:r>
    </w:p>
    <w:p>
      <w:pPr>
        <w:pStyle w:val="5"/>
        <w:pageBreakBefore w:val="0"/>
        <w:widowControl w:val="0"/>
        <w:numPr>
          <w:ilvl w:val="0"/>
          <w:numId w:val="0"/>
        </w:numPr>
        <w:kinsoku/>
        <w:wordWrap/>
        <w:overflowPunct/>
        <w:topLinePunct w:val="0"/>
        <w:autoSpaceDE/>
        <w:autoSpaceDN/>
        <w:bidi w:val="0"/>
        <w:spacing w:line="400" w:lineRule="exact"/>
        <w:ind w:left="0" w:firstLine="480" w:firstLineChars="200"/>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rPr>
        <w:t>质疑联系方式：</w:t>
      </w:r>
      <w:r>
        <w:rPr>
          <w:rFonts w:hint="eastAsia" w:ascii="仿宋" w:eastAsia="仿宋" w:cs="仿宋"/>
          <w:b w:val="0"/>
          <w:bCs w:val="0"/>
          <w:color w:val="auto"/>
          <w:sz w:val="24"/>
          <w:highlight w:val="none"/>
          <w:lang w:val="en-US" w:eastAsia="zh-CN"/>
        </w:rPr>
        <w:t>0575-87575639</w:t>
      </w:r>
    </w:p>
    <w:p>
      <w:pPr>
        <w:pStyle w:val="5"/>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项目联系人（询问）：韩萍</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 13989509672</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 张婷婷</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详见配置需求和评标办法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sz w:val="24"/>
                <w:szCs w:val="24"/>
                <w:highlight w:val="none"/>
              </w:rPr>
              <w:t>A无方案讲解演示。</w:t>
            </w:r>
          </w:p>
          <w:p>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15</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kinsoku/>
              <w:overflowPunct/>
              <w:topLinePunct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 xml:space="preserve"> 3 </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u w:val="single"/>
              </w:rPr>
            </w:pPr>
            <w:r>
              <w:rPr>
                <w:rFonts w:hint="eastAsia" w:ascii="仿宋_GB2312" w:hAnsi="仿宋" w:eastAsia="仿宋_GB2312" w:cs="Arial"/>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numPr>
                <w:ilvl w:val="0"/>
                <w:numId w:val="2"/>
              </w:numPr>
              <w:kinsoku/>
              <w:overflowPunct/>
              <w:topLinePunct w:val="0"/>
              <w:bidi w:val="0"/>
              <w:snapToGrid w:val="0"/>
              <w:spacing w:beforeLines="0" w:afterLines="0" w:line="400" w:lineRule="exact"/>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标项一</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信息传输业</w:t>
            </w:r>
            <w:r>
              <w:rPr>
                <w:rFonts w:hint="eastAsia" w:ascii="仿宋" w:hAnsi="仿宋" w:eastAsia="仿宋" w:cs="仿宋"/>
                <w:color w:val="auto"/>
                <w:kern w:val="0"/>
                <w:sz w:val="24"/>
                <w:szCs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suppressLineNumbers w:val="0"/>
              <w:kinsoku/>
              <w:wordWrap/>
              <w:overflowPunct/>
              <w:topLinePunct w:val="0"/>
              <w:bidi w:val="0"/>
              <w:adjustRightInd/>
              <w:snapToGrid w:val="0"/>
              <w:spacing w:beforeAutospacing="0" w:afterAutospacing="0" w:line="400" w:lineRule="exact"/>
              <w:ind w:left="0" w:leftChars="0" w:right="0" w:rightChars="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（1）中标人须向采购代理机构规定交纳代理服务费，</w:t>
            </w:r>
            <w:r>
              <w:rPr>
                <w:rFonts w:hint="eastAsia" w:ascii="仿宋" w:hAnsi="仿宋" w:eastAsia="仿宋" w:cs="仿宋"/>
                <w:color w:val="auto"/>
                <w:sz w:val="24"/>
                <w:highlight w:val="none"/>
                <w:lang w:eastAsia="zh-CN"/>
              </w:rPr>
              <w:t>代理服务费</w:t>
            </w:r>
            <w:r>
              <w:rPr>
                <w:rFonts w:hint="eastAsia" w:ascii="仿宋" w:hAnsi="仿宋" w:eastAsia="仿宋" w:cs="仿宋"/>
                <w:color w:val="auto"/>
                <w:sz w:val="24"/>
                <w:highlight w:val="none"/>
                <w:lang w:val="en-US" w:eastAsia="zh-CN"/>
              </w:rPr>
              <w:t>3600元，</w:t>
            </w:r>
            <w:r>
              <w:rPr>
                <w:rFonts w:hint="eastAsia" w:ascii="仿宋" w:hAnsi="仿宋" w:eastAsia="仿宋" w:cs="仿宋"/>
                <w:color w:val="auto"/>
                <w:sz w:val="24"/>
                <w:highlight w:val="none"/>
                <w:lang w:eastAsia="zh-CN"/>
              </w:rPr>
              <w:t>请</w:t>
            </w:r>
            <w:r>
              <w:rPr>
                <w:rFonts w:hint="eastAsia" w:ascii="仿宋" w:hAnsi="仿宋" w:eastAsia="仿宋" w:cs="仿宋"/>
                <w:color w:val="auto"/>
                <w:sz w:val="24"/>
                <w:highlight w:val="none"/>
              </w:rPr>
              <w:t>在投标报价中自行考虑</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bidi w:val="0"/>
              <w:adjustRightInd/>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）中标服务费的交纳方式：</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pStyle w:val="2"/>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0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0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40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40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kinsoku/>
        <w:overflowPunct/>
        <w:topLinePunct w:val="0"/>
        <w:bidi w:val="0"/>
        <w:spacing w:line="40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kinsoku/>
        <w:overflowPunct/>
        <w:topLinePunct w:val="0"/>
        <w:bidi w:val="0"/>
        <w:spacing w:line="40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0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insoku/>
        <w:overflowPunct/>
        <w:topLinePunct w:val="0"/>
        <w:bidi w:val="0"/>
        <w:snapToGrid w:val="0"/>
        <w:spacing w:line="40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insoku/>
        <w:overflowPunct/>
        <w:topLinePunct w:val="0"/>
        <w:bidi w:val="0"/>
        <w:snapToGrid w:val="0"/>
        <w:spacing w:line="400" w:lineRule="exact"/>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kinsoku/>
        <w:overflowPunct/>
        <w:topLinePunct w:val="0"/>
        <w:bidi w:val="0"/>
        <w:spacing w:before="0" w:line="40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overflowPunct/>
        <w:topLinePunct w:val="0"/>
        <w:bidi w:val="0"/>
        <w:adjustRightInd w:val="0"/>
        <w:spacing w:line="40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0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68072990"/>
      <w:bookmarkEnd w:id="21"/>
      <w:bookmarkStart w:id="22" w:name="_Hlt74730295"/>
      <w:bookmarkEnd w:id="22"/>
      <w:bookmarkStart w:id="23" w:name="_Hlt74714665"/>
      <w:bookmarkEnd w:id="23"/>
      <w:bookmarkStart w:id="24" w:name="_Hlt74729768"/>
      <w:bookmarkEnd w:id="24"/>
      <w:bookmarkStart w:id="25" w:name="_Hlt68073093"/>
      <w:bookmarkEnd w:id="25"/>
      <w:bookmarkStart w:id="26" w:name="_Hlt68403820"/>
      <w:bookmarkEnd w:id="26"/>
      <w:bookmarkStart w:id="27" w:name="_Hlt75236101"/>
      <w:bookmarkEnd w:id="27"/>
      <w:bookmarkStart w:id="28" w:name="_Hlt74707468"/>
      <w:bookmarkEnd w:id="28"/>
      <w:bookmarkStart w:id="29" w:name="_Hlt75236290"/>
      <w:bookmarkEnd w:id="29"/>
      <w:bookmarkStart w:id="30" w:name="_Hlt68072998"/>
      <w:bookmarkEnd w:id="30"/>
      <w:bookmarkStart w:id="31" w:name="_Hlt75236011"/>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7"/>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0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0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insoku/>
        <w:overflowPunct/>
        <w:topLinePunct w:val="0"/>
        <w:bidi w:val="0"/>
        <w:adjustRightInd w:val="0"/>
        <w:spacing w:line="400" w:lineRule="exact"/>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kinsoku/>
        <w:overflowPunct/>
        <w:topLinePunct w:val="0"/>
        <w:bidi w:val="0"/>
        <w:snapToGrid w:val="0"/>
        <w:spacing w:beforeLines="0" w:afterLines="0" w:line="400" w:lineRule="exact"/>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u w:val="wave"/>
        </w:rPr>
        <w:t>相关声明</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以下1-7条款如标段内另有说明的</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则按标内要求执行</w:t>
      </w:r>
      <w:r>
        <w:rPr>
          <w:rFonts w:hint="eastAsia" w:ascii="仿宋" w:hAnsi="仿宋" w:eastAsia="仿宋" w:cs="仿宋"/>
          <w:b/>
          <w:color w:val="auto"/>
          <w:sz w:val="24"/>
          <w:szCs w:val="24"/>
          <w:highlight w:val="none"/>
        </w:rPr>
        <w:t>。</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1.6所有货物到现场安装使用前，招标人将进行抽样检验或试验。</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395"/>
        <w:widowControl w:val="0"/>
        <w:kinsoku/>
        <w:overflowPunct/>
        <w:topLinePunct w:val="0"/>
        <w:bidi w:val="0"/>
        <w:spacing w:beforeLines="0" w:after="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395"/>
        <w:widowControl w:val="0"/>
        <w:kinsoku/>
        <w:overflowPunct/>
        <w:topLinePunct w:val="0"/>
        <w:bidi w:val="0"/>
        <w:spacing w:beforeLines="0" w:after="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如遇本次招标没有涉及的设备或服务时，由中标人提供申请，招标人确认后实施。</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4.1中标人须对招标人的技术人员培训。投标人须在投标文件中提供详细的培训计划，包括培训内容、培训时间、培训费用等。</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395"/>
        <w:widowControl w:val="0"/>
        <w:kinsoku/>
        <w:overflowPunct/>
        <w:topLinePunct w:val="0"/>
        <w:bidi w:val="0"/>
        <w:spacing w:beforeLines="0" w:after="0" w:after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7"/>
        <w:kinsoku/>
        <w:overflowPunct/>
        <w:topLinePunct w:val="0"/>
        <w:bidi w:val="0"/>
        <w:spacing w:beforeLines="0" w:afterLines="0" w:line="40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5.1投标人须提供经调试、试运行、验收合格后符合各标项的质保期(投标人可根据自身实力作出更长时间的质保承诺)。在此期间，投标人应免费处理因质量发生的故障，并进行正常保养。</w:t>
      </w:r>
    </w:p>
    <w:p>
      <w:pPr>
        <w:tabs>
          <w:tab w:val="left" w:pos="3870"/>
          <w:tab w:val="left" w:pos="4085"/>
        </w:tabs>
        <w:kinsoku/>
        <w:overflowPunct/>
        <w:topLinePunct w:val="0"/>
        <w:bidi w:val="0"/>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有固定的维修服务点，能提供正常的技术、备品备件服务。中标人在接到招标人通知后，24小时内派人赴现场处理设备质量问题。72小时内不能修复的，则无偿提供备机或备用零件供采购人使用。</w:t>
      </w:r>
    </w:p>
    <w:p>
      <w:pPr>
        <w:kinsoku/>
        <w:overflowPunct/>
        <w:topLinePunct w:val="0"/>
        <w:bidi w:val="0"/>
        <w:snapToGrid w:val="0"/>
        <w:spacing w:beforeLines="0" w:afterLines="0" w:line="400" w:lineRule="exact"/>
        <w:jc w:val="left"/>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tabs>
          <w:tab w:val="left" w:pos="3870"/>
          <w:tab w:val="left" w:pos="4085"/>
        </w:tabs>
        <w:kinsoku/>
        <w:overflowPunct/>
        <w:topLinePunct w:val="0"/>
        <w:bidi w:val="0"/>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6.1设备保修期内（各标项内已有要求的除外），如出现故障，中标人在接到电话24小时内到达采购人指定地点，</w:t>
      </w:r>
    </w:p>
    <w:p>
      <w:pPr>
        <w:tabs>
          <w:tab w:val="left" w:pos="3870"/>
          <w:tab w:val="left" w:pos="4085"/>
        </w:tabs>
        <w:kinsoku/>
        <w:overflowPunct/>
        <w:topLinePunct w:val="0"/>
        <w:bidi w:val="0"/>
        <w:snapToGrid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pStyle w:val="7"/>
        <w:kinsoku/>
        <w:overflowPunct/>
        <w:topLinePunct w:val="0"/>
        <w:bidi w:val="0"/>
        <w:spacing w:beforeLines="0" w:afterLines="0" w:line="400" w:lineRule="exact"/>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6.3合同履行期间，如出现产品使用明显不符实际使用需求，且投标人无法提供可行解决方案的，招标人有权调整（中止）购买服务和维保租赁服务，由此产生的一切责任和后果由投标人承担。</w:t>
      </w:r>
    </w:p>
    <w:p>
      <w:pPr>
        <w:pStyle w:val="7"/>
        <w:kinsoku/>
        <w:overflowPunct/>
        <w:topLinePunct w:val="0"/>
        <w:bidi w:val="0"/>
        <w:spacing w:beforeLines="0" w:afterLines="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6.4合同调整（中止）后，合同款项结算按照争议和仲裁相关条款执行；待争议解决后，可签订补充协议或正式终止合同。</w:t>
      </w:r>
    </w:p>
    <w:p>
      <w:pPr>
        <w:pStyle w:val="7"/>
        <w:kinsoku/>
        <w:overflowPunct/>
        <w:topLinePunct w:val="0"/>
        <w:bidi w:val="0"/>
        <w:spacing w:beforeLines="0" w:afterLines="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6.5本项目涉及高速公路范围内施工、维护作业时，中标人为本项目安全管理责任人。</w:t>
      </w:r>
    </w:p>
    <w:p>
      <w:pPr>
        <w:pStyle w:val="7"/>
        <w:kinsoku/>
        <w:overflowPunct/>
        <w:topLinePunct w:val="0"/>
        <w:bidi w:val="0"/>
        <w:spacing w:beforeLines="0" w:afterLines="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6.6合同履约期间，中标人应当按照法律法规及高速公路管理部门的规定，执行施工审批报备制度，履行安全施工义务。</w:t>
      </w:r>
    </w:p>
    <w:p>
      <w:pPr>
        <w:pStyle w:val="7"/>
        <w:kinsoku/>
        <w:overflowPunct/>
        <w:topLinePunct w:val="0"/>
        <w:bidi w:val="0"/>
        <w:spacing w:beforeLines="0" w:afterLines="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6.7如因中标人未履行高速公路安全施工特别条款的，由此产生的一切责任和后果由中标人承担。</w:t>
      </w:r>
    </w:p>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numPr>
          <w:ilvl w:val="0"/>
          <w:numId w:val="3"/>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招标项目设备名称及数量：</w:t>
      </w:r>
    </w:p>
    <w:p>
      <w:pPr>
        <w:numPr>
          <w:ilvl w:val="0"/>
          <w:numId w:val="0"/>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szCs w:val="24"/>
          <w:highlight w:val="none"/>
        </w:rPr>
        <w:t>高速交警（2024年）视频专网主干网络传输租赁服务项目（预算金额：</w:t>
      </w:r>
      <w:r>
        <w:rPr>
          <w:rFonts w:hint="eastAsia" w:ascii="仿宋" w:hAnsi="仿宋" w:eastAsia="仿宋" w:cs="仿宋"/>
          <w:b/>
          <w:color w:val="auto"/>
          <w:sz w:val="24"/>
          <w:szCs w:val="24"/>
          <w:highlight w:val="none"/>
          <w:lang w:val="en-US" w:eastAsia="zh-CN"/>
        </w:rPr>
        <w:t>735500</w:t>
      </w:r>
      <w:r>
        <w:rPr>
          <w:rFonts w:hint="eastAsia" w:ascii="仿宋" w:hAnsi="仿宋" w:eastAsia="仿宋" w:cs="仿宋"/>
          <w:b/>
          <w:color w:val="auto"/>
          <w:sz w:val="24"/>
          <w:szCs w:val="24"/>
          <w:highlight w:val="none"/>
        </w:rPr>
        <w:t>元）</w:t>
      </w:r>
    </w:p>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val="en-US" w:eastAsia="zh-CN"/>
        </w:rPr>
        <w:t>项目</w:t>
      </w:r>
      <w:r>
        <w:rPr>
          <w:rFonts w:hint="eastAsia" w:ascii="仿宋" w:hAnsi="仿宋" w:eastAsia="仿宋" w:cs="仿宋"/>
          <w:b/>
          <w:color w:val="auto"/>
          <w:sz w:val="24"/>
          <w:szCs w:val="24"/>
          <w:highlight w:val="none"/>
        </w:rPr>
        <w:t>内容</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市公安局视频图像网络</w:t>
      </w:r>
      <w:r>
        <w:rPr>
          <w:rFonts w:hint="eastAsia" w:ascii="仿宋" w:hAnsi="仿宋" w:eastAsia="仿宋" w:cs="仿宋"/>
          <w:color w:val="auto"/>
          <w:sz w:val="24"/>
          <w:szCs w:val="24"/>
          <w:highlight w:val="none"/>
        </w:rPr>
        <w:t>整体规划，落实</w:t>
      </w:r>
      <w:r>
        <w:rPr>
          <w:rFonts w:hint="eastAsia" w:ascii="仿宋" w:hAnsi="仿宋" w:eastAsia="仿宋" w:cs="仿宋"/>
          <w:color w:val="auto"/>
          <w:sz w:val="24"/>
          <w:szCs w:val="24"/>
          <w:highlight w:val="none"/>
          <w:lang w:val="en-US" w:eastAsia="zh-CN"/>
        </w:rPr>
        <w:t>视频网络安全</w:t>
      </w:r>
      <w:r>
        <w:rPr>
          <w:rFonts w:hint="eastAsia" w:ascii="仿宋" w:hAnsi="仿宋" w:eastAsia="仿宋" w:cs="仿宋"/>
          <w:color w:val="auto"/>
          <w:sz w:val="24"/>
          <w:szCs w:val="24"/>
          <w:highlight w:val="none"/>
        </w:rPr>
        <w:t>改造，构建从上而下的骨干网络，从而确保</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rPr>
        <w:t>传输更加稳定</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安全</w:t>
      </w:r>
      <w:r>
        <w:rPr>
          <w:rFonts w:hint="eastAsia" w:ascii="仿宋" w:hAnsi="仿宋" w:eastAsia="仿宋" w:cs="仿宋"/>
          <w:color w:val="auto"/>
          <w:sz w:val="24"/>
          <w:szCs w:val="24"/>
          <w:highlight w:val="none"/>
        </w:rPr>
        <w:t>，提升网络运维管理水平。</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本次招标的内容主要为6个大队、9个监控中心的主干传输线路，并提供视频专网接入交换机及及所需光模块，</w:t>
      </w:r>
      <w:r>
        <w:rPr>
          <w:rFonts w:hint="eastAsia" w:ascii="仿宋" w:hAnsi="仿宋" w:eastAsia="仿宋" w:cs="仿宋"/>
          <w:color w:val="auto"/>
          <w:sz w:val="24"/>
          <w:szCs w:val="24"/>
          <w:highlight w:val="none"/>
          <w:lang w:val="en-US" w:eastAsia="zh-CN"/>
        </w:rPr>
        <w:t>实现</w:t>
      </w:r>
      <w:r>
        <w:rPr>
          <w:rFonts w:hint="eastAsia" w:ascii="仿宋" w:hAnsi="仿宋" w:eastAsia="仿宋" w:cs="仿宋"/>
          <w:color w:val="auto"/>
          <w:sz w:val="24"/>
          <w:szCs w:val="24"/>
          <w:highlight w:val="none"/>
        </w:rPr>
        <w:t>市公安局</w:t>
      </w:r>
      <w:r>
        <w:rPr>
          <w:rFonts w:hint="eastAsia" w:ascii="仿宋" w:hAnsi="仿宋" w:eastAsia="仿宋" w:cs="仿宋"/>
          <w:color w:val="auto"/>
          <w:sz w:val="24"/>
          <w:szCs w:val="24"/>
          <w:highlight w:val="none"/>
          <w:lang w:val="en-US" w:eastAsia="zh-CN"/>
        </w:rPr>
        <w:t>-高速支队-大队-高速业主监控</w:t>
      </w:r>
      <w:r>
        <w:rPr>
          <w:rFonts w:hint="eastAsia" w:ascii="仿宋" w:hAnsi="仿宋" w:eastAsia="仿宋" w:cs="仿宋"/>
          <w:color w:val="auto"/>
          <w:sz w:val="24"/>
          <w:szCs w:val="24"/>
          <w:highlight w:val="none"/>
        </w:rPr>
        <w:t>互联互通，及信息安全监测服务和安全运营服务。招标内容如下：</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4"/>
        <w:gridCol w:w="1519"/>
        <w:gridCol w:w="1946"/>
        <w:gridCol w:w="4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序号</w:t>
            </w:r>
          </w:p>
        </w:tc>
        <w:tc>
          <w:tcPr>
            <w:tcW w:w="2039"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名称</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894"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主干网络</w:t>
            </w:r>
          </w:p>
        </w:tc>
        <w:tc>
          <w:tcPr>
            <w:tcW w:w="1144"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链路</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16条双路由链路，见详情内容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89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1144"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链路设备服务配套</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15台交换机及2台防火墙的配套服务，见详情内容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2039" w:type="pct"/>
            <w:gridSpan w:val="2"/>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网络接入集成服务及维护</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894"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信息安全监测服务</w:t>
            </w:r>
          </w:p>
        </w:tc>
        <w:tc>
          <w:tcPr>
            <w:tcW w:w="11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前端准入安全服务</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89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11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主机安全防护EDR服务</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89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11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日志审计服务</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89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11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数据库审计服务</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89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11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运维审计服务</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5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w:t>
            </w:r>
          </w:p>
        </w:tc>
        <w:tc>
          <w:tcPr>
            <w:tcW w:w="89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114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安全营运服务</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r>
    </w:tbl>
    <w:p>
      <w:pPr>
        <w:numPr>
          <w:ilvl w:val="0"/>
          <w:numId w:val="4"/>
        </w:numPr>
        <w:kinsoku/>
        <w:overflowPunct/>
        <w:topLinePunct w:val="0"/>
        <w:bidi w:val="0"/>
        <w:spacing w:beforeLines="0" w:afterLines="0" w:line="400" w:lineRule="exact"/>
        <w:ind w:right="42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项目技术要求</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2.1线路需求</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2.1.1线路清单：</w:t>
      </w:r>
    </w:p>
    <w:tbl>
      <w:tblPr>
        <w:tblStyle w:val="6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
        <w:gridCol w:w="1249"/>
        <w:gridCol w:w="3336"/>
        <w:gridCol w:w="1675"/>
        <w:gridCol w:w="851"/>
        <w:gridCol w:w="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序号</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线路用途</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线路起点</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线路终点</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带宽</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上虞区嘉绍大桥管理处监控中心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萧山区杭州南高速营运公司监控中心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嵊州市甬金高速管理处监控中心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嵊州市新天管理处监控中心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新昌县杭绍台管理处新昌监控中心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上虞区嘉绍南接线管理处监控中心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越城区杭甬高速绍兴营运公司监控中心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越城区杭绍台高速镜湖监控中心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柯桥区杭绍甬高速马鞍监控中心</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bidi="ar"/>
              </w:rPr>
              <w:t>绍兴市公安局</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主备冗余</w:t>
            </w:r>
            <w:r>
              <w:rPr>
                <w:rFonts w:hint="eastAsia" w:ascii="仿宋" w:hAnsi="仿宋" w:eastAsia="仿宋" w:cs="仿宋"/>
                <w:color w:val="auto"/>
                <w:kern w:val="0"/>
                <w:sz w:val="24"/>
                <w:szCs w:val="24"/>
                <w:highlight w:val="none"/>
                <w:lang w:eastAsia="zh-CN" w:bidi="ar"/>
              </w:rPr>
              <w:t>）</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裸光纤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11</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高速交警支队一大队</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12</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高速交警支队二大队</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13</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高速交警支队三大队</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14</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高速交警支队四大队</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高速交警支队五大队</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8"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16</w:t>
            </w:r>
          </w:p>
        </w:tc>
        <w:tc>
          <w:tcPr>
            <w:tcW w:w="73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主干传输</w:t>
            </w:r>
          </w:p>
        </w:tc>
        <w:tc>
          <w:tcPr>
            <w:tcW w:w="19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高速交警支队六大队</w:t>
            </w:r>
          </w:p>
        </w:tc>
        <w:tc>
          <w:tcPr>
            <w:tcW w:w="98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高速交警支队</w:t>
            </w:r>
          </w:p>
        </w:tc>
        <w:tc>
          <w:tcPr>
            <w:tcW w:w="50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500M</w:t>
            </w:r>
          </w:p>
        </w:tc>
        <w:tc>
          <w:tcPr>
            <w:tcW w:w="514" w:type="pct"/>
            <w:tcBorders>
              <w:top w:val="single" w:color="000000" w:sz="4" w:space="0"/>
              <w:left w:val="single" w:color="000000" w:sz="4" w:space="0"/>
              <w:bottom w:val="single" w:color="000000" w:sz="4" w:space="0"/>
              <w:right w:val="single" w:color="000000" w:sz="4" w:space="0"/>
              <w:tl2br w:val="nil"/>
              <w:tr2bl w:val="nil"/>
            </w:tcBorders>
            <w:noWrap/>
            <w:vAlign w:val="center"/>
          </w:tcPr>
          <w:p>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2.1.2线路技术要求：</w:t>
      </w:r>
    </w:p>
    <w:p>
      <w:pPr>
        <w:numPr>
          <w:ilvl w:val="0"/>
          <w:numId w:val="5"/>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全网动态路由配置（</w:t>
      </w:r>
      <w:r>
        <w:rPr>
          <w:rFonts w:hint="eastAsia" w:ascii="仿宋" w:hAnsi="仿宋" w:eastAsia="仿宋" w:cs="仿宋"/>
          <w:color w:val="auto"/>
          <w:sz w:val="24"/>
          <w:szCs w:val="24"/>
          <w:highlight w:val="none"/>
          <w:lang w:val="en-US" w:eastAsia="zh-CN"/>
        </w:rPr>
        <w:t>除裸光纤外</w:t>
      </w:r>
      <w:r>
        <w:rPr>
          <w:rFonts w:hint="eastAsia" w:ascii="仿宋" w:hAnsi="仿宋" w:eastAsia="仿宋" w:cs="仿宋"/>
          <w:color w:val="auto"/>
          <w:sz w:val="24"/>
          <w:szCs w:val="24"/>
          <w:highlight w:val="none"/>
        </w:rPr>
        <w:t>）。需制定全网动态路由技术方案并实施，该方案能深入了解用户需求，充分考虑到原有网络现状，</w:t>
      </w:r>
      <w:r>
        <w:rPr>
          <w:rFonts w:hint="eastAsia" w:ascii="仿宋" w:hAnsi="仿宋" w:eastAsia="仿宋" w:cs="仿宋"/>
          <w:b/>
          <w:color w:val="auto"/>
          <w:sz w:val="24"/>
          <w:szCs w:val="24"/>
          <w:highlight w:val="none"/>
        </w:rPr>
        <w:t>双路由</w:t>
      </w:r>
      <w:r>
        <w:rPr>
          <w:rFonts w:hint="eastAsia" w:ascii="仿宋" w:hAnsi="仿宋" w:eastAsia="仿宋" w:cs="仿宋"/>
          <w:color w:val="auto"/>
          <w:sz w:val="24"/>
          <w:szCs w:val="24"/>
          <w:highlight w:val="none"/>
        </w:rPr>
        <w:t>无缝切换，即A链路故障后，必须马上切换到B链路，切换时间尽可能短，做到无感切换</w:t>
      </w:r>
      <w:r>
        <w:rPr>
          <w:rFonts w:hint="eastAsia" w:ascii="仿宋" w:hAnsi="仿宋" w:eastAsia="仿宋" w:cs="仿宋"/>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★（2）至绍兴市公安局裸光纤，主备冗余线路由</w:t>
      </w:r>
      <w:r>
        <w:rPr>
          <w:rFonts w:hint="eastAsia" w:ascii="仿宋" w:hAnsi="仿宋" w:eastAsia="仿宋" w:cs="仿宋"/>
          <w:color w:val="auto"/>
          <w:sz w:val="24"/>
          <w:szCs w:val="24"/>
          <w:highlight w:val="none"/>
        </w:rPr>
        <w:t>不同线路运营商提供</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提供盖章承诺函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40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（3）本次采购线路均为上下行对称网络，单条线路端到端电路误码率小于10E－7，电路延时每百公里小于0.5毫秒。</w:t>
      </w:r>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本次采购的租用服务除包括上述线路外，还应包括所有软、硬件(如线缆、软件、硬件模块等，包括未列出而系统实施又必需的软件、硬件)需配齐以构成一套完整的网络系统，如有任何遗漏，由投标人免费补齐。</w:t>
      </w:r>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随机的辅助设备、专用电线电缆、随机软件、技术资料（包括操作手册、使用指南、维修指南和含维修网点在内的服务手册等）、设备运行所必需的随机消耗材料，相应的技术服务与质量保证。投标方案中的硬件设备如需使用特别接头、插座等，由投标人自行解决。</w:t>
      </w:r>
    </w:p>
    <w:p>
      <w:pPr>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（6）涉及道路施工审批由中标人负责，相关产生费用由中标人承担。 </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r>
        <w:rPr>
          <w:rFonts w:hint="eastAsia" w:ascii="仿宋" w:hAnsi="仿宋" w:eastAsia="仿宋" w:cs="仿宋"/>
          <w:color w:val="auto"/>
          <w:kern w:val="0"/>
          <w:sz w:val="24"/>
          <w:szCs w:val="24"/>
          <w:highlight w:val="none"/>
          <w:lang w:bidi="ar"/>
        </w:rPr>
        <w:t>线路设备服务配套</w:t>
      </w:r>
      <w:r>
        <w:rPr>
          <w:rFonts w:hint="eastAsia" w:ascii="仿宋" w:hAnsi="仿宋" w:eastAsia="仿宋" w:cs="仿宋"/>
          <w:color w:val="auto"/>
          <w:sz w:val="24"/>
          <w:szCs w:val="24"/>
          <w:highlight w:val="none"/>
        </w:rPr>
        <w:t>需求</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2.2.1配套设备清单：</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2.2.2设备技术要求：</w:t>
      </w:r>
    </w:p>
    <w:tbl>
      <w:tblPr>
        <w:tblStyle w:val="6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984"/>
        <w:gridCol w:w="1247"/>
        <w:gridCol w:w="4651"/>
        <w:gridCol w:w="457"/>
        <w:gridCol w:w="4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序号</w:t>
            </w:r>
          </w:p>
        </w:tc>
        <w:tc>
          <w:tcPr>
            <w:tcW w:w="5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设备</w:t>
            </w:r>
          </w:p>
        </w:tc>
        <w:tc>
          <w:tcPr>
            <w:tcW w:w="7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功能描述</w:t>
            </w:r>
          </w:p>
        </w:tc>
        <w:tc>
          <w:tcPr>
            <w:tcW w:w="27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规格参数</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数量</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7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接入交换机</w:t>
            </w:r>
          </w:p>
        </w:tc>
        <w:tc>
          <w:tcPr>
            <w:tcW w:w="7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下属6个大队及9个运营中心业务网络接入，含光模块</w:t>
            </w:r>
          </w:p>
        </w:tc>
        <w:tc>
          <w:tcPr>
            <w:tcW w:w="27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▲1、交换容量≥756Gbps，转发性能≥252Mpps,以官网最小值为准；</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2、≥48个10/100/1000Base-T自适应以太网端口，≥4个万兆SFP+口；</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3、模块化双电源；模块化双风扇，前/后通风，风道可调；同时在位两个风扇，拔掉任意一个，设备工作正常；</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4、为保障未来园区链路升级，支持≥1个扩展插槽，可扩展1/2.5/5/10G BASE-T 以太网电接口、25G SFP28端口、40GE QSFP+接口；</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5、支持ERPS功能，并且收敛时间小于50ms；</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6、支持Netstream网络流信息统计技术，可实现流量的分析和统计，并建立流表实现单向/双向NetStream功能；</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7、最大堆叠台数≥9台，支持完善的堆叠分裂检测机制，堆叠分裂后能自动完成MAC和IP地址的重配置，无需手动干预；</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8、支持IPv4静态路由、RIP V1/V2、OSPF、BGP；</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支持IPv6静态路由、RIPng、OSPFv3、BGP4+；</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▲9、支持融合AC功能，交换平台实现有线无线一体化集成，无需额外配置AC，消除无线带宽瓶颈</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提供</w:t>
            </w:r>
            <w:r>
              <w:rPr>
                <w:rFonts w:hint="eastAsia" w:ascii="仿宋" w:hAnsi="仿宋" w:eastAsia="仿宋" w:cs="仿宋"/>
                <w:color w:val="auto"/>
                <w:kern w:val="0"/>
                <w:sz w:val="24"/>
                <w:szCs w:val="24"/>
                <w:highlight w:val="none"/>
                <w:lang w:val="en-US" w:eastAsia="zh-CN" w:bidi="ar"/>
              </w:rPr>
              <w:t>CMA或CNAS认证的</w:t>
            </w:r>
            <w:r>
              <w:rPr>
                <w:rFonts w:hint="eastAsia" w:ascii="仿宋" w:hAnsi="仿宋" w:eastAsia="仿宋" w:cs="仿宋"/>
                <w:color w:val="auto"/>
                <w:kern w:val="0"/>
                <w:sz w:val="24"/>
                <w:szCs w:val="24"/>
                <w:highlight w:val="none"/>
                <w:lang w:bidi="ar"/>
              </w:rPr>
              <w:t>第三方</w:t>
            </w:r>
            <w:r>
              <w:rPr>
                <w:rFonts w:hint="eastAsia" w:ascii="仿宋" w:hAnsi="仿宋" w:eastAsia="仿宋" w:cs="仿宋"/>
                <w:color w:val="auto"/>
                <w:kern w:val="0"/>
                <w:sz w:val="24"/>
                <w:szCs w:val="24"/>
                <w:highlight w:val="none"/>
                <w:lang w:val="en-US" w:eastAsia="zh-CN" w:bidi="ar"/>
              </w:rPr>
              <w:t>检测</w:t>
            </w:r>
            <w:r>
              <w:rPr>
                <w:rFonts w:hint="eastAsia" w:ascii="仿宋" w:hAnsi="仿宋" w:eastAsia="仿宋" w:cs="仿宋"/>
                <w:color w:val="auto"/>
                <w:kern w:val="0"/>
                <w:sz w:val="24"/>
                <w:szCs w:val="24"/>
                <w:highlight w:val="none"/>
                <w:lang w:bidi="ar"/>
              </w:rPr>
              <w:t>报告</w:t>
            </w:r>
            <w:r>
              <w:rPr>
                <w:rFonts w:hint="eastAsia" w:ascii="仿宋" w:hAnsi="仿宋" w:eastAsia="仿宋" w:cs="仿宋"/>
                <w:color w:val="auto"/>
                <w:kern w:val="0"/>
                <w:sz w:val="24"/>
                <w:szCs w:val="24"/>
                <w:highlight w:val="none"/>
                <w:lang w:eastAsia="zh-CN" w:bidi="ar"/>
              </w:rPr>
              <w:t>）</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15</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5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防火墙</w:t>
            </w:r>
          </w:p>
        </w:tc>
        <w:tc>
          <w:tcPr>
            <w:tcW w:w="7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高速业主接入侧</w:t>
            </w:r>
          </w:p>
        </w:tc>
        <w:tc>
          <w:tcPr>
            <w:tcW w:w="27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推荐带宽1.5Gbps；整机吞吐10Gbps；最大并发数400万；最大新建数20万/秒；标准2U机架式；CPU：4核；内存：4GB；硬盘：1TB HDD；电源：双电源；千兆电口≥12个(含1对电口Bypass），管理电口=1个，千兆光口=12个，万兆光口=2个</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409"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579" w:type="pc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防火墙</w:t>
            </w:r>
          </w:p>
        </w:tc>
        <w:tc>
          <w:tcPr>
            <w:tcW w:w="73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高速大队用户侧</w:t>
            </w:r>
          </w:p>
        </w:tc>
        <w:tc>
          <w:tcPr>
            <w:tcW w:w="273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推荐带宽1.5Gbps；整机吞吐10Gbps；最大并发数400万；最大新建数20万/秒；标准2U机架式；CPU：4核；内存：4GB；硬盘：1TB HDD；电源：双电源；千兆电口=12个(含1对电口Bypass），管理电口=1个，千兆光口=12个，万兆光口=2个</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26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台</w:t>
            </w:r>
          </w:p>
        </w:tc>
      </w:tr>
    </w:tbl>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用设备需为原厂全新设备，符合国家技术规范和质量标准，通过国家有关部门检测合格的原产地设备，未曾开箱使用，能够与采购人现有设备正常连接；设备安装调试完毕后，能在其功能范围内保障用户的系统安全、稳定运行。</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2.3线路及</w:t>
      </w:r>
      <w:r>
        <w:rPr>
          <w:rFonts w:hint="eastAsia" w:ascii="仿宋" w:hAnsi="仿宋" w:eastAsia="仿宋" w:cs="仿宋"/>
          <w:color w:val="auto"/>
          <w:kern w:val="0"/>
          <w:sz w:val="24"/>
          <w:szCs w:val="24"/>
          <w:highlight w:val="none"/>
          <w:lang w:bidi="ar"/>
        </w:rPr>
        <w:t>网络接入集成服务及维护</w:t>
      </w:r>
      <w:r>
        <w:rPr>
          <w:rFonts w:hint="eastAsia" w:ascii="仿宋" w:hAnsi="仿宋" w:eastAsia="仿宋" w:cs="仿宋"/>
          <w:color w:val="auto"/>
          <w:sz w:val="24"/>
          <w:szCs w:val="24"/>
          <w:highlight w:val="none"/>
        </w:rPr>
        <w:t>要求</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（1）供应商应提供7*24小时维护服务，要求接到电路故障申告后应在30 分钟内对申告进行响应，说明预期故障处理时间，一般故障1小时内排除。</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（2）对业务阻断超过2小时的电路故障，故障处理结束后，两个工作日内提交故障处理报告。故障最长恢复时间不超过6小时。</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（3）对每一次电路故障及故障处理情况都进行完整、准确的记录，可根据需要随时进行故障记录查询。</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（4）对线路下联单位网络接入进行设备调试集成，端口整理，并做好服务期内的维护工作。</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每年安排五次巡检，其中每季度安排一次巡检，形成巡检记录，由大队内勤签字盖章；为应对突发情况，需另外提供一次巡检服务，具体巡检日期由支队决定。巡检报告作为该项目的重要付款依据，每少一份现场巡检记录，则扣除该年度25%的应付款项，直至扣完为止。</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因该线路承载着绍兴市某单位所有数据业务，维保要求较高，因此在一年服务期内，要求中标供应商每天进行一次线路巡检，做好巡检记录每半个月经业主单位签字确认。如有紧急故障、有重要保障任务或者重要线路需要紧急抢险维修的，要求中标商24小时全天候响应。报告出具人需通信、计算机相关或相近专业大专以上学历，有两年以上的相关工作经验。</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（7）服务期内，中标人应自行承担选派专业人员的住宿、就餐和交通等费用。</w:t>
      </w:r>
    </w:p>
    <w:p>
      <w:pPr>
        <w:numPr>
          <w:ilvl w:val="0"/>
          <w:numId w:val="0"/>
        </w:num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2.4信息安全监测服务</w:t>
      </w:r>
    </w:p>
    <w:tbl>
      <w:tblPr>
        <w:tblStyle w:val="6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7"/>
        <w:gridCol w:w="3629"/>
        <w:gridCol w:w="1963"/>
        <w:gridCol w:w="967"/>
        <w:gridCol w:w="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序号</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服务描述</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数量</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前端准入安全服务</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主机安全防护EDR服务</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日志审计服务</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数据库审计服务</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运维审计服务</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569" w:type="pct"/>
            <w:tcBorders>
              <w:top w:val="single" w:color="000000" w:sz="8" w:space="0"/>
              <w:left w:val="single" w:color="000000" w:sz="8" w:space="0"/>
              <w:bottom w:val="single" w:color="000000" w:sz="8" w:space="0"/>
              <w:right w:val="single" w:color="000000" w:sz="8"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213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安全营运服务</w:t>
            </w:r>
          </w:p>
        </w:tc>
        <w:tc>
          <w:tcPr>
            <w:tcW w:w="1155"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见详情内容</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569" w:type="pct"/>
            <w:tcBorders>
              <w:top w:val="single" w:color="000000" w:sz="8" w:space="0"/>
              <w:left w:val="single" w:color="000000" w:sz="8" w:space="0"/>
              <w:bottom w:val="single" w:color="000000" w:sz="8" w:space="0"/>
              <w:right w:val="single" w:color="000000" w:sz="8"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年</w:t>
            </w:r>
          </w:p>
        </w:tc>
      </w:tr>
    </w:tbl>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p>
    <w:p>
      <w:pPr>
        <w:kinsoku/>
        <w:overflowPunct/>
        <w:topLinePunct w:val="0"/>
        <w:bidi w:val="0"/>
        <w:spacing w:beforeLines="0" w:afterLines="0" w:line="400" w:lineRule="exact"/>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2.4.1前端准入安全服务</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996"/>
        <w:gridCol w:w="7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tcBorders>
              <w:top w:val="single" w:color="auto" w:sz="4" w:space="0"/>
              <w:left w:val="single" w:color="auto" w:sz="4" w:space="0"/>
              <w:bottom w:val="single" w:color="auto" w:sz="4" w:space="0"/>
              <w:right w:val="single" w:color="auto" w:sz="4" w:space="0"/>
              <w:tl2br w:val="nil"/>
              <w:tr2bl w:val="nil"/>
            </w:tcBorders>
            <w:shd w:val="clear" w:color="000000" w:fill="auto"/>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模块</w:t>
            </w:r>
          </w:p>
        </w:tc>
        <w:tc>
          <w:tcPr>
            <w:tcW w:w="586" w:type="pct"/>
            <w:tcBorders>
              <w:top w:val="single" w:color="auto" w:sz="4" w:space="0"/>
              <w:left w:val="single" w:color="auto" w:sz="4" w:space="0"/>
              <w:bottom w:val="single" w:color="auto" w:sz="4" w:space="0"/>
              <w:right w:val="single" w:color="auto" w:sz="4" w:space="0"/>
              <w:tl2br w:val="nil"/>
              <w:tr2bl w:val="nil"/>
            </w:tcBorders>
            <w:shd w:val="clear" w:color="000000" w:fill="auto"/>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指标项</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资产管理</w:t>
            </w:r>
          </w:p>
        </w:tc>
        <w:tc>
          <w:tcPr>
            <w:tcW w:w="58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资产库</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对已经准入的资产进行管理，支持修改Root根组、新增分组、新增终端、导入设备/分组、导出设备/分组、移动终端/分组、删除终端/分组、清空分组、查询分组，显示已准入终端信息。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计算机、移动终端、网络设备、安全设备、办公设备、摄像头、网络录像机、网络电话和会议、视频管理平台、大屏矩阵控制器、物联网设备、存储设备等至少650种不同的资产接入，其中视频类资产品牌包括但不限于：海康、大华、宇视、科达、华为、中星微、汉邦高科、天地伟业、佳能、九安、奇偶科技、云天励飞、佳都科技、松下、讯舟科技、巨峰、凯聪等主流品牌和设备。物联网平台品牌包括但不限于：信锐、拓普瑞、IBM、SAP、思科、浪潮、ABB、中国移动、中国电信、华为、海信、航天云网等主流品牌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IP扫描</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对网络中的IP地址、网段资源进行管理，支持扫描IP地址（网段）的使用状态。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准入控制</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支持识别的终端设备类型</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支持识别以下设备类型的终端设备。</w:t>
            </w:r>
          </w:p>
          <w:p>
            <w:pPr>
              <w:pStyle w:val="256"/>
              <w:widowControl/>
              <w:numPr>
                <w:ilvl w:val="0"/>
                <w:numId w:val="1"/>
              </w:numPr>
              <w:kinsoku/>
              <w:overflowPunct/>
              <w:topLinePunct w:val="0"/>
              <w:bidi w:val="0"/>
              <w:spacing w:beforeLines="0" w:afterLines="0" w:line="400" w:lineRule="exact"/>
              <w:ind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视频类：IPC摄像头、NVR；</w:t>
            </w:r>
          </w:p>
          <w:p>
            <w:pPr>
              <w:pStyle w:val="256"/>
              <w:widowControl/>
              <w:numPr>
                <w:ilvl w:val="0"/>
                <w:numId w:val="1"/>
              </w:numPr>
              <w:kinsoku/>
              <w:overflowPunct/>
              <w:topLinePunct w:val="0"/>
              <w:bidi w:val="0"/>
              <w:spacing w:beforeLines="0" w:afterLines="0" w:line="400" w:lineRule="exact"/>
              <w:ind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网络设备类：交换机、路由器、无线路由器、防火墙；</w:t>
            </w:r>
          </w:p>
          <w:p>
            <w:pPr>
              <w:pStyle w:val="256"/>
              <w:widowControl/>
              <w:numPr>
                <w:ilvl w:val="0"/>
                <w:numId w:val="1"/>
              </w:numPr>
              <w:kinsoku/>
              <w:overflowPunct/>
              <w:topLinePunct w:val="0"/>
              <w:bidi w:val="0"/>
              <w:spacing w:beforeLines="0" w:afterLines="0" w:line="400" w:lineRule="exact"/>
              <w:ind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PC/服务器类：Windows、Linux平台的 PC、服务器；</w:t>
            </w:r>
          </w:p>
          <w:p>
            <w:pPr>
              <w:pStyle w:val="256"/>
              <w:widowControl/>
              <w:numPr>
                <w:ilvl w:val="0"/>
                <w:numId w:val="1"/>
              </w:numPr>
              <w:kinsoku/>
              <w:overflowPunct/>
              <w:topLinePunct w:val="0"/>
              <w:bidi w:val="0"/>
              <w:spacing w:beforeLines="0" w:afterLines="0" w:line="400" w:lineRule="exact"/>
              <w:ind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移动终端：Android终端、iOS终端。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终端（自动）准入规则</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根据设备的IP地址（网段）、MAC地址、终端（设备）类型等组合作为设备的准入识别指纹特征，对终端进行自动准入，并分配到指定的分组。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bookmarkStart w:id="38" w:name="OLE_LINK1"/>
            <w:r>
              <w:rPr>
                <w:rFonts w:hint="eastAsia" w:ascii="仿宋" w:hAnsi="仿宋" w:eastAsia="仿宋" w:cs="仿宋"/>
                <w:color w:val="auto"/>
                <w:kern w:val="0"/>
                <w:sz w:val="24"/>
                <w:szCs w:val="24"/>
                <w:highlight w:val="none"/>
              </w:rPr>
              <w:t>可根据终端脆弱性程度实现自动准入控制，其中终端脆弱性包括：仿冒终端、私接终端、带宽超限、终端默认/弱口令、开放违规端口、非法外连、异常网络行为、使用异常协议、安全漏洞。</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应用（自动）准入规则</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根据网络应用流量特征、流量方向、IP地址（网段）、时间段为条件来设置对特定网络应用流量进行允许或阻断的自动准入规则。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支持对GB28181信令的识别与管控功能，可识别信令中的注册、查询、点播、控制、事件通知和分发、检索、下载等操作并可进行阻断。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服务应用管理</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查看系统默认的服务应用及分类；自定义普通服务，通过协议（TCP、UDP、ICMP、IP）和端口来自定义新的普通服务；自定义服务特征，通过协议类型、方向、四元组、数据长度、数据特征来自定义新的服务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安全防护</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安全策略</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根据控制流量方向、源IP地址（网段）、目的IP地址（网段）、应用服务、生效时间段、动作（允许or阻断）、非法访问日志开关等为条件来设置网关的安全策略。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异常行为管控</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通过对终端仿冒、私接、带宽超限、弱口令、开放违规端口、异常网络行为、异常协议、安全漏洞等方面的等异常网络行为进行管控。可以设置相应参数、设定执行相应的处理动作和记入告警日志。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弱口令检测终端范围至少包括计算机、移动终端、网络设备、安全设备、办公设备、视频设备、物联网设备、存储设备等设备类型。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旁路阻断</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设置旁路阻断方式（支持交换机联动阻断、TCP阻断和ARP阻断）及阻断报文的出口。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IPS漏洞特征识别库</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查询IPS漏洞特征库，并设置针对指定IPS漏洞特征执行的具体动作。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社会化接入</w:t>
            </w: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非标协议转国标</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120" w:beforeLines="0" w:after="12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支持将大华、海康、宇视、科达等非标协议转换成国标GB/T28181-2016协议接入国标平台，实现全网共享需求。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58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视频播放</w:t>
            </w:r>
          </w:p>
        </w:tc>
        <w:tc>
          <w:tcPr>
            <w:tcW w:w="4128" w:type="pc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120" w:beforeLines="0" w:after="12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支持对场所端接入的视频设备实时播放和回放。</w:t>
            </w:r>
          </w:p>
        </w:tc>
      </w:tr>
    </w:tbl>
    <w:p>
      <w:pPr>
        <w:pStyle w:val="2"/>
        <w:kinsoku/>
        <w:overflowPunct/>
        <w:topLinePunct w:val="0"/>
        <w:bidi w:val="0"/>
        <w:spacing w:beforeLines="0" w:afterLines="0" w:line="400" w:lineRule="exact"/>
        <w:rPr>
          <w:rFonts w:hint="default" w:ascii="宋体"/>
          <w:color w:val="auto"/>
          <w:sz w:val="21"/>
          <w:szCs w:val="24"/>
          <w:highlight w:val="none"/>
        </w:rPr>
      </w:pPr>
    </w:p>
    <w:p>
      <w:pPr>
        <w:kinsoku/>
        <w:overflowPunct/>
        <w:topLinePunct w:val="0"/>
        <w:bidi w:val="0"/>
        <w:spacing w:beforeLines="0" w:afterLines="0" w:line="400" w:lineRule="exact"/>
        <w:outlineLvl w:val="1"/>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2.4.</w:t>
      </w:r>
      <w:r>
        <w:rPr>
          <w:rFonts w:hint="eastAsia" w:ascii="仿宋" w:hAnsi="仿宋" w:eastAsia="仿宋" w:cs="仿宋"/>
          <w:color w:val="auto"/>
          <w:kern w:val="0"/>
          <w:sz w:val="24"/>
          <w:szCs w:val="24"/>
          <w:highlight w:val="none"/>
          <w:lang w:bidi="ar"/>
        </w:rPr>
        <w:t>2.主机安全防护EDR服务</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865"/>
        <w:gridCol w:w="7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模块</w:t>
            </w:r>
          </w:p>
        </w:tc>
        <w:tc>
          <w:tcPr>
            <w:tcW w:w="86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指标项</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全网风险可视</w:t>
            </w:r>
          </w:p>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支持展示当前待处理的高危风险信息，包括弱口令、待处理病毒、待处理漏洞数据，支持一键跳转到对应处理页面。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支持控制台动态更新显示全网终端安全状态分布，包括：终端总数、在线终端数、防护中终端数、异常设备数。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支持查看当前安全防护信息数据，包括勒索深度防护、病毒实时防护、系统登录防护、Web应用防护。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系统监控</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支持监控系统CPU使用率、内存使用率、磁盘使用情况以及网络IO。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支持对CPU、内存、磁盘使用、网络IO达到配置阈值时告警。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支持Agent性能监控，支持对客户端占用的CPU、内存达到配置阈值时告警。支持对CPU、内存达到一定阈值时客户端自动进行熔断。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资产登记</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支持中心可对全网终端下发资产信息登记任务，支持在客户端和管理平台更新资产信息。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支持自定义登记信息内容及格式，包括输出框格式、下拉框格式、是否必填项等。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支持启停资产登记能力，针对未完整登记信息的终端支持设置开机提醒、定期提醒、常驻提醒。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监控系统开机、登录、关机事件，可以设置监控非工作时段的开机事件，形成审计日志。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消息推送</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56"/>
              <w:numPr>
                <w:ilvl w:val="0"/>
                <w:numId w:val="0"/>
              </w:numPr>
              <w:kinsoku/>
              <w:overflowPunct/>
              <w:topLinePunct w:val="0"/>
              <w:bidi w:val="0"/>
              <w:spacing w:beforeLines="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支持对单台或批量windows主机推送消息弹窗，弹窗信息及显示时间可自定义设置。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主机发现</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56"/>
              <w:numPr>
                <w:ilvl w:val="0"/>
                <w:numId w:val="0"/>
              </w:numPr>
              <w:kinsoku/>
              <w:overflowPunct/>
              <w:topLinePunct w:val="0"/>
              <w:bidi w:val="0"/>
              <w:spacing w:beforeLines="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支持自定义扫描指定网段，发现未安装EDR的资产信息，资产信息包括主机名、IP、设备类型、操作系统、发现时间等。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入侵检测</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可精准检测并阻断基于ATT&amp;CK的入侵攻击。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检测规则包含初始访问、执行、权限维持、权限提升、防御规避、凭据访问、信息发现、横向移动、数据收集、数据渗漏、命令与控制（C2）、影响等类型，并且可根据规则类型设置可信白名单。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系统安全性模块</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支持防端口扫描，锁定恶意的端口扫描，并记录告警。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支持网络分域访问，在服务端设置不同网络访问域，资产在同一时间只能访问任意一个网络域，支持资产自主切换不同网络访问域。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支持基于IP及域名设置探测地址，实时感知违规外联行为，针对违规外联行为支持多种处置方式，包括不做处理、弹窗提醒用户并关机、弹窗提醒用户并断网。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支持网站漏洞防护，防护内容包括SQL注入、XSS攻击、应用程序漏洞及自定义规则。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支持智能检测并防御CC攻击，并可进行高、中、低三档设置。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支持登录防护，包括以系统账号为粒度的异常登录防护、支持4个任意维度（任意IP，任意域名，任意计算机名，任意时间）的系统登录访问策略设置。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具备专门的针对未知勒索病毒的行为检测防御引擎，通过分析常见的勒索软件样本，总结了样本具有的共性特征形成了引擎行为库，系统API级别分析，有效抵御未知勒索病毒。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提供针对未知勒索病毒的诱饵防护引擎，通过自动生成的高仿真文件诱捕未知勒索病毒的攻击，并进行实时阻断。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支持在不依赖文件扫描的情况下，支持对主流的勒索家族（如wannacry、Locky）病毒进程进行感知和拦截。（针对windows）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文件推送</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支持下发文件、安装应用程序、远程执行命令。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微隔离</w:t>
            </w: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支持基于主机维度和业务维度的网络五元组策略下发、并支持混合模式、黑名单、白名单3种模式切换。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56"/>
              <w:kinsoku/>
              <w:overflowPunct/>
              <w:topLinePunct w:val="0"/>
              <w:bidi w:val="0"/>
              <w:spacing w:beforeLines="0" w:afterLines="0" w:line="400" w:lineRule="exact"/>
              <w:ind w:firstLine="0" w:firstLineChars="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支持一键封堵IP和端口。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8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71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968"/>
              <w:numPr>
                <w:ilvl w:val="0"/>
                <w:numId w:val="0"/>
              </w:numPr>
              <w:tabs>
                <w:tab w:val="clear" w:pos="839"/>
              </w:tabs>
              <w:kinsoku/>
              <w:overflowPunct/>
              <w:topLinePunct w:val="0"/>
              <w:bidi w:val="0"/>
              <w:spacing w:before="120" w:beforeLines="0" w:after="120" w:afterLines="0" w:line="400" w:lineRule="exact"/>
              <w:ind w:firstLine="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支持对微隔离策略进行导入和导出。</w:t>
            </w:r>
          </w:p>
        </w:tc>
      </w:tr>
    </w:tbl>
    <w:p>
      <w:pPr>
        <w:pStyle w:val="2"/>
        <w:kinsoku/>
        <w:overflowPunct/>
        <w:topLinePunct w:val="0"/>
        <w:bidi w:val="0"/>
        <w:spacing w:beforeLines="0" w:afterLines="0" w:line="400" w:lineRule="exact"/>
        <w:rPr>
          <w:rFonts w:hint="default" w:ascii="宋体"/>
          <w:color w:val="auto"/>
          <w:sz w:val="21"/>
          <w:szCs w:val="24"/>
          <w:highlight w:val="none"/>
        </w:rPr>
      </w:pPr>
    </w:p>
    <w:p>
      <w:pPr>
        <w:kinsoku/>
        <w:overflowPunct/>
        <w:topLinePunct w:val="0"/>
        <w:bidi w:val="0"/>
        <w:spacing w:beforeLines="0" w:afterLines="0" w:line="400" w:lineRule="exact"/>
        <w:outlineLvl w:val="1"/>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2.4.</w:t>
      </w:r>
      <w:r>
        <w:rPr>
          <w:rFonts w:hint="eastAsia" w:ascii="仿宋" w:hAnsi="仿宋" w:eastAsia="仿宋" w:cs="仿宋"/>
          <w:color w:val="auto"/>
          <w:kern w:val="0"/>
          <w:sz w:val="24"/>
          <w:szCs w:val="24"/>
          <w:highlight w:val="none"/>
          <w:lang w:bidi="ar"/>
        </w:rPr>
        <w:t>3.日志审计服务</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183"/>
        <w:gridCol w:w="6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模块</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指标项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lang w:eastAsia="zh-Hans"/>
              </w:rPr>
            </w:pPr>
            <w:r>
              <w:rPr>
                <w:rFonts w:hint="eastAsia" w:ascii="仿宋" w:hAnsi="仿宋" w:eastAsia="仿宋" w:cs="仿宋"/>
                <w:color w:val="auto"/>
                <w:kern w:val="0"/>
                <w:sz w:val="24"/>
                <w:szCs w:val="24"/>
                <w:highlight w:val="none"/>
                <w:lang w:eastAsia="zh-Hans"/>
              </w:rPr>
              <w:t>明御综合日志审计分析平台</w:t>
            </w:r>
          </w:p>
        </w:tc>
        <w:tc>
          <w:tcPr>
            <w:tcW w:w="112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lang w:eastAsia="zh-Hans"/>
              </w:rPr>
            </w:pPr>
            <w:r>
              <w:rPr>
                <w:rFonts w:hint="eastAsia" w:ascii="仿宋" w:hAnsi="仿宋" w:eastAsia="仿宋" w:cs="仿宋"/>
                <w:color w:val="auto"/>
                <w:kern w:val="0"/>
                <w:sz w:val="24"/>
                <w:szCs w:val="24"/>
                <w:highlight w:val="none"/>
                <w:lang w:eastAsia="zh-Hans"/>
              </w:rPr>
              <w:t>工作模式</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独立完成审计日志采集，不依赖于设备或系统自身的日志系统。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审计工作不影响被审计对象的性能、稳定性或日常管理流程。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lang w:eastAsia="zh-Hans"/>
              </w:rPr>
            </w:pPr>
            <w:r>
              <w:rPr>
                <w:rFonts w:hint="eastAsia" w:ascii="仿宋" w:hAnsi="仿宋" w:eastAsia="仿宋" w:cs="仿宋"/>
                <w:color w:val="auto"/>
                <w:kern w:val="0"/>
                <w:sz w:val="24"/>
                <w:szCs w:val="24"/>
                <w:highlight w:val="none"/>
                <w:lang w:eastAsia="zh-Hans"/>
              </w:rPr>
              <w:t>功能扩展</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采用解决方案包上传对产品进行功能扩展，无需代码开发。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支持kafka日志接收转发、大数据安全域同步、APT沙箱报告转发等大数据联调功能。Kafka收发支持SSL加密。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lang w:eastAsia="zh-Hans"/>
              </w:rPr>
            </w:pPr>
            <w:r>
              <w:rPr>
                <w:rFonts w:hint="eastAsia" w:ascii="仿宋" w:hAnsi="仿宋" w:eastAsia="仿宋" w:cs="仿宋"/>
                <w:color w:val="auto"/>
                <w:kern w:val="0"/>
                <w:sz w:val="24"/>
                <w:szCs w:val="24"/>
                <w:highlight w:val="none"/>
                <w:lang w:eastAsia="zh-Hans"/>
              </w:rPr>
              <w:t>日志收集</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支持Syslog、SNMP Trap、HTTP、ODBC/JDBC、WMI、FTP、SFTP协议日志收集；支持阿里云SLS日志的采集。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支持对Agent进行统一管控，包括卸载、升级、启动及停止操作，支持将日志收集策略统一分发。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lang w:eastAsia="zh-Hans"/>
              </w:rPr>
            </w:pPr>
            <w:r>
              <w:rPr>
                <w:rFonts w:hint="eastAsia" w:ascii="仿宋" w:hAnsi="仿宋" w:eastAsia="仿宋" w:cs="仿宋"/>
                <w:color w:val="auto"/>
                <w:kern w:val="0"/>
                <w:sz w:val="24"/>
                <w:szCs w:val="24"/>
                <w:highlight w:val="none"/>
                <w:lang w:eastAsia="zh-Hans"/>
              </w:rPr>
              <w:t>日志分析</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可以基于日志等级进行过滤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可以通过自定义配置过滤掉用户不关心的日志。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日志支持文本方式输出给第三方平台，进行数据共享。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eastAsia="zh-Hans"/>
              </w:rPr>
              <w:t>内置5000+解析规则，</w:t>
            </w:r>
            <w:r>
              <w:rPr>
                <w:rFonts w:hint="eastAsia" w:ascii="仿宋" w:hAnsi="仿宋" w:eastAsia="仿宋" w:cs="仿宋"/>
                <w:color w:val="auto"/>
                <w:kern w:val="0"/>
                <w:sz w:val="24"/>
                <w:szCs w:val="24"/>
                <w:highlight w:val="none"/>
              </w:rPr>
              <w:t>支持</w:t>
            </w:r>
            <w:r>
              <w:rPr>
                <w:rFonts w:hint="eastAsia" w:ascii="仿宋" w:hAnsi="仿宋" w:eastAsia="仿宋" w:cs="仿宋"/>
                <w:color w:val="auto"/>
                <w:kern w:val="0"/>
                <w:sz w:val="24"/>
                <w:szCs w:val="24"/>
                <w:highlight w:val="none"/>
                <w:lang w:eastAsia="zh-Hans"/>
              </w:rPr>
              <w:t>对收集的5000+设备类型</w:t>
            </w:r>
            <w:r>
              <w:rPr>
                <w:rFonts w:hint="eastAsia" w:ascii="仿宋" w:hAnsi="仿宋" w:eastAsia="仿宋" w:cs="仿宋"/>
                <w:color w:val="auto"/>
                <w:kern w:val="0"/>
                <w:sz w:val="24"/>
                <w:szCs w:val="24"/>
                <w:highlight w:val="none"/>
              </w:rPr>
              <w:t>日志进行解析（标准化、归一化），</w:t>
            </w:r>
            <w:r>
              <w:rPr>
                <w:rFonts w:hint="eastAsia" w:ascii="仿宋" w:hAnsi="仿宋" w:eastAsia="仿宋" w:cs="仿宋"/>
                <w:color w:val="auto"/>
                <w:kern w:val="0"/>
                <w:sz w:val="24"/>
                <w:szCs w:val="24"/>
                <w:highlight w:val="none"/>
                <w:lang w:eastAsia="zh-Hans"/>
              </w:rPr>
              <w:t>解析维度多达200+，</w:t>
            </w:r>
            <w:r>
              <w:rPr>
                <w:rFonts w:hint="eastAsia" w:ascii="仿宋" w:hAnsi="仿宋" w:eastAsia="仿宋" w:cs="仿宋"/>
                <w:color w:val="auto"/>
                <w:kern w:val="0"/>
                <w:sz w:val="24"/>
                <w:szCs w:val="24"/>
                <w:highlight w:val="none"/>
              </w:rPr>
              <w:t>解析规则可以根据客户要求定制扩展。（提供产品功能截图并加盖</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对日志样例可进行划词辅助解析，一键生成正则表达式。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支持解析规则性能以界面列表形式显示，可了解解析耗时、解析成功或失败次数等信息。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备安全评估模型，评估模型基于设备故障、认证登录、攻击威胁、可用性、系统脆弱性等纬度加权平均计算总体安全指数。安全评估模型可以显示总体评分、历史评分趋势。安全评估模型各项指标可钻取具体的评分扣分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Hans"/>
              </w:rPr>
              <w:t>日志查询</w:t>
            </w: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支持B/S模式管理，支持SSL加密模式访问。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支持按日期、时间、设备类型、日志类型、日志来源、威胁值、源地址、目的地址、事件类型、时间范围、操作对象、技术方式、技术动作、技术效果、攻击类型、地理城市等参数进行过滤查询。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支持用任意关键字对所有事件进行高性能全文检索。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支持可指定多个查询条件进行组合查询。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支持亿级的日志里根据做任意的关键字及其它的检索条件，在秒级里返回查询结果。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应用性能监控</w:t>
            </w:r>
          </w:p>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（APM）</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支持监控设备自身CPU、内存、硬盘等工作运行状况。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告警功能</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可预设置安全告警策略。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支持数据阀值设置，超过阀值将产生告警。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可以通过邮件、短信和屏幕显示进行告警。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自动防止在短时间内大量发送报警信息(告警抑制)。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用户管理</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三权分立的原则和要求进行职、权分离，对系统本身进行分角色定义，如管理员只负责完成设备的初始配置，规则配置员只负责审计规则的建立，审计员只负责查看相关的审计结果及告警内容；日志员只负责完成对系统本身的用户操作日志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用户管理</w:t>
            </w: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三权分立的原则和要求进行职、权分离，对系统本身进行分角色定义，如管理员只负责完成设备的初始配置，规则配置员只负责审计规则的建立，审计员只负责查看相关的审计结果及告警内容；日志员只负责完成对系统本身的用户操作日志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系统自带自身管理日志。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用户支持双因子认证登录，双因子认证令牌支持绑定至具体用户。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提供一键式故障排除功能。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112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6755"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提供自助式的升级接口，支持对产品升级、规则升级。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售后服务支持</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提供3年免费升级维护。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提供安装调试后1天在线操作培训。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提供24小时支持热线。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p>
        </w:tc>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color w:val="auto"/>
                <w:kern w:val="0"/>
                <w:sz w:val="24"/>
                <w:szCs w:val="24"/>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本地应急响应时间&lt;=2小时。</w:t>
            </w:r>
          </w:p>
        </w:tc>
      </w:tr>
    </w:tbl>
    <w:p>
      <w:pPr>
        <w:kinsoku/>
        <w:overflowPunct/>
        <w:topLinePunct w:val="0"/>
        <w:bidi w:val="0"/>
        <w:spacing w:beforeLines="0" w:afterLines="0" w:line="400" w:lineRule="exact"/>
        <w:outlineLvl w:val="1"/>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2.4.</w:t>
      </w:r>
      <w:r>
        <w:rPr>
          <w:rFonts w:hint="eastAsia" w:ascii="仿宋" w:hAnsi="仿宋" w:eastAsia="仿宋" w:cs="仿宋"/>
          <w:color w:val="auto"/>
          <w:kern w:val="0"/>
          <w:sz w:val="24"/>
          <w:szCs w:val="24"/>
          <w:highlight w:val="none"/>
          <w:lang w:bidi="ar"/>
        </w:rPr>
        <w:t>4.数据库审计服务</w:t>
      </w:r>
    </w:p>
    <w:tbl>
      <w:tblPr>
        <w:tblStyle w:val="62"/>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742"/>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bookmarkStart w:id="39" w:name="_Hlk99439061"/>
            <w:r>
              <w:rPr>
                <w:rFonts w:hint="eastAsia" w:ascii="仿宋" w:hAnsi="仿宋" w:eastAsia="仿宋" w:cs="仿宋"/>
                <w:b/>
                <w:color w:val="auto"/>
                <w:kern w:val="0"/>
                <w:sz w:val="24"/>
                <w:szCs w:val="24"/>
                <w:highlight w:val="none"/>
              </w:rPr>
              <w:t>模块</w:t>
            </w:r>
          </w:p>
        </w:tc>
        <w:tc>
          <w:tcPr>
            <w:tcW w:w="7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指标项</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资质</w:t>
            </w:r>
          </w:p>
        </w:tc>
        <w:tc>
          <w:tcPr>
            <w:tcW w:w="7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产品资质</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具备中国信息安全测评中心颁发的《信息技术产品安全测评证书》，级别EAL3+，要求提供证书扫描件或复印件或照片；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功能项</w:t>
            </w:r>
          </w:p>
        </w:tc>
        <w:tc>
          <w:tcPr>
            <w:tcW w:w="74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部署方式</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旁路部署模式下无须在被审计数据库系统上安装任何代理，仅通过镜像流量即可实现审计；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可在云环境操作系统中安装软件代理</w:t>
            </w:r>
            <w:r>
              <w:rPr>
                <w:rFonts w:hint="eastAsia" w:ascii="仿宋" w:hAnsi="仿宋" w:eastAsia="仿宋" w:cs="仿宋"/>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在目标数据库安装Agent解决云环境、虚拟化环境内部流量无法镜像场景下数据库的审计；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在分布式部署模式下，管理节点和探测器节点都可存储审计数据，实现大数据环境下磁盘空间的有效利用和扩展；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58"/>
              <w:kinsoku/>
              <w:overflowPunct/>
              <w:topLinePunct w:val="0"/>
              <w:bidi w:val="0"/>
              <w:spacing w:before="0" w:beforeLines="0" w:beforeAutospacing="0" w:after="0" w:afterLines="0" w:afterAutospacing="0" w:line="400" w:lineRule="exact"/>
              <w:ind w:firstLine="0" w:firstLineChars="0"/>
              <w:rPr>
                <w:rFonts w:hint="eastAsia" w:ascii="仿宋" w:hAnsi="仿宋" w:eastAsia="仿宋" w:cs="仿宋"/>
                <w:b/>
                <w:color w:val="auto"/>
                <w:kern w:val="2"/>
                <w:sz w:val="24"/>
                <w:szCs w:val="24"/>
                <w:highlight w:val="none"/>
              </w:rPr>
            </w:pPr>
            <w:r>
              <w:rPr>
                <w:rFonts w:hint="eastAsia" w:ascii="仿宋" w:hAnsi="仿宋" w:eastAsia="仿宋" w:cs="仿宋"/>
                <w:color w:val="auto"/>
                <w:kern w:val="2"/>
                <w:sz w:val="24"/>
                <w:szCs w:val="24"/>
                <w:highlight w:val="none"/>
              </w:rPr>
              <w:t>支持在阿里云RDS数据库中采集日志，无需在应用侧安装agent即可实现审计：支持通过API方式与阿里云RDS审计日志直接对接；</w:t>
            </w:r>
            <w:r>
              <w:rPr>
                <w:rFonts w:hint="eastAsia" w:ascii="仿宋" w:hAnsi="仿宋" w:eastAsia="仿宋" w:cs="仿宋"/>
                <w:b/>
                <w:color w:val="auto"/>
                <w:kern w:val="2"/>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协议支持</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支持主流业务协议HTTP、Telnet、FTP的审计；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数据可见性</w:t>
            </w: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58"/>
              <w:kinsoku/>
              <w:overflowPunct/>
              <w:topLinePunct w:val="0"/>
              <w:bidi w:val="0"/>
              <w:spacing w:before="0" w:beforeLines="0" w:beforeAutospacing="0" w:after="0" w:afterLines="0" w:afterAutospacing="0" w:line="400" w:lineRule="exact"/>
              <w:ind w:firstLine="0" w:firstLineChars="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具备单独的性能分析页面，展示性能主要指标（包括整体平均耗时、高峰时平均耗时、低谷时平均耗时、最大单次执行时长、慢SQL数量与占比、慢SQL操作类型），支持以时间维度展示平均耗时趋势，且可与历史情况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58"/>
              <w:kinsoku/>
              <w:overflowPunct/>
              <w:topLinePunct w:val="0"/>
              <w:bidi w:val="0"/>
              <w:spacing w:before="0" w:beforeLines="0" w:beforeAutospacing="0" w:after="0" w:afterLines="0" w:afterAutospacing="0" w:line="400" w:lineRule="exact"/>
              <w:ind w:firstLine="0" w:firstLineChars="0"/>
              <w:rPr>
                <w:rFonts w:hint="eastAsia" w:ascii="仿宋" w:hAnsi="仿宋" w:eastAsia="仿宋" w:cs="仿宋"/>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58"/>
              <w:kinsoku/>
              <w:overflowPunct/>
              <w:topLinePunct w:val="0"/>
              <w:bidi w:val="0"/>
              <w:spacing w:before="0" w:beforeLines="0" w:beforeAutospacing="0" w:after="0" w:afterLines="0" w:afterAutospacing="0" w:line="400" w:lineRule="exact"/>
              <w:ind w:firstLine="0" w:firstLineChars="0"/>
              <w:rPr>
                <w:rFonts w:hint="eastAsia" w:ascii="仿宋" w:hAnsi="仿宋" w:eastAsia="仿宋" w:cs="仿宋"/>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审计功能</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支持数据库操作表、视图、索引、存储过程等</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\l "_支持各种对象的SQL审计_1"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各种对象的所有SQL操作审计</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审计信息能够记录执行时长、影响行数、执行结果描述、返回结果集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支持在双向审计场景下根据以往审计命中情况设置结果集存储策略，支持设置保存行数与最大保存长度;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支持HDFS、HIVE、PostgreSQL等场景下的kerberos认证加密流量的解析与审计；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智能发现</w:t>
            </w: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支持自动发现、自动添加流量中的数据库信息，并支持自定义自动发现截止时间；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安全审计</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支持审计记录中敏感数据的脱敏处理，内置常见敏感数据脱敏规则，并支持脱敏规则自定义；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产品具有内置规则，规则类型有SQL注入、账号安全、数据泄露和违规操作等，并可依据规则进行邮件告警.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内置安全规则不少于900条，如SQL注入、缓冲区溢出等；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可自定义审计规则，审计规则至少支持18个条件；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支持安全规则遍历匹配，针对某个操作，将全部安全规则进行匹配，并返回所有匹配的告警结果；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支持内置安全规则通过规则包进行单独升级</w:t>
            </w:r>
            <w:r>
              <w:rPr>
                <w:rFonts w:hint="eastAsia" w:ascii="仿宋" w:hAnsi="仿宋" w:eastAsia="仿宋" w:cs="仿宋"/>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查询分析</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为保障高效的查询性能，要求产品后台采用全文检索引擎检索，具体体现为：可通过检索报文进行审计记录的查询；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支持在审计日志中一键添加过滤规则，支持在告警规则中一键添加信任规则或规则白名单；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设置日志检索条件时，检索条件可根据历史信息自动弹出，即输入检索条件时支持智能联想；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支持告警分析功能，告警分析支持按照“客户端IP+数据库账号”的组合对SQL模板维度进行排行，支持在页面一键添加到白名单、一键添加到信任规则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日志查询时分析筛选能力，根据查询条件自动分析出存在的数据库账号、客户端IP、客户端工具、操作系统用户名、服务端IP、操作类型、数据库名/实例名、表名、主机名、执行状态、执行时长、影响行数等，并支持在以上各个维度中灵活筛选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历史会话中的审计记录支持直接导出，支持通过“查询分析”按钮跳转至审计日志页面进行进一步的分析筛选；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21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0" w:type="auto"/>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74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易用性</w:t>
            </w:r>
          </w:p>
        </w:tc>
        <w:tc>
          <w:tcPr>
            <w:tcW w:w="7219"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支持在日志页面一键取证；</w:t>
            </w:r>
          </w:p>
        </w:tc>
      </w:tr>
      <w:bookmarkEnd w:id="39"/>
    </w:tbl>
    <w:p>
      <w:pPr>
        <w:kinsoku/>
        <w:overflowPunct/>
        <w:topLinePunct w:val="0"/>
        <w:bidi w:val="0"/>
        <w:spacing w:beforeLines="0" w:afterLines="0" w:line="400" w:lineRule="exact"/>
        <w:outlineLvl w:val="1"/>
        <w:rPr>
          <w:rFonts w:hint="eastAsia" w:ascii="仿宋" w:hAnsi="仿宋" w:eastAsia="仿宋" w:cs="仿宋"/>
          <w:color w:val="auto"/>
          <w:kern w:val="0"/>
          <w:sz w:val="24"/>
          <w:szCs w:val="24"/>
          <w:highlight w:val="none"/>
          <w:lang w:bidi="ar"/>
        </w:rPr>
      </w:pPr>
      <w:r>
        <w:rPr>
          <w:rFonts w:hint="eastAsia" w:ascii="仿宋" w:hAnsi="仿宋" w:eastAsia="仿宋" w:cs="仿宋"/>
          <w:color w:val="auto"/>
          <w:sz w:val="24"/>
          <w:szCs w:val="24"/>
          <w:highlight w:val="none"/>
        </w:rPr>
        <w:t>2.4.</w:t>
      </w:r>
      <w:r>
        <w:rPr>
          <w:rFonts w:hint="eastAsia" w:ascii="仿宋" w:hAnsi="仿宋" w:eastAsia="仿宋" w:cs="仿宋"/>
          <w:color w:val="auto"/>
          <w:kern w:val="0"/>
          <w:sz w:val="24"/>
          <w:szCs w:val="24"/>
          <w:highlight w:val="none"/>
          <w:lang w:bidi="ar"/>
        </w:rPr>
        <w:t>5.运维审计服务</w:t>
      </w:r>
    </w:p>
    <w:tbl>
      <w:tblPr>
        <w:tblStyle w:val="6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002"/>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模块</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指标项</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用户管理要求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用户角色</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支持用户多角色划分功能，如系统管理员、部门管理员、运维员、审计管理员、密码管理员等，对各类角色需要进行细粒度的权限管理；支持自定义用户权限。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部门层级管理</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按部门组织架构管理用户数据、资产数据、授权数据、审计数据，且数据相互隔离；可按部门层级分别设定各部门不同权限的管理员，如部门内的运维管理员、审计管理员、系统管理员等。每个部门管理员仅可管理本部门及下级部门的相关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部门数据管理</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每个部门可针对导出的部门账号密码文件单独设置AB段安全码，解压时需要输入部门安全码，通过验证方可导出相关文件；管理员导出部门资产数据时，可设定是否对资产文件进行ZIP包加密。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身份认证方式</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手机APP动态口令认证方式登录堡垒机，新用户首次登录后需强制绑定APP动态口令；支持钉钉/企业微信扫码认证方式登录堡垒机；支持AD、LDAP、RADIUS、吉大正元、北京CA、深圳CA认证系统联动登录堡垒机；支持多个AD域认证源；支持自动同步AD/LDAP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单点登录认证</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rPr>
              <w:t>支持标准化对接CAS、JWT、SAML2、OAuth2单点登录认证，且支持配置是否自动创建堡垒机中不存在用户。（需提供相关截图证明并加盖</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短信口令认证对接   </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支持与Get、Post、Soap发送方式的HTTP短信网关平台进行联动，实现短信动态口令双因素认证机制，如与阿里云短信服务、SendCloud联动。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国密认证  </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rPr>
              <w:t>支持基于国密算法的动态令牌/USBkey进行双因子认证，并可提供国家密码局颁发的《商用密码产品认证证书》</w:t>
            </w:r>
            <w:r>
              <w:rPr>
                <w:rFonts w:hint="eastAsia" w:ascii="仿宋" w:hAnsi="仿宋" w:eastAsia="仿宋" w:cs="仿宋"/>
                <w:color w:val="auto"/>
                <w:kern w:val="0"/>
                <w:sz w:val="24"/>
                <w:szCs w:val="24"/>
                <w:highlight w:val="none"/>
                <w:lang w:eastAsia="zh-CN"/>
              </w:rPr>
              <w:t>加盖投标人公章</w:t>
            </w:r>
            <w:r>
              <w:rPr>
                <w:rFonts w:hint="eastAsia" w:ascii="仿宋" w:hAnsi="仿宋" w:eastAsia="仿宋" w:cs="仿宋"/>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全局双因子认证设置</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支持基于不同的用户设置不同的双因子认证模式；支持单用户同时开启多种身份认证方式。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设备管理要求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支持的协议和应用</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支持常用的运维协议：SSH、TELNET、RDP、VNC、FTP、SFTP、rlogin、X11；可通过应用发布的方式进行协议扩展，如数据库Oracle、MSSQL、MySQL、VMware vSphere Client、浏览器等客户端工具。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IE/谷歌/火狐浏览器代填</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IE、谷歌或火狐浏览器代填应用发布：HTTP/HTTPS协议的web设备。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URL访问管控</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支持对HTTP/HTTPS类资产进行URL黑白名单限制，禁止在未授权情况下，通过手动输入URL跳转至其它web网站。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登录模式</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支持设备账户和密码的自动登录、手工登录、二次自动登录模式。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树状目录视图</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支持目录树模式对主机进行管理，可以按主机组、部门、主机网络、操作系统4种视图进行树状目录排列。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共享账户</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支持设置共享账户且可以导出，用于不同主机拥有相同账户名及密码的场景。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主机账户管理</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支持独立的账户管理界面，在账户管理界面可通过孤儿账户（是/否）、资产编号、部门、是否改密、登录模式、账户有效性、上次运维时间、上次改密时间等维度进行筛选并导出，方便用户进行账号状态统计；</w:t>
            </w:r>
            <w:r>
              <w:rPr>
                <w:rFonts w:hint="eastAsia" w:ascii="仿宋" w:hAnsi="仿宋" w:eastAsia="仿宋" w:cs="仿宋"/>
                <w:color w:val="auto"/>
                <w:kern w:val="0"/>
                <w:sz w:val="24"/>
                <w:szCs w:val="24"/>
                <w:highlight w:val="none"/>
                <w:lang w:eastAsia="zh-Hans"/>
              </w:rPr>
              <w:t>并支持</w:t>
            </w:r>
            <w:r>
              <w:rPr>
                <w:rFonts w:hint="eastAsia" w:ascii="仿宋" w:hAnsi="仿宋" w:eastAsia="仿宋" w:cs="仿宋"/>
                <w:color w:val="auto"/>
                <w:kern w:val="0"/>
                <w:sz w:val="24"/>
                <w:szCs w:val="24"/>
                <w:highlight w:val="none"/>
              </w:rPr>
              <w:t>主机账户批量编辑功能，支持修改登录模式、特权账户、使用特权账户改密、密码、是否改密等字段的修改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工单流程要求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运维工单</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运维人员可以向管理员申请需要访问的设备，申请时可以选择：设备IP、设备账户、运维有效期、备注事由等，并且运维工单以邮件方式通知管理员。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密码工单</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支持密码工单管理，可通过工单申请相应资源的密码，支持通过邮件的方式通知管理员及申请人；支持工单授权到期后的自动密码回收。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预授权工单</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管理员将资产（包括主机、主机账户、应用账户）预授权给用户，以便用户申请预授权工单时添加资产，可跨部门授权，审批通过后能够跨部门运维，实现了跨部门运维的权限最小化。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紧急工单审批</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提供紧急运维工单能力，通过赋予部分运维员紧急运维权限，使其可以不通过审批即可进行主机运维；支持配置紧急运维工单告警，可以选择多个告警对象。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Hans"/>
              </w:rPr>
              <w:t>资产巡检要求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自动巡检</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支持多项资产安全的检查，包括主机、主机账户的发现，主机状态和主机账户状态的检查；支持手动、定期和周期性对数据中心内的资产进行整体的扫描检测。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主机发现</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支持发现自定义网段内未纳管设备的主机IP、操作系统，同时支持记录该设备发现时间；发现的主机可一键纳管至堡垒机，并可将结果进行导出。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运维方式要求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运维管理</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支持B/S架构进行堡垒机运维管理，至少支持使用IE、谷歌、火狐、Microsoft Edge等浏览器打开堡垒机的Web页面直接调用mstsc、VNC、Xshell、SecureCRT、Putty、winscp、flashFXP、FileZilla、SecureFX等本地运维客户端工具。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安全策略要求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运维二次审批</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对重要设备启用登录审核功能，运维人员须向管理员申请登录，管理员允许之后才可登录；并且管理员在审批时可以设置审批有效期，及在有效期内是否不限制登录次数。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审批规则</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于审批操作，可以设置多级审批人及审批人有权限审批的对象，审批对象类型支持用户和用户组两种，审批类型包括：运维工单、密码工单、预授权工单、紧急运维工单、自动运维任务、命令审批、运维二次审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自动运维任务</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支持添加命令列表和上传脚本两种方式自动推送命令任务，如可自动备份交换机/路由器的配置信息、可自动执行周期任务；并将结果以邮件/FTP/SFTP的方式发送给相关管理员。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任务编排</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备自动化编排能力，通过编排动作流的方式，对目标资产进行定时或周期性的自动化运维。动作流可包括：上传文件、执行命令、下载文件等。动作流会按设定好的顺序进行执行，对于常见的运维工作，如升级、巡检等，均可通过此能力快速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自动化编排过程中，支持单个动作流的启用和禁用，并支持单个动作流执行完成后，是否需要人工进行确认，以及可选择完成后是否需要通过邮件的方式进行结果推送。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水印功能</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H5运维及查看录像全程支持水印功能，</w:t>
            </w:r>
            <w:r>
              <w:rPr>
                <w:rFonts w:hint="eastAsia" w:ascii="仿宋" w:hAnsi="仿宋" w:eastAsia="仿宋" w:cs="仿宋"/>
                <w:color w:val="auto"/>
                <w:kern w:val="0"/>
                <w:sz w:val="24"/>
                <w:szCs w:val="24"/>
                <w:highlight w:val="none"/>
                <w:lang w:eastAsia="zh-Hans"/>
              </w:rPr>
              <w:t>支持调整水印显示透明度</w:t>
            </w:r>
            <w:r>
              <w:rPr>
                <w:rFonts w:hint="eastAsia" w:ascii="仿宋" w:hAnsi="仿宋" w:eastAsia="仿宋" w:cs="仿宋"/>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自动发送报表</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支持运维报表自动定期发送，提供一键导出符合等级保护、SOX法案要求的综合分析报告。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系统配置</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支持配置DNS服务器，且可配置首选、备选DNS，支持配置堡垒机静态路由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ind w:firstLine="400"/>
              <w:rPr>
                <w:rFonts w:hint="eastAsia" w:ascii="仿宋" w:hAnsi="仿宋" w:eastAsia="仿宋" w:cs="仿宋"/>
                <w:color w:val="auto"/>
                <w:kern w:val="0"/>
                <w:sz w:val="24"/>
                <w:szCs w:val="24"/>
                <w:highlight w:val="none"/>
              </w:rPr>
            </w:pP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命令审批</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支持对重要命令进行审核：运维人员执行命令后，需等到管理员审批通过后才可执行成功。可选择性设置自定义时间内未审批，对命令自动放行。执行命令的运维人员在运维待审批命令时，可选择终止此命令。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系统管理要求</w:t>
            </w:r>
          </w:p>
        </w:tc>
        <w:tc>
          <w:tcPr>
            <w:tcW w:w="59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Hans"/>
              </w:rPr>
              <w:t>系统版本回退</w:t>
            </w:r>
          </w:p>
        </w:tc>
        <w:tc>
          <w:tcPr>
            <w:tcW w:w="391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3"/>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Hans"/>
              </w:rPr>
              <w:t>支持系统升级后，再回退至升级前的版本；方便用户处理割接过程中出现的突发情况。</w:t>
            </w:r>
          </w:p>
        </w:tc>
      </w:tr>
    </w:tbl>
    <w:p>
      <w:pPr>
        <w:kinsoku/>
        <w:overflowPunct/>
        <w:topLinePunct w:val="0"/>
        <w:bidi w:val="0"/>
        <w:spacing w:beforeLines="0" w:afterLines="0" w:line="400" w:lineRule="exact"/>
        <w:outlineLvl w:val="1"/>
        <w:rPr>
          <w:rFonts w:hint="eastAsia" w:ascii="仿宋" w:hAnsi="仿宋" w:eastAsia="仿宋" w:cs="仿宋"/>
          <w:color w:val="auto"/>
          <w:sz w:val="24"/>
          <w:szCs w:val="24"/>
          <w:highlight w:val="none"/>
        </w:rPr>
      </w:pPr>
    </w:p>
    <w:p>
      <w:pPr>
        <w:kinsoku/>
        <w:overflowPunct/>
        <w:topLinePunct w:val="0"/>
        <w:bidi w:val="0"/>
        <w:spacing w:beforeLines="0" w:afterLines="0" w:line="400" w:lineRule="exact"/>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2.4.6安全营运服务</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707"/>
        <w:gridCol w:w="749"/>
        <w:gridCol w:w="6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538"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模块</w:t>
            </w: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指标项</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渗透测试</w:t>
            </w: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服务内容</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通过真实模拟黑客使用的工具、分析方法来对信息系统进行模拟攻击，并结合智能工具扫描结果，由高级工程师进行深入的手工测试和分析，识别工具弱点扫描无法发现的问题。主要分析内容包括逻辑缺陷、上传绕过、输入输出校验绕过、数据篡改、功能绕过、异常错误等以及其他专项内容测试与分析，重点发现信息系统应用层业务流程和逻辑上的安全漏洞和敏感信息泄露的风险，输出渗透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服务频率</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w:t>
            </w:r>
            <w:r>
              <w:rPr>
                <w:rFonts w:hint="eastAsia" w:ascii="仿宋" w:hAnsi="仿宋" w:eastAsia="仿宋" w:cs="仿宋"/>
                <w:color w:val="auto"/>
                <w:kern w:val="0"/>
                <w:sz w:val="24"/>
                <w:szCs w:val="24"/>
                <w:highlight w:val="none"/>
                <w:lang w:val="en-US" w:eastAsia="zh-CN"/>
              </w:rPr>
              <w:t>半月</w:t>
            </w:r>
            <w:r>
              <w:rPr>
                <w:rFonts w:hint="eastAsia" w:ascii="仿宋" w:hAnsi="仿宋" w:eastAsia="仿宋" w:cs="仿宋"/>
                <w:color w:val="auto"/>
                <w:kern w:val="0"/>
                <w:sz w:val="24"/>
                <w:szCs w:val="24"/>
                <w:highlight w:val="none"/>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输出物</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《渗透测试报告》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工具要求</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须提供自主研发的专业WEB应用弱点扫描工具。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41"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WEB应用弱点扫描工具</w:t>
            </w:r>
          </w:p>
        </w:tc>
        <w:tc>
          <w:tcPr>
            <w:tcW w:w="3604"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1、支持常见的WEB应用弱点检测，支持OWASP TOP 10等主流安全漏洞；</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2、支持定制扫描：用户可根据；目标扫描网站的特点以及所在网络环境，对扫描过程进行定制，如爬行、检测、过滤、网络环境等；</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3、支持端口扫描和服务的协议及版本识别，支持自定义扫描端口范围；</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4、漏洞知识库支持漏洞描述、修复建议、CVE ID、CNCVE ID、CNVD ID、CNNVD ID、Bugtraq、CVSS分值、漏洞名称、风险等级、发现日期等维度查看。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41"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自动化渗透测试工具</w:t>
            </w:r>
          </w:p>
        </w:tc>
        <w:tc>
          <w:tcPr>
            <w:tcW w:w="3604"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rPr>
              <w:t>1、支持对能获取权限的漏洞进行漏洞利用，获取对方的服务器权限，包括但不限于代码执行、命令执行、文件上传、反序列化漏洞等的漏洞利用；漏洞利用功能能对漏洞进行植入webshell、命令执行、反弹shell等操作</w:t>
            </w:r>
            <w:r>
              <w:rPr>
                <w:rFonts w:hint="eastAsia" w:ascii="仿宋" w:hAnsi="仿宋" w:eastAsia="仿宋" w:cs="仿宋"/>
                <w:color w:val="auto"/>
                <w:kern w:val="0"/>
                <w:sz w:val="24"/>
                <w:szCs w:val="24"/>
                <w:highlight w:val="none"/>
                <w:lang w:eastAsia="zh-CN"/>
              </w:rPr>
              <w:t>。（需</w:t>
            </w:r>
            <w:r>
              <w:rPr>
                <w:rFonts w:hint="eastAsia" w:ascii="仿宋" w:hAnsi="仿宋" w:eastAsia="仿宋" w:cs="仿宋"/>
                <w:color w:val="auto"/>
                <w:kern w:val="0"/>
                <w:sz w:val="24"/>
                <w:szCs w:val="24"/>
                <w:highlight w:val="none"/>
              </w:rPr>
              <w:t>提供功能截图证明</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并加盖</w:t>
            </w:r>
            <w:r>
              <w:rPr>
                <w:rFonts w:hint="eastAsia" w:ascii="仿宋" w:hAnsi="仿宋" w:eastAsia="仿宋" w:cs="仿宋"/>
                <w:color w:val="auto"/>
                <w:kern w:val="0"/>
                <w:sz w:val="24"/>
                <w:szCs w:val="24"/>
                <w:highlight w:val="none"/>
                <w:lang w:eastAsia="zh-CN"/>
              </w:rPr>
              <w:t>投标人</w:t>
            </w:r>
            <w:r>
              <w:rPr>
                <w:rFonts w:hint="eastAsia" w:ascii="仿宋" w:hAnsi="仿宋" w:eastAsia="仿宋" w:cs="仿宋"/>
                <w:color w:val="auto"/>
                <w:kern w:val="0"/>
                <w:sz w:val="24"/>
                <w:szCs w:val="24"/>
                <w:highlight w:val="none"/>
              </w:rPr>
              <w:t>公章</w:t>
            </w:r>
            <w:r>
              <w:rPr>
                <w:rFonts w:hint="eastAsia" w:ascii="仿宋" w:hAnsi="仿宋" w:eastAsia="仿宋" w:cs="仿宋"/>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信息安全协助加固及应急响应服务</w:t>
            </w: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服务内容</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在安全评估、应急响应、攻防对抗过程中发现的安全风险、不合规项、漏洞扫描报告等提供具体落地的加固方案并协助客户进行加固整改。服务包括安全漏洞漏洞服务与基线安全加固服务，加固对象包括系统漏洞、中间件、数据库等相关软硬件资产。同时建立健全安全事件应急工作机制，提高应对突发安全事件的组织指挥能力和应急处置能力，保证应急响应工作迅速、高效、有序地进行，确保用户妥善应对各类网络安全突发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服务频率</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响应时效：2小时内。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输出物</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《安全事件应急响应报告》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工具要求</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1、支持对所采集的系统配置数据、使用痕迹数据、运行状态数据、恶意代码情况、系统日志、中间件日志等进行数据分析；</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2、支持手动分析，支持处置人员查看采集的数据信息，标记关键数据形成可疑行为事件；</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3、支持根据关键字搜索相关知识内容；</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4、支持提供IP、域名、文件等威胁情报查询；</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5、支持生成应急处置报告，报告内容包括事件基本信息、关键可疑行为信息及对应处置建议等内容。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重大活动技术保障服务</w:t>
            </w: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服务内容</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重大保障期间，可按需提供7×24的远程值守服务，实时监测网络环境安全运行状态，确保用户妥善应对各类网络安全事件。包含1台安全运营探针技术服务，针对出口流量，实现病毒、木马、蠕虫、僵尸网络、缓冲区溢出攻击、拒绝服务攻击、扫描探测、欺骗劫持、SQL注入、XSS攻击、漏洞利用、暴力破解、非授权访问、挂马攻击等威胁检测，并向运营监测平台上报安全告警和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服务要求</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保障期间现场工程师应开展包括但不限于以下安全工作：</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1、网络安全运行状态监测分析</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帮助用户开展安全设备的性能指标、功能指标和硬件状态的巡检，记录指标值。根据巡检记录，针对关键链路和节点设备的CPU、内存、磁盘使用率、网络连通性、网络会话连接数、网络流量等指标设置正常运行区间值、异常运行区间值及告警方式，一旦相关指标发生异常，及时进行安全告警。针对监测指标产生的异常告警进行确认、分析，查找异常原因，提供解决方案，协解客户完成安全整改和修复。</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2、网络安全告警分析和预警</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梳理网络和业务资产，针对网络收集的流量安全日志进行安全审计和分析，及时发现网络攻击和其它异常行为。对网络安全设备产生的扫描探测、SQL注入、跨站脚本攻击、木马后门上传等各类网络安全告警事件进行溯源分析和风险验证，帮助客户快速完成安全响应。</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3、安全事件应急响应</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发现信息完全威胁后第一时间进行跟进处理，最大限度的降低安全事故带来的危害，减少安全事故带来的影响，将客户的安全损失降到最低。当入侵或者破坏发生时，对应的处理方法主要的原则是首先保护或恢复计算机、网络服务的正常工作；然后再对入侵者进行追查，并对整个应急响应过程进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输出物</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《重保日报》、《重保总结报告》等。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网络安全意识培训</w:t>
            </w: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服务内容</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开展网络安全意识培训。对单位全体人员、管理人员、技术人员等不同用户群体开展针对性网络与信息安全培训，提高受众个人隐私保护、常规攻击防护、信息安全管理等能力，增强个人网络安全防护意识，规避网络攻击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服务要求</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1、针对管理和技术两个层面制定阶梯性人员能力培训计划，通过安全培训使相关人员的安全意识、安全技术能力及安全管理能力有明显提升。</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管理人员主要包括：高层管理、业务专家等。</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培训目标：对管理人员的培训，使他们了解国家相关部门对系统信息安全管理和建设的相关标准，同时建立起一套具有针对性和适用性的安全管理办法。</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技术人员主要包括：操作人员、开发人员、维护人员等。</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培训目标：对技术人员的培训，使他们了解信息系统所面临的严峻安全威胁和挑战，以及如何进行全面有效的安全防护措施。</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全员培训主要包括：安全意识培训等。</w:t>
            </w:r>
          </w:p>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培训目标：全体成员的培训，让大家对信息安全的有初步的认识和逐步提高安全意识，让安全事故可以得到有效的避免。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服务频率</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输出物</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《网络安全培训大纲》《网络安全培训课件》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巡检服务</w:t>
            </w: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服务内容</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期内设备安全巡查服务：定期对网络和安全设备进行安全巡检，网络及安全的设备运行的状态进行检测和评估，及时发现网络中存在的安全风险，对安全设备的配置进行完善、更新和备份、修补加固工作；对信息系统、服务器和数据库等的配置进行漏洞检测、协助修复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服务要求</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对单位线下物理设备包括网络设备、主机设备、安全设备进行日常安全巡检，对其性能进行分析，优化，警告问题和潜在的风险瓶颈，提出书面优化建议，保证系统处于健康状态。</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巡检内容主要包括：</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1.防火墙安全</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2.网络设备安全</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3.主机防护安全</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4.系统运行安全</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5.防病毒安全</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6.数据备份</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7.物理机房</w:t>
            </w:r>
          </w:p>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如有异常情况，及时与项目接口人沟通，提供管理或行业安全合规咨询的建议。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服务频率</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服务频率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p>
        </w:tc>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输出物</w:t>
            </w:r>
          </w:p>
        </w:tc>
        <w:tc>
          <w:tcPr>
            <w:tcW w:w="40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kinsoku/>
              <w:overflowPunct/>
              <w:topLinePunct w:val="0"/>
              <w:bidi w:val="0"/>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《安全巡检报告》</w:t>
            </w:r>
          </w:p>
        </w:tc>
      </w:tr>
    </w:tbl>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三.工期要求</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要求合同签订后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0天</w:t>
      </w:r>
      <w:r>
        <w:rPr>
          <w:rFonts w:hint="eastAsia" w:ascii="仿宋" w:hAnsi="仿宋" w:eastAsia="仿宋" w:cs="仿宋"/>
          <w:color w:val="auto"/>
          <w:sz w:val="24"/>
          <w:szCs w:val="24"/>
          <w:highlight w:val="none"/>
          <w:lang w:val="en-US" w:eastAsia="zh-CN"/>
        </w:rPr>
        <w:t>内</w:t>
      </w:r>
      <w:r>
        <w:rPr>
          <w:rFonts w:hint="eastAsia" w:ascii="仿宋" w:hAnsi="仿宋" w:eastAsia="仿宋" w:cs="仿宋"/>
          <w:color w:val="auto"/>
          <w:sz w:val="24"/>
          <w:szCs w:val="24"/>
          <w:highlight w:val="none"/>
        </w:rPr>
        <w:t>，中标人完成线路布放、设备安装调试等工作，期间涉及到的相关设备搬迁、运送、保险等费用由中标人自理。</w:t>
      </w:r>
    </w:p>
    <w:p>
      <w:pPr>
        <w:numPr>
          <w:ilvl w:val="0"/>
          <w:numId w:val="4"/>
        </w:num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履约</w:t>
      </w:r>
      <w:r>
        <w:rPr>
          <w:rFonts w:hint="eastAsia" w:ascii="仿宋" w:hAnsi="仿宋" w:eastAsia="仿宋" w:cs="仿宋"/>
          <w:b/>
          <w:color w:val="auto"/>
          <w:sz w:val="24"/>
          <w:szCs w:val="24"/>
          <w:highlight w:val="none"/>
        </w:rPr>
        <w:t>验收</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）履约验收的相关费用</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履约验收</w:t>
      </w:r>
      <w:r>
        <w:rPr>
          <w:rFonts w:hint="eastAsia" w:ascii="仿宋" w:hAnsi="仿宋" w:eastAsia="仿宋" w:cs="仿宋"/>
          <w:color w:val="auto"/>
          <w:sz w:val="24"/>
          <w:szCs w:val="24"/>
          <w:highlight w:val="none"/>
          <w:lang w:val="en-US" w:eastAsia="zh-CN"/>
        </w:rPr>
        <w:t>所产生的</w:t>
      </w:r>
      <w:r>
        <w:rPr>
          <w:rFonts w:hint="eastAsia" w:ascii="仿宋" w:hAnsi="仿宋" w:eastAsia="仿宋" w:cs="仿宋"/>
          <w:color w:val="auto"/>
          <w:sz w:val="24"/>
          <w:szCs w:val="24"/>
          <w:highlight w:val="none"/>
        </w:rPr>
        <w:t>代理服务费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如有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、专家劳务费</w:t>
      </w:r>
      <w:r>
        <w:rPr>
          <w:rFonts w:hint="eastAsia" w:ascii="仿宋" w:hAnsi="仿宋" w:eastAsia="仿宋" w:cs="仿宋"/>
          <w:color w:val="auto"/>
          <w:sz w:val="24"/>
          <w:szCs w:val="24"/>
          <w:highlight w:val="none"/>
          <w:lang w:val="en-US" w:eastAsia="zh-CN"/>
        </w:rPr>
        <w:t>用由中标人承担。</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val="en-US" w:eastAsia="zh-CN"/>
        </w:rPr>
        <w:t>有权</w:t>
      </w:r>
      <w:r>
        <w:rPr>
          <w:rFonts w:hint="eastAsia" w:ascii="仿宋" w:hAnsi="仿宋" w:eastAsia="仿宋" w:cs="仿宋"/>
          <w:color w:val="auto"/>
          <w:sz w:val="24"/>
          <w:szCs w:val="24"/>
          <w:highlight w:val="none"/>
        </w:rPr>
        <w:t>委托国家认可的质量检测机构参加验收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合格检测费用由采购人支付，验收不合格检测费用由投标人支付，检测所需样品及材料由中标人提供，工程关键指标必须达到一次性通过（合格），如验收不合格，除由中标人负责返工修补合格并承担返工费用和延误所造成的工期损失外。</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）项目验收工作组织程序</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、验收小组</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拟</w:t>
      </w:r>
      <w:r>
        <w:rPr>
          <w:rFonts w:hint="eastAsia" w:ascii="仿宋" w:hAnsi="仿宋" w:eastAsia="仿宋" w:cs="仿宋"/>
          <w:color w:val="auto"/>
          <w:sz w:val="24"/>
          <w:szCs w:val="24"/>
          <w:highlight w:val="none"/>
          <w:lang w:val="en-US" w:eastAsia="zh-CN"/>
        </w:rPr>
        <w:t>由采购单位代表、相关专家等 3 人（或以上单数）组成。</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、项目验收时间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由中标人在合同履约完成后30天内主动响应</w:t>
      </w:r>
      <w:r>
        <w:rPr>
          <w:rFonts w:hint="eastAsia" w:ascii="仿宋" w:hAnsi="仿宋" w:eastAsia="仿宋" w:cs="仿宋"/>
          <w:color w:val="auto"/>
          <w:sz w:val="24"/>
          <w:szCs w:val="24"/>
          <w:highlight w:val="none"/>
        </w:rPr>
        <w:t>。</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3、验收前准备：</w:t>
      </w:r>
      <w:r>
        <w:rPr>
          <w:rFonts w:hint="eastAsia" w:ascii="仿宋" w:hAnsi="仿宋" w:eastAsia="仿宋" w:cs="仿宋"/>
          <w:color w:val="auto"/>
          <w:sz w:val="24"/>
          <w:szCs w:val="24"/>
          <w:highlight w:val="none"/>
        </w:rPr>
        <w:t>供应商提供</w:t>
      </w:r>
      <w:r>
        <w:rPr>
          <w:rFonts w:hint="eastAsia" w:ascii="仿宋" w:hAnsi="仿宋" w:eastAsia="仿宋" w:cs="仿宋"/>
          <w:color w:val="auto"/>
          <w:sz w:val="24"/>
          <w:szCs w:val="24"/>
          <w:highlight w:val="none"/>
          <w:lang w:val="en-US" w:eastAsia="zh-CN"/>
        </w:rPr>
        <w:t>招投标资料、政府采购合同及</w:t>
      </w:r>
      <w:r>
        <w:rPr>
          <w:rFonts w:hint="eastAsia" w:ascii="仿宋" w:hAnsi="仿宋" w:eastAsia="仿宋" w:cs="仿宋"/>
          <w:color w:val="auto"/>
          <w:sz w:val="24"/>
          <w:szCs w:val="24"/>
          <w:highlight w:val="none"/>
        </w:rPr>
        <w:t>项目资料、合格证明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测试报告</w:t>
      </w:r>
      <w:r>
        <w:rPr>
          <w:rFonts w:hint="eastAsia" w:ascii="仿宋" w:hAnsi="仿宋" w:eastAsia="仿宋" w:cs="仿宋"/>
          <w:color w:val="auto"/>
          <w:sz w:val="24"/>
          <w:szCs w:val="24"/>
          <w:highlight w:val="none"/>
        </w:rPr>
        <w:t>以及验收所必须具备的其他</w:t>
      </w:r>
      <w:r>
        <w:rPr>
          <w:rFonts w:hint="eastAsia" w:ascii="仿宋" w:hAnsi="仿宋" w:eastAsia="仿宋" w:cs="仿宋"/>
          <w:color w:val="auto"/>
          <w:sz w:val="24"/>
          <w:szCs w:val="24"/>
          <w:highlight w:val="none"/>
          <w:lang w:val="en-US" w:eastAsia="zh-CN"/>
        </w:rPr>
        <w:t>印刷</w:t>
      </w:r>
      <w:r>
        <w:rPr>
          <w:rFonts w:hint="eastAsia" w:ascii="仿宋" w:hAnsi="仿宋" w:eastAsia="仿宋" w:cs="仿宋"/>
          <w:color w:val="auto"/>
          <w:sz w:val="24"/>
          <w:szCs w:val="24"/>
          <w:highlight w:val="none"/>
        </w:rPr>
        <w:t>材料，</w:t>
      </w:r>
      <w:r>
        <w:rPr>
          <w:rFonts w:hint="eastAsia" w:ascii="仿宋" w:hAnsi="仿宋" w:eastAsia="仿宋" w:cs="仿宋"/>
          <w:color w:val="auto"/>
          <w:sz w:val="24"/>
          <w:szCs w:val="24"/>
          <w:highlight w:val="none"/>
          <w:lang w:val="en-US" w:eastAsia="zh-CN"/>
        </w:rPr>
        <w:t>采购人无异议后方可验收。</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、如验收不合格的，供应商应采取补救措施，及时处理。整改结束后，由供应商通知验收组织机构重新验收。</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结算</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验收合格的，由采购人指定的第三方进行项目决算审计，根据审计结果支付合同余款。</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未尽事宜，按《中华人民共和国政府采购法》及其实施条例、《中华人民共和国民法典》、《财政部关于进一步加强政府采购需求和履约验收管理的指导意见》（财库〔2016〕205号）、《浙江省财政厅关于印发浙江省政府采购合同暂行办法的通知》（浙财采监〔2017〕11号）等相关法律法规、规定执行。</w:t>
      </w:r>
    </w:p>
    <w:p>
      <w:pPr>
        <w:numPr>
          <w:ilvl w:val="0"/>
          <w:numId w:val="6"/>
        </w:num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违约责任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不定期对设备、链路等在线情况、故障、掉线、网速、排除故障等服务情况进行抽检考核，如发现因乙方原因导致不满足服务要求的情况，每发生一次，乙方应向甲方支付5000元违约金。同时，因乙方原因导致设备故障，甲方有权委托第三方进行保修，所产生的费用由乙方承担。</w:t>
      </w:r>
    </w:p>
    <w:p>
      <w:pPr>
        <w:kinsoku/>
        <w:overflowPunct/>
        <w:topLinePunct w:val="0"/>
        <w:bidi w:val="0"/>
        <w:snapToGrid w:val="0"/>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五.付款方式</w:t>
      </w:r>
    </w:p>
    <w:p>
      <w:pPr>
        <w:kinsoku/>
        <w:overflowPunct/>
        <w:topLinePunct w:val="0"/>
        <w:bidi w:val="0"/>
        <w:snapToGrid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jc w:val="center"/>
        <w:rPr>
          <w:rFonts w:hint="eastAsia" w:ascii="仿宋" w:hAnsi="仿宋" w:eastAsia="仿宋" w:cs="仿宋"/>
          <w:b/>
          <w:color w:val="auto"/>
          <w:sz w:val="28"/>
          <w:szCs w:val="28"/>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kinsoku/>
        <w:overflowPunct/>
        <w:topLinePunct w:val="0"/>
        <w:bidi w:val="0"/>
        <w:spacing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kinsoku/>
        <w:overflowPunct/>
        <w:topLinePunct w:val="0"/>
        <w:bidi w:val="0"/>
        <w:spacing w:line="400" w:lineRule="exact"/>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kinsoku/>
        <w:overflowPunct/>
        <w:topLinePunct w:val="0"/>
        <w:bidi w:val="0"/>
        <w:spacing w:before="120" w:line="400" w:lineRule="exact"/>
        <w:rPr>
          <w:rFonts w:hint="eastAsia" w:ascii="仿宋" w:hAnsi="仿宋" w:eastAsia="仿宋" w:cs="仿宋"/>
          <w:color w:val="auto"/>
          <w:sz w:val="24"/>
          <w:highlight w:val="none"/>
        </w:rPr>
      </w:pPr>
    </w:p>
    <w:p>
      <w:pPr>
        <w:pStyle w:val="5"/>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kinsoku/>
        <w:overflowPunct/>
        <w:topLinePunct w:val="0"/>
        <w:bidi w:val="0"/>
        <w:spacing w:before="120" w:line="400" w:lineRule="exact"/>
        <w:rPr>
          <w:rFonts w:hint="eastAsia" w:ascii="仿宋" w:hAnsi="仿宋" w:eastAsia="仿宋" w:cs="仿宋"/>
          <w:color w:val="auto"/>
          <w:szCs w:val="24"/>
          <w:highlight w:val="none"/>
        </w:rPr>
      </w:pPr>
    </w:p>
    <w:p>
      <w:pPr>
        <w:pStyle w:val="597"/>
        <w:kinsoku/>
        <w:overflowPunct/>
        <w:topLinePunct w:val="0"/>
        <w:bidi w:val="0"/>
        <w:spacing w:before="120" w:line="400" w:lineRule="exact"/>
        <w:rPr>
          <w:rFonts w:hint="eastAsia" w:ascii="仿宋" w:hAnsi="仿宋" w:eastAsia="仿宋" w:cs="仿宋"/>
          <w:color w:val="auto"/>
          <w:szCs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overflowPunct/>
        <w:topLinePunct w:val="0"/>
        <w:bidi w:val="0"/>
        <w:spacing w:before="120" w:line="400" w:lineRule="exact"/>
        <w:rPr>
          <w:rFonts w:hint="eastAsia" w:ascii="仿宋" w:hAnsi="仿宋" w:eastAsia="仿宋" w:cs="仿宋"/>
          <w:color w:val="auto"/>
          <w:sz w:val="24"/>
          <w:highlight w:val="none"/>
        </w:rPr>
      </w:pPr>
    </w:p>
    <w:p>
      <w:pPr>
        <w:kinsoku/>
        <w:overflowPunct/>
        <w:topLinePunct w:val="0"/>
        <w:bidi w:val="0"/>
        <w:spacing w:before="120" w:line="400" w:lineRule="exac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overflowPunct/>
        <w:topLinePunct w:val="0"/>
        <w:bidi w:val="0"/>
        <w:spacing w:line="400" w:lineRule="exact"/>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pPr>
        <w:kinsoku/>
        <w:overflowPunct/>
        <w:topLinePunct w:val="0"/>
        <w:bidi w:val="0"/>
        <w:spacing w:line="400" w:lineRule="exact"/>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19273"/>
      <w:bookmarkStart w:id="41" w:name="_Toc22967"/>
      <w:bookmarkStart w:id="42" w:name="_Toc20421"/>
      <w:bookmarkStart w:id="43" w:name="_Toc28855"/>
      <w:bookmarkStart w:id="44" w:name="_Toc15367"/>
      <w:r>
        <w:rPr>
          <w:rFonts w:hint="eastAsia" w:ascii="仿宋" w:hAnsi="仿宋" w:eastAsia="仿宋" w:cs="仿宋"/>
          <w:b/>
          <w:color w:val="auto"/>
          <w:sz w:val="24"/>
          <w:highlight w:val="none"/>
        </w:rPr>
        <w:t>1.1 合同组成部分</w:t>
      </w:r>
      <w:bookmarkEnd w:id="40"/>
      <w:bookmarkEnd w:id="41"/>
      <w:bookmarkEnd w:id="42"/>
      <w:bookmarkEnd w:id="43"/>
      <w:bookmarkEnd w:id="44"/>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18585"/>
      <w:bookmarkStart w:id="46" w:name="_Toc6773"/>
      <w:bookmarkStart w:id="47" w:name="_Toc2918"/>
      <w:bookmarkStart w:id="48" w:name="_Toc22185"/>
      <w:bookmarkStart w:id="49" w:name="_Toc6311"/>
      <w:r>
        <w:rPr>
          <w:rFonts w:hint="eastAsia" w:ascii="仿宋" w:hAnsi="仿宋" w:eastAsia="仿宋" w:cs="仿宋"/>
          <w:b/>
          <w:color w:val="auto"/>
          <w:sz w:val="24"/>
          <w:highlight w:val="none"/>
        </w:rPr>
        <w:t>1.2 标的</w:t>
      </w:r>
      <w:bookmarkEnd w:id="45"/>
      <w:bookmarkEnd w:id="46"/>
      <w:bookmarkEnd w:id="47"/>
      <w:bookmarkEnd w:id="48"/>
      <w:bookmarkEnd w:id="49"/>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0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5635"/>
      <w:bookmarkStart w:id="51" w:name="_Toc13918"/>
      <w:bookmarkStart w:id="52" w:name="_Toc4929"/>
      <w:bookmarkStart w:id="53" w:name="_Toc21124"/>
      <w:bookmarkStart w:id="54"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30158"/>
      <w:bookmarkStart w:id="56" w:name="_Toc26916"/>
      <w:bookmarkStart w:id="57" w:name="_Toc30506"/>
      <w:bookmarkStart w:id="58" w:name="_Toc3654"/>
      <w:bookmarkStart w:id="59"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5"/>
        <w:pageBreakBefore w:val="0"/>
        <w:kinsoku/>
        <w:wordWrap/>
        <w:overflowPunct/>
        <w:topLinePunct w:val="0"/>
        <w:autoSpaceDE/>
        <w:autoSpaceDN/>
        <w:bidi w:val="0"/>
        <w:snapToGrid/>
        <w:spacing w:line="40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color w:val="auto"/>
          <w:highlight w:val="none"/>
        </w:rPr>
      </w:pPr>
      <w:bookmarkStart w:id="60" w:name="_Toc1814"/>
      <w:bookmarkStart w:id="61" w:name="_Toc22618"/>
      <w:bookmarkStart w:id="62" w:name="_Toc10340"/>
      <w:bookmarkStart w:id="63" w:name="_Toc3625"/>
      <w:bookmarkStart w:id="64" w:name="_Toc11108"/>
      <w:bookmarkStart w:id="65" w:name="_Toc8772"/>
      <w:bookmarkStart w:id="66" w:name="_Toc31421"/>
      <w:bookmarkStart w:id="67" w:name="_Toc4760"/>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5"/>
        <w:pageBreakBefore w:val="0"/>
        <w:tabs>
          <w:tab w:val="left" w:pos="0"/>
        </w:tabs>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5698"/>
      <w:bookmarkStart w:id="69" w:name="_Toc8586"/>
      <w:bookmarkStart w:id="70" w:name="_Toc2375"/>
      <w:bookmarkStart w:id="71" w:name="_Toc24662"/>
      <w:bookmarkStart w:id="72" w:name="_Toc3079"/>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9497"/>
      <w:bookmarkStart w:id="74" w:name="_Toc30329"/>
      <w:bookmarkStart w:id="75" w:name="_Toc26807"/>
      <w:bookmarkStart w:id="76" w:name="_Toc18683"/>
      <w:bookmarkStart w:id="77"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5583"/>
      <w:bookmarkStart w:id="79" w:name="_Toc16021"/>
      <w:bookmarkStart w:id="80" w:name="_Toc28375"/>
      <w:r>
        <w:rPr>
          <w:rFonts w:hint="eastAsia" w:ascii="仿宋" w:hAnsi="仿宋" w:eastAsia="仿宋" w:cs="仿宋"/>
          <w:b/>
          <w:color w:val="auto"/>
          <w:sz w:val="24"/>
          <w:highlight w:val="none"/>
        </w:rPr>
        <w:t>1.9合同争议的解决</w:t>
      </w:r>
      <w:bookmarkEnd w:id="78"/>
      <w:bookmarkEnd w:id="79"/>
      <w:bookmarkEnd w:id="80"/>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7245"/>
      <w:bookmarkStart w:id="82" w:name="_Toc11173"/>
      <w:bookmarkStart w:id="83" w:name="_Toc15322"/>
      <w:r>
        <w:rPr>
          <w:rFonts w:hint="eastAsia" w:ascii="仿宋" w:hAnsi="仿宋" w:eastAsia="仿宋" w:cs="仿宋"/>
          <w:b/>
          <w:color w:val="auto"/>
          <w:sz w:val="24"/>
          <w:highlight w:val="none"/>
        </w:rPr>
        <w:t>2.0 合同生效</w:t>
      </w:r>
      <w:bookmarkEnd w:id="81"/>
      <w:bookmarkEnd w:id="82"/>
      <w:bookmarkEnd w:id="83"/>
    </w:p>
    <w:p>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overflowPunct/>
        <w:topLinePunct w:val="0"/>
        <w:bidi w:val="0"/>
        <w:adjustRightInd/>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kinsoku/>
        <w:overflowPunct/>
        <w:topLinePunct w:val="0"/>
        <w:bidi w:val="0"/>
        <w:spacing w:line="40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4" w:name="_Toc31297"/>
      <w:bookmarkStart w:id="85" w:name="_Toc14021"/>
      <w:bookmarkStart w:id="86" w:name="_Toc25079"/>
      <w:bookmarkStart w:id="87" w:name="_Toc5228"/>
      <w:bookmarkStart w:id="88" w:name="_Toc19680"/>
      <w:r>
        <w:rPr>
          <w:rFonts w:hint="eastAsia" w:ascii="仿宋" w:hAnsi="仿宋" w:eastAsia="仿宋" w:cs="仿宋"/>
          <w:b/>
          <w:color w:val="auto"/>
          <w:sz w:val="24"/>
          <w:highlight w:val="none"/>
        </w:rPr>
        <w:t>2.1 定义</w:t>
      </w:r>
      <w:bookmarkEnd w:id="84"/>
      <w:bookmarkEnd w:id="85"/>
      <w:bookmarkEnd w:id="86"/>
      <w:bookmarkEnd w:id="87"/>
      <w:bookmarkEnd w:id="88"/>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89" w:name="_Toc23289"/>
      <w:bookmarkStart w:id="90" w:name="_Toc16752"/>
      <w:bookmarkStart w:id="91" w:name="_Toc19539"/>
      <w:bookmarkStart w:id="92" w:name="_Toc31402"/>
      <w:bookmarkStart w:id="93" w:name="_Toc3769"/>
      <w:r>
        <w:rPr>
          <w:rFonts w:hint="eastAsia" w:ascii="仿宋" w:hAnsi="仿宋" w:eastAsia="仿宋" w:cs="仿宋"/>
          <w:b/>
          <w:color w:val="auto"/>
          <w:sz w:val="24"/>
          <w:highlight w:val="none"/>
        </w:rPr>
        <w:t>2.2 技术规范</w:t>
      </w:r>
      <w:bookmarkEnd w:id="89"/>
      <w:bookmarkEnd w:id="90"/>
      <w:bookmarkEnd w:id="91"/>
      <w:bookmarkEnd w:id="92"/>
      <w:bookmarkEnd w:id="93"/>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4" w:name="_Toc13673"/>
      <w:bookmarkStart w:id="95" w:name="_Toc9161"/>
      <w:bookmarkStart w:id="96" w:name="_Toc27945"/>
      <w:bookmarkStart w:id="97" w:name="_Toc4133"/>
      <w:bookmarkStart w:id="98" w:name="_Toc12412"/>
      <w:r>
        <w:rPr>
          <w:rFonts w:hint="eastAsia" w:ascii="仿宋" w:hAnsi="仿宋" w:eastAsia="仿宋" w:cs="仿宋"/>
          <w:b/>
          <w:color w:val="auto"/>
          <w:sz w:val="24"/>
          <w:highlight w:val="none"/>
        </w:rPr>
        <w:t>2.3 知识产权</w:t>
      </w:r>
      <w:bookmarkEnd w:id="94"/>
      <w:bookmarkEnd w:id="95"/>
      <w:bookmarkEnd w:id="96"/>
      <w:bookmarkEnd w:id="97"/>
      <w:bookmarkEnd w:id="98"/>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99" w:name="_Toc31233"/>
      <w:bookmarkStart w:id="100" w:name="_Toc32670"/>
      <w:bookmarkStart w:id="101" w:name="_Toc15447"/>
      <w:bookmarkStart w:id="102" w:name="_Toc22011"/>
      <w:bookmarkStart w:id="103" w:name="_Toc26555"/>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4" w:name="_Toc18990"/>
      <w:bookmarkStart w:id="105" w:name="_Toc30507"/>
      <w:bookmarkStart w:id="106" w:name="_Toc16163"/>
      <w:bookmarkStart w:id="107" w:name="_Toc13154"/>
      <w:bookmarkStart w:id="108" w:name="_Toc13467"/>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2" w:name="_Toc26689"/>
      <w:bookmarkStart w:id="113" w:name="_Toc21830"/>
      <w:bookmarkStart w:id="114" w:name="_Toc10663"/>
      <w:bookmarkStart w:id="115" w:name="_Toc42"/>
      <w:bookmarkStart w:id="116" w:name="_Toc23368"/>
      <w:r>
        <w:rPr>
          <w:rFonts w:hint="eastAsia" w:ascii="仿宋" w:hAnsi="仿宋" w:eastAsia="仿宋" w:cs="仿宋"/>
          <w:b/>
          <w:color w:val="auto"/>
          <w:sz w:val="24"/>
          <w:highlight w:val="none"/>
        </w:rPr>
        <w:t>2.10 合同转让和分包</w:t>
      </w:r>
      <w:bookmarkEnd w:id="112"/>
      <w:bookmarkEnd w:id="113"/>
      <w:bookmarkEnd w:id="114"/>
      <w:bookmarkEnd w:id="115"/>
      <w:bookmarkEnd w:id="11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17" w:name="_Toc4720"/>
      <w:bookmarkStart w:id="118" w:name="_Toc26633"/>
      <w:bookmarkStart w:id="119" w:name="_Toc14371"/>
      <w:bookmarkStart w:id="120" w:name="_Toc32494"/>
      <w:bookmarkStart w:id="121" w:name="_Toc25571"/>
      <w:r>
        <w:rPr>
          <w:rFonts w:hint="eastAsia" w:ascii="仿宋" w:hAnsi="仿宋" w:eastAsia="仿宋" w:cs="仿宋"/>
          <w:b/>
          <w:color w:val="auto"/>
          <w:sz w:val="24"/>
          <w:highlight w:val="none"/>
        </w:rPr>
        <w:t>2.11 不可抗力</w:t>
      </w:r>
      <w:bookmarkEnd w:id="117"/>
      <w:bookmarkEnd w:id="118"/>
      <w:bookmarkEnd w:id="119"/>
      <w:bookmarkEnd w:id="120"/>
      <w:bookmarkEnd w:id="12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2" w:name="_Toc24465"/>
      <w:bookmarkStart w:id="123" w:name="_Toc3638"/>
      <w:bookmarkStart w:id="124" w:name="_Toc25783"/>
      <w:bookmarkStart w:id="125" w:name="_Toc23854"/>
      <w:bookmarkStart w:id="126" w:name="_Toc14115"/>
      <w:r>
        <w:rPr>
          <w:rFonts w:hint="eastAsia" w:ascii="仿宋" w:hAnsi="仿宋" w:eastAsia="仿宋" w:cs="仿宋"/>
          <w:b/>
          <w:color w:val="auto"/>
          <w:sz w:val="24"/>
          <w:highlight w:val="none"/>
        </w:rPr>
        <w:t>2.12 税费</w:t>
      </w:r>
      <w:bookmarkEnd w:id="122"/>
      <w:bookmarkEnd w:id="123"/>
      <w:bookmarkEnd w:id="124"/>
      <w:bookmarkEnd w:id="125"/>
      <w:bookmarkEnd w:id="126"/>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27" w:name="_Toc7315"/>
      <w:bookmarkStart w:id="128" w:name="_Toc30105"/>
      <w:bookmarkStart w:id="129" w:name="_Toc26883"/>
      <w:bookmarkStart w:id="130" w:name="_Toc25525"/>
      <w:bookmarkStart w:id="131" w:name="_Toc14814"/>
      <w:r>
        <w:rPr>
          <w:rFonts w:hint="eastAsia" w:ascii="仿宋" w:hAnsi="仿宋" w:eastAsia="仿宋" w:cs="仿宋"/>
          <w:b/>
          <w:color w:val="auto"/>
          <w:sz w:val="24"/>
          <w:highlight w:val="none"/>
        </w:rPr>
        <w:t>2.13 乙方破产</w:t>
      </w:r>
      <w:bookmarkEnd w:id="127"/>
      <w:bookmarkEnd w:id="128"/>
      <w:bookmarkEnd w:id="129"/>
      <w:bookmarkEnd w:id="130"/>
      <w:bookmarkEnd w:id="131"/>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2" w:name="_Toc2016"/>
      <w:bookmarkStart w:id="133" w:name="_Toc1123"/>
      <w:bookmarkStart w:id="134" w:name="_Toc23323"/>
      <w:r>
        <w:rPr>
          <w:rFonts w:hint="eastAsia" w:ascii="仿宋" w:hAnsi="仿宋" w:eastAsia="仿宋" w:cs="仿宋"/>
          <w:b/>
          <w:color w:val="auto"/>
          <w:sz w:val="24"/>
          <w:highlight w:val="none"/>
        </w:rPr>
        <w:t>2.14 合同中止、终止</w:t>
      </w:r>
      <w:bookmarkEnd w:id="132"/>
      <w:bookmarkEnd w:id="133"/>
      <w:bookmarkEnd w:id="134"/>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5" w:name="_Toc1969"/>
      <w:bookmarkStart w:id="136" w:name="_Toc17363"/>
      <w:bookmarkStart w:id="137" w:name="_Toc14525"/>
      <w:r>
        <w:rPr>
          <w:rFonts w:hint="eastAsia" w:ascii="仿宋" w:hAnsi="仿宋" w:eastAsia="仿宋" w:cs="仿宋"/>
          <w:b/>
          <w:color w:val="auto"/>
          <w:sz w:val="24"/>
          <w:highlight w:val="none"/>
        </w:rPr>
        <w:t>2.15 检验和验收</w:t>
      </w:r>
      <w:bookmarkEnd w:id="135"/>
      <w:bookmarkEnd w:id="136"/>
      <w:bookmarkEnd w:id="137"/>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38" w:name="_Toc25198"/>
      <w:bookmarkStart w:id="139" w:name="_Toc31892"/>
      <w:bookmarkStart w:id="140" w:name="_Toc12666"/>
      <w:bookmarkStart w:id="141" w:name="_Toc2308"/>
      <w:bookmarkStart w:id="142" w:name="_Toc9808"/>
      <w:r>
        <w:rPr>
          <w:rFonts w:hint="eastAsia" w:ascii="仿宋" w:hAnsi="仿宋" w:eastAsia="仿宋" w:cs="仿宋"/>
          <w:b/>
          <w:color w:val="auto"/>
          <w:sz w:val="24"/>
          <w:highlight w:val="none"/>
        </w:rPr>
        <w:t>2.16 通知和送达</w:t>
      </w:r>
      <w:bookmarkEnd w:id="138"/>
      <w:bookmarkEnd w:id="139"/>
      <w:bookmarkEnd w:id="140"/>
      <w:bookmarkEnd w:id="141"/>
      <w:bookmarkEnd w:id="142"/>
    </w:p>
    <w:p>
      <w:pPr>
        <w:kinsoku/>
        <w:overflowPunct/>
        <w:topLinePunct w:val="0"/>
        <w:bidi w:val="0"/>
        <w:spacing w:line="400" w:lineRule="exact"/>
        <w:ind w:firstLine="480" w:firstLineChars="200"/>
        <w:rPr>
          <w:rFonts w:hint="eastAsia" w:ascii="仿宋" w:hAnsi="仿宋" w:eastAsia="仿宋" w:cs="仿宋"/>
          <w:color w:val="auto"/>
          <w:sz w:val="24"/>
          <w:highlight w:val="none"/>
        </w:rPr>
      </w:pPr>
      <w:bookmarkStart w:id="143" w:name="_Toc18401"/>
      <w:bookmarkStart w:id="144"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45" w:name="_Toc28906"/>
      <w:bookmarkStart w:id="146" w:name="_Toc12254"/>
      <w:bookmarkStart w:id="147" w:name="_Toc27644"/>
      <w:bookmarkStart w:id="148" w:name="_Toc5063"/>
      <w:bookmarkStart w:id="149" w:name="_Toc20808"/>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18540"/>
      <w:bookmarkStart w:id="152" w:name="_Toc4355"/>
      <w:r>
        <w:rPr>
          <w:rFonts w:hint="eastAsia" w:ascii="仿宋" w:hAnsi="仿宋" w:eastAsia="仿宋" w:cs="仿宋"/>
          <w:b/>
          <w:color w:val="auto"/>
          <w:sz w:val="24"/>
          <w:highlight w:val="none"/>
        </w:rPr>
        <w:t>2.18 计量单位</w:t>
      </w:r>
      <w:bookmarkEnd w:id="150"/>
      <w:bookmarkEnd w:id="151"/>
      <w:bookmarkEnd w:id="152"/>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overflowPunct/>
        <w:topLinePunct w:val="0"/>
        <w:bidi w:val="0"/>
        <w:spacing w:line="400" w:lineRule="exact"/>
        <w:ind w:firstLine="482" w:firstLineChars="200"/>
        <w:outlineLvl w:val="0"/>
        <w:rPr>
          <w:rFonts w:hint="eastAsia" w:ascii="仿宋" w:hAnsi="仿宋" w:eastAsia="仿宋" w:cs="仿宋"/>
          <w:b/>
          <w:color w:val="auto"/>
          <w:sz w:val="24"/>
          <w:highlight w:val="none"/>
        </w:rPr>
      </w:pPr>
      <w:bookmarkStart w:id="153" w:name="_Toc487900373"/>
      <w:bookmarkStart w:id="154" w:name="_Toc259093692"/>
      <w:bookmarkStart w:id="155" w:name="_Toc12773"/>
      <w:bookmarkStart w:id="156" w:name="_Toc10330"/>
      <w:bookmarkStart w:id="157" w:name="_Toc279701263"/>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00" w:lineRule="exac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kinsoku/>
              <w:overflowPunct/>
              <w:topLinePunct w:val="0"/>
              <w:bidi w:val="0"/>
              <w:spacing w:line="400" w:lineRule="exact"/>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kinsoku/>
              <w:overflowPunct/>
              <w:topLinePunct w:val="0"/>
              <w:bidi w:val="0"/>
              <w:spacing w:line="400" w:lineRule="exact"/>
              <w:rPr>
                <w:rFonts w:hint="eastAsia" w:ascii="仿宋" w:hAnsi="仿宋" w:eastAsia="仿宋" w:cs="仿宋"/>
                <w:color w:val="auto"/>
                <w:sz w:val="24"/>
                <w:highlight w:val="none"/>
              </w:rPr>
            </w:pPr>
          </w:p>
        </w:tc>
      </w:tr>
    </w:tbl>
    <w:p>
      <w:pPr>
        <w:kinsoku/>
        <w:overflowPunct/>
        <w:topLinePunct w:val="0"/>
        <w:bidi w:val="0"/>
        <w:spacing w:line="400" w:lineRule="exact"/>
        <w:ind w:left="-420" w:leftChars="-200" w:right="-420" w:rightChars="-200" w:firstLine="480" w:firstLineChars="200"/>
        <w:rPr>
          <w:rFonts w:hint="eastAsia" w:ascii="仿宋" w:hAnsi="仿宋" w:eastAsia="仿宋" w:cs="仿宋"/>
          <w:color w:val="auto"/>
          <w:sz w:val="24"/>
          <w:highlight w:val="none"/>
        </w:rPr>
      </w:pPr>
    </w:p>
    <w:p>
      <w:pPr>
        <w:kinsoku/>
        <w:overflowPunct/>
        <w:topLinePunct w:val="0"/>
        <w:bidi w:val="0"/>
        <w:spacing w:line="400" w:lineRule="exact"/>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insoku/>
        <w:overflowPunct/>
        <w:topLinePunct w:val="0"/>
        <w:bidi w:val="0"/>
        <w:spacing w:beforeLines="0" w:afterLines="0" w:line="400" w:lineRule="exact"/>
        <w:jc w:val="lef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1、评标方法：</w:t>
      </w:r>
    </w:p>
    <w:p>
      <w:pPr>
        <w:kinsoku/>
        <w:overflowPunct/>
        <w:topLinePunct w:val="0"/>
        <w:bidi w:val="0"/>
        <w:spacing w:beforeLines="0" w:afterLines="0" w:line="400" w:lineRule="exact"/>
        <w:ind w:firstLine="480" w:firstLineChars="200"/>
        <w:jc w:val="left"/>
        <w:rPr>
          <w:rFonts w:hint="eastAsia"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insoku/>
        <w:overflowPunct/>
        <w:topLinePunct w:val="0"/>
        <w:bidi w:val="0"/>
        <w:spacing w:beforeLines="0" w:afterLines="0" w:line="400" w:lineRule="exact"/>
        <w:ind w:firstLine="472" w:firstLineChars="196"/>
        <w:jc w:val="lef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insoku/>
        <w:overflowPunct/>
        <w:topLinePunct w:val="0"/>
        <w:bidi w:val="0"/>
        <w:spacing w:beforeLines="0" w:afterLines="0" w:line="400" w:lineRule="exact"/>
        <w:ind w:firstLine="482" w:firstLineChars="200"/>
        <w:jc w:val="left"/>
        <w:rPr>
          <w:rFonts w:hint="eastAsia" w:ascii="仿宋_GB2312" w:hAnsi="仿宋" w:eastAsia="仿宋_GB2312" w:cs="仿宋"/>
          <w:color w:val="auto"/>
          <w:sz w:val="24"/>
          <w:szCs w:val="24"/>
          <w:highlight w:val="none"/>
        </w:rPr>
      </w:pPr>
      <w:r>
        <w:rPr>
          <w:rFonts w:hint="eastAsia" w:ascii="仿宋_GB2312" w:hAnsi="仿宋" w:eastAsia="仿宋_GB2312" w:cs="仿宋"/>
          <w:b/>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pPr>
        <w:kinsoku/>
        <w:overflowPunct/>
        <w:topLinePunct w:val="0"/>
        <w:bidi w:val="0"/>
        <w:spacing w:beforeLines="0" w:afterLines="0" w:line="400" w:lineRule="exact"/>
        <w:jc w:val="left"/>
        <w:rPr>
          <w:rFonts w:hint="eastAsia" w:ascii="仿宋_GB2312" w:hAnsi="宋体" w:eastAsia="仿宋_GB2312"/>
          <w:color w:val="auto"/>
          <w:sz w:val="24"/>
          <w:szCs w:val="24"/>
          <w:highlight w:val="none"/>
        </w:rPr>
      </w:pPr>
      <w:r>
        <w:rPr>
          <w:rFonts w:hint="eastAsia" w:ascii="仿宋_GB2312" w:hAnsi="宋体" w:eastAsia="仿宋_GB2312"/>
          <w:b/>
          <w:color w:val="auto"/>
          <w:sz w:val="24"/>
          <w:szCs w:val="24"/>
          <w:highlight w:val="none"/>
        </w:rPr>
        <w:t>2.评分标准：</w:t>
      </w:r>
      <w:r>
        <w:rPr>
          <w:rFonts w:hint="eastAsia" w:ascii="仿宋_GB2312" w:hAnsi="宋体" w:eastAsia="仿宋_GB2312"/>
          <w:color w:val="auto"/>
          <w:sz w:val="24"/>
          <w:szCs w:val="24"/>
          <w:highlight w:val="none"/>
        </w:rPr>
        <w:t>共100分，其中商务技术分</w:t>
      </w:r>
      <w:r>
        <w:rPr>
          <w:rFonts w:hint="eastAsia" w:ascii="仿宋_GB2312" w:hAnsi="宋体" w:eastAsia="仿宋_GB2312"/>
          <w:color w:val="auto"/>
          <w:sz w:val="24"/>
          <w:szCs w:val="24"/>
          <w:highlight w:val="none"/>
          <w:lang w:val="en-US" w:eastAsia="zh-CN"/>
        </w:rPr>
        <w:t>6</w:t>
      </w:r>
      <w:r>
        <w:rPr>
          <w:rFonts w:hint="eastAsia" w:ascii="仿宋_GB2312" w:hAnsi="宋体" w:eastAsia="仿宋_GB2312"/>
          <w:color w:val="auto"/>
          <w:sz w:val="24"/>
          <w:szCs w:val="24"/>
          <w:highlight w:val="none"/>
        </w:rPr>
        <w:t>0分，价格分</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0分。评分依下述所列为评标打分依据，分值如下（计算分值时，按其算术平均值保留小数2位）。</w:t>
      </w:r>
    </w:p>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2.1商务技术分（</w:t>
      </w:r>
      <w:r>
        <w:rPr>
          <w:rFonts w:hint="eastAsia" w:ascii="仿宋_GB2312" w:hAnsi="宋体" w:eastAsia="仿宋_GB2312"/>
          <w:b/>
          <w:color w:val="auto"/>
          <w:sz w:val="24"/>
          <w:szCs w:val="24"/>
          <w:highlight w:val="none"/>
          <w:lang w:val="en-US" w:eastAsia="zh-CN"/>
        </w:rPr>
        <w:t>6</w:t>
      </w:r>
      <w:r>
        <w:rPr>
          <w:rFonts w:hint="eastAsia" w:ascii="仿宋_GB2312" w:hAnsi="宋体" w:eastAsia="仿宋_GB2312"/>
          <w:b/>
          <w:color w:val="auto"/>
          <w:sz w:val="24"/>
          <w:szCs w:val="24"/>
          <w:highlight w:val="none"/>
        </w:rPr>
        <w:t>0分）</w:t>
      </w:r>
    </w:p>
    <w:tbl>
      <w:tblPr>
        <w:tblStyle w:val="6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
        <w:gridCol w:w="1176"/>
        <w:gridCol w:w="7033"/>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序号</w:t>
            </w:r>
          </w:p>
        </w:tc>
        <w:tc>
          <w:tcPr>
            <w:tcW w:w="11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line="400" w:lineRule="exact"/>
              <w:ind w:right="2"/>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评分项</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评审依据及标准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11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公司实力</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投标人具备质量管理体系认证证书ISO9001，得1分；</w:t>
            </w:r>
          </w:p>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投标人具备信息技术服务管理体系认证ISO/IEC 20000-1，得1分；</w:t>
            </w:r>
          </w:p>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投标人具备环境管理体系认证ISO/IEC 14001，得1分；</w:t>
            </w:r>
          </w:p>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投标人具备业务连续性管理体系认证证书ISO22301，得1分；</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注：以上证书均须提供相关证书证明材料原件复印件并加盖投标人公章，否则不得分。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11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业绩案例</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投标人具有自2021年1月1日以来（以合同或协议签订时间为准）同类项目的相关业绩，每有一个业绩得</w:t>
            </w:r>
            <w:r>
              <w:rPr>
                <w:rFonts w:hint="eastAsia" w:ascii="仿宋" w:hAnsi="仿宋" w:eastAsia="仿宋" w:cs="仿宋"/>
                <w:color w:val="auto"/>
                <w:kern w:val="0"/>
                <w:sz w:val="24"/>
                <w:szCs w:val="24"/>
                <w:highlight w:val="none"/>
                <w:lang w:val="en-US" w:eastAsia="zh-CN" w:bidi="ar"/>
              </w:rPr>
              <w:t>2</w:t>
            </w:r>
            <w:r>
              <w:rPr>
                <w:rFonts w:hint="eastAsia" w:ascii="仿宋" w:hAnsi="仿宋" w:eastAsia="仿宋" w:cs="仿宋"/>
                <w:color w:val="auto"/>
                <w:kern w:val="0"/>
                <w:sz w:val="24"/>
                <w:szCs w:val="24"/>
                <w:highlight w:val="none"/>
                <w:lang w:bidi="ar"/>
              </w:rPr>
              <w:t>分，满分</w:t>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分，不提供不得分。（提供完整的合同复印件加盖投标人公章）</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11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投标设备技术参数与功能配置</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满足招标文件要求的得</w:t>
            </w:r>
            <w:r>
              <w:rPr>
                <w:rFonts w:hint="eastAsia" w:ascii="仿宋" w:hAnsi="仿宋" w:eastAsia="仿宋" w:cs="仿宋"/>
                <w:color w:val="auto"/>
                <w:kern w:val="0"/>
                <w:sz w:val="24"/>
                <w:szCs w:val="24"/>
                <w:highlight w:val="none"/>
                <w:lang w:val="en-US" w:eastAsia="zh-CN" w:bidi="ar"/>
              </w:rPr>
              <w:t>24</w:t>
            </w:r>
            <w:r>
              <w:rPr>
                <w:rFonts w:hint="eastAsia" w:ascii="仿宋" w:hAnsi="仿宋" w:eastAsia="仿宋" w:cs="仿宋"/>
                <w:color w:val="auto"/>
                <w:kern w:val="0"/>
                <w:sz w:val="24"/>
                <w:szCs w:val="24"/>
                <w:highlight w:val="none"/>
                <w:lang w:bidi="ar"/>
              </w:rPr>
              <w:t>分，其中含“★”为实质性指标要求条款，如有负偏离，则作无效投标处理；含“▲”主要性能指标要求条款，如有负偏离，每项扣3分，其他项负偏离每项扣1分。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457"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117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网络传输能力</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投标人具有网络建设能力的（以提供基础电信业务经营许可证复印件并加盖投标人公章为准），得2分；投标人无网络建设能力的，但能提供与网络建设商的意向协议的（同时提供该意向网络建设商的基础电信业务经营许可证复印件并加盖投标人公章），得1分，否则不得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5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p>
        </w:tc>
        <w:tc>
          <w:tcPr>
            <w:tcW w:w="117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根据投标人对本项目配套网络提供深化的网络方案和拓扑架构。根据方案内容的符合性、合理性、可行性情况进行综合比较打分，好的得3分；一般的得2分；差的得1分；未提供相关内容的不得分。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11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技术能力</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1.拟派项目负责人具有项目经理认证、通信专业技术人员中级及以上的，每有一个得1分，满分2分，没有不得分。</w:t>
            </w:r>
          </w:p>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2.拟派项目技术负责人具有信息系统项目管理师（高级）、通信专业技术人员中级及以上（传输与接入），每有一个得1分，满分2分，没有不得分。</w:t>
            </w:r>
          </w:p>
          <w:p>
            <w:pPr>
              <w:widowControl/>
              <w:spacing w:beforeLines="0" w:afterLines="0" w:line="400" w:lineRule="exact"/>
              <w:jc w:val="left"/>
              <w:textAlignment w:val="center"/>
              <w:rPr>
                <w:rFonts w:hint="eastAsia"/>
                <w:color w:val="auto"/>
                <w:highlight w:val="none"/>
                <w:lang w:eastAsia="zh-CN"/>
              </w:rPr>
            </w:pPr>
            <w:r>
              <w:rPr>
                <w:rFonts w:hint="eastAsia" w:ascii="仿宋" w:hAnsi="仿宋" w:eastAsia="仿宋" w:cs="仿宋"/>
                <w:color w:val="auto"/>
                <w:kern w:val="0"/>
                <w:sz w:val="24"/>
                <w:szCs w:val="24"/>
                <w:highlight w:val="none"/>
                <w:lang w:bidi="ar"/>
              </w:rPr>
              <w:t>3.拟派项目售后团队成员（不含项目负责人、技术负责人）：具有系统集成项目管理工程师（软考中级及以上），每提供一本证书得0.5分，满分2分；具有注册信息安全工程师，每提供一本证书得0.5分，满分1分。项目团队成员中，同一人具有不同证书不重复计分。</w:t>
            </w:r>
          </w:p>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（以上人员提供相关证书复议件及本单位社保缴纳复印件均加盖投标人公章）</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57" w:type="dxa"/>
            <w:tcBorders>
              <w:top w:val="single" w:color="000000" w:sz="4" w:space="0"/>
              <w:left w:val="single" w:color="000000" w:sz="4" w:space="0"/>
              <w:bottom w:val="nil"/>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1176" w:type="dxa"/>
            <w:tcBorders>
              <w:top w:val="single" w:color="000000" w:sz="4" w:space="0"/>
              <w:left w:val="single" w:color="000000" w:sz="4" w:space="0"/>
              <w:bottom w:val="nil"/>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施工方案</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根据投标人整体实施方案，包括但不限于项目总体进度安排、以及实施过程中的重点难点分析、关键节点和线路的保证措施、施工质量控制、验收方案等方面进行打分，</w:t>
            </w:r>
            <w:r>
              <w:rPr>
                <w:rFonts w:hint="eastAsia" w:ascii="仿宋" w:hAnsi="仿宋" w:eastAsia="仿宋" w:cs="仿宋"/>
                <w:color w:val="auto"/>
                <w:kern w:val="0"/>
                <w:sz w:val="24"/>
                <w:szCs w:val="24"/>
                <w:highlight w:val="none"/>
                <w:lang w:bidi="ar"/>
              </w:rPr>
              <w:t>优于项目需求得</w:t>
            </w:r>
            <w:r>
              <w:rPr>
                <w:rFonts w:hint="eastAsia" w:ascii="仿宋" w:hAnsi="仿宋" w:eastAsia="仿宋" w:cs="仿宋"/>
                <w:color w:val="auto"/>
                <w:kern w:val="0"/>
                <w:sz w:val="24"/>
                <w:szCs w:val="24"/>
                <w:highlight w:val="none"/>
                <w:lang w:val="en-US" w:eastAsia="zh-CN" w:bidi="ar"/>
              </w:rPr>
              <w:t>6</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.1分，满足项目需求得</w:t>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kern w:val="0"/>
                <w:sz w:val="24"/>
                <w:szCs w:val="24"/>
                <w:highlight w:val="none"/>
                <w:lang w:val="en-US" w:eastAsia="zh-CN" w:bidi="ar"/>
              </w:rPr>
              <w:t>2</w:t>
            </w:r>
            <w:r>
              <w:rPr>
                <w:rFonts w:hint="eastAsia" w:ascii="仿宋" w:hAnsi="仿宋" w:eastAsia="仿宋" w:cs="仿宋"/>
                <w:color w:val="auto"/>
                <w:kern w:val="0"/>
                <w:sz w:val="24"/>
                <w:szCs w:val="24"/>
                <w:highlight w:val="none"/>
                <w:lang w:bidi="ar"/>
              </w:rPr>
              <w:t>.1分，部分满足项目需求得</w:t>
            </w:r>
            <w:r>
              <w:rPr>
                <w:rFonts w:hint="eastAsia" w:ascii="仿宋" w:hAnsi="仿宋" w:eastAsia="仿宋" w:cs="仿宋"/>
                <w:color w:val="auto"/>
                <w:kern w:val="0"/>
                <w:sz w:val="24"/>
                <w:szCs w:val="24"/>
                <w:highlight w:val="none"/>
                <w:lang w:val="en-US" w:eastAsia="zh-CN" w:bidi="ar"/>
              </w:rPr>
              <w:t>2</w:t>
            </w:r>
            <w:r>
              <w:rPr>
                <w:rFonts w:hint="eastAsia" w:ascii="仿宋" w:hAnsi="仿宋" w:eastAsia="仿宋" w:cs="仿宋"/>
                <w:color w:val="auto"/>
                <w:kern w:val="0"/>
                <w:sz w:val="24"/>
                <w:szCs w:val="24"/>
                <w:highlight w:val="none"/>
                <w:lang w:bidi="ar"/>
              </w:rPr>
              <w:t>-0.1分，不满足或未提供不得分。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117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培训方案</w:t>
            </w:r>
          </w:p>
        </w:tc>
        <w:tc>
          <w:tcPr>
            <w:tcW w:w="70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根据投标人所提供的技术培训方案进行打分，优于项目需求得5-3.1分，满足项目需求得3-1.1分，部分满足项目需求得1-0.1分，不满足或未提供不得分。</w:t>
            </w:r>
          </w:p>
        </w:tc>
        <w:tc>
          <w:tcPr>
            <w:tcW w:w="61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4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1176" w:type="dxa"/>
            <w:tcBorders>
              <w:top w:val="nil"/>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售后服务</w:t>
            </w:r>
          </w:p>
        </w:tc>
        <w:tc>
          <w:tcPr>
            <w:tcW w:w="7035" w:type="dxa"/>
            <w:tcBorders>
              <w:top w:val="nil"/>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pacing w:beforeLines="0" w:afterLines="0" w:line="400" w:lineRule="exact"/>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售后整体服务方案评价，包括售后人员资质、响应速度等方面打分，优于项目需求得5-3.1分，满足项目需求得3-1.1分，部分满足项目需求得1-0.1分，不满足或未提供不得分。（须提供联系人员、联系电话等清单加盖投标人公章。）</w:t>
            </w:r>
          </w:p>
        </w:tc>
        <w:tc>
          <w:tcPr>
            <w:tcW w:w="614" w:type="dxa"/>
            <w:tcBorders>
              <w:top w:val="nil"/>
              <w:left w:val="single" w:color="000000" w:sz="4" w:space="0"/>
              <w:bottom w:val="single" w:color="000000" w:sz="4" w:space="0"/>
              <w:right w:val="single" w:color="000000" w:sz="4" w:space="0"/>
              <w:tl2br w:val="nil"/>
              <w:tr2bl w:val="nil"/>
            </w:tcBorders>
            <w:noWrap/>
            <w:vAlign w:val="center"/>
          </w:tcPr>
          <w:p>
            <w:pPr>
              <w:widowControl/>
              <w:kinsoku/>
              <w:overflowPunct/>
              <w:topLinePunct w:val="0"/>
              <w:bidi w:val="0"/>
              <w:spacing w:beforeLines="0" w:afterLines="0" w:line="400" w:lineRule="exact"/>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
              </w:rPr>
              <w:t>5</w:t>
            </w:r>
          </w:p>
        </w:tc>
      </w:tr>
    </w:tbl>
    <w:p>
      <w:pPr>
        <w:kinsoku/>
        <w:overflowPunct/>
        <w:topLinePunct w:val="0"/>
        <w:bidi w:val="0"/>
        <w:snapToGrid w:val="0"/>
        <w:spacing w:beforeLines="0" w:afterLines="0" w:line="400" w:lineRule="exact"/>
        <w:rPr>
          <w:rFonts w:hint="eastAsia" w:ascii="仿宋_GB2312" w:hAnsi="仿宋" w:eastAsia="仿宋_GB2312" w:cs="仿宋"/>
          <w:color w:val="auto"/>
          <w:sz w:val="24"/>
          <w:szCs w:val="24"/>
          <w:highlight w:val="none"/>
        </w:rPr>
      </w:pPr>
      <w:r>
        <w:rPr>
          <w:rFonts w:hint="eastAsia" w:ascii="仿宋_GB2312" w:hAnsi="仿宋" w:eastAsia="仿宋_GB2312" w:cs="仿宋"/>
          <w:b/>
          <w:color w:val="auto"/>
          <w:sz w:val="24"/>
          <w:szCs w:val="24"/>
          <w:highlight w:val="none"/>
        </w:rPr>
        <w:t>备注：</w:t>
      </w:r>
      <w:r>
        <w:rPr>
          <w:rFonts w:hint="eastAsia" w:ascii="仿宋_GB2312" w:hAnsi="仿宋" w:eastAsia="仿宋_GB2312" w:cs="仿宋"/>
          <w:color w:val="auto"/>
          <w:sz w:val="24"/>
          <w:szCs w:val="24"/>
          <w:highlight w:val="none"/>
        </w:rPr>
        <w:t>投标人编制投标文件（商务技术文件部分）时，建议按此目录（序号和内容）提供评标标准相应的商务技术资料。 </w:t>
      </w:r>
    </w:p>
    <w:p>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2.2价格分（</w:t>
      </w:r>
      <w:r>
        <w:rPr>
          <w:rFonts w:hint="eastAsia" w:ascii="仿宋_GB2312" w:hAnsi="宋体" w:eastAsia="仿宋_GB2312"/>
          <w:b/>
          <w:color w:val="auto"/>
          <w:sz w:val="24"/>
          <w:szCs w:val="24"/>
          <w:highlight w:val="none"/>
          <w:lang w:val="en-US" w:eastAsia="zh-CN"/>
        </w:rPr>
        <w:t>4</w:t>
      </w:r>
      <w:r>
        <w:rPr>
          <w:rFonts w:hint="eastAsia" w:ascii="仿宋_GB2312" w:hAnsi="宋体" w:eastAsia="仿宋_GB2312"/>
          <w:b/>
          <w:color w:val="auto"/>
          <w:sz w:val="24"/>
          <w:szCs w:val="24"/>
          <w:highlight w:val="none"/>
        </w:rPr>
        <w:t>0分）</w:t>
      </w:r>
    </w:p>
    <w:p>
      <w:pPr>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2.2.1评标基准价：即满足招标文件要求且投标价格最低的投标报价为评标基准价，其价格分为满分。</w:t>
      </w:r>
    </w:p>
    <w:p>
      <w:pPr>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beforeLines="0" w:afterLines="0" w:line="400" w:lineRule="exact"/>
        <w:rPr>
          <w:rFonts w:hint="eastAsia"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即：投标报价得分=(评标基准价／投标报价)×</w:t>
      </w:r>
      <w:r>
        <w:rPr>
          <w:rFonts w:hint="eastAsia" w:ascii="仿宋_GB2312" w:hAnsi="宋体" w:eastAsia="仿宋_GB2312"/>
          <w:color w:val="auto"/>
          <w:sz w:val="24"/>
          <w:szCs w:val="24"/>
          <w:highlight w:val="none"/>
          <w:lang w:val="en-US" w:eastAsia="zh-CN"/>
        </w:rPr>
        <w:t>4</w:t>
      </w:r>
      <w:r>
        <w:rPr>
          <w:rFonts w:hint="eastAsia" w:ascii="仿宋_GB2312" w:hAnsi="宋体" w:eastAsia="仿宋_GB2312"/>
          <w:color w:val="auto"/>
          <w:sz w:val="24"/>
          <w:szCs w:val="24"/>
          <w:highlight w:val="none"/>
        </w:rPr>
        <w:t>0</w:t>
      </w: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pStyle w:val="2"/>
        <w:kinsoku/>
        <w:overflowPunct/>
        <w:topLinePunct w:val="0"/>
        <w:bidi w:val="0"/>
        <w:spacing w:line="400" w:lineRule="exact"/>
        <w:rPr>
          <w:rFonts w:hint="eastAsia" w:ascii="仿宋" w:hAnsi="仿宋" w:eastAsia="仿宋" w:cs="仿宋"/>
          <w:b/>
          <w:color w:val="auto"/>
          <w:sz w:val="36"/>
          <w:szCs w:val="20"/>
          <w:highlight w:val="none"/>
        </w:rPr>
      </w:pPr>
    </w:p>
    <w:p>
      <w:pPr>
        <w:pStyle w:val="3"/>
        <w:kinsoku/>
        <w:overflowPunct/>
        <w:topLinePunct w:val="0"/>
        <w:bidi w:val="0"/>
        <w:spacing w:line="400" w:lineRule="exact"/>
        <w:rPr>
          <w:rFonts w:hint="eastAsia" w:ascii="仿宋" w:hAnsi="仿宋" w:eastAsia="仿宋" w:cs="仿宋"/>
          <w:b/>
          <w:color w:val="auto"/>
          <w:sz w:val="36"/>
          <w:szCs w:val="20"/>
          <w:highlight w:val="none"/>
        </w:rPr>
      </w:pPr>
    </w:p>
    <w:p>
      <w:pPr>
        <w:kinsoku/>
        <w:overflowPunct/>
        <w:topLinePunct w:val="0"/>
        <w:bidi w:val="0"/>
        <w:spacing w:line="400" w:lineRule="exact"/>
        <w:rPr>
          <w:rFonts w:hint="eastAsia" w:ascii="仿宋" w:hAnsi="仿宋" w:eastAsia="仿宋" w:cs="仿宋"/>
          <w:b/>
          <w:color w:val="auto"/>
          <w:sz w:val="36"/>
          <w:szCs w:val="20"/>
          <w:highlight w:val="none"/>
        </w:rPr>
      </w:pPr>
    </w:p>
    <w:p>
      <w:pPr>
        <w:pStyle w:val="2"/>
        <w:kinsoku/>
        <w:overflowPunct/>
        <w:topLinePunct w:val="0"/>
        <w:bidi w:val="0"/>
        <w:spacing w:line="400" w:lineRule="exact"/>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both"/>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pStyle w:val="2"/>
        <w:rPr>
          <w:rFonts w:hint="eastAsia"/>
        </w:rPr>
      </w:pPr>
      <w:bookmarkStart w:id="169" w:name="_GoBack"/>
      <w:bookmarkEnd w:id="169"/>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（项目名称）【招标编号：（采购编号）】</w:t>
      </w:r>
      <w:r>
        <w:rPr>
          <w:rFonts w:hint="eastAsia" w:ascii="仿宋" w:hAnsi="仿宋" w:eastAsia="仿宋" w:cs="仿宋"/>
          <w:color w:val="auto"/>
          <w:sz w:val="24"/>
          <w:highlight w:val="none"/>
        </w:rPr>
        <w:t>政府采购活动，郑重承诺：</w:t>
      </w:r>
    </w:p>
    <w:p>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overflowPunct/>
        <w:topLinePunct w:val="0"/>
        <w:bidi w:val="0"/>
        <w:spacing w:line="400" w:lineRule="exact"/>
        <w:jc w:val="center"/>
        <w:outlineLvl w:val="0"/>
        <w:rPr>
          <w:rFonts w:ascii="仿宋" w:hAnsi="仿宋" w:eastAsia="仿宋" w:cs="仿宋"/>
          <w:b/>
          <w:color w:val="auto"/>
          <w:kern w:val="0"/>
          <w:sz w:val="24"/>
          <w:highlight w:val="none"/>
        </w:rPr>
      </w:pPr>
    </w:p>
    <w:p>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投标函…………………………………………………………………………（页码）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法定代表人授权书 ………………………………………………………… （页码）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授权代表社保证明（复印件）……………………………………………… （页码）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法定代表人及其授权代表身份证复印件（复印件）…………………………（页码）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法定代表人身份证明书……………………………………………………… （页码）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商务技术偏离表……………………………………………………………… （页码）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政府采购供应商廉洁自律承诺书</w:t>
      </w:r>
      <w:r>
        <w:rPr>
          <w:rFonts w:hint="eastAsia" w:ascii="仿宋" w:eastAsia="仿宋" w:cs="仿宋"/>
          <w:color w:val="auto"/>
          <w:highlight w:val="none"/>
          <w:lang w:eastAsia="zh-CN"/>
        </w:rPr>
        <w:t>…………………………………………… （页码）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主要业绩证明…………………………………………………</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技术解决方案……………………………………………………………………（页码）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组织实施方案…………………………………………………………………（页码）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售后服务方案…………………………………………………………………（页码）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供应商售后服务证明材料……………………………………………………（页码）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eastAsia="zh-CN"/>
        </w:rPr>
        <w:t>项目小组人员名单……………………………………………………………（页码）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优惠条件及特殊承诺……………………………………</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备品备件及供选择的配套零部件清单………………………</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培训计划………………………………………………………</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验收方案…………………………………………………………</w:t>
      </w:r>
      <w:r>
        <w:rPr>
          <w:rFonts w:hint="eastAsia" w:ascii="仿宋" w:eastAsia="仿宋" w:cs="仿宋"/>
          <w:color w:val="auto"/>
          <w:highlight w:val="none"/>
          <w:lang w:eastAsia="zh-CN"/>
        </w:rPr>
        <w:t>…………（页码）</w:t>
      </w:r>
    </w:p>
    <w:p>
      <w:pPr>
        <w:pStyle w:val="904"/>
        <w:numPr>
          <w:ilvl w:val="0"/>
          <w:numId w:val="7"/>
        </w:numPr>
        <w:kinsoku/>
        <w:overflowPunct/>
        <w:topLinePunct w:val="0"/>
        <w:bidi w:val="0"/>
        <w:spacing w:line="400" w:lineRule="exact"/>
        <w:ind w:left="0" w:firstLine="0" w:firstLineChars="0"/>
        <w:jc w:val="both"/>
        <w:rPr>
          <w:rFonts w:hint="eastAsia" w:ascii="仿宋" w:eastAsia="仿宋" w:cs="仿宋"/>
          <w:color w:val="auto"/>
          <w:highlight w:val="none"/>
          <w:lang w:eastAsia="zh-CN"/>
        </w:rPr>
      </w:pPr>
      <w:r>
        <w:rPr>
          <w:rFonts w:hint="eastAsia" w:ascii="仿宋" w:eastAsia="仿宋" w:cs="仿宋"/>
          <w:color w:val="auto"/>
          <w:highlight w:val="none"/>
          <w:lang w:val="zh-CN" w:eastAsia="zh-CN"/>
        </w:rPr>
        <w:t>认为需要的其他商务技术（资信）文件或说明…………</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w:t>
      </w:r>
      <w:r>
        <w:rPr>
          <w:rFonts w:hint="eastAsia" w:ascii="仿宋" w:eastAsia="仿宋" w:cs="仿宋"/>
          <w:color w:val="auto"/>
          <w:highlight w:val="none"/>
          <w:lang w:val="zh-CN" w:eastAsia="zh-CN"/>
        </w:rPr>
        <w:t>…</w:t>
      </w:r>
      <w:r>
        <w:rPr>
          <w:rFonts w:hint="eastAsia" w:ascii="仿宋" w:eastAsia="仿宋" w:cs="仿宋"/>
          <w:color w:val="auto"/>
          <w:highlight w:val="none"/>
          <w:lang w:eastAsia="zh-CN"/>
        </w:rPr>
        <w:t>（页码）</w:t>
      </w: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eepNext w:val="0"/>
        <w:keepLines w:val="0"/>
        <w:pageBreakBefore w:val="0"/>
        <w:kinsoku/>
        <w:wordWrap/>
        <w:overflowPunct/>
        <w:topLinePunct w:val="0"/>
        <w:autoSpaceDE/>
        <w:autoSpaceDN/>
        <w:bidi w:val="0"/>
        <w:snapToGrid w:val="0"/>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hint="eastAsia" w:ascii="仿宋" w:hAnsi="仿宋" w:eastAsia="仿宋" w:cs="仿宋"/>
          <w:color w:val="auto"/>
          <w:sz w:val="24"/>
          <w:highlight w:val="none"/>
        </w:rPr>
      </w:pPr>
    </w:p>
    <w:p>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hint="eastAsia" w:ascii="仿宋" w:hAnsi="仿宋" w:eastAsia="仿宋" w:cs="仿宋"/>
          <w:color w:val="auto"/>
          <w:sz w:val="24"/>
          <w:highlight w:val="none"/>
        </w:rPr>
      </w:pPr>
    </w:p>
    <w:p>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pPr>
        <w:kinsoku/>
        <w:overflowPunct/>
        <w:topLinePunct w:val="0"/>
        <w:bidi w:val="0"/>
        <w:spacing w:line="400" w:lineRule="exact"/>
        <w:rPr>
          <w:rFonts w:hint="eastAsia" w:ascii="仿宋" w:hAnsi="仿宋" w:eastAsia="仿宋" w:cs="仿宋"/>
          <w:b/>
          <w:color w:val="auto"/>
          <w:sz w:val="24"/>
          <w:highlight w:val="none"/>
        </w:rPr>
      </w:pPr>
    </w:p>
    <w:p>
      <w:pPr>
        <w:pageBreakBefore/>
        <w:kinsoku/>
        <w:overflowPunct/>
        <w:topLinePunct w:val="0"/>
        <w:bidi w:val="0"/>
        <w:spacing w:beforeLines="0" w:afterLines="0" w:line="400" w:lineRule="exact"/>
        <w:jc w:val="center"/>
        <w:rPr>
          <w:rFonts w:hint="eastAsia"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三、授权代表社保证明（复印件）</w:t>
      </w:r>
    </w:p>
    <w:p>
      <w:pPr>
        <w:kinsoku/>
        <w:overflowPunct/>
        <w:topLinePunct w:val="0"/>
        <w:bidi w:val="0"/>
        <w:spacing w:beforeLines="0" w:afterLines="0" w:line="400" w:lineRule="exact"/>
        <w:ind w:firstLine="480" w:firstLineChars="200"/>
        <w:rPr>
          <w:rFonts w:hint="eastAsia" w:ascii="仿宋" w:hAnsi="仿宋" w:eastAsia="仿宋" w:cs="仿宋"/>
          <w:b/>
          <w:color w:val="auto"/>
          <w:sz w:val="30"/>
          <w:szCs w:val="30"/>
          <w:highlight w:val="none"/>
        </w:rPr>
      </w:pPr>
      <w:r>
        <w:rPr>
          <w:rFonts w:hint="eastAsia" w:ascii="仿宋_GB2312" w:hAnsi="宋体" w:eastAsia="仿宋_GB2312"/>
          <w:color w:val="auto"/>
          <w:sz w:val="24"/>
          <w:szCs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insoku/>
        <w:overflowPunct/>
        <w:topLinePunct w:val="0"/>
        <w:bidi w:val="0"/>
        <w:spacing w:beforeLines="0" w:afterLines="0" w:line="400" w:lineRule="exact"/>
        <w:rPr>
          <w:rFonts w:hint="eastAsia" w:ascii="仿宋" w:hAnsi="仿宋" w:eastAsia="仿宋" w:cs="仿宋"/>
          <w:b/>
          <w:color w:val="auto"/>
          <w:sz w:val="30"/>
          <w:szCs w:val="30"/>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overflowPunct/>
        <w:topLinePunct w:val="0"/>
        <w:bidi w:val="0"/>
        <w:spacing w:line="400" w:lineRule="exact"/>
        <w:ind w:right="480"/>
        <w:rPr>
          <w:rFonts w:hint="eastAsia" w:ascii="仿宋" w:hAnsi="仿宋" w:eastAsia="仿宋" w:cs="仿宋"/>
          <w:color w:val="auto"/>
          <w:sz w:val="24"/>
          <w:highlight w:val="none"/>
        </w:rPr>
      </w:pPr>
    </w:p>
    <w:p>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both"/>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both"/>
        <w:rPr>
          <w:rFonts w:hint="eastAsia" w:ascii="仿宋" w:hAnsi="仿宋" w:eastAsia="仿宋" w:cs="仿宋"/>
          <w:b/>
          <w:color w:val="auto"/>
          <w:kern w:val="0"/>
          <w:sz w:val="32"/>
          <w:szCs w:val="32"/>
          <w:highlight w:val="none"/>
          <w:lang w:val="en-US" w:eastAsia="zh-CN"/>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overflowPunct/>
        <w:topLinePunct w:val="0"/>
        <w:bidi w:val="0"/>
        <w:snapToGrid w:val="0"/>
        <w:spacing w:line="400" w:lineRule="exact"/>
        <w:rPr>
          <w:rFonts w:hint="eastAsia" w:ascii="仿宋" w:hAnsi="仿宋" w:eastAsia="仿宋" w:cs="仿宋"/>
          <w:color w:val="auto"/>
          <w:sz w:val="24"/>
          <w:highlight w:val="none"/>
        </w:rPr>
      </w:pP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kinsoku/>
        <w:overflowPunct/>
        <w:topLinePunct w:val="0"/>
        <w:bidi w:val="0"/>
        <w:spacing w:line="400" w:lineRule="exact"/>
        <w:ind w:firstLine="0"/>
        <w:jc w:val="both"/>
        <w:rPr>
          <w:rFonts w:hAnsi="仿宋_GB2312" w:cs="仿宋_GB2312"/>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0"/>
          <w:szCs w:val="30"/>
          <w:highlight w:val="none"/>
          <w:lang w:eastAsia="zh-CN"/>
        </w:rPr>
      </w:pPr>
    </w:p>
    <w:p>
      <w:pPr>
        <w:pStyle w:val="79"/>
        <w:kinsoku/>
        <w:overflowPunct/>
        <w:topLinePunct w:val="0"/>
        <w:bidi w:val="0"/>
        <w:spacing w:line="400" w:lineRule="exact"/>
        <w:rPr>
          <w:rFonts w:hint="eastAsia"/>
          <w:color w:val="auto"/>
          <w:highlight w:val="none"/>
          <w:lang w:eastAsia="zh-CN"/>
        </w:rPr>
      </w:pPr>
    </w:p>
    <w:p>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pStyle w:val="79"/>
        <w:kinsoku/>
        <w:overflowPunct/>
        <w:topLinePunct w:val="0"/>
        <w:bidi w:val="0"/>
        <w:spacing w:line="400" w:lineRule="exact"/>
        <w:rPr>
          <w:rFonts w:hint="eastAsia"/>
          <w:color w:val="auto"/>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kinsoku/>
        <w:overflowPunct/>
        <w:topLinePunct w:val="0"/>
        <w:bidi w:val="0"/>
        <w:spacing w:line="400" w:lineRule="exact"/>
        <w:rPr>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rPr>
          <w:rFonts w:ascii="仿宋_GB2312" w:hAnsi="仿宋_GB2312" w:eastAsia="仿宋_GB2312" w:cs="仿宋_GB2312"/>
          <w:color w:val="auto"/>
          <w:sz w:val="18"/>
          <w:szCs w:val="18"/>
          <w:highlight w:val="none"/>
        </w:rPr>
      </w:pPr>
    </w:p>
    <w:p>
      <w:pPr>
        <w:pStyle w:val="79"/>
        <w:kinsoku/>
        <w:overflowPunct/>
        <w:topLinePunct w:val="0"/>
        <w:bidi w:val="0"/>
        <w:spacing w:line="400" w:lineRule="exact"/>
        <w:rPr>
          <w:color w:val="auto"/>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18"/>
          <w:szCs w:val="18"/>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overflowPunct/>
        <w:topLinePunct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overflowPunct/>
        <w:topLinePunct w:val="0"/>
        <w:bidi w:val="0"/>
        <w:spacing w:line="400" w:lineRule="exact"/>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pPr>
        <w:kinsoku/>
        <w:overflowPunct/>
        <w:topLinePunct w:val="0"/>
        <w:bidi w:val="0"/>
        <w:snapToGrid w:val="0"/>
        <w:spacing w:line="400" w:lineRule="exact"/>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overflowPunct/>
        <w:topLinePunct w:val="0"/>
        <w:bidi w:val="0"/>
        <w:snapToGrid w:val="0"/>
        <w:spacing w:line="400" w:lineRule="exact"/>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
        <w:numPr>
          <w:ilvl w:val="0"/>
          <w:numId w:val="0"/>
        </w:numPr>
        <w:kinsoku/>
        <w:overflowPunct/>
        <w:topLinePunct w:val="0"/>
        <w:bidi w:val="0"/>
        <w:snapToGrid w:val="0"/>
        <w:spacing w:line="400" w:lineRule="exact"/>
        <w:outlineLvl w:val="0"/>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1"/>
        <w:keepNext w:val="0"/>
        <w:pageBreakBefore w:val="0"/>
        <w:tabs>
          <w:tab w:val="clear" w:pos="720"/>
        </w:tabs>
        <w:kinsoku/>
        <w:overflowPunct/>
        <w:topLinePunct w:val="0"/>
        <w:bidi w:val="0"/>
        <w:snapToGrid w:val="0"/>
        <w:spacing w:before="120" w:after="120" w:line="400" w:lineRule="exact"/>
        <w:ind w:firstLine="643"/>
        <w:outlineLvl w:val="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kinsoku/>
        <w:overflowPunct/>
        <w:topLinePunct w:val="0"/>
        <w:bidi w:val="0"/>
        <w:spacing w:line="400" w:lineRule="exact"/>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kinsoku/>
              <w:overflowPunct/>
              <w:topLinePunct w:val="0"/>
              <w:bidi w:val="0"/>
              <w:spacing w:line="400" w:lineRule="exact"/>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992"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410"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268" w:type="dxa"/>
            <w:vAlign w:val="center"/>
          </w:tcPr>
          <w:p>
            <w:pPr>
              <w:kinsoku/>
              <w:overflowPunct/>
              <w:topLinePunct w:val="0"/>
              <w:bidi w:val="0"/>
              <w:snapToGrid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7" w:type="dxa"/>
          </w:tcPr>
          <w:p>
            <w:pPr>
              <w:kinsoku/>
              <w:overflowPunct/>
              <w:topLinePunct w:val="0"/>
              <w:bidi w:val="0"/>
              <w:spacing w:line="400" w:lineRule="exact"/>
              <w:jc w:val="center"/>
              <w:rPr>
                <w:rFonts w:hint="eastAsia" w:ascii="仿宋" w:hAnsi="仿宋" w:eastAsia="仿宋" w:cs="仿宋"/>
                <w:color w:val="auto"/>
                <w:sz w:val="24"/>
                <w:highlight w:val="none"/>
              </w:rPr>
            </w:pPr>
          </w:p>
        </w:tc>
        <w:tc>
          <w:tcPr>
            <w:tcW w:w="2126" w:type="dxa"/>
            <w:vAlign w:val="center"/>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kinsoku/>
              <w:overflowPunct/>
              <w:topLinePunct w:val="0"/>
              <w:bidi w:val="0"/>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kinsoku/>
              <w:overflowPunct/>
              <w:topLinePunct w:val="0"/>
              <w:bidi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kinsoku/>
              <w:overflowPunct/>
              <w:topLinePunct w:val="0"/>
              <w:bidi w:val="0"/>
              <w:spacing w:line="400" w:lineRule="exact"/>
              <w:jc w:val="center"/>
              <w:rPr>
                <w:rFonts w:hint="eastAsia" w:ascii="仿宋" w:hAnsi="仿宋" w:eastAsia="仿宋" w:cs="仿宋"/>
                <w:color w:val="auto"/>
                <w:sz w:val="24"/>
                <w:highlight w:val="none"/>
              </w:rPr>
            </w:pPr>
          </w:p>
        </w:tc>
      </w:tr>
    </w:tbl>
    <w:p>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1"/>
        <w:keepNext w:val="0"/>
        <w:pageBreakBefore w:val="0"/>
        <w:tabs>
          <w:tab w:val="clear" w:pos="720"/>
        </w:tabs>
        <w:kinsoku/>
        <w:overflowPunct/>
        <w:topLinePunct w:val="0"/>
        <w:bidi w:val="0"/>
        <w:snapToGrid w:val="0"/>
        <w:spacing w:before="120" w:after="120" w:line="400" w:lineRule="exact"/>
        <w:ind w:firstLine="643"/>
        <w:outlineLvl w:val="0"/>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kinsoku/>
        <w:overflowPunct/>
        <w:topLinePunct w:val="0"/>
        <w:bidi w:val="0"/>
        <w:spacing w:line="400" w:lineRule="exact"/>
        <w:rPr>
          <w:rFonts w:hint="eastAsia" w:ascii="仿宋" w:hAnsi="仿宋" w:eastAsia="仿宋" w:cs="仿宋"/>
          <w:b/>
          <w:color w:val="auto"/>
          <w:sz w:val="24"/>
          <w:highlight w:val="none"/>
        </w:rPr>
      </w:pPr>
    </w:p>
    <w:p>
      <w:pPr>
        <w:pStyle w:val="80"/>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Style w:val="79"/>
        <w:kinsoku/>
        <w:overflowPunct/>
        <w:topLinePunct w:val="0"/>
        <w:bidi w:val="0"/>
        <w:spacing w:line="400" w:lineRule="exact"/>
        <w:rPr>
          <w:rFonts w:hint="eastAsia" w:ascii="仿宋" w:hAnsi="仿宋" w:eastAsia="仿宋" w:cs="仿宋"/>
          <w:b/>
          <w:color w:val="auto"/>
          <w:sz w:val="24"/>
          <w:highlight w:val="none"/>
        </w:rPr>
      </w:pPr>
    </w:p>
    <w:p>
      <w:pPr>
        <w:pStyle w:val="80"/>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color w:val="auto"/>
          <w:highlight w:val="none"/>
          <w:lang w:eastAsia="zh-CN"/>
        </w:rPr>
      </w:pPr>
    </w:p>
    <w:p>
      <w:pPr>
        <w:widowControl/>
        <w:kinsoku/>
        <w:overflowPunct/>
        <w:topLinePunct w:val="0"/>
        <w:bidi w:val="0"/>
        <w:spacing w:line="400" w:lineRule="exact"/>
        <w:ind w:firstLine="161" w:firstLineChars="5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kinsoku/>
        <w:overflowPunct/>
        <w:topLinePunct w:val="0"/>
        <w:bidi w:val="0"/>
        <w:spacing w:line="400" w:lineRule="exact"/>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jc w:val="center"/>
        <w:rPr>
          <w:rFonts w:hint="eastAsia" w:ascii="仿宋" w:hAnsi="仿宋" w:eastAsia="仿宋" w:cs="仿宋"/>
          <w:b/>
          <w:bCs/>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pPr>
        <w:kinsoku/>
        <w:overflowPunct/>
        <w:topLinePunct w:val="0"/>
        <w:bidi w:val="0"/>
        <w:spacing w:line="400" w:lineRule="exact"/>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overflowPunct/>
        <w:topLinePunct w:val="0"/>
        <w:bidi w:val="0"/>
        <w:spacing w:line="400" w:lineRule="exact"/>
        <w:jc w:val="center"/>
        <w:rPr>
          <w:rFonts w:hint="eastAsia" w:ascii="仿宋" w:hAnsi="仿宋" w:eastAsia="仿宋" w:cs="仿宋"/>
          <w:b/>
          <w:color w:val="auto"/>
          <w:sz w:val="24"/>
          <w:highlight w:val="none"/>
        </w:rPr>
      </w:pPr>
    </w:p>
    <w:p>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overflowPunct/>
        <w:topLinePunct w:val="0"/>
        <w:bidi w:val="0"/>
        <w:spacing w:line="400" w:lineRule="exact"/>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firstLine="494"/>
        <w:rPr>
          <w:rFonts w:hint="eastAsia" w:ascii="仿宋" w:hAnsi="仿宋" w:eastAsia="仿宋" w:cs="仿宋"/>
          <w:color w:val="auto"/>
          <w:sz w:val="24"/>
          <w:highlight w:val="none"/>
        </w:rPr>
      </w:pPr>
    </w:p>
    <w:p>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eepNext w:val="0"/>
        <w:keepLines w:val="0"/>
        <w:pageBreakBefore w:val="0"/>
        <w:kinsoku/>
        <w:wordWrap/>
        <w:overflowPunct/>
        <w:topLinePunct w:val="0"/>
        <w:autoSpaceDE w:val="0"/>
        <w:autoSpaceDN w:val="0"/>
        <w:bidi w:val="0"/>
        <w:adjustRightInd w:val="0"/>
        <w:spacing w:line="400" w:lineRule="exact"/>
        <w:jc w:val="center"/>
        <w:textAlignment w:val="auto"/>
        <w:outlineLvl w:val="0"/>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0" w:name="_Hlk101131882"/>
      <w:r>
        <w:rPr>
          <w:rFonts w:hint="eastAsia" w:ascii="仿宋" w:hAnsi="仿宋" w:eastAsia="仿宋" w:cs="仿宋"/>
          <w:color w:val="auto"/>
          <w:kern w:val="0"/>
          <w:sz w:val="24"/>
          <w:highlight w:val="none"/>
          <w:u w:val="single"/>
        </w:rPr>
        <w:t>联合体成员X,……</w:t>
      </w:r>
      <w:bookmarkEnd w:id="16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1"/>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0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napToGrid w:val="0"/>
        <w:spacing w:line="400" w:lineRule="exact"/>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szCs w:val="24"/>
          <w:highlight w:val="none"/>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5"/>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lang w:val="zh-CN"/>
        </w:rPr>
        <w:t xml:space="preserve"> </w:t>
      </w: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00" w:lineRule="exact"/>
        <w:ind w:left="0" w:leftChars="0" w:right="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bidi w:val="0"/>
        <w:spacing w:line="400" w:lineRule="exact"/>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3" w:name="OLE_LINK14"/>
      <w:bookmarkStart w:id="164" w:name="OLE_LINK13"/>
      <w:r>
        <w:rPr>
          <w:rFonts w:hint="eastAsia" w:ascii="仿宋" w:hAnsi="仿宋" w:eastAsia="仿宋" w:cs="仿宋"/>
          <w:b/>
          <w:color w:val="auto"/>
          <w:spacing w:val="6"/>
          <w:sz w:val="32"/>
          <w:szCs w:val="32"/>
          <w:highlight w:val="none"/>
        </w:rPr>
        <w:t>残疾人福利性单位声明函</w:t>
      </w:r>
    </w:p>
    <w:bookmarkEnd w:id="163"/>
    <w:bookmarkEnd w:id="164"/>
    <w:p>
      <w:pPr>
        <w:kinsoku/>
        <w:overflowPunct/>
        <w:topLinePunct w:val="0"/>
        <w:bidi w:val="0"/>
        <w:spacing w:line="400" w:lineRule="exact"/>
        <w:rPr>
          <w:rFonts w:hint="eastAsia" w:ascii="仿宋" w:hAnsi="仿宋" w:eastAsia="仿宋" w:cs="仿宋"/>
          <w:b/>
          <w:color w:val="auto"/>
          <w:spacing w:val="6"/>
          <w:sz w:val="30"/>
          <w:szCs w:val="30"/>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w:t>
      </w:r>
      <w:r>
        <w:rPr>
          <w:rFonts w:hint="eastAsia" w:ascii="仿宋" w:hAnsi="仿宋" w:eastAsia="仿宋" w:cs="仿宋"/>
          <w:color w:val="auto"/>
          <w:sz w:val="24"/>
          <w:szCs w:val="24"/>
          <w:highlight w:val="none"/>
        </w:rPr>
        <w:t>_</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__</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kinsoku/>
        <w:overflowPunct/>
        <w:topLinePunct w:val="0"/>
        <w:bidi w:val="0"/>
        <w:spacing w:line="400" w:lineRule="exact"/>
        <w:ind w:firstLine="480" w:firstLineChars="200"/>
        <w:rPr>
          <w:rFonts w:hint="eastAsia" w:ascii="仿宋" w:hAnsi="仿宋" w:eastAsia="仿宋" w:cs="仿宋"/>
          <w:color w:val="auto"/>
          <w:sz w:val="24"/>
          <w:highlight w:val="none"/>
        </w:rPr>
      </w:pPr>
    </w:p>
    <w:p>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pPr>
        <w:pStyle w:val="2"/>
        <w:kinsoku/>
        <w:overflowPunct/>
        <w:topLinePunct w:val="0"/>
        <w:bidi w:val="0"/>
        <w:spacing w:line="400" w:lineRule="exact"/>
        <w:rPr>
          <w:rFonts w:hint="eastAsia" w:ascii="仿宋" w:hAnsi="仿宋" w:eastAsia="仿宋" w:cs="仿宋"/>
          <w:color w:val="auto"/>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pacing w:line="400" w:lineRule="exact"/>
        <w:rPr>
          <w:rFonts w:hint="eastAsia"/>
          <w:color w:val="auto"/>
          <w:highlight w:val="none"/>
        </w:rPr>
      </w:pPr>
    </w:p>
    <w:p>
      <w:pPr>
        <w:kinsoku/>
        <w:overflowPunct/>
        <w:topLinePunct w:val="0"/>
        <w:bidi w:val="0"/>
        <w:spacing w:line="400" w:lineRule="exact"/>
        <w:rPr>
          <w:rFonts w:hint="eastAsia"/>
          <w:color w:val="auto"/>
          <w:highlight w:val="none"/>
        </w:rPr>
      </w:pPr>
    </w:p>
    <w:p>
      <w:pPr>
        <w:kinsoku/>
        <w:overflowPunct/>
        <w:topLinePunct w:val="0"/>
        <w:bidi w:val="0"/>
        <w:spacing w:line="400" w:lineRule="exact"/>
        <w:rPr>
          <w:rFonts w:hint="eastAsia"/>
          <w:color w:val="auto"/>
          <w:highlight w:val="none"/>
        </w:rPr>
      </w:pPr>
    </w:p>
    <w:p>
      <w:pPr>
        <w:kinsoku/>
        <w:overflowPunct/>
        <w:topLinePunct w:val="0"/>
        <w:bidi w:val="0"/>
        <w:spacing w:line="400" w:lineRule="exact"/>
        <w:rPr>
          <w:rFonts w:hint="eastAsia"/>
          <w:color w:val="auto"/>
          <w:highlight w:val="none"/>
        </w:rPr>
      </w:pPr>
    </w:p>
    <w:p>
      <w:pPr>
        <w:kinsoku/>
        <w:overflowPunct/>
        <w:topLinePunct w:val="0"/>
        <w:bidi w:val="0"/>
        <w:spacing w:line="400" w:lineRule="exact"/>
        <w:rPr>
          <w:rFonts w:hint="eastAsia"/>
          <w:color w:val="auto"/>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pPr>
        <w:kinsoku/>
        <w:overflowPunct/>
        <w:topLinePunct w:val="0"/>
        <w:bidi w:val="0"/>
        <w:snapToGrid w:val="0"/>
        <w:spacing w:line="400" w:lineRule="exact"/>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kinsoku/>
        <w:overflowPunct/>
        <w:topLinePunct w:val="0"/>
        <w:bidi w:val="0"/>
        <w:spacing w:line="400" w:lineRule="exact"/>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ind w:firstLine="310" w:firstLineChars="147"/>
        <w:jc w:val="left"/>
        <w:rPr>
          <w:rFonts w:hint="eastAsia" w:ascii="仿宋" w:hAnsi="仿宋" w:eastAsia="仿宋" w:cs="仿宋"/>
          <w:color w:val="auto"/>
          <w:sz w:val="24"/>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overflowPunct/>
        <w:topLinePunct w:val="0"/>
        <w:bidi w:val="0"/>
        <w:spacing w:line="400" w:lineRule="exact"/>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kinsoku/>
        <w:overflowPunct/>
        <w:topLinePunct w:val="0"/>
        <w:bidi w:val="0"/>
        <w:spacing w:line="400" w:lineRule="exact"/>
        <w:rPr>
          <w:rFonts w:hint="eastAsia"/>
          <w:color w:val="auto"/>
          <w:highlight w:val="none"/>
          <w:lang w:val="en-US" w:eastAsia="zh-CN"/>
        </w:rPr>
      </w:pP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kinsoku/>
        <w:overflowPunct/>
        <w:topLinePunct w:val="0"/>
        <w:bidi w:val="0"/>
        <w:spacing w:line="400" w:lineRule="exact"/>
        <w:jc w:val="left"/>
        <w:rPr>
          <w:rFonts w:hint="eastAsia" w:ascii="仿宋" w:hAnsi="仿宋" w:eastAsia="仿宋" w:cs="仿宋"/>
          <w:color w:val="auto"/>
          <w:kern w:val="0"/>
          <w:sz w:val="24"/>
          <w:highlight w:val="none"/>
        </w:rPr>
      </w:pP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overflowPunct/>
        <w:topLinePunct w:val="0"/>
        <w:bidi w:val="0"/>
        <w:spacing w:before="150" w:line="400" w:lineRule="exac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overflowPunct/>
        <w:topLinePunct w:val="0"/>
        <w:bidi w:val="0"/>
        <w:spacing w:before="150" w:line="400" w:lineRule="exac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pPr>
        <w:widowControl/>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overflowPunct/>
        <w:topLinePunct w:val="0"/>
        <w:bidi w:val="0"/>
        <w:spacing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overflowPunct/>
        <w:topLinePunct w:val="0"/>
        <w:bidi w:val="0"/>
        <w:spacing w:before="150" w:line="400" w:lineRule="exac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overflowPunct/>
        <w:topLinePunct w:val="0"/>
        <w:bidi w:val="0"/>
        <w:spacing w:line="400" w:lineRule="exact"/>
        <w:rPr>
          <w:rFonts w:hint="eastAsia" w:ascii="仿宋" w:hAnsi="仿宋" w:eastAsia="仿宋" w:cs="仿宋"/>
          <w:color w:val="auto"/>
          <w:sz w:val="24"/>
          <w:highlight w:val="none"/>
        </w:rPr>
      </w:pPr>
    </w:p>
    <w:p>
      <w:pPr>
        <w:kinsoku/>
        <w:overflowPunct/>
        <w:topLinePunct w:val="0"/>
        <w:bidi w:val="0"/>
        <w:spacing w:line="400" w:lineRule="exact"/>
        <w:ind w:firstLine="420" w:firstLineChars="200"/>
        <w:rPr>
          <w:rFonts w:hint="eastAsia" w:ascii="仿宋" w:hAnsi="仿宋" w:eastAsia="仿宋" w:cs="仿宋"/>
          <w:color w:val="auto"/>
          <w:highlight w:val="none"/>
        </w:rPr>
      </w:pPr>
    </w:p>
    <w:p>
      <w:pPr>
        <w:kinsoku/>
        <w:overflowPunct/>
        <w:topLinePunct w:val="0"/>
        <w:bidi w:val="0"/>
        <w:spacing w:line="400" w:lineRule="exact"/>
        <w:ind w:right="420"/>
        <w:rPr>
          <w:rFonts w:hint="eastAsia" w:ascii="仿宋" w:hAnsi="仿宋" w:eastAsia="仿宋" w:cs="仿宋"/>
          <w:color w:val="auto"/>
          <w:highlight w:val="none"/>
        </w:rPr>
      </w:pPr>
    </w:p>
    <w:p>
      <w:pPr>
        <w:kinsoku/>
        <w:overflowPunct/>
        <w:topLinePunct w:val="0"/>
        <w:bidi w:val="0"/>
        <w:spacing w:line="400" w:lineRule="exact"/>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91899912"/>
    <w:bookmarkStart w:id="166" w:name="_Toc164085800"/>
    <w:bookmarkStart w:id="167" w:name="_Toc36110187"/>
    <w:bookmarkStart w:id="168" w:name="_Toc131845147"/>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文件编号:SXQS-202308-GK074</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SXQS-202404-GK039</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5DA0B"/>
    <w:multiLevelType w:val="multilevel"/>
    <w:tmpl w:val="8285DA0B"/>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86837194"/>
    <w:multiLevelType w:val="singleLevel"/>
    <w:tmpl w:val="86837194"/>
    <w:lvl w:ilvl="0" w:tentative="0">
      <w:start w:val="5"/>
      <w:numFmt w:val="chineseCounting"/>
      <w:suff w:val="nothing"/>
      <w:lvlText w:val="（%1）"/>
      <w:lvlJc w:val="left"/>
      <w:rPr>
        <w:rFonts w:hint="eastAsia"/>
      </w:rPr>
    </w:lvl>
  </w:abstractNum>
  <w:abstractNum w:abstractNumId="2">
    <w:nsid w:val="9D16C1DB"/>
    <w:multiLevelType w:val="multilevel"/>
    <w:tmpl w:val="9D16C1DB"/>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154E8BA2"/>
    <w:multiLevelType w:val="multilevel"/>
    <w:tmpl w:val="154E8BA2"/>
    <w:lvl w:ilvl="0" w:tentative="0">
      <w:start w:val="2"/>
      <w:numFmt w:val="chineseCounting"/>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
    <w:nsid w:val="4D768425"/>
    <w:multiLevelType w:val="multilevel"/>
    <w:tmpl w:val="4D768425"/>
    <w:lvl w:ilvl="0" w:tentative="0">
      <w:start w:val="8"/>
      <w:numFmt w:val="decimal"/>
      <w:lvlText w:val="%1."/>
      <w:lvlJc w:val="left"/>
      <w:pPr>
        <w:tabs>
          <w:tab w:val="left" w:pos="312"/>
        </w:tabs>
      </w:pPr>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
    <w:nsid w:val="65E551A2"/>
    <w:multiLevelType w:val="multilevel"/>
    <w:tmpl w:val="65E551A2"/>
    <w:lvl w:ilvl="0" w:tentative="0">
      <w:start w:val="1"/>
      <w:numFmt w:val="bullet"/>
      <w:pStyle w:val="968"/>
      <w:lvlText w:val=""/>
      <w:lvlJc w:val="left"/>
      <w:pPr>
        <w:ind w:left="420" w:hanging="420"/>
      </w:pPr>
      <w:rPr>
        <w:rFonts w:hint="default" w:ascii="Wingdings" w:hAnsi="Wingdings" w:eastAsia="宋体"/>
        <w:u w:val="none" w:color="auto"/>
      </w:rPr>
    </w:lvl>
    <w:lvl w:ilvl="1" w:tentative="0">
      <w:start w:val="1"/>
      <w:numFmt w:val="bullet"/>
      <w:lvlText w:val=""/>
      <w:lvlJc w:val="left"/>
      <w:pPr>
        <w:ind w:left="840" w:hanging="420"/>
      </w:pPr>
      <w:rPr>
        <w:rFonts w:hint="default" w:ascii="Wingdings" w:hAnsi="Wingdings" w:eastAsia="宋体"/>
        <w:u w:val="none" w:color="auto"/>
      </w:rPr>
    </w:lvl>
    <w:lvl w:ilvl="2" w:tentative="0">
      <w:start w:val="1"/>
      <w:numFmt w:val="bullet"/>
      <w:lvlText w:val=""/>
      <w:lvlJc w:val="left"/>
      <w:pPr>
        <w:ind w:left="1260" w:hanging="420"/>
      </w:pPr>
      <w:rPr>
        <w:rFonts w:hint="default" w:ascii="Wingdings" w:hAnsi="Wingdings" w:eastAsia="宋体"/>
        <w:u w:val="none" w:color="auto"/>
      </w:rPr>
    </w:lvl>
    <w:lvl w:ilvl="3" w:tentative="0">
      <w:start w:val="1"/>
      <w:numFmt w:val="bullet"/>
      <w:lvlText w:val=""/>
      <w:lvlJc w:val="left"/>
      <w:pPr>
        <w:ind w:left="1680" w:hanging="420"/>
      </w:pPr>
      <w:rPr>
        <w:rFonts w:hint="default" w:ascii="Wingdings" w:hAnsi="Wingdings" w:eastAsia="宋体"/>
        <w:u w:val="none" w:color="auto"/>
      </w:rPr>
    </w:lvl>
    <w:lvl w:ilvl="4" w:tentative="0">
      <w:start w:val="1"/>
      <w:numFmt w:val="bullet"/>
      <w:lvlText w:val=""/>
      <w:lvlJc w:val="left"/>
      <w:pPr>
        <w:ind w:left="2100" w:hanging="420"/>
      </w:pPr>
      <w:rPr>
        <w:rFonts w:hint="default" w:ascii="Wingdings" w:hAnsi="Wingdings" w:eastAsia="宋体"/>
        <w:u w:val="none" w:color="auto"/>
      </w:rPr>
    </w:lvl>
    <w:lvl w:ilvl="5" w:tentative="0">
      <w:start w:val="1"/>
      <w:numFmt w:val="bullet"/>
      <w:lvlText w:val=""/>
      <w:lvlJc w:val="left"/>
      <w:pPr>
        <w:ind w:left="2520" w:hanging="420"/>
      </w:pPr>
      <w:rPr>
        <w:rFonts w:hint="default" w:ascii="Wingdings" w:hAnsi="Wingdings" w:eastAsia="宋体"/>
        <w:u w:val="none" w:color="auto"/>
      </w:rPr>
    </w:lvl>
    <w:lvl w:ilvl="6" w:tentative="0">
      <w:start w:val="1"/>
      <w:numFmt w:val="bullet"/>
      <w:lvlText w:val=""/>
      <w:lvlJc w:val="left"/>
      <w:pPr>
        <w:ind w:left="2940" w:hanging="420"/>
      </w:pPr>
      <w:rPr>
        <w:rFonts w:hint="default" w:ascii="Wingdings" w:hAnsi="Wingdings" w:eastAsia="宋体"/>
        <w:u w:val="none" w:color="auto"/>
      </w:rPr>
    </w:lvl>
    <w:lvl w:ilvl="7" w:tentative="0">
      <w:start w:val="1"/>
      <w:numFmt w:val="bullet"/>
      <w:lvlText w:val=""/>
      <w:lvlJc w:val="left"/>
      <w:pPr>
        <w:ind w:left="3360" w:hanging="420"/>
      </w:pPr>
      <w:rPr>
        <w:rFonts w:hint="default" w:ascii="Wingdings" w:hAnsi="Wingdings" w:eastAsia="宋体"/>
        <w:u w:val="none" w:color="auto"/>
      </w:rPr>
    </w:lvl>
    <w:lvl w:ilvl="8" w:tentative="0">
      <w:start w:val="1"/>
      <w:numFmt w:val="bullet"/>
      <w:lvlText w:val=""/>
      <w:lvlJc w:val="left"/>
      <w:pPr>
        <w:ind w:left="3780" w:hanging="420"/>
      </w:pPr>
      <w:rPr>
        <w:rFonts w:hint="default" w:ascii="Wingdings" w:hAnsi="Wingdings" w:eastAsia="宋体"/>
        <w:u w:val="none" w:color="auto"/>
      </w:rPr>
    </w:lvl>
  </w:abstractNum>
  <w:num w:numId="1">
    <w:abstractNumId w:val="7"/>
  </w:num>
  <w:num w:numId="2">
    <w:abstractNumId w:val="0"/>
  </w:num>
  <w:num w:numId="3">
    <w:abstractNumId w:val="6"/>
  </w:num>
  <w:num w:numId="4">
    <w:abstractNumId w:val="5"/>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hMDM2NWNhNTc5OTRhOWYyODEyNTg3OTkzZTZlZWUifQ=="/>
  </w:docVars>
  <w:rsids>
    <w:rsidRoot w:val="00172A27"/>
    <w:rsid w:val="004E25E7"/>
    <w:rsid w:val="006B4876"/>
    <w:rsid w:val="00CB0569"/>
    <w:rsid w:val="00CE3595"/>
    <w:rsid w:val="022B608B"/>
    <w:rsid w:val="02BA45A3"/>
    <w:rsid w:val="0301749C"/>
    <w:rsid w:val="04603F6E"/>
    <w:rsid w:val="04C92547"/>
    <w:rsid w:val="057109E0"/>
    <w:rsid w:val="05F02A3F"/>
    <w:rsid w:val="0608101F"/>
    <w:rsid w:val="079963C1"/>
    <w:rsid w:val="082936CA"/>
    <w:rsid w:val="08564759"/>
    <w:rsid w:val="09250C66"/>
    <w:rsid w:val="09532A47"/>
    <w:rsid w:val="09CB21E3"/>
    <w:rsid w:val="0AEC4CD1"/>
    <w:rsid w:val="0B0112EC"/>
    <w:rsid w:val="0B6D4294"/>
    <w:rsid w:val="0B8C698F"/>
    <w:rsid w:val="0C032936"/>
    <w:rsid w:val="0C331791"/>
    <w:rsid w:val="0CB4365E"/>
    <w:rsid w:val="0CE5044F"/>
    <w:rsid w:val="0D7239A6"/>
    <w:rsid w:val="0DA0109C"/>
    <w:rsid w:val="0DE545B5"/>
    <w:rsid w:val="0E2B1F99"/>
    <w:rsid w:val="0F096B8F"/>
    <w:rsid w:val="0F0A1DF9"/>
    <w:rsid w:val="0F114B2B"/>
    <w:rsid w:val="0F63063F"/>
    <w:rsid w:val="0F9D602C"/>
    <w:rsid w:val="0FF00494"/>
    <w:rsid w:val="10601972"/>
    <w:rsid w:val="10C81F6C"/>
    <w:rsid w:val="12557D59"/>
    <w:rsid w:val="128965E1"/>
    <w:rsid w:val="14281B3C"/>
    <w:rsid w:val="14396E9D"/>
    <w:rsid w:val="16D567E2"/>
    <w:rsid w:val="171B1048"/>
    <w:rsid w:val="173157AB"/>
    <w:rsid w:val="1765743A"/>
    <w:rsid w:val="184C76ED"/>
    <w:rsid w:val="186B7800"/>
    <w:rsid w:val="187A3B4C"/>
    <w:rsid w:val="18E60774"/>
    <w:rsid w:val="18F71A44"/>
    <w:rsid w:val="192B3AA3"/>
    <w:rsid w:val="1A485FB9"/>
    <w:rsid w:val="1B040045"/>
    <w:rsid w:val="1B6E7990"/>
    <w:rsid w:val="1C6568C1"/>
    <w:rsid w:val="1CAC0C08"/>
    <w:rsid w:val="1D2F1C3B"/>
    <w:rsid w:val="1E4E52B5"/>
    <w:rsid w:val="1F0C73E0"/>
    <w:rsid w:val="1F3D4E2F"/>
    <w:rsid w:val="1F456624"/>
    <w:rsid w:val="213C759C"/>
    <w:rsid w:val="220A3387"/>
    <w:rsid w:val="225D7ED6"/>
    <w:rsid w:val="22623B7A"/>
    <w:rsid w:val="24377DF9"/>
    <w:rsid w:val="24510698"/>
    <w:rsid w:val="24643488"/>
    <w:rsid w:val="24E274F4"/>
    <w:rsid w:val="253F5DF5"/>
    <w:rsid w:val="25CC70B0"/>
    <w:rsid w:val="2728014B"/>
    <w:rsid w:val="27A86609"/>
    <w:rsid w:val="27F019EE"/>
    <w:rsid w:val="27F95B73"/>
    <w:rsid w:val="280F0912"/>
    <w:rsid w:val="28497520"/>
    <w:rsid w:val="298011DE"/>
    <w:rsid w:val="29A80427"/>
    <w:rsid w:val="2A2A0A4E"/>
    <w:rsid w:val="2C9254B0"/>
    <w:rsid w:val="2CBC0949"/>
    <w:rsid w:val="2CFB1A42"/>
    <w:rsid w:val="2D3B1D91"/>
    <w:rsid w:val="2DA64CC9"/>
    <w:rsid w:val="2DF33D2D"/>
    <w:rsid w:val="2E375E7C"/>
    <w:rsid w:val="2E47051C"/>
    <w:rsid w:val="2F80574D"/>
    <w:rsid w:val="2F977145"/>
    <w:rsid w:val="305A2EE3"/>
    <w:rsid w:val="30CD01D9"/>
    <w:rsid w:val="31054556"/>
    <w:rsid w:val="31221C11"/>
    <w:rsid w:val="312C2103"/>
    <w:rsid w:val="315E3BB3"/>
    <w:rsid w:val="317F4F71"/>
    <w:rsid w:val="32D748CB"/>
    <w:rsid w:val="33387A25"/>
    <w:rsid w:val="33F67A71"/>
    <w:rsid w:val="34571C51"/>
    <w:rsid w:val="34766FB1"/>
    <w:rsid w:val="35DD2505"/>
    <w:rsid w:val="35EC4954"/>
    <w:rsid w:val="35FB44EC"/>
    <w:rsid w:val="360B1E2F"/>
    <w:rsid w:val="38114267"/>
    <w:rsid w:val="38661F11"/>
    <w:rsid w:val="38AD752A"/>
    <w:rsid w:val="38CB7945"/>
    <w:rsid w:val="38D67D40"/>
    <w:rsid w:val="39464F2B"/>
    <w:rsid w:val="3AA57434"/>
    <w:rsid w:val="3B597AE8"/>
    <w:rsid w:val="3C1F06C3"/>
    <w:rsid w:val="3C306A4A"/>
    <w:rsid w:val="3C7921E9"/>
    <w:rsid w:val="3C9F3988"/>
    <w:rsid w:val="3D267DB4"/>
    <w:rsid w:val="3DB64D77"/>
    <w:rsid w:val="3DE15ED8"/>
    <w:rsid w:val="3DEE6B9D"/>
    <w:rsid w:val="3F1E355C"/>
    <w:rsid w:val="3FBD1A18"/>
    <w:rsid w:val="405939A2"/>
    <w:rsid w:val="40F41CF8"/>
    <w:rsid w:val="41446E23"/>
    <w:rsid w:val="414A7CB0"/>
    <w:rsid w:val="4212728F"/>
    <w:rsid w:val="423171F6"/>
    <w:rsid w:val="427E60E8"/>
    <w:rsid w:val="42B34A7B"/>
    <w:rsid w:val="42D5327F"/>
    <w:rsid w:val="438822CB"/>
    <w:rsid w:val="43C144E6"/>
    <w:rsid w:val="43CA7F31"/>
    <w:rsid w:val="444E2219"/>
    <w:rsid w:val="460E0F2F"/>
    <w:rsid w:val="46A5312D"/>
    <w:rsid w:val="478236BD"/>
    <w:rsid w:val="497E4090"/>
    <w:rsid w:val="4AA414CB"/>
    <w:rsid w:val="4B5E6847"/>
    <w:rsid w:val="4B733E21"/>
    <w:rsid w:val="4B847D71"/>
    <w:rsid w:val="4D8F3252"/>
    <w:rsid w:val="4E102281"/>
    <w:rsid w:val="4E3E3C5C"/>
    <w:rsid w:val="4E957100"/>
    <w:rsid w:val="4F370F14"/>
    <w:rsid w:val="4F4B3D85"/>
    <w:rsid w:val="4FBE4B37"/>
    <w:rsid w:val="504F7091"/>
    <w:rsid w:val="52FC6E8F"/>
    <w:rsid w:val="5300766C"/>
    <w:rsid w:val="5324588A"/>
    <w:rsid w:val="53352812"/>
    <w:rsid w:val="538F6154"/>
    <w:rsid w:val="53BD3A19"/>
    <w:rsid w:val="547915B7"/>
    <w:rsid w:val="55222FC6"/>
    <w:rsid w:val="55437D62"/>
    <w:rsid w:val="55821D7C"/>
    <w:rsid w:val="56C740B3"/>
    <w:rsid w:val="56FD1D12"/>
    <w:rsid w:val="57995095"/>
    <w:rsid w:val="57D203C9"/>
    <w:rsid w:val="57E80FEC"/>
    <w:rsid w:val="583512EE"/>
    <w:rsid w:val="58F9403E"/>
    <w:rsid w:val="5996188C"/>
    <w:rsid w:val="59E95589"/>
    <w:rsid w:val="5A1252D2"/>
    <w:rsid w:val="5A8C2C8F"/>
    <w:rsid w:val="5B401D65"/>
    <w:rsid w:val="5C941F2C"/>
    <w:rsid w:val="5CE67FA1"/>
    <w:rsid w:val="5EDA221B"/>
    <w:rsid w:val="5EF701E8"/>
    <w:rsid w:val="5F0D2797"/>
    <w:rsid w:val="5F465F16"/>
    <w:rsid w:val="5F561B6F"/>
    <w:rsid w:val="5F57E5CA"/>
    <w:rsid w:val="5F9434F5"/>
    <w:rsid w:val="60596AB0"/>
    <w:rsid w:val="60C0277A"/>
    <w:rsid w:val="610B3FBA"/>
    <w:rsid w:val="6200544A"/>
    <w:rsid w:val="621A1E1B"/>
    <w:rsid w:val="62495FC2"/>
    <w:rsid w:val="62627E4D"/>
    <w:rsid w:val="62752540"/>
    <w:rsid w:val="62FE1710"/>
    <w:rsid w:val="63D41FBE"/>
    <w:rsid w:val="640B7FCA"/>
    <w:rsid w:val="641B55C8"/>
    <w:rsid w:val="64C5571C"/>
    <w:rsid w:val="64DF4A2F"/>
    <w:rsid w:val="64E1542E"/>
    <w:rsid w:val="654314F9"/>
    <w:rsid w:val="65A713D0"/>
    <w:rsid w:val="66747DFB"/>
    <w:rsid w:val="669C35D3"/>
    <w:rsid w:val="67782081"/>
    <w:rsid w:val="67F9452D"/>
    <w:rsid w:val="6907425B"/>
    <w:rsid w:val="69331D52"/>
    <w:rsid w:val="69AF24F6"/>
    <w:rsid w:val="69F42E05"/>
    <w:rsid w:val="6B8E45DC"/>
    <w:rsid w:val="6BCB0D6B"/>
    <w:rsid w:val="6C6C7CF4"/>
    <w:rsid w:val="6CFA4340"/>
    <w:rsid w:val="6CFB2798"/>
    <w:rsid w:val="6D42020F"/>
    <w:rsid w:val="6D530D49"/>
    <w:rsid w:val="6DE74B13"/>
    <w:rsid w:val="6FBB7B82"/>
    <w:rsid w:val="6FC37AD4"/>
    <w:rsid w:val="6FD41F9F"/>
    <w:rsid w:val="6FFC0139"/>
    <w:rsid w:val="710B34D8"/>
    <w:rsid w:val="712C663B"/>
    <w:rsid w:val="722236DA"/>
    <w:rsid w:val="72D37886"/>
    <w:rsid w:val="72F94153"/>
    <w:rsid w:val="75176065"/>
    <w:rsid w:val="75421CD8"/>
    <w:rsid w:val="75A67813"/>
    <w:rsid w:val="76065B94"/>
    <w:rsid w:val="76245EC4"/>
    <w:rsid w:val="768865A9"/>
    <w:rsid w:val="76AC5D35"/>
    <w:rsid w:val="76B850E0"/>
    <w:rsid w:val="773033C1"/>
    <w:rsid w:val="773F4B38"/>
    <w:rsid w:val="781C51FB"/>
    <w:rsid w:val="78367D6E"/>
    <w:rsid w:val="78AD1F79"/>
    <w:rsid w:val="78D6021C"/>
    <w:rsid w:val="791E7C0A"/>
    <w:rsid w:val="79341AE1"/>
    <w:rsid w:val="797818E2"/>
    <w:rsid w:val="799B3619"/>
    <w:rsid w:val="79B30E92"/>
    <w:rsid w:val="7B0D1B94"/>
    <w:rsid w:val="7B2E448F"/>
    <w:rsid w:val="7C0A1320"/>
    <w:rsid w:val="7C7E0232"/>
    <w:rsid w:val="7C9D1E6A"/>
    <w:rsid w:val="7DFF3A1B"/>
    <w:rsid w:val="7EA9101F"/>
    <w:rsid w:val="7EC36DF7"/>
    <w:rsid w:val="7EEA2777"/>
    <w:rsid w:val="7EED679E"/>
    <w:rsid w:val="7F005876"/>
    <w:rsid w:val="7FCE9F2A"/>
    <w:rsid w:val="E3EF4552"/>
    <w:rsid w:val="EFFFF557"/>
    <w:rsid w:val="F76D93BB"/>
    <w:rsid w:val="FF3F59ED"/>
    <w:rsid w:val="FFDE5C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Body Text"/>
    <w:basedOn w:val="1"/>
    <w:next w:val="3"/>
    <w:link w:val="428"/>
    <w:autoRedefine/>
    <w:qFormat/>
    <w:uiPriority w:val="0"/>
    <w:pPr>
      <w:autoSpaceDE w:val="0"/>
      <w:autoSpaceDN w:val="0"/>
      <w:spacing w:line="360" w:lineRule="auto"/>
    </w:pPr>
    <w:rPr>
      <w:sz w:val="24"/>
    </w:rPr>
  </w:style>
  <w:style w:type="paragraph" w:styleId="3">
    <w:name w:val="Body Text First Indent"/>
    <w:basedOn w:val="2"/>
    <w:next w:val="1"/>
    <w:link w:val="319"/>
    <w:autoRedefine/>
    <w:qFormat/>
    <w:uiPriority w:val="0"/>
    <w:pPr>
      <w:ind w:firstLine="420"/>
    </w:pPr>
    <w:rPr>
      <w:rFonts w:hAnsi="Calibri" w:cs="Times New Roman"/>
      <w:snapToGrid/>
      <w:szCs w:val="20"/>
    </w:rPr>
  </w:style>
  <w:style w:type="paragraph" w:styleId="7">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2"/>
    <w:autoRedefine/>
    <w:qFormat/>
    <w:uiPriority w:val="99"/>
    <w:pPr>
      <w:jc w:val="left"/>
    </w:pPr>
  </w:style>
  <w:style w:type="paragraph" w:styleId="22">
    <w:name w:val="Salutation"/>
    <w:basedOn w:val="1"/>
    <w:next w:val="1"/>
    <w:link w:val="296"/>
    <w:autoRedefine/>
    <w:qFormat/>
    <w:uiPriority w:val="0"/>
    <w:rPr>
      <w:rFonts w:ascii="仿宋_GB2312" w:eastAsia="仿宋_GB2312"/>
      <w:sz w:val="28"/>
      <w:szCs w:val="20"/>
    </w:rPr>
  </w:style>
  <w:style w:type="paragraph" w:styleId="23">
    <w:name w:val="Body Text 3"/>
    <w:basedOn w:val="1"/>
    <w:link w:val="328"/>
    <w:autoRedefine/>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7"/>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10"/>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5"/>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6"/>
    <w:autoRedefine/>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20"/>
    <w:autoRedefine/>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8"/>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8"/>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autoRedefine/>
    <w:qFormat/>
    <w:uiPriority w:val="0"/>
    <w:rPr>
      <w:rFonts w:ascii="宋体" w:hAnsi="宋体"/>
      <w:kern w:val="2"/>
      <w:sz w:val="24"/>
      <w:szCs w:val="24"/>
    </w:rPr>
  </w:style>
  <w:style w:type="character" w:customStyle="1" w:styleId="264">
    <w:name w:val="font01"/>
    <w:basedOn w:val="69"/>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4"/>
    <w:autoRedefine/>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9"/>
    <w:autoRedefine/>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2"/>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8"/>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11"/>
    <w:autoRedefine/>
    <w:qFormat/>
    <w:uiPriority w:val="0"/>
    <w:rPr>
      <w:b/>
      <w:bCs/>
      <w:kern w:val="2"/>
      <w:sz w:val="24"/>
      <w:szCs w:val="24"/>
    </w:rPr>
  </w:style>
  <w:style w:type="character" w:customStyle="1" w:styleId="306">
    <w:name w:val="正文文本缩进 2 Char"/>
    <w:link w:val="37"/>
    <w:autoRedefine/>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3"/>
    <w:autoRedefine/>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qFormat/>
    <w:uiPriority w:val="0"/>
  </w:style>
  <w:style w:type="character" w:customStyle="1" w:styleId="325">
    <w:name w:val="标题 4 Char2"/>
    <w:link w:val="8"/>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3"/>
    <w:autoRedefine/>
    <w:qFormat/>
    <w:uiPriority w:val="0"/>
    <w:rPr>
      <w:kern w:val="2"/>
      <w:sz w:val="21"/>
    </w:rPr>
  </w:style>
  <w:style w:type="character" w:customStyle="1" w:styleId="329">
    <w:name w:val="font31"/>
    <w:basedOn w:val="69"/>
    <w:autoRedefine/>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69"/>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7"/>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4"/>
    <w:autoRedefine/>
    <w:qFormat/>
    <w:uiPriority w:val="0"/>
    <w:pPr>
      <w:tabs>
        <w:tab w:val="left" w:pos="840"/>
      </w:tabs>
      <w:adjustRightInd/>
      <w:ind w:left="840" w:hanging="420"/>
    </w:pPr>
  </w:style>
  <w:style w:type="paragraph" w:customStyle="1" w:styleId="624">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0"/>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autoRedefine/>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Body Text"/>
    <w:basedOn w:val="1"/>
    <w:autoRedefine/>
    <w:qFormat/>
    <w:uiPriority w:val="0"/>
    <w:pPr>
      <w:spacing w:after="120" w:afterLines="0" w:afterAutospacing="0"/>
    </w:pPr>
    <w:rPr>
      <w:sz w:val="24"/>
    </w:rPr>
  </w:style>
  <w:style w:type="paragraph" w:customStyle="1" w:styleId="965">
    <w:name w:val="Body Text Indent1"/>
    <w:basedOn w:val="1"/>
    <w:next w:val="1"/>
    <w:autoRedefine/>
    <w:unhideWhenUsed/>
    <w:qFormat/>
    <w:uiPriority w:val="0"/>
    <w:pPr>
      <w:spacing w:beforeLines="0" w:after="120" w:afterLines="0"/>
      <w:ind w:left="420" w:leftChars="200"/>
    </w:pPr>
    <w:rPr>
      <w:rFonts w:hint="eastAsia"/>
      <w:color w:val="000000"/>
      <w:sz w:val="21"/>
      <w:szCs w:val="21"/>
    </w:rPr>
  </w:style>
  <w:style w:type="paragraph" w:customStyle="1" w:styleId="966">
    <w:name w:val="Body Text First Indent 21"/>
    <w:basedOn w:val="965"/>
    <w:autoRedefine/>
    <w:unhideWhenUsed/>
    <w:qFormat/>
    <w:uiPriority w:val="0"/>
    <w:pPr>
      <w:spacing w:beforeLines="0" w:afterLines="0"/>
      <w:ind w:firstLine="420"/>
    </w:pPr>
    <w:rPr>
      <w:rFonts w:hint="eastAsia" w:cs="宋体"/>
      <w:sz w:val="21"/>
      <w:szCs w:val="21"/>
    </w:rPr>
  </w:style>
  <w:style w:type="paragraph" w:customStyle="1" w:styleId="967">
    <w:name w:val="正文_0_0"/>
    <w:autoRedefine/>
    <w:unhideWhenUsed/>
    <w:qFormat/>
    <w:uiPriority w:val="0"/>
    <w:pPr>
      <w:widowControl w:val="0"/>
      <w:spacing w:beforeLines="0" w:afterLines="0"/>
      <w:jc w:val="both"/>
    </w:pPr>
    <w:rPr>
      <w:rFonts w:hint="default" w:ascii="Times New Roman" w:hAnsi="Times New Roman" w:eastAsia="宋体" w:cs="Times New Roman"/>
      <w:kern w:val="2"/>
      <w:sz w:val="21"/>
      <w:szCs w:val="20"/>
      <w:lang w:val="en-US" w:eastAsia="zh-CN" w:bidi="ar-SA"/>
    </w:rPr>
  </w:style>
  <w:style w:type="paragraph" w:customStyle="1" w:styleId="968">
    <w:name w:val="表格并列项"/>
    <w:basedOn w:val="1"/>
    <w:autoRedefine/>
    <w:unhideWhenUsed/>
    <w:qFormat/>
    <w:uiPriority w:val="0"/>
    <w:pPr>
      <w:numPr>
        <w:ilvl w:val="0"/>
        <w:numId w:val="1"/>
      </w:numPr>
      <w:tabs>
        <w:tab w:val="left" w:pos="360"/>
        <w:tab w:val="left" w:pos="839"/>
      </w:tabs>
      <w:snapToGrid w:val="0"/>
      <w:spacing w:before="40" w:beforeLines="0" w:after="40" w:afterLines="0" w:line="360" w:lineRule="auto"/>
      <w:ind w:firstLine="200" w:firstLineChars="200"/>
    </w:pPr>
    <w:rPr>
      <w:rFonts w:hint="default" w:cs="Cambria"/>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44990</Words>
  <Characters>47858</Characters>
  <Lines>1</Lines>
  <Paragraphs>1</Paragraphs>
  <TotalTime>102</TotalTime>
  <ScaleCrop>false</ScaleCrop>
  <LinksUpToDate>false</LinksUpToDate>
  <CharactersWithSpaces>55268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豆浆</cp:lastModifiedBy>
  <cp:lastPrinted>2021-12-29T11:06:00Z</cp:lastPrinted>
  <dcterms:modified xsi:type="dcterms:W3CDTF">2024-06-03T05:45:53Z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67886E5798B343D7AC1405D5D5352214_13</vt:lpwstr>
  </property>
</Properties>
</file>