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rPr>
      </w:pPr>
    </w:p>
    <w:p>
      <w:pPr>
        <w:jc w:val="center"/>
        <w:outlineLvl w:val="0"/>
        <w:rPr>
          <w:rFonts w:ascii="隶书" w:hAnsi="Arial" w:eastAsia="隶书" w:cs="Arial"/>
          <w:b/>
          <w:color w:val="auto"/>
          <w:spacing w:val="-12"/>
          <w:sz w:val="48"/>
          <w:szCs w:val="48"/>
        </w:rPr>
      </w:pPr>
      <w:r>
        <w:rPr>
          <w:rFonts w:hint="eastAsia" w:ascii="隶书" w:hAnsi="Arial" w:eastAsia="隶书" w:cs="Arial"/>
          <w:b/>
          <w:color w:val="auto"/>
          <w:spacing w:val="-12"/>
          <w:sz w:val="48"/>
          <w:szCs w:val="48"/>
        </w:rPr>
        <w:t>绍兴市政务服务办公室办公楼搬迁--厨房设备采购项目</w:t>
      </w:r>
    </w:p>
    <w:p>
      <w:pPr>
        <w:outlineLvl w:val="0"/>
        <w:rPr>
          <w:rFonts w:ascii="隶书" w:eastAsia="隶书"/>
          <w:color w:val="auto"/>
          <w:sz w:val="44"/>
        </w:rPr>
      </w:pPr>
    </w:p>
    <w:p>
      <w:pPr>
        <w:outlineLvl w:val="0"/>
        <w:rPr>
          <w:rFonts w:ascii="隶书" w:eastAsia="隶书"/>
          <w:color w:val="auto"/>
          <w:sz w:val="44"/>
        </w:rPr>
      </w:pP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公</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开</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招</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标</w:t>
      </w:r>
    </w:p>
    <w:p>
      <w:pPr>
        <w:jc w:val="center"/>
        <w:outlineLvl w:val="0"/>
        <w:rPr>
          <w:rFonts w:ascii="隶书" w:eastAsia="隶书"/>
          <w:b/>
          <w:color w:val="auto"/>
          <w:sz w:val="72"/>
          <w:szCs w:val="72"/>
        </w:rPr>
      </w:pPr>
      <w:r>
        <w:rPr>
          <w:rFonts w:hint="eastAsia" w:ascii="隶书" w:eastAsia="隶书"/>
          <w:b/>
          <w:color w:val="auto"/>
          <w:sz w:val="72"/>
          <w:szCs w:val="72"/>
        </w:rPr>
        <w:t>文</w:t>
      </w:r>
    </w:p>
    <w:p>
      <w:pPr>
        <w:jc w:val="center"/>
        <w:outlineLvl w:val="0"/>
        <w:rPr>
          <w:rFonts w:ascii="隶书" w:eastAsia="隶书"/>
          <w:color w:val="auto"/>
          <w:sz w:val="44"/>
        </w:rPr>
      </w:pPr>
      <w:r>
        <w:rPr>
          <w:rFonts w:hint="eastAsia" w:ascii="隶书" w:eastAsia="隶书"/>
          <w:b/>
          <w:color w:val="auto"/>
          <w:sz w:val="72"/>
          <w:szCs w:val="72"/>
        </w:rPr>
        <w:t>件</w:t>
      </w:r>
    </w:p>
    <w:p>
      <w:pPr>
        <w:jc w:val="center"/>
        <w:outlineLvl w:val="0"/>
        <w:rPr>
          <w:rFonts w:ascii="隶书" w:eastAsia="隶书"/>
          <w:color w:val="auto"/>
          <w:sz w:val="44"/>
        </w:rPr>
      </w:pPr>
      <w:r>
        <w:rPr>
          <w:rFonts w:hint="eastAsia" w:ascii="隶书" w:eastAsia="隶书"/>
          <w:color w:val="auto"/>
          <w:sz w:val="44"/>
        </w:rPr>
        <w:t>（电子招投标）</w:t>
      </w:r>
    </w:p>
    <w:p>
      <w:pPr>
        <w:jc w:val="center"/>
        <w:outlineLvl w:val="0"/>
        <w:rPr>
          <w:rFonts w:ascii="隶书" w:eastAsia="隶书"/>
          <w:color w:val="auto"/>
          <w:sz w:val="44"/>
        </w:rPr>
      </w:pPr>
    </w:p>
    <w:p>
      <w:pPr>
        <w:jc w:val="center"/>
        <w:outlineLvl w:val="0"/>
        <w:rPr>
          <w:rFonts w:ascii="隶书" w:eastAsia="隶书"/>
          <w:color w:val="auto"/>
          <w:sz w:val="44"/>
        </w:rPr>
      </w:pPr>
    </w:p>
    <w:p>
      <w:pPr>
        <w:jc w:val="center"/>
        <w:rPr>
          <w:rFonts w:ascii="隶书" w:eastAsia="隶书"/>
          <w:b/>
          <w:color w:val="auto"/>
          <w:sz w:val="28"/>
          <w:szCs w:val="28"/>
        </w:rPr>
      </w:pPr>
      <w:r>
        <w:rPr>
          <w:rFonts w:hint="eastAsia" w:ascii="隶书" w:eastAsia="隶书"/>
          <w:b/>
          <w:color w:val="auto"/>
          <w:sz w:val="28"/>
          <w:szCs w:val="28"/>
        </w:rPr>
        <w:t>招标编号：CGSHZJ-2024-N001029</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rPr>
              <w:t>采购单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5" w:type="dxa"/>
            <w:vAlign w:val="center"/>
          </w:tcPr>
          <w:p>
            <w:pPr>
              <w:spacing w:line="320" w:lineRule="exact"/>
              <w:outlineLvl w:val="0"/>
              <w:rPr>
                <w:rFonts w:ascii="隶书" w:hAnsi="宋体" w:eastAsia="隶书"/>
                <w:color w:val="auto"/>
                <w:sz w:val="28"/>
                <w:szCs w:val="28"/>
              </w:rPr>
            </w:pPr>
            <w:r>
              <w:rPr>
                <w:rFonts w:hint="eastAsia" w:ascii="隶书" w:hAnsi="宋体" w:eastAsia="隶书"/>
                <w:color w:val="auto"/>
                <w:sz w:val="28"/>
                <w:szCs w:val="28"/>
              </w:rPr>
              <w:t>绍兴市政务服务办公室</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0"/>
                <w:w w:val="100"/>
                <w:kern w:val="0"/>
                <w:sz w:val="28"/>
                <w:szCs w:val="28"/>
                <w:fitText w:val="1680" w:id="1"/>
              </w:rPr>
              <w:t>采购代理机构</w:t>
            </w:r>
            <w:r>
              <w:rPr>
                <w:rFonts w:hint="eastAsia" w:ascii="隶书" w:hAnsi="宋体" w:eastAsia="隶书"/>
                <w:color w:val="auto"/>
                <w:sz w:val="28"/>
                <w:szCs w:val="28"/>
              </w:rPr>
              <w:t>：</w:t>
            </w: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浙江建诚工程管理咨询有限公司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fitText w:val="1680" w:id="2"/>
              </w:rPr>
              <w:t>监督单</w:t>
            </w:r>
            <w:r>
              <w:rPr>
                <w:rFonts w:hint="eastAsia" w:ascii="隶书" w:hAnsi="宋体" w:eastAsia="隶书"/>
                <w:color w:val="auto"/>
                <w:spacing w:val="1"/>
                <w:kern w:val="0"/>
                <w:sz w:val="28"/>
                <w:szCs w:val="28"/>
                <w:fitText w:val="1680" w:id="2"/>
              </w:rPr>
              <w:t>位</w:t>
            </w:r>
            <w:r>
              <w:rPr>
                <w:rFonts w:hint="eastAsia" w:ascii="隶书" w:hAnsi="宋体" w:eastAsia="隶书"/>
                <w:color w:val="auto"/>
                <w:sz w:val="28"/>
                <w:szCs w:val="28"/>
              </w:rPr>
              <w:t>：</w:t>
            </w: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rPr>
            </w:pP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rPr>
            </w:pPr>
            <w:r>
              <w:rPr>
                <w:rFonts w:hint="eastAsia" w:ascii="隶书" w:eastAsia="隶书"/>
                <w:color w:val="auto"/>
                <w:sz w:val="28"/>
                <w:szCs w:val="28"/>
              </w:rPr>
              <w:t>二○二四年九月</w:t>
            </w:r>
          </w:p>
        </w:tc>
      </w:tr>
    </w:tbl>
    <w:p>
      <w:pPr>
        <w:pageBreakBefore/>
        <w:jc w:val="center"/>
        <w:rPr>
          <w:rFonts w:ascii="隶书" w:eastAsia="隶书"/>
          <w:b/>
          <w:color w:val="auto"/>
          <w:sz w:val="44"/>
          <w:szCs w:val="44"/>
        </w:rPr>
      </w:pPr>
    </w:p>
    <w:p>
      <w:pPr>
        <w:jc w:val="center"/>
        <w:rPr>
          <w:rFonts w:ascii="隶书" w:eastAsia="隶书"/>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第二部分投标须知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jc w:val="center"/>
              <w:rPr>
                <w:color w:val="auto"/>
              </w:rPr>
            </w:pPr>
            <w:r>
              <w:rPr>
                <w:rFonts w:hint="eastAsia" w:ascii="仿宋_GB2312" w:eastAsia="仿宋_GB2312"/>
                <w:b/>
                <w:color w:val="auto"/>
                <w:sz w:val="36"/>
                <w:szCs w:val="36"/>
              </w:rPr>
              <w:t>第一部分招标公告</w:t>
            </w:r>
            <w:r>
              <w:rPr>
                <w:rFonts w:ascii="仿宋_GB2312" w:hAnsi="新宋体" w:eastAsia="仿宋_GB2312"/>
                <w:color w:val="auto"/>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100"/>
                    <w:spacing w:after="12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100"/>
                    <w:wordWrap w:val="0"/>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u w:val="single"/>
                    </w:rPr>
                    <w:t>绍兴市政务服务办公室办公楼搬迁--厨房设备采购项目</w:t>
                  </w:r>
                  <w:r>
                    <w:rPr>
                      <w:rFonts w:hint="eastAsia" w:ascii="仿宋_GB2312" w:hAnsi="新宋体" w:eastAsia="仿宋_GB2312"/>
                      <w:color w:val="auto"/>
                      <w:szCs w:val="24"/>
                    </w:rPr>
                    <w:t>招标项目的潜在投标人应在政采云平台（</w:t>
                  </w:r>
                  <w:r>
                    <w:rPr>
                      <w:rFonts w:ascii="仿宋_GB2312" w:hAnsi="新宋体" w:eastAsia="仿宋_GB2312"/>
                      <w:color w:val="auto"/>
                      <w:szCs w:val="24"/>
                    </w:rPr>
                    <w:t>https://www.zcygov.cn/）获取（下载）招标文件，并于2024年</w:t>
                  </w:r>
                  <w:r>
                    <w:rPr>
                      <w:rFonts w:hint="eastAsia" w:ascii="仿宋_GB2312" w:hAnsi="新宋体" w:eastAsia="仿宋_GB2312"/>
                      <w:color w:val="auto"/>
                      <w:szCs w:val="24"/>
                      <w:lang w:val="en-US" w:eastAsia="zh-CN"/>
                    </w:rPr>
                    <w:t>09</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25</w:t>
                  </w:r>
                  <w:r>
                    <w:rPr>
                      <w:rFonts w:hint="eastAsia" w:ascii="仿宋_GB2312" w:hAnsi="新宋体" w:eastAsia="仿宋_GB2312"/>
                      <w:color w:val="auto"/>
                      <w:szCs w:val="24"/>
                    </w:rPr>
                    <w:t>日</w:t>
                  </w:r>
                  <w:r>
                    <w:rPr>
                      <w:rFonts w:hint="eastAsia" w:ascii="仿宋_GB2312" w:hAnsi="新宋体" w:eastAsia="仿宋_GB2312"/>
                      <w:color w:val="auto"/>
                      <w:szCs w:val="24"/>
                      <w:lang w:val="en-US" w:eastAsia="zh-CN"/>
                    </w:rPr>
                    <w:t>10</w:t>
                  </w:r>
                  <w:r>
                    <w:rPr>
                      <w:rFonts w:ascii="仿宋_GB2312" w:hAnsi="新宋体" w:eastAsia="仿宋_GB2312"/>
                      <w:color w:val="auto"/>
                      <w:szCs w:val="24"/>
                    </w:rPr>
                    <w:t>点00分00秒（北京时间）前递交（上传）投标文件。</w:t>
                  </w:r>
                </w:p>
              </w:tc>
            </w:tr>
          </w:tbl>
          <w:p>
            <w:pPr>
              <w:pStyle w:val="100"/>
              <w:spacing w:afterLines="0" w:line="440" w:lineRule="exact"/>
              <w:ind w:firstLine="480"/>
              <w:jc w:val="left"/>
              <w:rPr>
                <w:rFonts w:ascii="仿宋_GB2312" w:hAnsi="新宋体" w:eastAsia="仿宋_GB2312"/>
                <w:b/>
                <w:color w:val="auto"/>
                <w:szCs w:val="24"/>
              </w:rPr>
            </w:pPr>
            <w:r>
              <w:rPr>
                <w:rFonts w:hint="eastAsia" w:ascii="仿宋_GB2312" w:hAnsi="新宋体" w:eastAsia="仿宋_GB2312"/>
                <w:b/>
                <w:color w:val="auto"/>
                <w:szCs w:val="24"/>
              </w:rPr>
              <w:t>一、项目基本情况</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b/>
                <w:color w:val="auto"/>
                <w:szCs w:val="24"/>
              </w:rPr>
              <w:t>项目编号：</w:t>
            </w:r>
            <w:r>
              <w:rPr>
                <w:rFonts w:hint="eastAsia" w:ascii="仿宋_GB2312" w:hAnsi="新宋体" w:eastAsia="仿宋_GB2312"/>
                <w:color w:val="auto"/>
                <w:szCs w:val="24"/>
              </w:rPr>
              <w:t>CGSHZJ-2024-N001029</w:t>
            </w:r>
          </w:p>
          <w:p>
            <w:pPr>
              <w:pStyle w:val="100"/>
              <w:spacing w:afterLines="0" w:line="440" w:lineRule="exact"/>
              <w:ind w:right="-508" w:rightChars="-242" w:firstLine="480"/>
              <w:rPr>
                <w:rFonts w:ascii="仿宋_GB2312" w:hAnsi="新宋体" w:eastAsia="仿宋_GB2312"/>
                <w:color w:val="auto"/>
                <w:szCs w:val="24"/>
              </w:rPr>
            </w:pPr>
            <w:r>
              <w:rPr>
                <w:rFonts w:hint="eastAsia" w:ascii="仿宋_GB2312" w:hAnsi="新宋体" w:eastAsia="仿宋_GB2312"/>
                <w:b/>
                <w:color w:val="auto"/>
                <w:szCs w:val="24"/>
              </w:rPr>
              <w:t>项目名称：</w:t>
            </w:r>
            <w:r>
              <w:rPr>
                <w:rFonts w:hint="eastAsia" w:ascii="仿宋_GB2312" w:hAnsi="新宋体" w:eastAsia="仿宋_GB2312"/>
                <w:color w:val="auto"/>
                <w:szCs w:val="24"/>
              </w:rPr>
              <w:t>绍兴市政务服务办公室办公楼搬迁--厨房设备采购项目</w:t>
            </w:r>
          </w:p>
          <w:p>
            <w:pPr>
              <w:pStyle w:val="100"/>
              <w:spacing w:afterLines="0" w:line="440" w:lineRule="exact"/>
              <w:ind w:firstLine="480"/>
              <w:rPr>
                <w:rFonts w:ascii="仿宋_GB2312" w:hAnsi="新宋体" w:eastAsia="仿宋_GB2312"/>
                <w:bCs/>
                <w:color w:val="auto"/>
                <w:szCs w:val="24"/>
              </w:rPr>
            </w:pPr>
            <w:r>
              <w:rPr>
                <w:rFonts w:hint="eastAsia" w:ascii="仿宋_GB2312" w:hAnsi="新宋体" w:eastAsia="仿宋_GB2312"/>
                <w:b/>
                <w:color w:val="auto"/>
                <w:szCs w:val="24"/>
              </w:rPr>
              <w:t>预算金额（元）：</w:t>
            </w:r>
            <w:r>
              <w:rPr>
                <w:rFonts w:hint="eastAsia" w:ascii="仿宋_GB2312" w:hAnsi="新宋体" w:eastAsia="仿宋_GB2312"/>
                <w:bCs/>
                <w:color w:val="auto"/>
                <w:szCs w:val="24"/>
              </w:rPr>
              <w:t>800000</w:t>
            </w:r>
          </w:p>
          <w:p>
            <w:pPr>
              <w:pStyle w:val="100"/>
              <w:spacing w:afterLines="0" w:line="440" w:lineRule="exact"/>
              <w:ind w:firstLine="480"/>
              <w:rPr>
                <w:rFonts w:ascii="仿宋_GB2312" w:hAnsi="新宋体" w:eastAsia="仿宋_GB2312"/>
                <w:bCs/>
                <w:color w:val="auto"/>
                <w:szCs w:val="24"/>
              </w:rPr>
            </w:pPr>
            <w:r>
              <w:rPr>
                <w:rFonts w:hint="eastAsia" w:ascii="仿宋_GB2312" w:hAnsi="新宋体" w:eastAsia="仿宋_GB2312"/>
                <w:b/>
                <w:color w:val="auto"/>
                <w:szCs w:val="24"/>
              </w:rPr>
              <w:t>最高限价（元）：</w:t>
            </w:r>
            <w:r>
              <w:rPr>
                <w:rFonts w:hint="eastAsia" w:ascii="仿宋_GB2312" w:hAnsi="新宋体" w:eastAsia="仿宋_GB2312"/>
                <w:bCs/>
                <w:color w:val="auto"/>
                <w:szCs w:val="24"/>
              </w:rPr>
              <w:t>800000</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采购需求：</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标项一</w:t>
            </w:r>
            <w:r>
              <w:rPr>
                <w:rFonts w:ascii="仿宋_GB2312" w:hAnsi="新宋体" w:eastAsia="仿宋_GB2312"/>
                <w:color w:val="auto"/>
                <w:szCs w:val="24"/>
              </w:rPr>
              <w:t>:</w:t>
            </w:r>
            <w:r>
              <w:rPr>
                <w:rFonts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标项名称</w:t>
            </w:r>
            <w:r>
              <w:rPr>
                <w:rFonts w:ascii="仿宋_GB2312" w:hAnsi="新宋体" w:eastAsia="仿宋_GB2312"/>
                <w:color w:val="auto"/>
                <w:szCs w:val="24"/>
              </w:rPr>
              <w:t>:</w:t>
            </w:r>
            <w:r>
              <w:rPr>
                <w:rFonts w:hint="eastAsia" w:ascii="仿宋_GB2312" w:hAnsi="新宋体" w:eastAsia="仿宋_GB2312"/>
                <w:color w:val="auto"/>
                <w:szCs w:val="24"/>
              </w:rPr>
              <w:t>绍兴市政务服务办公室办公楼搬迁--厨房设备采购项目</w:t>
            </w:r>
            <w:r>
              <w:rPr>
                <w:rFonts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数量</w:t>
            </w:r>
            <w:r>
              <w:rPr>
                <w:rFonts w:ascii="仿宋_GB2312" w:hAnsi="新宋体" w:eastAsia="仿宋_GB2312"/>
                <w:color w:val="auto"/>
                <w:szCs w:val="24"/>
              </w:rPr>
              <w:t>:1</w:t>
            </w:r>
            <w:r>
              <w:rPr>
                <w:rFonts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预算金额（元）</w:t>
            </w:r>
            <w:r>
              <w:rPr>
                <w:rFonts w:ascii="仿宋_GB2312" w:hAnsi="新宋体" w:eastAsia="仿宋_GB2312"/>
                <w:color w:val="auto"/>
                <w:szCs w:val="24"/>
              </w:rPr>
              <w:t>:</w:t>
            </w:r>
            <w:r>
              <w:rPr>
                <w:rFonts w:hint="eastAsia" w:ascii="仿宋_GB2312" w:hAnsi="新宋体" w:eastAsia="仿宋_GB2312"/>
                <w:bCs/>
                <w:color w:val="auto"/>
                <w:szCs w:val="24"/>
              </w:rPr>
              <w:t>800000</w:t>
            </w:r>
            <w:r>
              <w:rPr>
                <w:rFonts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仿宋" w:eastAsia="仿宋_GB2312" w:cs="仿宋"/>
                <w:bCs/>
                <w:color w:val="auto"/>
              </w:rPr>
              <w:t>主要内容：</w:t>
            </w:r>
            <w:r>
              <w:rPr>
                <w:rFonts w:hint="eastAsia" w:ascii="仿宋_GB2312" w:hAnsi="新宋体" w:eastAsia="仿宋_GB2312"/>
                <w:color w:val="auto"/>
                <w:szCs w:val="24"/>
              </w:rPr>
              <w:t>简要规格描述或项目基本概况介绍、用途，详见采购文件。</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b/>
                <w:color w:val="auto"/>
                <w:szCs w:val="24"/>
              </w:rPr>
              <w:t>合同履约期限：</w:t>
            </w:r>
            <w:r>
              <w:rPr>
                <w:rFonts w:hint="eastAsia" w:ascii="仿宋_GB2312" w:hAnsi="新宋体" w:eastAsia="仿宋_GB2312"/>
                <w:color w:val="auto"/>
                <w:szCs w:val="24"/>
              </w:rPr>
              <w:t>按双方合同约定条款执行。</w:t>
            </w:r>
          </w:p>
          <w:p>
            <w:pPr>
              <w:pStyle w:val="100"/>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本项目接受联合体投标：</w:t>
            </w:r>
            <w:sdt>
              <w:sdtPr>
                <w:rPr>
                  <w:rFonts w:hint="eastAsia" w:ascii="仿宋_GB2312" w:hAnsi="仿宋" w:eastAsia="仿宋_GB2312" w:cs="Arial"/>
                  <w:color w:val="auto"/>
                  <w:sz w:val="21"/>
                  <w:szCs w:val="21"/>
                </w:rPr>
                <w:id w:val="725337177"/>
              </w:sdtPr>
              <w:sdtEndPr>
                <w:rPr>
                  <w:rFonts w:hint="eastAsia" w:ascii="仿宋_GB2312" w:hAnsi="仿宋" w:eastAsia="仿宋_GB2312" w:cs="Arial"/>
                  <w:color w:val="auto"/>
                  <w:sz w:val="21"/>
                  <w:szCs w:val="21"/>
                </w:rPr>
              </w:sdtEndPr>
              <w:sdtContent>
                <w:sdt>
                  <w:sdtPr>
                    <w:rPr>
                      <w:rFonts w:hint="eastAsia" w:ascii="仿宋_GB2312" w:hAnsi="仿宋" w:eastAsia="仿宋_GB2312" w:cs="Arial"/>
                      <w:color w:val="auto"/>
                      <w:sz w:val="21"/>
                      <w:szCs w:val="21"/>
                    </w:rPr>
                    <w:id w:val="-611118757"/>
                  </w:sdtPr>
                  <w:sdtEndPr>
                    <w:rPr>
                      <w:rFonts w:hint="eastAsia" w:ascii="仿宋_GB2312" w:hAnsi="仿宋" w:eastAsia="仿宋_GB2312" w:cs="Arial"/>
                      <w:color w:val="auto"/>
                      <w:sz w:val="21"/>
                      <w:szCs w:val="21"/>
                    </w:rPr>
                  </w:sdtEndPr>
                  <w:sdtContent>
                    <w:r>
                      <w:rPr>
                        <w:rFonts w:ascii="仿宋_GB2312" w:hAnsi="MS Gothic" w:eastAsia="仿宋_GB2312" w:cs="Arial"/>
                        <w:color w:val="auto"/>
                      </w:rPr>
                      <w:sym w:font="Wingdings" w:char="00FE"/>
                    </w:r>
                  </w:sdtContent>
                </w:sdt>
              </w:sdtContent>
            </w:sdt>
            <w:r>
              <w:rPr>
                <w:rFonts w:hint="eastAsia" w:ascii="仿宋_GB2312" w:hAnsi="新宋体" w:eastAsia="仿宋_GB2312"/>
                <w:b/>
                <w:color w:val="auto"/>
                <w:szCs w:val="24"/>
              </w:rPr>
              <w:t>是，</w:t>
            </w:r>
            <w:sdt>
              <w:sdtPr>
                <w:rPr>
                  <w:rFonts w:hint="eastAsia" w:ascii="仿宋_GB2312" w:hAnsi="仿宋" w:eastAsia="仿宋_GB2312" w:cs="Arial"/>
                  <w:color w:val="auto"/>
                  <w:sz w:val="21"/>
                  <w:szCs w:val="21"/>
                </w:rPr>
                <w:id w:val="-1409382387"/>
              </w:sdtPr>
              <w:sdtEndPr>
                <w:rPr>
                  <w:rFonts w:hint="eastAsia" w:ascii="仿宋_GB2312" w:hAnsi="仿宋" w:eastAsia="仿宋_GB2312" w:cs="Arial"/>
                  <w:color w:val="auto"/>
                  <w:sz w:val="21"/>
                  <w:szCs w:val="21"/>
                </w:rPr>
              </w:sdtEndPr>
              <w:sdtContent>
                <w:r>
                  <w:rPr>
                    <w:rFonts w:ascii="仿宋_GB2312" w:hAnsi="MS Gothic" w:eastAsia="仿宋_GB2312" w:cs="Arial"/>
                    <w:color w:val="auto"/>
                  </w:rPr>
                  <w:sym w:font="Wingdings" w:char="00A8"/>
                </w:r>
              </w:sdtContent>
            </w:sdt>
            <w:r>
              <w:rPr>
                <w:rFonts w:hint="eastAsia" w:ascii="仿宋_GB2312" w:hAnsi="新宋体" w:eastAsia="仿宋_GB2312"/>
                <w:b/>
                <w:color w:val="auto"/>
                <w:szCs w:val="24"/>
              </w:rPr>
              <w:t>否。</w:t>
            </w:r>
          </w:p>
          <w:p>
            <w:pPr>
              <w:pStyle w:val="100"/>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二、申请人的资格要求：</w:t>
            </w:r>
          </w:p>
          <w:p>
            <w:pPr>
              <w:pStyle w:val="100"/>
              <w:spacing w:after="120" w:line="440" w:lineRule="exact"/>
              <w:ind w:right="101" w:rightChars="48" w:firstLine="480"/>
              <w:jc w:val="left"/>
              <w:rPr>
                <w:rFonts w:ascii="仿宋_GB2312" w:hAnsi="新宋体" w:eastAsia="仿宋_GB2312"/>
                <w:color w:val="auto"/>
                <w:szCs w:val="24"/>
              </w:rPr>
            </w:pPr>
            <w:r>
              <w:rPr>
                <w:rFonts w:ascii="仿宋_GB2312" w:hAnsi="新宋体" w:eastAsia="仿宋_GB2312"/>
                <w:color w:val="auto"/>
                <w:szCs w:val="24"/>
              </w:rPr>
              <w:t xml:space="preserve">1.符合《中华人民共和国政府采购法》第二十二条的规定 </w:t>
            </w:r>
            <w:r>
              <w:rPr>
                <w:rFonts w:hint="eastAsia" w:ascii="仿宋_GB2312" w:hAnsi="新宋体" w:eastAsia="仿宋_GB2312"/>
                <w:color w:val="auto"/>
                <w:szCs w:val="24"/>
              </w:rPr>
              <w:t>；未被“信用中国”（</w:t>
            </w:r>
            <w:r>
              <w:rPr>
                <w:rFonts w:ascii="仿宋_GB2312" w:hAnsi="新宋体" w:eastAsia="仿宋_GB2312"/>
                <w:color w:val="auto"/>
                <w:szCs w:val="24"/>
              </w:rPr>
              <w:t>www.creditchina.gov.cn）、中国政府采购网（www.ccgp.gov.cn）列入失信被执行人、重大税收违法案件当事人名单、政府采购严重违法失信行为记录名单。</w:t>
            </w:r>
          </w:p>
          <w:p>
            <w:pPr>
              <w:pStyle w:val="100"/>
              <w:spacing w:after="120" w:line="440" w:lineRule="exact"/>
              <w:ind w:firstLine="480"/>
              <w:jc w:val="left"/>
              <w:rPr>
                <w:rFonts w:ascii="仿宋_GB2312" w:hAnsi="新宋体" w:eastAsia="仿宋_GB2312"/>
                <w:color w:val="auto"/>
                <w:szCs w:val="24"/>
              </w:rPr>
            </w:pPr>
            <w:r>
              <w:rPr>
                <w:rFonts w:ascii="仿宋_GB2312" w:hAnsi="新宋体" w:eastAsia="仿宋_GB2312"/>
                <w:color w:val="auto"/>
                <w:szCs w:val="24"/>
              </w:rPr>
              <w:t>2.以联合体形式投标的，提供联合体协议（本项目不接受联合体投标或者投标人不以联合体形式投标的，则不需要提供）；</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3.落实政府采购政策需满足的资格要求：</w:t>
            </w:r>
          </w:p>
          <w:p>
            <w:pPr>
              <w:pStyle w:val="100"/>
              <w:spacing w:afterLines="0" w:line="440" w:lineRule="exact"/>
              <w:ind w:firstLine="420"/>
              <w:rPr>
                <w:rFonts w:ascii="仿宋_GB2312" w:hAnsi="新宋体" w:eastAsia="仿宋_GB2312"/>
                <w:color w:val="auto"/>
                <w:szCs w:val="24"/>
              </w:rPr>
            </w:pPr>
            <w:sdt>
              <w:sdtPr>
                <w:rPr>
                  <w:rFonts w:hint="eastAsia" w:ascii="仿宋_GB2312" w:hAnsi="仿宋" w:eastAsia="仿宋_GB2312" w:cs="Arial"/>
                  <w:color w:val="auto"/>
                  <w:sz w:val="21"/>
                  <w:szCs w:val="21"/>
                </w:rPr>
                <w:id w:val="649177824"/>
              </w:sdtPr>
              <w:sdtEndPr>
                <w:rPr>
                  <w:rFonts w:hint="eastAsia" w:ascii="仿宋_GB2312" w:hAnsi="仿宋" w:eastAsia="仿宋_GB2312" w:cs="Arial"/>
                  <w:color w:val="auto"/>
                  <w:sz w:val="21"/>
                  <w:szCs w:val="21"/>
                </w:rPr>
              </w:sdtEndPr>
              <w:sdtContent>
                <w:r>
                  <w:rPr>
                    <w:rFonts w:ascii="MS Gothic" w:hAnsi="MS Gothic" w:eastAsia="MS Gothic" w:cs="Arial"/>
                    <w:color w:val="auto"/>
                  </w:rPr>
                  <w:t>☐</w:t>
                </w:r>
              </w:sdtContent>
            </w:sdt>
            <w:r>
              <w:rPr>
                <w:rFonts w:hint="eastAsia" w:ascii="仿宋_GB2312" w:hAnsi="仿宋" w:eastAsia="仿宋_GB2312"/>
                <w:color w:val="auto"/>
              </w:rPr>
              <w:t>无；</w:t>
            </w:r>
          </w:p>
          <w:p>
            <w:pPr>
              <w:spacing w:line="360" w:lineRule="auto"/>
              <w:ind w:firstLine="420" w:firstLineChars="200"/>
              <w:rPr>
                <w:rFonts w:ascii="仿宋_GB2312" w:hAnsi="仿宋" w:eastAsia="仿宋_GB2312"/>
                <w:color w:val="auto"/>
                <w:sz w:val="24"/>
              </w:rPr>
            </w:pPr>
            <w:sdt>
              <w:sdtPr>
                <w:rPr>
                  <w:rFonts w:hint="eastAsia" w:ascii="仿宋_GB2312" w:hAnsi="仿宋" w:eastAsia="仿宋_GB2312" w:cs="Arial"/>
                  <w:color w:val="auto"/>
                  <w:szCs w:val="21"/>
                </w:rPr>
                <w:id w:val="27180086"/>
              </w:sdtPr>
              <w:sdtEndPr>
                <w:rPr>
                  <w:rFonts w:hint="eastAsia" w:ascii="仿宋_GB2312" w:hAnsi="仿宋" w:eastAsia="仿宋_GB2312" w:cs="Arial"/>
                  <w:color w:val="auto"/>
                  <w:szCs w:val="21"/>
                </w:rPr>
              </w:sdtEndPr>
              <w:sdtContent>
                <w:r>
                  <w:rPr>
                    <w:rFonts w:ascii="仿宋_GB2312" w:hAnsi="MS Gothic" w:eastAsia="仿宋_GB2312" w:cs="Arial"/>
                    <w:color w:val="auto"/>
                  </w:rPr>
                  <w:sym w:font="Wingdings" w:char="F0FE"/>
                </w:r>
              </w:sdtContent>
            </w:sdt>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785" w:firstLineChars="374"/>
              <w:rPr>
                <w:rFonts w:ascii="仿宋_GB2312" w:hAnsi="仿宋" w:eastAsia="仿宋_GB2312"/>
                <w:color w:val="auto"/>
                <w:sz w:val="24"/>
              </w:rPr>
            </w:pPr>
            <w:sdt>
              <w:sdtPr>
                <w:rPr>
                  <w:rFonts w:hint="eastAsia" w:ascii="仿宋_GB2312" w:hAnsi="仿宋" w:eastAsia="仿宋_GB2312" w:cs="Arial"/>
                  <w:color w:val="auto"/>
                  <w:szCs w:val="21"/>
                </w:rPr>
                <w:id w:val="27180090"/>
              </w:sdtPr>
              <w:sdtEndPr>
                <w:rPr>
                  <w:rFonts w:hint="eastAsia" w:ascii="仿宋_GB2312" w:hAnsi="仿宋" w:eastAsia="仿宋_GB2312" w:cs="Arial"/>
                  <w:color w:val="auto"/>
                  <w:szCs w:val="21"/>
                </w:rPr>
              </w:sdtEndPr>
              <w:sdtContent>
                <w:r>
                  <w:rPr>
                    <w:rFonts w:ascii="仿宋_GB2312" w:hAnsi="MS Gothic" w:eastAsia="仿宋_GB2312" w:cs="Arial"/>
                    <w:color w:val="auto"/>
                  </w:rPr>
                  <w:sym w:font="Wingdings" w:char="F0FE"/>
                </w:r>
              </w:sdtContent>
            </w:sdt>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66665485"/>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09"/>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0690290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1"/>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szCs w:val="21"/>
                        </w:rPr>
                        <w:id w:val="27180089"/>
                      </w:sdtPr>
                      <w:sdtEndPr>
                        <w:rPr>
                          <w:rFonts w:hint="eastAsia" w:ascii="仿宋_GB2312" w:hAnsi="仿宋" w:eastAsia="仿宋_GB2312" w:cs="Arial"/>
                          <w:color w:val="auto"/>
                          <w:szCs w:val="21"/>
                        </w:rPr>
                      </w:sdtEndPr>
                      <w:sdtContent>
                        <w:sdt>
                          <w:sdtPr>
                            <w:rPr>
                              <w:rFonts w:hint="eastAsia" w:ascii="仿宋_GB2312" w:hAnsi="仿宋" w:eastAsia="仿宋_GB2312" w:cs="Arial"/>
                              <w:color w:val="auto"/>
                              <w:kern w:val="0"/>
                              <w:sz w:val="24"/>
                            </w:rPr>
                            <w:id w:val="27180091"/>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sdtContent>
                </w:sdt>
              </w:sdtContent>
            </w:sdt>
            <w:r>
              <w:rPr>
                <w:rFonts w:hint="eastAsia" w:ascii="仿宋_GB2312" w:hAnsi="仿宋" w:eastAsia="仿宋_GB2312"/>
                <w:color w:val="auto"/>
                <w:sz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66665486"/>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3"/>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服务全部由符合政策要求的小微企业承接，提供中小企业声明函；</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60369722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要求以联合体形式参加，提供联合协议和中小企业声明函，联合协议中中小企业合同金额应当达到</w:t>
            </w:r>
            <w:r>
              <w:rPr>
                <w:rFonts w:ascii="仿宋_GB2312" w:hAnsi="仿宋" w:eastAsia="仿宋_GB2312"/>
                <w:color w:val="auto"/>
                <w:sz w:val="24"/>
              </w:rPr>
              <w:t>%，小微企业合同金额应当达到%;</w:t>
            </w:r>
            <w:r>
              <w:rPr>
                <w:rFonts w:hint="eastAsia" w:ascii="仿宋_GB2312" w:hAnsi="仿宋" w:eastAsia="仿宋_GB2312" w:cs="宋体"/>
                <w:color w:val="auto"/>
                <w:spacing w:val="8"/>
                <w:kern w:val="0"/>
                <w:sz w:val="24"/>
              </w:rPr>
              <w:t>如果供应商本身提供所有标的均由中小企业制造、承建或承接，视同符合了资格条件，无需再与其他中小企业组成联合体参加</w:t>
            </w:r>
            <w:bookmarkStart w:id="166" w:name="_GoBack"/>
            <w:bookmarkEnd w:id="166"/>
            <w:r>
              <w:rPr>
                <w:rFonts w:hint="eastAsia" w:ascii="仿宋_GB2312" w:hAnsi="仿宋" w:eastAsia="仿宋_GB2312" w:cs="宋体"/>
                <w:color w:val="auto"/>
                <w:spacing w:val="8"/>
                <w:kern w:val="0"/>
                <w:sz w:val="24"/>
              </w:rPr>
              <w:t>政府采购活动，无需提供联合协议</w:t>
            </w:r>
            <w:r>
              <w:rPr>
                <w:rFonts w:hint="eastAsia" w:ascii="仿宋_GB2312" w:hAnsi="仿宋" w:eastAsia="仿宋_GB2312"/>
                <w:color w:val="auto"/>
                <w:sz w:val="24"/>
              </w:rPr>
              <w:t>；</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34630645"/>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7"/>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要求合同分包，提供分包意向协议和中小企业声明函，分包意向协议中中小企业合同金额应当达到</w:t>
            </w:r>
            <w:r>
              <w:rPr>
                <w:rFonts w:ascii="仿宋_GB2312" w:hAnsi="仿宋" w:eastAsia="仿宋_GB2312"/>
                <w:color w:val="auto"/>
                <w:sz w:val="24"/>
              </w:rPr>
              <w:t xml:space="preserve">% </w:t>
            </w:r>
            <w:r>
              <w:rPr>
                <w:rFonts w:hint="eastAsia" w:ascii="仿宋_GB2312" w:hAnsi="仿宋" w:eastAsia="仿宋_GB2312"/>
                <w:color w:val="auto"/>
                <w:sz w:val="24"/>
              </w:rPr>
              <w:t>，小微企业合同金额应当达到</w:t>
            </w:r>
            <w:r>
              <w:rPr>
                <w:rFonts w:ascii="仿宋_GB2312" w:hAnsi="仿宋" w:eastAsia="仿宋_GB2312"/>
                <w:color w:val="auto"/>
                <w:sz w:val="24"/>
              </w:rPr>
              <w:t>% ;</w:t>
            </w:r>
            <w:r>
              <w:rPr>
                <w:rFonts w:hint="eastAsia" w:ascii="仿宋_GB2312" w:hAnsi="仿宋" w:eastAsia="仿宋_GB2312"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
              <w:t>；</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4.本项目的特定资格要求：无</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三、获取招标文件</w:t>
            </w:r>
            <w:r>
              <w:rPr>
                <w:rFonts w:ascii="仿宋_GB2312" w:hAnsi="新宋体" w:eastAsia="仿宋_GB2312"/>
                <w:b/>
                <w:color w:val="auto"/>
                <w:szCs w:val="24"/>
              </w:rPr>
              <w:t>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时间：</w:t>
            </w:r>
            <w:r>
              <w:rPr>
                <w:rFonts w:ascii="仿宋_GB2312" w:hAnsi="仿宋" w:eastAsia="仿宋_GB2312" w:cs="仿宋"/>
                <w:color w:val="auto"/>
                <w:sz w:val="24"/>
              </w:rPr>
              <w:t>/至</w:t>
            </w:r>
            <w:r>
              <w:rPr>
                <w:rFonts w:ascii="仿宋_GB2312" w:hAnsi="仿宋" w:eastAsia="仿宋_GB2312" w:cs="仿宋"/>
                <w:color w:val="auto"/>
                <w:sz w:val="24"/>
                <w:u w:val="single"/>
              </w:rPr>
              <w:t>2024年</w:t>
            </w:r>
            <w:r>
              <w:rPr>
                <w:rFonts w:hint="eastAsia" w:ascii="仿宋_GB2312" w:hAnsi="仿宋" w:eastAsia="仿宋_GB2312" w:cs="仿宋"/>
                <w:color w:val="auto"/>
                <w:sz w:val="24"/>
                <w:u w:val="single"/>
                <w:lang w:val="en-US" w:eastAsia="zh-CN"/>
              </w:rPr>
              <w:t>09</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25</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rPr>
              <w:t>，每天上午</w:t>
            </w:r>
            <w:r>
              <w:rPr>
                <w:rFonts w:ascii="仿宋_GB2312" w:hAnsi="仿宋" w:eastAsia="仿宋_GB2312" w:cs="仿宋"/>
                <w:color w:val="auto"/>
                <w:sz w:val="24"/>
              </w:rPr>
              <w:t xml:space="preserve">00:00至12:00 </w:t>
            </w:r>
            <w:r>
              <w:rPr>
                <w:rFonts w:hint="eastAsia" w:ascii="仿宋_GB2312" w:hAnsi="仿宋" w:eastAsia="仿宋_GB2312" w:cs="仿宋"/>
                <w:color w:val="auto"/>
                <w:sz w:val="24"/>
              </w:rPr>
              <w:t>，下午</w:t>
            </w:r>
            <w:r>
              <w:rPr>
                <w:rFonts w:ascii="仿宋_GB2312" w:hAnsi="仿宋" w:eastAsia="仿宋_GB2312" w:cs="仿宋"/>
                <w:color w:val="auto"/>
                <w:sz w:val="24"/>
              </w:rPr>
              <w:t>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地点（网址）：</w:t>
            </w:r>
            <w:r>
              <w:rPr>
                <w:rFonts w:hint="eastAsia" w:ascii="仿宋_GB2312" w:hAnsi="仿宋" w:eastAsia="仿宋_GB2312" w:cs="仿宋"/>
                <w:color w:val="auto"/>
                <w:sz w:val="24"/>
              </w:rPr>
              <w:t>政采云平台（</w:t>
            </w:r>
            <w:r>
              <w:rPr>
                <w:rFonts w:ascii="仿宋_GB2312" w:hAnsi="仿宋" w:eastAsia="仿宋_GB2312" w:cs="仿宋"/>
                <w:color w:val="auto"/>
                <w:sz w:val="24"/>
              </w:rPr>
              <w:t xml:space="preserve">https://www.zcygov.cn/）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方式：</w:t>
            </w:r>
            <w:r>
              <w:rPr>
                <w:rFonts w:hint="eastAsia" w:ascii="仿宋_GB2312" w:hAnsi="仿宋" w:eastAsia="仿宋_GB2312" w:cs="仿宋"/>
                <w:color w:val="auto"/>
                <w:sz w:val="24"/>
              </w:rPr>
              <w:t>供应商登录政采云平台</w:t>
            </w:r>
            <w:r>
              <w:rPr>
                <w:rFonts w:ascii="仿宋_GB2312" w:hAnsi="仿宋" w:eastAsia="仿宋_GB2312" w:cs="仿宋"/>
                <w:color w:val="auto"/>
                <w:sz w:val="24"/>
              </w:rPr>
              <w:t xml:space="preserve">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售价（元）：</w:t>
            </w:r>
            <w:r>
              <w:rPr>
                <w:rFonts w:ascii="仿宋_GB2312" w:hAnsi="仿宋" w:eastAsia="仿宋_GB2312" w:cs="仿宋"/>
                <w:color w:val="auto"/>
                <w:sz w:val="24"/>
              </w:rPr>
              <w:t xml:space="preserve">0 </w:t>
            </w:r>
            <w:r>
              <w:rPr>
                <w:rFonts w:ascii="仿宋_GB2312" w:hAnsi="仿宋" w:eastAsia="仿宋_GB2312" w:cs="仿宋"/>
                <w:color w:val="auto"/>
                <w:sz w:val="24"/>
              </w:rPr>
              <w:tab/>
            </w:r>
          </w:p>
          <w:p>
            <w:pPr>
              <w:pStyle w:val="100"/>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四、提交投标文件截止时间、开标时间和地点</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提交投标文件截止时间：</w:t>
            </w:r>
            <w:r>
              <w:rPr>
                <w:rFonts w:ascii="仿宋_GB2312" w:hAnsi="仿宋" w:eastAsia="仿宋_GB2312" w:cs="仿宋"/>
                <w:color w:val="auto"/>
                <w:sz w:val="24"/>
                <w:u w:val="single"/>
              </w:rPr>
              <w:t>2024年</w:t>
            </w:r>
            <w:r>
              <w:rPr>
                <w:rFonts w:hint="eastAsia" w:ascii="仿宋_GB2312" w:hAnsi="仿宋" w:eastAsia="仿宋_GB2312" w:cs="仿宋"/>
                <w:color w:val="auto"/>
                <w:sz w:val="24"/>
                <w:u w:val="single"/>
                <w:lang w:val="en-US" w:eastAsia="zh-CN"/>
              </w:rPr>
              <w:t>09</w:t>
            </w:r>
            <w:r>
              <w:rPr>
                <w:rFonts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25</w:t>
            </w:r>
            <w:r>
              <w:rPr>
                <w:rFonts w:ascii="仿宋_GB2312" w:hAnsi="仿宋" w:eastAsia="仿宋_GB2312" w:cs="仿宋"/>
                <w:color w:val="auto"/>
                <w:sz w:val="24"/>
                <w:u w:val="single"/>
              </w:rPr>
              <w:t xml:space="preserve">日 </w:t>
            </w:r>
            <w:r>
              <w:rPr>
                <w:rFonts w:hint="eastAsia" w:ascii="仿宋_GB2312" w:hAnsi="仿宋" w:eastAsia="仿宋_GB2312" w:cs="仿宋"/>
                <w:color w:val="auto"/>
                <w:sz w:val="24"/>
                <w:u w:val="single"/>
                <w:lang w:val="en-US" w:eastAsia="zh-CN"/>
              </w:rPr>
              <w:t>10</w:t>
            </w:r>
            <w:r>
              <w:rPr>
                <w:rFonts w:ascii="仿宋_GB2312" w:hAnsi="仿宋" w:eastAsia="仿宋_GB2312" w:cs="仿宋"/>
                <w:color w:val="auto"/>
                <w:sz w:val="24"/>
                <w:u w:val="single"/>
              </w:rPr>
              <w:t>点</w:t>
            </w:r>
            <w:r>
              <w:rPr>
                <w:rFonts w:hint="eastAsia" w:ascii="仿宋_GB2312" w:hAnsi="仿宋" w:eastAsia="仿宋_GB2312" w:cs="仿宋"/>
                <w:color w:val="auto"/>
                <w:sz w:val="24"/>
                <w:u w:val="single"/>
              </w:rPr>
              <w:t>00</w:t>
            </w:r>
            <w:r>
              <w:rPr>
                <w:rFonts w:ascii="仿宋_GB2312" w:hAnsi="仿宋" w:eastAsia="仿宋_GB2312" w:cs="仿宋"/>
                <w:color w:val="auto"/>
                <w:sz w:val="24"/>
                <w:u w:val="single"/>
              </w:rPr>
              <w:t xml:space="preserve"> 分00秒</w:t>
            </w:r>
            <w:r>
              <w:rPr>
                <w:rFonts w:hint="eastAsia" w:ascii="仿宋_GB2312" w:hAnsi="仿宋" w:eastAsia="仿宋_GB2312" w:cs="仿宋"/>
                <w:color w:val="auto"/>
                <w:sz w:val="24"/>
              </w:rPr>
              <w:t>（北京时间）</w:t>
            </w:r>
          </w:p>
          <w:p>
            <w:pPr>
              <w:spacing w:line="440" w:lineRule="exact"/>
              <w:ind w:firstLine="482" w:firstLineChars="200"/>
              <w:rPr>
                <w:rFonts w:ascii="仿宋_GB2312" w:hAnsi="仿宋" w:eastAsia="仿宋_GB2312" w:cs="仿宋"/>
                <w:b/>
                <w:color w:val="auto"/>
                <w:sz w:val="24"/>
              </w:rPr>
            </w:pPr>
            <w:r>
              <w:rPr>
                <w:rFonts w:hint="eastAsia" w:ascii="仿宋_GB2312" w:hAnsi="仿宋" w:eastAsia="仿宋_GB2312" w:cs="仿宋"/>
                <w:b/>
                <w:color w:val="auto"/>
                <w:sz w:val="24"/>
              </w:rPr>
              <w:t>投标地点（网址）：</w:t>
            </w:r>
            <w:r>
              <w:rPr>
                <w:rFonts w:hint="eastAsia" w:ascii="仿宋_GB2312" w:hAnsi="仿宋" w:eastAsia="仿宋_GB2312" w:cs="仿宋"/>
                <w:color w:val="auto"/>
                <w:sz w:val="24"/>
              </w:rPr>
              <w:t>政采云平台（</w:t>
            </w:r>
            <w:r>
              <w:rPr>
                <w:rFonts w:ascii="仿宋_GB2312" w:hAnsi="仿宋" w:eastAsia="仿宋_GB2312" w:cs="仿宋"/>
                <w:color w:val="auto"/>
                <w:sz w:val="24"/>
              </w:rPr>
              <w:t xml:space="preserve">https://www.zcygov.cn/） </w:t>
            </w:r>
          </w:p>
          <w:p>
            <w:pPr>
              <w:spacing w:line="440" w:lineRule="exact"/>
              <w:ind w:firstLine="482" w:firstLineChars="200"/>
              <w:rPr>
                <w:rFonts w:ascii="仿宋_GB2312" w:hAnsi="仿宋" w:eastAsia="仿宋_GB2312" w:cs="仿宋"/>
                <w:bCs/>
                <w:color w:val="auto"/>
                <w:sz w:val="24"/>
                <w:u w:val="single"/>
              </w:rPr>
            </w:pPr>
            <w:r>
              <w:rPr>
                <w:rFonts w:hint="eastAsia" w:ascii="仿宋_GB2312" w:hAnsi="仿宋" w:eastAsia="仿宋_GB2312" w:cs="仿宋"/>
                <w:b/>
                <w:color w:val="auto"/>
                <w:sz w:val="24"/>
              </w:rPr>
              <w:t>开标时间：</w:t>
            </w:r>
            <w:r>
              <w:rPr>
                <w:rFonts w:ascii="仿宋_GB2312" w:hAnsi="仿宋" w:eastAsia="仿宋_GB2312" w:cs="仿宋"/>
                <w:color w:val="auto"/>
                <w:sz w:val="24"/>
                <w:u w:val="single"/>
              </w:rPr>
              <w:t>2024</w:t>
            </w:r>
            <w:r>
              <w:rPr>
                <w:rFonts w:hint="eastAsia" w:ascii="仿宋_GB2312" w:hAnsi="仿宋" w:eastAsia="仿宋_GB2312" w:cs="仿宋"/>
                <w:color w:val="auto"/>
                <w:sz w:val="24"/>
                <w:u w:val="single"/>
              </w:rPr>
              <w:t>年</w:t>
            </w:r>
            <w:r>
              <w:rPr>
                <w:rFonts w:hint="eastAsia" w:ascii="仿宋_GB2312" w:hAnsi="仿宋" w:eastAsia="仿宋_GB2312" w:cs="仿宋"/>
                <w:color w:val="auto"/>
                <w:sz w:val="24"/>
                <w:u w:val="single"/>
                <w:lang w:val="en-US" w:eastAsia="zh-CN"/>
              </w:rPr>
              <w:t>09</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25</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u w:val="single"/>
                <w:lang w:val="en-US" w:eastAsia="zh-CN"/>
              </w:rPr>
              <w:t>10</w:t>
            </w:r>
            <w:r>
              <w:rPr>
                <w:rFonts w:hint="eastAsia" w:ascii="仿宋_GB2312" w:hAnsi="仿宋" w:eastAsia="仿宋_GB2312" w:cs="仿宋"/>
                <w:color w:val="auto"/>
                <w:sz w:val="24"/>
                <w:u w:val="single"/>
              </w:rPr>
              <w:t>点00分</w:t>
            </w:r>
            <w:r>
              <w:rPr>
                <w:rFonts w:ascii="仿宋_GB2312" w:hAnsi="仿宋" w:eastAsia="仿宋_GB2312" w:cs="仿宋"/>
                <w:color w:val="auto"/>
                <w:sz w:val="24"/>
                <w:u w:val="single"/>
              </w:rPr>
              <w:t>00秒</w:t>
            </w:r>
          </w:p>
          <w:p>
            <w:pPr>
              <w:pStyle w:val="100"/>
              <w:spacing w:afterLines="0" w:line="440" w:lineRule="exact"/>
              <w:ind w:firstLine="480"/>
              <w:rPr>
                <w:rFonts w:ascii="仿宋_GB2312" w:hAnsi="新宋体" w:eastAsia="仿宋_GB2312"/>
                <w:color w:val="auto"/>
                <w:szCs w:val="24"/>
              </w:rPr>
            </w:pPr>
            <w:r>
              <w:rPr>
                <w:rFonts w:hint="eastAsia" w:ascii="仿宋_GB2312" w:hAnsi="仿宋" w:eastAsia="仿宋_GB2312" w:cs="仿宋"/>
                <w:b/>
                <w:color w:val="auto"/>
              </w:rPr>
              <w:t>开标地点（网址）：</w:t>
            </w:r>
            <w:r>
              <w:rPr>
                <w:rFonts w:hint="eastAsia" w:ascii="仿宋_GB2312" w:hAnsi="仿宋" w:eastAsia="仿宋_GB2312" w:cs="仿宋"/>
                <w:color w:val="auto"/>
              </w:rPr>
              <w:t>政采云平台（</w:t>
            </w:r>
            <w:r>
              <w:rPr>
                <w:rFonts w:ascii="仿宋_GB2312" w:hAnsi="仿宋" w:eastAsia="仿宋_GB2312" w:cs="仿宋"/>
                <w:color w:val="auto"/>
              </w:rPr>
              <w:t>https://www.zcygov.cn/）</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五、公告期限</w:t>
            </w:r>
            <w:r>
              <w:rPr>
                <w:rFonts w:ascii="仿宋_GB2312" w:hAnsi="新宋体" w:eastAsia="仿宋_GB2312"/>
                <w:b/>
                <w:color w:val="auto"/>
                <w:szCs w:val="24"/>
              </w:rPr>
              <w:t>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w:t>
            </w:r>
            <w:r>
              <w:rPr>
                <w:rFonts w:ascii="仿宋_GB2312" w:hAnsi="新宋体" w:eastAsia="仿宋_GB2312"/>
                <w:color w:val="auto"/>
                <w:szCs w:val="24"/>
              </w:rPr>
              <w:t>5个工作日。</w:t>
            </w:r>
          </w:p>
          <w:p>
            <w:pPr>
              <w:pStyle w:val="100"/>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六、其他补充事宜</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1.《浙江省财政厅关于进一步发挥政府采购政策功能全力推动经济稳进提质的通知》 </w:t>
            </w:r>
            <w:r>
              <w:rPr>
                <w:rFonts w:hint="eastAsia" w:ascii="仿宋_GB2312" w:hAnsi="仿宋" w:eastAsia="仿宋_GB2312" w:cs="仿宋"/>
                <w:color w:val="auto"/>
                <w:sz w:val="24"/>
              </w:rPr>
              <w:t>（浙财采监（</w:t>
            </w:r>
            <w:r>
              <w:rPr>
                <w:rFonts w:ascii="仿宋_GB2312" w:hAnsi="仿宋" w:eastAsia="仿宋_GB2312" w:cs="仿宋"/>
                <w:color w:val="auto"/>
                <w:sz w:val="24"/>
              </w:rPr>
              <w:t xml:space="preserve">2022）3号）、《浙江省财政厅关于进一步促进政府采购公平竞争打造最优营商环境的通知》（浙财采监（2021）22号））、《浙江省财政厅关于进一步加大政府采购支持中小企业力度助力扎实稳住经济的通知》 </w:t>
            </w:r>
            <w:r>
              <w:rPr>
                <w:rFonts w:hint="eastAsia" w:ascii="仿宋_GB2312" w:hAnsi="仿宋" w:eastAsia="仿宋_GB2312" w:cs="仿宋"/>
                <w:color w:val="auto"/>
                <w:sz w:val="24"/>
              </w:rPr>
              <w:t>（浙财采监（</w:t>
            </w:r>
            <w:r>
              <w:rPr>
                <w:rFonts w:ascii="仿宋_GB2312" w:hAnsi="仿宋" w:eastAsia="仿宋_GB2312" w:cs="仿宋"/>
                <w:color w:val="auto"/>
                <w:sz w:val="24"/>
              </w:rPr>
              <w:t>2022）8号）已分别于2022年1月29日、2022年2月1日和2022年7月1日开始实施，此前有关规定与上述文件内容不一致的，按上述文件要求执行。</w:t>
            </w:r>
          </w:p>
          <w:p>
            <w:pPr>
              <w:pStyle w:val="100"/>
              <w:spacing w:afterLines="0" w:line="440" w:lineRule="exact"/>
              <w:ind w:firstLine="480"/>
              <w:rPr>
                <w:rFonts w:ascii="仿宋_GB2312" w:hAnsi="新宋体" w:eastAsia="仿宋_GB2312"/>
                <w:color w:val="auto"/>
                <w:szCs w:val="24"/>
              </w:rPr>
            </w:pPr>
            <w:r>
              <w:rPr>
                <w:rFonts w:ascii="仿宋_GB2312" w:hAnsi="仿宋" w:eastAsia="仿宋_GB2312"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2.其他事项：（1）需要落实的政府采购政策：包括节约资源、保护环境、支持创新、促进中小企业发展等。详见招标文件的第二部分总则。（2）</w:t>
            </w:r>
            <w:r>
              <w:rPr>
                <w:rFonts w:ascii="仿宋_GB2312" w:hAnsi="仿宋" w:eastAsia="仿宋_GB2312"/>
                <w:color w:val="auto"/>
              </w:rPr>
              <w:t>电子招投标的说明：</w:t>
            </w:r>
            <w:r>
              <w:rPr>
                <w:rFonts w:hint="eastAsia" w:ascii="仿宋_GB2312" w:hAnsi="仿宋" w:eastAsia="仿宋_GB2312" w:cs="仿宋_GB2312"/>
                <w:color w:val="auto"/>
              </w:rPr>
              <w:t>①</w:t>
            </w:r>
            <w:r>
              <w:rPr>
                <w:rFonts w:ascii="仿宋_GB2312" w:hAnsi="仿宋" w:eastAsia="仿宋_GB2312" w:cs="仿宋_GB2312"/>
                <w:color w:val="auto"/>
              </w:rPr>
              <w:t>电子招投标：本项目以数据电文形式，依托“政府采购云平台（www.zcygov.cn）”进行招投标活动，不接受纸质投标文件</w:t>
            </w:r>
            <w:r>
              <w:rPr>
                <w:rFonts w:hint="eastAsia" w:ascii="仿宋_GB2312" w:hAnsi="仿宋" w:eastAsia="仿宋_GB2312" w:cs="仿宋_GB2312"/>
                <w:color w:val="auto"/>
              </w:rPr>
              <w:t>；②</w:t>
            </w:r>
            <w:r>
              <w:rPr>
                <w:rFonts w:ascii="仿宋_GB2312" w:hAnsi="仿宋" w:eastAsia="仿宋_GB2312" w:cs="仿宋_GB2312"/>
                <w:color w:val="auto"/>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rPr>
              <w:t>采云电子交易客户端”</w:t>
            </w:r>
            <w:r>
              <w:rPr>
                <w:rFonts w:ascii="仿宋_GB2312" w:hAnsi="仿宋" w:eastAsia="仿宋_GB2312" w:cs="仿宋_GB2312"/>
                <w:color w:val="auto"/>
              </w:rPr>
              <w:t>----前往“浙江政府采购网-下载专区-电子交易客户端”进行下载并安装</w:t>
            </w:r>
            <w:r>
              <w:rPr>
                <w:rFonts w:hint="eastAsia" w:ascii="仿宋_GB2312" w:hAnsi="仿宋" w:eastAsia="仿宋_GB2312" w:cs="仿宋_GB2312"/>
                <w:color w:val="auto"/>
              </w:rPr>
              <w:t>；③</w:t>
            </w:r>
            <w:r>
              <w:rPr>
                <w:rFonts w:ascii="仿宋_GB2312" w:hAnsi="仿宋" w:eastAsia="仿宋_GB2312" w:cs="仿宋_GB2312"/>
                <w:color w:val="auto"/>
              </w:rPr>
              <w:t>招标文件的获取：使用账号登录或者使用CA登录政</w:t>
            </w:r>
            <w:r>
              <w:rPr>
                <w:rFonts w:hint="eastAsia" w:ascii="仿宋_GB2312" w:hAnsi="仿宋" w:eastAsia="仿宋_GB2312" w:cs="仿宋_GB2312"/>
                <w:color w:val="auto"/>
              </w:rPr>
              <w:t>采云平台；进入“项目采购”应用，在获取采购文件菜单中选择项目，获取招标文件；④</w:t>
            </w:r>
            <w:r>
              <w:rPr>
                <w:rFonts w:ascii="仿宋_GB2312" w:hAnsi="仿宋" w:eastAsia="仿宋_GB2312" w:cs="仿宋_GB2312"/>
                <w:color w:val="auto"/>
              </w:rPr>
              <w:t>投标文件的制作：在“政</w:t>
            </w:r>
            <w:r>
              <w:rPr>
                <w:rFonts w:hint="eastAsia" w:ascii="仿宋_GB2312" w:hAnsi="仿宋" w:eastAsia="仿宋_GB2312" w:cs="仿宋_GB2312"/>
                <w:color w:val="auto"/>
              </w:rPr>
              <w:t>采云电子交易客户端”中完成“填写基本信息”、“导入投标文件”、“标书关联”、“标书检查”、“电子签名”、“生成电子标书”等操作；</w:t>
            </w:r>
            <w:r>
              <w:rPr>
                <w:rFonts w:hint="eastAsia" w:ascii="仿宋_GB2312" w:hAnsi="仿宋" w:eastAsia="仿宋_GB2312"/>
                <w:color w:val="auto"/>
              </w:rPr>
              <w:t>⑤</w:t>
            </w:r>
            <w:r>
              <w:rPr>
                <w:rFonts w:ascii="仿宋_GB2312" w:hAnsi="仿宋" w:eastAsia="仿宋_GB2312"/>
                <w:color w:val="auto"/>
              </w:rPr>
              <w:t>采购人、采购机构将依托政</w:t>
            </w:r>
            <w:r>
              <w:rPr>
                <w:rFonts w:hint="eastAsia" w:ascii="仿宋_GB2312" w:hAnsi="仿宋" w:eastAsia="仿宋_GB2312"/>
                <w:color w:val="auto"/>
              </w:rPr>
              <w:t>采云平台完成本项目的电子交易活动，平台不接受未按上述方式获取招标文件的供应商进行投标活动；⑥</w:t>
            </w:r>
            <w:r>
              <w:rPr>
                <w:rFonts w:ascii="仿宋_GB2312" w:hAnsi="仿宋" w:eastAsia="仿宋_GB2312"/>
                <w:color w:val="auto"/>
              </w:rPr>
              <w:t>对未按上述方式获取招标文件的供应商对该文件提出的质疑，采购人或采购代理机构将</w:t>
            </w:r>
            <w:r>
              <w:rPr>
                <w:rFonts w:hint="eastAsia" w:ascii="仿宋_GB2312" w:hAnsi="仿宋" w:eastAsia="仿宋_GB2312"/>
                <w:color w:val="auto"/>
              </w:rPr>
              <w:t>不予处理；⑦</w:t>
            </w:r>
            <w:r>
              <w:rPr>
                <w:rFonts w:ascii="仿宋_GB2312" w:hAnsi="仿宋" w:eastAsia="仿宋_GB2312"/>
                <w:color w:val="auto"/>
              </w:rPr>
              <w:t>不提供招标文件纸质版</w:t>
            </w:r>
            <w:r>
              <w:rPr>
                <w:rFonts w:hint="eastAsia" w:ascii="仿宋_GB2312" w:hAnsi="仿宋" w:eastAsia="仿宋_GB2312"/>
                <w:color w:val="auto"/>
              </w:rPr>
              <w:t>；</w:t>
            </w:r>
            <w:r>
              <w:rPr>
                <w:rFonts w:hint="eastAsia" w:ascii="仿宋_GB2312" w:hAnsi="仿宋" w:eastAsia="仿宋_GB2312" w:cs="仿宋_GB2312"/>
                <w:color w:val="auto"/>
              </w:rPr>
              <w:t>⑧</w:t>
            </w:r>
            <w:r>
              <w:rPr>
                <w:rFonts w:ascii="仿宋_GB2312" w:hAnsi="仿宋" w:eastAsia="仿宋_GB2312" w:cs="仿宋_GB2312"/>
                <w:color w:val="auto"/>
              </w:rPr>
              <w:t>投标文件的传输递交：投标人在投标截止时间前将加密的投标文件上传至政府采购云平台</w:t>
            </w:r>
            <w:r>
              <w:rPr>
                <w:rFonts w:hint="eastAsia" w:ascii="仿宋_GB2312" w:hAnsi="仿宋" w:eastAsia="仿宋_GB2312" w:cs="仿宋_GB2312"/>
                <w:color w:val="auto"/>
              </w:rPr>
              <w:t>；</w:t>
            </w:r>
            <w:r>
              <w:rPr>
                <w:rFonts w:hint="eastAsia" w:ascii="仿宋_GB2312" w:hAnsi="仿宋" w:eastAsia="仿宋_GB2312"/>
                <w:color w:val="auto"/>
              </w:rPr>
              <w:t>⑨</w:t>
            </w:r>
            <w:r>
              <w:rPr>
                <w:rFonts w:hint="eastAsia" w:ascii="仿宋_GB2312" w:hAnsi="仿宋" w:eastAsia="仿宋_GB2312" w:cs="仿宋_GB2312"/>
                <w:color w:val="auto"/>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rPr>
              <w:t>（投标人应特别注意</w:t>
            </w:r>
            <w:r>
              <w:rPr>
                <w:rFonts w:ascii="仿宋_GB2312" w:hAnsi="仿宋" w:eastAsia="仿宋_GB2312" w:cs="仿宋_GB2312"/>
                <w:b/>
                <w:color w:val="auto"/>
              </w:rPr>
              <w:t>CA锁有效性，CA锁延期、补办后，虽硬件介质不变，但锁的证书Key号发生改变，视为不同锁，会导致开标时无法解密投标文件）</w:t>
            </w:r>
            <w:r>
              <w:rPr>
                <w:rFonts w:hint="eastAsia" w:ascii="仿宋_GB2312" w:hAnsi="仿宋" w:eastAsia="仿宋_GB2312" w:cs="仿宋_GB2312"/>
                <w:color w:val="auto"/>
              </w:rPr>
              <w:t>，视为投标文件撤回；⑩</w:t>
            </w:r>
            <w:r>
              <w:rPr>
                <w:rFonts w:ascii="仿宋_GB2312" w:hAnsi="仿宋" w:eastAsia="仿宋_GB2312" w:cs="仿宋_GB2312"/>
                <w:color w:val="auto"/>
              </w:rPr>
              <w:t>具体操作指南：详见政</w:t>
            </w:r>
            <w:r>
              <w:rPr>
                <w:rFonts w:hint="eastAsia" w:ascii="仿宋_GB2312" w:hAnsi="仿宋" w:eastAsia="仿宋_GB2312" w:cs="仿宋_GB2312"/>
                <w:color w:val="auto"/>
              </w:rPr>
              <w:t>采云平台“服务中心</w:t>
            </w:r>
            <w:r>
              <w:rPr>
                <w:rFonts w:ascii="仿宋_GB2312" w:hAnsi="仿宋" w:eastAsia="仿宋_GB2312" w:cs="仿宋_GB2312"/>
                <w:color w:val="auto"/>
              </w:rPr>
              <w:t>-帮助文档-项目采购-操作流程-电子招投标-政府采购项目电子交易管理操作指南-供应商”。</w:t>
            </w:r>
            <w:r>
              <w:rPr>
                <w:rFonts w:hint="eastAsia" w:ascii="仿宋_GB2312" w:hAnsi="新宋体" w:eastAsia="仿宋_GB2312"/>
                <w:color w:val="auto"/>
                <w:szCs w:val="24"/>
              </w:rPr>
              <w:t>（</w:t>
            </w:r>
            <w:r>
              <w:rPr>
                <w:rFonts w:ascii="仿宋_GB2312" w:hAnsi="新宋体" w:eastAsia="仿宋_GB2312"/>
                <w:color w:val="auto"/>
                <w:szCs w:val="24"/>
              </w:rPr>
              <w:t>3）招标文件公告期限与招标公告的公告期限一致。</w:t>
            </w:r>
          </w:p>
          <w:p>
            <w:pPr>
              <w:pStyle w:val="100"/>
              <w:spacing w:afterLines="0" w:line="440" w:lineRule="exact"/>
              <w:ind w:firstLine="480"/>
              <w:rPr>
                <w:rFonts w:ascii="仿宋_GB2312" w:hAnsi="新宋体" w:eastAsia="仿宋_GB2312"/>
                <w:b/>
                <w:color w:val="auto"/>
                <w:szCs w:val="24"/>
              </w:rPr>
            </w:pPr>
            <w:r>
              <w:rPr>
                <w:rFonts w:hint="eastAsia" w:ascii="仿宋_GB2312" w:hAnsi="新宋体" w:eastAsia="仿宋_GB2312"/>
                <w:b/>
                <w:color w:val="auto"/>
                <w:szCs w:val="24"/>
              </w:rPr>
              <w:t>七、对本次采购提出询问、质疑、投诉，请按以下方式联系</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1.采购人信息</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名称：绍兴市政务服务办公室</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w:t>
            </w:r>
            <w:r>
              <w:rPr>
                <w:rFonts w:hint="eastAsia" w:ascii="仿宋_GB2312" w:hAnsi="宋体" w:eastAsia="仿宋_GB2312" w:cs="宋体"/>
                <w:color w:val="auto"/>
                <w:szCs w:val="24"/>
              </w:rPr>
              <w:t>绍兴市</w:t>
            </w:r>
            <w:r>
              <w:rPr>
                <w:rFonts w:hint="eastAsia" w:ascii="仿宋_GB2312" w:hAnsi="新宋体" w:eastAsia="仿宋_GB2312"/>
                <w:color w:val="auto"/>
                <w:szCs w:val="24"/>
              </w:rPr>
              <w:t>越城区凤林西路</w:t>
            </w:r>
            <w:r>
              <w:rPr>
                <w:rFonts w:ascii="仿宋_GB2312" w:hAnsi="新宋体" w:eastAsia="仿宋_GB2312"/>
                <w:color w:val="auto"/>
                <w:szCs w:val="24"/>
              </w:rPr>
              <w:t xml:space="preserve">178号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传真：0575-89171136</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项目联系人（询问）：何昱磊</w:t>
            </w:r>
            <w:r>
              <w:rPr>
                <w:rFonts w:ascii="仿宋_GB2312" w:hAnsi="新宋体" w:eastAsia="仿宋_GB2312"/>
                <w:color w:val="auto"/>
                <w:szCs w:val="24"/>
              </w:rPr>
              <w:t xml:space="preserve">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项目联系方式（询问）：0575-89171136</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w:t>
            </w:r>
            <w:r>
              <w:rPr>
                <w:rFonts w:hint="eastAsia" w:ascii="仿宋_GB2312" w:hAnsi="宋体" w:eastAsia="仿宋_GB2312" w:cs="宋体"/>
                <w:color w:val="auto"/>
                <w:szCs w:val="24"/>
              </w:rPr>
              <w:t>王大珂</w:t>
            </w:r>
            <w:r>
              <w:rPr>
                <w:rFonts w:ascii="仿宋_GB2312" w:hAnsi="新宋体" w:eastAsia="仿宋_GB2312"/>
                <w:color w:val="auto"/>
                <w:szCs w:val="24"/>
              </w:rPr>
              <w:t xml:space="preserve">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质疑联系方式：</w:t>
            </w:r>
            <w:r>
              <w:rPr>
                <w:rFonts w:hint="eastAsia" w:ascii="仿宋_GB2312" w:hAnsi="宋体" w:eastAsia="仿宋_GB2312" w:cs="宋体"/>
                <w:color w:val="auto"/>
                <w:szCs w:val="24"/>
              </w:rPr>
              <w:t>0575-89171167</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2.采购代理机构信息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名称：浙江建诚工程管理咨询有限公司</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w:t>
            </w:r>
            <w:r>
              <w:rPr>
                <w:rFonts w:hint="eastAsia" w:ascii="仿宋_GB2312" w:hAnsi="宋体" w:eastAsia="仿宋_GB2312" w:cs="宋体"/>
                <w:color w:val="auto"/>
                <w:szCs w:val="24"/>
              </w:rPr>
              <w:t>绍兴市越城区平江路龙湖大厦14楼</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hint="eastAsia" w:ascii="仿宋_GB2312" w:hAnsi="宋体" w:eastAsia="仿宋_GB2312" w:cs="宋体"/>
                <w:color w:val="auto"/>
                <w:szCs w:val="24"/>
              </w:rPr>
              <w:t xml:space="preserve">    /  </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项目联系人（询问）：</w:t>
            </w:r>
            <w:r>
              <w:rPr>
                <w:rFonts w:hint="eastAsia" w:ascii="仿宋_GB2312" w:hAnsi="宋体" w:eastAsia="仿宋_GB2312" w:cs="宋体"/>
                <w:color w:val="auto"/>
                <w:szCs w:val="24"/>
              </w:rPr>
              <w:t>于玲娜</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项目联系方式（询问）：</w:t>
            </w:r>
            <w:r>
              <w:rPr>
                <w:rFonts w:hint="eastAsia" w:ascii="仿宋_GB2312" w:hAnsi="宋体" w:eastAsia="仿宋_GB2312" w:cs="宋体"/>
                <w:color w:val="auto"/>
                <w:szCs w:val="24"/>
              </w:rPr>
              <w:t>13516709700</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w:t>
            </w:r>
            <w:r>
              <w:rPr>
                <w:rFonts w:hint="eastAsia" w:ascii="仿宋_GB2312" w:hAnsi="宋体" w:eastAsia="仿宋_GB2312" w:cs="宋体"/>
                <w:color w:val="auto"/>
                <w:szCs w:val="24"/>
              </w:rPr>
              <w:t>徐丽</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质疑联系方式：</w:t>
            </w:r>
            <w:r>
              <w:rPr>
                <w:rFonts w:hint="eastAsia" w:ascii="仿宋_GB2312" w:hAnsi="宋体" w:eastAsia="仿宋_GB2312" w:cs="宋体"/>
                <w:color w:val="auto"/>
                <w:szCs w:val="24"/>
              </w:rPr>
              <w:t>13867506494</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3.同级政府采购监督管理部门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名称：绍兴市财政局</w:t>
            </w:r>
            <w:r>
              <w:rPr>
                <w:rFonts w:ascii="仿宋_GB2312" w:hAnsi="新宋体" w:eastAsia="仿宋_GB2312"/>
                <w:color w:val="auto"/>
                <w:szCs w:val="24"/>
              </w:rPr>
              <w:t>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地址：绍兴市越城区凤林西路</w:t>
            </w:r>
            <w:r>
              <w:rPr>
                <w:rFonts w:ascii="仿宋_GB2312" w:hAnsi="新宋体" w:eastAsia="仿宋_GB2312"/>
                <w:color w:val="auto"/>
                <w:szCs w:val="24"/>
              </w:rPr>
              <w:t>151号       </w:t>
            </w:r>
          </w:p>
          <w:p>
            <w:pPr>
              <w:pStyle w:val="100"/>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ascii="仿宋_GB2312" w:hAnsi="新宋体" w:eastAsia="仿宋_GB2312"/>
                <w:color w:val="auto"/>
              </w:rPr>
              <w:t>0575-85209697</w:t>
            </w:r>
            <w:r>
              <w:rPr>
                <w:rFonts w:ascii="仿宋_GB2312" w:hAnsi="新宋体" w:eastAsia="仿宋_GB2312"/>
                <w:color w:val="auto"/>
                <w:szCs w:val="24"/>
              </w:rPr>
              <w:t>       </w:t>
            </w:r>
          </w:p>
          <w:p>
            <w:pPr>
              <w:pStyle w:val="100"/>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联系人</w:t>
            </w:r>
            <w:r>
              <w:rPr>
                <w:rFonts w:ascii="仿宋_GB2312" w:hAnsi="新宋体" w:eastAsia="仿宋_GB2312"/>
                <w:color w:val="auto"/>
                <w:szCs w:val="24"/>
              </w:rPr>
              <w:t xml:space="preserve"> ：张婷婷      </w:t>
            </w:r>
          </w:p>
          <w:p>
            <w:pPr>
              <w:pStyle w:val="100"/>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监督投诉电话：</w:t>
            </w:r>
            <w:r>
              <w:rPr>
                <w:rFonts w:ascii="仿宋_GB2312" w:hAnsi="新宋体" w:eastAsia="仿宋_GB2312"/>
                <w:color w:val="auto"/>
              </w:rPr>
              <w:t>0575-85209697</w:t>
            </w:r>
            <w:r>
              <w:rPr>
                <w:rFonts w:ascii="仿宋_GB2312" w:hAnsi="新宋体" w:eastAsia="仿宋_GB2312"/>
                <w:color w:val="auto"/>
                <w:szCs w:val="24"/>
              </w:rPr>
              <w:t>       </w:t>
            </w:r>
            <w:r>
              <w:rPr>
                <w:rFonts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若对项目采购电子交易系统操作有疑问，可登录政采云（</w:t>
            </w:r>
            <w:r>
              <w:rPr>
                <w:rFonts w:ascii="仿宋_GB2312" w:hAnsi="新宋体" w:eastAsia="仿宋_GB2312"/>
                <w:color w:val="auto"/>
                <w:szCs w:val="24"/>
              </w:rPr>
              <w:t>https://www.zcygov.cn/），点击右侧咨询小采，获取采小蜜智能服务管家帮助，或拨打政采云服务热线95763</w:t>
            </w:r>
            <w:r>
              <w:rPr>
                <w:rFonts w:hint="eastAsia" w:ascii="仿宋_GB2312" w:hAnsi="新宋体" w:eastAsia="仿宋_GB2312"/>
                <w:color w:val="auto"/>
                <w:szCs w:val="24"/>
              </w:rPr>
              <w:t>获取热线服务帮助。</w:t>
            </w:r>
          </w:p>
          <w:p>
            <w:pPr>
              <w:pStyle w:val="100"/>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rPr>
            </w:pPr>
            <w:r>
              <w:rPr>
                <w:rFonts w:hint="eastAsia" w:ascii="仿宋_GB2312" w:hAnsi="新宋体" w:eastAsia="仿宋_GB2312"/>
                <w:color w:val="auto"/>
              </w:rPr>
              <w:t>·</w:t>
            </w:r>
          </w:p>
        </w:tc>
      </w:tr>
    </w:tbl>
    <w:p>
      <w:pPr>
        <w:widowControl/>
        <w:jc w:val="center"/>
        <w:rPr>
          <w:rFonts w:ascii="仿宋_GB2312" w:hAnsi="宋体" w:eastAsia="仿宋_GB2312"/>
          <w:b/>
          <w:color w:val="auto"/>
          <w:sz w:val="36"/>
          <w:szCs w:val="36"/>
        </w:rPr>
      </w:pPr>
      <w:r>
        <w:rPr>
          <w:rFonts w:ascii="仿宋_GB2312" w:hAnsi="新宋体" w:eastAsia="仿宋_GB2312"/>
          <w:color w:val="auto"/>
        </w:rPr>
        <w:br w:type="page"/>
      </w:r>
      <w:r>
        <w:rPr>
          <w:rFonts w:hint="eastAsia" w:ascii="仿宋_GB2312" w:hAnsi="宋体" w:eastAsia="仿宋_GB2312"/>
          <w:b/>
          <w:color w:val="auto"/>
          <w:sz w:val="36"/>
          <w:szCs w:val="36"/>
        </w:rPr>
        <w:t>第二部分投标须知</w:t>
      </w:r>
    </w:p>
    <w:p>
      <w:pPr>
        <w:ind w:left="238"/>
        <w:jc w:val="center"/>
        <w:rPr>
          <w:rFonts w:ascii="仿宋_GB2312" w:hAnsi="宋体" w:eastAsia="仿宋_GB2312"/>
          <w:b/>
          <w:color w:val="auto"/>
          <w:sz w:val="30"/>
          <w:szCs w:val="36"/>
        </w:rPr>
      </w:pPr>
      <w:bookmarkStart w:id="0" w:name="_Hlk47616320"/>
      <w:r>
        <w:rPr>
          <w:rFonts w:hint="eastAsia" w:ascii="仿宋_GB2312" w:hAnsi="宋体" w:eastAsia="仿宋_GB2312"/>
          <w:b/>
          <w:color w:val="auto"/>
          <w:sz w:val="30"/>
          <w:szCs w:val="36"/>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36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0" w:type="dxa"/>
            <w:gridSpan w:val="2"/>
            <w:vAlign w:val="center"/>
          </w:tcPr>
          <w:p>
            <w:pPr>
              <w:spacing w:line="36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w:t>
            </w:r>
          </w:p>
        </w:tc>
        <w:tc>
          <w:tcPr>
            <w:tcW w:w="8370" w:type="dxa"/>
            <w:gridSpan w:val="2"/>
            <w:vAlign w:val="center"/>
          </w:tcPr>
          <w:p>
            <w:pPr>
              <w:snapToGrid w:val="0"/>
              <w:spacing w:line="36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36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2</w:t>
            </w:r>
          </w:p>
        </w:tc>
        <w:tc>
          <w:tcPr>
            <w:tcW w:w="8370" w:type="dxa"/>
            <w:gridSpan w:val="2"/>
            <w:vAlign w:val="center"/>
          </w:tcPr>
          <w:p>
            <w:pPr>
              <w:snapToGrid w:val="0"/>
              <w:spacing w:line="36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360" w:lineRule="exact"/>
              <w:rPr>
                <w:rFonts w:ascii="仿宋_GB2312" w:hAnsi="仿宋_GB2312" w:eastAsia="仿宋_GB2312" w:cs="仿宋_GB2312"/>
                <w:b/>
                <w:color w:val="auto"/>
                <w:sz w:val="24"/>
              </w:rPr>
            </w:pPr>
            <w:r>
              <w:rPr>
                <w:rFonts w:ascii="仿宋_GB2312" w:hAnsi="仿宋_GB2312" w:eastAsia="仿宋_GB2312" w:cs="仿宋_GB2312"/>
                <w:b/>
                <w:color w:val="auto"/>
                <w:sz w:val="24"/>
              </w:rPr>
              <w:t>1.资格后审。</w:t>
            </w:r>
          </w:p>
          <w:p>
            <w:pPr>
              <w:snapToGrid w:val="0"/>
              <w:spacing w:line="360" w:lineRule="exact"/>
              <w:rPr>
                <w:rFonts w:ascii="仿宋_GB2312" w:hAnsi="仿宋_GB2312" w:eastAsia="仿宋_GB2312" w:cs="仿宋_GB2312"/>
                <w:b/>
                <w:color w:val="auto"/>
                <w:sz w:val="24"/>
              </w:rPr>
            </w:pPr>
            <w:r>
              <w:rPr>
                <w:rFonts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3</w:t>
            </w:r>
          </w:p>
        </w:tc>
        <w:tc>
          <w:tcPr>
            <w:tcW w:w="8370" w:type="dxa"/>
            <w:gridSpan w:val="2"/>
            <w:vAlign w:val="center"/>
          </w:tcPr>
          <w:p>
            <w:pPr>
              <w:autoSpaceDE w:val="0"/>
              <w:autoSpaceDN w:val="0"/>
              <w:spacing w:line="36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w:t>
            </w:r>
            <w:r>
              <w:rPr>
                <w:rFonts w:ascii="仿宋_GB2312" w:hAnsi="仿宋" w:eastAsia="仿宋_GB2312" w:cs="仿宋_GB2312"/>
                <w:color w:val="auto"/>
                <w:sz w:val="24"/>
              </w:rPr>
              <w:t>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4</w:t>
            </w:r>
          </w:p>
        </w:tc>
        <w:tc>
          <w:tcPr>
            <w:tcW w:w="8370" w:type="dxa"/>
            <w:gridSpan w:val="2"/>
            <w:vAlign w:val="center"/>
          </w:tcPr>
          <w:p>
            <w:pPr>
              <w:spacing w:line="36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5</w:t>
            </w:r>
          </w:p>
        </w:tc>
        <w:tc>
          <w:tcPr>
            <w:tcW w:w="8370" w:type="dxa"/>
            <w:gridSpan w:val="2"/>
            <w:vAlign w:val="center"/>
          </w:tcPr>
          <w:p>
            <w:pPr>
              <w:spacing w:line="360" w:lineRule="exact"/>
              <w:rPr>
                <w:rFonts w:ascii="仿宋_GB2312" w:hAnsi="仿宋" w:eastAsia="仿宋_GB2312"/>
                <w:color w:val="auto"/>
                <w:sz w:val="24"/>
              </w:rPr>
            </w:pPr>
            <w:r>
              <w:rPr>
                <w:rFonts w:hint="eastAsia" w:ascii="仿宋_GB2312" w:hAnsi="仿宋" w:eastAsia="仿宋_GB2312" w:cs="仿宋_GB2312"/>
                <w:b/>
                <w:color w:val="auto"/>
                <w:sz w:val="24"/>
              </w:rPr>
              <w:t>分包：</w:t>
            </w:r>
            <w:r>
              <w:rPr>
                <w:rFonts w:ascii="MS Gothic" w:hAnsi="MS Gothic" w:eastAsia="MS Gothic" w:cs="Arial"/>
                <w:color w:val="auto"/>
                <w:kern w:val="0"/>
                <w:sz w:val="24"/>
              </w:rPr>
              <w:t>☐</w:t>
            </w:r>
            <w:r>
              <w:rPr>
                <w:rFonts w:ascii="仿宋_GB2312" w:hAnsi="仿宋" w:eastAsia="仿宋_GB2312" w:cs="Arial"/>
                <w:color w:val="auto"/>
                <w:kern w:val="0"/>
                <w:sz w:val="24"/>
              </w:rPr>
              <w:t xml:space="preserve"> A</w:t>
            </w:r>
            <w:r>
              <w:rPr>
                <w:rFonts w:hint="eastAsia" w:ascii="仿宋_GB2312" w:hAnsi="仿宋" w:eastAsia="仿宋_GB2312"/>
                <w:color w:val="auto"/>
                <w:sz w:val="24"/>
              </w:rPr>
              <w:t>同意将非主体、非关键性的工作分包。</w:t>
            </w:r>
          </w:p>
          <w:p>
            <w:pPr>
              <w:spacing w:line="360" w:lineRule="exact"/>
              <w:ind w:firstLine="720" w:firstLineChars="300"/>
              <w:rPr>
                <w:rFonts w:ascii="仿宋_GB2312" w:hAnsi="仿宋" w:eastAsia="仿宋_GB2312" w:cs="仿宋_GB2312"/>
                <w:b/>
                <w:color w:val="auto"/>
                <w:sz w:val="24"/>
              </w:rPr>
            </w:pPr>
            <w:r>
              <w:rPr>
                <w:rFonts w:ascii="仿宋_GB2312" w:hAnsi="仿宋" w:eastAsia="仿宋_GB2312" w:cs="Arial"/>
                <w:color w:val="auto"/>
                <w:kern w:val="0"/>
                <w:sz w:val="24"/>
              </w:rPr>
              <w:sym w:font="Wingdings" w:char="F0FE"/>
            </w:r>
            <w:r>
              <w:rPr>
                <w:rFonts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6</w:t>
            </w:r>
          </w:p>
        </w:tc>
        <w:tc>
          <w:tcPr>
            <w:tcW w:w="8370" w:type="dxa"/>
            <w:gridSpan w:val="2"/>
            <w:vAlign w:val="center"/>
          </w:tcPr>
          <w:p>
            <w:pPr>
              <w:spacing w:line="36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7</w:t>
            </w:r>
          </w:p>
        </w:tc>
        <w:tc>
          <w:tcPr>
            <w:tcW w:w="8370" w:type="dxa"/>
            <w:gridSpan w:val="2"/>
            <w:vAlign w:val="center"/>
          </w:tcPr>
          <w:p>
            <w:pPr>
              <w:autoSpaceDE w:val="0"/>
              <w:autoSpaceDN w:val="0"/>
              <w:spacing w:line="360" w:lineRule="exact"/>
              <w:textAlignment w:val="bottom"/>
              <w:rPr>
                <w:rFonts w:ascii="仿宋" w:hAnsi="仿宋" w:eastAsia="仿宋" w:cs="仿宋_GB2312"/>
                <w:b/>
                <w:color w:val="auto"/>
                <w:sz w:val="24"/>
              </w:rPr>
            </w:pPr>
            <w:r>
              <w:rPr>
                <w:rFonts w:hint="eastAsia" w:ascii="仿宋" w:hAnsi="仿宋" w:eastAsia="仿宋" w:cs="仿宋_GB2312"/>
                <w:b/>
                <w:color w:val="auto"/>
                <w:sz w:val="24"/>
              </w:rPr>
              <w:t>开标前答疑会或现场考察：</w:t>
            </w:r>
          </w:p>
          <w:p>
            <w:pPr>
              <w:spacing w:line="360" w:lineRule="exact"/>
              <w:rPr>
                <w:rFonts w:ascii="仿宋_GB2312" w:hAnsi="仿宋" w:eastAsia="仿宋_GB2312"/>
                <w:color w:val="auto"/>
                <w:sz w:val="24"/>
              </w:rPr>
            </w:pPr>
            <w:sdt>
              <w:sdtPr>
                <w:rPr>
                  <w:rFonts w:hint="eastAsia" w:ascii="仿宋_GB2312" w:hAnsi="仿宋" w:eastAsia="仿宋_GB2312" w:cs="Arial"/>
                  <w:color w:val="auto"/>
                  <w:kern w:val="0"/>
                  <w:sz w:val="24"/>
                </w:rPr>
                <w:id w:val="366665487"/>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360" w:lineRule="exact"/>
              <w:textAlignment w:val="bottom"/>
              <w:rPr>
                <w:rFonts w:ascii="仿宋_GB2312" w:hAnsi="宋体" w:eastAsia="仿宋_GB2312"/>
                <w:b/>
                <w:color w:val="auto"/>
                <w:sz w:val="24"/>
              </w:rPr>
            </w:pPr>
            <w:sdt>
              <w:sdtPr>
                <w:rPr>
                  <w:rFonts w:hint="eastAsia" w:ascii="仿宋_GB2312" w:hAnsi="仿宋" w:eastAsia="仿宋_GB2312" w:cs="Arial"/>
                  <w:color w:val="auto"/>
                  <w:kern w:val="0"/>
                  <w:sz w:val="24"/>
                </w:rPr>
                <w:id w:val="366665488"/>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rPr>
              <w:t>,地点：</w:t>
            </w:r>
            <w:r>
              <w:rPr>
                <w:rFonts w:hint="eastAsia" w:ascii="仿宋_GB2312" w:hAnsi="仿宋" w:eastAsia="仿宋_GB2312"/>
                <w:color w:val="auto"/>
                <w:sz w:val="24"/>
              </w:rPr>
              <w:t>，联系人：，联系方式：</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8</w:t>
            </w:r>
          </w:p>
        </w:tc>
        <w:tc>
          <w:tcPr>
            <w:tcW w:w="8370" w:type="dxa"/>
            <w:gridSpan w:val="2"/>
            <w:vAlign w:val="center"/>
          </w:tcPr>
          <w:p>
            <w:pPr>
              <w:spacing w:line="36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360" w:lineRule="exact"/>
              <w:rPr>
                <w:rFonts w:ascii="仿宋_GB2312" w:hAnsi="仿宋" w:eastAsia="仿宋_GB2312"/>
                <w:color w:val="auto"/>
                <w:sz w:val="24"/>
              </w:rPr>
            </w:pPr>
            <w:sdt>
              <w:sdtPr>
                <w:rPr>
                  <w:rFonts w:hint="eastAsia" w:ascii="仿宋_GB2312" w:hAnsi="仿宋" w:eastAsia="仿宋_GB2312" w:cs="Arial"/>
                  <w:color w:val="auto"/>
                  <w:kern w:val="0"/>
                  <w:sz w:val="24"/>
                </w:rPr>
                <w:id w:val="366665489"/>
              </w:sdtPr>
              <w:sdtEndPr>
                <w:rPr>
                  <w:rFonts w:hint="eastAsia" w:ascii="仿宋_GB2312" w:hAnsi="仿宋" w:eastAsia="仿宋_GB2312" w:cs="Arial"/>
                  <w:color w:val="auto"/>
                  <w:kern w:val="0"/>
                  <w:sz w:val="24"/>
                </w:rPr>
              </w:sdtEndPr>
              <w:sdtContent>
                <w:r>
                  <w:rPr>
                    <w:rFonts w:ascii="仿宋_GB2312" w:hAnsi="MS Gothic" w:eastAsia="仿宋_GB2312" w:cs="Arial"/>
                    <w:color w:val="auto"/>
                    <w:kern w:val="0"/>
                    <w:sz w:val="24"/>
                  </w:rPr>
                  <w:sym w:font="Wingdings" w:char="00A8"/>
                </w:r>
              </w:sdtContent>
            </w:sdt>
            <w:r>
              <w:rPr>
                <w:rFonts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360" w:lineRule="exact"/>
              <w:rPr>
                <w:rFonts w:ascii="仿宋" w:hAnsi="仿宋" w:eastAsia="仿宋"/>
                <w:b/>
                <w:snapToGrid w:val="0"/>
                <w:color w:val="auto"/>
                <w:kern w:val="28"/>
                <w:sz w:val="24"/>
              </w:rPr>
            </w:pPr>
            <w:sdt>
              <w:sdtPr>
                <w:rPr>
                  <w:rFonts w:hint="eastAsia" w:ascii="仿宋_GB2312" w:hAnsi="仿宋" w:eastAsia="仿宋_GB2312" w:cs="Arial"/>
                  <w:color w:val="auto"/>
                  <w:kern w:val="0"/>
                  <w:sz w:val="24"/>
                </w:rPr>
                <w:id w:val="102683198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r>
              <w:rPr>
                <w:rFonts w:ascii="仿宋_GB2312" w:hAnsi="仿宋" w:eastAsia="仿宋_GB2312"/>
                <w:color w:val="auto"/>
                <w:kern w:val="0"/>
                <w:sz w:val="24"/>
              </w:rPr>
              <w:t xml:space="preserve"> B要求提供</w:t>
            </w:r>
          </w:p>
          <w:p>
            <w:pPr>
              <w:spacing w:line="360" w:lineRule="exact"/>
              <w:rPr>
                <w:rFonts w:ascii="仿宋" w:hAnsi="仿宋" w:eastAsia="仿宋" w:cs="仿宋"/>
                <w:color w:val="auto"/>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宋体" w:eastAsia="仿宋_GB2312" w:cs="宋体"/>
                <w:b/>
                <w:bCs/>
                <w:color w:val="auto"/>
                <w:sz w:val="24"/>
                <w:u w:val="single"/>
              </w:rPr>
              <w:t>1、双门电热蒸饭箱（规格：1280*780*1600mm（±30mm））、2、不锈钢油烟净化器（规格：1280*890*1150+脚130mm（±30mm））3、四格保温柜（规格：750*800*800mm（±30mm））</w:t>
            </w:r>
            <w:r>
              <w:rPr>
                <w:rFonts w:hint="eastAsia" w:ascii="宋体" w:hAnsi="宋体" w:cs="宋体"/>
                <w:b/>
                <w:bCs/>
                <w:color w:val="auto"/>
                <w:kern w:val="0"/>
                <w:sz w:val="24"/>
                <w:u w:val="single"/>
              </w:rPr>
              <w:t>；</w:t>
            </w:r>
          </w:p>
          <w:p>
            <w:pPr>
              <w:spacing w:line="360" w:lineRule="exact"/>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样品制作的标准和要求：详见采购需求</w:t>
            </w:r>
            <w:r>
              <w:rPr>
                <w:rFonts w:hint="eastAsia" w:ascii="仿宋_GB2312" w:hAnsi="宋体" w:eastAsia="仿宋_GB2312" w:cs="宋体"/>
                <w:color w:val="auto"/>
                <w:kern w:val="0"/>
                <w:sz w:val="24"/>
              </w:rPr>
              <w:t>；</w:t>
            </w:r>
          </w:p>
          <w:p>
            <w:pPr>
              <w:spacing w:line="360" w:lineRule="exact"/>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评标办法</w:t>
            </w:r>
            <w:r>
              <w:rPr>
                <w:rFonts w:hint="eastAsia" w:ascii="仿宋_GB2312" w:hAnsi="仿宋" w:eastAsia="仿宋_GB2312"/>
                <w:color w:val="auto"/>
                <w:kern w:val="0"/>
                <w:sz w:val="24"/>
              </w:rPr>
              <w:t>；</w:t>
            </w:r>
          </w:p>
          <w:p>
            <w:pPr>
              <w:spacing w:line="360" w:lineRule="exact"/>
              <w:rPr>
                <w:rFonts w:hint="eastAsia" w:ascii="仿宋_GB2312" w:hAnsi="仿宋" w:eastAsia="仿宋_GB2312"/>
                <w:color w:val="auto"/>
                <w:sz w:val="24"/>
                <w:lang w:val="en-US" w:eastAsia="zh-CN"/>
              </w:rPr>
            </w:pPr>
            <w:r>
              <w:rPr>
                <w:rFonts w:hint="eastAsia" w:ascii="仿宋_GB2312" w:hAnsi="仿宋" w:eastAsia="仿宋_GB2312"/>
                <w:color w:val="auto"/>
                <w:kern w:val="0"/>
                <w:sz w:val="24"/>
              </w:rPr>
              <w:t>（</w:t>
            </w:r>
            <w:r>
              <w:rPr>
                <w:rFonts w:ascii="仿宋_GB2312" w:hAnsi="仿宋" w:eastAsia="仿宋_GB2312"/>
                <w:color w:val="auto"/>
                <w:kern w:val="0"/>
                <w:sz w:val="24"/>
              </w:rPr>
              <w:t>4）是否需要随样品提交检测报告：</w:t>
            </w:r>
            <w:sdt>
              <w:sdtPr>
                <w:rPr>
                  <w:rFonts w:hint="eastAsia" w:ascii="仿宋_GB2312" w:hAnsi="仿宋" w:eastAsia="仿宋_GB2312" w:cs="Arial"/>
                  <w:color w:val="auto"/>
                  <w:kern w:val="0"/>
                  <w:sz w:val="24"/>
                </w:rPr>
                <w:id w:val="1303421454"/>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923694390"/>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lang w:eastAsia="zh-CN"/>
                      </w:rPr>
                      <w:t>☑</w:t>
                    </w:r>
                  </w:sdtContent>
                </w:sdt>
              </w:sdtContent>
            </w:sdt>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621728433"/>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41474232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lang w:eastAsia="zh-CN"/>
                      </w:rPr>
                      <w:t>□</w:t>
                    </w:r>
                  </w:sdtContent>
                </w:sdt>
              </w:sdtContent>
            </w:sdt>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lang w:val="en-US" w:eastAsia="zh-CN"/>
              </w:rPr>
              <w:t>/</w:t>
            </w:r>
          </w:p>
          <w:p>
            <w:pPr>
              <w:spacing w:line="360" w:lineRule="exact"/>
              <w:rPr>
                <w:rFonts w:ascii="仿宋_GB2312" w:hAnsi="仿宋" w:eastAsia="仿宋_GB2312"/>
                <w:color w:val="auto"/>
                <w:sz w:val="24"/>
              </w:rPr>
            </w:pPr>
            <w:r>
              <w:rPr>
                <w:rFonts w:hint="eastAsia" w:ascii="仿宋_GB2312" w:hAnsi="仿宋" w:eastAsia="仿宋_GB2312"/>
                <w:color w:val="auto"/>
                <w:sz w:val="24"/>
              </w:rPr>
              <w:t>（</w:t>
            </w:r>
            <w:r>
              <w:rPr>
                <w:rFonts w:ascii="仿宋_GB2312" w:hAnsi="仿宋" w:eastAsia="仿宋_GB2312"/>
                <w:color w:val="auto"/>
                <w:sz w:val="24"/>
              </w:rPr>
              <w:t>5）</w:t>
            </w:r>
            <w:r>
              <w:rPr>
                <w:rFonts w:hint="eastAsia" w:ascii="仿宋_GB2312" w:hAnsi="宋体" w:eastAsia="仿宋_GB2312" w:cs="宋体"/>
                <w:color w:val="auto"/>
                <w:sz w:val="24"/>
              </w:rPr>
              <w:t>提供样品的时间：</w:t>
            </w:r>
            <w:r>
              <w:rPr>
                <w:rFonts w:hint="eastAsia" w:ascii="仿宋_GB2312" w:hAnsi="宋体" w:eastAsia="仿宋_GB2312" w:cs="宋体"/>
                <w:color w:val="auto"/>
                <w:sz w:val="24"/>
                <w:u w:val="single"/>
              </w:rPr>
              <w:t>2024年</w:t>
            </w:r>
            <w:r>
              <w:rPr>
                <w:rFonts w:hint="eastAsia" w:ascii="仿宋_GB2312" w:hAnsi="宋体" w:eastAsia="仿宋_GB2312" w:cs="宋体"/>
                <w:color w:val="auto"/>
                <w:sz w:val="24"/>
                <w:u w:val="single"/>
                <w:lang w:val="en-US" w:eastAsia="zh-CN"/>
              </w:rPr>
              <w:t>09</w:t>
            </w:r>
            <w:r>
              <w:rPr>
                <w:rFonts w:hint="eastAsia" w:ascii="仿宋_GB2312" w:hAnsi="宋体" w:eastAsia="仿宋_GB2312" w:cs="宋体"/>
                <w:color w:val="auto"/>
                <w:sz w:val="24"/>
                <w:u w:val="single"/>
              </w:rPr>
              <w:t>月</w:t>
            </w:r>
            <w:r>
              <w:rPr>
                <w:rFonts w:hint="eastAsia" w:ascii="仿宋_GB2312" w:hAnsi="宋体" w:eastAsia="仿宋_GB2312" w:cs="宋体"/>
                <w:color w:val="auto"/>
                <w:sz w:val="24"/>
                <w:u w:val="single"/>
                <w:lang w:val="en-US" w:eastAsia="zh-CN"/>
              </w:rPr>
              <w:t>25</w:t>
            </w:r>
            <w:r>
              <w:rPr>
                <w:rFonts w:hint="eastAsia" w:ascii="仿宋_GB2312" w:hAnsi="宋体" w:eastAsia="仿宋_GB2312" w:cs="宋体"/>
                <w:color w:val="auto"/>
                <w:sz w:val="24"/>
                <w:u w:val="single"/>
              </w:rPr>
              <w:t>日</w:t>
            </w:r>
            <w:r>
              <w:rPr>
                <w:rFonts w:hint="eastAsia" w:ascii="仿宋_GB2312" w:hAnsi="宋体" w:eastAsia="仿宋_GB2312" w:cs="宋体"/>
                <w:color w:val="auto"/>
                <w:sz w:val="24"/>
                <w:u w:val="single"/>
                <w:lang w:val="en-US" w:eastAsia="zh-CN"/>
              </w:rPr>
              <w:t>10</w:t>
            </w:r>
            <w:r>
              <w:rPr>
                <w:rFonts w:hint="eastAsia" w:ascii="仿宋_GB2312" w:hAnsi="宋体" w:eastAsia="仿宋_GB2312" w:cs="宋体"/>
                <w:color w:val="auto"/>
                <w:sz w:val="24"/>
                <w:u w:val="single"/>
              </w:rPr>
              <w:t>时前</w:t>
            </w:r>
            <w:r>
              <w:rPr>
                <w:rFonts w:hint="eastAsia" w:ascii="仿宋_GB2312" w:hAnsi="宋体" w:eastAsia="仿宋_GB2312" w:cs="宋体"/>
                <w:color w:val="auto"/>
                <w:kern w:val="0"/>
                <w:sz w:val="24"/>
              </w:rPr>
              <w:t>；地点：</w:t>
            </w:r>
            <w:r>
              <w:rPr>
                <w:rFonts w:hint="eastAsia" w:ascii="仿宋_GB2312" w:hAnsi="宋体" w:eastAsia="仿宋_GB2312" w:cs="宋体"/>
                <w:color w:val="auto"/>
                <w:sz w:val="24"/>
                <w:u w:val="single"/>
              </w:rPr>
              <w:t>绍兴市公共资源交易中心</w:t>
            </w:r>
            <w:r>
              <w:rPr>
                <w:rFonts w:hint="eastAsia" w:ascii="仿宋_GB2312" w:hAnsi="宋体" w:eastAsia="仿宋_GB2312" w:cs="宋体"/>
                <w:color w:val="auto"/>
                <w:sz w:val="24"/>
                <w:u w:val="single"/>
                <w:lang w:val="en-US" w:eastAsia="zh-CN"/>
              </w:rPr>
              <w:t>4</w:t>
            </w:r>
            <w:r>
              <w:rPr>
                <w:rFonts w:hint="eastAsia" w:ascii="仿宋_GB2312" w:hAnsi="宋体" w:eastAsia="仿宋_GB2312" w:cs="宋体"/>
                <w:color w:val="auto"/>
                <w:sz w:val="24"/>
                <w:u w:val="single"/>
              </w:rPr>
              <w:t>楼</w:t>
            </w:r>
            <w:r>
              <w:rPr>
                <w:rFonts w:hint="eastAsia" w:ascii="仿宋_GB2312" w:hAnsi="宋体" w:eastAsia="仿宋_GB2312" w:cs="宋体"/>
                <w:color w:val="auto"/>
                <w:sz w:val="24"/>
                <w:u w:val="single"/>
                <w:lang w:val="en-US" w:eastAsia="zh-CN"/>
              </w:rPr>
              <w:t>423</w:t>
            </w:r>
            <w:r>
              <w:rPr>
                <w:rFonts w:hint="eastAsia" w:ascii="仿宋_GB2312" w:hAnsi="宋体" w:eastAsia="仿宋_GB2312" w:cs="宋体"/>
                <w:color w:val="auto"/>
                <w:sz w:val="24"/>
                <w:u w:val="single"/>
              </w:rPr>
              <w:t xml:space="preserve">室 </w:t>
            </w:r>
            <w:r>
              <w:rPr>
                <w:rFonts w:hint="eastAsia" w:ascii="仿宋_GB2312" w:hAnsi="宋体" w:eastAsia="仿宋_GB2312" w:cs="宋体"/>
                <w:color w:val="auto"/>
                <w:kern w:val="0"/>
                <w:sz w:val="24"/>
              </w:rPr>
              <w:t>；联系人</w:t>
            </w:r>
            <w:r>
              <w:rPr>
                <w:rFonts w:hint="eastAsia" w:ascii="仿宋_GB2312" w:hAnsi="宋体" w:eastAsia="仿宋_GB2312" w:cs="宋体"/>
                <w:color w:val="auto"/>
                <w:sz w:val="24"/>
              </w:rPr>
              <w:t>：</w:t>
            </w:r>
            <w:r>
              <w:rPr>
                <w:rFonts w:hint="eastAsia" w:ascii="仿宋_GB2312" w:hAnsi="宋体" w:eastAsia="仿宋_GB2312" w:cs="宋体"/>
                <w:color w:val="auto"/>
                <w:sz w:val="24"/>
                <w:u w:val="single"/>
              </w:rPr>
              <w:t>于玲娜</w:t>
            </w:r>
            <w:r>
              <w:rPr>
                <w:rFonts w:hint="eastAsia" w:ascii="仿宋_GB2312" w:hAnsi="宋体" w:eastAsia="仿宋_GB2312" w:cs="宋体"/>
                <w:color w:val="auto"/>
                <w:sz w:val="24"/>
              </w:rPr>
              <w:t>，</w:t>
            </w:r>
            <w:r>
              <w:rPr>
                <w:rFonts w:hint="eastAsia" w:ascii="仿宋_GB2312" w:hAnsi="宋体" w:eastAsia="仿宋_GB2312" w:cs="宋体"/>
                <w:color w:val="auto"/>
                <w:kern w:val="28"/>
                <w:sz w:val="24"/>
              </w:rPr>
              <w:t>联系电话：</w:t>
            </w:r>
            <w:r>
              <w:rPr>
                <w:rFonts w:hint="eastAsia" w:ascii="仿宋_GB2312" w:hAnsi="宋体" w:eastAsia="仿宋_GB2312" w:cs="宋体"/>
                <w:color w:val="auto"/>
                <w:sz w:val="24"/>
                <w:u w:val="single"/>
              </w:rPr>
              <w:t xml:space="preserve"> 13516709700</w:t>
            </w:r>
            <w:r>
              <w:rPr>
                <w:rFonts w:hint="eastAsia" w:ascii="仿宋_GB2312" w:hAnsi="宋体" w:eastAsia="仿宋_GB2312" w:cs="宋体"/>
                <w:color w:val="auto"/>
                <w:sz w:val="24"/>
              </w:rPr>
              <w:t>。请投标人在上述时间内提供样品并按规定位置安装完毕。超过截止时间的，采购人或采购代理机构将不予接收，并将清场并封闭样品现场。</w:t>
            </w:r>
          </w:p>
          <w:p>
            <w:pPr>
              <w:spacing w:line="360" w:lineRule="exact"/>
              <w:rPr>
                <w:rFonts w:ascii="仿宋_GB2312" w:hAnsi="仿宋" w:eastAsia="仿宋_GB2312"/>
                <w:color w:val="auto"/>
                <w:sz w:val="24"/>
              </w:rPr>
            </w:pPr>
            <w:r>
              <w:rPr>
                <w:rFonts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360" w:lineRule="exact"/>
              <w:jc w:val="left"/>
              <w:rPr>
                <w:rFonts w:ascii="仿宋_GB2312" w:hAnsi="宋体" w:eastAsia="仿宋_GB2312"/>
                <w:b/>
                <w:color w:val="auto"/>
                <w:sz w:val="24"/>
              </w:rPr>
            </w:pPr>
            <w:r>
              <w:rPr>
                <w:rFonts w:hint="eastAsia" w:ascii="仿宋_GB2312" w:hAnsi="仿宋" w:eastAsia="仿宋_GB2312"/>
                <w:color w:val="auto"/>
                <w:sz w:val="24"/>
              </w:rPr>
              <w:t>（</w:t>
            </w:r>
            <w:r>
              <w:rPr>
                <w:rFonts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9</w:t>
            </w:r>
          </w:p>
        </w:tc>
        <w:tc>
          <w:tcPr>
            <w:tcW w:w="8370" w:type="dxa"/>
            <w:gridSpan w:val="2"/>
            <w:vAlign w:val="center"/>
          </w:tcPr>
          <w:p>
            <w:pPr>
              <w:spacing w:line="36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360" w:lineRule="exact"/>
              <w:rPr>
                <w:rFonts w:ascii="仿宋_GB2312" w:hAnsi="仿宋" w:eastAsia="仿宋_GB2312" w:cs="仿宋"/>
                <w:color w:val="auto"/>
                <w:sz w:val="24"/>
              </w:rPr>
            </w:pPr>
            <w:r>
              <w:rPr>
                <w:rFonts w:ascii="仿宋_GB2312" w:hAnsi="仿宋" w:eastAsia="仿宋_GB2312" w:cs="Arial"/>
                <w:color w:val="auto"/>
                <w:kern w:val="0"/>
                <w:sz w:val="24"/>
              </w:rPr>
              <w:sym w:font="Wingdings" w:char="F0FE"/>
            </w:r>
            <w:r>
              <w:rPr>
                <w:rFonts w:ascii="仿宋_GB2312" w:hAnsi="仿宋" w:eastAsia="仿宋_GB2312" w:cs="仿宋"/>
                <w:color w:val="auto"/>
                <w:sz w:val="24"/>
              </w:rPr>
              <w:t>A无方案讲解演示。</w:t>
            </w:r>
          </w:p>
          <w:p>
            <w:pPr>
              <w:spacing w:line="360" w:lineRule="exact"/>
              <w:rPr>
                <w:rFonts w:ascii="仿宋_GB2312" w:hAnsi="仿宋" w:eastAsia="仿宋_GB2312" w:cs="仿宋"/>
                <w:b/>
                <w:color w:val="auto"/>
                <w:sz w:val="24"/>
              </w:rPr>
            </w:pPr>
            <w:sdt>
              <w:sdtPr>
                <w:rPr>
                  <w:rFonts w:hint="eastAsia" w:ascii="仿宋_GB2312" w:hAnsi="仿宋" w:eastAsia="仿宋_GB2312" w:cs="Arial"/>
                  <w:color w:val="auto"/>
                  <w:kern w:val="0"/>
                  <w:sz w:val="24"/>
                </w:rPr>
                <w:id w:val="20"/>
              </w:sdtPr>
              <w:sdtEndPr>
                <w:rPr>
                  <w:rFonts w:hint="eastAsia" w:ascii="仿宋_GB2312" w:hAnsi="仿宋" w:eastAsia="仿宋_GB2312" w:cs="Arial"/>
                  <w:color w:val="auto"/>
                  <w:kern w:val="0"/>
                  <w:sz w:val="24"/>
                </w:rPr>
              </w:sdtEndPr>
              <w:sdtContent>
                <w:r>
                  <w:rPr>
                    <w:rFonts w:hint="eastAsia" w:ascii="仿宋_GB2312" w:hAnsi="仿宋" w:eastAsia="仿宋_GB2312" w:cs="仿宋"/>
                    <w:color w:val="auto"/>
                    <w:sz w:val="24"/>
                  </w:rPr>
                  <w:t>□</w:t>
                </w:r>
              </w:sdtContent>
            </w:sdt>
            <w:r>
              <w:rPr>
                <w:rFonts w:ascii="仿宋_GB2312" w:hAnsi="仿宋" w:eastAsia="仿宋_GB2312" w:cs="仿宋"/>
                <w:color w:val="auto"/>
                <w:sz w:val="24"/>
              </w:rPr>
              <w:t>B有方案讲解演示：</w:t>
            </w:r>
          </w:p>
          <w:p>
            <w:pPr>
              <w:spacing w:line="3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w:t>
            </w:r>
            <w:r>
              <w:rPr>
                <w:rFonts w:ascii="仿宋_GB2312" w:hAnsi="仿宋" w:eastAsia="仿宋_GB2312" w:cs="仿宋"/>
                <w:color w:val="auto"/>
                <w:sz w:val="24"/>
                <w:lang w:val="zh-CN"/>
              </w:rPr>
              <w:t>1）在评标时安排每个供应商进行方案讲解演示。每个供应商时间不超过</w:t>
            </w:r>
            <w:r>
              <w:rPr>
                <w:rFonts w:hint="eastAsia" w:ascii="仿宋_GB2312" w:hAnsi="仿宋" w:eastAsia="仿宋_GB2312" w:cs="仿宋"/>
                <w:color w:val="auto"/>
                <w:sz w:val="24"/>
                <w:u w:val="single"/>
              </w:rPr>
              <w:t>/</w:t>
            </w:r>
            <w:r>
              <w:rPr>
                <w:rFonts w:hint="eastAsia" w:ascii="仿宋_GB2312" w:hAnsi="仿宋" w:eastAsia="仿宋_GB2312" w:cs="仿宋"/>
                <w:color w:val="auto"/>
                <w:sz w:val="24"/>
                <w:lang w:val="zh-CN"/>
              </w:rPr>
              <w:t>分钟，讲解次序以投标文件解密时间先后次序为准。讲解演示结束后按要求解答评标委员会提问。</w:t>
            </w:r>
          </w:p>
          <w:p>
            <w:pPr>
              <w:spacing w:line="3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w:t>
            </w:r>
            <w:r>
              <w:rPr>
                <w:rFonts w:ascii="仿宋_GB2312" w:hAnsi="仿宋" w:eastAsia="仿宋_GB2312" w:cs="仿宋"/>
                <w:color w:val="auto"/>
                <w:sz w:val="24"/>
                <w:lang w:val="zh-CN"/>
              </w:rPr>
              <w:t>2）方案讲解演示可选择以下其中一种方式：</w:t>
            </w:r>
          </w:p>
          <w:p>
            <w:pPr>
              <w:spacing w:line="360" w:lineRule="exact"/>
              <w:rPr>
                <w:rFonts w:ascii="仿宋_GB2312" w:hAnsi="仿宋" w:eastAsia="仿宋_GB2312" w:cs="仿宋"/>
                <w:color w:val="auto"/>
                <w:sz w:val="24"/>
                <w:lang w:val="zh-CN"/>
              </w:rPr>
            </w:pPr>
            <w:sdt>
              <w:sdtPr>
                <w:rPr>
                  <w:rFonts w:hint="eastAsia" w:ascii="仿宋_GB2312" w:hAnsi="仿宋" w:eastAsia="仿宋_GB2312" w:cs="Arial"/>
                  <w:color w:val="auto"/>
                  <w:kern w:val="0"/>
                  <w:sz w:val="24"/>
                </w:rPr>
                <w:id w:val="781232900"/>
              </w:sdtPr>
              <w:sdtEndPr>
                <w:rPr>
                  <w:rFonts w:hint="eastAsia" w:ascii="仿宋_GB2312" w:hAnsi="仿宋" w:eastAsia="仿宋_GB2312" w:cs="Arial"/>
                  <w:color w:val="auto"/>
                  <w:kern w:val="0"/>
                  <w:sz w:val="24"/>
                </w:rPr>
              </w:sdtEndPr>
              <w:sdtContent>
                <w:r>
                  <w:rPr>
                    <w:rFonts w:hint="eastAsia" w:ascii="仿宋_GB2312" w:hAnsi="仿宋" w:eastAsia="仿宋_GB2312" w:cs="仿宋"/>
                    <w:color w:val="auto"/>
                    <w:sz w:val="24"/>
                  </w:rPr>
                  <w:t>□</w:t>
                </w:r>
              </w:sdtContent>
            </w:sdt>
            <w:r>
              <w:rPr>
                <w:rFonts w:hint="eastAsia" w:ascii="仿宋_GB2312" w:hAnsi="仿宋" w:eastAsia="仿宋_GB2312" w:cs="仿宋"/>
                <w:color w:val="auto"/>
                <w:sz w:val="24"/>
                <w:lang w:val="zh-CN"/>
              </w:rPr>
              <w:t>方式一：政采云平台在线讲解演示。政采云平台在线讲解需供应商根据政采云平台操作要求做好准备工作，提前完善软硬件配置环境。</w:t>
            </w:r>
          </w:p>
          <w:p>
            <w:pPr>
              <w:spacing w:line="360" w:lineRule="exact"/>
              <w:rPr>
                <w:rFonts w:ascii="仿宋_GB2312" w:hAnsi="仿宋" w:eastAsia="仿宋_GB2312" w:cs="仿宋"/>
                <w:color w:val="auto"/>
                <w:sz w:val="24"/>
                <w:lang w:val="zh-CN"/>
              </w:rPr>
            </w:pPr>
            <w:r>
              <w:rPr>
                <w:rFonts w:hint="eastAsia" w:ascii="仿宋_GB2312" w:hAnsi="仿宋" w:eastAsia="仿宋_GB2312" w:cs="仿宋"/>
                <w:color w:val="auto"/>
                <w:sz w:val="24"/>
              </w:rPr>
              <w:t>□</w:t>
            </w:r>
            <w:r>
              <w:rPr>
                <w:rFonts w:hint="eastAsia" w:ascii="仿宋_GB2312" w:hAnsi="仿宋" w:eastAsia="仿宋_GB2312" w:cs="仿宋"/>
                <w:color w:val="auto"/>
                <w:sz w:val="24"/>
                <w:lang w:val="zh-CN"/>
              </w:rPr>
              <w:t>方式二：现场讲解演示。现场讲解地点为</w:t>
            </w:r>
            <w:r>
              <w:rPr>
                <w:rFonts w:hint="eastAsia" w:ascii="仿宋_GB2312" w:hAnsi="仿宋" w:eastAsia="仿宋_GB2312" w:cs="仿宋"/>
                <w:color w:val="auto"/>
                <w:kern w:val="0"/>
                <w:sz w:val="24"/>
                <w:u w:val="single"/>
              </w:rPr>
              <w:t>/</w:t>
            </w:r>
            <w:r>
              <w:rPr>
                <w:rFonts w:hint="eastAsia" w:ascii="仿宋_GB2312" w:hAnsi="仿宋" w:eastAsia="仿宋_GB2312" w:cs="仿宋"/>
                <w:color w:val="auto"/>
                <w:sz w:val="24"/>
                <w:lang w:val="zh-CN"/>
              </w:rPr>
              <w:t>，</w:t>
            </w:r>
            <w:r>
              <w:rPr>
                <w:rFonts w:hint="eastAsia" w:ascii="仿宋_GB2312" w:hAnsi="仿宋" w:eastAsia="仿宋_GB2312" w:cs="仿宋"/>
                <w:color w:val="auto"/>
                <w:kern w:val="0"/>
                <w:sz w:val="24"/>
                <w:lang w:val="zh-CN"/>
              </w:rPr>
              <w:t>讲解演示人员不超过</w:t>
            </w:r>
            <w:r>
              <w:rPr>
                <w:rFonts w:hint="eastAsia" w:ascii="仿宋_GB2312" w:hAnsi="仿宋" w:eastAsia="仿宋_GB2312" w:cs="仿宋"/>
                <w:color w:val="auto"/>
                <w:kern w:val="0"/>
                <w:sz w:val="24"/>
                <w:u w:val="single"/>
              </w:rPr>
              <w:t>/</w:t>
            </w:r>
            <w:r>
              <w:rPr>
                <w:rFonts w:hint="eastAsia" w:ascii="仿宋_GB2312" w:hAnsi="仿宋" w:eastAsia="仿宋_GB2312" w:cs="仿宋"/>
                <w:color w:val="auto"/>
                <w:kern w:val="0"/>
                <w:sz w:val="24"/>
                <w:lang w:val="zh-CN"/>
              </w:rPr>
              <w:t>人。</w:t>
            </w:r>
            <w:r>
              <w:rPr>
                <w:rFonts w:hint="eastAsia" w:ascii="仿宋_GB2312" w:hAnsi="仿宋" w:eastAsia="仿宋_GB2312" w:cs="仿宋"/>
                <w:color w:val="auto"/>
                <w:sz w:val="24"/>
                <w:lang w:val="zh-CN"/>
              </w:rPr>
              <w:t>讲解演示所用电脑等设备由供应商自备。现场讲解演示人员进场时提供讲解人员名单（加盖公章或授权代表签名）及身份证明，否则不得讲解演示。</w:t>
            </w: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10</w:t>
            </w:r>
          </w:p>
        </w:tc>
        <w:tc>
          <w:tcPr>
            <w:tcW w:w="855" w:type="dxa"/>
            <w:vAlign w:val="center"/>
          </w:tcPr>
          <w:p>
            <w:pPr>
              <w:snapToGrid w:val="0"/>
              <w:spacing w:line="360" w:lineRule="exact"/>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5" w:type="dxa"/>
            <w:vAlign w:val="center"/>
          </w:tcPr>
          <w:p>
            <w:pPr>
              <w:spacing w:line="360" w:lineRule="exact"/>
              <w:rPr>
                <w:rFonts w:ascii="仿宋_GB2312" w:hAnsi="仿宋" w:eastAsia="仿宋_GB2312" w:cs="Arial"/>
                <w:color w:val="auto"/>
                <w:kern w:val="0"/>
                <w:sz w:val="24"/>
              </w:rPr>
            </w:pPr>
            <w:sdt>
              <w:sdtPr>
                <w:rPr>
                  <w:rFonts w:hint="eastAsia" w:ascii="仿宋_GB2312" w:hAnsi="仿宋" w:eastAsia="仿宋_GB2312" w:cs="Arial"/>
                  <w:color w:val="auto"/>
                  <w:kern w:val="0"/>
                  <w:sz w:val="24"/>
                </w:rPr>
                <w:id w:val="366665490"/>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hint="eastAsia" w:ascii="仿宋_GB2312" w:hAnsi="仿宋" w:eastAsia="仿宋_GB2312" w:cs="Arial"/>
                <w:color w:val="auto"/>
                <w:kern w:val="0"/>
                <w:sz w:val="24"/>
              </w:rPr>
              <w:t>本项目不允许采购进口产品。</w:t>
            </w:r>
          </w:p>
          <w:p>
            <w:pPr>
              <w:snapToGrid w:val="0"/>
              <w:spacing w:line="360" w:lineRule="exact"/>
              <w:rPr>
                <w:rFonts w:ascii="仿宋_GB2312" w:hAnsi="仿宋_GB2312" w:eastAsia="仿宋_GB2312" w:cs="仿宋_GB2312"/>
                <w:b/>
                <w:color w:val="auto"/>
                <w:sz w:val="24"/>
              </w:rPr>
            </w:pPr>
            <w:sdt>
              <w:sdtPr>
                <w:rPr>
                  <w:rFonts w:hint="eastAsia" w:ascii="仿宋_GB2312" w:hAnsi="仿宋" w:eastAsia="仿宋_GB2312" w:cs="Arial"/>
                  <w:color w:val="auto"/>
                  <w:kern w:val="0"/>
                  <w:sz w:val="24"/>
                </w:rPr>
                <w:id w:val="366665491"/>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11</w:t>
            </w:r>
          </w:p>
        </w:tc>
        <w:tc>
          <w:tcPr>
            <w:tcW w:w="855" w:type="dxa"/>
            <w:vAlign w:val="center"/>
          </w:tcPr>
          <w:p>
            <w:pPr>
              <w:snapToGrid w:val="0"/>
              <w:spacing w:line="360" w:lineRule="exact"/>
              <w:ind w:left="1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515" w:type="dxa"/>
            <w:vAlign w:val="center"/>
          </w:tcPr>
          <w:p>
            <w:pPr>
              <w:spacing w:line="360" w:lineRule="exact"/>
              <w:rPr>
                <w:rFonts w:ascii="仿宋_GB2312" w:hAnsi="仿宋" w:eastAsia="仿宋_GB2312"/>
                <w:color w:val="auto"/>
                <w:sz w:val="24"/>
              </w:rPr>
            </w:pPr>
            <w:sdt>
              <w:sdtPr>
                <w:rPr>
                  <w:rFonts w:hint="eastAsia" w:ascii="仿宋_GB2312" w:hAnsi="仿宋" w:eastAsia="仿宋_GB2312" w:cs="Arial"/>
                  <w:color w:val="auto"/>
                  <w:kern w:val="0"/>
                  <w:sz w:val="24"/>
                </w:rPr>
                <w:id w:val="118727868"/>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r>
              <w:rPr>
                <w:rFonts w:ascii="仿宋_GB2312" w:hAnsi="仿宋" w:eastAsia="仿宋_GB2312" w:cs="Arial"/>
                <w:color w:val="auto"/>
                <w:kern w:val="0"/>
                <w:sz w:val="24"/>
              </w:rPr>
              <w:t>A</w:t>
            </w:r>
            <w:r>
              <w:rPr>
                <w:rFonts w:hint="eastAsia" w:ascii="仿宋_GB2312" w:hAnsi="仿宋" w:eastAsia="仿宋_GB2312"/>
                <w:color w:val="auto"/>
                <w:sz w:val="24"/>
              </w:rPr>
              <w:t>货物类，单一产品或</w:t>
            </w:r>
            <w:r>
              <w:rPr>
                <w:rFonts w:hint="eastAsia" w:ascii="仿宋_GB2312" w:hAnsi="仿宋" w:eastAsia="仿宋_GB2312"/>
                <w:color w:val="auto"/>
                <w:kern w:val="0"/>
                <w:sz w:val="24"/>
              </w:rPr>
              <w:t>核心产品为：</w:t>
            </w:r>
            <w:r>
              <w:rPr>
                <w:rFonts w:hint="eastAsia" w:ascii="仿宋_GB2312" w:hAnsi="宋体" w:eastAsia="仿宋_GB2312" w:cs="宋体"/>
                <w:color w:val="auto"/>
                <w:sz w:val="24"/>
                <w:u w:val="single"/>
              </w:rPr>
              <w:t>冷藏库</w:t>
            </w:r>
            <w:r>
              <w:rPr>
                <w:rFonts w:hint="eastAsia" w:ascii="仿宋_GB2312" w:hAnsi="仿宋" w:eastAsia="仿宋_GB2312"/>
                <w:color w:val="auto"/>
                <w:sz w:val="24"/>
              </w:rPr>
              <w:t>。</w:t>
            </w:r>
          </w:p>
          <w:p>
            <w:pPr>
              <w:snapToGrid w:val="0"/>
              <w:spacing w:line="360" w:lineRule="exact"/>
              <w:rPr>
                <w:rFonts w:ascii="仿宋_GB2312" w:hAnsi="仿宋_GB2312" w:eastAsia="仿宋_GB2312" w:cs="仿宋_GB2312"/>
                <w:color w:val="auto"/>
                <w:sz w:val="24"/>
              </w:rPr>
            </w:pPr>
            <w:sdt>
              <w:sdtPr>
                <w:rPr>
                  <w:rFonts w:hint="eastAsia" w:ascii="仿宋_GB2312" w:hAnsi="仿宋" w:eastAsia="仿宋_GB2312" w:cs="Arial"/>
                  <w:color w:val="auto"/>
                  <w:kern w:val="0"/>
                  <w:sz w:val="24"/>
                </w:rPr>
                <w:id w:val="474885559"/>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12</w:t>
            </w:r>
          </w:p>
        </w:tc>
        <w:tc>
          <w:tcPr>
            <w:tcW w:w="855" w:type="dxa"/>
            <w:vAlign w:val="center"/>
          </w:tcPr>
          <w:p>
            <w:pPr>
              <w:snapToGrid w:val="0"/>
              <w:spacing w:line="360" w:lineRule="exact"/>
              <w:ind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515" w:type="dxa"/>
            <w:vAlign w:val="center"/>
          </w:tcPr>
          <w:p>
            <w:pPr>
              <w:snapToGrid w:val="0"/>
              <w:spacing w:line="360" w:lineRule="exact"/>
              <w:rPr>
                <w:rFonts w:ascii="仿宋_GB2312" w:hAnsi="仿宋" w:eastAsia="仿宋_GB2312" w:cs="Arial"/>
                <w:color w:val="auto"/>
                <w:kern w:val="0"/>
                <w:sz w:val="24"/>
              </w:rPr>
            </w:pPr>
            <w:r>
              <w:rPr>
                <w:rFonts w:hint="eastAsia" w:ascii="仿宋_GB2312" w:hAnsi="仿宋" w:eastAsia="仿宋_GB2312" w:cs="Arial"/>
                <w:color w:val="auto"/>
                <w:kern w:val="0"/>
                <w:sz w:val="24"/>
              </w:rPr>
              <w:t>（</w:t>
            </w:r>
            <w:r>
              <w:rPr>
                <w:rFonts w:ascii="仿宋_GB2312" w:hAnsi="仿宋" w:eastAsia="仿宋_GB2312" w:cs="Arial"/>
                <w:color w:val="auto"/>
                <w:kern w:val="0"/>
                <w:sz w:val="24"/>
              </w:rPr>
              <w:t>1</w:t>
            </w:r>
            <w:r>
              <w:rPr>
                <w:rFonts w:hint="eastAsia" w:ascii="仿宋_GB2312" w:hAnsi="仿宋" w:eastAsia="仿宋_GB2312" w:cs="Arial"/>
                <w:color w:val="auto"/>
                <w:kern w:val="0"/>
                <w:sz w:val="24"/>
              </w:rPr>
              <w:t>）标的：</w:t>
            </w:r>
            <w:r>
              <w:rPr>
                <w:rFonts w:ascii="仿宋_GB2312" w:hAnsi="仿宋" w:eastAsia="仿宋_GB2312" w:cs="Arial"/>
                <w:color w:val="auto"/>
                <w:kern w:val="0"/>
                <w:sz w:val="24"/>
                <w:u w:val="single"/>
              </w:rPr>
              <w:t xml:space="preserve"> 01标   </w:t>
            </w:r>
            <w:r>
              <w:rPr>
                <w:rFonts w:hint="eastAsia" w:ascii="仿宋_GB2312" w:hAnsi="仿宋" w:eastAsia="仿宋_GB2312" w:cs="Arial"/>
                <w:color w:val="auto"/>
                <w:kern w:val="0"/>
                <w:sz w:val="24"/>
              </w:rPr>
              <w:t>，属于</w:t>
            </w:r>
            <w:r>
              <w:rPr>
                <w:rFonts w:ascii="仿宋_GB2312" w:hAnsi="仿宋" w:eastAsia="仿宋_GB2312" w:cs="Arial"/>
                <w:color w:val="auto"/>
                <w:kern w:val="0"/>
                <w:sz w:val="24"/>
                <w:u w:val="single"/>
              </w:rPr>
              <w:t xml:space="preserve">  工业  </w:t>
            </w:r>
            <w:r>
              <w:rPr>
                <w:rFonts w:hint="eastAsia" w:ascii="仿宋_GB2312" w:hAnsi="仿宋" w:eastAsia="仿宋_GB2312" w:cs="Arial"/>
                <w:color w:val="auto"/>
                <w:kern w:val="0"/>
                <w:sz w:val="24"/>
              </w:rPr>
              <w:t>行业；</w:t>
            </w:r>
          </w:p>
          <w:p>
            <w:pPr>
              <w:snapToGrid w:val="0"/>
              <w:spacing w:line="360" w:lineRule="exact"/>
              <w:rPr>
                <w:color w:val="auto"/>
              </w:rPr>
            </w:pPr>
            <w:r>
              <w:rPr>
                <w:rFonts w:hint="eastAsia" w:ascii="仿宋_GB2312" w:hAnsi="仿宋" w:eastAsia="仿宋_GB2312" w:cs="Arial"/>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13</w:t>
            </w:r>
          </w:p>
        </w:tc>
        <w:tc>
          <w:tcPr>
            <w:tcW w:w="855" w:type="dxa"/>
            <w:vMerge w:val="restart"/>
            <w:vAlign w:val="center"/>
          </w:tcPr>
          <w:p>
            <w:pPr>
              <w:snapToGrid w:val="0"/>
              <w:spacing w:line="36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5" w:type="dxa"/>
            <w:vAlign w:val="center"/>
          </w:tcPr>
          <w:p>
            <w:pPr>
              <w:snapToGrid w:val="0"/>
              <w:spacing w:line="36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信用信息查询渠道及截止时间：</w:t>
            </w:r>
            <w:r>
              <w:rPr>
                <w:rFonts w:hint="eastAsia" w:ascii="仿宋_GB2312" w:hAnsi="仿宋" w:eastAsia="仿宋_GB2312" w:cs="仿宋"/>
                <w:color w:val="auto"/>
                <w:sz w:val="24"/>
              </w:rPr>
              <w:t>采购人或采购人委托的评审小组或采购代理机构将通过“信用中国”网站</w:t>
            </w:r>
            <w:r>
              <w:rPr>
                <w:rFonts w:ascii="仿宋_GB2312" w:hAnsi="仿宋" w:eastAsia="仿宋_GB2312" w:cs="仿宋"/>
                <w:color w:val="auto"/>
                <w:sz w:val="24"/>
              </w:rPr>
              <w:t>(www.creditchina.gov.cn)、中国政府采购网(www.ccgp.gov.cn)渠道查询投标人</w:t>
            </w:r>
            <w:r>
              <w:rPr>
                <w:rFonts w:hint="eastAsia" w:ascii="仿宋_GB2312" w:hAnsi="仿宋" w:eastAsia="仿宋_GB2312" w:cs="仿宋"/>
                <w:b/>
                <w:color w:val="auto"/>
                <w:sz w:val="24"/>
              </w:rPr>
              <w:t>开标当天</w:t>
            </w:r>
            <w:r>
              <w:rPr>
                <w:rFonts w:hint="eastAsia" w:ascii="仿宋_GB2312" w:hAnsi="仿宋" w:eastAsia="仿宋_GB2312"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360" w:lineRule="exact"/>
              <w:jc w:val="center"/>
              <w:rPr>
                <w:rFonts w:ascii="仿宋_GB2312" w:hAnsi="宋体" w:eastAsia="仿宋_GB2312"/>
                <w:color w:val="auto"/>
                <w:sz w:val="24"/>
              </w:rPr>
            </w:pPr>
          </w:p>
        </w:tc>
        <w:tc>
          <w:tcPr>
            <w:tcW w:w="855" w:type="dxa"/>
            <w:vMerge w:val="continue"/>
            <w:vAlign w:val="center"/>
          </w:tcPr>
          <w:p>
            <w:pPr>
              <w:snapToGrid w:val="0"/>
              <w:spacing w:line="360" w:lineRule="exact"/>
              <w:rPr>
                <w:rFonts w:ascii="仿宋_GB2312" w:hAnsi="仿宋_GB2312" w:eastAsia="仿宋_GB2312" w:cs="仿宋_GB2312"/>
                <w:b/>
                <w:color w:val="auto"/>
                <w:sz w:val="24"/>
              </w:rPr>
            </w:pPr>
          </w:p>
        </w:tc>
        <w:tc>
          <w:tcPr>
            <w:tcW w:w="7515" w:type="dxa"/>
            <w:vAlign w:val="center"/>
          </w:tcPr>
          <w:p>
            <w:pPr>
              <w:snapToGrid w:val="0"/>
              <w:spacing w:line="36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信用信息查询记录和证据留存的具体方式：</w:t>
            </w:r>
            <w:r>
              <w:rPr>
                <w:rFonts w:hint="eastAsia" w:ascii="仿宋_GB2312" w:hAnsi="仿宋" w:eastAsia="仿宋_GB2312"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360" w:lineRule="exact"/>
              <w:jc w:val="center"/>
              <w:rPr>
                <w:rFonts w:ascii="仿宋_GB2312" w:hAnsi="宋体" w:eastAsia="仿宋_GB2312"/>
                <w:color w:val="auto"/>
                <w:sz w:val="24"/>
              </w:rPr>
            </w:pPr>
          </w:p>
        </w:tc>
        <w:tc>
          <w:tcPr>
            <w:tcW w:w="855" w:type="dxa"/>
            <w:vMerge w:val="continue"/>
            <w:vAlign w:val="center"/>
          </w:tcPr>
          <w:p>
            <w:pPr>
              <w:snapToGrid w:val="0"/>
              <w:spacing w:line="360" w:lineRule="exact"/>
              <w:rPr>
                <w:rFonts w:ascii="仿宋_GB2312" w:hAnsi="仿宋_GB2312" w:eastAsia="仿宋_GB2312" w:cs="仿宋_GB2312"/>
                <w:b/>
                <w:color w:val="auto"/>
                <w:sz w:val="24"/>
              </w:rPr>
            </w:pPr>
          </w:p>
        </w:tc>
        <w:tc>
          <w:tcPr>
            <w:tcW w:w="7515" w:type="dxa"/>
            <w:vAlign w:val="center"/>
          </w:tcPr>
          <w:p>
            <w:pPr>
              <w:snapToGrid w:val="0"/>
              <w:spacing w:line="360" w:lineRule="exact"/>
              <w:rPr>
                <w:rFonts w:ascii="仿宋_GB2312" w:hAnsi="仿宋" w:eastAsia="仿宋_GB2312" w:cs="仿宋"/>
                <w:color w:val="auto"/>
                <w:sz w:val="24"/>
              </w:rPr>
            </w:pPr>
            <w:r>
              <w:rPr>
                <w:rFonts w:hint="eastAsia" w:ascii="仿宋_GB2312" w:hAnsi="仿宋" w:eastAsia="仿宋_GB2312" w:cs="仿宋"/>
                <w:b/>
                <w:color w:val="auto"/>
                <w:sz w:val="24"/>
              </w:rPr>
              <w:t>信用信息的使用规则：</w:t>
            </w:r>
            <w:r>
              <w:rPr>
                <w:rFonts w:hint="eastAsia" w:ascii="仿宋_GB2312" w:hAnsi="仿宋" w:eastAsia="仿宋_GB2312" w:cs="仿宋"/>
                <w:color w:val="auto"/>
                <w:sz w:val="24"/>
              </w:rPr>
              <w:t>经查询列入失信被执行人名单、重大税收违法案件当事人名单、政府采购严重违法失信行为记录名单的投标人将被拒绝参与政府采购活动。</w:t>
            </w:r>
          </w:p>
          <w:p>
            <w:pPr>
              <w:snapToGrid w:val="0"/>
              <w:spacing w:line="360" w:lineRule="exact"/>
              <w:rPr>
                <w:rFonts w:ascii="仿宋_GB2312" w:hAnsi="仿宋" w:eastAsia="仿宋_GB2312" w:cs="仿宋"/>
                <w:b/>
                <w:color w:val="auto"/>
                <w:sz w:val="24"/>
              </w:rPr>
            </w:pPr>
            <w:r>
              <w:rPr>
                <w:rFonts w:hint="eastAsia" w:ascii="仿宋_GB2312" w:hAnsi="仿宋" w:eastAsia="仿宋_GB2312"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14</w:t>
            </w:r>
          </w:p>
        </w:tc>
        <w:tc>
          <w:tcPr>
            <w:tcW w:w="8370" w:type="dxa"/>
            <w:gridSpan w:val="2"/>
            <w:vAlign w:val="center"/>
          </w:tcPr>
          <w:p>
            <w:pPr>
              <w:snapToGrid w:val="0"/>
              <w:spacing w:line="36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15</w:t>
            </w:r>
          </w:p>
        </w:tc>
        <w:tc>
          <w:tcPr>
            <w:tcW w:w="8370" w:type="dxa"/>
            <w:gridSpan w:val="2"/>
            <w:vAlign w:val="center"/>
          </w:tcPr>
          <w:p>
            <w:pPr>
              <w:snapToGrid w:val="0"/>
              <w:spacing w:line="36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 xml:space="preserve">16                                                                                                                                                                                                                                                                                                                                                                                                                                                                                                                                                                                                                                                                                                                                                                                                                                                                                                                                                                                                                                                                                                                                                                                                                                                                                                                                        </w:t>
            </w:r>
          </w:p>
        </w:tc>
        <w:tc>
          <w:tcPr>
            <w:tcW w:w="8370" w:type="dxa"/>
            <w:gridSpan w:val="2"/>
            <w:vAlign w:val="center"/>
          </w:tcPr>
          <w:p>
            <w:pPr>
              <w:snapToGrid w:val="0"/>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投标与开标注意事项：</w:t>
            </w:r>
          </w:p>
          <w:p>
            <w:pPr>
              <w:snapToGrid w:val="0"/>
              <w:spacing w:line="360" w:lineRule="exact"/>
              <w:rPr>
                <w:rFonts w:ascii="仿宋_GB2312" w:hAnsi="仿宋" w:eastAsia="仿宋_GB2312" w:cs="仿宋"/>
                <w:color w:val="auto"/>
                <w:sz w:val="24"/>
              </w:rPr>
            </w:pPr>
            <w:r>
              <w:rPr>
                <w:rFonts w:ascii="仿宋_GB2312" w:hAnsi="仿宋" w:eastAsia="仿宋_GB2312" w:cs="仿宋"/>
                <w:color w:val="auto"/>
                <w:sz w:val="24"/>
              </w:rPr>
              <w:t>1.本项目实行网上投标，采用电子投标文件。若供应商参与投标，自行承担投标一切费用。</w:t>
            </w:r>
          </w:p>
          <w:p>
            <w:pPr>
              <w:snapToGrid w:val="0"/>
              <w:spacing w:line="360" w:lineRule="exact"/>
              <w:rPr>
                <w:rFonts w:ascii="仿宋_GB2312" w:hAnsi="仿宋" w:eastAsia="仿宋_GB2312" w:cs="仿宋"/>
                <w:color w:val="auto"/>
                <w:sz w:val="24"/>
              </w:rPr>
            </w:pPr>
            <w:r>
              <w:rPr>
                <w:rFonts w:ascii="仿宋_GB2312" w:hAnsi="仿宋" w:eastAsia="仿宋_GB2312"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注：供应商</w:t>
            </w:r>
            <w:r>
              <w:rPr>
                <w:rFonts w:ascii="仿宋_GB2312" w:hAnsi="仿宋" w:eastAsia="仿宋_GB2312" w:cs="仿宋"/>
                <w:color w:val="auto"/>
                <w:sz w:val="24"/>
              </w:rPr>
              <w:t>CA相关操作可参考政采云平台</w:t>
            </w:r>
            <w:r>
              <w:rPr>
                <w:rFonts w:ascii="仿宋_GB2312" w:hAnsi="仿宋" w:eastAsia="仿宋_GB2312" w:cs="仿宋"/>
                <w:color w:val="auto"/>
              </w:rPr>
              <w:t>https://www.zcygov.cn/</w:t>
            </w:r>
            <w:r>
              <w:rPr>
                <w:rFonts w:hint="eastAsia" w:ascii="仿宋_GB2312" w:hAnsi="仿宋" w:eastAsia="仿宋_GB2312" w:cs="仿宋"/>
                <w:color w:val="auto"/>
                <w:sz w:val="24"/>
              </w:rPr>
              <w:t>《</w:t>
            </w:r>
            <w:r>
              <w:rPr>
                <w:rFonts w:ascii="仿宋_GB2312" w:hAnsi="仿宋" w:eastAsia="仿宋_GB2312" w:cs="仿宋"/>
                <w:color w:val="auto"/>
                <w:sz w:val="24"/>
              </w:rPr>
              <w:t>CA申领操作指南》和《CA管理操作指南》。完成CA数字证书办理在资料齐全的情况下预计7个工作日左右，建议供应商获取招标文件后立即办理。</w:t>
            </w:r>
          </w:p>
          <w:p>
            <w:pPr>
              <w:snapToGrid w:val="0"/>
              <w:spacing w:line="360" w:lineRule="exact"/>
              <w:rPr>
                <w:rFonts w:ascii="仿宋_GB2312" w:hAnsi="仿宋" w:eastAsia="仿宋_GB2312" w:cs="仿宋"/>
                <w:color w:val="auto"/>
                <w:sz w:val="24"/>
              </w:rPr>
            </w:pPr>
            <w:r>
              <w:rPr>
                <w:rFonts w:ascii="仿宋_GB2312" w:hAnsi="仿宋" w:eastAsia="仿宋_GB2312" w:cs="仿宋"/>
                <w:color w:val="auto"/>
                <w:sz w:val="24"/>
              </w:rPr>
              <w:t>3.投标文件制作、递交、解密：</w:t>
            </w:r>
          </w:p>
          <w:p>
            <w:pPr>
              <w:snapToGrid w:val="0"/>
              <w:spacing w:line="360" w:lineRule="exact"/>
              <w:rPr>
                <w:rFonts w:ascii="仿宋_GB2312" w:hAnsi="仿宋" w:eastAsia="仿宋_GB2312" w:cs="仿宋"/>
                <w:color w:val="auto"/>
                <w:sz w:val="24"/>
              </w:rPr>
            </w:pPr>
            <w:r>
              <w:rPr>
                <w:rFonts w:ascii="仿宋_GB2312" w:hAnsi="仿宋" w:eastAsia="仿宋_GB2312"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360" w:lineRule="exact"/>
              <w:jc w:val="left"/>
              <w:rPr>
                <w:rFonts w:ascii="仿宋_GB2312" w:hAnsi="仿宋" w:eastAsia="仿宋_GB2312" w:cs="仿宋"/>
                <w:color w:val="auto"/>
                <w:sz w:val="24"/>
              </w:rPr>
            </w:pPr>
            <w:r>
              <w:rPr>
                <w:rFonts w:ascii="仿宋_GB2312" w:hAnsi="仿宋" w:eastAsia="仿宋_GB2312" w:cs="仿宋"/>
                <w:color w:val="auto"/>
                <w:sz w:val="24"/>
              </w:rPr>
              <w:t>3.2投标人通过“政采云”平台制作电子投标文件，投标文件制作详见“供应商-政府采购项目电子交易操作指南。</w:t>
            </w:r>
          </w:p>
          <w:p>
            <w:pPr>
              <w:snapToGrid w:val="0"/>
              <w:spacing w:line="360" w:lineRule="exact"/>
              <w:rPr>
                <w:rFonts w:ascii="仿宋_GB2312" w:hAnsi="仿宋" w:eastAsia="仿宋_GB2312" w:cs="仿宋"/>
                <w:color w:val="auto"/>
                <w:sz w:val="24"/>
              </w:rPr>
            </w:pPr>
            <w:r>
              <w:rPr>
                <w:rFonts w:ascii="仿宋_GB2312" w:hAnsi="仿宋" w:eastAsia="仿宋_GB2312" w:cs="仿宋"/>
                <w:color w:val="auto"/>
                <w:sz w:val="24"/>
              </w:rPr>
              <w:t>3.3开标时间后30分钟内供应商可以登录“政采云”平台，用“项目采购-开标评标”功能进行解密投标文件。若供应商</w:t>
            </w:r>
            <w:r>
              <w:rPr>
                <w:rFonts w:hint="eastAsia" w:ascii="仿宋_GB2312" w:hAnsi="仿宋" w:eastAsia="仿宋_GB2312" w:cs="仿宋"/>
                <w:b/>
                <w:color w:val="auto"/>
                <w:sz w:val="24"/>
                <w:u w:val="single"/>
              </w:rPr>
              <w:t>未按时解密的</w:t>
            </w:r>
            <w:r>
              <w:rPr>
                <w:rFonts w:hint="eastAsia" w:ascii="仿宋_GB2312" w:hAnsi="仿宋" w:eastAsia="仿宋_GB2312" w:cs="仿宋"/>
                <w:color w:val="auto"/>
                <w:sz w:val="24"/>
              </w:rPr>
              <w:t>，</w:t>
            </w:r>
            <w:r>
              <w:rPr>
                <w:rFonts w:hint="eastAsia" w:ascii="仿宋_GB2312" w:hAnsi="仿宋" w:eastAsia="仿宋_GB2312" w:cs="仿宋"/>
                <w:b/>
                <w:color w:val="auto"/>
                <w:sz w:val="24"/>
                <w:u w:val="single"/>
              </w:rPr>
              <w:t>视为投标文件撤回</w:t>
            </w:r>
            <w:r>
              <w:rPr>
                <w:rFonts w:hint="eastAsia" w:ascii="仿宋_GB2312" w:hAnsi="仿宋" w:eastAsia="仿宋_GB2312"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17</w:t>
            </w:r>
          </w:p>
        </w:tc>
        <w:tc>
          <w:tcPr>
            <w:tcW w:w="8370" w:type="dxa"/>
            <w:gridSpan w:val="2"/>
            <w:vAlign w:val="center"/>
          </w:tcPr>
          <w:p>
            <w:pPr>
              <w:spacing w:line="36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36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360" w:lineRule="exact"/>
              <w:rPr>
                <w:rFonts w:ascii="仿宋_GB2312" w:hAnsi="宋体" w:eastAsia="仿宋_GB2312"/>
                <w:color w:val="auto"/>
                <w:sz w:val="24"/>
              </w:rPr>
            </w:pPr>
          </w:p>
        </w:tc>
        <w:tc>
          <w:tcPr>
            <w:tcW w:w="8370" w:type="dxa"/>
            <w:gridSpan w:val="2"/>
            <w:vAlign w:val="center"/>
          </w:tcPr>
          <w:p>
            <w:pPr>
              <w:adjustRightInd w:val="0"/>
              <w:spacing w:line="360" w:lineRule="exact"/>
              <w:rPr>
                <w:rFonts w:ascii="仿宋_GB2312" w:hAnsi="宋体" w:eastAsia="仿宋_GB2312" w:cs="宋体"/>
                <w:snapToGrid w:val="0"/>
                <w:color w:val="auto"/>
                <w:kern w:val="28"/>
                <w:sz w:val="24"/>
              </w:rPr>
            </w:pPr>
            <w:sdt>
              <w:sdtPr>
                <w:rPr>
                  <w:rFonts w:hint="eastAsia" w:ascii="仿宋_GB2312" w:hAnsi="宋体" w:eastAsia="仿宋_GB2312" w:cs="宋体"/>
                  <w:color w:val="auto"/>
                  <w:kern w:val="0"/>
                  <w:sz w:val="24"/>
                  <w:szCs w:val="21"/>
                </w:rPr>
                <w:id w:val="366665492"/>
              </w:sdtPr>
              <w:sdtEndPr>
                <w:rPr>
                  <w:rFonts w:hint="eastAsia" w:ascii="仿宋_GB2312" w:hAnsi="宋体" w:eastAsia="仿宋_GB2312" w:cs="宋体"/>
                  <w:color w:val="auto"/>
                  <w:kern w:val="0"/>
                  <w:sz w:val="24"/>
                  <w:szCs w:val="21"/>
                </w:rPr>
              </w:sdtEndPr>
              <w:sdtContent>
                <w:sdt>
                  <w:sdtPr>
                    <w:rPr>
                      <w:rFonts w:hint="eastAsia" w:ascii="仿宋_GB2312" w:hAnsi="仿宋" w:eastAsia="仿宋_GB2312" w:cs="Arial"/>
                      <w:color w:val="auto"/>
                      <w:kern w:val="0"/>
                      <w:sz w:val="24"/>
                    </w:rPr>
                    <w:id w:val="865100015"/>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sdtContent>
            </w:sdt>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360" w:lineRule="exact"/>
              <w:rPr>
                <w:rFonts w:ascii="宋体" w:hAnsi="宋体" w:cs="宋体"/>
                <w:b/>
                <w:color w:val="auto"/>
                <w:sz w:val="24"/>
              </w:rPr>
            </w:pPr>
            <w:sdt>
              <w:sdtPr>
                <w:rPr>
                  <w:rFonts w:hint="eastAsia" w:ascii="仿宋_GB2312" w:hAnsi="宋体" w:eastAsia="仿宋_GB2312" w:cs="宋体"/>
                  <w:color w:val="auto"/>
                  <w:kern w:val="0"/>
                  <w:sz w:val="24"/>
                  <w:szCs w:val="21"/>
                </w:rPr>
                <w:id w:val="366665493"/>
              </w:sdtPr>
              <w:sdtEndPr>
                <w:rPr>
                  <w:rFonts w:hint="eastAsia" w:ascii="仿宋_GB2312" w:hAnsi="宋体" w:eastAsia="仿宋_GB2312" w:cs="宋体"/>
                  <w:color w:val="auto"/>
                  <w:kern w:val="0"/>
                  <w:sz w:val="24"/>
                  <w:szCs w:val="21"/>
                </w:rPr>
              </w:sdtEndPr>
              <w:sdtContent>
                <w:r>
                  <w:rPr>
                    <w:rFonts w:ascii="MS Gothic" w:hAnsi="MS Gothic" w:eastAsia="MS Gothic" w:cs="宋体"/>
                    <w:color w:val="auto"/>
                    <w:kern w:val="0"/>
                    <w:sz w:val="24"/>
                  </w:rPr>
                  <w:t>☐</w:t>
                </w:r>
              </w:sdtContent>
            </w:sdt>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360" w:lineRule="exact"/>
              <w:jc w:val="center"/>
              <w:rPr>
                <w:rFonts w:ascii="仿宋_GB2312" w:hAnsi="宋体" w:eastAsia="仿宋_GB2312"/>
                <w:color w:val="auto"/>
                <w:sz w:val="24"/>
              </w:rPr>
            </w:pPr>
            <w:r>
              <w:rPr>
                <w:rFonts w:ascii="仿宋_GB2312" w:hAnsi="宋体" w:eastAsia="仿宋_GB2312"/>
                <w:color w:val="auto"/>
                <w:sz w:val="24"/>
              </w:rPr>
              <w:t>18</w:t>
            </w:r>
          </w:p>
        </w:tc>
        <w:tc>
          <w:tcPr>
            <w:tcW w:w="8370" w:type="dxa"/>
            <w:gridSpan w:val="2"/>
            <w:vAlign w:val="center"/>
          </w:tcPr>
          <w:p>
            <w:pPr>
              <w:spacing w:line="360" w:lineRule="exact"/>
              <w:jc w:val="left"/>
              <w:rPr>
                <w:rFonts w:ascii="仿宋_GB2312" w:hAnsi="宋体" w:eastAsia="仿宋_GB2312"/>
                <w:b/>
                <w:color w:val="auto"/>
                <w:sz w:val="24"/>
              </w:rPr>
            </w:pPr>
            <w:r>
              <w:rPr>
                <w:rFonts w:hint="eastAsia" w:ascii="仿宋_GB2312" w:hAnsi="宋体" w:eastAsia="仿宋_GB2312"/>
                <w:b/>
                <w:color w:val="auto"/>
                <w:sz w:val="24"/>
              </w:rPr>
              <w:t>采购代理服务费：</w:t>
            </w:r>
          </w:p>
          <w:p>
            <w:pPr>
              <w:spacing w:line="360" w:lineRule="exact"/>
              <w:jc w:val="left"/>
              <w:rPr>
                <w:rFonts w:ascii="仿宋_GB2312" w:hAnsi="宋体" w:eastAsia="仿宋_GB2312"/>
                <w:color w:val="auto"/>
                <w:sz w:val="24"/>
              </w:rPr>
            </w:pPr>
            <w:r>
              <w:rPr>
                <w:rFonts w:hint="eastAsia" w:ascii="仿宋_GB2312" w:hAnsi="宋体" w:eastAsia="仿宋_GB2312"/>
                <w:color w:val="auto"/>
                <w:sz w:val="24"/>
              </w:rPr>
              <w:t>中标单位需支付以下费用，并在投标报价中自行考虑：</w:t>
            </w:r>
          </w:p>
          <w:p>
            <w:pPr>
              <w:spacing w:line="360" w:lineRule="exact"/>
              <w:rPr>
                <w:rFonts w:ascii="仿宋_GB2312" w:hAnsi="宋体" w:eastAsia="仿宋_GB2312"/>
                <w:color w:val="auto"/>
                <w:sz w:val="24"/>
              </w:rPr>
            </w:pPr>
            <w:r>
              <w:rPr>
                <w:rFonts w:hint="eastAsia" w:ascii="仿宋_GB2312" w:hAnsi="宋体" w:eastAsia="仿宋_GB2312"/>
                <w:color w:val="auto"/>
                <w:sz w:val="24"/>
              </w:rPr>
              <w:t>①以中标通知书中确定的中标金额作为采购代理服务费的计算基数，具体比例按照下表规定的</w:t>
            </w:r>
            <w:r>
              <w:rPr>
                <w:rFonts w:hint="eastAsia" w:ascii="仿宋_GB2312" w:hAnsi="宋体" w:eastAsia="仿宋_GB2312" w:cs="宋体"/>
                <w:snapToGrid w:val="0"/>
                <w:color w:val="auto"/>
                <w:kern w:val="28"/>
                <w:sz w:val="24"/>
              </w:rPr>
              <w:t>收费基准价格执行</w:t>
            </w:r>
            <w:r>
              <w:rPr>
                <w:rFonts w:hint="eastAsia" w:ascii="仿宋_GB2312" w:hAnsi="宋体" w:eastAsia="仿宋_GB2312"/>
                <w:color w:val="auto"/>
                <w:sz w:val="24"/>
              </w:rPr>
              <w:t>。采购代理服务收费按差额定率累进法计算。</w:t>
            </w:r>
          </w:p>
          <w:tbl>
            <w:tblPr>
              <w:tblStyle w:val="64"/>
              <w:tblW w:w="2486"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14"/>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CellSpacing w:w="0" w:type="dxa"/>
                <w:jc w:val="center"/>
              </w:trPr>
              <w:tc>
                <w:tcPr>
                  <w:tcW w:w="2717" w:type="dxa"/>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中标金额（万元）</w:t>
                  </w:r>
                </w:p>
              </w:tc>
              <w:tc>
                <w:tcPr>
                  <w:tcW w:w="1332" w:type="dxa"/>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货物招标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CellSpacing w:w="0" w:type="dxa"/>
                <w:jc w:val="center"/>
              </w:trPr>
              <w:tc>
                <w:tcPr>
                  <w:tcW w:w="2717" w:type="dxa"/>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100以下</w:t>
                  </w:r>
                </w:p>
              </w:tc>
              <w:tc>
                <w:tcPr>
                  <w:tcW w:w="1332" w:type="dxa"/>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1.5％</w:t>
                  </w:r>
                </w:p>
              </w:tc>
            </w:tr>
          </w:tbl>
          <w:p>
            <w:pPr>
              <w:spacing w:line="360" w:lineRule="exact"/>
              <w:jc w:val="left"/>
              <w:rPr>
                <w:rFonts w:ascii="仿宋_GB2312" w:hAnsi="宋体" w:eastAsia="仿宋_GB2312"/>
                <w:color w:val="auto"/>
                <w:sz w:val="24"/>
              </w:rPr>
            </w:pPr>
            <w:r>
              <w:rPr>
                <w:rFonts w:hint="eastAsia" w:ascii="仿宋_GB2312" w:hAnsi="宋体" w:eastAsia="仿宋_GB2312"/>
                <w:color w:val="auto"/>
                <w:sz w:val="24"/>
              </w:rPr>
              <w:t>②交纳方式：</w:t>
            </w:r>
          </w:p>
          <w:p>
            <w:pPr>
              <w:spacing w:line="360" w:lineRule="exact"/>
              <w:jc w:val="left"/>
              <w:rPr>
                <w:rFonts w:ascii="仿宋_GB2312" w:hAnsi="宋体" w:eastAsia="仿宋_GB2312"/>
                <w:color w:val="auto"/>
                <w:sz w:val="24"/>
              </w:rPr>
            </w:pPr>
            <w:r>
              <w:rPr>
                <w:rFonts w:hint="eastAsia" w:ascii="仿宋_GB2312" w:hAnsi="宋体" w:eastAsia="仿宋_GB2312"/>
                <w:color w:val="auto"/>
                <w:sz w:val="24"/>
              </w:rPr>
              <w:t>用银行支票、汇票、电汇、现金等付款方式直接交纳。</w:t>
            </w:r>
          </w:p>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公司名称：浙江建诚工程管理咨询有限公司</w:t>
            </w:r>
          </w:p>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账    号：387062315370</w:t>
            </w:r>
          </w:p>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开 户 行：中国银行绍兴高新技术开发区支行</w:t>
            </w:r>
          </w:p>
          <w:p>
            <w:pPr>
              <w:spacing w:line="360" w:lineRule="exact"/>
              <w:jc w:val="left"/>
              <w:rPr>
                <w:rFonts w:ascii="仿宋_GB2312" w:hAnsi="仿宋" w:eastAsia="仿宋_GB2312" w:cs="仿宋"/>
                <w:b/>
                <w:color w:val="auto"/>
                <w:kern w:val="0"/>
                <w:sz w:val="24"/>
                <w:szCs w:val="21"/>
              </w:rPr>
            </w:pPr>
            <w:r>
              <w:rPr>
                <w:rFonts w:hint="eastAsia" w:ascii="仿宋_GB2312" w:hAnsi="宋体" w:eastAsia="仿宋_GB2312"/>
                <w:color w:val="auto"/>
                <w:sz w:val="24"/>
              </w:rPr>
              <w:t>③交纳时间：领取中标通知书前交纳。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6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6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一、总则</w:t>
      </w:r>
    </w:p>
    <w:p>
      <w:pPr>
        <w:snapToGrid w:val="0"/>
        <w:spacing w:line="440" w:lineRule="exact"/>
        <w:jc w:val="left"/>
        <w:outlineLvl w:val="1"/>
        <w:rPr>
          <w:rFonts w:ascii="仿宋_GB2312" w:hAnsi="仿宋" w:eastAsia="仿宋_GB2312" w:cs="仿宋"/>
          <w:b/>
          <w:color w:val="auto"/>
          <w:sz w:val="24"/>
        </w:rPr>
      </w:pPr>
      <w:r>
        <w:rPr>
          <w:rFonts w:ascii="仿宋_GB2312" w:hAnsi="仿宋" w:eastAsia="仿宋_GB2312" w:cs="仿宋"/>
          <w:b/>
          <w:color w:val="auto"/>
          <w:sz w:val="24"/>
        </w:rPr>
        <w:t>1.适用范围</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rPr>
      </w:pPr>
      <w:r>
        <w:rPr>
          <w:rFonts w:ascii="仿宋_GB2312" w:hAnsi="仿宋" w:eastAsia="仿宋_GB2312" w:cs="仿宋"/>
          <w:b/>
          <w:color w:val="auto"/>
          <w:sz w:val="24"/>
        </w:rPr>
        <w:t>2.定义</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 </w:t>
      </w:r>
      <w:r>
        <w:rPr>
          <w:rFonts w:hint="eastAsia" w:ascii="仿宋_GB2312" w:hAnsi="仿宋" w:eastAsia="仿宋_GB2312" w:cs="仿宋"/>
          <w:color w:val="auto"/>
          <w:sz w:val="24"/>
        </w:rPr>
        <w:t>“采购人”系指招标公告中载明的本项目的采购人。</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2.2 </w:t>
      </w:r>
      <w:r>
        <w:rPr>
          <w:rFonts w:hint="eastAsia" w:ascii="仿宋_GB2312" w:hAnsi="仿宋" w:eastAsia="仿宋_GB2312" w:cs="仿宋"/>
          <w:color w:val="auto"/>
          <w:sz w:val="24"/>
        </w:rPr>
        <w:t>“采购代理机构”系指招标公告中载明的本项目的采购代理机构。</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2.3 </w:t>
      </w:r>
      <w:r>
        <w:rPr>
          <w:rFonts w:hint="eastAsia" w:ascii="仿宋_GB2312" w:hAnsi="仿宋" w:eastAsia="仿宋_GB2312" w:cs="仿宋"/>
          <w:color w:val="auto"/>
          <w:sz w:val="24"/>
        </w:rPr>
        <w:t>“投标人”“供应商”系指是指响应招标、参加投标竞争的法人、其他组织或者自然人。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2.4“监督单位”系指政府采购法定义监督管理部门。</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2.5 </w:t>
      </w:r>
      <w:r>
        <w:rPr>
          <w:rFonts w:hint="eastAsia" w:ascii="仿宋_GB2312" w:hAnsi="仿宋" w:eastAsia="仿宋_GB2312" w:cs="仿宋"/>
          <w:color w:val="auto"/>
          <w:sz w:val="24"/>
        </w:rPr>
        <w:t>“负责人”系指法人企业的法定负责人，或其他组织为法律、行政法规规定代表单位行使职权的主要负责人，或自然人本人。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2.8“★”系指实质性指标要求条款，“▲” </w:t>
      </w:r>
      <w:r>
        <w:rPr>
          <w:rFonts w:hint="eastAsia" w:ascii="仿宋_GB2312" w:hAnsi="仿宋" w:eastAsia="仿宋_GB2312" w:cs="仿宋"/>
          <w:color w:val="auto"/>
          <w:sz w:val="24"/>
        </w:rPr>
        <w:t>系指主要性能指标要求条款。如任意一条打“★”的指标出现负偏离视为实质性不响应招标文件要求，作无效投标处理；如任意一条打“▲”的指标出现负偏离按评分标准作扣分处理。“</w:t>
      </w:r>
      <w:r>
        <w:rPr>
          <w:rFonts w:ascii="仿宋_GB2312" w:hAnsi="MS Mincho" w:eastAsia="MS Mincho" w:cs="MS Mincho"/>
          <w:color w:val="auto"/>
          <w:sz w:val="24"/>
        </w:rPr>
        <w:t>☑</w:t>
      </w:r>
      <w:r>
        <w:rPr>
          <w:rFonts w:hint="eastAsia" w:ascii="仿宋_GB2312" w:hAnsi="仿宋" w:eastAsia="仿宋_GB2312" w:cs="仿宋"/>
          <w:color w:val="auto"/>
          <w:sz w:val="24"/>
        </w:rPr>
        <w:t>”系指适用本项目的要求，“</w:t>
      </w:r>
      <w:r>
        <w:rPr>
          <w:rFonts w:ascii="仿宋_GB2312" w:hAnsi="MS Mincho" w:eastAsia="MS Mincho" w:cs="MS Mincho"/>
          <w:color w:val="auto"/>
          <w:sz w:val="24"/>
        </w:rPr>
        <w:t>☐</w:t>
      </w:r>
      <w:r>
        <w:rPr>
          <w:rFonts w:hint="eastAsia" w:ascii="仿宋_GB2312" w:hAnsi="仿宋" w:eastAsia="仿宋_GB2312" w:cs="仿宋"/>
          <w:color w:val="auto"/>
          <w:sz w:val="24"/>
        </w:rPr>
        <w:t>”系指不适用本项目的要求。</w:t>
      </w:r>
    </w:p>
    <w:p>
      <w:pPr>
        <w:spacing w:line="440" w:lineRule="exact"/>
        <w:rPr>
          <w:rFonts w:ascii="仿宋_GB2312" w:hAnsi="仿宋" w:eastAsia="仿宋_GB2312"/>
          <w:b/>
          <w:color w:val="auto"/>
          <w:sz w:val="24"/>
        </w:rPr>
      </w:pPr>
      <w:r>
        <w:rPr>
          <w:rFonts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ascii="仿宋_GB2312" w:hAnsi="仿宋" w:eastAsia="仿宋_GB2312"/>
          <w:color w:val="auto"/>
          <w:sz w:val="24"/>
        </w:rPr>
        <w:t xml:space="preserve">3.1 </w:t>
      </w:r>
      <w:r>
        <w:rPr>
          <w:rFonts w:hint="eastAsia" w:ascii="仿宋_GB2312" w:hAnsi="仿宋" w:eastAsia="仿宋_GB2312"/>
          <w:color w:val="auto"/>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pPr>
        <w:spacing w:line="440" w:lineRule="exact"/>
        <w:rPr>
          <w:rFonts w:ascii="仿宋_GB2312" w:hAnsi="仿宋" w:eastAsia="仿宋_GB2312"/>
          <w:color w:val="auto"/>
          <w:sz w:val="24"/>
        </w:rPr>
      </w:pPr>
      <w:r>
        <w:rPr>
          <w:rFonts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ascii="仿宋_GB2312" w:hAnsi="仿宋" w:eastAsia="仿宋_GB2312"/>
          <w:color w:val="auto"/>
          <w:sz w:val="24"/>
        </w:rPr>
        <w:t xml:space="preserve">3.2.3 </w:t>
      </w:r>
      <w:r>
        <w:rPr>
          <w:rFonts w:hint="eastAsia" w:ascii="仿宋_GB2312" w:hAnsi="仿宋" w:eastAsia="仿宋_GB2312"/>
          <w:color w:val="auto"/>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rPr>
      </w:pPr>
      <w:r>
        <w:rPr>
          <w:rFonts w:ascii="仿宋_GB2312" w:hAnsi="仿宋" w:eastAsia="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rPr>
      </w:pPr>
      <w:r>
        <w:rPr>
          <w:rFonts w:ascii="仿宋_GB2312" w:hAnsi="宋体" w:eastAsia="仿宋_GB2312"/>
          <w:color w:val="auto"/>
          <w:sz w:val="24"/>
        </w:rPr>
        <w:t>3.2.5</w:t>
      </w:r>
      <w:r>
        <w:rPr>
          <w:rFonts w:hint="eastAsia" w:ascii="仿宋_GB2312" w:hAnsi="仿宋" w:eastAsia="仿宋_GB2312"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
      </w:pPr>
      <w:r>
        <w:rPr>
          <w:rFonts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
      </w:pPr>
      <w:r>
        <w:rPr>
          <w:rFonts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rPr>
      </w:pPr>
      <w:r>
        <w:rPr>
          <w:rFonts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ascii="仿宋_GB2312" w:hAnsi="仿宋" w:eastAsia="仿宋_GB2312"/>
          <w:color w:val="auto"/>
          <w:sz w:val="24"/>
        </w:rPr>
        <w:t>3.4支持科技创新发展</w:t>
      </w:r>
    </w:p>
    <w:p>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rPr>
      </w:pPr>
      <w:r>
        <w:rPr>
          <w:rFonts w:ascii="仿宋_GB2312" w:hAnsi="仿宋" w:eastAsia="仿宋_GB2312"/>
          <w:color w:val="auto"/>
          <w:sz w:val="24"/>
        </w:rPr>
        <w:t>3.5平等对待内外资企业和符合条件的破产重整企业</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平等对待内</w:t>
      </w:r>
      <w:r>
        <w:rPr>
          <w:rFonts w:hint="eastAsia" w:ascii="仿宋_GB2312" w:hAnsi="仿宋" w:eastAsia="仿宋_GB2312"/>
          <w:color w:val="auto"/>
          <w:sz w:val="24"/>
        </w:rPr>
        <w:t>外资企业</w:t>
      </w:r>
      <w:r>
        <w:rPr>
          <w:rFonts w:hint="eastAsia" w:ascii="仿宋_GB2312" w:hAnsi="仿宋" w:eastAsia="仿宋_GB2312" w:cs="仿宋"/>
          <w:color w:val="auto"/>
          <w:sz w:val="24"/>
        </w:rPr>
        <w:t>和符合条件的破产重整企业，切实保障企业公平竞争，平等维护企业的合法利益。</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ascii="仿宋_GB2312" w:hAnsi="仿宋" w:eastAsia="仿宋_GB2312"/>
          <w:color w:val="auto"/>
          <w:sz w:val="24"/>
        </w:rPr>
        <w:t>4.特别说明：</w:t>
      </w:r>
    </w:p>
    <w:p>
      <w:pPr>
        <w:spacing w:line="440" w:lineRule="exact"/>
        <w:rPr>
          <w:rFonts w:ascii="仿宋_GB2312" w:hAnsi="仿宋" w:eastAsia="仿宋_GB2312"/>
          <w:color w:val="auto"/>
          <w:sz w:val="24"/>
        </w:rPr>
      </w:pPr>
      <w:r>
        <w:rPr>
          <w:rFonts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line="440" w:lineRule="exact"/>
        <w:rPr>
          <w:rFonts w:ascii="仿宋_GB2312" w:hAnsi="宋体" w:eastAsia="仿宋_GB2312"/>
          <w:b/>
          <w:color w:val="auto"/>
          <w:sz w:val="36"/>
          <w:szCs w:val="36"/>
        </w:rPr>
      </w:pPr>
    </w:p>
    <w:p>
      <w:pPr>
        <w:snapToGrid w:val="0"/>
        <w:spacing w:line="440" w:lineRule="exact"/>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二、招标文件</w:t>
      </w:r>
    </w:p>
    <w:p>
      <w:pPr>
        <w:snapToGrid w:val="0"/>
        <w:spacing w:line="440" w:lineRule="exact"/>
        <w:jc w:val="left"/>
        <w:rPr>
          <w:rFonts w:ascii="仿宋_GB2312" w:hAnsi="仿宋" w:eastAsia="仿宋_GB2312" w:cs="仿宋"/>
          <w:b/>
          <w:color w:val="auto"/>
          <w:sz w:val="24"/>
        </w:rPr>
      </w:pPr>
      <w:bookmarkStart w:id="1" w:name="_Toc81372776"/>
      <w:bookmarkStart w:id="2" w:name="_Toc81372953"/>
      <w:bookmarkStart w:id="3" w:name="_Toc84325929"/>
      <w:r>
        <w:rPr>
          <w:rFonts w:ascii="仿宋_GB2312" w:hAnsi="仿宋" w:eastAsia="仿宋_GB2312" w:cs="仿宋"/>
          <w:b/>
          <w:color w:val="auto"/>
          <w:sz w:val="24"/>
        </w:rPr>
        <w:t>1．招标方式</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1.1 </w:t>
      </w:r>
      <w:r>
        <w:rPr>
          <w:rFonts w:hint="eastAsia" w:ascii="仿宋_GB2312" w:hAnsi="仿宋" w:eastAsia="仿宋_GB2312" w:cs="仿宋"/>
          <w:color w:val="auto"/>
          <w:sz w:val="24"/>
        </w:rPr>
        <w:t>本次招标采用公开招标方式进行。</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1.2 </w:t>
      </w:r>
      <w:r>
        <w:rPr>
          <w:rFonts w:hint="eastAsia" w:ascii="仿宋_GB2312" w:hAnsi="仿宋" w:eastAsia="仿宋_GB2312" w:cs="仿宋"/>
          <w:color w:val="auto"/>
          <w:sz w:val="24"/>
        </w:rPr>
        <w:t>如某一标项投标人或实质性响应招标文件的投标人不足三家时，由采购人重新组织招标或按有关规定实施。</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1.3 </w:t>
      </w:r>
      <w:r>
        <w:rPr>
          <w:rFonts w:hint="eastAsia" w:ascii="仿宋_GB2312" w:hAnsi="仿宋" w:eastAsia="仿宋_GB2312" w:cs="仿宋"/>
          <w:color w:val="auto"/>
          <w:sz w:val="24"/>
        </w:rPr>
        <w:t>本次招标设定限价，即招标公告中公布的各标项预算金额或最高限价（各标项之间的预算金额不能互相调整）。</w:t>
      </w:r>
    </w:p>
    <w:p>
      <w:pPr>
        <w:pStyle w:val="24"/>
        <w:snapToGrid w:val="0"/>
        <w:spacing w:after="0" w:line="440" w:lineRule="exact"/>
        <w:jc w:val="left"/>
        <w:rPr>
          <w:rFonts w:ascii="仿宋_GB2312" w:hAnsi="仿宋" w:eastAsia="仿宋_GB2312" w:cs="仿宋"/>
          <w:b/>
          <w:color w:val="auto"/>
        </w:rPr>
      </w:pPr>
      <w:r>
        <w:rPr>
          <w:rFonts w:ascii="仿宋_GB2312" w:hAnsi="仿宋" w:eastAsia="仿宋_GB2312" w:cs="仿宋"/>
          <w:b/>
          <w:color w:val="auto"/>
          <w:sz w:val="24"/>
        </w:rPr>
        <w:t>2.授权委托</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 xml:space="preserve">3. </w:t>
      </w:r>
      <w:r>
        <w:rPr>
          <w:rFonts w:hint="eastAsia" w:ascii="仿宋_GB2312" w:hAnsi="仿宋" w:eastAsia="仿宋_GB2312" w:cs="仿宋"/>
          <w:b/>
          <w:color w:val="auto"/>
          <w:sz w:val="24"/>
        </w:rPr>
        <w:t>投标费用</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 xml:space="preserve">4. </w:t>
      </w:r>
      <w:r>
        <w:rPr>
          <w:rFonts w:hint="eastAsia" w:ascii="仿宋_GB2312" w:hAnsi="仿宋" w:eastAsia="仿宋_GB2312" w:cs="仿宋"/>
          <w:b/>
          <w:color w:val="auto"/>
          <w:sz w:val="24"/>
        </w:rPr>
        <w:t>招标文件的修改</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4.1招标文件包括本招标文件及所有的招标答疑记录（澄清、修改）和发出的补充通知。</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4.2招标文件的澄清 </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投标人对招标文件如有疑点要求澄清，可用书面形式（包括并不仅限于纸质、信件和数据电文</w:t>
      </w:r>
      <w:r>
        <w:rPr>
          <w:rFonts w:ascii="仿宋_GB2312" w:hAnsi="仿宋" w:eastAsia="仿宋_GB2312" w:cs="仿宋"/>
          <w:color w:val="auto"/>
          <w:sz w:val="24"/>
        </w:rPr>
        <w:t>(包括电报、电传、传真、电子数据交换和电子邮件）)等通知招标人，但通知不得迟于开标前7日使招标人收到，招标人将用书面形式予以答复。如有必要，可将不说明来源的答复发给所有投标人。</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4.3招标文件的修改</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5.参考品牌</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snapToGrid w:val="0"/>
        <w:spacing w:line="440" w:lineRule="exact"/>
        <w:rPr>
          <w:rFonts w:ascii="仿宋_GB2312" w:hAnsi="仿宋" w:cs="仿宋"/>
          <w:color w:val="auto"/>
          <w:sz w:val="32"/>
          <w:szCs w:val="32"/>
        </w:rPr>
      </w:pPr>
    </w:p>
    <w:p>
      <w:pPr>
        <w:snapToGrid w:val="0"/>
        <w:spacing w:line="440" w:lineRule="exact"/>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三、投标文件</w:t>
      </w:r>
    </w:p>
    <w:p>
      <w:pPr>
        <w:snapToGrid w:val="0"/>
        <w:spacing w:line="440" w:lineRule="exact"/>
        <w:jc w:val="left"/>
        <w:rPr>
          <w:rFonts w:ascii="仿宋_GB2312" w:hAnsi="仿宋" w:eastAsia="仿宋_GB2312" w:cs="仿宋"/>
          <w:b/>
          <w:bCs/>
          <w:color w:val="auto"/>
          <w:sz w:val="24"/>
        </w:rPr>
      </w:pPr>
      <w:r>
        <w:rPr>
          <w:rFonts w:ascii="仿宋_GB2312" w:hAnsi="仿宋" w:eastAsia="仿宋_GB2312" w:cs="仿宋"/>
          <w:b/>
          <w:bCs/>
          <w:color w:val="auto"/>
          <w:sz w:val="24"/>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 xml:space="preserve">1.2 </w:t>
      </w:r>
      <w:r>
        <w:rPr>
          <w:rFonts w:hint="eastAsia" w:ascii="仿宋_GB2312" w:hAnsi="仿宋" w:eastAsia="仿宋_GB2312" w:cs="仿宋"/>
          <w:color w:val="auto"/>
          <w:sz w:val="24"/>
        </w:rPr>
        <w:t>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 xml:space="preserve">1.3 </w:t>
      </w:r>
      <w:r>
        <w:rPr>
          <w:rFonts w:hint="eastAsia" w:ascii="仿宋_GB2312" w:hAnsi="仿宋" w:eastAsia="仿宋_GB2312" w:cs="仿宋"/>
          <w:color w:val="auto"/>
          <w:sz w:val="24"/>
        </w:rPr>
        <w:t>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1.5投标文件的形式和效力</w:t>
      </w:r>
    </w:p>
    <w:p>
      <w:pPr>
        <w:snapToGrid w:val="0"/>
        <w:spacing w:line="440" w:lineRule="exact"/>
        <w:ind w:firstLine="723" w:firstLineChars="300"/>
        <w:jc w:val="left"/>
        <w:rPr>
          <w:rFonts w:ascii="仿宋_GB2312" w:hAnsi="仿宋" w:eastAsia="仿宋_GB2312" w:cs="仿宋"/>
          <w:b/>
          <w:color w:val="auto"/>
          <w:sz w:val="24"/>
        </w:rPr>
      </w:pPr>
      <w:r>
        <w:rPr>
          <w:rFonts w:ascii="仿宋_GB2312" w:hAnsi="仿宋" w:eastAsia="仿宋_GB2312"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u w:val="single"/>
        </w:rPr>
      </w:pPr>
      <w:r>
        <w:rPr>
          <w:rFonts w:ascii="仿宋_GB2312" w:hAnsi="仿宋" w:eastAsia="仿宋_GB2312" w:cs="仿宋"/>
          <w:b/>
          <w:color w:val="auto"/>
          <w:sz w:val="24"/>
          <w:u w:val="single"/>
        </w:rPr>
        <w:t>1.5.2投标文件的效力：</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投标文件未在投标截止时间前完成传输的，视为投标文件撤回；投标文件未按时解密，亦视为投标文件撤回。</w:t>
      </w:r>
    </w:p>
    <w:p>
      <w:pPr>
        <w:pStyle w:val="32"/>
        <w:snapToGrid w:val="0"/>
        <w:spacing w:line="440" w:lineRule="exact"/>
        <w:rPr>
          <w:rFonts w:ascii="仿宋_GB2312" w:hAnsi="仿宋" w:eastAsia="仿宋_GB2312" w:cs="仿宋"/>
          <w:b/>
          <w:color w:val="auto"/>
          <w:sz w:val="24"/>
          <w:szCs w:val="24"/>
        </w:rPr>
      </w:pPr>
      <w:r>
        <w:rPr>
          <w:rFonts w:ascii="仿宋_GB2312" w:hAnsi="仿宋" w:eastAsia="仿宋_GB2312" w:cs="仿宋"/>
          <w:b/>
          <w:color w:val="auto"/>
          <w:sz w:val="24"/>
          <w:szCs w:val="24"/>
        </w:rPr>
        <w:t xml:space="preserve">2. </w:t>
      </w:r>
      <w:r>
        <w:rPr>
          <w:rFonts w:hint="eastAsia" w:ascii="仿宋_GB2312" w:hAnsi="仿宋" w:eastAsia="仿宋_GB2312" w:cs="仿宋"/>
          <w:b/>
          <w:color w:val="auto"/>
          <w:sz w:val="24"/>
          <w:szCs w:val="24"/>
        </w:rPr>
        <w:t>投标文件的组成</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投标文件由“资格文件”、“商务技术（资信）文件资料”、“报价文件资料”三部分组成，其中</w:t>
      </w:r>
      <w:r>
        <w:rPr>
          <w:rFonts w:hint="eastAsia" w:ascii="仿宋_GB2312" w:hAnsi="仿宋" w:eastAsia="仿宋_GB2312" w:cs="仿宋"/>
          <w:b/>
          <w:color w:val="auto"/>
          <w:sz w:val="24"/>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lang w:val="zh-CN"/>
        </w:rPr>
      </w:pPr>
      <w:r>
        <w:rPr>
          <w:rFonts w:ascii="仿宋_GB2312" w:hAnsi="仿宋" w:eastAsia="仿宋_GB2312" w:cs="仿宋"/>
          <w:b/>
          <w:color w:val="auto"/>
          <w:sz w:val="24"/>
        </w:rPr>
        <w:t>2</w:t>
      </w:r>
      <w:r>
        <w:rPr>
          <w:rFonts w:ascii="仿宋_GB2312" w:hAnsi="仿宋" w:eastAsia="仿宋_GB2312" w:cs="仿宋"/>
          <w:b/>
          <w:color w:val="auto"/>
          <w:sz w:val="24"/>
          <w:lang w:val="zh-CN"/>
        </w:rPr>
        <w:t>.1资格文件：</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2.1.2联合协议（如果有)；</w:t>
      </w:r>
    </w:p>
    <w:p>
      <w:pPr>
        <w:snapToGrid w:val="0"/>
        <w:spacing w:line="440" w:lineRule="exact"/>
        <w:ind w:firstLine="720" w:firstLineChars="300"/>
        <w:rPr>
          <w:rFonts w:ascii="仿宋_GB2312" w:hAnsi="仿宋" w:eastAsia="仿宋_GB2312" w:cs="仿宋"/>
          <w:color w:val="auto"/>
        </w:rPr>
      </w:pPr>
      <w:r>
        <w:rPr>
          <w:rFonts w:ascii="仿宋_GB2312" w:hAnsi="仿宋" w:eastAsia="仿宋_GB2312" w:cs="仿宋"/>
          <w:color w:val="auto"/>
          <w:sz w:val="24"/>
        </w:rPr>
        <w:t>2.1.3分包意向协议</w:t>
      </w:r>
      <w:r>
        <w:rPr>
          <w:rFonts w:hint="eastAsia" w:ascii="仿宋_GB2312" w:hAnsi="仿宋" w:eastAsia="仿宋_GB2312" w:cs="仿宋"/>
          <w:snapToGrid w:val="0"/>
          <w:color w:val="auto"/>
          <w:kern w:val="28"/>
          <w:sz w:val="24"/>
          <w:szCs w:val="20"/>
        </w:rPr>
        <w:t>（如果有</w:t>
      </w:r>
      <w:r>
        <w:rPr>
          <w:rFonts w:ascii="仿宋_GB2312" w:hAnsi="仿宋" w:eastAsia="仿宋_GB2312" w:cs="仿宋"/>
          <w:snapToGrid w:val="0"/>
          <w:color w:val="auto"/>
          <w:kern w:val="28"/>
          <w:sz w:val="24"/>
          <w:szCs w:val="20"/>
        </w:rPr>
        <w:t>)</w:t>
      </w:r>
      <w:r>
        <w:rPr>
          <w:rFonts w:hint="eastAsia" w:ascii="仿宋_GB2312" w:hAnsi="仿宋" w:eastAsia="仿宋_GB2312" w:cs="仿宋"/>
          <w:color w:val="auto"/>
          <w:sz w:val="24"/>
        </w:rPr>
        <w:t>；</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2.1.5本项目的特定资格要求（如果有)。</w:t>
      </w:r>
    </w:p>
    <w:p>
      <w:pPr>
        <w:snapToGrid w:val="0"/>
        <w:spacing w:line="440" w:lineRule="exact"/>
        <w:ind w:firstLine="482" w:firstLineChars="200"/>
        <w:rPr>
          <w:rFonts w:ascii="仿宋_GB2312" w:hAnsi="仿宋" w:eastAsia="仿宋_GB2312" w:cs="仿宋"/>
          <w:b/>
          <w:color w:val="auto"/>
          <w:sz w:val="24"/>
          <w:lang w:val="zh-CN"/>
        </w:rPr>
      </w:pPr>
      <w:r>
        <w:rPr>
          <w:rFonts w:ascii="仿宋_GB2312" w:hAnsi="仿宋" w:eastAsia="仿宋_GB2312" w:cs="仿宋"/>
          <w:b/>
          <w:color w:val="auto"/>
          <w:sz w:val="24"/>
          <w:lang w:val="zh-CN"/>
        </w:rPr>
        <w:t>2.</w:t>
      </w:r>
      <w:r>
        <w:rPr>
          <w:rFonts w:ascii="仿宋_GB2312" w:hAnsi="仿宋" w:eastAsia="仿宋_GB2312" w:cs="仿宋"/>
          <w:b/>
          <w:color w:val="auto"/>
          <w:sz w:val="24"/>
        </w:rPr>
        <w:t>2商务技术</w:t>
      </w:r>
      <w:r>
        <w:rPr>
          <w:rFonts w:hint="eastAsia" w:ascii="仿宋_GB2312" w:hAnsi="仿宋" w:eastAsia="仿宋_GB2312" w:cs="仿宋"/>
          <w:b/>
          <w:color w:val="auto"/>
          <w:sz w:val="24"/>
          <w:lang w:val="zh-CN"/>
        </w:rPr>
        <w:t>文件：</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2.2.1投标函；</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2.2.2法定代表人授权委托书；</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2.2.3授权代表社保证明；</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2.2.4法定代表人及其授权代表身份证复印件；</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2.2.5法定代表人身份证明书；</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2.2.7廉政承诺书（格式见第六部分附件）；</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2.2.9供应商应提供针对项目的完整技术解决方案：</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本项目如需采购政府强制采购的节能产品的或投标人提供的产品是环境标志产品，投标人须按格式提供节能产品、环境标志产品认证证书复印件。</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2.2.16培训计划（如有）；</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2.2.17验收方案；</w:t>
      </w:r>
    </w:p>
    <w:p>
      <w:pPr>
        <w:snapToGrid w:val="0"/>
        <w:spacing w:line="440" w:lineRule="exact"/>
        <w:ind w:firstLine="720" w:firstLineChars="300"/>
        <w:rPr>
          <w:rFonts w:ascii="仿宋_GB2312" w:hAnsi="仿宋" w:eastAsia="仿宋_GB2312" w:cs="仿宋"/>
          <w:color w:val="auto"/>
          <w:sz w:val="24"/>
          <w:u w:val="wave"/>
        </w:rPr>
      </w:pPr>
      <w:r>
        <w:rPr>
          <w:rFonts w:ascii="仿宋_GB2312" w:hAnsi="仿宋" w:eastAsia="仿宋_GB2312" w:cs="仿宋"/>
          <w:color w:val="auto"/>
          <w:sz w:val="24"/>
        </w:rPr>
        <w:t>2.2.18</w:t>
      </w:r>
      <w:r>
        <w:rPr>
          <w:rFonts w:hint="eastAsia" w:ascii="仿宋_GB2312" w:hAnsi="仿宋" w:eastAsia="仿宋_GB2312" w:cs="仿宋"/>
          <w:color w:val="auto"/>
          <w:sz w:val="24"/>
          <w:u w:val="wave"/>
        </w:rPr>
        <w:t>未尽事宜请各投标单位按评分标准和相对应标项相关要求制作；</w:t>
      </w:r>
    </w:p>
    <w:p>
      <w:pPr>
        <w:snapToGrid w:val="0"/>
        <w:spacing w:line="440" w:lineRule="exact"/>
        <w:ind w:firstLine="720" w:firstLineChars="300"/>
        <w:rPr>
          <w:rFonts w:ascii="仿宋_GB2312" w:eastAsia="仿宋_GB2312"/>
          <w:color w:val="auto"/>
          <w:lang w:val="zh-CN"/>
        </w:rPr>
      </w:pPr>
      <w:r>
        <w:rPr>
          <w:rFonts w:ascii="仿宋_GB2312" w:hAnsi="仿宋" w:eastAsia="仿宋_GB2312" w:cs="仿宋"/>
          <w:color w:val="auto"/>
          <w:sz w:val="24"/>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lang w:val="zh-CN"/>
        </w:rPr>
      </w:pPr>
      <w:r>
        <w:rPr>
          <w:rFonts w:ascii="仿宋_GB2312" w:hAnsi="仿宋" w:eastAsia="仿宋_GB2312" w:cs="仿宋"/>
          <w:b/>
          <w:color w:val="auto"/>
          <w:sz w:val="24"/>
          <w:lang w:val="zh-CN"/>
        </w:rPr>
        <w:t xml:space="preserve">2.3报价文件： </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2.3.1开标一览表（报价表）；</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color w:val="auto"/>
          <w:sz w:val="24"/>
        </w:rPr>
        <w:t>2.3.2中小企业声明函（如果有）。</w:t>
      </w:r>
    </w:p>
    <w:p>
      <w:pPr>
        <w:snapToGrid w:val="0"/>
        <w:spacing w:line="440" w:lineRule="exact"/>
        <w:ind w:firstLine="720" w:firstLineChars="300"/>
        <w:rPr>
          <w:rFonts w:ascii="仿宋_GB2312" w:hAnsi="仿宋" w:eastAsia="仿宋_GB2312" w:cs="仿宋"/>
          <w:color w:val="auto"/>
          <w:sz w:val="24"/>
        </w:rPr>
      </w:pPr>
      <w:r>
        <w:rPr>
          <w:rFonts w:ascii="仿宋_GB2312" w:hAnsi="仿宋" w:eastAsia="仿宋_GB2312" w:cs="仿宋"/>
          <w:snapToGrid w:val="0"/>
          <w:color w:val="auto"/>
          <w:sz w:val="24"/>
        </w:rPr>
        <w:t xml:space="preserve">2.3.3 </w:t>
      </w:r>
      <w:r>
        <w:rPr>
          <w:rFonts w:hint="eastAsia" w:ascii="仿宋_GB2312" w:hAnsi="宋体" w:eastAsia="仿宋_GB2312" w:cs="仿宋_GB2312"/>
          <w:snapToGrid w:val="0"/>
          <w:color w:val="auto"/>
          <w:sz w:val="24"/>
        </w:rPr>
        <w:t>残疾人福利性单位声明函（如果有）</w:t>
      </w:r>
    </w:p>
    <w:p>
      <w:pPr>
        <w:snapToGrid w:val="0"/>
        <w:spacing w:line="440" w:lineRule="exact"/>
        <w:rPr>
          <w:rFonts w:ascii="仿宋_GB2312" w:hAnsi="仿宋" w:eastAsia="仿宋_GB2312" w:cs="仿宋"/>
          <w:b/>
          <w:bCs/>
          <w:color w:val="auto"/>
          <w:sz w:val="32"/>
        </w:rPr>
      </w:pPr>
      <w:r>
        <w:rPr>
          <w:rFonts w:ascii="仿宋_GB2312" w:hAnsi="仿宋" w:eastAsia="仿宋_GB2312" w:cs="仿宋"/>
          <w:b/>
          <w:bCs/>
          <w:color w:val="auto"/>
          <w:sz w:val="24"/>
          <w:szCs w:val="20"/>
        </w:rPr>
        <w:t>3.投标报价</w:t>
      </w:r>
    </w:p>
    <w:p>
      <w:pPr>
        <w:snapToGrid w:val="0"/>
        <w:spacing w:line="440" w:lineRule="exact"/>
        <w:ind w:firstLine="720" w:firstLineChars="300"/>
        <w:rPr>
          <w:rFonts w:ascii="仿宋_GB2312" w:hAnsi="仿宋" w:eastAsia="仿宋_GB2312" w:cs="仿宋"/>
          <w:b/>
          <w:color w:val="auto"/>
          <w:sz w:val="32"/>
        </w:rPr>
      </w:pPr>
      <w:r>
        <w:rPr>
          <w:rFonts w:ascii="仿宋_GB2312" w:hAnsi="仿宋" w:eastAsia="仿宋_GB2312"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rPr>
      </w:pPr>
      <w:r>
        <w:rPr>
          <w:rFonts w:ascii="仿宋_GB2312" w:hAnsi="仿宋" w:eastAsia="仿宋_GB2312" w:cs="仿宋"/>
          <w:color w:val="auto"/>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rPr>
      </w:pPr>
      <w:r>
        <w:rPr>
          <w:rFonts w:ascii="仿宋_GB2312" w:hAnsi="仿宋" w:eastAsia="仿宋_GB2312" w:cs="仿宋"/>
          <w:color w:val="auto"/>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rPr>
      </w:pPr>
      <w:r>
        <w:rPr>
          <w:rFonts w:ascii="仿宋_GB2312" w:hAnsi="仿宋" w:eastAsia="仿宋_GB2312" w:cs="仿宋"/>
          <w:color w:val="auto"/>
          <w:sz w:val="24"/>
        </w:rPr>
        <w:t>3.4投标人提供虚假材料投标的，投标无效。</w:t>
      </w:r>
    </w:p>
    <w:p>
      <w:pPr>
        <w:pStyle w:val="183"/>
        <w:snapToGrid w:val="0"/>
        <w:spacing w:before="0" w:line="440" w:lineRule="exact"/>
        <w:ind w:firstLine="0" w:firstLineChars="0"/>
        <w:outlineLvl w:val="0"/>
        <w:rPr>
          <w:rFonts w:ascii="仿宋_GB2312" w:hAnsi="仿宋" w:eastAsia="仿宋_GB2312" w:cs="仿宋"/>
          <w:b/>
          <w:color w:val="auto"/>
          <w:szCs w:val="24"/>
        </w:rPr>
      </w:pPr>
      <w:r>
        <w:rPr>
          <w:rFonts w:ascii="仿宋_GB2312" w:hAnsi="仿宋" w:eastAsia="仿宋_GB2312" w:cs="仿宋"/>
          <w:b/>
          <w:color w:val="auto"/>
          <w:kern w:val="0"/>
          <w:szCs w:val="24"/>
        </w:rPr>
        <w:t>4.</w:t>
      </w:r>
      <w:r>
        <w:rPr>
          <w:rFonts w:hint="eastAsia" w:ascii="仿宋_GB2312" w:hAnsi="仿宋" w:eastAsia="仿宋_GB2312" w:cs="仿宋"/>
          <w:b/>
          <w:color w:val="auto"/>
          <w:szCs w:val="24"/>
        </w:rPr>
        <w:t>投标文件的编制和</w:t>
      </w:r>
      <w:r>
        <w:rPr>
          <w:rFonts w:hint="eastAsia" w:ascii="仿宋_GB2312" w:hAnsi="仿宋" w:eastAsia="仿宋_GB2312" w:cs="仿宋"/>
          <w:b/>
          <w:color w:val="auto"/>
        </w:rPr>
        <w:t>签署</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4</w:t>
      </w:r>
      <w:r>
        <w:rPr>
          <w:rFonts w:ascii="仿宋_GB2312" w:hAnsi="仿宋" w:eastAsia="仿宋_GB2312"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lang w:val="zh-CN"/>
        </w:rPr>
      </w:pPr>
      <w:r>
        <w:rPr>
          <w:rFonts w:ascii="仿宋_GB2312" w:hAnsi="仿宋" w:eastAsia="仿宋_GB2312" w:cs="仿宋"/>
          <w:color w:val="auto"/>
          <w:sz w:val="24"/>
        </w:rPr>
        <w:t>4</w:t>
      </w:r>
      <w:r>
        <w:rPr>
          <w:rFonts w:ascii="仿宋_GB2312" w:hAnsi="仿宋" w:eastAsia="仿宋_GB2312"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lang w:val="zh-CN"/>
        </w:rPr>
      </w:pPr>
      <w:r>
        <w:rPr>
          <w:rFonts w:ascii="仿宋_GB2312" w:hAnsi="仿宋" w:eastAsia="仿宋_GB2312" w:cs="仿宋"/>
          <w:color w:val="auto"/>
          <w:sz w:val="24"/>
        </w:rPr>
        <w:t>4</w:t>
      </w:r>
      <w:r>
        <w:rPr>
          <w:rFonts w:ascii="仿宋_GB2312" w:hAnsi="仿宋" w:eastAsia="仿宋_GB2312"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lang w:val="zh-CN"/>
        </w:rPr>
      </w:pPr>
      <w:r>
        <w:rPr>
          <w:rFonts w:ascii="仿宋_GB2312" w:hAnsi="仿宋" w:eastAsia="仿宋_GB2312" w:cs="仿宋"/>
          <w:color w:val="auto"/>
          <w:sz w:val="24"/>
        </w:rPr>
        <w:t>4.4</w:t>
      </w:r>
      <w:r>
        <w:rPr>
          <w:rFonts w:hint="eastAsia" w:ascii="仿宋_GB2312" w:hAnsi="仿宋" w:eastAsia="仿宋_GB2312"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lang w:val="zh-CN"/>
        </w:rPr>
      </w:pPr>
      <w:r>
        <w:rPr>
          <w:rFonts w:ascii="仿宋_GB2312" w:hAnsi="仿宋" w:eastAsia="仿宋_GB2312" w:cs="仿宋"/>
          <w:color w:val="auto"/>
          <w:sz w:val="24"/>
        </w:rPr>
        <w:t>4.5</w:t>
      </w:r>
      <w:r>
        <w:rPr>
          <w:rFonts w:hint="eastAsia" w:ascii="仿宋_GB2312" w:hAnsi="仿宋" w:eastAsia="仿宋_GB2312"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lang w:val="zh-CN"/>
        </w:rPr>
      </w:pPr>
      <w:r>
        <w:rPr>
          <w:rFonts w:ascii="仿宋_GB2312" w:hAnsi="仿宋" w:eastAsia="仿宋_GB2312" w:cs="仿宋"/>
          <w:color w:val="auto"/>
          <w:sz w:val="24"/>
        </w:rPr>
        <w:t>4.6</w:t>
      </w:r>
      <w:r>
        <w:rPr>
          <w:rFonts w:hint="eastAsia" w:ascii="仿宋_GB2312" w:hAnsi="仿宋" w:eastAsia="仿宋_GB2312" w:cs="仿宋"/>
          <w:color w:val="auto"/>
          <w:sz w:val="24"/>
          <w:lang w:val="zh-CN"/>
        </w:rPr>
        <w:t>招标文件对投标文件签署、盖章的要求适用于电子签名。</w:t>
      </w:r>
    </w:p>
    <w:p>
      <w:pPr>
        <w:pStyle w:val="183"/>
        <w:snapToGrid w:val="0"/>
        <w:spacing w:before="0" w:line="440" w:lineRule="exact"/>
        <w:ind w:firstLine="0" w:firstLineChars="0"/>
        <w:rPr>
          <w:rFonts w:ascii="仿宋_GB2312" w:hAnsi="仿宋" w:eastAsia="仿宋_GB2312" w:cs="仿宋"/>
          <w:b/>
          <w:color w:val="auto"/>
          <w:szCs w:val="24"/>
        </w:rPr>
      </w:pPr>
      <w:r>
        <w:rPr>
          <w:rFonts w:ascii="仿宋_GB2312" w:hAnsi="仿宋" w:eastAsia="仿宋_GB2312" w:cs="仿宋"/>
          <w:b/>
          <w:color w:val="auto"/>
          <w:szCs w:val="24"/>
        </w:rPr>
        <w:t xml:space="preserve">5. </w:t>
      </w:r>
      <w:r>
        <w:rPr>
          <w:rFonts w:hint="eastAsia" w:ascii="仿宋_GB2312" w:hAnsi="仿宋" w:eastAsia="仿宋_GB2312" w:cs="仿宋"/>
          <w:b/>
          <w:color w:val="auto"/>
          <w:szCs w:val="24"/>
        </w:rPr>
        <w:t>投标文件的提交、补充、修改、撤回</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 xml:space="preserve">5.1 </w:t>
      </w:r>
      <w:r>
        <w:rPr>
          <w:rFonts w:hint="eastAsia" w:ascii="仿宋_GB2312" w:hAnsi="仿宋" w:eastAsia="仿宋_GB2312" w:cs="仿宋"/>
          <w:color w:val="auto"/>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napToGrid w:val="0"/>
        <w:spacing w:line="440" w:lineRule="exact"/>
        <w:rPr>
          <w:rFonts w:ascii="仿宋_GB2312" w:hAnsi="仿宋" w:eastAsia="仿宋_GB2312" w:cs="仿宋"/>
          <w:b/>
          <w:color w:val="auto"/>
          <w:sz w:val="32"/>
        </w:rPr>
      </w:pPr>
      <w:r>
        <w:rPr>
          <w:rFonts w:ascii="仿宋_GB2312" w:hAnsi="仿宋" w:eastAsia="仿宋_GB2312" w:cs="仿宋"/>
          <w:b/>
          <w:bCs/>
          <w:color w:val="auto"/>
          <w:sz w:val="24"/>
        </w:rPr>
        <w:t>6.投标有效期</w:t>
      </w:r>
    </w:p>
    <w:p>
      <w:pPr>
        <w:snapToGrid w:val="0"/>
        <w:spacing w:line="440" w:lineRule="exact"/>
        <w:ind w:firstLine="480" w:firstLineChars="200"/>
        <w:jc w:val="left"/>
        <w:rPr>
          <w:rFonts w:ascii="仿宋_GB2312" w:hAnsi="仿宋" w:eastAsia="仿宋_GB2312" w:cs="仿宋"/>
          <w:b/>
          <w:color w:val="auto"/>
          <w:sz w:val="32"/>
        </w:rPr>
      </w:pPr>
      <w:r>
        <w:rPr>
          <w:rFonts w:ascii="仿宋_GB2312" w:hAnsi="仿宋" w:eastAsia="仿宋_GB2312"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rPr>
      </w:pPr>
      <w:r>
        <w:rPr>
          <w:rFonts w:ascii="仿宋_GB2312" w:hAnsi="仿宋" w:eastAsia="仿宋_GB2312" w:cs="仿宋"/>
          <w:color w:val="auto"/>
          <w:sz w:val="24"/>
        </w:rPr>
        <w:t>6.2投标文件合格投递后，自投标截止日期起，在投标有效期内有效。</w:t>
      </w:r>
    </w:p>
    <w:p>
      <w:pPr>
        <w:pStyle w:val="183"/>
        <w:snapToGrid w:val="0"/>
        <w:spacing w:before="0" w:line="440" w:lineRule="exact"/>
        <w:ind w:firstLine="480"/>
        <w:rPr>
          <w:rFonts w:ascii="仿宋_GB2312" w:hAnsi="仿宋" w:eastAsia="仿宋_GB2312" w:cs="仿宋"/>
          <w:b/>
          <w:color w:val="auto"/>
          <w:sz w:val="32"/>
        </w:rPr>
      </w:pPr>
      <w:r>
        <w:rPr>
          <w:rFonts w:ascii="仿宋_GB2312" w:hAnsi="仿宋" w:eastAsia="仿宋_GB2312"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napToGrid w:val="0"/>
        <w:spacing w:line="440" w:lineRule="exact"/>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四、开标和评标</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1．电子招投标开标及评审程序</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1.7主持人公布评标结果。</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3．评标</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rPr>
      </w:pPr>
      <w:r>
        <w:rPr>
          <w:rFonts w:ascii="仿宋_GB2312" w:hAnsi="仿宋" w:eastAsia="仿宋_GB2312" w:cs="仿宋"/>
          <w:color w:val="auto"/>
          <w:sz w:val="24"/>
        </w:rPr>
        <w:t>3.7评标委员会不向落标方解释落标的原因。</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4．投标文件的初审鉴定</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4.1资格性审查</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4.2符合性审查</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kern w:val="0"/>
          <w:sz w:val="24"/>
        </w:rPr>
        <w:t xml:space="preserve">5. </w:t>
      </w:r>
      <w:r>
        <w:rPr>
          <w:rFonts w:hint="eastAsia" w:ascii="仿宋_GB2312" w:hAnsi="仿宋" w:eastAsia="仿宋_GB2312" w:cs="仿宋"/>
          <w:b/>
          <w:color w:val="auto"/>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同时出现两种以上不一致的，按照前款规定的顺序修正。修正后的报价按照财政部公布第</w:t>
      </w:r>
      <w:r>
        <w:rPr>
          <w:rFonts w:ascii="仿宋_GB2312" w:hAnsi="仿宋" w:eastAsia="仿宋_GB2312" w:cs="仿宋"/>
          <w:color w:val="auto"/>
          <w:sz w:val="24"/>
        </w:rPr>
        <w:t xml:space="preserve">87号令 </w:t>
      </w:r>
      <w:r>
        <w:rPr>
          <w:rFonts w:hint="eastAsia" w:ascii="仿宋_GB2312" w:hAnsi="仿宋" w:eastAsia="仿宋_GB2312" w:cs="仿宋"/>
          <w:color w:val="auto"/>
          <w:sz w:val="24"/>
        </w:rPr>
        <w:t>《政府采购货物和服务招标投标管理办法》第五十一条第二款的规定经投标人确认后产生约束力，投标人不确认的，其投标无效。</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6.投标文件的评审、比较和否决</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 xml:space="preserve">6.7 </w:t>
      </w:r>
      <w:r>
        <w:rPr>
          <w:rFonts w:hint="eastAsia" w:ascii="仿宋_GB2312" w:hAnsi="仿宋" w:eastAsia="仿宋_GB2312" w:cs="仿宋"/>
          <w:color w:val="auto"/>
          <w:sz w:val="24"/>
        </w:rPr>
        <w:t>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5"/>
        <w:snapToGrid w:val="0"/>
        <w:spacing w:afterLines="0" w:line="440" w:lineRule="exact"/>
        <w:ind w:left="0"/>
        <w:rPr>
          <w:rFonts w:ascii="仿宋_GB2312" w:hAnsi="仿宋" w:eastAsia="仿宋_GB2312" w:cs="仿宋"/>
          <w:b/>
          <w:color w:val="auto"/>
        </w:rPr>
      </w:pPr>
      <w:r>
        <w:rPr>
          <w:rFonts w:ascii="仿宋_GB2312" w:hAnsi="仿宋" w:eastAsia="仿宋_GB2312" w:cs="仿宋"/>
          <w:b/>
          <w:color w:val="auto"/>
        </w:rPr>
        <w:t>7.投标文件的澄清</w:t>
      </w:r>
    </w:p>
    <w:p>
      <w:pPr>
        <w:pStyle w:val="15"/>
        <w:snapToGrid w:val="0"/>
        <w:spacing w:afterLines="0" w:line="440" w:lineRule="exact"/>
        <w:ind w:left="0" w:firstLine="480" w:firstLineChars="200"/>
        <w:rPr>
          <w:rFonts w:ascii="仿宋_GB2312" w:hAnsi="仿宋" w:eastAsia="仿宋_GB2312" w:cs="仿宋"/>
          <w:color w:val="auto"/>
        </w:rPr>
      </w:pPr>
      <w:r>
        <w:rPr>
          <w:rFonts w:hint="eastAsia" w:ascii="仿宋_GB2312" w:hAnsi="仿宋" w:eastAsia="仿宋_GB2312"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rPr>
      </w:pPr>
      <w:r>
        <w:rPr>
          <w:rFonts w:ascii="仿宋_GB2312" w:hAnsi="仿宋" w:eastAsia="仿宋_GB2312" w:cs="仿宋"/>
          <w:b/>
          <w:color w:val="auto"/>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8.20.5其他弄虚作假的行为。</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ascii="仿宋_GB2312" w:hAnsi="仿宋" w:eastAsia="仿宋_GB2312"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8.24投标文件出现不是唯一的、有选择性投标报价的；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8.25对未提供样品或提供样品不满足采购</w:t>
      </w:r>
      <w:r>
        <w:rPr>
          <w:rFonts w:hint="eastAsia" w:ascii="仿宋_GB2312" w:hAnsi="仿宋" w:eastAsia="仿宋_GB2312" w:cs="仿宋"/>
          <w:b/>
          <w:color w:val="auto"/>
          <w:sz w:val="24"/>
          <w:highlight w:val="none"/>
        </w:rPr>
        <w:t>需</w:t>
      </w:r>
      <w:r>
        <w:rPr>
          <w:rFonts w:ascii="仿宋_GB2312" w:hAnsi="仿宋" w:eastAsia="仿宋_GB2312" w:cs="仿宋"/>
          <w:b/>
          <w:color w:val="auto"/>
          <w:sz w:val="24"/>
          <w:highlight w:val="none"/>
        </w:rPr>
        <w:t>求实质性条件的;</w:t>
      </w:r>
    </w:p>
    <w:p>
      <w:pPr>
        <w:snapToGrid w:val="0"/>
        <w:spacing w:line="440" w:lineRule="exact"/>
        <w:ind w:firstLine="482" w:firstLineChars="200"/>
        <w:jc w:val="left"/>
        <w:rPr>
          <w:rFonts w:ascii="仿宋_GB2312" w:hAnsi="仿宋" w:eastAsia="仿宋_GB2312" w:cs="仿宋"/>
          <w:color w:val="auto"/>
        </w:rPr>
      </w:pPr>
      <w:r>
        <w:rPr>
          <w:rFonts w:ascii="仿宋_GB2312" w:hAnsi="仿宋" w:eastAsia="仿宋_GB2312" w:cs="仿宋"/>
          <w:b/>
          <w:color w:val="auto"/>
          <w:sz w:val="24"/>
        </w:rPr>
        <w:t>8.2</w:t>
      </w:r>
      <w:r>
        <w:rPr>
          <w:rFonts w:hint="eastAsia" w:ascii="仿宋_GB2312" w:hAnsi="仿宋" w:eastAsia="仿宋_GB2312" w:cs="仿宋"/>
          <w:b/>
          <w:color w:val="auto"/>
          <w:sz w:val="24"/>
          <w:lang w:val="en-US" w:eastAsia="zh-CN"/>
        </w:rPr>
        <w:t>6</w:t>
      </w:r>
      <w:r>
        <w:rPr>
          <w:rFonts w:hint="eastAsia" w:ascii="仿宋_GB2312" w:hAnsi="仿宋" w:eastAsia="仿宋_GB2312" w:cs="仿宋"/>
          <w:b/>
          <w:color w:val="auto"/>
          <w:sz w:val="24"/>
        </w:rPr>
        <w:t>其他违反法律、法规的情形。</w:t>
      </w:r>
    </w:p>
    <w:p>
      <w:pPr>
        <w:snapToGrid w:val="0"/>
        <w:spacing w:line="440" w:lineRule="exact"/>
        <w:rPr>
          <w:rFonts w:ascii="仿宋_GB2312" w:hAnsi="仿宋" w:eastAsia="仿宋_GB2312" w:cs="仿宋"/>
          <w:b/>
          <w:color w:val="auto"/>
          <w:kern w:val="0"/>
          <w:sz w:val="24"/>
        </w:rPr>
      </w:pPr>
      <w:r>
        <w:rPr>
          <w:rFonts w:ascii="仿宋_GB2312" w:hAnsi="仿宋" w:eastAsia="仿宋_GB2312" w:cs="仿宋"/>
          <w:b/>
          <w:color w:val="auto"/>
          <w:kern w:val="0"/>
          <w:sz w:val="24"/>
        </w:rPr>
        <w:t xml:space="preserve">9. </w:t>
      </w:r>
      <w:r>
        <w:rPr>
          <w:rFonts w:hint="eastAsia" w:ascii="仿宋_GB2312" w:hAnsi="仿宋" w:eastAsia="仿宋_GB2312" w:cs="仿宋"/>
          <w:b/>
          <w:color w:val="auto"/>
          <w:kern w:val="0"/>
          <w:sz w:val="24"/>
        </w:rPr>
        <w:t>评标过程保密</w:t>
      </w:r>
    </w:p>
    <w:p>
      <w:pPr>
        <w:snapToGrid w:val="0"/>
        <w:spacing w:line="440" w:lineRule="exact"/>
        <w:ind w:firstLine="480" w:firstLineChars="200"/>
        <w:rPr>
          <w:rFonts w:ascii="仿宋_GB2312" w:hAnsi="仿宋" w:eastAsia="仿宋_GB2312" w:cs="仿宋"/>
          <w:color w:val="auto"/>
          <w:kern w:val="0"/>
          <w:sz w:val="24"/>
        </w:rPr>
      </w:pPr>
      <w:r>
        <w:rPr>
          <w:rFonts w:ascii="仿宋_GB2312" w:hAnsi="仿宋" w:eastAsia="仿宋_GB2312" w:cs="仿宋"/>
          <w:color w:val="auto"/>
          <w:kern w:val="0"/>
          <w:sz w:val="24"/>
        </w:rPr>
        <w:t>9.1</w:t>
      </w:r>
      <w:r>
        <w:rPr>
          <w:rFonts w:hint="eastAsia" w:ascii="仿宋_GB2312" w:hAnsi="仿宋" w:eastAsia="仿宋_GB2312"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rPr>
      </w:pPr>
      <w:r>
        <w:rPr>
          <w:rFonts w:ascii="仿宋_GB2312" w:hAnsi="仿宋" w:eastAsia="仿宋_GB2312" w:cs="仿宋"/>
          <w:color w:val="auto"/>
          <w:kern w:val="0"/>
          <w:sz w:val="24"/>
        </w:rPr>
        <w:t xml:space="preserve">9.2 </w:t>
      </w:r>
      <w:r>
        <w:rPr>
          <w:rFonts w:hint="eastAsia" w:ascii="仿宋_GB2312" w:hAnsi="仿宋" w:eastAsia="仿宋_GB2312" w:cs="仿宋"/>
          <w:color w:val="auto"/>
          <w:kern w:val="0"/>
          <w:sz w:val="24"/>
        </w:rPr>
        <w:t>在评标期间，投标人企图影响招标人或</w:t>
      </w:r>
      <w:r>
        <w:rPr>
          <w:rFonts w:hint="eastAsia" w:ascii="仿宋_GB2312" w:hAnsi="仿宋" w:eastAsia="仿宋_GB2312" w:cs="仿宋"/>
          <w:color w:val="auto"/>
          <w:sz w:val="24"/>
        </w:rPr>
        <w:t>评标委员会</w:t>
      </w:r>
      <w:r>
        <w:rPr>
          <w:rFonts w:hint="eastAsia" w:ascii="仿宋_GB2312" w:hAnsi="仿宋" w:eastAsia="仿宋_GB2312" w:cs="仿宋"/>
          <w:color w:val="auto"/>
          <w:kern w:val="0"/>
          <w:sz w:val="24"/>
        </w:rPr>
        <w:t>的任何活动，都将导致投标被拒绝，并由其承担相应的法律责任。</w:t>
      </w:r>
    </w:p>
    <w:p>
      <w:pPr>
        <w:pStyle w:val="32"/>
        <w:adjustRightInd w:val="0"/>
        <w:snapToGrid w:val="0"/>
        <w:spacing w:line="440" w:lineRule="exact"/>
        <w:ind w:firstLine="726"/>
        <w:jc w:val="center"/>
        <w:rPr>
          <w:rFonts w:ascii="仿宋_GB2312" w:hAnsi="仿宋" w:eastAsia="仿宋_GB2312" w:cs="仿宋"/>
          <w:b/>
          <w:snapToGrid w:val="0"/>
          <w:color w:val="auto"/>
          <w:sz w:val="32"/>
          <w:szCs w:val="32"/>
        </w:rPr>
      </w:pPr>
    </w:p>
    <w:p>
      <w:pPr>
        <w:pStyle w:val="32"/>
        <w:adjustRightInd w:val="0"/>
        <w:snapToGrid w:val="0"/>
        <w:spacing w:line="440" w:lineRule="exact"/>
        <w:ind w:firstLine="726"/>
        <w:jc w:val="center"/>
        <w:rPr>
          <w:rFonts w:ascii="仿宋_GB2312" w:hAnsi="仿宋" w:eastAsia="仿宋_GB2312" w:cs="仿宋"/>
          <w:b/>
          <w:snapToGrid w:val="0"/>
          <w:color w:val="auto"/>
          <w:sz w:val="32"/>
          <w:szCs w:val="32"/>
        </w:rPr>
      </w:pPr>
      <w:r>
        <w:rPr>
          <w:rFonts w:hint="eastAsia" w:ascii="仿宋_GB2312" w:hAnsi="仿宋" w:eastAsia="仿宋_GB2312" w:cs="仿宋"/>
          <w:b/>
          <w:snapToGrid w:val="0"/>
          <w:color w:val="auto"/>
          <w:sz w:val="32"/>
          <w:szCs w:val="32"/>
        </w:rPr>
        <w:t>五、授予合同</w:t>
      </w:r>
    </w:p>
    <w:bookmarkEnd w:id="1"/>
    <w:bookmarkEnd w:id="2"/>
    <w:bookmarkEnd w:id="3"/>
    <w:p>
      <w:pPr>
        <w:pStyle w:val="15"/>
        <w:snapToGrid w:val="0"/>
        <w:spacing w:afterLines="0" w:line="440" w:lineRule="exact"/>
        <w:ind w:left="840"/>
        <w:rPr>
          <w:rFonts w:ascii="仿宋_GB2312" w:hAnsi="仿宋" w:eastAsia="仿宋_GB2312" w:cs="仿宋"/>
          <w:b/>
          <w:color w:val="auto"/>
          <w:szCs w:val="24"/>
        </w:rPr>
      </w:pPr>
      <w:r>
        <w:rPr>
          <w:rFonts w:ascii="仿宋_GB2312" w:hAnsi="仿宋" w:eastAsia="仿宋_GB2312" w:cs="仿宋"/>
          <w:b/>
          <w:color w:val="auto"/>
          <w:szCs w:val="24"/>
        </w:rPr>
        <w:t>1.中标条件</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1.1投标文件基本符合招标文件要求；</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1.2投标人有很好的执行合同的能力；</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1.5招标人将把中标通知书授予最佳投标者，但最低价不是中标的绝对保证。</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2.中标确认</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2.3采购人应在确认中标人前再次对资格条件和相关证件材料进一步查验核实。</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3．中标通知</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ascii="仿宋_GB2312" w:hAnsi="仿宋" w:eastAsia="仿宋_GB2312" w:cs="仿宋"/>
          <w:color w:val="auto"/>
          <w:sz w:val="24"/>
        </w:rPr>
        <w:t>http://zfcg.czt.zj.gov.cn/</w:t>
      </w:r>
      <w:r>
        <w:rPr>
          <w:rFonts w:ascii="仿宋_GB2312" w:hAnsi="仿宋" w:eastAsia="仿宋_GB2312" w:cs="仿宋"/>
          <w:color w:val="auto"/>
          <w:sz w:val="24"/>
        </w:rPr>
        <w:fldChar w:fldCharType="end"/>
      </w:r>
      <w:r>
        <w:rPr>
          <w:rFonts w:hint="eastAsia" w:ascii="仿宋_GB2312" w:hAnsi="仿宋" w:eastAsia="仿宋_GB2312"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ascii="仿宋_GB2312" w:hAnsi="仿宋" w:eastAsia="仿宋_GB2312" w:cs="仿宋"/>
          <w:color w:val="auto"/>
          <w:sz w:val="24"/>
        </w:rPr>
        <w:t>http://ggb.sx.gov.cn</w:t>
      </w:r>
      <w:r>
        <w:rPr>
          <w:rFonts w:ascii="仿宋_GB2312" w:hAnsi="仿宋" w:eastAsia="仿宋_GB2312" w:cs="仿宋"/>
          <w:color w:val="auto"/>
          <w:sz w:val="24"/>
        </w:rPr>
        <w:fldChar w:fldCharType="end"/>
      </w:r>
      <w:r>
        <w:rPr>
          <w:rFonts w:hint="eastAsia" w:ascii="仿宋_GB2312" w:hAnsi="仿宋" w:eastAsia="仿宋_GB2312" w:cs="仿宋"/>
          <w:color w:val="auto"/>
          <w:sz w:val="24"/>
        </w:rPr>
        <w:t>）发布中标公告，中标公告期限为</w:t>
      </w:r>
      <w:r>
        <w:rPr>
          <w:rFonts w:ascii="仿宋_GB2312" w:hAnsi="仿宋" w:eastAsia="仿宋_GB2312" w:cs="仿宋"/>
          <w:color w:val="auto"/>
          <w:sz w:val="24"/>
        </w:rPr>
        <w:t>1个工作日。</w:t>
      </w:r>
    </w:p>
    <w:p>
      <w:pPr>
        <w:snapToGrid w:val="0"/>
        <w:spacing w:line="440" w:lineRule="exact"/>
        <w:ind w:firstLine="480" w:firstLineChars="200"/>
        <w:rPr>
          <w:rFonts w:ascii="仿宋_GB2312" w:hAnsi="仿宋" w:eastAsia="仿宋_GB2312" w:cs="仿宋"/>
          <w:color w:val="auto"/>
          <w:sz w:val="24"/>
          <w:lang w:val="zh-CN"/>
        </w:rPr>
      </w:pPr>
      <w:r>
        <w:rPr>
          <w:rFonts w:ascii="仿宋_GB2312" w:hAnsi="仿宋" w:eastAsia="仿宋_GB2312"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lang w:val="zh-CN"/>
        </w:rPr>
        <w:t>。</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3.3采购代理机构对中标结果不作任何说明和解释，也不回答任何提问。</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4．履约保证金</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4.4政府采购货物和服务项目不得收取质量保证金。</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5．合同签订及备案</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5.1中标人应当在中标通知书发出之日起30天内与采购人签订合同，自采购合同签订之日起</w:t>
      </w:r>
      <w:r>
        <w:rPr>
          <w:rFonts w:ascii="仿宋_GB2312" w:hAnsi="仿宋" w:eastAsia="仿宋_GB2312" w:cs="仿宋"/>
          <w:b/>
          <w:bCs/>
          <w:color w:val="auto"/>
          <w:sz w:val="24"/>
        </w:rPr>
        <w:t>3个工作日内</w:t>
      </w:r>
      <w:r>
        <w:rPr>
          <w:rFonts w:hint="eastAsia" w:ascii="仿宋_GB2312" w:hAnsi="仿宋" w:eastAsia="仿宋_GB2312" w:cs="仿宋"/>
          <w:color w:val="auto"/>
          <w:sz w:val="24"/>
        </w:rPr>
        <w:t>，通过电子交易平台进行备案。</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5.2如中标人为联合体的，由联合体成员各方法定代表人或其授权代表与采购人代表签订合同。</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6.验收</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6.3 </w:t>
      </w:r>
      <w:r>
        <w:rPr>
          <w:rFonts w:hint="eastAsia" w:ascii="仿宋_GB2312" w:hAnsi="仿宋" w:eastAsia="仿宋_GB2312" w:cs="仿宋"/>
          <w:color w:val="auto"/>
          <w:sz w:val="24"/>
        </w:rPr>
        <w:t>采购人负责加强对中标人的履约管理，并按照采购合同约定，及时向中标人支付采购资金。对于中标人违反采购合同约定的行为，采购人应当及时处理，依法追究其违约责任。</w:t>
      </w:r>
    </w:p>
    <w:p>
      <w:pPr>
        <w:snapToGrid w:val="0"/>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7.售后服务考核</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napToGrid w:val="0"/>
        <w:spacing w:line="440" w:lineRule="exact"/>
        <w:ind w:firstLine="480"/>
        <w:rPr>
          <w:rFonts w:ascii="仿宋_GB2312" w:hAnsi="仿宋" w:eastAsia="仿宋_GB2312" w:cs="仿宋"/>
          <w:color w:val="auto"/>
          <w:kern w:val="0"/>
          <w:sz w:val="24"/>
        </w:rPr>
      </w:pPr>
    </w:p>
    <w:p>
      <w:pPr>
        <w:snapToGrid w:val="0"/>
        <w:spacing w:line="440" w:lineRule="exact"/>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六、</w:t>
      </w:r>
      <w:r>
        <w:rPr>
          <w:rFonts w:hint="eastAsia" w:ascii="仿宋_GB2312" w:hAnsi="仿宋" w:eastAsia="仿宋_GB2312" w:cs="仿宋"/>
          <w:b/>
          <w:bCs/>
          <w:color w:val="auto"/>
          <w:sz w:val="32"/>
          <w:szCs w:val="20"/>
        </w:rPr>
        <w:t>询问、质疑与投诉</w:t>
      </w:r>
    </w:p>
    <w:p>
      <w:pPr>
        <w:snapToGrid w:val="0"/>
        <w:spacing w:line="440" w:lineRule="exact"/>
        <w:rPr>
          <w:rFonts w:ascii="仿宋_GB2312" w:hAnsi="仿宋" w:eastAsia="仿宋_GB2312" w:cs="仿宋"/>
          <w:b/>
          <w:color w:val="auto"/>
          <w:sz w:val="32"/>
          <w:szCs w:val="32"/>
        </w:rPr>
      </w:pPr>
      <w:r>
        <w:rPr>
          <w:rFonts w:ascii="仿宋_GB2312" w:hAnsi="仿宋" w:eastAsia="仿宋_GB2312" w:cs="仿宋"/>
          <w:b/>
          <w:bCs/>
          <w:color w:val="auto"/>
          <w:sz w:val="24"/>
          <w:szCs w:val="20"/>
        </w:rPr>
        <w:t>1.在线询问、质疑、投诉</w:t>
      </w:r>
    </w:p>
    <w:p>
      <w:pPr>
        <w:snapToGrid w:val="0"/>
        <w:spacing w:line="440" w:lineRule="exact"/>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根据《浙江省财政厅关于进一步促进政府采购公平竞争打造最优营商环境的通知》（浙财采监（</w:t>
      </w:r>
      <w:r>
        <w:rPr>
          <w:rFonts w:ascii="仿宋_GB2312" w:hAnsi="仿宋" w:eastAsia="仿宋_GB2312" w:cs="仿宋"/>
          <w:color w:val="auto"/>
          <w:sz w:val="24"/>
          <w:szCs w:val="20"/>
        </w:rPr>
        <w:t>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440" w:lineRule="exact"/>
        <w:rPr>
          <w:rFonts w:ascii="仿宋_GB2312" w:hAnsi="仿宋" w:eastAsia="仿宋_GB2312" w:cs="仿宋"/>
          <w:b/>
          <w:color w:val="auto"/>
          <w:sz w:val="32"/>
          <w:szCs w:val="32"/>
        </w:rPr>
      </w:pPr>
      <w:r>
        <w:rPr>
          <w:rFonts w:ascii="仿宋_GB2312" w:hAnsi="仿宋" w:eastAsia="仿宋_GB2312" w:cs="仿宋"/>
          <w:b/>
          <w:bCs/>
          <w:color w:val="auto"/>
          <w:sz w:val="24"/>
        </w:rPr>
        <w:t xml:space="preserve">2. </w:t>
      </w:r>
      <w:r>
        <w:rPr>
          <w:rFonts w:hint="eastAsia" w:ascii="仿宋_GB2312" w:hAnsi="仿宋" w:eastAsia="仿宋_GB2312" w:cs="仿宋"/>
          <w:b/>
          <w:bCs/>
          <w:color w:val="auto"/>
          <w:sz w:val="24"/>
        </w:rPr>
        <w:t>供应商询问</w:t>
      </w:r>
    </w:p>
    <w:p>
      <w:pPr>
        <w:autoSpaceDE w:val="0"/>
        <w:autoSpaceDN w:val="0"/>
        <w:snapToGrid w:val="0"/>
        <w:spacing w:line="440" w:lineRule="exact"/>
        <w:ind w:firstLine="480" w:firstLineChars="200"/>
        <w:jc w:val="left"/>
        <w:rPr>
          <w:rFonts w:ascii="仿宋_GB2312" w:hAnsi="仿宋" w:eastAsia="仿宋_GB2312" w:cs="仿宋"/>
          <w:b/>
          <w:color w:val="auto"/>
          <w:sz w:val="32"/>
          <w:szCs w:val="32"/>
        </w:rPr>
      </w:pPr>
      <w:r>
        <w:rPr>
          <w:rFonts w:hint="eastAsia" w:ascii="仿宋_GB2312" w:hAnsi="仿宋" w:eastAsia="仿宋_GB2312" w:cs="仿宋"/>
          <w:color w:val="auto"/>
          <w:kern w:val="0"/>
          <w:sz w:val="24"/>
          <w:lang w:val="zh-CN"/>
        </w:rPr>
        <w:t>供应商对政府采购活动事项有疑问的，可以提出询问，采购人或者采购代理机构应当在</w:t>
      </w:r>
      <w:r>
        <w:rPr>
          <w:rFonts w:ascii="仿宋_GB2312" w:hAnsi="仿宋" w:eastAsia="仿宋_GB2312" w:cs="仿宋"/>
          <w:color w:val="auto"/>
          <w:kern w:val="0"/>
          <w:sz w:val="24"/>
          <w:lang w:val="zh-CN"/>
        </w:rPr>
        <w:t>3个工作日内对供应商依法提出的询问作出答复，但答复的内容不得涉及商业秘密。供应商提出的询问超出采购人对采购代理机构委托授权范围的，采购代理机构应当告知供应商向采购人提出。</w:t>
      </w:r>
    </w:p>
    <w:p>
      <w:pPr>
        <w:snapToGrid w:val="0"/>
        <w:spacing w:line="440" w:lineRule="exact"/>
        <w:rPr>
          <w:rFonts w:ascii="仿宋_GB2312" w:hAnsi="仿宋" w:eastAsia="仿宋_GB2312" w:cs="仿宋"/>
          <w:b/>
          <w:color w:val="auto"/>
          <w:sz w:val="32"/>
          <w:szCs w:val="32"/>
        </w:rPr>
      </w:pPr>
      <w:r>
        <w:rPr>
          <w:rFonts w:ascii="仿宋_GB2312" w:hAnsi="仿宋" w:eastAsia="仿宋_GB2312" w:cs="仿宋"/>
          <w:b/>
          <w:bCs/>
          <w:color w:val="auto"/>
          <w:sz w:val="24"/>
        </w:rPr>
        <w:t xml:space="preserve">3. </w:t>
      </w:r>
      <w:r>
        <w:rPr>
          <w:rFonts w:hint="eastAsia" w:ascii="仿宋_GB2312" w:hAnsi="仿宋" w:eastAsia="仿宋_GB2312" w:cs="仿宋"/>
          <w:b/>
          <w:bCs/>
          <w:color w:val="auto"/>
          <w:sz w:val="24"/>
        </w:rPr>
        <w:t>供应商质疑</w:t>
      </w:r>
    </w:p>
    <w:p>
      <w:pPr>
        <w:snapToGrid w:val="0"/>
        <w:spacing w:line="440" w:lineRule="exact"/>
        <w:ind w:firstLine="482" w:firstLineChars="200"/>
        <w:rPr>
          <w:rFonts w:ascii="仿宋_GB2312" w:hAnsi="仿宋" w:eastAsia="仿宋_GB2312" w:cs="仿宋"/>
          <w:b/>
          <w:color w:val="auto"/>
          <w:sz w:val="32"/>
          <w:szCs w:val="32"/>
        </w:rPr>
      </w:pPr>
      <w:r>
        <w:rPr>
          <w:rFonts w:ascii="仿宋_GB2312" w:hAnsi="仿宋" w:eastAsia="仿宋_GB2312" w:cs="仿宋"/>
          <w:b/>
          <w:bCs/>
          <w:color w:val="auto"/>
          <w:kern w:val="0"/>
          <w:sz w:val="24"/>
          <w:szCs w:val="20"/>
          <w:lang w:val="zh-CN"/>
        </w:rPr>
        <w:t>3</w:t>
      </w:r>
      <w:r>
        <w:rPr>
          <w:rFonts w:ascii="仿宋_GB2312" w:hAnsi="仿宋" w:eastAsia="仿宋_GB2312" w:cs="仿宋"/>
          <w:b/>
          <w:bCs/>
          <w:color w:val="auto"/>
          <w:sz w:val="24"/>
          <w:szCs w:val="20"/>
        </w:rPr>
        <w:t>.1质疑提出时效</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3.1.1提出质疑的供应商应当是参与所质疑项目采购活动的供应商。潜在供应商已依法获取其可质疑的采购文件的，可以对该文件提出质疑。</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kern w:val="0"/>
          <w:sz w:val="24"/>
          <w:szCs w:val="20"/>
          <w:lang w:val="zh-CN"/>
        </w:rPr>
        <w:t>3</w:t>
      </w:r>
      <w:r>
        <w:rPr>
          <w:rFonts w:ascii="仿宋_GB2312" w:hAnsi="仿宋" w:eastAsia="仿宋_GB2312"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_GB2312" w:hAnsi="仿宋" w:eastAsia="仿宋_GB2312" w:cs="仿宋"/>
          <w:b/>
          <w:color w:val="auto"/>
          <w:sz w:val="32"/>
          <w:szCs w:val="32"/>
        </w:rPr>
      </w:pPr>
      <w:r>
        <w:rPr>
          <w:rFonts w:ascii="仿宋_GB2312" w:hAnsi="仿宋" w:eastAsia="仿宋_GB2312"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3.1.2.2对采购过程提出质疑的，质疑期限为各采购程序环节结束之日起计算。</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3.1.2.3对采购结果提出质疑的，质疑期限自采购结果公告期限届满之日起计算。</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3.1.2.4对同一采购程序环节的质疑，供应商须一次性提出。</w:t>
      </w:r>
    </w:p>
    <w:p>
      <w:pPr>
        <w:snapToGrid w:val="0"/>
        <w:spacing w:line="440" w:lineRule="exact"/>
        <w:ind w:firstLine="482" w:firstLineChars="200"/>
        <w:rPr>
          <w:rFonts w:ascii="仿宋_GB2312" w:hAnsi="仿宋" w:eastAsia="仿宋_GB2312" w:cs="仿宋"/>
          <w:b/>
          <w:color w:val="auto"/>
          <w:sz w:val="32"/>
          <w:szCs w:val="32"/>
        </w:rPr>
      </w:pPr>
      <w:r>
        <w:rPr>
          <w:rFonts w:ascii="仿宋_GB2312" w:hAnsi="仿宋" w:eastAsia="仿宋_GB2312" w:cs="仿宋"/>
          <w:b/>
          <w:bCs/>
          <w:color w:val="auto"/>
          <w:kern w:val="0"/>
          <w:sz w:val="24"/>
          <w:szCs w:val="20"/>
          <w:lang w:val="zh-CN"/>
        </w:rPr>
        <w:t>3.</w:t>
      </w:r>
      <w:r>
        <w:rPr>
          <w:rFonts w:ascii="仿宋_GB2312" w:hAnsi="仿宋" w:eastAsia="仿宋_GB2312" w:cs="仿宋"/>
          <w:b/>
          <w:bCs/>
          <w:color w:val="auto"/>
          <w:kern w:val="0"/>
          <w:sz w:val="24"/>
          <w:szCs w:val="20"/>
        </w:rPr>
        <w:t>2</w:t>
      </w:r>
      <w:r>
        <w:rPr>
          <w:rFonts w:hint="eastAsia" w:ascii="仿宋_GB2312" w:hAnsi="仿宋" w:eastAsia="仿宋_GB2312" w:cs="仿宋"/>
          <w:b/>
          <w:bCs/>
          <w:color w:val="auto"/>
          <w:kern w:val="0"/>
          <w:sz w:val="24"/>
          <w:szCs w:val="20"/>
          <w:lang w:val="zh-CN"/>
        </w:rPr>
        <w:t>质疑函</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3.2.1供应商提出质疑应当提交质疑函和必要的证明材料。质疑函应当包括下列内容：</w:t>
      </w:r>
    </w:p>
    <w:p>
      <w:pPr>
        <w:snapToGrid w:val="0"/>
        <w:spacing w:line="440" w:lineRule="exact"/>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供应商的姓名或者名称、地址、邮编、联系人及联系电话；</w:t>
      </w:r>
    </w:p>
    <w:p>
      <w:pPr>
        <w:snapToGrid w:val="0"/>
        <w:spacing w:line="440" w:lineRule="exact"/>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质疑项目的名称、编号；</w:t>
      </w:r>
    </w:p>
    <w:p>
      <w:pPr>
        <w:snapToGrid w:val="0"/>
        <w:spacing w:line="440" w:lineRule="exact"/>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具体、明确的质疑事项和与质疑事项相关的请求；</w:t>
      </w:r>
    </w:p>
    <w:p>
      <w:pPr>
        <w:snapToGrid w:val="0"/>
        <w:spacing w:line="440" w:lineRule="exact"/>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事实依据；</w:t>
      </w:r>
    </w:p>
    <w:p>
      <w:pPr>
        <w:snapToGrid w:val="0"/>
        <w:spacing w:line="440" w:lineRule="exact"/>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必要的法律依据；</w:t>
      </w:r>
    </w:p>
    <w:p>
      <w:pPr>
        <w:snapToGrid w:val="0"/>
        <w:spacing w:line="440" w:lineRule="exact"/>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提出质疑的日期。</w:t>
      </w:r>
    </w:p>
    <w:p>
      <w:pPr>
        <w:snapToGrid w:val="0"/>
        <w:spacing w:line="440" w:lineRule="exact"/>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napToGrid w:val="0"/>
        <w:spacing w:line="440" w:lineRule="exact"/>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质疑函范本及制作说明详见附件</w:t>
      </w:r>
      <w:r>
        <w:rPr>
          <w:rFonts w:ascii="仿宋_GB2312" w:hAnsi="仿宋" w:eastAsia="仿宋_GB2312" w:cs="仿宋"/>
          <w:b/>
          <w:bCs/>
          <w:color w:val="auto"/>
          <w:sz w:val="24"/>
          <w:szCs w:val="20"/>
        </w:rPr>
        <w:t>1。</w:t>
      </w:r>
    </w:p>
    <w:p>
      <w:pPr>
        <w:snapToGrid w:val="0"/>
        <w:spacing w:line="440" w:lineRule="exact"/>
        <w:rPr>
          <w:rFonts w:ascii="仿宋_GB2312" w:hAnsi="仿宋" w:eastAsia="仿宋_GB2312" w:cs="仿宋"/>
          <w:b/>
          <w:color w:val="auto"/>
          <w:sz w:val="32"/>
          <w:szCs w:val="32"/>
        </w:rPr>
      </w:pPr>
      <w:r>
        <w:rPr>
          <w:rFonts w:ascii="仿宋_GB2312" w:hAnsi="仿宋" w:eastAsia="仿宋_GB2312" w:cs="仿宋"/>
          <w:b/>
          <w:bCs/>
          <w:color w:val="auto"/>
          <w:sz w:val="24"/>
        </w:rPr>
        <w:t>4.供应商投诉</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4.2供应商投诉的事项不得超出已质疑事项的范围，基于质疑答复内容提出的投诉事项除外。</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4.3供应商投诉应当有明确的请求和必要的证明材料。</w:t>
      </w:r>
    </w:p>
    <w:p>
      <w:pPr>
        <w:snapToGrid w:val="0"/>
        <w:spacing w:line="440" w:lineRule="exact"/>
        <w:ind w:firstLine="480" w:firstLineChars="200"/>
        <w:rPr>
          <w:rFonts w:ascii="仿宋_GB2312" w:hAnsi="仿宋" w:eastAsia="仿宋_GB2312" w:cs="仿宋"/>
          <w:b/>
          <w:color w:val="auto"/>
          <w:sz w:val="32"/>
          <w:szCs w:val="32"/>
        </w:rPr>
      </w:pPr>
      <w:r>
        <w:rPr>
          <w:rFonts w:ascii="仿宋_GB2312" w:hAnsi="仿宋" w:eastAsia="仿宋_GB2312" w:cs="仿宋"/>
          <w:color w:val="auto"/>
          <w:sz w:val="24"/>
          <w:szCs w:val="20"/>
        </w:rPr>
        <w:t>4.4以联合体形式参加政府采购活动的，其投诉应当由组成联合体的所有供应商共同提出。</w:t>
      </w:r>
    </w:p>
    <w:p>
      <w:pPr>
        <w:snapToGrid w:val="0"/>
        <w:spacing w:line="440" w:lineRule="exact"/>
        <w:outlineLvl w:val="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投诉书范本及制作说明详见附件</w:t>
      </w:r>
      <w:r>
        <w:rPr>
          <w:rFonts w:ascii="仿宋_GB2312" w:hAnsi="仿宋" w:eastAsia="仿宋_GB2312" w:cs="仿宋"/>
          <w:b/>
          <w:bCs/>
          <w:color w:val="auto"/>
          <w:sz w:val="24"/>
          <w:szCs w:val="20"/>
        </w:rPr>
        <w:t>2。</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第三部分招标项目范围及要求</w:t>
      </w:r>
    </w:p>
    <w:p>
      <w:pPr>
        <w:spacing w:line="440" w:lineRule="exact"/>
        <w:ind w:right="420"/>
        <w:rPr>
          <w:rFonts w:ascii="仿宋_GB2312" w:hAnsi="新宋体" w:eastAsia="仿宋_GB2312" w:cs="Arial"/>
          <w:b/>
          <w:bCs/>
          <w:color w:val="auto"/>
          <w:sz w:val="24"/>
        </w:rPr>
      </w:pPr>
      <w:bookmarkStart w:id="4" w:name="_Toc151354173"/>
      <w:bookmarkStart w:id="5" w:name="_Toc81372964"/>
      <w:bookmarkStart w:id="6" w:name="_Toc81372787"/>
      <w:bookmarkStart w:id="7" w:name="_Toc84325981"/>
      <w:bookmarkStart w:id="8" w:name="_Toc80157775"/>
      <w:r>
        <w:rPr>
          <w:rFonts w:ascii="仿宋_GB2312" w:hAnsi="新宋体" w:eastAsia="仿宋_GB2312" w:cs="Arial"/>
          <w:b/>
          <w:bCs/>
          <w:color w:val="auto"/>
          <w:sz w:val="24"/>
          <w:bdr w:val="single" w:color="auto" w:sz="4" w:space="0"/>
        </w:rPr>
        <w:t>01标</w:t>
      </w:r>
      <w:bookmarkStart w:id="9" w:name="_Toc32678"/>
      <w:bookmarkStart w:id="10" w:name="_Toc7206"/>
      <w:r>
        <w:rPr>
          <w:rFonts w:hint="eastAsia" w:ascii="仿宋_GB2312" w:hAnsi="新宋体" w:eastAsia="仿宋_GB2312" w:cs="Arial"/>
          <w:b/>
          <w:bCs/>
          <w:color w:val="auto"/>
          <w:sz w:val="24"/>
        </w:rPr>
        <w:t>绍兴市政务服务办公室办公楼搬迁--厨房设备采购项目</w:t>
      </w:r>
    </w:p>
    <w:p>
      <w:pPr>
        <w:spacing w:line="440" w:lineRule="exact"/>
        <w:ind w:right="420"/>
        <w:rPr>
          <w:rFonts w:ascii="仿宋_GB2312" w:hAnsi="新宋体" w:eastAsia="仿宋_GB2312" w:cs="Arial"/>
          <w:b/>
          <w:bCs/>
          <w:color w:val="auto"/>
          <w:sz w:val="24"/>
        </w:rPr>
      </w:pPr>
      <w:r>
        <w:rPr>
          <w:rFonts w:hint="eastAsia" w:ascii="仿宋_GB2312" w:hAnsi="新宋体" w:eastAsia="仿宋_GB2312" w:cs="Arial"/>
          <w:b/>
          <w:bCs/>
          <w:color w:val="auto"/>
          <w:sz w:val="24"/>
        </w:rPr>
        <w:t>注：</w:t>
      </w:r>
    </w:p>
    <w:p>
      <w:pPr>
        <w:numPr>
          <w:ilvl w:val="0"/>
          <w:numId w:val="6"/>
        </w:numPr>
        <w:spacing w:line="440" w:lineRule="exact"/>
        <w:ind w:right="420"/>
        <w:rPr>
          <w:rFonts w:ascii="仿宋_GB2312" w:hAnsi="新宋体" w:eastAsia="仿宋_GB2312" w:cs="Arial"/>
          <w:b/>
          <w:bCs/>
          <w:color w:val="auto"/>
          <w:sz w:val="24"/>
        </w:rPr>
      </w:pPr>
      <w:r>
        <w:rPr>
          <w:rFonts w:hint="eastAsia" w:ascii="仿宋_GB2312" w:hAnsi="新宋体" w:eastAsia="仿宋_GB2312" w:cs="Arial"/>
          <w:b/>
          <w:bCs/>
          <w:color w:val="auto"/>
          <w:sz w:val="24"/>
        </w:rPr>
        <w:t>下表涉及的厚度等尺寸以及电压、功率、容量等数值为最低配置要求，允许正偏离。</w:t>
      </w:r>
    </w:p>
    <w:p>
      <w:pPr>
        <w:numPr>
          <w:ilvl w:val="0"/>
          <w:numId w:val="6"/>
        </w:numPr>
        <w:spacing w:line="440" w:lineRule="exact"/>
        <w:ind w:right="420"/>
        <w:rPr>
          <w:rFonts w:ascii="仿宋_GB2312" w:hAnsi="新宋体" w:eastAsia="仿宋_GB2312" w:cs="Arial"/>
          <w:b/>
          <w:bCs/>
          <w:color w:val="auto"/>
          <w:sz w:val="24"/>
        </w:rPr>
      </w:pPr>
      <w:r>
        <w:rPr>
          <w:rFonts w:hint="eastAsia" w:ascii="仿宋_GB2312" w:hAnsi="新宋体" w:eastAsia="仿宋_GB2312" w:cs="Arial"/>
          <w:b/>
          <w:bCs/>
          <w:color w:val="auto"/>
          <w:sz w:val="24"/>
        </w:rPr>
        <w:t>除指定备注投标时需提供食品接触产品安全认证及卫生认证要求以外，其余食品直接接触的厂制品（包括货架、水池、工作台等），也均要求符合食品接触产品安全认证及卫生认证要求，仅在供货时提供相关证明材料。</w:t>
      </w:r>
    </w:p>
    <w:p>
      <w:pPr>
        <w:numPr>
          <w:ilvl w:val="0"/>
          <w:numId w:val="6"/>
        </w:numPr>
        <w:spacing w:line="440" w:lineRule="exact"/>
        <w:ind w:right="420"/>
        <w:rPr>
          <w:rFonts w:ascii="仿宋_GB2312" w:hAnsi="新宋体" w:eastAsia="仿宋_GB2312" w:cs="Arial"/>
          <w:b/>
          <w:bCs/>
          <w:color w:val="auto"/>
          <w:sz w:val="24"/>
        </w:rPr>
      </w:pPr>
      <w:r>
        <w:rPr>
          <w:rFonts w:hint="eastAsia" w:ascii="仿宋_GB2312" w:hAnsi="新宋体" w:eastAsia="仿宋_GB2312" w:cs="Arial"/>
          <w:b/>
          <w:bCs/>
          <w:color w:val="auto"/>
          <w:sz w:val="24"/>
        </w:rPr>
        <w:t>采购清单中的自备设施设备为采购人利旧的，投标人无需报价，但在平面布置时需综合考虑。</w:t>
      </w:r>
    </w:p>
    <w:p>
      <w:pPr>
        <w:spacing w:line="440" w:lineRule="exact"/>
        <w:ind w:right="420"/>
        <w:rPr>
          <w:rFonts w:ascii="仿宋_GB2312" w:hAnsi="新宋体" w:eastAsia="仿宋_GB2312" w:cs="Arial"/>
          <w:b/>
          <w:bCs/>
          <w:color w:val="auto"/>
          <w:sz w:val="24"/>
        </w:rPr>
      </w:pPr>
      <w:r>
        <w:rPr>
          <w:rFonts w:hint="eastAsia" w:ascii="仿宋_GB2312" w:hAnsi="新宋体" w:eastAsia="仿宋_GB2312" w:cs="Arial"/>
          <w:b/>
          <w:bCs/>
          <w:color w:val="auto"/>
          <w:sz w:val="24"/>
        </w:rPr>
        <w:t>（4）涉及各类品牌、型号，则所述品牌、型号是结合实际现有情况的推荐性参考方案，投标人也可根据文件的要求推荐性能相当或高于、服务条款相等或高于、符合采购人实际业务需求其他同档次优质品牌的产品，进行方案优化。</w:t>
      </w:r>
    </w:p>
    <w:p>
      <w:pPr>
        <w:spacing w:line="44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（一）采购清单</w:t>
      </w:r>
    </w:p>
    <w:tbl>
      <w:tblPr>
        <w:tblStyle w:val="65"/>
        <w:tblW w:w="9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4338"/>
        <w:gridCol w:w="1450"/>
        <w:gridCol w:w="643"/>
        <w:gridCol w:w="843"/>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713" w:type="dxa"/>
            <w:vAlign w:val="center"/>
          </w:tcPr>
          <w:p>
            <w:pPr>
              <w:jc w:val="center"/>
              <w:rPr>
                <w:rFonts w:ascii="宋体" w:hAnsi="宋体" w:cs="宋体"/>
                <w:b/>
                <w:bCs/>
                <w:color w:val="auto"/>
                <w:sz w:val="22"/>
                <w:szCs w:val="22"/>
              </w:rPr>
            </w:pPr>
            <w:r>
              <w:rPr>
                <w:rFonts w:hint="eastAsia" w:ascii="宋体" w:hAnsi="宋体" w:cs="宋体"/>
                <w:b/>
                <w:bCs/>
                <w:color w:val="auto"/>
                <w:sz w:val="22"/>
                <w:szCs w:val="22"/>
              </w:rPr>
              <w:t>序号</w:t>
            </w:r>
          </w:p>
        </w:tc>
        <w:tc>
          <w:tcPr>
            <w:tcW w:w="4338" w:type="dxa"/>
            <w:vAlign w:val="center"/>
          </w:tcPr>
          <w:p>
            <w:pPr>
              <w:jc w:val="center"/>
              <w:rPr>
                <w:rFonts w:ascii="宋体" w:hAnsi="宋体" w:cs="宋体"/>
                <w:b/>
                <w:bCs/>
                <w:color w:val="auto"/>
                <w:sz w:val="22"/>
                <w:szCs w:val="22"/>
              </w:rPr>
            </w:pPr>
            <w:r>
              <w:rPr>
                <w:rFonts w:hint="eastAsia" w:ascii="宋体" w:hAnsi="宋体" w:cs="宋体"/>
                <w:b/>
                <w:bCs/>
                <w:color w:val="auto"/>
                <w:sz w:val="22"/>
                <w:szCs w:val="22"/>
              </w:rPr>
              <w:t>名称及参数</w:t>
            </w:r>
          </w:p>
        </w:tc>
        <w:tc>
          <w:tcPr>
            <w:tcW w:w="1450" w:type="dxa"/>
            <w:vAlign w:val="center"/>
          </w:tcPr>
          <w:p>
            <w:pPr>
              <w:jc w:val="center"/>
              <w:rPr>
                <w:rFonts w:ascii="宋体" w:hAnsi="宋体" w:cs="宋体"/>
                <w:b/>
                <w:bCs/>
                <w:color w:val="auto"/>
                <w:sz w:val="22"/>
                <w:szCs w:val="22"/>
              </w:rPr>
            </w:pPr>
            <w:r>
              <w:rPr>
                <w:rFonts w:hint="eastAsia" w:ascii="宋体" w:hAnsi="宋体" w:cs="宋体"/>
                <w:b/>
                <w:bCs/>
                <w:color w:val="auto"/>
                <w:sz w:val="22"/>
                <w:szCs w:val="22"/>
              </w:rPr>
              <w:t>规格（mm）</w:t>
            </w:r>
          </w:p>
        </w:tc>
        <w:tc>
          <w:tcPr>
            <w:tcW w:w="643" w:type="dxa"/>
            <w:vAlign w:val="center"/>
          </w:tcPr>
          <w:p>
            <w:pPr>
              <w:jc w:val="center"/>
              <w:rPr>
                <w:rFonts w:ascii="宋体" w:hAnsi="宋体" w:cs="宋体"/>
                <w:b/>
                <w:bCs/>
                <w:color w:val="auto"/>
                <w:sz w:val="22"/>
                <w:szCs w:val="22"/>
              </w:rPr>
            </w:pPr>
            <w:r>
              <w:rPr>
                <w:rFonts w:hint="eastAsia" w:ascii="宋体" w:hAnsi="宋体" w:cs="宋体"/>
                <w:b/>
                <w:bCs/>
                <w:color w:val="auto"/>
                <w:sz w:val="22"/>
                <w:szCs w:val="22"/>
              </w:rPr>
              <w:t>单位</w:t>
            </w:r>
          </w:p>
        </w:tc>
        <w:tc>
          <w:tcPr>
            <w:tcW w:w="843" w:type="dxa"/>
            <w:vAlign w:val="center"/>
          </w:tcPr>
          <w:p>
            <w:pPr>
              <w:jc w:val="center"/>
              <w:rPr>
                <w:rFonts w:ascii="宋体" w:hAnsi="宋体" w:cs="宋体"/>
                <w:b/>
                <w:bCs/>
                <w:color w:val="auto"/>
                <w:sz w:val="22"/>
                <w:szCs w:val="22"/>
              </w:rPr>
            </w:pPr>
            <w:r>
              <w:rPr>
                <w:rFonts w:hint="eastAsia" w:ascii="宋体" w:hAnsi="宋体" w:cs="宋体"/>
                <w:b/>
                <w:bCs/>
                <w:color w:val="auto"/>
                <w:sz w:val="22"/>
                <w:szCs w:val="22"/>
              </w:rPr>
              <w:t>数量</w:t>
            </w:r>
          </w:p>
        </w:tc>
        <w:tc>
          <w:tcPr>
            <w:tcW w:w="1399" w:type="dxa"/>
            <w:vAlign w:val="center"/>
          </w:tcPr>
          <w:p>
            <w:pPr>
              <w:jc w:val="center"/>
              <w:rPr>
                <w:rFonts w:ascii="宋体" w:hAnsi="宋体" w:cs="宋体"/>
                <w:b/>
                <w:bCs/>
                <w:color w:val="auto"/>
                <w:sz w:val="22"/>
                <w:szCs w:val="22"/>
              </w:rPr>
            </w:pPr>
            <w:r>
              <w:rPr>
                <w:rFonts w:hint="eastAsia" w:ascii="宋体" w:hAnsi="宋体" w:cs="宋体"/>
                <w:b/>
                <w:bCs/>
                <w:color w:val="auto"/>
                <w:sz w:val="22"/>
                <w:szCs w:val="22"/>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hint="eastAsia" w:ascii="宋体" w:hAnsi="宋体" w:eastAsia="宋体" w:cs="宋体"/>
                <w:color w:val="auto"/>
                <w:sz w:val="32"/>
                <w:szCs w:val="32"/>
                <w:lang w:eastAsia="zh-CN"/>
              </w:rPr>
            </w:pPr>
            <w:r>
              <w:rPr>
                <w:rFonts w:hint="eastAsia" w:ascii="宋体" w:hAnsi="宋体" w:cs="宋体"/>
                <w:b/>
                <w:bCs/>
                <w:color w:val="auto"/>
                <w:sz w:val="32"/>
                <w:szCs w:val="32"/>
              </w:rPr>
              <w:t>冷藏库</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hint="eastAsia" w:ascii="宋体" w:hAnsi="宋体" w:eastAsia="仿宋_GB2312" w:cs="宋体"/>
                <w:color w:val="auto"/>
                <w:sz w:val="22"/>
                <w:szCs w:val="22"/>
                <w:lang w:eastAsia="zh-CN"/>
              </w:rPr>
            </w:pPr>
            <w:r>
              <w:rPr>
                <w:rFonts w:hint="eastAsia" w:ascii="宋体" w:hAnsi="宋体" w:cs="宋体"/>
                <w:color w:val="auto"/>
                <w:sz w:val="22"/>
                <w:szCs w:val="22"/>
              </w:rPr>
              <w:t>冷藏库</w:t>
            </w:r>
            <w:r>
              <w:rPr>
                <w:rFonts w:hint="eastAsia" w:ascii="宋体" w:hAnsi="宋体" w:cs="宋体"/>
                <w:b/>
                <w:bCs/>
                <w:color w:val="auto"/>
                <w:sz w:val="22"/>
                <w:szCs w:val="22"/>
                <w:lang w:eastAsia="zh-CN"/>
              </w:rPr>
              <w:t>（</w:t>
            </w:r>
            <w:r>
              <w:rPr>
                <w:rFonts w:hint="eastAsia" w:ascii="仿宋_GB2312" w:hAnsi="仿宋" w:eastAsia="仿宋_GB2312"/>
                <w:b/>
                <w:bCs/>
                <w:color w:val="auto"/>
                <w:kern w:val="0"/>
                <w:sz w:val="24"/>
              </w:rPr>
              <w:t>核心产品</w:t>
            </w:r>
            <w:r>
              <w:rPr>
                <w:rFonts w:hint="eastAsia" w:ascii="仿宋_GB2312" w:hAnsi="仿宋" w:eastAsia="仿宋_GB2312"/>
                <w:b/>
                <w:bCs/>
                <w:color w:val="auto"/>
                <w:kern w:val="0"/>
                <w:sz w:val="24"/>
                <w:lang w:eastAsia="zh-CN"/>
              </w:rPr>
              <w:t>）</w:t>
            </w:r>
          </w:p>
          <w:p>
            <w:pPr>
              <w:jc w:val="left"/>
              <w:rPr>
                <w:rFonts w:ascii="宋体" w:hAnsi="宋体" w:cs="宋体"/>
                <w:color w:val="auto"/>
                <w:sz w:val="22"/>
                <w:szCs w:val="22"/>
              </w:rPr>
            </w:pPr>
            <w:r>
              <w:rPr>
                <w:rFonts w:hint="eastAsia" w:ascii="宋体" w:hAnsi="宋体" w:cs="宋体"/>
                <w:color w:val="auto"/>
                <w:sz w:val="22"/>
                <w:szCs w:val="22"/>
              </w:rPr>
              <w:t>说明：温度-5℃-5℃。</w:t>
            </w:r>
          </w:p>
          <w:p>
            <w:pPr>
              <w:jc w:val="left"/>
              <w:rPr>
                <w:rFonts w:ascii="宋体" w:hAnsi="宋体" w:cs="宋体"/>
                <w:color w:val="auto"/>
                <w:sz w:val="22"/>
                <w:szCs w:val="22"/>
              </w:rPr>
            </w:pPr>
            <w:r>
              <w:rPr>
                <w:rFonts w:hint="eastAsia" w:ascii="宋体" w:hAnsi="宋体" w:cs="宋体"/>
                <w:color w:val="auto"/>
                <w:sz w:val="22"/>
                <w:szCs w:val="22"/>
              </w:rPr>
              <w:t>制冷机组：选用</w:t>
            </w:r>
            <w:r>
              <w:rPr>
                <w:rStyle w:val="80"/>
                <w:rFonts w:hint="eastAsia"/>
                <w:color w:val="auto"/>
              </w:rPr>
              <w:t>冷</w:t>
            </w:r>
            <w:r>
              <w:rPr>
                <w:rFonts w:hint="eastAsia" w:ascii="宋体" w:hAnsi="宋体" w:cs="宋体"/>
                <w:color w:val="auto"/>
                <w:sz w:val="22"/>
                <w:szCs w:val="22"/>
              </w:rPr>
              <w:t>库制冷一体机组</w:t>
            </w:r>
          </w:p>
          <w:p>
            <w:pPr>
              <w:jc w:val="left"/>
              <w:rPr>
                <w:rFonts w:ascii="宋体" w:hAnsi="宋体" w:cs="宋体"/>
                <w:color w:val="auto"/>
                <w:sz w:val="22"/>
                <w:szCs w:val="22"/>
              </w:rPr>
            </w:pPr>
            <w:r>
              <w:rPr>
                <w:rFonts w:hint="eastAsia" w:ascii="宋体" w:hAnsi="宋体" w:cs="宋体"/>
                <w:color w:val="auto"/>
                <w:sz w:val="22"/>
                <w:szCs w:val="22"/>
              </w:rPr>
              <w:t>库体保温材：（1）采用双面聚氨酯泡沫夹心隔热板，厚度≥100mm（2）库体内板为304不锈钢钢板，外板为304不锈钢板，厚度≥0.88mm（3）聚氨酯密度≥40±2kg/m³（4）冷库门，结构形成为全自动回归门，门上装限温加热线。</w:t>
            </w:r>
          </w:p>
          <w:p>
            <w:pPr>
              <w:jc w:val="left"/>
              <w:rPr>
                <w:rFonts w:ascii="宋体" w:hAnsi="宋体" w:cs="宋体"/>
                <w:color w:val="auto"/>
                <w:sz w:val="22"/>
                <w:szCs w:val="22"/>
              </w:rPr>
            </w:pPr>
            <w:r>
              <w:rPr>
                <w:rFonts w:hint="eastAsia" w:ascii="宋体" w:hAnsi="宋体" w:cs="宋体"/>
                <w:color w:val="auto"/>
                <w:sz w:val="22"/>
                <w:szCs w:val="22"/>
              </w:rPr>
              <w:t>电器控制系统：（1）包括空气开关、接触器、中间继电器、热继电器等选用施耐德、正泰、德力西等同档次或高于品牌；（2）温控器选用优质温控器；（3）具有短路、过载、缺相、逆项等保护功能。主要制冷配：膨胀阀、电磁阀、视液镜、过滤器、高低压压控等，应选优质自控原件。</w:t>
            </w:r>
          </w:p>
          <w:p>
            <w:pPr>
              <w:jc w:val="left"/>
              <w:rPr>
                <w:rFonts w:ascii="宋体" w:hAnsi="宋体" w:cs="宋体"/>
                <w:color w:val="auto"/>
                <w:sz w:val="22"/>
                <w:szCs w:val="22"/>
              </w:rPr>
            </w:pPr>
            <w:r>
              <w:rPr>
                <w:rFonts w:hint="eastAsia" w:ascii="宋体" w:hAnsi="宋体" w:cs="宋体"/>
                <w:color w:val="auto"/>
                <w:sz w:val="22"/>
                <w:szCs w:val="22"/>
              </w:rPr>
              <w:t>冷库地板加铺≥5mm不锈钢发纹板以防滑。</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4400*2550*2500（±50mm）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m³</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28.05</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628650" cy="513080"/>
                  <wp:effectExtent l="0" t="0" r="0" b="1270"/>
                  <wp:docPr id="5" name="图片 6" descr=")A)3{~84(OA@XX3UIJX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A)3{~84(OA@XX3UIJXJ)[3"/>
                          <pic:cNvPicPr>
                            <a:picLocks noChangeAspect="1"/>
                          </pic:cNvPicPr>
                        </pic:nvPicPr>
                        <pic:blipFill>
                          <a:blip r:embed="rId13"/>
                          <a:stretch>
                            <a:fillRect/>
                          </a:stretch>
                        </pic:blipFill>
                        <pic:spPr>
                          <a:xfrm>
                            <a:off x="0" y="0"/>
                            <a:ext cx="628650" cy="5130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2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冷冻库</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冷冻库</w:t>
            </w:r>
          </w:p>
          <w:p>
            <w:pPr>
              <w:jc w:val="left"/>
              <w:rPr>
                <w:rFonts w:ascii="宋体" w:hAnsi="宋体" w:cs="宋体"/>
                <w:color w:val="auto"/>
                <w:sz w:val="22"/>
                <w:szCs w:val="22"/>
              </w:rPr>
            </w:pPr>
            <w:r>
              <w:rPr>
                <w:rFonts w:hint="eastAsia" w:ascii="宋体" w:hAnsi="宋体" w:cs="宋体"/>
                <w:color w:val="auto"/>
                <w:sz w:val="22"/>
                <w:szCs w:val="22"/>
              </w:rPr>
              <w:t>说明：温度－15℃—－18℃。</w:t>
            </w:r>
          </w:p>
          <w:p>
            <w:pPr>
              <w:jc w:val="left"/>
              <w:rPr>
                <w:rFonts w:ascii="宋体" w:hAnsi="宋体" w:cs="宋体"/>
                <w:color w:val="auto"/>
                <w:sz w:val="22"/>
                <w:szCs w:val="22"/>
              </w:rPr>
            </w:pPr>
            <w:r>
              <w:rPr>
                <w:rFonts w:hint="eastAsia" w:ascii="宋体" w:hAnsi="宋体" w:cs="宋体"/>
                <w:color w:val="auto"/>
                <w:sz w:val="22"/>
                <w:szCs w:val="22"/>
              </w:rPr>
              <w:t>制冷机组：选用冷库制冷一体机组</w:t>
            </w:r>
          </w:p>
          <w:p>
            <w:pPr>
              <w:jc w:val="left"/>
              <w:rPr>
                <w:rFonts w:ascii="宋体" w:hAnsi="宋体" w:cs="宋体"/>
                <w:color w:val="auto"/>
                <w:sz w:val="22"/>
                <w:szCs w:val="22"/>
              </w:rPr>
            </w:pPr>
            <w:r>
              <w:rPr>
                <w:rFonts w:hint="eastAsia" w:ascii="宋体" w:hAnsi="宋体" w:cs="宋体"/>
                <w:color w:val="auto"/>
                <w:sz w:val="22"/>
                <w:szCs w:val="22"/>
              </w:rPr>
              <w:t>库体保温材：（1）采用双面聚氨酯泡沫夹心隔热板，厚度≥100mm（2）库体内板为304不锈钢钢板，外板为304不锈钢板，厚度≥0.88mm（3）聚氨酯密度≥40±2kg/m³（4）冷库门，结构形成为全自动回归门，门上装限温加热线。</w:t>
            </w:r>
          </w:p>
          <w:p>
            <w:pPr>
              <w:jc w:val="left"/>
              <w:rPr>
                <w:rFonts w:ascii="宋体" w:hAnsi="宋体" w:cs="宋体"/>
                <w:color w:val="auto"/>
                <w:sz w:val="22"/>
                <w:szCs w:val="22"/>
              </w:rPr>
            </w:pPr>
            <w:r>
              <w:rPr>
                <w:rFonts w:hint="eastAsia" w:ascii="宋体" w:hAnsi="宋体" w:cs="宋体"/>
                <w:color w:val="auto"/>
                <w:sz w:val="22"/>
                <w:szCs w:val="22"/>
              </w:rPr>
              <w:t>电器控制系统：（1）包括空气开关、接触器、中间继电器、热继电器等选用施耐德、正泰、德力西等同档次或高于品牌；（2）温控器选用优质温控器；（3）具有短路、过载、缺相、逆项等保护功能。主要制冷配：膨胀阀、电磁阀、视液镜、过滤器、高低压压控等，应选优质自控原件。</w:t>
            </w:r>
          </w:p>
          <w:p>
            <w:pPr>
              <w:jc w:val="left"/>
              <w:rPr>
                <w:rFonts w:ascii="宋体" w:hAnsi="宋体" w:cs="宋体"/>
                <w:color w:val="auto"/>
                <w:sz w:val="22"/>
                <w:szCs w:val="22"/>
              </w:rPr>
            </w:pPr>
            <w:r>
              <w:rPr>
                <w:rFonts w:hint="eastAsia" w:ascii="宋体" w:hAnsi="宋体" w:cs="宋体"/>
                <w:color w:val="auto"/>
                <w:sz w:val="22"/>
                <w:szCs w:val="22"/>
              </w:rPr>
              <w:t>冷库地板加铺≥5mm不锈钢发纹板以防滑。</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3900*2550*2500（±50mm）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m³</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24.86</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628650" cy="513080"/>
                  <wp:effectExtent l="0" t="0" r="0" b="1270"/>
                  <wp:docPr id="7" name="图片 9" descr=")A)3{~84(OA@XX3UIJX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A)3{~84(OA@XX3UIJXJ)[3"/>
                          <pic:cNvPicPr>
                            <a:picLocks noChangeAspect="1"/>
                          </pic:cNvPicPr>
                        </pic:nvPicPr>
                        <pic:blipFill>
                          <a:blip r:embed="rId13"/>
                          <a:stretch>
                            <a:fillRect/>
                          </a:stretch>
                        </pic:blipFill>
                        <pic:spPr>
                          <a:xfrm>
                            <a:off x="0" y="0"/>
                            <a:ext cx="628650" cy="5130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8"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3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p>
        </w:tc>
        <w:tc>
          <w:tcPr>
            <w:tcW w:w="4338" w:type="dxa"/>
            <w:vAlign w:val="center"/>
          </w:tcPr>
          <w:p>
            <w:pPr>
              <w:jc w:val="left"/>
              <w:rPr>
                <w:rFonts w:ascii="宋体" w:hAnsi="宋体" w:cs="宋体"/>
                <w:color w:val="auto"/>
                <w:sz w:val="22"/>
                <w:szCs w:val="22"/>
              </w:rPr>
            </w:pPr>
            <w:r>
              <w:rPr>
                <w:rFonts w:hint="eastAsia" w:ascii="宋体" w:hAnsi="宋体" w:cs="宋体"/>
                <w:b/>
                <w:bCs/>
                <w:color w:val="auto"/>
                <w:sz w:val="32"/>
                <w:szCs w:val="32"/>
              </w:rPr>
              <w:t>主食库</w:t>
            </w:r>
          </w:p>
        </w:tc>
        <w:tc>
          <w:tcPr>
            <w:tcW w:w="1450" w:type="dxa"/>
            <w:vAlign w:val="center"/>
          </w:tcPr>
          <w:p>
            <w:pPr>
              <w:jc w:val="center"/>
              <w:rPr>
                <w:rFonts w:ascii="宋体" w:hAnsi="宋体" w:cs="宋体"/>
                <w:color w:val="auto"/>
                <w:sz w:val="22"/>
                <w:szCs w:val="22"/>
              </w:rPr>
            </w:pPr>
          </w:p>
        </w:tc>
        <w:tc>
          <w:tcPr>
            <w:tcW w:w="643" w:type="dxa"/>
            <w:vAlign w:val="center"/>
          </w:tcPr>
          <w:p>
            <w:pPr>
              <w:jc w:val="center"/>
              <w:rPr>
                <w:rFonts w:ascii="宋体" w:hAnsi="宋体" w:cs="宋体"/>
                <w:color w:val="auto"/>
                <w:sz w:val="22"/>
                <w:szCs w:val="22"/>
              </w:rPr>
            </w:pPr>
          </w:p>
        </w:tc>
        <w:tc>
          <w:tcPr>
            <w:tcW w:w="843" w:type="dxa"/>
            <w:vAlign w:val="center"/>
          </w:tcPr>
          <w:p>
            <w:pPr>
              <w:jc w:val="center"/>
              <w:rPr>
                <w:rFonts w:ascii="宋体" w:hAnsi="宋体" w:cs="宋体"/>
                <w:color w:val="auto"/>
                <w:sz w:val="22"/>
                <w:szCs w:val="22"/>
              </w:rPr>
            </w:pP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米面架</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vAlign w:val="center"/>
          </w:tcPr>
          <w:p>
            <w:pPr>
              <w:jc w:val="center"/>
              <w:rPr>
                <w:rFonts w:ascii="宋体" w:hAnsi="宋体" w:eastAsia="宋体" w:cs="宋体"/>
                <w:color w:val="auto"/>
                <w:kern w:val="0"/>
                <w:sz w:val="22"/>
                <w:szCs w:val="22"/>
                <w:lang w:val="en-US" w:eastAsia="zh-CN" w:bidi="ar-SA"/>
              </w:rPr>
            </w:pPr>
            <w:r>
              <w:rPr>
                <w:rFonts w:hint="eastAsia" w:ascii="宋体" w:hAnsi="宋体" w:cs="宋体"/>
                <w:color w:val="auto"/>
                <w:sz w:val="22"/>
                <w:szCs w:val="22"/>
              </w:rPr>
              <w:t>5</w:t>
            </w: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米面架</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vAlign w:val="center"/>
          </w:tcPr>
          <w:p>
            <w:pPr>
              <w:jc w:val="center"/>
              <w:rPr>
                <w:rFonts w:ascii="宋体" w:hAnsi="宋体" w:eastAsia="宋体" w:cs="宋体"/>
                <w:color w:val="auto"/>
                <w:kern w:val="0"/>
                <w:sz w:val="22"/>
                <w:szCs w:val="22"/>
                <w:lang w:val="en-US" w:eastAsia="zh-CN" w:bidi="ar-SA"/>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p>
        </w:tc>
        <w:tc>
          <w:tcPr>
            <w:tcW w:w="4338" w:type="dxa"/>
            <w:vAlign w:val="center"/>
          </w:tcPr>
          <w:p>
            <w:pPr>
              <w:jc w:val="left"/>
              <w:rPr>
                <w:rFonts w:ascii="宋体" w:hAnsi="宋体" w:cs="宋体"/>
                <w:color w:val="auto"/>
                <w:sz w:val="22"/>
                <w:szCs w:val="22"/>
              </w:rPr>
            </w:pPr>
            <w:r>
              <w:rPr>
                <w:rFonts w:hint="eastAsia" w:ascii="宋体" w:hAnsi="宋体" w:cs="宋体"/>
                <w:b/>
                <w:bCs/>
                <w:color w:val="auto"/>
                <w:sz w:val="32"/>
                <w:szCs w:val="32"/>
              </w:rPr>
              <w:t>副食库</w:t>
            </w:r>
          </w:p>
        </w:tc>
        <w:tc>
          <w:tcPr>
            <w:tcW w:w="1450" w:type="dxa"/>
            <w:vAlign w:val="center"/>
          </w:tcPr>
          <w:p>
            <w:pPr>
              <w:jc w:val="center"/>
              <w:rPr>
                <w:rFonts w:ascii="宋体" w:hAnsi="宋体" w:cs="宋体"/>
                <w:color w:val="auto"/>
                <w:sz w:val="22"/>
                <w:szCs w:val="22"/>
              </w:rPr>
            </w:pPr>
          </w:p>
        </w:tc>
        <w:tc>
          <w:tcPr>
            <w:tcW w:w="643" w:type="dxa"/>
            <w:vAlign w:val="center"/>
          </w:tcPr>
          <w:p>
            <w:pPr>
              <w:jc w:val="center"/>
              <w:rPr>
                <w:rFonts w:ascii="宋体" w:hAnsi="宋体" w:cs="宋体"/>
                <w:color w:val="auto"/>
                <w:sz w:val="22"/>
                <w:szCs w:val="22"/>
              </w:rPr>
            </w:pPr>
          </w:p>
        </w:tc>
        <w:tc>
          <w:tcPr>
            <w:tcW w:w="843" w:type="dxa"/>
            <w:vAlign w:val="center"/>
          </w:tcPr>
          <w:p>
            <w:pPr>
              <w:jc w:val="center"/>
              <w:rPr>
                <w:rFonts w:ascii="宋体" w:hAnsi="宋体" w:cs="宋体"/>
                <w:color w:val="auto"/>
                <w:sz w:val="22"/>
                <w:szCs w:val="22"/>
              </w:rPr>
            </w:pP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vAlign w:val="center"/>
          </w:tcPr>
          <w:p>
            <w:pPr>
              <w:jc w:val="center"/>
              <w:rPr>
                <w:rFonts w:ascii="宋体" w:hAnsi="宋体" w:eastAsia="宋体" w:cs="宋体"/>
                <w:color w:val="auto"/>
                <w:kern w:val="0"/>
                <w:sz w:val="22"/>
                <w:szCs w:val="22"/>
                <w:lang w:val="en-US" w:eastAsia="zh-CN" w:bidi="ar-SA"/>
              </w:rPr>
            </w:pPr>
            <w:r>
              <w:rPr>
                <w:rFonts w:hint="eastAsia" w:ascii="宋体" w:hAnsi="宋体" w:cs="宋体"/>
                <w:color w:val="auto"/>
                <w:sz w:val="22"/>
                <w:szCs w:val="22"/>
              </w:rPr>
              <w:t>8</w:t>
            </w: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p>
        </w:tc>
        <w:tc>
          <w:tcPr>
            <w:tcW w:w="4338" w:type="dxa"/>
            <w:vAlign w:val="center"/>
          </w:tcPr>
          <w:p>
            <w:pPr>
              <w:jc w:val="left"/>
              <w:rPr>
                <w:rFonts w:ascii="宋体" w:hAnsi="宋体" w:cs="宋体"/>
                <w:color w:val="auto"/>
                <w:sz w:val="22"/>
                <w:szCs w:val="22"/>
              </w:rPr>
            </w:pPr>
            <w:r>
              <w:rPr>
                <w:rFonts w:hint="eastAsia" w:ascii="宋体" w:hAnsi="宋体" w:cs="宋体"/>
                <w:b/>
                <w:bCs/>
                <w:color w:val="auto"/>
                <w:sz w:val="32"/>
                <w:szCs w:val="32"/>
              </w:rPr>
              <w:t>洁具杂物间</w:t>
            </w:r>
          </w:p>
        </w:tc>
        <w:tc>
          <w:tcPr>
            <w:tcW w:w="1450" w:type="dxa"/>
            <w:vAlign w:val="center"/>
          </w:tcPr>
          <w:p>
            <w:pPr>
              <w:jc w:val="center"/>
              <w:rPr>
                <w:rFonts w:ascii="宋体" w:hAnsi="宋体" w:cs="宋体"/>
                <w:color w:val="auto"/>
                <w:sz w:val="22"/>
                <w:szCs w:val="22"/>
              </w:rPr>
            </w:pPr>
          </w:p>
        </w:tc>
        <w:tc>
          <w:tcPr>
            <w:tcW w:w="643" w:type="dxa"/>
            <w:vAlign w:val="center"/>
          </w:tcPr>
          <w:p>
            <w:pPr>
              <w:jc w:val="center"/>
              <w:rPr>
                <w:rFonts w:ascii="宋体" w:hAnsi="宋体" w:eastAsia="宋体" w:cs="宋体"/>
                <w:color w:val="auto"/>
                <w:kern w:val="2"/>
                <w:sz w:val="22"/>
                <w:szCs w:val="22"/>
                <w:lang w:val="en-US" w:eastAsia="zh-CN" w:bidi="ar-SA"/>
              </w:rPr>
            </w:pPr>
          </w:p>
        </w:tc>
        <w:tc>
          <w:tcPr>
            <w:tcW w:w="843" w:type="dxa"/>
            <w:vAlign w:val="center"/>
          </w:tcPr>
          <w:p>
            <w:pPr>
              <w:jc w:val="center"/>
              <w:rPr>
                <w:rFonts w:ascii="宋体" w:hAnsi="宋体" w:eastAsia="宋体" w:cs="宋体"/>
                <w:color w:val="auto"/>
                <w:kern w:val="0"/>
                <w:sz w:val="22"/>
                <w:szCs w:val="22"/>
                <w:lang w:val="en-US" w:eastAsia="zh-CN" w:bidi="ar-SA"/>
              </w:rPr>
            </w:pP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bCs/>
                <w:color w:val="auto"/>
                <w:sz w:val="22"/>
                <w:szCs w:val="22"/>
              </w:rPr>
              <w:t>拖把池</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bCs/>
                <w:color w:val="auto"/>
                <w:sz w:val="22"/>
                <w:szCs w:val="22"/>
              </w:rPr>
              <w:t>只</w:t>
            </w:r>
          </w:p>
        </w:tc>
        <w:tc>
          <w:tcPr>
            <w:tcW w:w="843" w:type="dxa"/>
            <w:vAlign w:val="center"/>
          </w:tcPr>
          <w:p>
            <w:pPr>
              <w:jc w:val="center"/>
              <w:rPr>
                <w:rFonts w:ascii="宋体" w:hAnsi="宋体" w:eastAsia="宋体" w:cs="宋体"/>
                <w:color w:val="auto"/>
                <w:kern w:val="0"/>
                <w:sz w:val="22"/>
                <w:szCs w:val="22"/>
                <w:lang w:val="en-US" w:eastAsia="zh-CN" w:bidi="ar-SA"/>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拖把池连架</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bCs/>
                <w:color w:val="auto"/>
                <w:sz w:val="22"/>
                <w:szCs w:val="22"/>
              </w:rPr>
              <w:t>只</w:t>
            </w:r>
          </w:p>
        </w:tc>
        <w:tc>
          <w:tcPr>
            <w:tcW w:w="843" w:type="dxa"/>
            <w:vAlign w:val="center"/>
          </w:tcPr>
          <w:p>
            <w:pPr>
              <w:jc w:val="center"/>
              <w:rPr>
                <w:rFonts w:ascii="宋体" w:hAnsi="宋体" w:eastAsia="宋体" w:cs="宋体"/>
                <w:color w:val="auto"/>
                <w:kern w:val="0"/>
                <w:sz w:val="22"/>
                <w:szCs w:val="22"/>
                <w:lang w:val="en-US" w:eastAsia="zh-CN" w:bidi="ar-SA"/>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vAlign w:val="center"/>
          </w:tcPr>
          <w:p>
            <w:pPr>
              <w:jc w:val="center"/>
              <w:rPr>
                <w:rFonts w:ascii="宋体" w:hAnsi="宋体" w:eastAsia="宋体" w:cs="宋体"/>
                <w:color w:val="auto"/>
                <w:kern w:val="0"/>
                <w:sz w:val="22"/>
                <w:szCs w:val="22"/>
                <w:lang w:val="en-US" w:eastAsia="zh-CN" w:bidi="ar-SA"/>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面点加工间</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台式绞肉机</w:t>
            </w:r>
          </w:p>
          <w:p>
            <w:pPr>
              <w:jc w:val="left"/>
              <w:rPr>
                <w:rFonts w:ascii="宋体" w:hAnsi="宋体" w:cs="宋体"/>
                <w:color w:val="auto"/>
                <w:sz w:val="22"/>
                <w:szCs w:val="22"/>
              </w:rPr>
            </w:pPr>
            <w:r>
              <w:rPr>
                <w:rFonts w:hint="eastAsia" w:ascii="宋体" w:hAnsi="宋体" w:cs="宋体"/>
                <w:bCs/>
                <w:color w:val="auto"/>
                <w:sz w:val="22"/>
                <w:szCs w:val="22"/>
              </w:rPr>
              <w:t>额定电压：220V</w:t>
            </w:r>
            <w:r>
              <w:rPr>
                <w:rFonts w:hint="eastAsia" w:ascii="宋体" w:hAnsi="宋体" w:cs="宋体"/>
                <w:bCs/>
                <w:color w:val="auto"/>
                <w:sz w:val="22"/>
                <w:szCs w:val="22"/>
              </w:rPr>
              <w:br w:type="textWrapping"/>
            </w:r>
            <w:r>
              <w:rPr>
                <w:rFonts w:hint="eastAsia" w:ascii="宋体" w:hAnsi="宋体" w:cs="宋体"/>
                <w:bCs/>
                <w:color w:val="auto"/>
                <w:sz w:val="22"/>
                <w:szCs w:val="22"/>
              </w:rPr>
              <w:t>电机功率：</w:t>
            </w:r>
            <w:r>
              <w:rPr>
                <w:rFonts w:hint="eastAsia" w:ascii="宋体" w:hAnsi="宋体" w:cs="宋体"/>
                <w:color w:val="auto"/>
                <w:sz w:val="22"/>
                <w:szCs w:val="22"/>
              </w:rPr>
              <w:t>≥</w:t>
            </w:r>
            <w:r>
              <w:rPr>
                <w:rFonts w:hint="eastAsia" w:ascii="宋体" w:hAnsi="宋体" w:cs="宋体"/>
                <w:bCs/>
                <w:color w:val="auto"/>
                <w:sz w:val="22"/>
                <w:szCs w:val="22"/>
              </w:rPr>
              <w:t>0.55kW</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380*200*430（±30mm）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37210" cy="504190"/>
                  <wp:effectExtent l="0" t="0" r="15240" b="10160"/>
                  <wp:docPr id="7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1"/>
                          <pic:cNvPicPr>
                            <a:picLocks noChangeAspect="1"/>
                          </pic:cNvPicPr>
                        </pic:nvPicPr>
                        <pic:blipFill>
                          <a:blip r:embed="rId15"/>
                          <a:stretch>
                            <a:fillRect/>
                          </a:stretch>
                        </pic:blipFill>
                        <pic:spPr>
                          <a:xfrm>
                            <a:off x="0" y="0"/>
                            <a:ext cx="537210" cy="504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压面机</w:t>
            </w:r>
          </w:p>
          <w:p>
            <w:pPr>
              <w:jc w:val="left"/>
              <w:rPr>
                <w:rFonts w:ascii="宋体" w:hAnsi="宋体" w:cs="宋体"/>
                <w:bCs/>
                <w:color w:val="auto"/>
                <w:sz w:val="22"/>
                <w:szCs w:val="22"/>
              </w:rPr>
            </w:pP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1.5KW</w:t>
            </w:r>
          </w:p>
          <w:p>
            <w:pPr>
              <w:jc w:val="left"/>
              <w:rPr>
                <w:rFonts w:ascii="宋体" w:hAnsi="宋体" w:cs="宋体"/>
                <w:bCs/>
                <w:color w:val="auto"/>
                <w:sz w:val="22"/>
                <w:szCs w:val="22"/>
              </w:rPr>
            </w:pPr>
            <w:r>
              <w:rPr>
                <w:rFonts w:hint="eastAsia" w:ascii="宋体" w:hAnsi="宋体" w:cs="宋体"/>
                <w:bCs/>
                <w:color w:val="auto"/>
                <w:sz w:val="22"/>
                <w:szCs w:val="22"/>
              </w:rPr>
              <w:t>电压：220V</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480*435*960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344805" cy="588645"/>
                  <wp:effectExtent l="0" t="0" r="17145" b="1905"/>
                  <wp:docPr id="73" name="图片 115" descr="恒联压面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5" descr="恒联压面机"/>
                          <pic:cNvPicPr>
                            <a:picLocks noChangeAspect="1"/>
                          </pic:cNvPicPr>
                        </pic:nvPicPr>
                        <pic:blipFill>
                          <a:blip r:embed="rId16"/>
                          <a:srcRect l="11777" t="2386" r="25768" b="-2386"/>
                          <a:stretch>
                            <a:fillRect/>
                          </a:stretch>
                        </pic:blipFill>
                        <pic:spPr>
                          <a:xfrm>
                            <a:off x="0" y="0"/>
                            <a:ext cx="344805" cy="588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双速双动和面机</w:t>
            </w:r>
          </w:p>
          <w:p>
            <w:pPr>
              <w:jc w:val="left"/>
              <w:rPr>
                <w:rFonts w:ascii="宋体" w:hAnsi="宋体" w:cs="宋体"/>
                <w:bCs/>
                <w:color w:val="auto"/>
                <w:sz w:val="22"/>
                <w:szCs w:val="22"/>
              </w:rPr>
            </w:pP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1.1KW</w:t>
            </w:r>
          </w:p>
          <w:p>
            <w:pPr>
              <w:jc w:val="left"/>
              <w:rPr>
                <w:rFonts w:ascii="宋体" w:hAnsi="宋体" w:cs="宋体"/>
                <w:bCs/>
                <w:color w:val="auto"/>
                <w:sz w:val="22"/>
                <w:szCs w:val="22"/>
              </w:rPr>
            </w:pPr>
            <w:r>
              <w:rPr>
                <w:rFonts w:hint="eastAsia" w:ascii="宋体" w:hAnsi="宋体" w:cs="宋体"/>
                <w:bCs/>
                <w:color w:val="auto"/>
                <w:sz w:val="22"/>
                <w:szCs w:val="22"/>
              </w:rPr>
              <w:t>电压：380V</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790*480*930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423545" cy="557530"/>
                  <wp:effectExtent l="0" t="0" r="14605" b="13970"/>
                  <wp:docPr id="76" name="图片 113" descr="QQ截图2015042119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3" descr="QQ截图20150421192104.png"/>
                          <pic:cNvPicPr>
                            <a:picLocks noChangeAspect="1"/>
                          </pic:cNvPicPr>
                        </pic:nvPicPr>
                        <pic:blipFill>
                          <a:blip r:embed="rId17"/>
                          <a:stretch>
                            <a:fillRect/>
                          </a:stretch>
                        </pic:blipFill>
                        <pic:spPr>
                          <a:xfrm>
                            <a:off x="0" y="0"/>
                            <a:ext cx="423545" cy="557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widowControl/>
              <w:jc w:val="left"/>
              <w:textAlignment w:val="center"/>
              <w:rPr>
                <w:rFonts w:ascii="宋体" w:hAnsi="宋体" w:cs="宋体"/>
                <w:bCs/>
                <w:color w:val="auto"/>
                <w:sz w:val="22"/>
                <w:szCs w:val="22"/>
              </w:rPr>
            </w:pPr>
            <w:r>
              <w:rPr>
                <w:rFonts w:hint="eastAsia" w:ascii="宋体" w:hAnsi="宋体" w:cs="宋体"/>
                <w:bCs/>
                <w:color w:val="auto"/>
                <w:sz w:val="22"/>
                <w:szCs w:val="22"/>
              </w:rPr>
              <w:t>豆浆机</w:t>
            </w:r>
          </w:p>
          <w:p>
            <w:pPr>
              <w:jc w:val="left"/>
              <w:rPr>
                <w:rFonts w:ascii="宋体" w:hAnsi="宋体" w:cs="宋体"/>
                <w:bCs/>
                <w:color w:val="auto"/>
                <w:sz w:val="22"/>
                <w:szCs w:val="22"/>
              </w:rPr>
            </w:pPr>
            <w:r>
              <w:rPr>
                <w:rFonts w:hint="eastAsia" w:ascii="宋体" w:hAnsi="宋体" w:cs="宋体"/>
                <w:bCs/>
                <w:color w:val="auto"/>
                <w:sz w:val="22"/>
                <w:szCs w:val="22"/>
              </w:rPr>
              <w:t>生产容量：30-35升</w:t>
            </w:r>
            <w:r>
              <w:rPr>
                <w:rFonts w:hint="eastAsia" w:ascii="宋体" w:hAnsi="宋体" w:cs="宋体"/>
                <w:bCs/>
                <w:color w:val="auto"/>
                <w:sz w:val="22"/>
                <w:szCs w:val="22"/>
              </w:rPr>
              <w:br w:type="textWrapping"/>
            </w:r>
            <w:r>
              <w:rPr>
                <w:rFonts w:hint="eastAsia" w:ascii="宋体" w:hAnsi="宋体" w:cs="宋体"/>
                <w:bCs/>
                <w:color w:val="auto"/>
                <w:sz w:val="22"/>
                <w:szCs w:val="22"/>
              </w:rPr>
              <w:t>额定电压：220V</w:t>
            </w:r>
          </w:p>
          <w:p>
            <w:pPr>
              <w:jc w:val="left"/>
              <w:rPr>
                <w:rFonts w:ascii="宋体" w:hAnsi="宋体" w:cs="宋体"/>
                <w:color w:val="auto"/>
                <w:sz w:val="22"/>
                <w:szCs w:val="22"/>
              </w:rPr>
            </w:pPr>
            <w:r>
              <w:rPr>
                <w:rFonts w:hint="eastAsia" w:ascii="宋体" w:hAnsi="宋体" w:cs="宋体"/>
                <w:bCs/>
                <w:color w:val="auto"/>
                <w:sz w:val="22"/>
                <w:szCs w:val="22"/>
              </w:rPr>
              <w:t>加热功率：</w:t>
            </w:r>
            <w:r>
              <w:rPr>
                <w:rFonts w:hint="eastAsia" w:ascii="宋体" w:hAnsi="宋体" w:cs="宋体"/>
                <w:color w:val="auto"/>
                <w:sz w:val="22"/>
                <w:szCs w:val="22"/>
              </w:rPr>
              <w:t>≥</w:t>
            </w:r>
            <w:r>
              <w:rPr>
                <w:rFonts w:hint="eastAsia" w:ascii="宋体" w:hAnsi="宋体" w:cs="宋体"/>
                <w:bCs/>
                <w:color w:val="auto"/>
                <w:sz w:val="22"/>
                <w:szCs w:val="22"/>
              </w:rPr>
              <w:t>5000W</w:t>
            </w:r>
            <w:r>
              <w:rPr>
                <w:rFonts w:hint="eastAsia" w:ascii="宋体" w:hAnsi="宋体" w:cs="宋体"/>
                <w:bCs/>
                <w:color w:val="auto"/>
                <w:sz w:val="22"/>
                <w:szCs w:val="22"/>
              </w:rPr>
              <w:br w:type="textWrapping"/>
            </w:r>
            <w:r>
              <w:rPr>
                <w:rFonts w:hint="eastAsia" w:ascii="宋体" w:hAnsi="宋体" w:cs="宋体"/>
                <w:bCs/>
                <w:color w:val="auto"/>
                <w:sz w:val="22"/>
                <w:szCs w:val="22"/>
              </w:rPr>
              <w:t>电机功率：</w:t>
            </w:r>
            <w:r>
              <w:rPr>
                <w:rFonts w:hint="eastAsia" w:ascii="宋体" w:hAnsi="宋体" w:cs="宋体"/>
                <w:color w:val="auto"/>
                <w:sz w:val="22"/>
                <w:szCs w:val="22"/>
              </w:rPr>
              <w:t>≥</w:t>
            </w:r>
            <w:r>
              <w:rPr>
                <w:rFonts w:hint="eastAsia" w:ascii="宋体" w:hAnsi="宋体" w:cs="宋体"/>
                <w:bCs/>
                <w:color w:val="auto"/>
                <w:sz w:val="22"/>
                <w:szCs w:val="22"/>
              </w:rPr>
              <w:t>1200W</w:t>
            </w:r>
            <w:r>
              <w:rPr>
                <w:rFonts w:hint="eastAsia" w:ascii="宋体" w:hAnsi="宋体" w:cs="宋体"/>
                <w:bCs/>
                <w:color w:val="auto"/>
                <w:sz w:val="22"/>
                <w:szCs w:val="22"/>
              </w:rPr>
              <w:br w:type="textWrapping"/>
            </w:r>
            <w:r>
              <w:rPr>
                <w:rFonts w:hint="eastAsia" w:ascii="宋体" w:hAnsi="宋体" w:cs="宋体"/>
                <w:bCs/>
                <w:color w:val="auto"/>
                <w:sz w:val="22"/>
                <w:szCs w:val="22"/>
              </w:rPr>
              <w:t>制作饮品种类：豆浆、米糊、玉米汁、紫薯糊、南瓜糊、果蔬糜粥等功能。</w:t>
            </w:r>
          </w:p>
        </w:tc>
        <w:tc>
          <w:tcPr>
            <w:tcW w:w="1450" w:type="dxa"/>
            <w:vAlign w:val="center"/>
          </w:tcPr>
          <w:p>
            <w:pPr>
              <w:jc w:val="center"/>
              <w:rPr>
                <w:rFonts w:ascii="宋体" w:hAnsi="宋体" w:cs="宋体"/>
                <w:color w:val="auto"/>
                <w:sz w:val="22"/>
                <w:szCs w:val="22"/>
              </w:rPr>
            </w:pPr>
            <w:r>
              <w:rPr>
                <w:rFonts w:hint="eastAsia" w:ascii="宋体" w:hAnsi="宋体" w:cs="宋体"/>
                <w:bCs/>
                <w:color w:val="auto"/>
                <w:sz w:val="22"/>
                <w:szCs w:val="22"/>
              </w:rPr>
              <w:t>30-35L</w:t>
            </w:r>
          </w:p>
        </w:tc>
        <w:tc>
          <w:tcPr>
            <w:tcW w:w="643" w:type="dxa"/>
            <w:vAlign w:val="center"/>
          </w:tcPr>
          <w:p>
            <w:pPr>
              <w:jc w:val="center"/>
              <w:rPr>
                <w:rFonts w:ascii="宋体" w:hAnsi="宋体" w:cs="宋体"/>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bCs/>
                <w:color w:val="auto"/>
                <w:sz w:val="22"/>
                <w:szCs w:val="22"/>
              </w:rPr>
              <w:drawing>
                <wp:inline distT="0" distB="0" distL="114300" distR="114300">
                  <wp:extent cx="437515" cy="695960"/>
                  <wp:effectExtent l="0" t="0" r="635" b="8890"/>
                  <wp:docPr id="77"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9"/>
                          <pic:cNvPicPr>
                            <a:picLocks noChangeAspect="1"/>
                          </pic:cNvPicPr>
                        </pic:nvPicPr>
                        <pic:blipFill>
                          <a:blip r:embed="rId18"/>
                          <a:srcRect l="14211" t="18806" r="15175" b="9122"/>
                          <a:stretch>
                            <a:fillRect/>
                          </a:stretch>
                        </pic:blipFill>
                        <pic:spPr>
                          <a:xfrm>
                            <a:off x="0" y="0"/>
                            <a:ext cx="437515" cy="6959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单门醒发箱</w:t>
            </w:r>
          </w:p>
          <w:p>
            <w:pPr>
              <w:jc w:val="left"/>
              <w:rPr>
                <w:rFonts w:ascii="宋体" w:hAnsi="宋体" w:cs="宋体"/>
                <w:color w:val="auto"/>
                <w:sz w:val="22"/>
                <w:szCs w:val="22"/>
              </w:rPr>
            </w:pPr>
            <w:r>
              <w:rPr>
                <w:rFonts w:hint="eastAsia" w:ascii="宋体" w:hAnsi="宋体" w:cs="宋体"/>
                <w:color w:val="auto"/>
                <w:sz w:val="22"/>
                <w:szCs w:val="22"/>
              </w:rPr>
              <w:t>产量：≥13层</w:t>
            </w:r>
          </w:p>
          <w:p>
            <w:pPr>
              <w:jc w:val="left"/>
              <w:rPr>
                <w:rFonts w:ascii="宋体" w:hAnsi="宋体" w:cs="宋体"/>
                <w:color w:val="auto"/>
                <w:sz w:val="22"/>
                <w:szCs w:val="22"/>
              </w:rPr>
            </w:pPr>
            <w:r>
              <w:rPr>
                <w:rFonts w:hint="eastAsia" w:ascii="宋体" w:hAnsi="宋体" w:cs="宋体"/>
                <w:color w:val="auto"/>
                <w:sz w:val="22"/>
                <w:szCs w:val="22"/>
              </w:rPr>
              <w:t>电压：220V</w:t>
            </w:r>
          </w:p>
          <w:p>
            <w:pPr>
              <w:jc w:val="left"/>
              <w:rPr>
                <w:rFonts w:ascii="宋体" w:hAnsi="宋体" w:cs="宋体"/>
                <w:color w:val="auto"/>
                <w:sz w:val="22"/>
                <w:szCs w:val="22"/>
              </w:rPr>
            </w:pPr>
            <w:r>
              <w:rPr>
                <w:rFonts w:hint="eastAsia" w:ascii="宋体" w:hAnsi="宋体" w:cs="宋体"/>
                <w:color w:val="auto"/>
                <w:sz w:val="22"/>
                <w:szCs w:val="22"/>
              </w:rPr>
              <w:t>功率：≥3.4KW</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500*700*1870（±30mm）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15290" cy="740410"/>
                  <wp:effectExtent l="0" t="0" r="3810" b="254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19"/>
                          <a:stretch>
                            <a:fillRect/>
                          </a:stretch>
                        </pic:blipFill>
                        <pic:spPr>
                          <a:xfrm>
                            <a:off x="0" y="0"/>
                            <a:ext cx="415290" cy="740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shd w:val="clear" w:color="auto" w:fill="auto"/>
            <w:vAlign w:val="center"/>
          </w:tcPr>
          <w:p>
            <w:pPr>
              <w:jc w:val="left"/>
              <w:rPr>
                <w:rFonts w:ascii="宋体" w:hAnsi="宋体" w:cs="宋体"/>
                <w:bCs/>
                <w:color w:val="auto"/>
                <w:sz w:val="22"/>
                <w:szCs w:val="22"/>
              </w:rPr>
            </w:pPr>
            <w:r>
              <w:rPr>
                <w:rFonts w:hint="eastAsia" w:ascii="宋体" w:hAnsi="宋体" w:cs="宋体"/>
                <w:bCs/>
                <w:color w:val="auto"/>
                <w:sz w:val="22"/>
                <w:szCs w:val="22"/>
              </w:rPr>
              <w:t>木案平面冷柜</w:t>
            </w:r>
          </w:p>
        </w:tc>
        <w:tc>
          <w:tcPr>
            <w:tcW w:w="1450" w:type="dxa"/>
            <w:shd w:val="clear" w:color="auto" w:fill="auto"/>
            <w:vAlign w:val="center"/>
          </w:tcPr>
          <w:p>
            <w:pPr>
              <w:jc w:val="center"/>
              <w:rPr>
                <w:rFonts w:ascii="宋体" w:hAnsi="宋体" w:cs="宋体"/>
                <w:bCs/>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bCs/>
                <w:color w:val="auto"/>
                <w:kern w:val="2"/>
                <w:sz w:val="22"/>
                <w:szCs w:val="22"/>
                <w:lang w:val="en-US" w:eastAsia="zh-CN" w:bidi="ar-SA"/>
              </w:rPr>
            </w:pPr>
            <w:r>
              <w:rPr>
                <w:rFonts w:hint="eastAsia" w:ascii="宋体" w:hAnsi="宋体" w:cs="宋体"/>
                <w:bCs/>
                <w:color w:val="auto"/>
                <w:sz w:val="22"/>
                <w:szCs w:val="22"/>
              </w:rPr>
              <w:t>台</w:t>
            </w:r>
          </w:p>
        </w:tc>
        <w:tc>
          <w:tcPr>
            <w:tcW w:w="843" w:type="dxa"/>
            <w:shd w:val="clear" w:color="auto" w:fill="auto"/>
            <w:vAlign w:val="center"/>
          </w:tcPr>
          <w:p>
            <w:pPr>
              <w:jc w:val="center"/>
              <w:rPr>
                <w:rFonts w:ascii="宋体" w:hAnsi="宋体" w:eastAsia="宋体" w:cs="宋体"/>
                <w:bCs/>
                <w:color w:val="auto"/>
                <w:kern w:val="2"/>
                <w:sz w:val="22"/>
                <w:szCs w:val="22"/>
                <w:lang w:val="en-US" w:eastAsia="zh-CN" w:bidi="ar-SA"/>
              </w:rPr>
            </w:pPr>
            <w:r>
              <w:rPr>
                <w:rFonts w:hint="eastAsia" w:ascii="宋体" w:hAnsi="宋体" w:cs="宋体"/>
                <w:bCs/>
                <w:color w:val="auto"/>
                <w:sz w:val="22"/>
                <w:szCs w:val="22"/>
              </w:rPr>
              <w:t>1</w:t>
            </w:r>
          </w:p>
        </w:tc>
        <w:tc>
          <w:tcPr>
            <w:tcW w:w="1399" w:type="dxa"/>
            <w:shd w:val="clear" w:color="auto" w:fill="auto"/>
            <w:vAlign w:val="center"/>
          </w:tcPr>
          <w:p>
            <w:pPr>
              <w:jc w:val="center"/>
              <w:rPr>
                <w:rFonts w:ascii="宋体" w:hAnsi="宋体" w:cs="宋体"/>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shd w:val="clear" w:color="auto" w:fill="auto"/>
            <w:vAlign w:val="center"/>
          </w:tcPr>
          <w:p>
            <w:pPr>
              <w:jc w:val="left"/>
              <w:rPr>
                <w:rFonts w:ascii="宋体" w:hAnsi="宋体" w:cs="宋体"/>
                <w:bCs/>
                <w:color w:val="auto"/>
                <w:sz w:val="22"/>
                <w:szCs w:val="22"/>
              </w:rPr>
            </w:pPr>
            <w:r>
              <w:rPr>
                <w:rFonts w:hint="eastAsia" w:ascii="宋体" w:hAnsi="宋体" w:cs="宋体"/>
                <w:bCs/>
                <w:color w:val="auto"/>
                <w:sz w:val="22"/>
                <w:szCs w:val="22"/>
              </w:rPr>
              <w:t>搅拌机</w:t>
            </w:r>
          </w:p>
        </w:tc>
        <w:tc>
          <w:tcPr>
            <w:tcW w:w="1450" w:type="dxa"/>
            <w:shd w:val="clear" w:color="auto" w:fill="auto"/>
            <w:vAlign w:val="center"/>
          </w:tcPr>
          <w:p>
            <w:pPr>
              <w:jc w:val="center"/>
              <w:rPr>
                <w:rFonts w:ascii="宋体" w:hAnsi="宋体" w:cs="宋体"/>
                <w:bCs/>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bCs/>
                <w:color w:val="auto"/>
                <w:kern w:val="2"/>
                <w:sz w:val="22"/>
                <w:szCs w:val="22"/>
                <w:lang w:val="en-US" w:eastAsia="zh-CN" w:bidi="ar-SA"/>
              </w:rPr>
            </w:pPr>
            <w:r>
              <w:rPr>
                <w:rFonts w:hint="eastAsia" w:ascii="宋体" w:hAnsi="宋体" w:cs="宋体"/>
                <w:bCs/>
                <w:color w:val="auto"/>
                <w:sz w:val="22"/>
                <w:szCs w:val="22"/>
              </w:rPr>
              <w:t>台</w:t>
            </w:r>
          </w:p>
        </w:tc>
        <w:tc>
          <w:tcPr>
            <w:tcW w:w="843" w:type="dxa"/>
            <w:shd w:val="clear" w:color="auto" w:fill="auto"/>
            <w:vAlign w:val="center"/>
          </w:tcPr>
          <w:p>
            <w:pPr>
              <w:jc w:val="center"/>
              <w:rPr>
                <w:rFonts w:ascii="宋体" w:hAnsi="宋体" w:eastAsia="宋体" w:cs="宋体"/>
                <w:bCs/>
                <w:color w:val="auto"/>
                <w:kern w:val="2"/>
                <w:sz w:val="22"/>
                <w:szCs w:val="22"/>
                <w:lang w:val="en-US" w:eastAsia="zh-CN" w:bidi="ar-SA"/>
              </w:rPr>
            </w:pPr>
            <w:r>
              <w:rPr>
                <w:rFonts w:hint="eastAsia" w:ascii="宋体" w:hAnsi="宋体" w:cs="宋体"/>
                <w:bCs/>
                <w:color w:val="auto"/>
                <w:sz w:val="22"/>
                <w:szCs w:val="22"/>
              </w:rPr>
              <w:t>1</w:t>
            </w:r>
          </w:p>
        </w:tc>
        <w:tc>
          <w:tcPr>
            <w:tcW w:w="1399" w:type="dxa"/>
            <w:shd w:val="clear" w:color="auto" w:fill="auto"/>
            <w:vAlign w:val="center"/>
          </w:tcPr>
          <w:p>
            <w:pPr>
              <w:jc w:val="center"/>
              <w:rPr>
                <w:rFonts w:ascii="宋体" w:hAnsi="宋体" w:cs="宋体"/>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9</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单星水池连台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p>
        </w:tc>
        <w:tc>
          <w:tcPr>
            <w:tcW w:w="1399" w:type="dxa"/>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蔬菜及水果粗加工</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700*750*800（±30mm）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88" name="图片 72"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2"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土豆脱皮机</w:t>
            </w:r>
          </w:p>
          <w:p>
            <w:pPr>
              <w:jc w:val="left"/>
              <w:rPr>
                <w:rFonts w:ascii="宋体" w:hAnsi="宋体" w:cs="宋体"/>
                <w:color w:val="auto"/>
                <w:sz w:val="22"/>
                <w:szCs w:val="22"/>
              </w:rPr>
            </w:pPr>
            <w:r>
              <w:rPr>
                <w:rFonts w:hint="eastAsia" w:ascii="宋体" w:hAnsi="宋体" w:cs="宋体"/>
                <w:color w:val="auto"/>
                <w:sz w:val="22"/>
                <w:szCs w:val="22"/>
              </w:rPr>
              <w:t>额定电压：220V；</w:t>
            </w:r>
          </w:p>
          <w:p>
            <w:pPr>
              <w:jc w:val="left"/>
              <w:rPr>
                <w:rFonts w:ascii="宋体" w:hAnsi="宋体" w:cs="宋体"/>
                <w:color w:val="auto"/>
                <w:sz w:val="22"/>
                <w:szCs w:val="22"/>
              </w:rPr>
            </w:pPr>
            <w:r>
              <w:rPr>
                <w:rFonts w:hint="eastAsia" w:ascii="宋体" w:hAnsi="宋体" w:cs="宋体"/>
                <w:color w:val="auto"/>
                <w:sz w:val="22"/>
                <w:szCs w:val="22"/>
              </w:rPr>
              <w:t>电机功率：≥1.1kW</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780*510*1000（±30mm）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767080" cy="553720"/>
                  <wp:effectExtent l="0" t="0" r="13970" b="17780"/>
                  <wp:docPr id="89" name="图片 2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descr="IMG_268"/>
                          <pic:cNvPicPr>
                            <a:picLocks noChangeAspect="1"/>
                          </pic:cNvPicPr>
                        </pic:nvPicPr>
                        <pic:blipFill>
                          <a:blip r:embed="rId21"/>
                          <a:stretch>
                            <a:fillRect/>
                          </a:stretch>
                        </pic:blipFill>
                        <pic:spPr>
                          <a:xfrm>
                            <a:off x="0" y="0"/>
                            <a:ext cx="767080" cy="5537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三星水池</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1800*750*800（±30mm）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34060" cy="643890"/>
                  <wp:effectExtent l="0" t="0" r="8890" b="3810"/>
                  <wp:docPr id="100" name="图片 100" descr="三星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三星水池"/>
                          <pic:cNvPicPr>
                            <a:picLocks noChangeAspect="1"/>
                          </pic:cNvPicPr>
                        </pic:nvPicPr>
                        <pic:blipFill>
                          <a:blip r:embed="rId22"/>
                          <a:srcRect l="17925" t="13899" r="18237" b="19683"/>
                          <a:stretch>
                            <a:fillRect/>
                          </a:stretch>
                        </pic:blipFill>
                        <pic:spPr>
                          <a:xfrm>
                            <a:off x="0" y="0"/>
                            <a:ext cx="734060" cy="643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1700*750*800（±30mm）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102" name="图片 102"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灭蝇灯</w:t>
            </w:r>
          </w:p>
          <w:p>
            <w:pPr>
              <w:jc w:val="left"/>
              <w:rPr>
                <w:rFonts w:ascii="宋体" w:hAnsi="宋体" w:cs="宋体"/>
                <w:color w:val="auto"/>
                <w:sz w:val="22"/>
                <w:szCs w:val="22"/>
              </w:rPr>
            </w:pPr>
            <w:r>
              <w:rPr>
                <w:rFonts w:hint="eastAsia" w:ascii="宋体" w:hAnsi="宋体" w:cs="宋体"/>
                <w:color w:val="auto"/>
                <w:sz w:val="22"/>
                <w:szCs w:val="22"/>
              </w:rPr>
              <w:t>电压(V)：220V</w:t>
            </w:r>
          </w:p>
          <w:p>
            <w:pPr>
              <w:jc w:val="left"/>
              <w:rPr>
                <w:rFonts w:ascii="宋体" w:hAnsi="宋体" w:cs="宋体"/>
                <w:color w:val="auto"/>
                <w:sz w:val="22"/>
                <w:szCs w:val="22"/>
              </w:rPr>
            </w:pPr>
            <w:r>
              <w:rPr>
                <w:rFonts w:hint="eastAsia" w:ascii="宋体" w:hAnsi="宋体" w:cs="宋体"/>
                <w:color w:val="auto"/>
                <w:sz w:val="22"/>
                <w:szCs w:val="22"/>
              </w:rPr>
              <w:t>功率(W)：≥8W</w:t>
            </w:r>
          </w:p>
          <w:p>
            <w:pPr>
              <w:jc w:val="left"/>
              <w:rPr>
                <w:rFonts w:ascii="宋体" w:hAnsi="宋体" w:cs="宋体"/>
                <w:color w:val="auto"/>
                <w:sz w:val="22"/>
                <w:szCs w:val="22"/>
              </w:rPr>
            </w:pPr>
            <w:r>
              <w:rPr>
                <w:rFonts w:hint="eastAsia" w:ascii="宋体" w:hAnsi="宋体" w:cs="宋体"/>
                <w:color w:val="auto"/>
                <w:sz w:val="22"/>
                <w:szCs w:val="22"/>
              </w:rPr>
              <w:t>固定方式：壁挂式</w:t>
            </w:r>
          </w:p>
          <w:p>
            <w:pPr>
              <w:jc w:val="left"/>
              <w:rPr>
                <w:rFonts w:ascii="宋体" w:hAnsi="宋体" w:cs="宋体"/>
                <w:color w:val="auto"/>
                <w:sz w:val="22"/>
                <w:szCs w:val="22"/>
              </w:rPr>
            </w:pPr>
            <w:r>
              <w:rPr>
                <w:rFonts w:hint="eastAsia" w:ascii="宋体" w:hAnsi="宋体" w:cs="宋体"/>
                <w:color w:val="auto"/>
                <w:sz w:val="22"/>
                <w:szCs w:val="22"/>
              </w:rPr>
              <w:t>适用面积：20㎡-50㎡</w:t>
            </w:r>
          </w:p>
        </w:tc>
        <w:tc>
          <w:tcPr>
            <w:tcW w:w="1450" w:type="dxa"/>
            <w:vAlign w:val="center"/>
          </w:tcPr>
          <w:p>
            <w:pPr>
              <w:jc w:val="center"/>
              <w:rPr>
                <w:rFonts w:ascii="宋体" w:hAnsi="宋体" w:cs="宋体"/>
                <w:bCs/>
                <w:color w:val="auto"/>
                <w:sz w:val="22"/>
                <w:szCs w:val="22"/>
              </w:rPr>
            </w:pPr>
            <w:r>
              <w:rPr>
                <w:rFonts w:hint="eastAsia" w:ascii="宋体" w:hAnsi="宋体" w:cs="宋体"/>
                <w:color w:val="auto"/>
                <w:sz w:val="22"/>
                <w:szCs w:val="22"/>
              </w:rPr>
              <w:t>≥8W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kern w:val="0"/>
                <w:sz w:val="22"/>
                <w:szCs w:val="22"/>
              </w:rPr>
            </w:pPr>
            <w:r>
              <w:rPr>
                <w:rFonts w:hint="eastAsia" w:ascii="宋体" w:hAnsi="宋体" w:cs="宋体"/>
                <w:bCs/>
                <w:color w:val="auto"/>
                <w:sz w:val="22"/>
                <w:szCs w:val="22"/>
              </w:rPr>
              <w:drawing>
                <wp:inline distT="0" distB="0" distL="114300" distR="114300">
                  <wp:extent cx="739140" cy="758190"/>
                  <wp:effectExtent l="0" t="0" r="3810" b="3810"/>
                  <wp:docPr id="9"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双星水池</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2</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单向调理柜</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widowControl/>
              <w:jc w:val="left"/>
              <w:textAlignment w:val="center"/>
              <w:rPr>
                <w:rFonts w:ascii="宋体" w:hAnsi="宋体" w:cs="宋体"/>
                <w:color w:val="auto"/>
                <w:kern w:val="0"/>
                <w:sz w:val="22"/>
                <w:szCs w:val="22"/>
              </w:rPr>
            </w:pPr>
            <w:r>
              <w:rPr>
                <w:rFonts w:hint="eastAsia" w:ascii="宋体" w:hAnsi="宋体" w:cs="宋体"/>
                <w:b/>
                <w:bCs/>
                <w:color w:val="auto"/>
                <w:sz w:val="32"/>
                <w:szCs w:val="32"/>
              </w:rPr>
              <w:t>海鲜粗加工</w:t>
            </w:r>
          </w:p>
        </w:tc>
        <w:tc>
          <w:tcPr>
            <w:tcW w:w="4335" w:type="dxa"/>
            <w:gridSpan w:val="4"/>
            <w:vAlign w:val="center"/>
          </w:tcPr>
          <w:p>
            <w:pPr>
              <w:widowControl/>
              <w:jc w:val="left"/>
              <w:textAlignment w:val="center"/>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单星水池连台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20725" cy="561975"/>
                  <wp:effectExtent l="0" t="0" r="3175" b="9525"/>
                  <wp:docPr id="10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8"/>
                          <pic:cNvPicPr>
                            <a:picLocks noChangeAspect="1"/>
                          </pic:cNvPicPr>
                        </pic:nvPicPr>
                        <pic:blipFill>
                          <a:blip r:embed="rId24"/>
                          <a:stretch>
                            <a:fillRect/>
                          </a:stretch>
                        </pic:blipFill>
                        <pic:spPr>
                          <a:xfrm>
                            <a:off x="0" y="0"/>
                            <a:ext cx="720725" cy="561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剖鱼台水池</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51840" cy="586105"/>
                  <wp:effectExtent l="0" t="0" r="10160" b="4445"/>
                  <wp:docPr id="10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8"/>
                          <pic:cNvPicPr>
                            <a:picLocks noChangeAspect="1"/>
                          </pic:cNvPicPr>
                        </pic:nvPicPr>
                        <pic:blipFill>
                          <a:blip r:embed="rId24"/>
                          <a:stretch>
                            <a:fillRect/>
                          </a:stretch>
                        </pic:blipFill>
                        <pic:spPr>
                          <a:xfrm>
                            <a:off x="0" y="0"/>
                            <a:ext cx="751840" cy="5861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灭蝇灯</w:t>
            </w:r>
          </w:p>
          <w:p>
            <w:pPr>
              <w:jc w:val="left"/>
              <w:rPr>
                <w:rFonts w:ascii="宋体" w:hAnsi="宋体" w:cs="宋体"/>
                <w:color w:val="auto"/>
                <w:sz w:val="22"/>
                <w:szCs w:val="22"/>
              </w:rPr>
            </w:pPr>
            <w:r>
              <w:rPr>
                <w:rFonts w:hint="eastAsia" w:ascii="宋体" w:hAnsi="宋体" w:cs="宋体"/>
                <w:color w:val="auto"/>
                <w:sz w:val="22"/>
                <w:szCs w:val="22"/>
              </w:rPr>
              <w:t>电压(V)：220V</w:t>
            </w:r>
          </w:p>
          <w:p>
            <w:pPr>
              <w:jc w:val="left"/>
              <w:rPr>
                <w:rFonts w:ascii="宋体" w:hAnsi="宋体" w:cs="宋体"/>
                <w:color w:val="auto"/>
                <w:sz w:val="22"/>
                <w:szCs w:val="22"/>
              </w:rPr>
            </w:pPr>
            <w:r>
              <w:rPr>
                <w:rFonts w:hint="eastAsia" w:ascii="宋体" w:hAnsi="宋体" w:cs="宋体"/>
                <w:color w:val="auto"/>
                <w:sz w:val="22"/>
                <w:szCs w:val="22"/>
              </w:rPr>
              <w:t>功率(W)：≥8W</w:t>
            </w:r>
          </w:p>
          <w:p>
            <w:pPr>
              <w:jc w:val="left"/>
              <w:rPr>
                <w:rFonts w:ascii="宋体" w:hAnsi="宋体" w:cs="宋体"/>
                <w:color w:val="auto"/>
                <w:sz w:val="22"/>
                <w:szCs w:val="22"/>
              </w:rPr>
            </w:pPr>
            <w:r>
              <w:rPr>
                <w:rFonts w:hint="eastAsia" w:ascii="宋体" w:hAnsi="宋体" w:cs="宋体"/>
                <w:color w:val="auto"/>
                <w:sz w:val="22"/>
                <w:szCs w:val="22"/>
              </w:rPr>
              <w:t>固定方式：壁挂式</w:t>
            </w:r>
          </w:p>
          <w:p>
            <w:pPr>
              <w:jc w:val="left"/>
              <w:rPr>
                <w:rFonts w:ascii="宋体" w:hAnsi="宋体" w:cs="宋体"/>
                <w:color w:val="auto"/>
                <w:sz w:val="22"/>
                <w:szCs w:val="22"/>
              </w:rPr>
            </w:pPr>
            <w:r>
              <w:rPr>
                <w:rFonts w:hint="eastAsia" w:ascii="宋体" w:hAnsi="宋体" w:cs="宋体"/>
                <w:color w:val="auto"/>
                <w:sz w:val="22"/>
                <w:szCs w:val="22"/>
              </w:rPr>
              <w:t>适用面积：20㎡-50㎡</w:t>
            </w:r>
          </w:p>
        </w:tc>
        <w:tc>
          <w:tcPr>
            <w:tcW w:w="1450" w:type="dxa"/>
            <w:vAlign w:val="center"/>
          </w:tcPr>
          <w:p>
            <w:pPr>
              <w:jc w:val="center"/>
              <w:rPr>
                <w:rFonts w:ascii="宋体" w:hAnsi="宋体" w:cs="宋体"/>
                <w:bCs/>
                <w:color w:val="auto"/>
                <w:sz w:val="22"/>
                <w:szCs w:val="22"/>
              </w:rPr>
            </w:pPr>
            <w:r>
              <w:rPr>
                <w:rFonts w:hint="eastAsia" w:ascii="宋体" w:hAnsi="宋体" w:cs="宋体"/>
                <w:color w:val="auto"/>
                <w:sz w:val="22"/>
                <w:szCs w:val="22"/>
              </w:rPr>
              <w:t>≥8W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kern w:val="0"/>
                <w:sz w:val="22"/>
                <w:szCs w:val="22"/>
              </w:rPr>
            </w:pPr>
            <w:r>
              <w:rPr>
                <w:rFonts w:hint="eastAsia" w:ascii="宋体" w:hAnsi="宋体" w:cs="宋体"/>
                <w:bCs/>
                <w:color w:val="auto"/>
                <w:sz w:val="22"/>
                <w:szCs w:val="22"/>
              </w:rPr>
              <w:drawing>
                <wp:inline distT="0" distB="0" distL="114300" distR="114300">
                  <wp:extent cx="739140" cy="758190"/>
                  <wp:effectExtent l="0" t="0" r="3810" b="3810"/>
                  <wp:docPr id="2"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单星水池连台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单孔残物台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tc>
        <w:tc>
          <w:tcPr>
            <w:tcW w:w="1450" w:type="dxa"/>
            <w:shd w:val="clear" w:color="auto" w:fill="auto"/>
            <w:vAlign w:val="center"/>
          </w:tcPr>
          <w:p>
            <w:pPr>
              <w:jc w:val="center"/>
              <w:rPr>
                <w:rFonts w:ascii="宋体" w:hAnsi="宋体" w:cs="宋体"/>
                <w:bCs/>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bCs/>
                <w:color w:val="auto"/>
                <w:kern w:val="2"/>
                <w:sz w:val="22"/>
                <w:szCs w:val="22"/>
                <w:lang w:val="en-US" w:eastAsia="zh-CN" w:bidi="ar-SA"/>
              </w:rPr>
            </w:pPr>
            <w:r>
              <w:rPr>
                <w:rFonts w:hint="eastAsia" w:ascii="宋体" w:hAnsi="宋体" w:cs="宋体"/>
                <w:bCs/>
                <w:color w:val="auto"/>
                <w:sz w:val="22"/>
                <w:szCs w:val="22"/>
              </w:rPr>
              <w:t>只</w:t>
            </w:r>
          </w:p>
        </w:tc>
        <w:tc>
          <w:tcPr>
            <w:tcW w:w="843" w:type="dxa"/>
            <w:shd w:val="clear" w:color="auto" w:fill="auto"/>
            <w:vAlign w:val="center"/>
          </w:tcPr>
          <w:p>
            <w:pPr>
              <w:jc w:val="center"/>
              <w:rPr>
                <w:rFonts w:ascii="宋体" w:hAnsi="宋体" w:eastAsia="宋体" w:cs="宋体"/>
                <w:bCs/>
                <w:color w:val="auto"/>
                <w:kern w:val="2"/>
                <w:sz w:val="22"/>
                <w:szCs w:val="22"/>
                <w:lang w:val="en-US" w:eastAsia="zh-CN" w:bidi="ar-SA"/>
              </w:rPr>
            </w:pPr>
            <w:r>
              <w:rPr>
                <w:rFonts w:hint="eastAsia" w:ascii="宋体" w:hAnsi="宋体" w:cs="宋体"/>
                <w:bCs/>
                <w:color w:val="auto"/>
                <w:sz w:val="22"/>
                <w:szCs w:val="22"/>
              </w:rPr>
              <w:t>1</w:t>
            </w:r>
          </w:p>
        </w:tc>
        <w:tc>
          <w:tcPr>
            <w:tcW w:w="1399" w:type="dxa"/>
            <w:shd w:val="clear" w:color="auto" w:fill="auto"/>
            <w:vAlign w:val="center"/>
          </w:tcPr>
          <w:p>
            <w:pPr>
              <w:jc w:val="center"/>
              <w:rPr>
                <w:rFonts w:ascii="宋体" w:hAnsi="宋体" w:cs="宋体"/>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肉类粗加工</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1500*700*800（±30mm）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111" name="图片 111"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四门双温冰箱</w:t>
            </w:r>
          </w:p>
          <w:p>
            <w:pPr>
              <w:jc w:val="left"/>
              <w:rPr>
                <w:rFonts w:ascii="宋体" w:hAnsi="宋体" w:cs="宋体"/>
                <w:bCs/>
                <w:color w:val="auto"/>
                <w:sz w:val="22"/>
                <w:szCs w:val="22"/>
              </w:rPr>
            </w:pPr>
            <w:r>
              <w:rPr>
                <w:rFonts w:hint="eastAsia" w:ascii="宋体" w:hAnsi="宋体" w:cs="宋体"/>
                <w:bCs/>
                <w:color w:val="auto"/>
                <w:sz w:val="22"/>
                <w:szCs w:val="22"/>
              </w:rPr>
              <w:t>说明：高效压缩机，制冷强劲，低至-18度；高密度微孔发泡层，真空绝热板，隔热锁冷；电子智能温控，精准控温；整机无磁不锈钢板，加厚门里，耐用易清洁；内嵌电热丝，自动除凝露；高强度万向轮，自由移动。</w:t>
            </w:r>
          </w:p>
          <w:p>
            <w:pPr>
              <w:jc w:val="left"/>
              <w:rPr>
                <w:rFonts w:ascii="宋体" w:hAnsi="宋体" w:cs="宋体"/>
                <w:bCs/>
                <w:color w:val="auto"/>
                <w:sz w:val="22"/>
                <w:szCs w:val="22"/>
              </w:rPr>
            </w:pPr>
            <w:r>
              <w:rPr>
                <w:rFonts w:hint="eastAsia" w:ascii="宋体" w:hAnsi="宋体" w:cs="宋体"/>
                <w:bCs/>
                <w:color w:val="auto"/>
                <w:sz w:val="22"/>
                <w:szCs w:val="22"/>
              </w:rPr>
              <w:t>温度范围：-5℃~5℃，-6℃~-18℃</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1215*750*1980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65150" cy="721360"/>
                  <wp:effectExtent l="0" t="0" r="6350" b="2540"/>
                  <wp:docPr id="1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150" cy="721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1000*800*800（±30mm）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64" name="图片 64"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洗地龙头</w:t>
            </w:r>
          </w:p>
          <w:p>
            <w:pPr>
              <w:jc w:val="left"/>
              <w:rPr>
                <w:rFonts w:ascii="宋体" w:hAnsi="宋体" w:cs="宋体"/>
                <w:color w:val="auto"/>
                <w:sz w:val="22"/>
                <w:szCs w:val="22"/>
              </w:rPr>
            </w:pPr>
            <w:r>
              <w:rPr>
                <w:rFonts w:hint="eastAsia" w:ascii="宋体" w:hAnsi="宋体" w:cs="宋体"/>
                <w:color w:val="auto"/>
                <w:sz w:val="22"/>
                <w:szCs w:val="22"/>
              </w:rPr>
              <w:t>1.壳体为冷轧板制成，支架为碳钢制成，表面静电喷塑处理；</w:t>
            </w:r>
          </w:p>
          <w:p>
            <w:pPr>
              <w:jc w:val="left"/>
              <w:rPr>
                <w:rFonts w:ascii="宋体" w:hAnsi="宋体" w:cs="宋体"/>
                <w:color w:val="auto"/>
                <w:sz w:val="22"/>
                <w:szCs w:val="22"/>
              </w:rPr>
            </w:pPr>
            <w:r>
              <w:rPr>
                <w:rFonts w:hint="eastAsia" w:ascii="宋体" w:hAnsi="宋体" w:cs="宋体"/>
                <w:color w:val="auto"/>
                <w:sz w:val="22"/>
                <w:szCs w:val="22"/>
              </w:rPr>
              <w:t>2.中心轴为硬度高不易磨损的特殊钢材；</w:t>
            </w:r>
          </w:p>
          <w:p>
            <w:pPr>
              <w:jc w:val="left"/>
              <w:rPr>
                <w:rFonts w:ascii="宋体" w:hAnsi="宋体" w:cs="宋体"/>
                <w:color w:val="auto"/>
                <w:sz w:val="22"/>
                <w:szCs w:val="22"/>
              </w:rPr>
            </w:pPr>
            <w:r>
              <w:rPr>
                <w:rFonts w:hint="eastAsia" w:ascii="宋体" w:hAnsi="宋体" w:cs="宋体"/>
                <w:color w:val="auto"/>
                <w:sz w:val="22"/>
                <w:szCs w:val="22"/>
              </w:rPr>
              <w:t>3.锰钢弹簧；</w:t>
            </w:r>
          </w:p>
          <w:p>
            <w:pPr>
              <w:jc w:val="left"/>
              <w:rPr>
                <w:rFonts w:ascii="宋体" w:hAnsi="宋体" w:cs="宋体"/>
                <w:color w:val="auto"/>
                <w:sz w:val="22"/>
                <w:szCs w:val="22"/>
              </w:rPr>
            </w:pPr>
            <w:r>
              <w:rPr>
                <w:rFonts w:hint="eastAsia" w:ascii="宋体" w:hAnsi="宋体" w:cs="宋体"/>
                <w:color w:val="auto"/>
                <w:sz w:val="22"/>
                <w:szCs w:val="22"/>
              </w:rPr>
              <w:t>4.黑色液压钢丝管≥10米，耐温≥95℃，承压≥300PSI。</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≥10米</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763905" cy="551180"/>
                  <wp:effectExtent l="0" t="0" r="17145" b="1270"/>
                  <wp:docPr id="70" name="图片 2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descr="IMG_270"/>
                          <pic:cNvPicPr>
                            <a:picLocks noChangeAspect="1"/>
                          </pic:cNvPicPr>
                        </pic:nvPicPr>
                        <pic:blipFill>
                          <a:blip r:embed="rId26"/>
                          <a:stretch>
                            <a:fillRect/>
                          </a:stretch>
                        </pic:blipFill>
                        <pic:spPr>
                          <a:xfrm>
                            <a:off x="0" y="0"/>
                            <a:ext cx="763905" cy="551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灭蝇灯</w:t>
            </w:r>
          </w:p>
          <w:p>
            <w:pPr>
              <w:jc w:val="left"/>
              <w:rPr>
                <w:rFonts w:ascii="宋体" w:hAnsi="宋体" w:cs="宋体"/>
                <w:color w:val="auto"/>
                <w:sz w:val="22"/>
                <w:szCs w:val="22"/>
              </w:rPr>
            </w:pPr>
            <w:r>
              <w:rPr>
                <w:rFonts w:hint="eastAsia" w:ascii="宋体" w:hAnsi="宋体" w:cs="宋体"/>
                <w:color w:val="auto"/>
                <w:sz w:val="22"/>
                <w:szCs w:val="22"/>
              </w:rPr>
              <w:t>电压(V)：220V</w:t>
            </w:r>
          </w:p>
          <w:p>
            <w:pPr>
              <w:jc w:val="left"/>
              <w:rPr>
                <w:rFonts w:ascii="宋体" w:hAnsi="宋体" w:cs="宋体"/>
                <w:color w:val="auto"/>
                <w:sz w:val="22"/>
                <w:szCs w:val="22"/>
              </w:rPr>
            </w:pPr>
            <w:r>
              <w:rPr>
                <w:rFonts w:hint="eastAsia" w:ascii="宋体" w:hAnsi="宋体" w:cs="宋体"/>
                <w:color w:val="auto"/>
                <w:sz w:val="22"/>
                <w:szCs w:val="22"/>
              </w:rPr>
              <w:t>功率(W)：≥8W</w:t>
            </w:r>
          </w:p>
          <w:p>
            <w:pPr>
              <w:jc w:val="left"/>
              <w:rPr>
                <w:rFonts w:ascii="宋体" w:hAnsi="宋体" w:cs="宋体"/>
                <w:color w:val="auto"/>
                <w:sz w:val="22"/>
                <w:szCs w:val="22"/>
              </w:rPr>
            </w:pPr>
            <w:r>
              <w:rPr>
                <w:rFonts w:hint="eastAsia" w:ascii="宋体" w:hAnsi="宋体" w:cs="宋体"/>
                <w:color w:val="auto"/>
                <w:sz w:val="22"/>
                <w:szCs w:val="22"/>
              </w:rPr>
              <w:t>固定方式：壁挂式</w:t>
            </w:r>
          </w:p>
          <w:p>
            <w:pPr>
              <w:jc w:val="left"/>
              <w:rPr>
                <w:rFonts w:ascii="宋体" w:hAnsi="宋体" w:cs="宋体"/>
                <w:color w:val="auto"/>
                <w:sz w:val="22"/>
                <w:szCs w:val="22"/>
              </w:rPr>
            </w:pPr>
            <w:r>
              <w:rPr>
                <w:rFonts w:hint="eastAsia" w:ascii="宋体" w:hAnsi="宋体" w:cs="宋体"/>
                <w:color w:val="auto"/>
                <w:sz w:val="22"/>
                <w:szCs w:val="22"/>
              </w:rPr>
              <w:t>适用面积：20㎡-50㎡</w:t>
            </w:r>
          </w:p>
        </w:tc>
        <w:tc>
          <w:tcPr>
            <w:tcW w:w="1450" w:type="dxa"/>
            <w:vAlign w:val="center"/>
          </w:tcPr>
          <w:p>
            <w:pPr>
              <w:jc w:val="center"/>
              <w:rPr>
                <w:rFonts w:ascii="宋体" w:hAnsi="宋体" w:cs="宋体"/>
                <w:bCs/>
                <w:color w:val="auto"/>
                <w:sz w:val="22"/>
                <w:szCs w:val="22"/>
              </w:rPr>
            </w:pPr>
            <w:r>
              <w:rPr>
                <w:rFonts w:hint="eastAsia" w:ascii="宋体" w:hAnsi="宋体" w:cs="宋体"/>
                <w:color w:val="auto"/>
                <w:sz w:val="22"/>
                <w:szCs w:val="22"/>
              </w:rPr>
              <w:t>≥8W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kern w:val="0"/>
                <w:sz w:val="22"/>
                <w:szCs w:val="22"/>
              </w:rPr>
            </w:pPr>
            <w:r>
              <w:rPr>
                <w:rFonts w:hint="eastAsia" w:ascii="宋体" w:hAnsi="宋体" w:cs="宋体"/>
                <w:bCs/>
                <w:color w:val="auto"/>
                <w:sz w:val="22"/>
                <w:szCs w:val="22"/>
              </w:rPr>
              <w:drawing>
                <wp:inline distT="0" distB="0" distL="114300" distR="114300">
                  <wp:extent cx="561340" cy="575945"/>
                  <wp:effectExtent l="0" t="0" r="10160" b="14605"/>
                  <wp:docPr id="71"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descr="1664418192476(1)"/>
                          <pic:cNvPicPr>
                            <a:picLocks noChangeAspect="1"/>
                          </pic:cNvPicPr>
                        </pic:nvPicPr>
                        <pic:blipFill>
                          <a:blip r:embed="rId23"/>
                          <a:stretch>
                            <a:fillRect/>
                          </a:stretch>
                        </pic:blipFill>
                        <pic:spPr>
                          <a:xfrm>
                            <a:off x="0" y="0"/>
                            <a:ext cx="561340" cy="5759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双星水池连台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2</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shd w:val="clear" w:color="auto" w:fill="auto"/>
            <w:vAlign w:val="center"/>
          </w:tcPr>
          <w:p>
            <w:pPr>
              <w:jc w:val="left"/>
              <w:rPr>
                <w:rFonts w:ascii="宋体" w:hAnsi="宋体" w:cs="宋体"/>
                <w:bCs/>
                <w:color w:val="auto"/>
                <w:sz w:val="22"/>
                <w:szCs w:val="22"/>
              </w:rPr>
            </w:pPr>
            <w:r>
              <w:rPr>
                <w:rFonts w:hint="eastAsia" w:ascii="宋体" w:hAnsi="宋体" w:cs="宋体"/>
                <w:bCs/>
                <w:color w:val="auto"/>
                <w:sz w:val="22"/>
                <w:szCs w:val="22"/>
              </w:rPr>
              <w:t>单孔残物台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pPr>
              <w:jc w:val="center"/>
              <w:rPr>
                <w:rFonts w:ascii="宋体" w:hAnsi="宋体" w:cs="宋体"/>
                <w:color w:val="auto"/>
                <w:sz w:val="22"/>
                <w:szCs w:val="22"/>
              </w:rPr>
            </w:pP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b/>
                <w:bCs/>
                <w:color w:val="auto"/>
                <w:sz w:val="32"/>
                <w:szCs w:val="32"/>
              </w:rPr>
              <w:t>二更</w:t>
            </w:r>
          </w:p>
        </w:tc>
        <w:tc>
          <w:tcPr>
            <w:tcW w:w="1450" w:type="dxa"/>
            <w:shd w:val="clear" w:color="auto" w:fill="auto"/>
            <w:vAlign w:val="center"/>
          </w:tcPr>
          <w:p>
            <w:pPr>
              <w:jc w:val="center"/>
              <w:rPr>
                <w:rFonts w:ascii="宋体" w:hAnsi="宋体" w:cs="宋体"/>
                <w:color w:val="auto"/>
                <w:sz w:val="22"/>
                <w:szCs w:val="22"/>
              </w:rPr>
            </w:pP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kern w:val="0"/>
                <w:sz w:val="22"/>
                <w:szCs w:val="22"/>
              </w:rPr>
              <w:t>洗手星</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2</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冷菜间</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1000*600*800（±30mm）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175" name="图片 175"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单星水池连台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shd w:val="clear" w:color="auto" w:fill="auto"/>
            <w:vAlign w:val="center"/>
          </w:tcPr>
          <w:p>
            <w:pPr>
              <w:jc w:val="left"/>
              <w:rPr>
                <w:rFonts w:ascii="宋体" w:hAnsi="宋体" w:cs="宋体"/>
                <w:bCs/>
                <w:color w:val="auto"/>
                <w:sz w:val="22"/>
                <w:szCs w:val="22"/>
              </w:rPr>
            </w:pPr>
            <w:r>
              <w:rPr>
                <w:rFonts w:hint="eastAsia" w:ascii="宋体" w:hAnsi="宋体" w:cs="宋体"/>
                <w:bCs/>
                <w:color w:val="auto"/>
                <w:sz w:val="22"/>
                <w:szCs w:val="22"/>
              </w:rPr>
              <w:t>平面冷柜</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单向调理柜</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2</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饼盘车</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辆</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2</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蒸煮间</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11" name="图片 72"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2"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残物台连水池</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883285" cy="688340"/>
                  <wp:effectExtent l="0" t="0" r="12065" b="16510"/>
                  <wp:docPr id="1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8"/>
                          <pic:cNvPicPr>
                            <a:picLocks noChangeAspect="1"/>
                          </pic:cNvPicPr>
                        </pic:nvPicPr>
                        <pic:blipFill>
                          <a:blip r:embed="rId24"/>
                          <a:stretch>
                            <a:fillRect/>
                          </a:stretch>
                        </pic:blipFill>
                        <pic:spPr>
                          <a:xfrm>
                            <a:off x="0" y="0"/>
                            <a:ext cx="883285" cy="688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20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台上双层架</w:t>
            </w:r>
          </w:p>
          <w:p>
            <w:pPr>
              <w:jc w:val="left"/>
              <w:rPr>
                <w:rFonts w:ascii="宋体" w:hAnsi="宋体" w:cs="宋体"/>
                <w:bCs/>
                <w:color w:val="auto"/>
                <w:sz w:val="22"/>
                <w:szCs w:val="22"/>
              </w:rPr>
            </w:pPr>
            <w:r>
              <w:rPr>
                <w:rFonts w:hint="eastAsia" w:ascii="宋体" w:hAnsi="宋体" w:cs="宋体"/>
                <w:bCs/>
                <w:color w:val="auto"/>
                <w:sz w:val="22"/>
                <w:szCs w:val="22"/>
              </w:rPr>
              <w:t>说明：用SUS304-2B不锈钢板制作，台面δ≥1.2mm，其余δ≥1.0mm。</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1900*350*600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只</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bCs/>
                <w:color w:val="auto"/>
                <w:sz w:val="22"/>
                <w:szCs w:val="22"/>
              </w:rPr>
              <w:drawing>
                <wp:inline distT="0" distB="0" distL="114300" distR="114300">
                  <wp:extent cx="614680" cy="322580"/>
                  <wp:effectExtent l="0" t="0" r="13970" b="1270"/>
                  <wp:docPr id="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pic:cNvPicPr>
                            <a:picLocks noChangeAspect="1"/>
                          </pic:cNvPicPr>
                        </pic:nvPicPr>
                        <pic:blipFill>
                          <a:blip r:embed="rId27"/>
                          <a:stretch>
                            <a:fillRect/>
                          </a:stretch>
                        </pic:blipFill>
                        <pic:spPr>
                          <a:xfrm>
                            <a:off x="0" y="0"/>
                            <a:ext cx="614680" cy="3225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单向调理柜</w:t>
            </w:r>
          </w:p>
          <w:p>
            <w:pPr>
              <w:jc w:val="left"/>
              <w:rPr>
                <w:rFonts w:ascii="宋体" w:hAnsi="宋体" w:cs="宋体"/>
                <w:color w:val="auto"/>
                <w:sz w:val="22"/>
                <w:szCs w:val="22"/>
              </w:rPr>
            </w:pPr>
            <w:r>
              <w:rPr>
                <w:rFonts w:hint="eastAsia" w:ascii="宋体" w:hAnsi="宋体" w:cs="宋体"/>
                <w:color w:val="auto"/>
                <w:sz w:val="22"/>
                <w:szCs w:val="22"/>
              </w:rPr>
              <w:t>说明：用SUS304-2B不锈钢板制作，面板厚度</w:t>
            </w:r>
            <w:r>
              <w:rPr>
                <w:rFonts w:hint="eastAsia" w:ascii="宋体" w:hAnsi="宋体" w:cs="宋体"/>
                <w:bCs/>
                <w:color w:val="auto"/>
                <w:sz w:val="22"/>
                <w:szCs w:val="22"/>
              </w:rPr>
              <w:t>≥</w:t>
            </w:r>
            <w:r>
              <w:rPr>
                <w:rFonts w:hint="eastAsia" w:ascii="宋体" w:hAnsi="宋体" w:cs="宋体"/>
                <w:color w:val="auto"/>
                <w:sz w:val="22"/>
                <w:szCs w:val="22"/>
              </w:rPr>
              <w:t>1.2mm，侧板厚度</w:t>
            </w:r>
            <w:r>
              <w:rPr>
                <w:rFonts w:hint="eastAsia" w:ascii="宋体" w:hAnsi="宋体" w:cs="宋体"/>
                <w:bCs/>
                <w:color w:val="auto"/>
                <w:sz w:val="22"/>
                <w:szCs w:val="22"/>
              </w:rPr>
              <w:t>≥</w:t>
            </w:r>
            <w:r>
              <w:rPr>
                <w:rFonts w:hint="eastAsia" w:ascii="宋体" w:hAnsi="宋体" w:cs="宋体"/>
                <w:color w:val="auto"/>
                <w:sz w:val="22"/>
                <w:szCs w:val="22"/>
              </w:rPr>
              <w:t>1.0mm，柜内中置一层304不锈钢隔板，配304不锈钢移门，配304不锈钢可调节子弹脚。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824865" cy="487045"/>
                  <wp:effectExtent l="0" t="0" r="13335" b="8255"/>
                  <wp:docPr id="22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0"/>
                          <pic:cNvPicPr>
                            <a:picLocks noChangeAspect="1"/>
                          </pic:cNvPicPr>
                        </pic:nvPicPr>
                        <pic:blipFill>
                          <a:blip r:embed="rId28"/>
                          <a:stretch>
                            <a:fillRect/>
                          </a:stretch>
                        </pic:blipFill>
                        <pic:spPr>
                          <a:xfrm>
                            <a:off x="0" y="0"/>
                            <a:ext cx="824865" cy="487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双门电热蒸饭箱</w:t>
            </w:r>
            <w:r>
              <w:rPr>
                <w:rFonts w:hint="eastAsia" w:ascii="宋体" w:hAnsi="宋体" w:cs="宋体"/>
                <w:b/>
                <w:bCs/>
                <w:color w:val="auto"/>
                <w:sz w:val="22"/>
                <w:szCs w:val="22"/>
              </w:rPr>
              <w:t>（需提供样品）</w:t>
            </w:r>
          </w:p>
          <w:p>
            <w:pPr>
              <w:jc w:val="left"/>
              <w:rPr>
                <w:rFonts w:ascii="宋体" w:hAnsi="宋体" w:cs="宋体"/>
                <w:color w:val="auto"/>
                <w:sz w:val="22"/>
                <w:szCs w:val="22"/>
              </w:rPr>
            </w:pPr>
            <w:r>
              <w:rPr>
                <w:rFonts w:hint="eastAsia" w:ascii="宋体" w:hAnsi="宋体" w:cs="宋体"/>
                <w:color w:val="auto"/>
                <w:sz w:val="22"/>
                <w:szCs w:val="22"/>
              </w:rPr>
              <w:t>说明：电热型</w:t>
            </w:r>
          </w:p>
          <w:p>
            <w:pPr>
              <w:jc w:val="left"/>
              <w:rPr>
                <w:rFonts w:ascii="宋体" w:hAnsi="宋体" w:cs="宋体"/>
                <w:color w:val="auto"/>
                <w:sz w:val="22"/>
                <w:szCs w:val="22"/>
              </w:rPr>
            </w:pPr>
            <w:r>
              <w:rPr>
                <w:rFonts w:hint="eastAsia" w:ascii="宋体" w:hAnsi="宋体" w:cs="宋体"/>
                <w:color w:val="auto"/>
                <w:sz w:val="22"/>
                <w:szCs w:val="22"/>
              </w:rPr>
              <w:t>功率：</w:t>
            </w:r>
            <w:r>
              <w:rPr>
                <w:rFonts w:hint="eastAsia" w:ascii="宋体" w:hAnsi="宋体" w:cs="宋体"/>
                <w:bCs/>
                <w:color w:val="auto"/>
                <w:sz w:val="22"/>
                <w:szCs w:val="22"/>
              </w:rPr>
              <w:t>≥</w:t>
            </w:r>
            <w:r>
              <w:rPr>
                <w:rFonts w:hint="eastAsia" w:ascii="宋体" w:hAnsi="宋体" w:cs="宋体"/>
                <w:color w:val="auto"/>
                <w:sz w:val="22"/>
                <w:szCs w:val="22"/>
              </w:rPr>
              <w:t>24kW</w:t>
            </w:r>
          </w:p>
          <w:p>
            <w:pPr>
              <w:jc w:val="left"/>
              <w:rPr>
                <w:rFonts w:ascii="宋体" w:hAnsi="宋体" w:cs="宋体"/>
                <w:color w:val="auto"/>
                <w:sz w:val="22"/>
                <w:szCs w:val="22"/>
              </w:rPr>
            </w:pPr>
            <w:r>
              <w:rPr>
                <w:rFonts w:hint="eastAsia" w:ascii="宋体" w:hAnsi="宋体" w:cs="宋体"/>
                <w:color w:val="auto"/>
                <w:sz w:val="22"/>
                <w:szCs w:val="22"/>
              </w:rPr>
              <w:t>电压：380V</w:t>
            </w:r>
          </w:p>
          <w:p>
            <w:pPr>
              <w:jc w:val="left"/>
              <w:rPr>
                <w:rFonts w:ascii="宋体" w:hAnsi="宋体" w:cs="宋体"/>
                <w:color w:val="auto"/>
                <w:sz w:val="22"/>
                <w:szCs w:val="22"/>
              </w:rPr>
            </w:pPr>
            <w:r>
              <w:rPr>
                <w:rFonts w:hint="eastAsia" w:ascii="宋体" w:hAnsi="宋体" w:cs="宋体"/>
                <w:color w:val="auto"/>
                <w:sz w:val="22"/>
                <w:szCs w:val="22"/>
              </w:rPr>
              <w:t>说明：用SUS304-2B不锈钢板制作，内外胆δ</w:t>
            </w:r>
            <w:r>
              <w:rPr>
                <w:rFonts w:hint="eastAsia" w:ascii="宋体" w:hAnsi="宋体" w:cs="宋体"/>
                <w:bCs/>
                <w:color w:val="auto"/>
                <w:sz w:val="22"/>
                <w:szCs w:val="22"/>
              </w:rPr>
              <w:t>≥</w:t>
            </w:r>
            <w:r>
              <w:rPr>
                <w:rFonts w:hint="eastAsia" w:ascii="宋体" w:hAnsi="宋体" w:cs="宋体"/>
                <w:color w:val="auto"/>
                <w:sz w:val="22"/>
                <w:szCs w:val="22"/>
              </w:rPr>
              <w:t>1.0mm，框架采用</w:t>
            </w:r>
            <w:r>
              <w:rPr>
                <w:rFonts w:hint="eastAsia" w:ascii="宋体" w:hAnsi="宋体" w:cs="宋体"/>
                <w:bCs/>
                <w:color w:val="auto"/>
                <w:sz w:val="22"/>
                <w:szCs w:val="22"/>
              </w:rPr>
              <w:t>≥</w:t>
            </w:r>
            <w:r>
              <w:rPr>
                <w:rFonts w:hint="eastAsia" w:ascii="宋体" w:hAnsi="宋体" w:cs="宋体"/>
                <w:color w:val="auto"/>
                <w:sz w:val="22"/>
                <w:szCs w:val="22"/>
              </w:rPr>
              <w:t>40*40mm角铁制作,配螺旋式门把手。配24只304不锈钢方盘，尺寸</w:t>
            </w:r>
            <w:r>
              <w:rPr>
                <w:rFonts w:hint="eastAsia" w:ascii="宋体" w:hAnsi="宋体" w:cs="宋体"/>
                <w:bCs/>
                <w:color w:val="auto"/>
                <w:sz w:val="22"/>
                <w:szCs w:val="22"/>
              </w:rPr>
              <w:t>≥</w:t>
            </w:r>
            <w:r>
              <w:rPr>
                <w:rFonts w:hint="eastAsia" w:ascii="宋体" w:hAnsi="宋体" w:cs="宋体"/>
                <w:color w:val="auto"/>
                <w:sz w:val="22"/>
                <w:szCs w:val="22"/>
              </w:rPr>
              <w:t>420*620*52mm。</w:t>
            </w:r>
          </w:p>
          <w:p>
            <w:pPr>
              <w:jc w:val="left"/>
              <w:rPr>
                <w:rFonts w:ascii="宋体" w:hAnsi="宋体" w:cs="宋体"/>
                <w:color w:val="auto"/>
                <w:sz w:val="22"/>
                <w:szCs w:val="22"/>
              </w:rPr>
            </w:pPr>
            <w:r>
              <w:rPr>
                <w:rFonts w:hint="eastAsia" w:ascii="宋体" w:hAnsi="宋体" w:cs="宋体"/>
                <w:b/>
                <w:bCs/>
                <w:color w:val="auto"/>
                <w:sz w:val="22"/>
                <w:szCs w:val="22"/>
              </w:rPr>
              <w:t>1.提供所投产品符合GB 4706.1-2005、GB 4706.34-2008要求的检测报告复印件加盖投标人公章。</w:t>
            </w:r>
            <w:r>
              <w:rPr>
                <w:rFonts w:hint="eastAsia" w:ascii="宋体" w:hAnsi="宋体" w:cs="宋体"/>
                <w:b/>
                <w:bCs/>
                <w:color w:val="auto"/>
                <w:sz w:val="22"/>
                <w:szCs w:val="22"/>
              </w:rPr>
              <w:br w:type="textWrapping"/>
            </w:r>
            <w:r>
              <w:rPr>
                <w:rFonts w:hint="eastAsia" w:ascii="宋体" w:hAnsi="宋体" w:cs="宋体"/>
                <w:b/>
                <w:bCs/>
                <w:color w:val="auto"/>
                <w:sz w:val="22"/>
                <w:szCs w:val="22"/>
              </w:rPr>
              <w:t>2.符合食品接触产品安全认证及卫生认证要求，并提供相关证明材料</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w:t>
            </w:r>
            <w:r>
              <w:rPr>
                <w:rFonts w:hint="eastAsia" w:ascii="宋体" w:hAnsi="宋体" w:cs="宋体"/>
                <w:b/>
                <w:bCs/>
                <w:color w:val="auto"/>
                <w:sz w:val="22"/>
                <w:szCs w:val="22"/>
              </w:rPr>
              <w:br w:type="textWrapping"/>
            </w:r>
            <w:r>
              <w:rPr>
                <w:rFonts w:hint="eastAsia" w:ascii="宋体" w:hAnsi="宋体" w:cs="宋体"/>
                <w:b/>
                <w:bCs/>
                <w:color w:val="auto"/>
                <w:sz w:val="22"/>
                <w:szCs w:val="22"/>
              </w:rPr>
              <w:t>3.提供水位传感器、温控器符合GB 4806.9-2016《食品安全国家标准 食品接触用金属材料及制品》检测依据的检测报告复印件加盖投标人公章。（附全国认证认可信息公共服务平台含网站网址的查询截图）。</w:t>
            </w:r>
            <w:r>
              <w:rPr>
                <w:rFonts w:hint="eastAsia" w:ascii="宋体" w:hAnsi="宋体" w:cs="宋体"/>
                <w:b/>
                <w:bCs/>
                <w:color w:val="auto"/>
                <w:sz w:val="22"/>
                <w:szCs w:val="22"/>
              </w:rPr>
              <w:br w:type="textWrapping"/>
            </w:r>
            <w:r>
              <w:rPr>
                <w:rFonts w:hint="eastAsia" w:ascii="宋体" w:hAnsi="宋体" w:cs="宋体"/>
                <w:b/>
                <w:bCs/>
                <w:color w:val="auto"/>
                <w:sz w:val="22"/>
                <w:szCs w:val="22"/>
              </w:rPr>
              <w:t>4.提供硅橡胶密封条符合GB 4806.11-2016《食品安全国家标准食品接触用橡胶材料及制品》检测依据的检测报告复印件加盖投标人公章。（附全国认证认可信息公共服务平台含网站网址的查询截图）。</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1280*780*1600（±30mm）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CB%AB%C3%C5%D5%F4%B7%B9%CF%E4&amp;in=13244&amp;cl=2&amp;lm=-1&amp;pn=4&amp;rn=1&amp;di=43807812630&amp;ln=2000&amp;fr=&amp;fmq=&amp;ic=0&amp;s=0&amp;se=1&amp;sme=0&amp;tab=&amp;width=&amp;height=&amp;face=0&amp;is=&amp;istype=2"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"http://t2.baidu.com/it/u=1617865519,2515976916&amp;fm=0&amp;gp=0.jpg"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563880" cy="581025"/>
                  <wp:effectExtent l="0" t="0" r="7620" b="9525"/>
                  <wp:docPr id="228" name="图片 125" descr="u=1617865519,2515976916&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25" descr="u=1617865519,2515976916&amp;fm=0&amp;gp=0"/>
                          <pic:cNvPicPr>
                            <a:picLocks noChangeAspect="1"/>
                          </pic:cNvPicPr>
                        </pic:nvPicPr>
                        <pic:blipFill>
                          <a:blip r:embed="rId29"/>
                          <a:stretch>
                            <a:fillRect/>
                          </a:stretch>
                        </pic:blipFill>
                        <pic:spPr>
                          <a:xfrm>
                            <a:off x="0" y="0"/>
                            <a:ext cx="563880" cy="581025"/>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燃气蒸箱</w:t>
            </w:r>
          </w:p>
          <w:p>
            <w:pPr>
              <w:jc w:val="left"/>
              <w:rPr>
                <w:rFonts w:ascii="宋体" w:hAnsi="宋体" w:cs="宋体"/>
                <w:color w:val="auto"/>
                <w:sz w:val="22"/>
                <w:szCs w:val="22"/>
              </w:rPr>
            </w:pPr>
            <w:r>
              <w:rPr>
                <w:rFonts w:hint="eastAsia" w:ascii="宋体" w:hAnsi="宋体" w:cs="宋体"/>
                <w:color w:val="auto"/>
                <w:sz w:val="22"/>
                <w:szCs w:val="22"/>
              </w:rPr>
              <w:t>说明：1.用SUS304-2B不锈钢板制造，面板、外旁板、门及后立板δ</w:t>
            </w:r>
            <w:r>
              <w:rPr>
                <w:rFonts w:hint="eastAsia" w:ascii="宋体" w:hAnsi="宋体" w:cs="宋体"/>
                <w:bCs/>
                <w:color w:val="auto"/>
                <w:sz w:val="22"/>
                <w:szCs w:val="22"/>
              </w:rPr>
              <w:t>≥</w:t>
            </w:r>
            <w:r>
              <w:rPr>
                <w:rFonts w:hint="eastAsia" w:ascii="宋体" w:hAnsi="宋体" w:cs="宋体"/>
                <w:color w:val="auto"/>
                <w:sz w:val="22"/>
                <w:szCs w:val="22"/>
              </w:rPr>
              <w:t>1.0mm；</w:t>
            </w:r>
          </w:p>
          <w:p>
            <w:pPr>
              <w:widowControl/>
              <w:jc w:val="left"/>
              <w:textAlignment w:val="center"/>
              <w:rPr>
                <w:rFonts w:ascii="宋体" w:hAnsi="宋体" w:cs="宋体"/>
                <w:color w:val="auto"/>
                <w:kern w:val="0"/>
                <w:sz w:val="22"/>
                <w:szCs w:val="22"/>
              </w:rPr>
            </w:pPr>
            <w:r>
              <w:rPr>
                <w:rFonts w:hint="eastAsia" w:ascii="宋体" w:hAnsi="宋体" w:cs="宋体"/>
                <w:color w:val="auto"/>
                <w:sz w:val="22"/>
                <w:szCs w:val="22"/>
              </w:rPr>
              <w:t>2.</w:t>
            </w:r>
            <w:r>
              <w:rPr>
                <w:rFonts w:hint="eastAsia" w:ascii="宋体" w:hAnsi="宋体" w:cs="宋体"/>
                <w:color w:val="auto"/>
                <w:kern w:val="0"/>
                <w:sz w:val="22"/>
                <w:szCs w:val="22"/>
              </w:rPr>
              <w:t>燃气压力：2000Pa</w:t>
            </w:r>
            <w:r>
              <w:rPr>
                <w:rFonts w:hint="eastAsia" w:ascii="宋体" w:hAnsi="宋体" w:cs="宋体"/>
                <w:color w:val="auto"/>
                <w:kern w:val="0"/>
                <w:sz w:val="22"/>
                <w:szCs w:val="22"/>
              </w:rPr>
              <w:br w:type="textWrapping"/>
            </w:r>
            <w:r>
              <w:rPr>
                <w:rFonts w:hint="eastAsia" w:ascii="宋体" w:hAnsi="宋体" w:cs="宋体"/>
                <w:color w:val="auto"/>
                <w:kern w:val="0"/>
                <w:sz w:val="22"/>
                <w:szCs w:val="22"/>
              </w:rPr>
              <w:t>3.燃气种类：天燃气（12T）</w:t>
            </w:r>
          </w:p>
          <w:p>
            <w:pPr>
              <w:jc w:val="left"/>
              <w:rPr>
                <w:rFonts w:ascii="宋体" w:hAnsi="宋体" w:cs="宋体"/>
                <w:color w:val="auto"/>
                <w:sz w:val="22"/>
                <w:szCs w:val="22"/>
              </w:rPr>
            </w:pPr>
            <w:r>
              <w:rPr>
                <w:rFonts w:hint="eastAsia" w:ascii="宋体" w:hAnsi="宋体" w:cs="宋体"/>
                <w:b/>
                <w:bCs/>
                <w:color w:val="auto"/>
                <w:kern w:val="0"/>
                <w:sz w:val="22"/>
                <w:szCs w:val="22"/>
              </w:rPr>
              <w:t>4.提供符合HJ311-2017《环境标志产品技术要求 燃气灶具》认证标准的《中国环境标志产品认证证书》复印件加盖投标人公章。（附全国认证认可信息公共服务平台含网站网址的查询截图）</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900*900*1800（±30mm）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674370" cy="809625"/>
                  <wp:effectExtent l="0" t="0" r="11430" b="9525"/>
                  <wp:docPr id="2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7"/>
                          <pic:cNvPicPr>
                            <a:picLocks noChangeAspect="1"/>
                          </pic:cNvPicPr>
                        </pic:nvPicPr>
                        <pic:blipFill>
                          <a:blip r:embed="rId30"/>
                          <a:stretch>
                            <a:fillRect/>
                          </a:stretch>
                        </pic:blipFill>
                        <pic:spPr>
                          <a:xfrm>
                            <a:off x="0" y="0"/>
                            <a:ext cx="674370" cy="809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六眼煲仔炉</w:t>
            </w:r>
          </w:p>
          <w:p>
            <w:pPr>
              <w:jc w:val="left"/>
              <w:rPr>
                <w:rFonts w:ascii="宋体" w:hAnsi="宋体" w:cs="宋体"/>
                <w:color w:val="auto"/>
                <w:sz w:val="22"/>
                <w:szCs w:val="22"/>
              </w:rPr>
            </w:pPr>
            <w:r>
              <w:rPr>
                <w:rFonts w:hint="eastAsia" w:ascii="宋体" w:hAnsi="宋体" w:cs="宋体"/>
                <w:bCs/>
                <w:color w:val="auto"/>
                <w:sz w:val="22"/>
                <w:szCs w:val="22"/>
              </w:rPr>
              <w:t>说明：采用采用SUS304-2B不锈钢板制作，台面</w:t>
            </w:r>
            <w:r>
              <w:rPr>
                <w:rFonts w:hint="eastAsia" w:ascii="宋体" w:hAnsi="宋体" w:cs="宋体"/>
                <w:color w:val="auto"/>
                <w:sz w:val="22"/>
                <w:szCs w:val="22"/>
              </w:rPr>
              <w:t>δ</w:t>
            </w:r>
            <w:r>
              <w:rPr>
                <w:rFonts w:hint="eastAsia" w:ascii="宋体" w:hAnsi="宋体" w:cs="宋体"/>
                <w:bCs/>
                <w:color w:val="auto"/>
                <w:sz w:val="22"/>
                <w:szCs w:val="22"/>
              </w:rPr>
              <w:t>≥1.2mm。配节能炉头，带长明火装置，配熄火保护装置，配304不锈钢可调脚。每个炉头配有独立调节阀。</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1100*800*800（±30mm）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34695" cy="601345"/>
                  <wp:effectExtent l="0" t="0" r="8255" b="8255"/>
                  <wp:docPr id="12"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70"/>
                          <pic:cNvPicPr>
                            <a:picLocks noChangeAspect="1"/>
                          </pic:cNvPicPr>
                        </pic:nvPicPr>
                        <pic:blipFill>
                          <a:blip r:embed="rId31"/>
                          <a:stretch>
                            <a:fillRect/>
                          </a:stretch>
                        </pic:blipFill>
                        <pic:spPr>
                          <a:xfrm>
                            <a:off x="0" y="0"/>
                            <a:ext cx="734695" cy="601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9</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灭火装置</w:t>
            </w:r>
          </w:p>
          <w:p>
            <w:pPr>
              <w:jc w:val="left"/>
              <w:rPr>
                <w:rFonts w:ascii="宋体" w:hAnsi="宋体" w:cs="宋体"/>
                <w:color w:val="auto"/>
                <w:sz w:val="22"/>
                <w:szCs w:val="22"/>
              </w:rPr>
            </w:pPr>
            <w:r>
              <w:rPr>
                <w:rFonts w:hint="eastAsia" w:ascii="宋体" w:hAnsi="宋体" w:cs="宋体"/>
                <w:color w:val="auto"/>
                <w:sz w:val="22"/>
                <w:szCs w:val="22"/>
              </w:rPr>
              <w:t>1.结构类型：悬挂式，动作温度（℃）：180±3；</w:t>
            </w:r>
          </w:p>
          <w:p>
            <w:pPr>
              <w:jc w:val="left"/>
              <w:rPr>
                <w:rFonts w:ascii="宋体" w:hAnsi="宋体" w:cs="宋体"/>
                <w:color w:val="auto"/>
                <w:sz w:val="22"/>
                <w:szCs w:val="22"/>
              </w:rPr>
            </w:pPr>
            <w:r>
              <w:rPr>
                <w:rFonts w:hint="eastAsia" w:ascii="宋体" w:hAnsi="宋体" w:cs="宋体"/>
                <w:color w:val="auto"/>
                <w:sz w:val="22"/>
                <w:szCs w:val="22"/>
              </w:rPr>
              <w:t>2.主要配件：驱动瓶、药剂罐、水流控制阀、感温装置、控制箱、食用油专用灭火药剂及释放机构等，材料全部采用不锈钢、铜及少量合金铝，并经过防腐处理；</w:t>
            </w:r>
          </w:p>
          <w:p>
            <w:pPr>
              <w:jc w:val="left"/>
              <w:rPr>
                <w:rFonts w:ascii="宋体" w:hAnsi="宋体" w:cs="宋体"/>
                <w:color w:val="auto"/>
                <w:sz w:val="22"/>
                <w:szCs w:val="22"/>
              </w:rPr>
            </w:pPr>
            <w:r>
              <w:rPr>
                <w:rFonts w:hint="eastAsia" w:ascii="宋体" w:hAnsi="宋体" w:cs="宋体"/>
                <w:color w:val="auto"/>
                <w:sz w:val="22"/>
                <w:szCs w:val="22"/>
              </w:rPr>
              <w:t>3.工作原理：采用机械、电控相结合传动，全天候24小时监控，可连接消防报警系统，火情发生后，灭火装置自动启动扑灭火焰，在灭火时声光报警、打开水流阀同时进行设有机械应急启动装置，当手动、自动启动不成功时使用；</w:t>
            </w:r>
          </w:p>
          <w:p>
            <w:pPr>
              <w:jc w:val="left"/>
              <w:rPr>
                <w:rFonts w:ascii="宋体" w:hAnsi="宋体" w:cs="宋体"/>
                <w:color w:val="auto"/>
                <w:sz w:val="22"/>
                <w:szCs w:val="22"/>
              </w:rPr>
            </w:pPr>
            <w:r>
              <w:rPr>
                <w:rFonts w:hint="eastAsia" w:ascii="宋体" w:hAnsi="宋体" w:cs="宋体"/>
                <w:color w:val="auto"/>
                <w:sz w:val="22"/>
                <w:szCs w:val="22"/>
              </w:rPr>
              <w:t>4.灭火剂名称：食用油专用灭火药剂，重量：≥14.5*2Kg，灭火时间：≤1.8S，喷射时间：≥26S，喷射延迟时间：≤3S；该药剂无毒、无污染、易清洗。</w:t>
            </w:r>
          </w:p>
          <w:p>
            <w:pPr>
              <w:jc w:val="left"/>
              <w:rPr>
                <w:rFonts w:ascii="宋体" w:hAnsi="宋体" w:cs="宋体"/>
                <w:color w:val="auto"/>
                <w:sz w:val="22"/>
                <w:szCs w:val="22"/>
              </w:rPr>
            </w:pPr>
            <w:r>
              <w:rPr>
                <w:rFonts w:hint="eastAsia" w:ascii="宋体" w:hAnsi="宋体" w:cs="宋体"/>
                <w:color w:val="auto"/>
                <w:sz w:val="22"/>
                <w:szCs w:val="22"/>
              </w:rPr>
              <w:t>5.具有自动启动、手动启动、机械启动功能，且不会复燃，能提供消防中控信号及燃气切断功能信号。</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双瓶</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组</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86410" cy="321310"/>
                  <wp:effectExtent l="0" t="0" r="8890" b="2540"/>
                  <wp:docPr id="250" name="图片 48" descr="C:\Users\apple\AppData\Roaming\Tencent\Users\719736388\QQ\WinTemp\RichOle\N4RFKSFOV5E0S6{(HF@O2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8" descr="C:\Users\apple\AppData\Roaming\Tencent\Users\719736388\QQ\WinTemp\RichOle\N4RFKSFOV5E0S6{(HF@O2TN.png"/>
                          <pic:cNvPicPr>
                            <a:picLocks noChangeAspect="1"/>
                          </pic:cNvPicPr>
                        </pic:nvPicPr>
                        <pic:blipFill>
                          <a:blip r:embed="rId32"/>
                          <a:stretch>
                            <a:fillRect/>
                          </a:stretch>
                        </pic:blipFill>
                        <pic:spPr>
                          <a:xfrm>
                            <a:off x="0" y="0"/>
                            <a:ext cx="486410" cy="321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10</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不锈钢油烟网罩</w:t>
            </w:r>
          </w:p>
          <w:p>
            <w:pPr>
              <w:jc w:val="left"/>
              <w:rPr>
                <w:rFonts w:ascii="宋体" w:hAnsi="宋体" w:cs="宋体"/>
                <w:color w:val="auto"/>
                <w:sz w:val="22"/>
                <w:szCs w:val="22"/>
              </w:rPr>
            </w:pPr>
            <w:r>
              <w:rPr>
                <w:rFonts w:hint="eastAsia" w:ascii="宋体" w:hAnsi="宋体" w:cs="宋体"/>
                <w:color w:val="auto"/>
                <w:sz w:val="22"/>
                <w:szCs w:val="22"/>
              </w:rPr>
              <w:t>说明：用SUS304-2B不锈钢板制作，δ≥1.2mm。配不锈钢隔油网、防爆灯及积油杯。</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8900*1400*500（±30mm）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12.46</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91490" cy="389890"/>
                  <wp:effectExtent l="0" t="0" r="3810" b="10160"/>
                  <wp:docPr id="278" name="图片 50" descr="吸排油烟罩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50" descr="吸排油烟罩 拷贝"/>
                          <pic:cNvPicPr>
                            <a:picLocks noChangeAspect="1"/>
                          </pic:cNvPicPr>
                        </pic:nvPicPr>
                        <pic:blipFill>
                          <a:blip r:embed="rId33"/>
                          <a:stretch>
                            <a:fillRect/>
                          </a:stretch>
                        </pic:blipFill>
                        <pic:spPr>
                          <a:xfrm>
                            <a:off x="0" y="0"/>
                            <a:ext cx="491490" cy="3898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11</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单向调理柜</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烹饪间</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中餐燃气炒菜灶</w:t>
            </w:r>
          </w:p>
          <w:p>
            <w:pPr>
              <w:widowControl/>
              <w:jc w:val="left"/>
              <w:textAlignment w:val="center"/>
              <w:rPr>
                <w:rFonts w:ascii="宋体" w:hAnsi="宋体" w:cs="宋体"/>
                <w:bCs/>
                <w:color w:val="auto"/>
                <w:sz w:val="22"/>
                <w:szCs w:val="22"/>
              </w:rPr>
            </w:pPr>
            <w:r>
              <w:rPr>
                <w:rFonts w:hint="eastAsia" w:ascii="宋体" w:hAnsi="宋体" w:cs="宋体"/>
                <w:bCs/>
                <w:color w:val="auto"/>
                <w:sz w:val="22"/>
                <w:szCs w:val="22"/>
              </w:rPr>
              <w:t>说明：选用SUS304-2B优质不锈钢板制作，台面δ</w:t>
            </w:r>
            <w:r>
              <w:rPr>
                <w:rFonts w:hint="eastAsia" w:ascii="宋体" w:hAnsi="宋体" w:cs="宋体"/>
                <w:color w:val="auto"/>
                <w:sz w:val="22"/>
                <w:szCs w:val="22"/>
              </w:rPr>
              <w:t>≥</w:t>
            </w:r>
            <w:r>
              <w:rPr>
                <w:rFonts w:hint="eastAsia" w:ascii="宋体" w:hAnsi="宋体" w:cs="宋体"/>
                <w:bCs/>
                <w:color w:val="auto"/>
                <w:sz w:val="22"/>
                <w:szCs w:val="22"/>
              </w:rPr>
              <w:t>1.2mm，配备电子打火和熄火保护，风气联动；前面板处设置调节阀，方便整个厨房的火力转化；内置稳压阀，方便厨师清晰掌握每道菜的工作时间；挤压型材，洁净度高，防酸防碱，配助燃鼓风机、燃烧机。</w:t>
            </w:r>
          </w:p>
          <w:p>
            <w:pPr>
              <w:widowControl/>
              <w:jc w:val="left"/>
              <w:textAlignment w:val="center"/>
              <w:rPr>
                <w:rFonts w:ascii="宋体" w:hAnsi="宋体" w:cs="宋体"/>
                <w:color w:val="auto"/>
                <w:kern w:val="0"/>
                <w:sz w:val="22"/>
                <w:szCs w:val="22"/>
              </w:rPr>
            </w:pP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36W*2</w:t>
            </w:r>
          </w:p>
          <w:p>
            <w:pPr>
              <w:jc w:val="left"/>
              <w:rPr>
                <w:rFonts w:ascii="宋体" w:hAnsi="宋体" w:cs="宋体"/>
                <w:bCs/>
                <w:color w:val="auto"/>
                <w:sz w:val="22"/>
                <w:szCs w:val="22"/>
              </w:rPr>
            </w:pPr>
            <w:r>
              <w:rPr>
                <w:rFonts w:hint="eastAsia" w:ascii="宋体" w:hAnsi="宋体" w:cs="宋体"/>
                <w:color w:val="auto"/>
                <w:kern w:val="0"/>
                <w:sz w:val="22"/>
                <w:szCs w:val="22"/>
              </w:rPr>
              <w:t>提供符合HJ311-2017《环境标志产品技术要求 燃气灶具》认证标准的《中国环境标志产品认证证书》复印件加盖投标人公章。（附全国认证认可信息公共服务平台含网站网址的查询截图）</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2000*1200*800+400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2</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768985" cy="643255"/>
                  <wp:effectExtent l="0" t="0" r="12065" b="4445"/>
                  <wp:docPr id="2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6"/>
                          <pic:cNvPicPr>
                            <a:picLocks noChangeAspect="1"/>
                          </pic:cNvPicPr>
                        </pic:nvPicPr>
                        <pic:blipFill>
                          <a:blip r:embed="rId34"/>
                          <a:stretch>
                            <a:fillRect/>
                          </a:stretch>
                        </pic:blipFill>
                        <pic:spPr>
                          <a:xfrm>
                            <a:off x="0" y="0"/>
                            <a:ext cx="768985" cy="6432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调料平台</w:t>
            </w:r>
          </w:p>
          <w:p>
            <w:pPr>
              <w:jc w:val="left"/>
              <w:rPr>
                <w:rFonts w:ascii="宋体" w:hAnsi="宋体" w:cs="宋体"/>
                <w:bCs/>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500*1200*800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只</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3</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600075" cy="582930"/>
                  <wp:effectExtent l="0" t="0" r="9525" b="7620"/>
                  <wp:docPr id="2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
                          <pic:cNvPicPr>
                            <a:picLocks noChangeAspect="1"/>
                          </pic:cNvPicPr>
                        </pic:nvPicPr>
                        <pic:blipFill>
                          <a:blip r:embed="rId35"/>
                          <a:stretch>
                            <a:fillRect/>
                          </a:stretch>
                        </pic:blipFill>
                        <pic:spPr>
                          <a:xfrm>
                            <a:off x="0" y="0"/>
                            <a:ext cx="600075" cy="5829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炊用燃气大锅灶</w:t>
            </w:r>
          </w:p>
          <w:p>
            <w:pPr>
              <w:widowControl/>
              <w:jc w:val="left"/>
              <w:textAlignment w:val="center"/>
              <w:rPr>
                <w:rFonts w:ascii="宋体" w:hAnsi="宋体" w:cs="宋体"/>
                <w:bCs/>
                <w:color w:val="auto"/>
                <w:sz w:val="22"/>
                <w:szCs w:val="22"/>
              </w:rPr>
            </w:pPr>
            <w:r>
              <w:rPr>
                <w:rFonts w:hint="eastAsia" w:ascii="宋体" w:hAnsi="宋体" w:cs="宋体"/>
                <w:bCs/>
                <w:color w:val="auto"/>
                <w:sz w:val="22"/>
                <w:szCs w:val="22"/>
              </w:rPr>
              <w:t>说明：选用SUS304-2B优质不锈钢板制作，台面δ</w:t>
            </w:r>
            <w:r>
              <w:rPr>
                <w:rFonts w:hint="eastAsia" w:ascii="宋体" w:hAnsi="宋体" w:cs="宋体"/>
                <w:color w:val="auto"/>
                <w:sz w:val="22"/>
                <w:szCs w:val="22"/>
              </w:rPr>
              <w:t>≥</w:t>
            </w:r>
            <w:r>
              <w:rPr>
                <w:rFonts w:hint="eastAsia" w:ascii="宋体" w:hAnsi="宋体" w:cs="宋体"/>
                <w:bCs/>
                <w:color w:val="auto"/>
                <w:sz w:val="22"/>
                <w:szCs w:val="22"/>
              </w:rPr>
              <w:t>1.2mm，配备电子打火和熄火保护，风气联动；前面板处设置调节阀，方便整个厨房的火力转化；内置稳压阀，方便厨师清晰掌握每道菜的工作时间；挤压型材，洁净度高，防酸防碱，配助燃鼓风机、燃烧机。</w:t>
            </w:r>
          </w:p>
          <w:p>
            <w:pPr>
              <w:widowControl/>
              <w:jc w:val="left"/>
              <w:textAlignment w:val="center"/>
              <w:rPr>
                <w:rFonts w:ascii="宋体" w:hAnsi="宋体" w:cs="宋体"/>
                <w:color w:val="auto"/>
                <w:kern w:val="0"/>
                <w:sz w:val="22"/>
                <w:szCs w:val="22"/>
              </w:rPr>
            </w:pP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36W*2</w:t>
            </w:r>
          </w:p>
          <w:p>
            <w:pPr>
              <w:jc w:val="left"/>
              <w:rPr>
                <w:rFonts w:ascii="宋体" w:hAnsi="宋体" w:cs="宋体"/>
                <w:bCs/>
                <w:color w:val="auto"/>
                <w:sz w:val="22"/>
                <w:szCs w:val="22"/>
              </w:rPr>
            </w:pPr>
            <w:r>
              <w:rPr>
                <w:rFonts w:hint="eastAsia" w:ascii="宋体" w:hAnsi="宋体" w:cs="宋体"/>
                <w:b/>
                <w:bCs/>
                <w:color w:val="auto"/>
                <w:kern w:val="0"/>
                <w:sz w:val="22"/>
                <w:szCs w:val="22"/>
              </w:rPr>
              <w:t>提供符合HJ311-2017《环境标志产品技术要求 燃气灶具》认证标准的《中国环境标志产品认证证书》复印件加盖投标人公章。（附全国认证认可信息公共服务平台含网站网址的查询截图）</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2000*1200*800+400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768985" cy="542290"/>
                  <wp:effectExtent l="0" t="0" r="12065" b="10160"/>
                  <wp:docPr id="2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
                          <pic:cNvPicPr>
                            <a:picLocks noChangeAspect="1"/>
                          </pic:cNvPicPr>
                        </pic:nvPicPr>
                        <pic:blipFill>
                          <a:blip r:embed="rId36"/>
                          <a:stretch>
                            <a:fillRect/>
                          </a:stretch>
                        </pic:blipFill>
                        <pic:spPr>
                          <a:xfrm>
                            <a:off x="0" y="0"/>
                            <a:ext cx="768985" cy="542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调料平台</w:t>
            </w:r>
          </w:p>
          <w:p>
            <w:pPr>
              <w:jc w:val="left"/>
              <w:rPr>
                <w:rFonts w:ascii="宋体" w:hAnsi="宋体" w:cs="宋体"/>
                <w:bCs/>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500*840*800+400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只</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600075" cy="582930"/>
                  <wp:effectExtent l="0" t="0" r="9525" b="7620"/>
                  <wp:docPr id="2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
                          <pic:cNvPicPr>
                            <a:picLocks noChangeAspect="1"/>
                          </pic:cNvPicPr>
                        </pic:nvPicPr>
                        <pic:blipFill>
                          <a:blip r:embed="rId35"/>
                          <a:stretch>
                            <a:fillRect/>
                          </a:stretch>
                        </pic:blipFill>
                        <pic:spPr>
                          <a:xfrm>
                            <a:off x="0" y="0"/>
                            <a:ext cx="600075" cy="5829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不锈钢油烟网罩</w:t>
            </w:r>
          </w:p>
          <w:p>
            <w:pPr>
              <w:jc w:val="left"/>
              <w:rPr>
                <w:rFonts w:ascii="宋体" w:hAnsi="宋体" w:cs="宋体"/>
                <w:color w:val="auto"/>
                <w:sz w:val="22"/>
                <w:szCs w:val="22"/>
              </w:rPr>
            </w:pPr>
            <w:r>
              <w:rPr>
                <w:rFonts w:hint="eastAsia" w:ascii="宋体" w:hAnsi="宋体" w:cs="宋体"/>
                <w:color w:val="auto"/>
                <w:sz w:val="22"/>
                <w:szCs w:val="22"/>
              </w:rPr>
              <w:t>说明：用SUS304-2B不锈钢板制作，δ≥1.2mm。配不锈钢隔油网、防爆灯及积油杯。</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8900*1400*500（±30mm）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12.46</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91490" cy="389890"/>
                  <wp:effectExtent l="0" t="0" r="3810" b="10160"/>
                  <wp:docPr id="267" name="图片 50" descr="吸排油烟罩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50" descr="吸排油烟罩 拷贝"/>
                          <pic:cNvPicPr>
                            <a:picLocks noChangeAspect="1"/>
                          </pic:cNvPicPr>
                        </pic:nvPicPr>
                        <pic:blipFill>
                          <a:blip r:embed="rId33"/>
                          <a:stretch>
                            <a:fillRect/>
                          </a:stretch>
                        </pic:blipFill>
                        <pic:spPr>
                          <a:xfrm>
                            <a:off x="0" y="0"/>
                            <a:ext cx="491490" cy="3898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热风单向调理柜</w:t>
            </w:r>
          </w:p>
          <w:p>
            <w:pPr>
              <w:jc w:val="left"/>
              <w:rPr>
                <w:rFonts w:ascii="宋体" w:hAnsi="宋体" w:cs="宋体"/>
                <w:bCs/>
                <w:color w:val="auto"/>
                <w:sz w:val="22"/>
                <w:szCs w:val="22"/>
              </w:rPr>
            </w:pPr>
            <w:r>
              <w:rPr>
                <w:rFonts w:hint="eastAsia" w:ascii="宋体" w:hAnsi="宋体" w:cs="宋体"/>
                <w:bCs/>
                <w:color w:val="auto"/>
                <w:sz w:val="22"/>
                <w:szCs w:val="22"/>
              </w:rPr>
              <w:t>说明：用 SUS304-2B不锈钢板制作，面板厚度</w:t>
            </w:r>
            <w:r>
              <w:rPr>
                <w:rFonts w:hint="eastAsia" w:ascii="宋体" w:hAnsi="宋体" w:cs="宋体"/>
                <w:color w:val="auto"/>
                <w:sz w:val="22"/>
                <w:szCs w:val="22"/>
              </w:rPr>
              <w:t>≥</w:t>
            </w:r>
            <w:r>
              <w:rPr>
                <w:rFonts w:hint="eastAsia" w:ascii="宋体" w:hAnsi="宋体" w:cs="宋体"/>
                <w:bCs/>
                <w:color w:val="auto"/>
                <w:sz w:val="22"/>
                <w:szCs w:val="22"/>
              </w:rPr>
              <w:t>1.2mm，侧板厚度</w:t>
            </w:r>
            <w:r>
              <w:rPr>
                <w:rFonts w:hint="eastAsia" w:ascii="宋体" w:hAnsi="宋体" w:cs="宋体"/>
                <w:color w:val="auto"/>
                <w:sz w:val="22"/>
                <w:szCs w:val="22"/>
              </w:rPr>
              <w:t>≥</w:t>
            </w:r>
            <w:r>
              <w:rPr>
                <w:rFonts w:hint="eastAsia" w:ascii="宋体" w:hAnsi="宋体" w:cs="宋体"/>
                <w:bCs/>
                <w:color w:val="auto"/>
                <w:sz w:val="22"/>
                <w:szCs w:val="22"/>
              </w:rPr>
              <w:t>1.0mm，柜内中置一层304不锈钢隔板，配304不锈钢移门，配304不锈钢可调节子弹脚。</w:t>
            </w:r>
          </w:p>
          <w:p>
            <w:pPr>
              <w:jc w:val="left"/>
              <w:rPr>
                <w:rFonts w:ascii="宋体" w:hAnsi="宋体" w:cs="宋体"/>
                <w:bCs/>
                <w:color w:val="auto"/>
                <w:sz w:val="22"/>
                <w:szCs w:val="22"/>
              </w:rPr>
            </w:pP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3KW</w:t>
            </w:r>
          </w:p>
          <w:p>
            <w:pPr>
              <w:jc w:val="left"/>
              <w:rPr>
                <w:rFonts w:ascii="宋体" w:hAnsi="宋体" w:cs="宋体"/>
                <w:bCs/>
                <w:color w:val="auto"/>
                <w:sz w:val="22"/>
                <w:szCs w:val="22"/>
              </w:rPr>
            </w:pPr>
            <w:r>
              <w:rPr>
                <w:rFonts w:hint="eastAsia" w:ascii="宋体" w:hAnsi="宋体" w:cs="宋体"/>
                <w:bCs/>
                <w:color w:val="auto"/>
                <w:sz w:val="22"/>
                <w:szCs w:val="22"/>
              </w:rPr>
              <w:t>电压：220V</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08660" cy="365760"/>
                  <wp:effectExtent l="0" t="0" r="15240" b="15240"/>
                  <wp:docPr id="281" name="图片 281" descr="7a7c700fb10bce4a7a21f75c5c33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7a7c700fb10bce4a7a21f75c5c33c0d"/>
                          <pic:cNvPicPr>
                            <a:picLocks noChangeAspect="1"/>
                          </pic:cNvPicPr>
                        </pic:nvPicPr>
                        <pic:blipFill>
                          <a:blip r:embed="rId37"/>
                          <a:stretch>
                            <a:fillRect/>
                          </a:stretch>
                        </pic:blipFill>
                        <pic:spPr>
                          <a:xfrm>
                            <a:off x="0" y="0"/>
                            <a:ext cx="708660" cy="365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四门双温冰箱</w:t>
            </w:r>
          </w:p>
          <w:p>
            <w:pPr>
              <w:jc w:val="left"/>
              <w:rPr>
                <w:rFonts w:ascii="宋体" w:hAnsi="宋体" w:cs="宋体"/>
                <w:bCs/>
                <w:color w:val="auto"/>
                <w:sz w:val="22"/>
                <w:szCs w:val="22"/>
              </w:rPr>
            </w:pPr>
            <w:r>
              <w:rPr>
                <w:rFonts w:hint="eastAsia" w:ascii="宋体" w:hAnsi="宋体" w:cs="宋体"/>
                <w:bCs/>
                <w:color w:val="auto"/>
                <w:sz w:val="22"/>
                <w:szCs w:val="22"/>
              </w:rPr>
              <w:t>说明：高效压缩机，制冷强劲，低至-18度；高密度微孔发泡层，真空绝热板，隔热锁冷；电子智能温控，精准控温；整机无磁不锈钢板，加厚门里，耐用易清洁；内嵌电热丝，自动除凝露；高强度万向轮，自由移动。</w:t>
            </w:r>
          </w:p>
          <w:p>
            <w:pPr>
              <w:jc w:val="left"/>
              <w:rPr>
                <w:rFonts w:ascii="宋体" w:hAnsi="宋体" w:cs="宋体"/>
                <w:bCs/>
                <w:color w:val="auto"/>
                <w:sz w:val="22"/>
                <w:szCs w:val="22"/>
              </w:rPr>
            </w:pPr>
            <w:r>
              <w:rPr>
                <w:rFonts w:hint="eastAsia" w:ascii="宋体" w:hAnsi="宋体" w:cs="宋体"/>
                <w:bCs/>
                <w:color w:val="auto"/>
                <w:sz w:val="22"/>
                <w:szCs w:val="22"/>
              </w:rPr>
              <w:t>温度范围：-5℃~5℃，-6℃~-18℃</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1215*750*1980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3</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65150" cy="721360"/>
                  <wp:effectExtent l="0" t="0" r="6350" b="254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150" cy="721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残物台连水池</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883285" cy="688340"/>
                  <wp:effectExtent l="0" t="0" r="12065" b="16510"/>
                  <wp:docPr id="29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8"/>
                          <pic:cNvPicPr>
                            <a:picLocks noChangeAspect="1"/>
                          </pic:cNvPicPr>
                        </pic:nvPicPr>
                        <pic:blipFill>
                          <a:blip r:embed="rId24"/>
                          <a:stretch>
                            <a:fillRect/>
                          </a:stretch>
                        </pic:blipFill>
                        <pic:spPr>
                          <a:xfrm>
                            <a:off x="0" y="0"/>
                            <a:ext cx="883285" cy="688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9</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刀具砧板组合消毒柜</w:t>
            </w:r>
          </w:p>
          <w:p>
            <w:pPr>
              <w:jc w:val="left"/>
              <w:rPr>
                <w:rFonts w:ascii="宋体" w:hAnsi="宋体" w:cs="宋体"/>
                <w:color w:val="auto"/>
                <w:sz w:val="22"/>
                <w:szCs w:val="22"/>
              </w:rPr>
            </w:pPr>
            <w:r>
              <w:rPr>
                <w:rFonts w:hint="eastAsia" w:ascii="宋体" w:hAnsi="宋体" w:cs="宋体"/>
                <w:color w:val="auto"/>
                <w:sz w:val="22"/>
                <w:szCs w:val="22"/>
              </w:rPr>
              <w:t>说明：1.可容纳厚度≥10cm的砧板，砧板数量≥9块，刀具数量≥25把，毛巾若干，消毒时间≥30分钟。2.毛巾柜采用紫外线+臭氧双重消毒，红外线烘干 3.刀具和砧板采用紫外线+臭氧消毒，带循环风机，360度无死角。4.砧板架可拆卸设计，更方便清理。</w:t>
            </w:r>
          </w:p>
          <w:p>
            <w:pPr>
              <w:jc w:val="left"/>
              <w:rPr>
                <w:rFonts w:ascii="宋体" w:hAnsi="宋体" w:cs="宋体"/>
                <w:color w:val="auto"/>
                <w:sz w:val="22"/>
                <w:szCs w:val="22"/>
              </w:rPr>
            </w:pPr>
            <w:r>
              <w:rPr>
                <w:rFonts w:hint="eastAsia" w:ascii="宋体" w:hAnsi="宋体" w:cs="宋体"/>
                <w:b/>
                <w:bCs/>
                <w:color w:val="auto"/>
                <w:sz w:val="22"/>
                <w:szCs w:val="22"/>
              </w:rPr>
              <w:t>符合食品接触产品安全认证及卫生认证要求，并提供相关证明材料</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1200*620*1800（±30mm）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widowControl/>
              <w:jc w:val="center"/>
              <w:textAlignment w:val="center"/>
              <w:rPr>
                <w:rFonts w:ascii="宋体" w:hAnsi="宋体" w:cs="宋体"/>
                <w:color w:val="auto"/>
                <w:sz w:val="22"/>
                <w:szCs w:val="22"/>
              </w:rPr>
            </w:pPr>
            <w:r>
              <w:rPr>
                <w:rFonts w:hint="eastAsia" w:ascii="宋体" w:hAnsi="宋体" w:cs="宋体"/>
                <w:bCs/>
                <w:color w:val="auto"/>
                <w:sz w:val="22"/>
                <w:szCs w:val="22"/>
              </w:rPr>
              <w:drawing>
                <wp:inline distT="0" distB="0" distL="114300" distR="114300">
                  <wp:extent cx="589915" cy="587375"/>
                  <wp:effectExtent l="0" t="0" r="635" b="3175"/>
                  <wp:docPr id="29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44"/>
                          <pic:cNvPicPr>
                            <a:picLocks noChangeAspect="1"/>
                          </pic:cNvPicPr>
                        </pic:nvPicPr>
                        <pic:blipFill>
                          <a:blip r:embed="rId38"/>
                          <a:stretch>
                            <a:fillRect/>
                          </a:stretch>
                        </pic:blipFill>
                        <pic:spPr>
                          <a:xfrm>
                            <a:off x="0" y="0"/>
                            <a:ext cx="589915" cy="587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10</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29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绞切肉机</w:t>
            </w:r>
          </w:p>
          <w:p>
            <w:pPr>
              <w:jc w:val="left"/>
              <w:rPr>
                <w:rFonts w:ascii="宋体" w:hAnsi="宋体" w:cs="宋体"/>
                <w:color w:val="auto"/>
                <w:sz w:val="22"/>
                <w:szCs w:val="22"/>
              </w:rPr>
            </w:pPr>
            <w:r>
              <w:rPr>
                <w:rFonts w:hint="eastAsia" w:ascii="宋体" w:hAnsi="宋体" w:cs="宋体"/>
                <w:color w:val="auto"/>
                <w:sz w:val="22"/>
                <w:szCs w:val="22"/>
              </w:rPr>
              <w:t>说明：整机外框不锈钢制，内支架采用优质钢材喷塑处理；单柄切换，全不锈钢拆卸式绞肉器一体浇筑成型。</w:t>
            </w:r>
          </w:p>
          <w:p>
            <w:pPr>
              <w:jc w:val="left"/>
              <w:rPr>
                <w:rFonts w:ascii="宋体" w:hAnsi="宋体" w:cs="宋体"/>
                <w:color w:val="auto"/>
                <w:sz w:val="22"/>
                <w:szCs w:val="22"/>
              </w:rPr>
            </w:pPr>
            <w:r>
              <w:rPr>
                <w:rFonts w:hint="eastAsia" w:ascii="宋体" w:hAnsi="宋体" w:cs="宋体"/>
                <w:color w:val="auto"/>
                <w:sz w:val="22"/>
                <w:szCs w:val="22"/>
              </w:rPr>
              <w:t>产量：200-400KG/H</w:t>
            </w:r>
          </w:p>
          <w:p>
            <w:pPr>
              <w:jc w:val="left"/>
              <w:rPr>
                <w:rFonts w:ascii="宋体" w:hAnsi="宋体" w:cs="宋体"/>
                <w:color w:val="auto"/>
                <w:sz w:val="22"/>
                <w:szCs w:val="22"/>
              </w:rPr>
            </w:pPr>
            <w:r>
              <w:rPr>
                <w:rFonts w:hint="eastAsia" w:ascii="宋体" w:hAnsi="宋体" w:cs="宋体"/>
                <w:color w:val="auto"/>
                <w:sz w:val="22"/>
                <w:szCs w:val="22"/>
              </w:rPr>
              <w:t>功率：≥2.2KW</w:t>
            </w:r>
          </w:p>
          <w:p>
            <w:pPr>
              <w:jc w:val="left"/>
              <w:rPr>
                <w:rFonts w:ascii="宋体" w:hAnsi="宋体" w:cs="宋体"/>
                <w:color w:val="auto"/>
                <w:sz w:val="22"/>
                <w:szCs w:val="22"/>
              </w:rPr>
            </w:pPr>
            <w:r>
              <w:rPr>
                <w:rFonts w:hint="eastAsia" w:ascii="宋体" w:hAnsi="宋体" w:cs="宋体"/>
                <w:color w:val="auto"/>
                <w:sz w:val="22"/>
                <w:szCs w:val="22"/>
              </w:rPr>
              <w:t>电压：220V</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420*590*815（±30mm）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827405" cy="597535"/>
                  <wp:effectExtent l="0" t="0" r="10795" b="12065"/>
                  <wp:docPr id="299" name="图片 46"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46" descr="IMG_282"/>
                          <pic:cNvPicPr>
                            <a:picLocks noChangeAspect="1"/>
                          </pic:cNvPicPr>
                        </pic:nvPicPr>
                        <pic:blipFill>
                          <a:blip r:embed="rId39"/>
                          <a:stretch>
                            <a:fillRect/>
                          </a:stretch>
                        </pic:blipFill>
                        <pic:spPr>
                          <a:xfrm>
                            <a:off x="0" y="0"/>
                            <a:ext cx="827405" cy="5975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300" name="图片 300"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灭蝇灯</w:t>
            </w:r>
          </w:p>
          <w:p>
            <w:pPr>
              <w:jc w:val="left"/>
              <w:rPr>
                <w:rFonts w:ascii="宋体" w:hAnsi="宋体" w:cs="宋体"/>
                <w:color w:val="auto"/>
                <w:sz w:val="22"/>
                <w:szCs w:val="22"/>
              </w:rPr>
            </w:pPr>
            <w:r>
              <w:rPr>
                <w:rFonts w:hint="eastAsia" w:ascii="宋体" w:hAnsi="宋体" w:cs="宋体"/>
                <w:color w:val="auto"/>
                <w:sz w:val="22"/>
                <w:szCs w:val="22"/>
              </w:rPr>
              <w:t>电压(V)：220V</w:t>
            </w:r>
          </w:p>
          <w:p>
            <w:pPr>
              <w:jc w:val="left"/>
              <w:rPr>
                <w:rFonts w:ascii="宋体" w:hAnsi="宋体" w:cs="宋体"/>
                <w:color w:val="auto"/>
                <w:sz w:val="22"/>
                <w:szCs w:val="22"/>
              </w:rPr>
            </w:pPr>
            <w:r>
              <w:rPr>
                <w:rFonts w:hint="eastAsia" w:ascii="宋体" w:hAnsi="宋体" w:cs="宋体"/>
                <w:color w:val="auto"/>
                <w:sz w:val="22"/>
                <w:szCs w:val="22"/>
              </w:rPr>
              <w:t>功率(W)：≥8W</w:t>
            </w:r>
          </w:p>
          <w:p>
            <w:pPr>
              <w:jc w:val="left"/>
              <w:rPr>
                <w:rFonts w:ascii="宋体" w:hAnsi="宋体" w:cs="宋体"/>
                <w:color w:val="auto"/>
                <w:sz w:val="22"/>
                <w:szCs w:val="22"/>
              </w:rPr>
            </w:pPr>
            <w:r>
              <w:rPr>
                <w:rFonts w:hint="eastAsia" w:ascii="宋体" w:hAnsi="宋体" w:cs="宋体"/>
                <w:color w:val="auto"/>
                <w:sz w:val="22"/>
                <w:szCs w:val="22"/>
              </w:rPr>
              <w:t>固定方式：壁挂式</w:t>
            </w:r>
          </w:p>
          <w:p>
            <w:pPr>
              <w:jc w:val="left"/>
              <w:rPr>
                <w:rFonts w:ascii="宋体" w:hAnsi="宋体" w:cs="宋体"/>
                <w:color w:val="auto"/>
                <w:sz w:val="22"/>
                <w:szCs w:val="22"/>
              </w:rPr>
            </w:pPr>
            <w:r>
              <w:rPr>
                <w:rFonts w:hint="eastAsia" w:ascii="宋体" w:hAnsi="宋体" w:cs="宋体"/>
                <w:color w:val="auto"/>
                <w:sz w:val="22"/>
                <w:szCs w:val="22"/>
              </w:rPr>
              <w:t>适用面积：20㎡-50㎡</w:t>
            </w:r>
          </w:p>
        </w:tc>
        <w:tc>
          <w:tcPr>
            <w:tcW w:w="1450" w:type="dxa"/>
            <w:vAlign w:val="center"/>
          </w:tcPr>
          <w:p>
            <w:pPr>
              <w:jc w:val="center"/>
              <w:rPr>
                <w:rFonts w:ascii="宋体" w:hAnsi="宋体" w:cs="宋体"/>
                <w:bCs/>
                <w:color w:val="auto"/>
                <w:sz w:val="22"/>
                <w:szCs w:val="22"/>
              </w:rPr>
            </w:pPr>
            <w:r>
              <w:rPr>
                <w:rFonts w:hint="eastAsia" w:ascii="宋体" w:hAnsi="宋体" w:cs="宋体"/>
                <w:color w:val="auto"/>
                <w:sz w:val="22"/>
                <w:szCs w:val="22"/>
              </w:rPr>
              <w:t>≥8W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kern w:val="0"/>
                <w:sz w:val="22"/>
                <w:szCs w:val="22"/>
              </w:rPr>
            </w:pPr>
            <w:r>
              <w:rPr>
                <w:rFonts w:hint="eastAsia" w:ascii="宋体" w:hAnsi="宋体" w:cs="宋体"/>
                <w:bCs/>
                <w:color w:val="auto"/>
                <w:sz w:val="22"/>
                <w:szCs w:val="22"/>
              </w:rPr>
              <w:drawing>
                <wp:inline distT="0" distB="0" distL="114300" distR="114300">
                  <wp:extent cx="739140" cy="758190"/>
                  <wp:effectExtent l="0" t="0" r="3810" b="3810"/>
                  <wp:docPr id="17"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14</w:t>
            </w:r>
          </w:p>
        </w:tc>
        <w:tc>
          <w:tcPr>
            <w:tcW w:w="4338" w:type="dxa"/>
            <w:vAlign w:val="center"/>
          </w:tcPr>
          <w:p>
            <w:pPr>
              <w:jc w:val="left"/>
              <w:rPr>
                <w:rFonts w:ascii="宋体" w:hAnsi="宋体" w:cs="宋体"/>
                <w:color w:val="auto"/>
                <w:sz w:val="22"/>
                <w:szCs w:val="22"/>
              </w:rPr>
            </w:pPr>
            <w:r>
              <w:rPr>
                <w:rFonts w:hint="eastAsia" w:ascii="宋体" w:hAnsi="宋体" w:cs="宋体"/>
                <w:bCs/>
                <w:color w:val="auto"/>
                <w:sz w:val="22"/>
                <w:szCs w:val="22"/>
              </w:rPr>
              <w:t>平面冷柜</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p>
        </w:tc>
        <w:tc>
          <w:tcPr>
            <w:tcW w:w="1399" w:type="dxa"/>
            <w:vAlign w:val="center"/>
          </w:tcPr>
          <w:p>
            <w:pPr>
              <w:jc w:val="center"/>
              <w:rPr>
                <w:rFonts w:ascii="宋体" w:hAnsi="宋体" w:cs="宋体"/>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单向调理柜</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p>
        </w:tc>
        <w:tc>
          <w:tcPr>
            <w:tcW w:w="1399" w:type="dxa"/>
            <w:vAlign w:val="center"/>
          </w:tcPr>
          <w:p>
            <w:pPr>
              <w:jc w:val="center"/>
              <w:rPr>
                <w:rFonts w:ascii="宋体" w:hAnsi="宋体" w:cs="宋体"/>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备餐间</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1800*600*800（±30mm）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24" name="图片 24"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双门宴会保温餐车</w:t>
            </w:r>
          </w:p>
          <w:p>
            <w:pPr>
              <w:jc w:val="left"/>
              <w:rPr>
                <w:rFonts w:ascii="宋体" w:hAnsi="宋体" w:cs="宋体"/>
                <w:color w:val="auto"/>
                <w:sz w:val="22"/>
                <w:szCs w:val="22"/>
              </w:rPr>
            </w:pPr>
            <w:r>
              <w:rPr>
                <w:rFonts w:hint="eastAsia" w:ascii="宋体" w:hAnsi="宋体" w:cs="宋体"/>
                <w:color w:val="auto"/>
                <w:sz w:val="22"/>
                <w:szCs w:val="22"/>
              </w:rPr>
              <w:t>功率：≥2600W</w:t>
            </w:r>
          </w:p>
          <w:p>
            <w:pPr>
              <w:jc w:val="left"/>
              <w:rPr>
                <w:rFonts w:ascii="宋体" w:hAnsi="宋体" w:cs="宋体"/>
                <w:color w:val="auto"/>
                <w:sz w:val="22"/>
                <w:szCs w:val="22"/>
              </w:rPr>
            </w:pPr>
            <w:r>
              <w:rPr>
                <w:rFonts w:hint="eastAsia" w:ascii="宋体" w:hAnsi="宋体" w:cs="宋体"/>
                <w:color w:val="auto"/>
                <w:sz w:val="22"/>
                <w:szCs w:val="22"/>
              </w:rPr>
              <w:t>说明：全不锈钢设计，美观大方，易清洁。</w:t>
            </w:r>
          </w:p>
          <w:p>
            <w:pPr>
              <w:jc w:val="left"/>
              <w:rPr>
                <w:rFonts w:ascii="宋体" w:hAnsi="宋体" w:cs="宋体"/>
                <w:color w:val="auto"/>
                <w:sz w:val="22"/>
                <w:szCs w:val="22"/>
              </w:rPr>
            </w:pPr>
            <w:r>
              <w:rPr>
                <w:rFonts w:hint="eastAsia" w:ascii="宋体" w:hAnsi="宋体" w:cs="宋体"/>
                <w:color w:val="auto"/>
                <w:sz w:val="22"/>
                <w:szCs w:val="22"/>
              </w:rPr>
              <w:t>采用热风送风加热方式，温度均匀。</w:t>
            </w:r>
          </w:p>
          <w:p>
            <w:pPr>
              <w:jc w:val="left"/>
              <w:rPr>
                <w:rFonts w:ascii="宋体" w:hAnsi="宋体" w:cs="宋体"/>
                <w:color w:val="auto"/>
                <w:sz w:val="22"/>
                <w:szCs w:val="22"/>
              </w:rPr>
            </w:pPr>
            <w:r>
              <w:rPr>
                <w:rFonts w:hint="eastAsia" w:ascii="宋体" w:hAnsi="宋体" w:cs="宋体"/>
                <w:color w:val="auto"/>
                <w:sz w:val="22"/>
                <w:szCs w:val="22"/>
              </w:rPr>
              <w:t>具有保湿功能，且温度可调。</w:t>
            </w:r>
          </w:p>
          <w:p>
            <w:pPr>
              <w:jc w:val="left"/>
              <w:rPr>
                <w:rFonts w:ascii="宋体" w:hAnsi="宋体" w:cs="宋体"/>
                <w:color w:val="auto"/>
                <w:sz w:val="22"/>
                <w:szCs w:val="22"/>
              </w:rPr>
            </w:pPr>
            <w:r>
              <w:rPr>
                <w:rFonts w:hint="eastAsia" w:ascii="宋体" w:hAnsi="宋体" w:cs="宋体"/>
                <w:color w:val="auto"/>
                <w:sz w:val="22"/>
                <w:szCs w:val="22"/>
              </w:rPr>
              <w:t>能延长食物保鲜及存放时间。</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1540*940*1795</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2</w:t>
            </w:r>
          </w:p>
        </w:tc>
        <w:tc>
          <w:tcPr>
            <w:tcW w:w="1399" w:type="dxa"/>
            <w:vAlign w:val="center"/>
          </w:tcPr>
          <w:p>
            <w:pPr>
              <w:jc w:val="center"/>
              <w:rPr>
                <w:rFonts w:ascii="宋体" w:hAnsi="宋体" w:cs="宋体"/>
                <w:bCs/>
                <w:color w:val="auto"/>
                <w:sz w:val="22"/>
                <w:szCs w:val="22"/>
              </w:rPr>
            </w:pPr>
            <w:r>
              <w:rPr>
                <w:rFonts w:hint="eastAsia" w:ascii="宋体" w:hAnsi="宋体" w:cs="宋体"/>
                <w:color w:val="auto"/>
                <w:sz w:val="22"/>
                <w:szCs w:val="22"/>
              </w:rPr>
              <w:drawing>
                <wp:inline distT="0" distB="0" distL="114300" distR="114300">
                  <wp:extent cx="810895" cy="810895"/>
                  <wp:effectExtent l="0" t="0" r="8255" b="825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0"/>
                          <a:stretch>
                            <a:fillRect/>
                          </a:stretch>
                        </pic:blipFill>
                        <pic:spPr>
                          <a:xfrm>
                            <a:off x="0" y="0"/>
                            <a:ext cx="810895" cy="810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灭蝇灯</w:t>
            </w:r>
          </w:p>
          <w:p>
            <w:pPr>
              <w:jc w:val="left"/>
              <w:rPr>
                <w:rFonts w:ascii="宋体" w:hAnsi="宋体" w:cs="宋体"/>
                <w:color w:val="auto"/>
                <w:sz w:val="22"/>
                <w:szCs w:val="22"/>
              </w:rPr>
            </w:pPr>
            <w:r>
              <w:rPr>
                <w:rFonts w:hint="eastAsia" w:ascii="宋体" w:hAnsi="宋体" w:cs="宋体"/>
                <w:color w:val="auto"/>
                <w:sz w:val="22"/>
                <w:szCs w:val="22"/>
              </w:rPr>
              <w:t>电压(V)：220V</w:t>
            </w:r>
          </w:p>
          <w:p>
            <w:pPr>
              <w:jc w:val="left"/>
              <w:rPr>
                <w:rFonts w:ascii="宋体" w:hAnsi="宋体" w:cs="宋体"/>
                <w:color w:val="auto"/>
                <w:sz w:val="22"/>
                <w:szCs w:val="22"/>
              </w:rPr>
            </w:pPr>
            <w:r>
              <w:rPr>
                <w:rFonts w:hint="eastAsia" w:ascii="宋体" w:hAnsi="宋体" w:cs="宋体"/>
                <w:color w:val="auto"/>
                <w:sz w:val="22"/>
                <w:szCs w:val="22"/>
              </w:rPr>
              <w:t>功率(W)：≥8W</w:t>
            </w:r>
          </w:p>
          <w:p>
            <w:pPr>
              <w:jc w:val="left"/>
              <w:rPr>
                <w:rFonts w:ascii="宋体" w:hAnsi="宋体" w:cs="宋体"/>
                <w:color w:val="auto"/>
                <w:sz w:val="22"/>
                <w:szCs w:val="22"/>
              </w:rPr>
            </w:pPr>
            <w:r>
              <w:rPr>
                <w:rFonts w:hint="eastAsia" w:ascii="宋体" w:hAnsi="宋体" w:cs="宋体"/>
                <w:color w:val="auto"/>
                <w:sz w:val="22"/>
                <w:szCs w:val="22"/>
              </w:rPr>
              <w:t>固定方式：壁挂式</w:t>
            </w:r>
          </w:p>
          <w:p>
            <w:pPr>
              <w:jc w:val="left"/>
              <w:rPr>
                <w:rFonts w:ascii="宋体" w:hAnsi="宋体" w:cs="宋体"/>
                <w:color w:val="auto"/>
                <w:sz w:val="22"/>
                <w:szCs w:val="22"/>
              </w:rPr>
            </w:pPr>
            <w:r>
              <w:rPr>
                <w:rFonts w:hint="eastAsia" w:ascii="宋体" w:hAnsi="宋体" w:cs="宋体"/>
                <w:color w:val="auto"/>
                <w:sz w:val="22"/>
                <w:szCs w:val="22"/>
              </w:rPr>
              <w:t>适用面积：20㎡-50㎡</w:t>
            </w:r>
          </w:p>
        </w:tc>
        <w:tc>
          <w:tcPr>
            <w:tcW w:w="1450" w:type="dxa"/>
            <w:vAlign w:val="center"/>
          </w:tcPr>
          <w:p>
            <w:pPr>
              <w:jc w:val="center"/>
              <w:rPr>
                <w:rFonts w:ascii="宋体" w:hAnsi="宋体" w:cs="宋体"/>
                <w:bCs/>
                <w:color w:val="auto"/>
                <w:sz w:val="22"/>
                <w:szCs w:val="22"/>
              </w:rPr>
            </w:pPr>
            <w:r>
              <w:rPr>
                <w:rFonts w:hint="eastAsia" w:ascii="宋体" w:hAnsi="宋体" w:cs="宋体"/>
                <w:color w:val="auto"/>
                <w:sz w:val="22"/>
                <w:szCs w:val="22"/>
              </w:rPr>
              <w:t>≥8W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kern w:val="0"/>
                <w:sz w:val="22"/>
                <w:szCs w:val="22"/>
              </w:rPr>
            </w:pPr>
            <w:r>
              <w:rPr>
                <w:rFonts w:hint="eastAsia" w:ascii="宋体" w:hAnsi="宋体" w:cs="宋体"/>
                <w:bCs/>
                <w:color w:val="auto"/>
                <w:sz w:val="22"/>
                <w:szCs w:val="22"/>
              </w:rPr>
              <w:drawing>
                <wp:inline distT="0" distB="0" distL="114300" distR="114300">
                  <wp:extent cx="739140" cy="758190"/>
                  <wp:effectExtent l="0" t="0" r="3810" b="3810"/>
                  <wp:docPr id="26" name="图片 26"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86" w:type="dxa"/>
            <w:gridSpan w:val="6"/>
            <w:shd w:val="clear" w:color="auto" w:fill="auto"/>
            <w:vAlign w:val="center"/>
          </w:tcPr>
          <w:p>
            <w:pPr>
              <w:jc w:val="left"/>
              <w:rPr>
                <w:rFonts w:ascii="宋体" w:hAnsi="宋体" w:cs="宋体"/>
                <w:color w:val="auto"/>
                <w:sz w:val="22"/>
                <w:szCs w:val="22"/>
              </w:rPr>
            </w:pPr>
            <w:r>
              <w:rPr>
                <w:rFonts w:hint="eastAsia" w:ascii="宋体" w:hAnsi="宋体" w:cs="宋体"/>
                <w:b/>
                <w:bCs/>
                <w:color w:val="auto"/>
                <w:sz w:val="32"/>
                <w:szCs w:val="32"/>
              </w:rPr>
              <w:t>二更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kern w:val="0"/>
                <w:sz w:val="22"/>
                <w:szCs w:val="22"/>
              </w:rPr>
              <w:t>洗手星</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2</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小吃间</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单向调理柜</w:t>
            </w:r>
          </w:p>
          <w:p>
            <w:pPr>
              <w:jc w:val="left"/>
              <w:rPr>
                <w:rFonts w:ascii="宋体" w:hAnsi="宋体" w:cs="宋体"/>
                <w:color w:val="auto"/>
                <w:sz w:val="22"/>
                <w:szCs w:val="22"/>
              </w:rPr>
            </w:pPr>
            <w:r>
              <w:rPr>
                <w:rFonts w:hint="eastAsia" w:ascii="宋体" w:hAnsi="宋体" w:cs="宋体"/>
                <w:color w:val="auto"/>
                <w:sz w:val="22"/>
                <w:szCs w:val="22"/>
              </w:rPr>
              <w:t>说明：用SUS304-2B不锈钢板制作，面板厚度≥1.2mm，侧板厚度≥1.0mm，柜内中置一层304不锈钢隔板，配304不锈钢移门，配304不锈钢可调节子弹脚。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1100*800*800（±30mm）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824865" cy="487045"/>
                  <wp:effectExtent l="0" t="0" r="13335" b="8255"/>
                  <wp:docPr id="3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40"/>
                          <pic:cNvPicPr>
                            <a:picLocks noChangeAspect="1"/>
                          </pic:cNvPicPr>
                        </pic:nvPicPr>
                        <pic:blipFill>
                          <a:blip r:embed="rId28"/>
                          <a:stretch>
                            <a:fillRect/>
                          </a:stretch>
                        </pic:blipFill>
                        <pic:spPr>
                          <a:xfrm>
                            <a:off x="0" y="0"/>
                            <a:ext cx="824865" cy="487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四格保温柜</w:t>
            </w:r>
            <w:r>
              <w:rPr>
                <w:rFonts w:hint="eastAsia" w:ascii="宋体" w:hAnsi="宋体" w:cs="宋体"/>
                <w:b/>
                <w:bCs/>
                <w:color w:val="auto"/>
                <w:sz w:val="22"/>
                <w:szCs w:val="22"/>
              </w:rPr>
              <w:t>（需提供样品）</w:t>
            </w:r>
          </w:p>
          <w:p>
            <w:pPr>
              <w:jc w:val="left"/>
              <w:rPr>
                <w:rFonts w:ascii="宋体" w:hAnsi="宋体" w:cs="宋体"/>
                <w:bCs/>
                <w:color w:val="auto"/>
                <w:sz w:val="22"/>
                <w:szCs w:val="22"/>
              </w:rPr>
            </w:pPr>
            <w:r>
              <w:rPr>
                <w:rFonts w:hint="eastAsia" w:ascii="宋体" w:hAnsi="宋体" w:cs="宋体"/>
                <w:color w:val="auto"/>
                <w:sz w:val="22"/>
                <w:szCs w:val="22"/>
              </w:rPr>
              <w:t>说明：用 SUS304-2B 不锈钢板制作，面板厚度 ≥1.2mm，侧板厚度≥1.0mm。配有温控，配4只不锈钢份数盆。</w:t>
            </w:r>
          </w:p>
          <w:p>
            <w:pPr>
              <w:jc w:val="left"/>
              <w:rPr>
                <w:rFonts w:ascii="宋体" w:hAnsi="宋体" w:cs="宋体"/>
                <w:bCs/>
                <w:color w:val="auto"/>
                <w:sz w:val="22"/>
                <w:szCs w:val="22"/>
              </w:rPr>
            </w:pP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3KW</w:t>
            </w:r>
          </w:p>
          <w:p>
            <w:pPr>
              <w:jc w:val="left"/>
              <w:rPr>
                <w:rFonts w:ascii="宋体" w:hAnsi="宋体" w:cs="宋体"/>
                <w:color w:val="auto"/>
                <w:sz w:val="22"/>
                <w:szCs w:val="22"/>
              </w:rPr>
            </w:pPr>
            <w:r>
              <w:rPr>
                <w:rFonts w:hint="eastAsia" w:ascii="宋体" w:hAnsi="宋体" w:cs="宋体"/>
                <w:bCs/>
                <w:color w:val="auto"/>
                <w:sz w:val="22"/>
                <w:szCs w:val="22"/>
              </w:rPr>
              <w:t>电压：220V</w:t>
            </w:r>
          </w:p>
          <w:p>
            <w:pPr>
              <w:jc w:val="left"/>
              <w:rPr>
                <w:rFonts w:ascii="宋体" w:hAnsi="宋体" w:cs="宋体"/>
                <w:color w:val="auto"/>
                <w:sz w:val="22"/>
                <w:szCs w:val="22"/>
              </w:rPr>
            </w:pPr>
            <w:r>
              <w:rPr>
                <w:rFonts w:hint="eastAsia" w:ascii="宋体" w:hAnsi="宋体" w:cs="宋体"/>
                <w:b/>
                <w:bCs/>
                <w:color w:val="auto"/>
                <w:sz w:val="22"/>
                <w:szCs w:val="22"/>
              </w:rPr>
              <w:t>符合食品接触产品安全认证及卫生认证要求，并提供相关证明材料</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750*800*800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14375" cy="695325"/>
                  <wp:effectExtent l="0" t="0" r="9525" b="9525"/>
                  <wp:docPr id="3" name="图片 3" descr="170909681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9096819202"/>
                          <pic:cNvPicPr>
                            <a:picLocks noChangeAspect="1"/>
                          </pic:cNvPicPr>
                        </pic:nvPicPr>
                        <pic:blipFill>
                          <a:blip r:embed="rId41"/>
                          <a:stretch>
                            <a:fillRect/>
                          </a:stretch>
                        </pic:blipFill>
                        <pic:spPr>
                          <a:xfrm>
                            <a:off x="0" y="0"/>
                            <a:ext cx="714375" cy="695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单向调理柜</w:t>
            </w:r>
          </w:p>
          <w:p>
            <w:pPr>
              <w:jc w:val="left"/>
              <w:rPr>
                <w:rFonts w:ascii="宋体" w:hAnsi="宋体" w:cs="宋体"/>
                <w:color w:val="auto"/>
                <w:sz w:val="22"/>
                <w:szCs w:val="22"/>
              </w:rPr>
            </w:pPr>
            <w:r>
              <w:rPr>
                <w:rFonts w:hint="eastAsia" w:ascii="宋体" w:hAnsi="宋体" w:cs="宋体"/>
                <w:color w:val="auto"/>
                <w:sz w:val="22"/>
                <w:szCs w:val="22"/>
              </w:rPr>
              <w:t>说明：用SUS304-2B不锈钢板制作，面板厚度≥1.2mm，侧板厚度≥1.0mm，柜内中置一层304不锈钢隔板，配304不锈钢移门，配304不锈钢可调节子弹脚。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500*800*800（±30mm）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09295" cy="419100"/>
                  <wp:effectExtent l="0" t="0" r="14605" b="0"/>
                  <wp:docPr id="3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0"/>
                          <pic:cNvPicPr>
                            <a:picLocks noChangeAspect="1"/>
                          </pic:cNvPicPr>
                        </pic:nvPicPr>
                        <pic:blipFill>
                          <a:blip r:embed="rId28"/>
                          <a:stretch>
                            <a:fillRect/>
                          </a:stretch>
                        </pic:blipFill>
                        <pic:spPr>
                          <a:xfrm>
                            <a:off x="0" y="0"/>
                            <a:ext cx="709295"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widowControl/>
              <w:jc w:val="left"/>
              <w:textAlignment w:val="center"/>
              <w:rPr>
                <w:rFonts w:ascii="宋体" w:hAnsi="宋体" w:cs="宋体"/>
                <w:color w:val="auto"/>
                <w:kern w:val="0"/>
                <w:sz w:val="22"/>
                <w:szCs w:val="22"/>
              </w:rPr>
            </w:pPr>
            <w:r>
              <w:rPr>
                <w:rFonts w:hint="eastAsia" w:ascii="宋体" w:hAnsi="宋体" w:cs="宋体"/>
                <w:color w:val="auto"/>
                <w:kern w:val="0"/>
                <w:sz w:val="22"/>
                <w:szCs w:val="22"/>
              </w:rPr>
              <w:t>电磁四眼煲仔炉</w:t>
            </w:r>
          </w:p>
          <w:p>
            <w:pPr>
              <w:widowControl/>
              <w:jc w:val="left"/>
              <w:textAlignment w:val="center"/>
              <w:rPr>
                <w:rFonts w:ascii="宋体" w:hAnsi="宋体" w:cs="宋体"/>
                <w:color w:val="auto"/>
                <w:kern w:val="0"/>
                <w:sz w:val="22"/>
                <w:szCs w:val="22"/>
              </w:rPr>
            </w:pPr>
            <w:r>
              <w:rPr>
                <w:rFonts w:hint="eastAsia" w:ascii="宋体" w:hAnsi="宋体" w:cs="宋体"/>
                <w:color w:val="auto"/>
                <w:kern w:val="0"/>
                <w:sz w:val="22"/>
                <w:szCs w:val="22"/>
              </w:rPr>
              <w:t>说明：1.材质：采用SUS304不锈钢,面板厚</w:t>
            </w:r>
            <w:r>
              <w:rPr>
                <w:rFonts w:hint="eastAsia" w:ascii="宋体" w:hAnsi="宋体" w:cs="宋体"/>
                <w:color w:val="auto"/>
                <w:sz w:val="22"/>
                <w:szCs w:val="22"/>
              </w:rPr>
              <w:t>≥</w:t>
            </w:r>
            <w:r>
              <w:rPr>
                <w:rFonts w:hint="eastAsia" w:ascii="宋体" w:hAnsi="宋体" w:cs="宋体"/>
                <w:color w:val="auto"/>
                <w:kern w:val="0"/>
                <w:sz w:val="22"/>
                <w:szCs w:val="22"/>
              </w:rPr>
              <w:t>1.2mm，侧板厚</w:t>
            </w:r>
            <w:r>
              <w:rPr>
                <w:rFonts w:hint="eastAsia" w:ascii="宋体" w:hAnsi="宋体" w:cs="宋体"/>
                <w:color w:val="auto"/>
                <w:sz w:val="22"/>
                <w:szCs w:val="22"/>
              </w:rPr>
              <w:t>≥</w:t>
            </w:r>
            <w:r>
              <w:rPr>
                <w:rFonts w:hint="eastAsia" w:ascii="宋体" w:hAnsi="宋体" w:cs="宋体"/>
                <w:color w:val="auto"/>
                <w:kern w:val="0"/>
                <w:sz w:val="22"/>
                <w:szCs w:val="22"/>
              </w:rPr>
              <w:t>1.0mm</w:t>
            </w:r>
          </w:p>
          <w:p>
            <w:pPr>
              <w:widowControl/>
              <w:jc w:val="left"/>
              <w:textAlignment w:val="center"/>
              <w:rPr>
                <w:rFonts w:ascii="宋体" w:hAnsi="宋体" w:cs="宋体"/>
                <w:color w:val="auto"/>
                <w:kern w:val="0"/>
                <w:sz w:val="22"/>
                <w:szCs w:val="22"/>
              </w:rPr>
            </w:pPr>
            <w:r>
              <w:rPr>
                <w:rFonts w:hint="eastAsia" w:ascii="宋体" w:hAnsi="宋体" w:cs="宋体"/>
                <w:color w:val="auto"/>
                <w:kern w:val="0"/>
                <w:sz w:val="22"/>
                <w:szCs w:val="22"/>
              </w:rPr>
              <w:t>2.功率：</w:t>
            </w:r>
            <w:r>
              <w:rPr>
                <w:rFonts w:hint="eastAsia" w:ascii="宋体" w:hAnsi="宋体" w:cs="宋体"/>
                <w:color w:val="auto"/>
                <w:sz w:val="22"/>
                <w:szCs w:val="22"/>
              </w:rPr>
              <w:t>≥</w:t>
            </w:r>
            <w:r>
              <w:rPr>
                <w:rFonts w:hint="eastAsia" w:ascii="宋体" w:hAnsi="宋体" w:cs="宋体"/>
                <w:color w:val="auto"/>
                <w:kern w:val="0"/>
                <w:sz w:val="22"/>
                <w:szCs w:val="22"/>
              </w:rPr>
              <w:t>3.5KW*4</w:t>
            </w:r>
          </w:p>
          <w:p>
            <w:pPr>
              <w:widowControl/>
              <w:jc w:val="left"/>
              <w:textAlignment w:val="center"/>
              <w:rPr>
                <w:rFonts w:ascii="宋体" w:hAnsi="宋体" w:cs="宋体"/>
                <w:color w:val="auto"/>
                <w:kern w:val="0"/>
                <w:sz w:val="22"/>
                <w:szCs w:val="22"/>
              </w:rPr>
            </w:pPr>
            <w:r>
              <w:rPr>
                <w:rFonts w:hint="eastAsia" w:ascii="宋体" w:hAnsi="宋体" w:cs="宋体"/>
                <w:color w:val="auto"/>
                <w:kern w:val="0"/>
                <w:sz w:val="22"/>
                <w:szCs w:val="22"/>
              </w:rPr>
              <w:t>3.电压：380V</w:t>
            </w:r>
          </w:p>
          <w:p>
            <w:pPr>
              <w:widowControl/>
              <w:jc w:val="left"/>
              <w:textAlignment w:val="center"/>
              <w:rPr>
                <w:rFonts w:ascii="宋体" w:hAnsi="宋体" w:cs="宋体"/>
                <w:color w:val="auto"/>
                <w:kern w:val="0"/>
                <w:sz w:val="22"/>
                <w:szCs w:val="22"/>
              </w:rPr>
            </w:pPr>
            <w:r>
              <w:rPr>
                <w:rFonts w:hint="eastAsia" w:ascii="宋体" w:hAnsi="宋体" w:cs="宋体"/>
                <w:color w:val="auto"/>
                <w:kern w:val="0"/>
                <w:sz w:val="22"/>
                <w:szCs w:val="22"/>
              </w:rPr>
              <w:t>4.面板为一次性折弯无焊接，防水防污垢四面可直接喷淋。</w:t>
            </w:r>
          </w:p>
          <w:p>
            <w:pPr>
              <w:widowControl/>
              <w:jc w:val="left"/>
              <w:textAlignment w:val="center"/>
              <w:rPr>
                <w:rFonts w:ascii="宋体" w:hAnsi="宋体" w:cs="宋体"/>
                <w:color w:val="auto"/>
                <w:kern w:val="0"/>
                <w:sz w:val="22"/>
                <w:szCs w:val="22"/>
              </w:rPr>
            </w:pPr>
            <w:r>
              <w:rPr>
                <w:rFonts w:hint="eastAsia" w:ascii="宋体" w:hAnsi="宋体" w:cs="宋体"/>
                <w:color w:val="auto"/>
                <w:kern w:val="0"/>
                <w:sz w:val="22"/>
                <w:szCs w:val="22"/>
              </w:rPr>
              <w:t>5.LED数码显示屏，具备：定时；定温；预约；功能。</w:t>
            </w:r>
          </w:p>
        </w:tc>
        <w:tc>
          <w:tcPr>
            <w:tcW w:w="1450" w:type="dxa"/>
            <w:vAlign w:val="center"/>
          </w:tcPr>
          <w:p>
            <w:pPr>
              <w:jc w:val="center"/>
              <w:rPr>
                <w:rFonts w:ascii="宋体" w:hAnsi="宋体" w:cs="宋体"/>
                <w:color w:val="auto"/>
                <w:sz w:val="22"/>
                <w:szCs w:val="22"/>
              </w:rPr>
            </w:pPr>
            <w:r>
              <w:rPr>
                <w:rFonts w:hint="eastAsia" w:ascii="宋体" w:hAnsi="宋体" w:cs="宋体"/>
                <w:bCs/>
                <w:color w:val="auto"/>
                <w:sz w:val="22"/>
                <w:szCs w:val="22"/>
              </w:rPr>
              <w:t>800*800*800+50</w:t>
            </w:r>
            <w:r>
              <w:rPr>
                <w:rFonts w:hint="eastAsia" w:ascii="宋体" w:hAnsi="宋体" w:cs="宋体"/>
                <w:color w:val="auto"/>
                <w:sz w:val="22"/>
                <w:szCs w:val="22"/>
              </w:rPr>
              <w:t>（±30mm）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60730" cy="667385"/>
                  <wp:effectExtent l="0" t="0" r="1270" b="18415"/>
                  <wp:docPr id="3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58"/>
                          <pic:cNvPicPr>
                            <a:picLocks noChangeAspect="1"/>
                          </pic:cNvPicPr>
                        </pic:nvPicPr>
                        <pic:blipFill>
                          <a:blip r:embed="rId42"/>
                          <a:stretch>
                            <a:fillRect/>
                          </a:stretch>
                        </pic:blipFill>
                        <pic:spPr>
                          <a:xfrm>
                            <a:off x="0" y="0"/>
                            <a:ext cx="760730" cy="667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widowControl/>
              <w:jc w:val="left"/>
              <w:textAlignment w:val="center"/>
              <w:rPr>
                <w:rFonts w:ascii="宋体" w:hAnsi="宋体" w:cs="宋体"/>
                <w:color w:val="auto"/>
                <w:kern w:val="0"/>
                <w:sz w:val="22"/>
                <w:szCs w:val="22"/>
              </w:rPr>
            </w:pPr>
            <w:r>
              <w:rPr>
                <w:rFonts w:hint="eastAsia" w:ascii="宋体" w:hAnsi="宋体" w:cs="宋体"/>
                <w:color w:val="auto"/>
                <w:kern w:val="0"/>
                <w:sz w:val="22"/>
                <w:szCs w:val="22"/>
              </w:rPr>
              <w:t>煮面炉连汤桶</w:t>
            </w:r>
          </w:p>
          <w:p>
            <w:pPr>
              <w:widowControl/>
              <w:jc w:val="left"/>
              <w:textAlignment w:val="center"/>
              <w:rPr>
                <w:rFonts w:ascii="宋体" w:hAnsi="宋体" w:cs="宋体"/>
                <w:color w:val="auto"/>
                <w:kern w:val="0"/>
                <w:sz w:val="22"/>
                <w:szCs w:val="22"/>
              </w:rPr>
            </w:pPr>
            <w:r>
              <w:rPr>
                <w:rFonts w:hint="eastAsia" w:ascii="宋体" w:hAnsi="宋体" w:cs="宋体"/>
                <w:color w:val="auto"/>
                <w:kern w:val="0"/>
                <w:sz w:val="22"/>
                <w:szCs w:val="22"/>
              </w:rPr>
              <w:t>说明：采用SUS304-2B不锈钢板制作</w:t>
            </w:r>
            <w:r>
              <w:rPr>
                <w:rFonts w:hint="eastAsia" w:ascii="宋体" w:hAnsi="宋体" w:cs="宋体"/>
                <w:color w:val="auto"/>
                <w:sz w:val="22"/>
                <w:szCs w:val="22"/>
              </w:rPr>
              <w:t>，δ≥1.2mm。</w:t>
            </w:r>
            <w:r>
              <w:rPr>
                <w:rFonts w:hint="eastAsia" w:ascii="宋体" w:hAnsi="宋体" w:cs="宋体"/>
                <w:color w:val="auto"/>
                <w:kern w:val="0"/>
                <w:sz w:val="22"/>
                <w:szCs w:val="22"/>
              </w:rPr>
              <w:br w:type="textWrapping"/>
            </w:r>
            <w:r>
              <w:rPr>
                <w:rFonts w:hint="eastAsia" w:ascii="宋体" w:hAnsi="宋体" w:cs="宋体"/>
                <w:color w:val="auto"/>
                <w:kern w:val="0"/>
                <w:sz w:val="22"/>
                <w:szCs w:val="22"/>
              </w:rPr>
              <w:t>功率：</w:t>
            </w:r>
            <w:r>
              <w:rPr>
                <w:rFonts w:hint="eastAsia" w:ascii="宋体" w:hAnsi="宋体" w:cs="宋体"/>
                <w:color w:val="auto"/>
                <w:sz w:val="22"/>
                <w:szCs w:val="22"/>
              </w:rPr>
              <w:t>≥</w:t>
            </w:r>
            <w:r>
              <w:rPr>
                <w:rFonts w:hint="eastAsia" w:ascii="宋体" w:hAnsi="宋体" w:cs="宋体"/>
                <w:color w:val="auto"/>
                <w:kern w:val="0"/>
                <w:sz w:val="22"/>
                <w:szCs w:val="22"/>
              </w:rPr>
              <w:t>12kW</w:t>
            </w:r>
          </w:p>
          <w:p>
            <w:pPr>
              <w:widowControl/>
              <w:jc w:val="left"/>
              <w:textAlignment w:val="center"/>
              <w:rPr>
                <w:rFonts w:ascii="宋体" w:hAnsi="宋体" w:cs="宋体"/>
                <w:color w:val="auto"/>
                <w:sz w:val="22"/>
                <w:szCs w:val="22"/>
              </w:rPr>
            </w:pPr>
            <w:r>
              <w:rPr>
                <w:rFonts w:hint="eastAsia" w:ascii="宋体" w:hAnsi="宋体" w:cs="宋体"/>
                <w:color w:val="auto"/>
                <w:kern w:val="0"/>
                <w:sz w:val="22"/>
                <w:szCs w:val="22"/>
              </w:rPr>
              <w:t>电压：380V</w:t>
            </w:r>
          </w:p>
        </w:tc>
        <w:tc>
          <w:tcPr>
            <w:tcW w:w="1450"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rPr>
              <w:t>1500*800*800</w:t>
            </w:r>
            <w:r>
              <w:rPr>
                <w:rFonts w:hint="eastAsia" w:ascii="宋体" w:hAnsi="宋体" w:cs="宋体"/>
                <w:color w:val="auto"/>
                <w:sz w:val="22"/>
                <w:szCs w:val="22"/>
              </w:rPr>
              <w:t>（±30mm）</w:t>
            </w:r>
          </w:p>
        </w:tc>
        <w:tc>
          <w:tcPr>
            <w:tcW w:w="643"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rPr>
              <w:t>只</w:t>
            </w:r>
          </w:p>
        </w:tc>
        <w:tc>
          <w:tcPr>
            <w:tcW w:w="843"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rPr>
              <w:t>1</w:t>
            </w:r>
          </w:p>
        </w:tc>
        <w:tc>
          <w:tcPr>
            <w:tcW w:w="1399" w:type="dxa"/>
            <w:vAlign w:val="center"/>
          </w:tcPr>
          <w:p>
            <w:pPr>
              <w:jc w:val="center"/>
              <w:rPr>
                <w:rFonts w:ascii="宋体" w:hAnsi="宋体" w:cs="宋体"/>
                <w:bCs/>
                <w:color w:val="auto"/>
                <w:sz w:val="22"/>
                <w:szCs w:val="22"/>
              </w:rPr>
            </w:pPr>
            <w:r>
              <w:rPr>
                <w:rFonts w:hint="eastAsia" w:ascii="宋体" w:hAnsi="宋体" w:cs="宋体"/>
                <w:color w:val="auto"/>
                <w:sz w:val="22"/>
                <w:szCs w:val="22"/>
              </w:rPr>
              <w:drawing>
                <wp:inline distT="0" distB="0" distL="114300" distR="114300">
                  <wp:extent cx="795020" cy="427355"/>
                  <wp:effectExtent l="0" t="0" r="5080" b="10795"/>
                  <wp:docPr id="3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
                          <pic:cNvPicPr>
                            <a:picLocks noChangeAspect="1"/>
                          </pic:cNvPicPr>
                        </pic:nvPicPr>
                        <pic:blipFill>
                          <a:blip r:embed="rId43"/>
                          <a:stretch>
                            <a:fillRect/>
                          </a:stretch>
                        </pic:blipFill>
                        <pic:spPr>
                          <a:xfrm>
                            <a:off x="0" y="0"/>
                            <a:ext cx="795020" cy="427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不锈钢油烟网罩</w:t>
            </w:r>
          </w:p>
          <w:p>
            <w:pPr>
              <w:jc w:val="left"/>
              <w:rPr>
                <w:rFonts w:ascii="宋体" w:hAnsi="宋体" w:cs="宋体"/>
                <w:color w:val="auto"/>
                <w:sz w:val="22"/>
                <w:szCs w:val="22"/>
              </w:rPr>
            </w:pPr>
            <w:r>
              <w:rPr>
                <w:rFonts w:hint="eastAsia" w:ascii="宋体" w:hAnsi="宋体" w:cs="宋体"/>
                <w:color w:val="auto"/>
                <w:sz w:val="22"/>
                <w:szCs w:val="22"/>
              </w:rPr>
              <w:t>说明：用SUS304-2B不锈钢板制作，δ≥1.2mm。配不锈钢隔油网、防爆灯及积油杯。</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4800*1200*500（±30mm）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5.8</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91490" cy="389890"/>
                  <wp:effectExtent l="0" t="0" r="3810" b="10160"/>
                  <wp:docPr id="326" name="图片 50" descr="吸排油烟罩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50" descr="吸排油烟罩 拷贝"/>
                          <pic:cNvPicPr>
                            <a:picLocks noChangeAspect="1"/>
                          </pic:cNvPicPr>
                        </pic:nvPicPr>
                        <pic:blipFill>
                          <a:blip r:embed="rId33"/>
                          <a:stretch>
                            <a:fillRect/>
                          </a:stretch>
                        </pic:blipFill>
                        <pic:spPr>
                          <a:xfrm>
                            <a:off x="0" y="0"/>
                            <a:ext cx="491490" cy="3898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面火炉</w:t>
            </w:r>
          </w:p>
          <w:p>
            <w:pPr>
              <w:jc w:val="left"/>
              <w:rPr>
                <w:rFonts w:ascii="宋体" w:hAnsi="宋体" w:cs="宋体"/>
                <w:color w:val="auto"/>
                <w:sz w:val="22"/>
                <w:szCs w:val="22"/>
              </w:rPr>
            </w:pPr>
            <w:r>
              <w:rPr>
                <w:rFonts w:hint="eastAsia" w:ascii="宋体" w:hAnsi="宋体" w:cs="宋体"/>
                <w:color w:val="auto"/>
                <w:sz w:val="22"/>
                <w:szCs w:val="22"/>
              </w:rPr>
              <w:t>说明：用201不锈钢板制作。</w:t>
            </w:r>
          </w:p>
          <w:p>
            <w:pPr>
              <w:jc w:val="left"/>
              <w:rPr>
                <w:rFonts w:ascii="宋体" w:hAnsi="宋体" w:cs="宋体"/>
                <w:color w:val="auto"/>
                <w:sz w:val="22"/>
                <w:szCs w:val="22"/>
              </w:rPr>
            </w:pPr>
            <w:r>
              <w:rPr>
                <w:rFonts w:hint="eastAsia" w:ascii="宋体" w:hAnsi="宋体" w:cs="宋体"/>
                <w:color w:val="auto"/>
                <w:sz w:val="22"/>
                <w:szCs w:val="22"/>
              </w:rPr>
              <w:t>电压：220V</w:t>
            </w:r>
          </w:p>
          <w:p>
            <w:pPr>
              <w:jc w:val="left"/>
              <w:rPr>
                <w:rFonts w:ascii="宋体" w:hAnsi="宋体" w:cs="宋体"/>
                <w:color w:val="auto"/>
                <w:sz w:val="22"/>
                <w:szCs w:val="22"/>
              </w:rPr>
            </w:pPr>
            <w:r>
              <w:rPr>
                <w:rFonts w:hint="eastAsia" w:ascii="宋体" w:hAnsi="宋体" w:cs="宋体"/>
                <w:color w:val="auto"/>
                <w:sz w:val="22"/>
                <w:szCs w:val="22"/>
              </w:rPr>
              <w:t>功率：≥4kW</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800*450*470（±30mm）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97535" cy="4572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4"/>
                          <a:srcRect t="13669"/>
                          <a:stretch>
                            <a:fillRect/>
                          </a:stretch>
                        </pic:blipFill>
                        <pic:spPr>
                          <a:xfrm>
                            <a:off x="0" y="0"/>
                            <a:ext cx="597535"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破壁机</w:t>
            </w:r>
          </w:p>
          <w:p>
            <w:pPr>
              <w:jc w:val="left"/>
              <w:rPr>
                <w:rFonts w:ascii="宋体" w:hAnsi="宋体" w:cs="宋体"/>
                <w:color w:val="auto"/>
                <w:sz w:val="22"/>
                <w:szCs w:val="22"/>
              </w:rPr>
            </w:pPr>
            <w:r>
              <w:rPr>
                <w:rFonts w:hint="eastAsia" w:ascii="宋体" w:hAnsi="宋体" w:cs="宋体"/>
                <w:color w:val="auto"/>
                <w:sz w:val="22"/>
                <w:szCs w:val="22"/>
              </w:rPr>
              <w:t>容量：≥2L</w:t>
            </w:r>
          </w:p>
          <w:p>
            <w:pPr>
              <w:jc w:val="left"/>
              <w:rPr>
                <w:rFonts w:ascii="宋体" w:hAnsi="宋体" w:cs="宋体"/>
                <w:color w:val="auto"/>
                <w:sz w:val="22"/>
                <w:szCs w:val="22"/>
              </w:rPr>
            </w:pPr>
            <w:r>
              <w:rPr>
                <w:rFonts w:hint="eastAsia" w:ascii="宋体" w:hAnsi="宋体" w:cs="宋体"/>
                <w:color w:val="auto"/>
                <w:sz w:val="22"/>
                <w:szCs w:val="22"/>
              </w:rPr>
              <w:t>电压：220V</w:t>
            </w:r>
          </w:p>
          <w:p>
            <w:pPr>
              <w:jc w:val="left"/>
              <w:rPr>
                <w:rFonts w:ascii="宋体" w:hAnsi="宋体" w:cs="宋体"/>
                <w:color w:val="auto"/>
                <w:sz w:val="22"/>
                <w:szCs w:val="22"/>
              </w:rPr>
            </w:pPr>
            <w:r>
              <w:rPr>
                <w:rFonts w:hint="eastAsia" w:ascii="宋体" w:hAnsi="宋体" w:cs="宋体"/>
                <w:color w:val="auto"/>
                <w:sz w:val="22"/>
                <w:szCs w:val="22"/>
              </w:rPr>
              <w:t>功率：≥1.9kW</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≥2L</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28625" cy="752475"/>
                  <wp:effectExtent l="0" t="0" r="9525" b="9525"/>
                  <wp:docPr id="16" name="图片 16" descr="172370716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3707169197"/>
                          <pic:cNvPicPr>
                            <a:picLocks noChangeAspect="1"/>
                          </pic:cNvPicPr>
                        </pic:nvPicPr>
                        <pic:blipFill>
                          <a:blip r:embed="rId45"/>
                          <a:stretch>
                            <a:fillRect/>
                          </a:stretch>
                        </pic:blipFill>
                        <pic:spPr>
                          <a:xfrm>
                            <a:off x="0" y="0"/>
                            <a:ext cx="428625" cy="7524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9</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700*800*800（±30mm）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37" name="图片 37"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10</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电饼铛</w:t>
            </w:r>
            <w:r>
              <w:rPr>
                <w:rFonts w:hint="eastAsia" w:ascii="宋体" w:hAnsi="宋体" w:cs="宋体"/>
                <w:bCs/>
                <w:color w:val="auto"/>
                <w:sz w:val="22"/>
                <w:szCs w:val="22"/>
              </w:rPr>
              <w:br w:type="textWrapping"/>
            </w: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4.8KW</w:t>
            </w:r>
          </w:p>
          <w:p>
            <w:pPr>
              <w:jc w:val="left"/>
              <w:rPr>
                <w:rFonts w:ascii="宋体" w:hAnsi="宋体" w:cs="宋体"/>
                <w:bCs/>
                <w:color w:val="auto"/>
                <w:sz w:val="22"/>
                <w:szCs w:val="22"/>
              </w:rPr>
            </w:pPr>
            <w:r>
              <w:rPr>
                <w:rFonts w:hint="eastAsia" w:ascii="宋体" w:hAnsi="宋体" w:cs="宋体"/>
                <w:bCs/>
                <w:color w:val="auto"/>
                <w:sz w:val="22"/>
                <w:szCs w:val="22"/>
              </w:rPr>
              <w:t>电压：380V</w:t>
            </w:r>
          </w:p>
          <w:p>
            <w:pPr>
              <w:jc w:val="left"/>
              <w:rPr>
                <w:rFonts w:ascii="宋体" w:hAnsi="宋体" w:cs="宋体"/>
                <w:bCs/>
                <w:color w:val="auto"/>
                <w:sz w:val="22"/>
                <w:szCs w:val="22"/>
              </w:rPr>
            </w:pPr>
            <w:r>
              <w:rPr>
                <w:rFonts w:hint="eastAsia" w:ascii="宋体" w:hAnsi="宋体" w:cs="宋体"/>
                <w:bCs/>
                <w:color w:val="auto"/>
                <w:sz w:val="22"/>
                <w:szCs w:val="22"/>
              </w:rPr>
              <w:t>说明：双温控，自动恒温，铝制档体，直径</w:t>
            </w:r>
            <w:r>
              <w:rPr>
                <w:rFonts w:hint="eastAsia" w:ascii="宋体" w:hAnsi="宋体" w:cs="宋体"/>
                <w:color w:val="auto"/>
                <w:sz w:val="22"/>
                <w:szCs w:val="22"/>
              </w:rPr>
              <w:t>≥</w:t>
            </w:r>
            <w:r>
              <w:rPr>
                <w:rFonts w:hint="eastAsia" w:ascii="宋体" w:hAnsi="宋体" w:cs="宋体"/>
                <w:bCs/>
                <w:color w:val="auto"/>
                <w:sz w:val="22"/>
                <w:szCs w:val="22"/>
              </w:rPr>
              <w:t>53CM，锅口深</w:t>
            </w:r>
            <w:r>
              <w:rPr>
                <w:rFonts w:hint="eastAsia" w:ascii="宋体" w:hAnsi="宋体" w:cs="宋体"/>
                <w:color w:val="auto"/>
                <w:sz w:val="22"/>
                <w:szCs w:val="22"/>
              </w:rPr>
              <w:t>≥</w:t>
            </w:r>
            <w:r>
              <w:rPr>
                <w:rFonts w:hint="eastAsia" w:ascii="宋体" w:hAnsi="宋体" w:cs="宋体"/>
                <w:bCs/>
                <w:color w:val="auto"/>
                <w:sz w:val="22"/>
                <w:szCs w:val="22"/>
              </w:rPr>
              <w:t>2CM。</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660*760*840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bCs/>
                <w:color w:val="auto"/>
                <w:sz w:val="22"/>
                <w:szCs w:val="22"/>
              </w:rPr>
              <w:drawing>
                <wp:inline distT="0" distB="0" distL="114300" distR="114300">
                  <wp:extent cx="517525" cy="486410"/>
                  <wp:effectExtent l="0" t="0" r="15875" b="8890"/>
                  <wp:docPr id="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
                          <pic:cNvPicPr>
                            <a:picLocks noChangeAspect="1"/>
                          </pic:cNvPicPr>
                        </pic:nvPicPr>
                        <pic:blipFill>
                          <a:blip r:embed="rId46"/>
                          <a:stretch>
                            <a:fillRect/>
                          </a:stretch>
                        </pic:blipFill>
                        <pic:spPr>
                          <a:xfrm>
                            <a:off x="0" y="0"/>
                            <a:ext cx="517525" cy="486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11</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单头蒸包炉</w:t>
            </w:r>
          </w:p>
          <w:p>
            <w:pPr>
              <w:jc w:val="left"/>
              <w:rPr>
                <w:rFonts w:ascii="宋体" w:hAnsi="宋体" w:cs="宋体"/>
                <w:bCs/>
                <w:color w:val="auto"/>
                <w:sz w:val="22"/>
                <w:szCs w:val="22"/>
              </w:rPr>
            </w:pPr>
            <w:r>
              <w:rPr>
                <w:rFonts w:hint="eastAsia" w:ascii="宋体" w:hAnsi="宋体" w:cs="宋体"/>
                <w:bCs/>
                <w:color w:val="auto"/>
                <w:sz w:val="22"/>
                <w:szCs w:val="22"/>
              </w:rPr>
              <w:t>说明：用优质SUS304-2B不锈钢板制作，台面</w:t>
            </w:r>
            <w:r>
              <w:rPr>
                <w:rFonts w:hint="eastAsia" w:ascii="宋体" w:hAnsi="宋体" w:cs="宋体"/>
                <w:color w:val="auto"/>
                <w:sz w:val="22"/>
                <w:szCs w:val="22"/>
              </w:rPr>
              <w:t>δ≥</w:t>
            </w:r>
            <w:r>
              <w:rPr>
                <w:rFonts w:hint="eastAsia" w:ascii="宋体" w:hAnsi="宋体" w:cs="宋体"/>
                <w:bCs/>
                <w:color w:val="auto"/>
                <w:sz w:val="22"/>
                <w:szCs w:val="22"/>
              </w:rPr>
              <w:t>1.2mm。脚为304不锈钢方管</w:t>
            </w:r>
            <w:r>
              <w:rPr>
                <w:rFonts w:hint="eastAsia" w:ascii="宋体" w:hAnsi="宋体" w:cs="宋体"/>
                <w:color w:val="auto"/>
                <w:sz w:val="22"/>
                <w:szCs w:val="22"/>
              </w:rPr>
              <w:t>≥</w:t>
            </w:r>
            <w:r>
              <w:rPr>
                <w:rFonts w:hint="eastAsia" w:ascii="宋体" w:hAnsi="宋体" w:cs="宋体"/>
                <w:bCs/>
                <w:color w:val="auto"/>
                <w:sz w:val="22"/>
                <w:szCs w:val="22"/>
              </w:rPr>
              <w:t>38*38*1.0mm（配304不锈钢可调子弹脚）。</w:t>
            </w:r>
          </w:p>
          <w:p>
            <w:pPr>
              <w:jc w:val="left"/>
              <w:rPr>
                <w:rFonts w:ascii="宋体" w:hAnsi="宋体" w:cs="宋体"/>
                <w:bCs/>
                <w:color w:val="auto"/>
                <w:sz w:val="22"/>
                <w:szCs w:val="22"/>
              </w:rPr>
            </w:pPr>
            <w:r>
              <w:rPr>
                <w:rFonts w:hint="eastAsia" w:ascii="宋体" w:hAnsi="宋体" w:cs="宋体"/>
                <w:bCs/>
                <w:color w:val="auto"/>
                <w:sz w:val="22"/>
                <w:szCs w:val="22"/>
              </w:rPr>
              <w:t>电压：380V</w:t>
            </w:r>
          </w:p>
          <w:p>
            <w:pPr>
              <w:jc w:val="left"/>
              <w:rPr>
                <w:rFonts w:ascii="宋体" w:hAnsi="宋体" w:cs="宋体"/>
                <w:bCs/>
                <w:color w:val="auto"/>
                <w:sz w:val="22"/>
                <w:szCs w:val="22"/>
              </w:rPr>
            </w:pP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12KW</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800*800*800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513715" cy="693420"/>
                  <wp:effectExtent l="0" t="0" r="4445" b="7620"/>
                  <wp:docPr id="38" name="图片 38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6" descr="IMG_259"/>
                          <pic:cNvPicPr>
                            <a:picLocks noChangeAspect="1"/>
                          </pic:cNvPicPr>
                        </pic:nvPicPr>
                        <pic:blipFill>
                          <a:blip r:embed="rId47"/>
                          <a:stretch>
                            <a:fillRect/>
                          </a:stretch>
                        </pic:blipFill>
                        <pic:spPr>
                          <a:xfrm>
                            <a:off x="0" y="0"/>
                            <a:ext cx="513715" cy="6934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12</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四门双温冰箱</w:t>
            </w:r>
          </w:p>
          <w:p>
            <w:pPr>
              <w:jc w:val="left"/>
              <w:rPr>
                <w:rFonts w:ascii="宋体" w:hAnsi="宋体" w:cs="宋体"/>
                <w:bCs/>
                <w:color w:val="auto"/>
                <w:sz w:val="22"/>
                <w:szCs w:val="22"/>
              </w:rPr>
            </w:pPr>
            <w:r>
              <w:rPr>
                <w:rFonts w:hint="eastAsia" w:ascii="宋体" w:hAnsi="宋体" w:cs="宋体"/>
                <w:bCs/>
                <w:color w:val="auto"/>
                <w:sz w:val="22"/>
                <w:szCs w:val="22"/>
              </w:rPr>
              <w:t>说明：高效压缩机，制冷强劲，低至-18度；高密度微孔发泡层，真空绝热板，隔热锁冷；电子智能温控，精准控温；整机无磁不锈钢板，加厚门里，耐用易清洁；内嵌电热丝，自动除凝露；高强度万向轮，自由移动。</w:t>
            </w:r>
          </w:p>
          <w:p>
            <w:pPr>
              <w:jc w:val="left"/>
              <w:rPr>
                <w:rFonts w:ascii="宋体" w:hAnsi="宋体" w:cs="宋体"/>
                <w:bCs/>
                <w:color w:val="auto"/>
                <w:sz w:val="22"/>
                <w:szCs w:val="22"/>
              </w:rPr>
            </w:pPr>
            <w:r>
              <w:rPr>
                <w:rFonts w:hint="eastAsia" w:ascii="宋体" w:hAnsi="宋体" w:cs="宋体"/>
                <w:bCs/>
                <w:color w:val="auto"/>
                <w:sz w:val="22"/>
                <w:szCs w:val="22"/>
              </w:rPr>
              <w:t>温度范围：-5℃~5℃，-6℃~-18℃</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1215*750*1980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65150" cy="721360"/>
                  <wp:effectExtent l="0" t="0" r="6350" b="2540"/>
                  <wp:docPr id="3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150" cy="721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单向调理柜</w:t>
            </w:r>
          </w:p>
          <w:p>
            <w:pPr>
              <w:jc w:val="left"/>
              <w:rPr>
                <w:rFonts w:ascii="宋体" w:hAnsi="宋体" w:cs="宋体"/>
                <w:color w:val="auto"/>
                <w:sz w:val="22"/>
                <w:szCs w:val="22"/>
              </w:rPr>
            </w:pPr>
            <w:r>
              <w:rPr>
                <w:rFonts w:hint="eastAsia" w:ascii="宋体" w:hAnsi="宋体" w:cs="宋体"/>
                <w:color w:val="auto"/>
                <w:sz w:val="22"/>
                <w:szCs w:val="22"/>
              </w:rPr>
              <w:t>说明：用SUS304-2B不锈钢板制作，面板厚度≥1.2mm，侧板厚度≥1.0mm，柜内中置一层304不锈钢隔板，配304不锈钢移门，配304不锈钢可调节子弹脚。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1100*800*800（±30mm）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824865" cy="487045"/>
                  <wp:effectExtent l="0" t="0" r="13335" b="8255"/>
                  <wp:docPr id="3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40"/>
                          <pic:cNvPicPr>
                            <a:picLocks noChangeAspect="1"/>
                          </pic:cNvPicPr>
                        </pic:nvPicPr>
                        <pic:blipFill>
                          <a:blip r:embed="rId28"/>
                          <a:stretch>
                            <a:fillRect/>
                          </a:stretch>
                        </pic:blipFill>
                        <pic:spPr>
                          <a:xfrm>
                            <a:off x="0" y="0"/>
                            <a:ext cx="824865" cy="487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不锈钢油烟网罩</w:t>
            </w:r>
          </w:p>
          <w:p>
            <w:pPr>
              <w:jc w:val="left"/>
              <w:rPr>
                <w:rFonts w:ascii="宋体" w:hAnsi="宋体" w:cs="宋体"/>
                <w:color w:val="auto"/>
                <w:sz w:val="22"/>
                <w:szCs w:val="22"/>
              </w:rPr>
            </w:pPr>
            <w:r>
              <w:rPr>
                <w:rFonts w:hint="eastAsia" w:ascii="宋体" w:hAnsi="宋体" w:cs="宋体"/>
                <w:color w:val="auto"/>
                <w:sz w:val="22"/>
                <w:szCs w:val="22"/>
              </w:rPr>
              <w:t>说明：用SUS304-2B不锈钢板制作，δ≥1.2mm。配不锈钢隔油网、防爆灯及积油杯。</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2600*1000*500（±30mm）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2.6</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91490" cy="389890"/>
                  <wp:effectExtent l="0" t="0" r="3810" b="10160"/>
                  <wp:docPr id="337" name="图片 50" descr="吸排油烟罩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50" descr="吸排油烟罩 拷贝"/>
                          <pic:cNvPicPr>
                            <a:picLocks noChangeAspect="1"/>
                          </pic:cNvPicPr>
                        </pic:nvPicPr>
                        <pic:blipFill>
                          <a:blip r:embed="rId33"/>
                          <a:stretch>
                            <a:fillRect/>
                          </a:stretch>
                        </pic:blipFill>
                        <pic:spPr>
                          <a:xfrm>
                            <a:off x="0" y="0"/>
                            <a:ext cx="491490" cy="3898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灭蝇灯</w:t>
            </w:r>
          </w:p>
          <w:p>
            <w:pPr>
              <w:jc w:val="left"/>
              <w:rPr>
                <w:rFonts w:ascii="宋体" w:hAnsi="宋体" w:cs="宋体"/>
                <w:color w:val="auto"/>
                <w:sz w:val="22"/>
                <w:szCs w:val="22"/>
              </w:rPr>
            </w:pPr>
            <w:r>
              <w:rPr>
                <w:rFonts w:hint="eastAsia" w:ascii="宋体" w:hAnsi="宋体" w:cs="宋体"/>
                <w:color w:val="auto"/>
                <w:sz w:val="22"/>
                <w:szCs w:val="22"/>
              </w:rPr>
              <w:t>电压(V)：220V</w:t>
            </w:r>
          </w:p>
          <w:p>
            <w:pPr>
              <w:jc w:val="left"/>
              <w:rPr>
                <w:rFonts w:ascii="宋体" w:hAnsi="宋体" w:cs="宋体"/>
                <w:color w:val="auto"/>
                <w:sz w:val="22"/>
                <w:szCs w:val="22"/>
              </w:rPr>
            </w:pPr>
            <w:r>
              <w:rPr>
                <w:rFonts w:hint="eastAsia" w:ascii="宋体" w:hAnsi="宋体" w:cs="宋体"/>
                <w:color w:val="auto"/>
                <w:sz w:val="22"/>
                <w:szCs w:val="22"/>
              </w:rPr>
              <w:t>功率(W)：≥8W</w:t>
            </w:r>
          </w:p>
          <w:p>
            <w:pPr>
              <w:jc w:val="left"/>
              <w:rPr>
                <w:rFonts w:ascii="宋体" w:hAnsi="宋体" w:cs="宋体"/>
                <w:color w:val="auto"/>
                <w:sz w:val="22"/>
                <w:szCs w:val="22"/>
              </w:rPr>
            </w:pPr>
            <w:r>
              <w:rPr>
                <w:rFonts w:hint="eastAsia" w:ascii="宋体" w:hAnsi="宋体" w:cs="宋体"/>
                <w:color w:val="auto"/>
                <w:sz w:val="22"/>
                <w:szCs w:val="22"/>
              </w:rPr>
              <w:t>固定方式：壁挂式</w:t>
            </w:r>
          </w:p>
          <w:p>
            <w:pPr>
              <w:jc w:val="left"/>
              <w:rPr>
                <w:rFonts w:ascii="宋体" w:hAnsi="宋体" w:cs="宋体"/>
                <w:color w:val="auto"/>
                <w:sz w:val="22"/>
                <w:szCs w:val="22"/>
              </w:rPr>
            </w:pPr>
            <w:r>
              <w:rPr>
                <w:rFonts w:hint="eastAsia" w:ascii="宋体" w:hAnsi="宋体" w:cs="宋体"/>
                <w:color w:val="auto"/>
                <w:sz w:val="22"/>
                <w:szCs w:val="22"/>
              </w:rPr>
              <w:t>适用面积：20㎡-50㎡</w:t>
            </w:r>
          </w:p>
        </w:tc>
        <w:tc>
          <w:tcPr>
            <w:tcW w:w="1450" w:type="dxa"/>
            <w:vAlign w:val="center"/>
          </w:tcPr>
          <w:p>
            <w:pPr>
              <w:jc w:val="center"/>
              <w:rPr>
                <w:rFonts w:ascii="宋体" w:hAnsi="宋体" w:cs="宋体"/>
                <w:bCs/>
                <w:color w:val="auto"/>
                <w:sz w:val="22"/>
                <w:szCs w:val="22"/>
              </w:rPr>
            </w:pPr>
            <w:r>
              <w:rPr>
                <w:rFonts w:hint="eastAsia" w:ascii="宋体" w:hAnsi="宋体" w:cs="宋体"/>
                <w:color w:val="auto"/>
                <w:sz w:val="22"/>
                <w:szCs w:val="22"/>
              </w:rPr>
              <w:t>≥8W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kern w:val="0"/>
                <w:sz w:val="22"/>
                <w:szCs w:val="22"/>
              </w:rPr>
            </w:pPr>
            <w:r>
              <w:rPr>
                <w:rFonts w:hint="eastAsia" w:ascii="宋体" w:hAnsi="宋体" w:cs="宋体"/>
                <w:bCs/>
                <w:color w:val="auto"/>
                <w:sz w:val="22"/>
                <w:szCs w:val="22"/>
              </w:rPr>
              <w:drawing>
                <wp:inline distT="0" distB="0" distL="114300" distR="114300">
                  <wp:extent cx="739140" cy="758190"/>
                  <wp:effectExtent l="0" t="0" r="3810" b="3810"/>
                  <wp:docPr id="338"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5"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16</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单星水池</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1</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bCs/>
                <w:color w:val="auto"/>
                <w:sz w:val="22"/>
                <w:szCs w:val="22"/>
              </w:rPr>
            </w:pPr>
            <w:r>
              <w:rPr>
                <w:rFonts w:hint="eastAsia" w:ascii="宋体" w:hAnsi="宋体" w:cs="宋体"/>
                <w:b/>
                <w:bCs/>
                <w:color w:val="auto"/>
                <w:sz w:val="32"/>
                <w:szCs w:val="32"/>
              </w:rPr>
              <w:t>售卖间</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五格保温台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说明：用SUS304-2B不锈钢板制作。台面δ≥1.2㎜,侧板δ≥1.0㎜。</w:t>
            </w:r>
          </w:p>
          <w:p>
            <w:pPr>
              <w:jc w:val="left"/>
              <w:rPr>
                <w:rFonts w:ascii="宋体" w:hAnsi="宋体" w:cs="宋体"/>
                <w:bCs/>
                <w:color w:val="auto"/>
                <w:sz w:val="22"/>
                <w:szCs w:val="22"/>
              </w:rPr>
            </w:pPr>
            <w:r>
              <w:rPr>
                <w:rFonts w:hint="eastAsia" w:ascii="宋体" w:hAnsi="宋体" w:cs="宋体"/>
                <w:color w:val="auto"/>
                <w:sz w:val="22"/>
                <w:szCs w:val="22"/>
              </w:rPr>
              <w:t>脚采用304不锈钢圆管≥Φ38*1.0㎜。配有温控，配5只1/1份数斗。</w:t>
            </w:r>
            <w:r>
              <w:rPr>
                <w:rFonts w:hint="eastAsia" w:ascii="宋体" w:hAnsi="宋体" w:cs="宋体"/>
                <w:bCs/>
                <w:color w:val="auto"/>
                <w:sz w:val="22"/>
                <w:szCs w:val="22"/>
              </w:rPr>
              <w:br w:type="textWrapping"/>
            </w: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3KW</w:t>
            </w:r>
          </w:p>
          <w:p>
            <w:pPr>
              <w:jc w:val="left"/>
              <w:rPr>
                <w:rFonts w:ascii="宋体" w:hAnsi="宋体" w:cs="宋体"/>
                <w:color w:val="auto"/>
                <w:sz w:val="22"/>
                <w:szCs w:val="22"/>
              </w:rPr>
            </w:pPr>
            <w:r>
              <w:rPr>
                <w:rFonts w:hint="eastAsia" w:ascii="宋体" w:hAnsi="宋体" w:cs="宋体"/>
                <w:bCs/>
                <w:color w:val="auto"/>
                <w:sz w:val="22"/>
                <w:szCs w:val="22"/>
              </w:rPr>
              <w:t>电压：220V</w:t>
            </w:r>
          </w:p>
          <w:p>
            <w:pPr>
              <w:jc w:val="left"/>
              <w:rPr>
                <w:rFonts w:ascii="宋体" w:hAnsi="宋体" w:cs="宋体"/>
                <w:color w:val="auto"/>
                <w:sz w:val="22"/>
                <w:szCs w:val="22"/>
              </w:rPr>
            </w:pPr>
            <w:r>
              <w:rPr>
                <w:rFonts w:hint="eastAsia" w:ascii="宋体" w:hAnsi="宋体" w:cs="宋体"/>
                <w:b/>
                <w:bCs/>
                <w:color w:val="auto"/>
                <w:sz w:val="22"/>
                <w:szCs w:val="22"/>
              </w:rPr>
              <w:t>符合食品接触产品安全认证及卫生认证要求，并提供相关证明材料</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1800*700*800（±30mm）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48640" cy="419100"/>
                  <wp:effectExtent l="0" t="0" r="3810" b="0"/>
                  <wp:docPr id="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pic:cNvPicPr>
                            <a:picLocks noChangeAspect="1"/>
                          </pic:cNvPicPr>
                        </pic:nvPicPr>
                        <pic:blipFill>
                          <a:blip r:embed="rId48"/>
                          <a:stretch>
                            <a:fillRect/>
                          </a:stretch>
                        </pic:blipFill>
                        <pic:spPr>
                          <a:xfrm>
                            <a:off x="0" y="0"/>
                            <a:ext cx="548640" cy="4191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保温售菜台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说明：用SUS304-2B不锈钢板制作。台面δ≥1.2㎜,侧板δ≥1.0㎜。</w:t>
            </w:r>
          </w:p>
          <w:p>
            <w:pPr>
              <w:jc w:val="left"/>
              <w:rPr>
                <w:rFonts w:ascii="宋体" w:hAnsi="宋体" w:cs="宋体"/>
                <w:bCs/>
                <w:color w:val="auto"/>
                <w:sz w:val="22"/>
                <w:szCs w:val="22"/>
              </w:rPr>
            </w:pPr>
            <w:r>
              <w:rPr>
                <w:rFonts w:hint="eastAsia" w:ascii="宋体" w:hAnsi="宋体" w:cs="宋体"/>
                <w:color w:val="auto"/>
                <w:sz w:val="22"/>
                <w:szCs w:val="22"/>
              </w:rPr>
              <w:t>脚采用304不锈钢圆管≥Φ38*1.0㎜。配有温控。</w:t>
            </w:r>
            <w:r>
              <w:rPr>
                <w:rFonts w:hint="eastAsia" w:ascii="宋体" w:hAnsi="宋体" w:cs="宋体"/>
                <w:bCs/>
                <w:color w:val="auto"/>
                <w:sz w:val="22"/>
                <w:szCs w:val="22"/>
              </w:rPr>
              <w:br w:type="textWrapping"/>
            </w:r>
            <w:r>
              <w:rPr>
                <w:rFonts w:hint="eastAsia" w:ascii="宋体" w:hAnsi="宋体" w:cs="宋体"/>
                <w:bCs/>
                <w:color w:val="auto"/>
                <w:sz w:val="22"/>
                <w:szCs w:val="22"/>
              </w:rPr>
              <w:t>功率：</w:t>
            </w:r>
            <w:r>
              <w:rPr>
                <w:rFonts w:hint="eastAsia" w:ascii="宋体" w:hAnsi="宋体" w:cs="宋体"/>
                <w:color w:val="auto"/>
                <w:sz w:val="22"/>
                <w:szCs w:val="22"/>
              </w:rPr>
              <w:t>≥</w:t>
            </w:r>
            <w:r>
              <w:rPr>
                <w:rFonts w:hint="eastAsia" w:ascii="宋体" w:hAnsi="宋体" w:cs="宋体"/>
                <w:bCs/>
                <w:color w:val="auto"/>
                <w:sz w:val="22"/>
                <w:szCs w:val="22"/>
              </w:rPr>
              <w:t>3KW</w:t>
            </w:r>
          </w:p>
          <w:p>
            <w:pPr>
              <w:jc w:val="left"/>
              <w:rPr>
                <w:rFonts w:ascii="宋体" w:hAnsi="宋体" w:cs="宋体"/>
                <w:color w:val="auto"/>
                <w:sz w:val="22"/>
                <w:szCs w:val="22"/>
              </w:rPr>
            </w:pPr>
            <w:r>
              <w:rPr>
                <w:rFonts w:hint="eastAsia" w:ascii="宋体" w:hAnsi="宋体" w:cs="宋体"/>
                <w:bCs/>
                <w:color w:val="auto"/>
                <w:sz w:val="22"/>
                <w:szCs w:val="22"/>
              </w:rPr>
              <w:t>电压：220V</w:t>
            </w:r>
          </w:p>
          <w:p>
            <w:pPr>
              <w:jc w:val="left"/>
              <w:rPr>
                <w:rFonts w:ascii="宋体" w:hAnsi="宋体" w:cs="宋体"/>
                <w:color w:val="auto"/>
                <w:sz w:val="22"/>
                <w:szCs w:val="22"/>
              </w:rPr>
            </w:pPr>
            <w:r>
              <w:rPr>
                <w:rFonts w:hint="eastAsia" w:ascii="宋体" w:hAnsi="宋体" w:cs="宋体"/>
                <w:b/>
                <w:bCs/>
                <w:color w:val="auto"/>
                <w:sz w:val="22"/>
                <w:szCs w:val="22"/>
              </w:rPr>
              <w:t>符合食品接触产品安全认证及卫生认证要求，并提供相关证明材料</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1500*700*800（±30mm）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808990" cy="456565"/>
                  <wp:effectExtent l="0" t="0" r="10160" b="6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9"/>
                          <a:stretch>
                            <a:fillRect/>
                          </a:stretch>
                        </pic:blipFill>
                        <pic:spPr>
                          <a:xfrm>
                            <a:off x="0" y="0"/>
                            <a:ext cx="808990" cy="456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1000*700*800（±30mm）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14" name="图片 14"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1200*700*800（±30mm）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18" name="图片 18"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留样冰箱</w:t>
            </w:r>
          </w:p>
          <w:p>
            <w:pPr>
              <w:jc w:val="left"/>
              <w:rPr>
                <w:rFonts w:ascii="宋体" w:hAnsi="宋体" w:cs="宋体"/>
                <w:bCs/>
                <w:color w:val="auto"/>
                <w:sz w:val="22"/>
                <w:szCs w:val="22"/>
              </w:rPr>
            </w:pPr>
            <w:r>
              <w:rPr>
                <w:rFonts w:hint="eastAsia" w:ascii="宋体" w:hAnsi="宋体" w:cs="宋体"/>
                <w:bCs/>
                <w:color w:val="auto"/>
                <w:sz w:val="22"/>
                <w:szCs w:val="22"/>
              </w:rPr>
              <w:t>制冷方式：直冷</w:t>
            </w:r>
          </w:p>
          <w:p>
            <w:pPr>
              <w:jc w:val="left"/>
              <w:rPr>
                <w:rFonts w:ascii="宋体" w:hAnsi="宋体" w:cs="宋体"/>
                <w:bCs/>
                <w:color w:val="auto"/>
                <w:sz w:val="22"/>
                <w:szCs w:val="22"/>
              </w:rPr>
            </w:pPr>
            <w:r>
              <w:rPr>
                <w:rFonts w:hint="eastAsia" w:ascii="宋体" w:hAnsi="宋体" w:cs="宋体"/>
                <w:bCs/>
                <w:color w:val="auto"/>
                <w:sz w:val="22"/>
                <w:szCs w:val="22"/>
              </w:rPr>
              <w:t>温度：0-10℃</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515*580*1510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台</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468630" cy="735965"/>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stretch>
                            <a:fillRect/>
                          </a:stretch>
                        </pic:blipFill>
                        <pic:spPr>
                          <a:xfrm>
                            <a:off x="0" y="0"/>
                            <a:ext cx="468630" cy="735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1800*600*800（±30mm）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36" name="图片 36"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1500*600*800（±30mm）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40" name="图片 40"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紫外线消毒灯</w:t>
            </w:r>
          </w:p>
          <w:p>
            <w:pPr>
              <w:jc w:val="left"/>
              <w:rPr>
                <w:rFonts w:ascii="宋体" w:hAnsi="宋体" w:cs="宋体"/>
                <w:color w:val="auto"/>
                <w:sz w:val="22"/>
                <w:szCs w:val="22"/>
              </w:rPr>
            </w:pPr>
            <w:r>
              <w:rPr>
                <w:rFonts w:hint="eastAsia" w:ascii="宋体" w:hAnsi="宋体" w:cs="宋体"/>
                <w:color w:val="auto"/>
                <w:sz w:val="22"/>
                <w:szCs w:val="22"/>
              </w:rPr>
              <w:t>说明：采用石英玻璃管，羟基含量≤50ppm、紫外线透过率≥90%。</w:t>
            </w:r>
          </w:p>
          <w:p>
            <w:pPr>
              <w:jc w:val="left"/>
              <w:rPr>
                <w:rFonts w:ascii="宋体" w:hAnsi="宋体" w:cs="宋体"/>
                <w:color w:val="auto"/>
                <w:sz w:val="22"/>
                <w:szCs w:val="22"/>
              </w:rPr>
            </w:pPr>
            <w:r>
              <w:rPr>
                <w:rFonts w:hint="eastAsia" w:ascii="宋体" w:hAnsi="宋体" w:cs="宋体"/>
                <w:color w:val="auto"/>
                <w:sz w:val="22"/>
                <w:szCs w:val="22"/>
              </w:rPr>
              <w:t>电压：220V</w:t>
            </w:r>
          </w:p>
          <w:p>
            <w:pPr>
              <w:jc w:val="left"/>
              <w:rPr>
                <w:rFonts w:ascii="宋体" w:hAnsi="宋体" w:cs="宋体"/>
                <w:b/>
                <w:bCs/>
                <w:color w:val="auto"/>
                <w:sz w:val="22"/>
                <w:szCs w:val="22"/>
              </w:rPr>
            </w:pPr>
            <w:r>
              <w:rPr>
                <w:rFonts w:hint="eastAsia" w:ascii="宋体" w:hAnsi="宋体" w:cs="宋体"/>
                <w:color w:val="auto"/>
                <w:sz w:val="22"/>
                <w:szCs w:val="22"/>
              </w:rPr>
              <w:t>功率：≥36W</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≥36W</w:t>
            </w:r>
          </w:p>
        </w:tc>
        <w:tc>
          <w:tcPr>
            <w:tcW w:w="643"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sz w:val="22"/>
                <w:szCs w:val="22"/>
              </w:rPr>
              <w:t>4</w:t>
            </w:r>
          </w:p>
        </w:tc>
        <w:tc>
          <w:tcPr>
            <w:tcW w:w="1399" w:type="dxa"/>
            <w:vAlign w:val="center"/>
          </w:tcPr>
          <w:p>
            <w:pPr>
              <w:widowControl/>
              <w:jc w:val="center"/>
              <w:textAlignment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57200" cy="314325"/>
                  <wp:effectExtent l="0" t="0" r="0" b="9525"/>
                  <wp:docPr id="42" name="图片 63" descr="170208933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3" descr="1702089331245"/>
                          <pic:cNvPicPr>
                            <a:picLocks noChangeAspect="1"/>
                          </pic:cNvPicPr>
                        </pic:nvPicPr>
                        <pic:blipFill>
                          <a:blip r:embed="rId51"/>
                          <a:stretch>
                            <a:fillRect/>
                          </a:stretch>
                        </pic:blipFill>
                        <pic:spPr>
                          <a:xfrm>
                            <a:off x="0" y="0"/>
                            <a:ext cx="457200" cy="3143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9</w:t>
            </w:r>
          </w:p>
        </w:tc>
        <w:tc>
          <w:tcPr>
            <w:tcW w:w="4338" w:type="dxa"/>
            <w:shd w:val="clear" w:color="auto" w:fill="auto"/>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tc>
        <w:tc>
          <w:tcPr>
            <w:tcW w:w="1450" w:type="dxa"/>
            <w:shd w:val="clear" w:color="auto" w:fill="auto"/>
            <w:vAlign w:val="center"/>
          </w:tcPr>
          <w:p>
            <w:pPr>
              <w:jc w:val="center"/>
              <w:rPr>
                <w:rFonts w:ascii="宋体" w:hAnsi="宋体" w:cs="宋体"/>
                <w:color w:val="auto"/>
                <w:sz w:val="22"/>
                <w:szCs w:val="22"/>
              </w:rPr>
            </w:pPr>
            <w:r>
              <w:rPr>
                <w:rFonts w:hint="eastAsia" w:ascii="宋体" w:hAnsi="宋体" w:cs="宋体"/>
                <w:color w:val="auto"/>
                <w:sz w:val="22"/>
                <w:szCs w:val="22"/>
              </w:rPr>
              <w:t>自备（利旧）</w:t>
            </w:r>
          </w:p>
        </w:tc>
        <w:tc>
          <w:tcPr>
            <w:tcW w:w="6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只</w:t>
            </w:r>
          </w:p>
        </w:tc>
        <w:tc>
          <w:tcPr>
            <w:tcW w:w="843" w:type="dxa"/>
            <w:shd w:val="clear" w:color="auto" w:fill="auto"/>
            <w:vAlign w:val="center"/>
          </w:tcPr>
          <w:p>
            <w:pPr>
              <w:jc w:val="center"/>
              <w:rPr>
                <w:rFonts w:ascii="宋体" w:hAnsi="宋体" w:eastAsia="宋体" w:cs="宋体"/>
                <w:color w:val="auto"/>
                <w:kern w:val="2"/>
                <w:sz w:val="22"/>
                <w:szCs w:val="22"/>
                <w:lang w:val="en-US" w:eastAsia="zh-CN" w:bidi="ar-SA"/>
              </w:rPr>
            </w:pPr>
            <w:r>
              <w:rPr>
                <w:rFonts w:hint="eastAsia" w:ascii="宋体" w:hAnsi="宋体" w:cs="宋体"/>
                <w:color w:val="auto"/>
                <w:sz w:val="22"/>
                <w:szCs w:val="22"/>
              </w:rPr>
              <w:t>2</w:t>
            </w:r>
          </w:p>
        </w:tc>
        <w:tc>
          <w:tcPr>
            <w:tcW w:w="1399" w:type="dxa"/>
            <w:shd w:val="clear" w:color="auto" w:fill="auto"/>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不锈钢消毒房</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不锈钢消毒房</w:t>
            </w:r>
          </w:p>
          <w:p>
            <w:pPr>
              <w:jc w:val="left"/>
              <w:rPr>
                <w:rFonts w:ascii="宋体" w:hAnsi="宋体" w:cs="宋体"/>
                <w:color w:val="auto"/>
                <w:sz w:val="22"/>
                <w:szCs w:val="22"/>
              </w:rPr>
            </w:pPr>
            <w:r>
              <w:rPr>
                <w:rFonts w:hint="eastAsia" w:ascii="宋体" w:hAnsi="宋体" w:cs="宋体"/>
                <w:color w:val="auto"/>
                <w:sz w:val="22"/>
                <w:szCs w:val="22"/>
              </w:rPr>
              <w:t>说明：1.库体内壁采用SUS304-2B不锈钢板，厚度为δ≥1.2mm；库体外壁采用SUS304-2B不锈钢板，厚度为δ≥1.2mm。库体为≥80mm厚专用保温板，门为钢化玻璃，可耐高温≥300度。地板加铺≥5mm厚防滑铝板，防止湿滑，更加人性化。库内配防水、防潮灯。</w:t>
            </w:r>
          </w:p>
          <w:p>
            <w:pPr>
              <w:jc w:val="left"/>
              <w:rPr>
                <w:rFonts w:ascii="宋体" w:hAnsi="宋体" w:cs="宋体"/>
                <w:color w:val="auto"/>
                <w:sz w:val="22"/>
                <w:szCs w:val="22"/>
              </w:rPr>
            </w:pPr>
            <w:r>
              <w:rPr>
                <w:rFonts w:hint="eastAsia" w:ascii="宋体" w:hAnsi="宋体" w:cs="宋体"/>
                <w:color w:val="auto"/>
                <w:sz w:val="22"/>
                <w:szCs w:val="22"/>
              </w:rPr>
              <w:t>2.控制箱面板上装有温度显示设定，消毒保温时间设定、及风机加热启动停止等操作按钮，操作方便；消毒温度、时间可控、数字显示、直观准确。</w:t>
            </w:r>
          </w:p>
          <w:p>
            <w:pPr>
              <w:jc w:val="left"/>
              <w:rPr>
                <w:rFonts w:ascii="宋体" w:hAnsi="宋体" w:cs="宋体"/>
                <w:color w:val="auto"/>
                <w:sz w:val="22"/>
                <w:szCs w:val="22"/>
              </w:rPr>
            </w:pPr>
            <w:r>
              <w:rPr>
                <w:rFonts w:hint="eastAsia" w:ascii="宋体" w:hAnsi="宋体" w:cs="宋体"/>
                <w:color w:val="auto"/>
                <w:sz w:val="22"/>
                <w:szCs w:val="22"/>
              </w:rPr>
              <w:t>3.该设备利用循环热风对洗净的餐器具进行杀菌、消毒，循环热风使库体内的各点温度保持一致，库内的餐具消毒更加彻底，该设备并具有烘干、贮存等功效。</w:t>
            </w:r>
          </w:p>
          <w:p>
            <w:pPr>
              <w:jc w:val="left"/>
              <w:rPr>
                <w:rFonts w:ascii="宋体" w:hAnsi="宋体" w:cs="宋体"/>
                <w:color w:val="auto"/>
                <w:sz w:val="22"/>
                <w:szCs w:val="22"/>
              </w:rPr>
            </w:pPr>
            <w:r>
              <w:rPr>
                <w:rFonts w:hint="eastAsia" w:ascii="宋体" w:hAnsi="宋体" w:cs="宋体"/>
                <w:color w:val="auto"/>
                <w:sz w:val="22"/>
                <w:szCs w:val="22"/>
              </w:rPr>
              <w:t>4.加热机组产生的热量，由风机强制经风道吹入消毒室，热风反复循环使餐具得到充分的消毒和干燥，循环热风使库体内的各点温度保持一致，库内餐具消毒更彻底。</w:t>
            </w:r>
          </w:p>
          <w:p>
            <w:pPr>
              <w:jc w:val="left"/>
              <w:rPr>
                <w:rFonts w:ascii="宋体" w:hAnsi="宋体" w:cs="宋体"/>
                <w:color w:val="auto"/>
                <w:sz w:val="22"/>
                <w:szCs w:val="22"/>
              </w:rPr>
            </w:pPr>
            <w:r>
              <w:rPr>
                <w:rFonts w:hint="eastAsia" w:ascii="宋体" w:hAnsi="宋体" w:cs="宋体"/>
                <w:color w:val="auto"/>
                <w:sz w:val="22"/>
                <w:szCs w:val="22"/>
              </w:rPr>
              <w:t>5.此设备具备容量大、适用性强、升温快、造价低、体积可根作等优点。</w:t>
            </w:r>
          </w:p>
          <w:p>
            <w:pPr>
              <w:jc w:val="left"/>
              <w:rPr>
                <w:rFonts w:ascii="宋体" w:hAnsi="宋体" w:cs="宋体"/>
                <w:color w:val="auto"/>
                <w:sz w:val="22"/>
                <w:szCs w:val="22"/>
              </w:rPr>
            </w:pPr>
            <w:r>
              <w:rPr>
                <w:rFonts w:hint="eastAsia" w:ascii="宋体" w:hAnsi="宋体" w:cs="宋体"/>
                <w:color w:val="auto"/>
                <w:sz w:val="22"/>
                <w:szCs w:val="22"/>
              </w:rPr>
              <w:t>6.消毒温度在120℃以上，消毒时间90分钟以上。</w:t>
            </w:r>
          </w:p>
          <w:p>
            <w:pPr>
              <w:jc w:val="left"/>
              <w:rPr>
                <w:rFonts w:ascii="宋体" w:hAnsi="宋体" w:cs="宋体"/>
                <w:color w:val="auto"/>
                <w:sz w:val="22"/>
                <w:szCs w:val="22"/>
              </w:rPr>
            </w:pPr>
            <w:r>
              <w:rPr>
                <w:rFonts w:hint="eastAsia" w:ascii="宋体" w:hAnsi="宋体" w:cs="宋体"/>
                <w:color w:val="auto"/>
                <w:sz w:val="22"/>
                <w:szCs w:val="22"/>
              </w:rPr>
              <w:t>7.功率：≥36kW</w:t>
            </w:r>
          </w:p>
          <w:p>
            <w:pPr>
              <w:jc w:val="left"/>
              <w:rPr>
                <w:rFonts w:ascii="宋体" w:hAnsi="宋体" w:cs="宋体"/>
                <w:color w:val="auto"/>
                <w:sz w:val="22"/>
                <w:szCs w:val="22"/>
              </w:rPr>
            </w:pPr>
            <w:r>
              <w:rPr>
                <w:rFonts w:hint="eastAsia" w:ascii="宋体" w:hAnsi="宋体" w:cs="宋体"/>
                <w:color w:val="auto"/>
                <w:sz w:val="22"/>
                <w:szCs w:val="22"/>
              </w:rPr>
              <w:t>8.电压：380V</w:t>
            </w:r>
          </w:p>
          <w:p>
            <w:pPr>
              <w:jc w:val="left"/>
              <w:rPr>
                <w:rFonts w:ascii="宋体" w:hAnsi="宋体" w:cs="宋体"/>
                <w:color w:val="auto"/>
                <w:sz w:val="22"/>
                <w:szCs w:val="22"/>
              </w:rPr>
            </w:pPr>
            <w:r>
              <w:rPr>
                <w:rFonts w:hint="eastAsia" w:ascii="宋体" w:hAnsi="宋体" w:cs="宋体"/>
                <w:b/>
                <w:bCs/>
                <w:color w:val="auto"/>
                <w:sz w:val="22"/>
                <w:szCs w:val="22"/>
              </w:rPr>
              <w:t>9.符合食品接触产品安全认证及卫生认证要求，并提供相关证明材料</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3950*2615*2500（±50mm）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M³</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25.82</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12115" cy="412115"/>
                  <wp:effectExtent l="0" t="0" r="6985" b="6985"/>
                  <wp:docPr id="339" name="图片 81" descr="C:\Users\ADMINI~1.USE\AppData\Local\Temp\ksohtml80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81" descr="C:\Users\ADMINI~1.USE\AppData\Local\Temp\ksohtml8068\wps1.jpg"/>
                          <pic:cNvPicPr>
                            <a:picLocks noChangeAspect="1"/>
                          </pic:cNvPicPr>
                        </pic:nvPicPr>
                        <pic:blipFill>
                          <a:blip r:embed="rId52"/>
                          <a:stretch>
                            <a:fillRect/>
                          </a:stretch>
                        </pic:blipFill>
                        <pic:spPr>
                          <a:xfrm>
                            <a:off x="0" y="0"/>
                            <a:ext cx="412115" cy="412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340"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1400*500*1800（±30mm）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342"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1000*500*1800（±30mm）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344"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说明：用SUS304-2B不锈钢管制作。格栅型，骨架采用Φ≥38*1.0mm304不锈钢圆管，横档为≥38*25*1.0mm304不锈钢方管，配304不锈钢可调节子弹脚。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900*500*1800（±30mm）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346"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洗消间</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双层工作台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800*700*800（±30mm）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color w:val="auto"/>
              </w:rPr>
              <w:fldChar w:fldCharType="begin"/>
            </w:r>
            <w:r>
              <w:rPr>
                <w:color w:val="auto"/>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INCLUDEPICTURE  "http://t2.baidu.com/it/u=1068616615,3098072922&amp;fm=0&amp;gp=0.jpg" \* MERGEFORMATINET </w:instrText>
            </w:r>
            <w:r>
              <w:rPr>
                <w:rFonts w:hint="eastAsia" w:ascii="宋体" w:hAnsi="宋体" w:cs="宋体"/>
                <w:color w:val="auto"/>
                <w:sz w:val="22"/>
                <w:szCs w:val="22"/>
              </w:rPr>
              <w:fldChar w:fldCharType="separate"/>
            </w:r>
            <w:r>
              <w:rPr>
                <w:rFonts w:hint="eastAsia" w:ascii="宋体" w:hAnsi="宋体" w:cs="宋体"/>
                <w:color w:val="auto"/>
                <w:sz w:val="22"/>
                <w:szCs w:val="22"/>
              </w:rPr>
              <w:drawing>
                <wp:inline distT="0" distB="0" distL="114300" distR="114300">
                  <wp:extent cx="680720" cy="680720"/>
                  <wp:effectExtent l="0" t="0" r="5080" b="5080"/>
                  <wp:docPr id="347" name="图片 72"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72"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r>
              <w:rPr>
                <w:rFonts w:hint="eastAsia" w:ascii="宋体" w:hAnsi="宋体" w:cs="宋体"/>
                <w:color w:val="auto"/>
                <w:sz w:val="22"/>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双星水池连台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bCs/>
                <w:color w:val="auto"/>
                <w:sz w:val="22"/>
                <w:szCs w:val="22"/>
              </w:rPr>
            </w:pPr>
            <w:r>
              <w:rPr>
                <w:rFonts w:hint="eastAsia" w:ascii="宋体" w:hAnsi="宋体" w:cs="宋体"/>
                <w:color w:val="auto"/>
                <w:sz w:val="22"/>
                <w:szCs w:val="22"/>
              </w:rPr>
              <w:t>1800*700*800（±30mm）</w:t>
            </w:r>
          </w:p>
        </w:tc>
        <w:tc>
          <w:tcPr>
            <w:tcW w:w="643" w:type="dxa"/>
            <w:vAlign w:val="center"/>
          </w:tcPr>
          <w:p>
            <w:pPr>
              <w:jc w:val="center"/>
              <w:rPr>
                <w:rFonts w:ascii="宋体" w:hAnsi="宋体" w:cs="宋体"/>
                <w:bCs/>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bCs/>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kern w:val="0"/>
                <w:sz w:val="22"/>
                <w:szCs w:val="22"/>
              </w:rPr>
            </w:pPr>
            <w:r>
              <w:rPr>
                <w:rFonts w:hint="eastAsia" w:ascii="宋体" w:hAnsi="宋体" w:cs="宋体"/>
                <w:color w:val="auto"/>
                <w:sz w:val="22"/>
                <w:szCs w:val="22"/>
              </w:rPr>
              <w:drawing>
                <wp:inline distT="0" distB="0" distL="114300" distR="114300">
                  <wp:extent cx="678180" cy="436880"/>
                  <wp:effectExtent l="0" t="0" r="7620" b="1270"/>
                  <wp:docPr id="34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76"/>
                          <pic:cNvPicPr>
                            <a:picLocks noChangeAspect="1"/>
                          </pic:cNvPicPr>
                        </pic:nvPicPr>
                        <pic:blipFill>
                          <a:blip r:embed="rId53"/>
                          <a:stretch>
                            <a:fillRect/>
                          </a:stretch>
                        </pic:blipFill>
                        <pic:spPr>
                          <a:xfrm>
                            <a:off x="0" y="0"/>
                            <a:ext cx="678180" cy="4368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四层货架</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说明：用SUS304-2B不锈钢板制作，台面δ≥1.2mm。脚为φ≥38*1.0mm304不锈钢圆管，档为φ≥25*1.0mm304不锈钢圆管。配304不锈钢可调节子弹脚。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1200*500*1800（±30mm）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drawing>
                <wp:inline distT="0" distB="0" distL="114300" distR="114300">
                  <wp:extent cx="688340" cy="635000"/>
                  <wp:effectExtent l="0" t="0" r="16510" b="12700"/>
                  <wp:docPr id="34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洁碟台</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说明：用SUS304-2B不锈钢板制作，台面δ≥1.2mm。脚为304不锈钢圆管≥φ38*1.0mm，档为304不锈钢圆管≥φ25*1.0mm。配304不锈钢可调节子弹脚。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1800*800*800（±30mm）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30885" cy="657225"/>
                  <wp:effectExtent l="0" t="0" r="12065" b="9525"/>
                  <wp:docPr id="22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4"/>
                          <pic:cNvPicPr>
                            <a:picLocks noChangeAspect="1"/>
                          </pic:cNvPicPr>
                        </pic:nvPicPr>
                        <pic:blipFill>
                          <a:blip r:embed="rId54"/>
                          <a:stretch>
                            <a:fillRect/>
                          </a:stretch>
                        </pic:blipFill>
                        <pic:spPr>
                          <a:xfrm>
                            <a:off x="0" y="0"/>
                            <a:ext cx="730885" cy="657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 xml:space="preserve">带传式洗碗机    </w:t>
            </w:r>
          </w:p>
          <w:p>
            <w:pPr>
              <w:jc w:val="left"/>
              <w:rPr>
                <w:rFonts w:ascii="宋体" w:hAnsi="宋体" w:cs="宋体"/>
                <w:color w:val="auto"/>
                <w:sz w:val="22"/>
                <w:szCs w:val="22"/>
              </w:rPr>
            </w:pPr>
            <w:r>
              <w:rPr>
                <w:rFonts w:hint="eastAsia" w:ascii="宋体" w:hAnsi="宋体" w:cs="宋体"/>
                <w:color w:val="auto"/>
                <w:sz w:val="22"/>
                <w:szCs w:val="22"/>
              </w:rPr>
              <w:t>机器入口宽度  ：≥605mm</w:t>
            </w:r>
          </w:p>
          <w:p>
            <w:pPr>
              <w:jc w:val="left"/>
              <w:rPr>
                <w:rFonts w:ascii="宋体" w:hAnsi="宋体" w:cs="宋体"/>
                <w:color w:val="auto"/>
                <w:sz w:val="22"/>
                <w:szCs w:val="22"/>
              </w:rPr>
            </w:pPr>
            <w:r>
              <w:rPr>
                <w:rFonts w:hint="eastAsia" w:ascii="宋体" w:hAnsi="宋体" w:cs="宋体"/>
                <w:color w:val="auto"/>
                <w:sz w:val="22"/>
                <w:szCs w:val="22"/>
              </w:rPr>
              <w:t>网带宽度      ：≥510mm</w:t>
            </w:r>
          </w:p>
          <w:p>
            <w:pPr>
              <w:jc w:val="left"/>
              <w:rPr>
                <w:rFonts w:ascii="宋体" w:hAnsi="宋体" w:cs="宋体"/>
                <w:color w:val="auto"/>
                <w:sz w:val="22"/>
                <w:szCs w:val="22"/>
              </w:rPr>
            </w:pPr>
            <w:r>
              <w:rPr>
                <w:rFonts w:hint="eastAsia" w:ascii="宋体" w:hAnsi="宋体" w:cs="宋体"/>
                <w:color w:val="auto"/>
                <w:sz w:val="22"/>
                <w:szCs w:val="22"/>
              </w:rPr>
              <w:t xml:space="preserve">最大洗涤高度  ：≥420mm          </w:t>
            </w:r>
          </w:p>
          <w:p>
            <w:pPr>
              <w:jc w:val="left"/>
              <w:rPr>
                <w:rFonts w:ascii="宋体" w:hAnsi="宋体" w:cs="宋体"/>
                <w:color w:val="auto"/>
                <w:sz w:val="22"/>
                <w:szCs w:val="22"/>
              </w:rPr>
            </w:pPr>
            <w:r>
              <w:rPr>
                <w:rFonts w:hint="eastAsia" w:ascii="宋体" w:hAnsi="宋体" w:cs="宋体"/>
                <w:color w:val="auto"/>
                <w:sz w:val="22"/>
                <w:szCs w:val="22"/>
              </w:rPr>
              <w:t>最大洗涤量    ：≥3000碟/小时</w:t>
            </w:r>
          </w:p>
          <w:p>
            <w:pPr>
              <w:jc w:val="left"/>
              <w:rPr>
                <w:rFonts w:ascii="宋体" w:hAnsi="宋体" w:cs="宋体"/>
                <w:color w:val="auto"/>
                <w:sz w:val="22"/>
                <w:szCs w:val="22"/>
              </w:rPr>
            </w:pPr>
            <w:r>
              <w:rPr>
                <w:rFonts w:hint="eastAsia" w:ascii="宋体" w:hAnsi="宋体" w:cs="宋体"/>
                <w:color w:val="auto"/>
                <w:sz w:val="22"/>
                <w:szCs w:val="22"/>
              </w:rPr>
              <w:t xml:space="preserve">耗水量        ：350-400L             </w:t>
            </w:r>
          </w:p>
          <w:p>
            <w:pPr>
              <w:jc w:val="left"/>
              <w:rPr>
                <w:rFonts w:ascii="宋体" w:hAnsi="宋体" w:cs="宋体"/>
                <w:color w:val="auto"/>
                <w:sz w:val="22"/>
                <w:szCs w:val="22"/>
              </w:rPr>
            </w:pPr>
            <w:r>
              <w:rPr>
                <w:rFonts w:hint="eastAsia" w:ascii="宋体" w:hAnsi="宋体" w:cs="宋体"/>
                <w:color w:val="auto"/>
                <w:sz w:val="22"/>
                <w:szCs w:val="22"/>
              </w:rPr>
              <w:t>洗涤温度      ：55-60℃</w:t>
            </w:r>
          </w:p>
          <w:p>
            <w:pPr>
              <w:jc w:val="left"/>
              <w:rPr>
                <w:rFonts w:ascii="宋体" w:hAnsi="宋体" w:cs="宋体"/>
                <w:color w:val="auto"/>
                <w:sz w:val="22"/>
                <w:szCs w:val="22"/>
              </w:rPr>
            </w:pPr>
            <w:r>
              <w:rPr>
                <w:rFonts w:hint="eastAsia" w:ascii="宋体" w:hAnsi="宋体" w:cs="宋体"/>
                <w:color w:val="auto"/>
                <w:sz w:val="22"/>
                <w:szCs w:val="22"/>
              </w:rPr>
              <w:t>漂洗温度      ：82℃</w:t>
            </w:r>
          </w:p>
          <w:p>
            <w:pPr>
              <w:jc w:val="left"/>
              <w:rPr>
                <w:rFonts w:ascii="宋体" w:hAnsi="宋体" w:cs="宋体"/>
                <w:color w:val="auto"/>
                <w:sz w:val="22"/>
                <w:szCs w:val="22"/>
              </w:rPr>
            </w:pPr>
            <w:r>
              <w:rPr>
                <w:rFonts w:hint="eastAsia" w:ascii="宋体" w:hAnsi="宋体" w:cs="宋体"/>
                <w:color w:val="auto"/>
                <w:sz w:val="22"/>
                <w:szCs w:val="22"/>
              </w:rPr>
              <w:t xml:space="preserve">进水压力      ：0.15-0.4Mpa        </w:t>
            </w:r>
          </w:p>
          <w:p>
            <w:pPr>
              <w:jc w:val="left"/>
              <w:rPr>
                <w:rFonts w:ascii="宋体" w:hAnsi="宋体" w:cs="宋体"/>
                <w:color w:val="auto"/>
                <w:sz w:val="22"/>
                <w:szCs w:val="22"/>
              </w:rPr>
            </w:pPr>
            <w:r>
              <w:rPr>
                <w:rFonts w:hint="eastAsia" w:ascii="宋体" w:hAnsi="宋体" w:cs="宋体"/>
                <w:color w:val="auto"/>
                <w:sz w:val="22"/>
                <w:szCs w:val="22"/>
              </w:rPr>
              <w:t xml:space="preserve">电源要求      ：380V/50Hz/3N  </w:t>
            </w:r>
          </w:p>
          <w:p>
            <w:pPr>
              <w:jc w:val="left"/>
              <w:rPr>
                <w:rFonts w:ascii="宋体" w:hAnsi="宋体" w:cs="宋体"/>
                <w:color w:val="auto"/>
                <w:sz w:val="22"/>
                <w:szCs w:val="22"/>
              </w:rPr>
            </w:pPr>
            <w:r>
              <w:rPr>
                <w:rFonts w:hint="eastAsia" w:ascii="宋体" w:hAnsi="宋体" w:cs="宋体"/>
                <w:color w:val="auto"/>
                <w:sz w:val="22"/>
                <w:szCs w:val="22"/>
              </w:rPr>
              <w:t xml:space="preserve">加热方式      ：电加热型 </w:t>
            </w:r>
          </w:p>
          <w:p>
            <w:pPr>
              <w:jc w:val="left"/>
              <w:rPr>
                <w:rFonts w:ascii="宋体" w:hAnsi="宋体" w:cs="宋体"/>
                <w:color w:val="auto"/>
                <w:sz w:val="22"/>
                <w:szCs w:val="22"/>
              </w:rPr>
            </w:pPr>
            <w:r>
              <w:rPr>
                <w:rFonts w:hint="eastAsia" w:ascii="宋体" w:hAnsi="宋体" w:cs="宋体"/>
                <w:color w:val="auto"/>
                <w:sz w:val="22"/>
                <w:szCs w:val="22"/>
              </w:rPr>
              <w:t>电加热型功率  ：≥53kW</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3400*1018*1463（±50mm）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809625" cy="432435"/>
                  <wp:effectExtent l="0" t="0" r="952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5"/>
                          <a:stretch>
                            <a:fillRect/>
                          </a:stretch>
                        </pic:blipFill>
                        <pic:spPr>
                          <a:xfrm>
                            <a:off x="0" y="0"/>
                            <a:ext cx="809625" cy="4324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不锈钢集气罩</w:t>
            </w:r>
          </w:p>
          <w:p>
            <w:pPr>
              <w:jc w:val="left"/>
              <w:rPr>
                <w:rFonts w:ascii="宋体" w:hAnsi="宋体" w:cs="宋体"/>
                <w:color w:val="auto"/>
                <w:sz w:val="22"/>
                <w:szCs w:val="22"/>
              </w:rPr>
            </w:pPr>
            <w:r>
              <w:rPr>
                <w:rFonts w:hint="eastAsia" w:ascii="宋体" w:hAnsi="宋体" w:cs="宋体"/>
                <w:color w:val="auto"/>
                <w:sz w:val="22"/>
                <w:szCs w:val="22"/>
              </w:rPr>
              <w:t>说明：用SUS304-2B不锈钢板制作，δ≥1.2mm。</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3800*1200*500（±30mm）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4.6</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69595" cy="374650"/>
                  <wp:effectExtent l="0" t="0" r="1905" b="6350"/>
                  <wp:docPr id="35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78"/>
                          <pic:cNvPicPr>
                            <a:picLocks noChangeAspect="1"/>
                          </pic:cNvPicPr>
                        </pic:nvPicPr>
                        <pic:blipFill>
                          <a:blip r:embed="rId56"/>
                          <a:stretch>
                            <a:fillRect/>
                          </a:stretch>
                        </pic:blipFill>
                        <pic:spPr>
                          <a:xfrm>
                            <a:off x="0" y="0"/>
                            <a:ext cx="569595" cy="374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大单星水池</w:t>
            </w:r>
          </w:p>
          <w:p>
            <w:pPr>
              <w:jc w:val="left"/>
              <w:rPr>
                <w:rFonts w:ascii="宋体" w:hAnsi="宋体" w:cs="宋体"/>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1500*900*800（±30mm）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59460" cy="563245"/>
                  <wp:effectExtent l="0" t="0" r="2540" b="825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57"/>
                          <a:stretch>
                            <a:fillRect/>
                          </a:stretch>
                        </pic:blipFill>
                        <pic:spPr>
                          <a:xfrm>
                            <a:off x="0" y="0"/>
                            <a:ext cx="759460" cy="5632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vAlign w:val="center"/>
          </w:tcPr>
          <w:p>
            <w:pPr>
              <w:jc w:val="left"/>
              <w:rPr>
                <w:rFonts w:ascii="宋体" w:hAnsi="宋体" w:cs="宋体"/>
                <w:color w:val="auto"/>
                <w:sz w:val="22"/>
                <w:szCs w:val="22"/>
              </w:rPr>
            </w:pPr>
            <w:r>
              <w:rPr>
                <w:rFonts w:hint="eastAsia" w:ascii="宋体" w:hAnsi="宋体" w:cs="宋体"/>
                <w:bCs/>
                <w:color w:val="auto"/>
                <w:sz w:val="22"/>
                <w:szCs w:val="22"/>
              </w:rPr>
              <w:t>L形传送带</w:t>
            </w:r>
          </w:p>
          <w:p>
            <w:pPr>
              <w:jc w:val="left"/>
              <w:rPr>
                <w:rFonts w:ascii="宋体" w:hAnsi="宋体" w:cs="宋体"/>
                <w:bCs/>
                <w:color w:val="auto"/>
                <w:sz w:val="22"/>
                <w:szCs w:val="22"/>
              </w:rPr>
            </w:pPr>
            <w:r>
              <w:rPr>
                <w:rFonts w:hint="eastAsia" w:ascii="宋体" w:hAnsi="宋体" w:cs="宋体"/>
                <w:bCs/>
                <w:color w:val="auto"/>
                <w:sz w:val="22"/>
                <w:szCs w:val="22"/>
              </w:rPr>
              <w:t>参    数</w:t>
            </w:r>
          </w:p>
          <w:p>
            <w:pPr>
              <w:jc w:val="left"/>
              <w:rPr>
                <w:rFonts w:ascii="宋体" w:hAnsi="宋体" w:cs="宋体"/>
                <w:bCs/>
                <w:color w:val="auto"/>
                <w:sz w:val="22"/>
                <w:szCs w:val="22"/>
              </w:rPr>
            </w:pPr>
            <w:r>
              <w:rPr>
                <w:rFonts w:hint="eastAsia" w:ascii="宋体" w:hAnsi="宋体" w:cs="宋体"/>
                <w:bCs/>
                <w:color w:val="auto"/>
                <w:sz w:val="22"/>
                <w:szCs w:val="22"/>
              </w:rPr>
              <w:t>链板宽度：</w:t>
            </w:r>
            <w:r>
              <w:rPr>
                <w:rFonts w:hint="eastAsia" w:ascii="宋体" w:hAnsi="宋体" w:cs="宋体"/>
                <w:color w:val="auto"/>
                <w:sz w:val="22"/>
                <w:szCs w:val="22"/>
              </w:rPr>
              <w:t>≥</w:t>
            </w:r>
            <w:r>
              <w:rPr>
                <w:rFonts w:hint="eastAsia" w:ascii="宋体" w:hAnsi="宋体" w:cs="宋体"/>
                <w:bCs/>
                <w:color w:val="auto"/>
                <w:sz w:val="22"/>
                <w:szCs w:val="22"/>
              </w:rPr>
              <w:t>305mm</w:t>
            </w:r>
          </w:p>
          <w:p>
            <w:pPr>
              <w:jc w:val="left"/>
              <w:rPr>
                <w:rFonts w:ascii="宋体" w:hAnsi="宋体" w:cs="宋体"/>
                <w:bCs/>
                <w:color w:val="auto"/>
                <w:sz w:val="22"/>
                <w:szCs w:val="22"/>
              </w:rPr>
            </w:pPr>
            <w:r>
              <w:rPr>
                <w:rFonts w:hint="eastAsia" w:ascii="宋体" w:hAnsi="宋体" w:cs="宋体"/>
                <w:bCs/>
                <w:color w:val="auto"/>
                <w:sz w:val="22"/>
                <w:szCs w:val="22"/>
              </w:rPr>
              <w:t>传送速度：5~15m/min</w:t>
            </w:r>
          </w:p>
          <w:p>
            <w:pPr>
              <w:jc w:val="left"/>
              <w:rPr>
                <w:rFonts w:ascii="宋体" w:hAnsi="宋体" w:cs="宋体"/>
                <w:bCs/>
                <w:color w:val="auto"/>
                <w:sz w:val="22"/>
                <w:szCs w:val="22"/>
              </w:rPr>
            </w:pPr>
            <w:r>
              <w:rPr>
                <w:rFonts w:hint="eastAsia" w:ascii="宋体" w:hAnsi="宋体" w:cs="宋体"/>
                <w:bCs/>
                <w:color w:val="auto"/>
                <w:sz w:val="22"/>
                <w:szCs w:val="22"/>
              </w:rPr>
              <w:t>电源要求：220V/50Hz</w:t>
            </w:r>
          </w:p>
          <w:p>
            <w:pPr>
              <w:jc w:val="left"/>
              <w:rPr>
                <w:rFonts w:ascii="宋体" w:hAnsi="宋体" w:cs="宋体"/>
                <w:bCs/>
                <w:color w:val="auto"/>
                <w:sz w:val="22"/>
                <w:szCs w:val="22"/>
              </w:rPr>
            </w:pPr>
            <w:r>
              <w:rPr>
                <w:rFonts w:hint="eastAsia" w:ascii="宋体" w:hAnsi="宋体" w:cs="宋体"/>
                <w:bCs/>
                <w:color w:val="auto"/>
                <w:sz w:val="22"/>
                <w:szCs w:val="22"/>
              </w:rPr>
              <w:t>功率    ：</w:t>
            </w:r>
            <w:r>
              <w:rPr>
                <w:rFonts w:hint="eastAsia" w:ascii="宋体" w:hAnsi="宋体" w:cs="宋体"/>
                <w:color w:val="auto"/>
                <w:sz w:val="22"/>
                <w:szCs w:val="22"/>
              </w:rPr>
              <w:t>≥</w:t>
            </w:r>
            <w:r>
              <w:rPr>
                <w:rFonts w:hint="eastAsia" w:ascii="宋体" w:hAnsi="宋体" w:cs="宋体"/>
                <w:bCs/>
                <w:color w:val="auto"/>
                <w:sz w:val="22"/>
                <w:szCs w:val="22"/>
              </w:rPr>
              <w:t>0.4kW</w:t>
            </w:r>
          </w:p>
          <w:p>
            <w:pPr>
              <w:jc w:val="left"/>
              <w:rPr>
                <w:rFonts w:ascii="宋体" w:hAnsi="宋体" w:cs="宋体"/>
                <w:bCs/>
                <w:color w:val="auto"/>
                <w:sz w:val="22"/>
                <w:szCs w:val="22"/>
              </w:rPr>
            </w:pPr>
            <w:r>
              <w:rPr>
                <w:rFonts w:hint="eastAsia" w:ascii="宋体" w:hAnsi="宋体" w:cs="宋体"/>
                <w:bCs/>
                <w:color w:val="auto"/>
                <w:sz w:val="22"/>
                <w:szCs w:val="22"/>
              </w:rPr>
              <w:t>特    点</w:t>
            </w:r>
          </w:p>
          <w:p>
            <w:pPr>
              <w:jc w:val="left"/>
              <w:rPr>
                <w:rFonts w:ascii="宋体" w:hAnsi="宋体" w:cs="宋体"/>
                <w:bCs/>
                <w:color w:val="auto"/>
                <w:sz w:val="22"/>
                <w:szCs w:val="22"/>
              </w:rPr>
            </w:pPr>
            <w:r>
              <w:rPr>
                <w:rFonts w:hint="eastAsia" w:ascii="宋体" w:hAnsi="宋体" w:cs="宋体"/>
                <w:bCs/>
                <w:color w:val="auto"/>
                <w:sz w:val="22"/>
                <w:szCs w:val="22"/>
              </w:rPr>
              <w:t>链片式输送带在电机驱动下沿导槽滑动,将餐具传送到指定位置；</w:t>
            </w:r>
          </w:p>
          <w:p>
            <w:pPr>
              <w:jc w:val="left"/>
              <w:rPr>
                <w:rFonts w:ascii="宋体" w:hAnsi="宋体" w:cs="宋体"/>
                <w:color w:val="auto"/>
                <w:sz w:val="22"/>
                <w:szCs w:val="22"/>
              </w:rPr>
            </w:pPr>
            <w:r>
              <w:rPr>
                <w:rFonts w:hint="eastAsia" w:ascii="宋体" w:hAnsi="宋体" w:cs="宋体"/>
                <w:bCs/>
                <w:color w:val="auto"/>
                <w:sz w:val="22"/>
                <w:szCs w:val="22"/>
              </w:rPr>
              <w:t>链片采用食品级材料PP，确保食品卫生；</w:t>
            </w:r>
          </w:p>
        </w:tc>
        <w:tc>
          <w:tcPr>
            <w:tcW w:w="1450" w:type="dxa"/>
            <w:vAlign w:val="center"/>
          </w:tcPr>
          <w:p>
            <w:pPr>
              <w:jc w:val="center"/>
              <w:rPr>
                <w:rFonts w:ascii="宋体" w:hAnsi="宋体" w:cs="宋体"/>
                <w:color w:val="auto"/>
                <w:sz w:val="22"/>
                <w:szCs w:val="22"/>
              </w:rPr>
            </w:pPr>
            <w:r>
              <w:rPr>
                <w:rFonts w:hint="eastAsia" w:ascii="宋体" w:hAnsi="宋体" w:cs="宋体"/>
                <w:color w:val="auto"/>
                <w:kern w:val="0"/>
                <w:sz w:val="22"/>
                <w:szCs w:val="22"/>
              </w:rPr>
              <w:t>7600*</w:t>
            </w:r>
            <w:r>
              <w:rPr>
                <w:rFonts w:hint="eastAsia" w:ascii="宋体" w:hAnsi="宋体" w:cs="宋体"/>
                <w:color w:val="auto"/>
                <w:sz w:val="22"/>
                <w:szCs w:val="22"/>
              </w:rPr>
              <w:t>520*850（±30mm）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米</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7.6</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691515" cy="387350"/>
                  <wp:effectExtent l="0" t="0" r="13335" b="0"/>
                  <wp:docPr id="352" name="图片 131" descr="L型链片输送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31" descr="L型链片输送带1"/>
                          <pic:cNvPicPr>
                            <a:picLocks noChangeAspect="1"/>
                          </pic:cNvPicPr>
                        </pic:nvPicPr>
                        <pic:blipFill>
                          <a:blip r:embed="rId58"/>
                          <a:stretch>
                            <a:fillRect/>
                          </a:stretch>
                        </pic:blipFill>
                        <pic:spPr>
                          <a:xfrm>
                            <a:off x="0" y="0"/>
                            <a:ext cx="691515" cy="387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餐厅</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洗手池</w:t>
            </w:r>
          </w:p>
          <w:p>
            <w:pPr>
              <w:jc w:val="left"/>
              <w:rPr>
                <w:rFonts w:ascii="宋体" w:hAnsi="宋体" w:cs="宋体"/>
                <w:bCs/>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2500*500*800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只</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32155" cy="496570"/>
                  <wp:effectExtent l="0" t="0" r="10795" b="17780"/>
                  <wp:docPr id="3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4"/>
                          <pic:cNvPicPr>
                            <a:picLocks noChangeAspect="1"/>
                          </pic:cNvPicPr>
                        </pic:nvPicPr>
                        <pic:blipFill>
                          <a:blip r:embed="rId59"/>
                          <a:stretch>
                            <a:fillRect/>
                          </a:stretch>
                        </pic:blipFill>
                        <pic:spPr>
                          <a:xfrm>
                            <a:off x="0" y="0"/>
                            <a:ext cx="732155" cy="4965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洗手池</w:t>
            </w:r>
          </w:p>
          <w:p>
            <w:pPr>
              <w:jc w:val="left"/>
              <w:rPr>
                <w:rFonts w:ascii="宋体" w:hAnsi="宋体" w:cs="宋体"/>
                <w:bCs/>
                <w:color w:val="auto"/>
                <w:sz w:val="22"/>
                <w:szCs w:val="22"/>
              </w:rPr>
            </w:pPr>
            <w:r>
              <w:rPr>
                <w:rFonts w:hint="eastAsia" w:ascii="宋体" w:hAnsi="宋体" w:cs="宋体"/>
                <w:color w:val="auto"/>
                <w:sz w:val="22"/>
                <w:szCs w:val="22"/>
              </w:rPr>
              <w:t>说明：用SUS304-2B不锈钢板制作，台面δ≥1.2mm，水斗δ≥1.2mm，脚为φ≥38*1.0mm304不锈钢圆管，档为φ≥25*1.0mm304不锈钢圆管；配304不锈钢落水器、拦渣斗及304不锈钢可调节子弹脚。</w:t>
            </w:r>
          </w:p>
        </w:tc>
        <w:tc>
          <w:tcPr>
            <w:tcW w:w="1450"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1800*500*800</w:t>
            </w:r>
            <w:r>
              <w:rPr>
                <w:rFonts w:hint="eastAsia" w:ascii="宋体" w:hAnsi="宋体" w:cs="宋体"/>
                <w:color w:val="auto"/>
                <w:sz w:val="22"/>
                <w:szCs w:val="22"/>
              </w:rPr>
              <w:t>（±30mm）</w:t>
            </w: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只</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732155" cy="496570"/>
                  <wp:effectExtent l="0" t="0" r="10795" b="17780"/>
                  <wp:docPr id="2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
                          <pic:cNvPicPr>
                            <a:picLocks noChangeAspect="1"/>
                          </pic:cNvPicPr>
                        </pic:nvPicPr>
                        <pic:blipFill>
                          <a:blip r:embed="rId59"/>
                          <a:stretch>
                            <a:fillRect/>
                          </a:stretch>
                        </pic:blipFill>
                        <pic:spPr>
                          <a:xfrm>
                            <a:off x="0" y="0"/>
                            <a:ext cx="732155" cy="4965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排烟系统</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不锈钢排烟风管</w:t>
            </w:r>
          </w:p>
          <w:p>
            <w:pPr>
              <w:jc w:val="left"/>
              <w:rPr>
                <w:rFonts w:ascii="宋体" w:hAnsi="宋体" w:cs="宋体"/>
                <w:color w:val="auto"/>
                <w:sz w:val="22"/>
                <w:szCs w:val="22"/>
              </w:rPr>
            </w:pPr>
            <w:r>
              <w:rPr>
                <w:rFonts w:hint="eastAsia" w:ascii="宋体" w:hAnsi="宋体" w:cs="宋体"/>
                <w:color w:val="auto"/>
                <w:sz w:val="22"/>
                <w:szCs w:val="22"/>
              </w:rPr>
              <w:t>说明：用201不锈钢板制作，δ≥1.2mm。（数量为展开面积）配弯头及变头，含法兰支架及吊杆。</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按现场实际制作</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平方</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360</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19100" cy="419100"/>
                  <wp:effectExtent l="0" t="0" r="0" b="0"/>
                  <wp:docPr id="264" name="图片 86"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86" descr="IMG_322"/>
                          <pic:cNvPicPr>
                            <a:picLocks noChangeAspect="1"/>
                          </pic:cNvPicPr>
                        </pic:nvPicPr>
                        <pic:blipFill>
                          <a:blip r:embed="rId60"/>
                          <a:stretch>
                            <a:fillRect/>
                          </a:stretch>
                        </pic:blipFill>
                        <pic:spPr>
                          <a:xfrm>
                            <a:off x="0" y="0"/>
                            <a:ext cx="4191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排烟风柜</w:t>
            </w:r>
          </w:p>
          <w:p>
            <w:pPr>
              <w:jc w:val="left"/>
              <w:rPr>
                <w:rFonts w:ascii="宋体" w:hAnsi="宋体" w:cs="宋体"/>
                <w:color w:val="auto"/>
                <w:sz w:val="22"/>
                <w:szCs w:val="22"/>
              </w:rPr>
            </w:pPr>
            <w:r>
              <w:rPr>
                <w:rFonts w:hint="eastAsia" w:ascii="宋体" w:hAnsi="宋体" w:cs="宋体"/>
                <w:color w:val="auto"/>
                <w:sz w:val="22"/>
                <w:szCs w:val="22"/>
              </w:rPr>
              <w:t>外壳采用201不锈钢板制作，内部双层静音棉孔板制作适当地加固以避免在正常运作时产生振动；</w:t>
            </w:r>
          </w:p>
          <w:p>
            <w:pPr>
              <w:jc w:val="left"/>
              <w:rPr>
                <w:rFonts w:ascii="宋体" w:hAnsi="宋体" w:cs="宋体"/>
                <w:color w:val="auto"/>
                <w:sz w:val="22"/>
                <w:szCs w:val="22"/>
              </w:rPr>
            </w:pPr>
            <w:r>
              <w:rPr>
                <w:rFonts w:hint="eastAsia" w:ascii="宋体" w:hAnsi="宋体" w:cs="宋体"/>
                <w:color w:val="auto"/>
                <w:sz w:val="22"/>
                <w:szCs w:val="22"/>
              </w:rPr>
              <w:t>轴承：采用耐腐蚀风机专用轴承；</w:t>
            </w:r>
          </w:p>
          <w:p>
            <w:pPr>
              <w:jc w:val="left"/>
              <w:rPr>
                <w:rFonts w:ascii="宋体" w:hAnsi="宋体" w:cs="宋体"/>
                <w:color w:val="auto"/>
                <w:sz w:val="22"/>
                <w:szCs w:val="22"/>
              </w:rPr>
            </w:pPr>
            <w:r>
              <w:rPr>
                <w:rFonts w:hint="eastAsia" w:ascii="宋体" w:hAnsi="宋体" w:cs="宋体"/>
                <w:color w:val="auto"/>
                <w:sz w:val="22"/>
                <w:szCs w:val="22"/>
              </w:rPr>
              <w:t>电机：纯铜芯国标电机；</w:t>
            </w:r>
          </w:p>
          <w:p>
            <w:pPr>
              <w:jc w:val="left"/>
              <w:rPr>
                <w:rFonts w:ascii="宋体" w:hAnsi="宋体" w:cs="宋体"/>
                <w:color w:val="auto"/>
                <w:sz w:val="22"/>
                <w:szCs w:val="22"/>
              </w:rPr>
            </w:pPr>
            <w:r>
              <w:rPr>
                <w:rFonts w:hint="eastAsia" w:ascii="宋体" w:hAnsi="宋体" w:cs="宋体"/>
                <w:color w:val="auto"/>
                <w:sz w:val="22"/>
                <w:szCs w:val="22"/>
              </w:rPr>
              <w:t>叶轮：采用双进风后倾高压叶轮，大流量、高效率；</w:t>
            </w:r>
          </w:p>
          <w:p>
            <w:pPr>
              <w:jc w:val="left"/>
              <w:rPr>
                <w:rFonts w:ascii="宋体" w:hAnsi="宋体" w:cs="宋体"/>
                <w:color w:val="auto"/>
                <w:sz w:val="22"/>
                <w:szCs w:val="22"/>
              </w:rPr>
            </w:pPr>
            <w:r>
              <w:rPr>
                <w:rFonts w:hint="eastAsia" w:ascii="宋体" w:hAnsi="宋体" w:cs="宋体"/>
                <w:color w:val="auto"/>
                <w:sz w:val="22"/>
                <w:szCs w:val="22"/>
              </w:rPr>
              <w:t>风机设有检修门，方便日后维护。</w:t>
            </w:r>
          </w:p>
          <w:p>
            <w:pPr>
              <w:jc w:val="left"/>
              <w:rPr>
                <w:rFonts w:ascii="宋体" w:hAnsi="宋体" w:cs="宋体"/>
                <w:b/>
                <w:bCs/>
                <w:color w:val="auto"/>
                <w:sz w:val="22"/>
                <w:szCs w:val="22"/>
              </w:rPr>
            </w:pPr>
            <w:r>
              <w:rPr>
                <w:rFonts w:hint="eastAsia" w:ascii="宋体" w:hAnsi="宋体" w:cs="宋体"/>
                <w:b/>
                <w:bCs/>
                <w:color w:val="auto"/>
                <w:sz w:val="22"/>
                <w:szCs w:val="22"/>
              </w:rPr>
              <w:t>1.所投“低噪音高压柜式风机”依据GB/T23717.1-2009，GB/T2298-2010，GB/T16916.1-2014标准要求，检测风机转子须具备较高的强度和耐久性，转子的振动速度不超过0.6毫米/秒。测试压力为120%到150%的额定压力，试验后无破皮情况。风机电气部件具备良好的绝缘质量，以保证风机的安全可靠。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p>
            <w:pPr>
              <w:jc w:val="left"/>
              <w:rPr>
                <w:rFonts w:ascii="宋体" w:hAnsi="宋体" w:cs="宋体"/>
                <w:color w:val="auto"/>
                <w:sz w:val="22"/>
                <w:szCs w:val="22"/>
              </w:rPr>
            </w:pPr>
            <w:r>
              <w:rPr>
                <w:rFonts w:hint="eastAsia" w:ascii="宋体" w:hAnsi="宋体" w:cs="宋体"/>
                <w:b/>
                <w:bCs/>
                <w:color w:val="auto"/>
                <w:sz w:val="22"/>
                <w:szCs w:val="22"/>
              </w:rPr>
              <w:t>2.所投“低噪音高压柜式风机”依据GB/T17626.31-2021，GB/T17626.5-2019，GB/T17626.6-2017，GB/T17626.10-2017标准要求，对射频场感应的传导骚扰抗扰度、短时中断和电压变化的抗扰度、工频磁场抗扰度的检测符合要求。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≥18.5kW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676910" cy="714375"/>
                  <wp:effectExtent l="0" t="0" r="8890" b="95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61"/>
                          <a:stretch>
                            <a:fillRect/>
                          </a:stretch>
                        </pic:blipFill>
                        <pic:spPr>
                          <a:xfrm>
                            <a:off x="0" y="0"/>
                            <a:ext cx="676910" cy="714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排烟风柜</w:t>
            </w:r>
          </w:p>
          <w:p>
            <w:pPr>
              <w:jc w:val="left"/>
              <w:rPr>
                <w:rFonts w:ascii="宋体" w:hAnsi="宋体" w:cs="宋体"/>
                <w:color w:val="auto"/>
                <w:sz w:val="22"/>
                <w:szCs w:val="22"/>
              </w:rPr>
            </w:pPr>
            <w:r>
              <w:rPr>
                <w:rFonts w:hint="eastAsia" w:ascii="宋体" w:hAnsi="宋体" w:cs="宋体"/>
                <w:color w:val="auto"/>
                <w:sz w:val="22"/>
                <w:szCs w:val="22"/>
              </w:rPr>
              <w:t>外壳采用201不锈钢板制作，内部双层静音棉孔板制作适当地加固以避免在正常运作时产生振动；</w:t>
            </w:r>
          </w:p>
          <w:p>
            <w:pPr>
              <w:jc w:val="left"/>
              <w:rPr>
                <w:rFonts w:ascii="宋体" w:hAnsi="宋体" w:cs="宋体"/>
                <w:color w:val="auto"/>
                <w:sz w:val="22"/>
                <w:szCs w:val="22"/>
              </w:rPr>
            </w:pPr>
            <w:r>
              <w:rPr>
                <w:rFonts w:hint="eastAsia" w:ascii="宋体" w:hAnsi="宋体" w:cs="宋体"/>
                <w:color w:val="auto"/>
                <w:sz w:val="22"/>
                <w:szCs w:val="22"/>
              </w:rPr>
              <w:t>轴承：采用耐腐蚀风机专用轴承；</w:t>
            </w:r>
          </w:p>
          <w:p>
            <w:pPr>
              <w:jc w:val="left"/>
              <w:rPr>
                <w:rFonts w:ascii="宋体" w:hAnsi="宋体" w:cs="宋体"/>
                <w:color w:val="auto"/>
                <w:sz w:val="22"/>
                <w:szCs w:val="22"/>
              </w:rPr>
            </w:pPr>
            <w:r>
              <w:rPr>
                <w:rFonts w:hint="eastAsia" w:ascii="宋体" w:hAnsi="宋体" w:cs="宋体"/>
                <w:color w:val="auto"/>
                <w:sz w:val="22"/>
                <w:szCs w:val="22"/>
              </w:rPr>
              <w:t>电机：纯铜芯国标电机；</w:t>
            </w:r>
          </w:p>
          <w:p>
            <w:pPr>
              <w:jc w:val="left"/>
              <w:rPr>
                <w:rFonts w:ascii="宋体" w:hAnsi="宋体" w:cs="宋体"/>
                <w:color w:val="auto"/>
                <w:sz w:val="22"/>
                <w:szCs w:val="22"/>
              </w:rPr>
            </w:pPr>
            <w:r>
              <w:rPr>
                <w:rFonts w:hint="eastAsia" w:ascii="宋体" w:hAnsi="宋体" w:cs="宋体"/>
                <w:color w:val="auto"/>
                <w:sz w:val="22"/>
                <w:szCs w:val="22"/>
              </w:rPr>
              <w:t>叶轮：采用双进风后倾高压叶轮，大流量、高效率；</w:t>
            </w:r>
          </w:p>
          <w:p>
            <w:pPr>
              <w:jc w:val="left"/>
              <w:rPr>
                <w:rFonts w:ascii="宋体" w:hAnsi="宋体" w:cs="宋体"/>
                <w:color w:val="auto"/>
                <w:sz w:val="22"/>
                <w:szCs w:val="22"/>
              </w:rPr>
            </w:pPr>
            <w:r>
              <w:rPr>
                <w:rFonts w:hint="eastAsia" w:ascii="宋体" w:hAnsi="宋体" w:cs="宋体"/>
                <w:color w:val="auto"/>
                <w:sz w:val="22"/>
                <w:szCs w:val="22"/>
              </w:rPr>
              <w:t>风机设有检修门，方便日后维护。</w:t>
            </w:r>
          </w:p>
          <w:p>
            <w:pPr>
              <w:jc w:val="left"/>
              <w:rPr>
                <w:rFonts w:ascii="宋体" w:hAnsi="宋体" w:cs="宋体"/>
                <w:b/>
                <w:bCs/>
                <w:color w:val="auto"/>
                <w:sz w:val="22"/>
                <w:szCs w:val="22"/>
              </w:rPr>
            </w:pPr>
            <w:r>
              <w:rPr>
                <w:rFonts w:hint="eastAsia" w:ascii="宋体" w:hAnsi="宋体" w:cs="宋体"/>
                <w:b/>
                <w:bCs/>
                <w:color w:val="auto"/>
                <w:sz w:val="22"/>
                <w:szCs w:val="22"/>
              </w:rPr>
              <w:t>1.所投“低噪音高压柜式风机”依据GB/T23717.1-2009，GB/T2298-2010，GB/T16916.1-2014标准要求，检测风机转子须具备较高的强度和耐久性，转子的振动速度不超过0.6毫米/秒。测试压力为120%到150%的额定压力，试验后无破皮情况。风机电气部件具备良好的绝缘质量，以保证风机的安全可靠。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p>
            <w:pPr>
              <w:jc w:val="left"/>
              <w:rPr>
                <w:rFonts w:ascii="宋体" w:hAnsi="宋体" w:cs="宋体"/>
                <w:color w:val="auto"/>
                <w:sz w:val="22"/>
                <w:szCs w:val="22"/>
              </w:rPr>
            </w:pPr>
            <w:r>
              <w:rPr>
                <w:rFonts w:hint="eastAsia" w:ascii="宋体" w:hAnsi="宋体" w:cs="宋体"/>
                <w:b/>
                <w:bCs/>
                <w:color w:val="auto"/>
                <w:sz w:val="22"/>
                <w:szCs w:val="22"/>
              </w:rPr>
              <w:t>2.所投“低噪音高压柜式风机”依据GB/T17626.31-2021，GB/T17626.5-2019，GB/T17626.6-2017，GB/T17626.10-2017标准要求，对射频场感应的传导骚扰抗扰度、短时中断和电压变化的抗扰度、工频磁场抗扰度的检测符合要求。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≥15kW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676910" cy="714375"/>
                  <wp:effectExtent l="0" t="0" r="8890" b="952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61"/>
                          <a:stretch>
                            <a:fillRect/>
                          </a:stretch>
                        </pic:blipFill>
                        <pic:spPr>
                          <a:xfrm>
                            <a:off x="0" y="0"/>
                            <a:ext cx="676910" cy="714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排烟风柜</w:t>
            </w:r>
          </w:p>
          <w:p>
            <w:pPr>
              <w:jc w:val="left"/>
              <w:rPr>
                <w:rFonts w:ascii="宋体" w:hAnsi="宋体" w:cs="宋体"/>
                <w:color w:val="auto"/>
                <w:sz w:val="22"/>
                <w:szCs w:val="22"/>
              </w:rPr>
            </w:pPr>
            <w:r>
              <w:rPr>
                <w:rFonts w:hint="eastAsia" w:ascii="宋体" w:hAnsi="宋体" w:cs="宋体"/>
                <w:color w:val="auto"/>
                <w:sz w:val="22"/>
                <w:szCs w:val="22"/>
              </w:rPr>
              <w:t>外壳采用201不锈钢板制作，内部双层静音棉孔板制作适当地加固以避免在正常运作时产生振动；</w:t>
            </w:r>
          </w:p>
          <w:p>
            <w:pPr>
              <w:jc w:val="left"/>
              <w:rPr>
                <w:rFonts w:ascii="宋体" w:hAnsi="宋体" w:cs="宋体"/>
                <w:color w:val="auto"/>
                <w:sz w:val="22"/>
                <w:szCs w:val="22"/>
              </w:rPr>
            </w:pPr>
            <w:r>
              <w:rPr>
                <w:rFonts w:hint="eastAsia" w:ascii="宋体" w:hAnsi="宋体" w:cs="宋体"/>
                <w:color w:val="auto"/>
                <w:sz w:val="22"/>
                <w:szCs w:val="22"/>
              </w:rPr>
              <w:t>轴承：采用耐腐蚀风机专用轴承；</w:t>
            </w:r>
          </w:p>
          <w:p>
            <w:pPr>
              <w:jc w:val="left"/>
              <w:rPr>
                <w:rFonts w:ascii="宋体" w:hAnsi="宋体" w:cs="宋体"/>
                <w:color w:val="auto"/>
                <w:sz w:val="22"/>
                <w:szCs w:val="22"/>
              </w:rPr>
            </w:pPr>
            <w:r>
              <w:rPr>
                <w:rFonts w:hint="eastAsia" w:ascii="宋体" w:hAnsi="宋体" w:cs="宋体"/>
                <w:color w:val="auto"/>
                <w:sz w:val="22"/>
                <w:szCs w:val="22"/>
              </w:rPr>
              <w:t>电机：纯铜芯国标电机；</w:t>
            </w:r>
          </w:p>
          <w:p>
            <w:pPr>
              <w:jc w:val="left"/>
              <w:rPr>
                <w:rFonts w:ascii="宋体" w:hAnsi="宋体" w:cs="宋体"/>
                <w:color w:val="auto"/>
                <w:sz w:val="22"/>
                <w:szCs w:val="22"/>
              </w:rPr>
            </w:pPr>
            <w:r>
              <w:rPr>
                <w:rFonts w:hint="eastAsia" w:ascii="宋体" w:hAnsi="宋体" w:cs="宋体"/>
                <w:color w:val="auto"/>
                <w:sz w:val="22"/>
                <w:szCs w:val="22"/>
              </w:rPr>
              <w:t>叶轮：采用双进风后倾高压叶轮，大流量、高效率；</w:t>
            </w:r>
          </w:p>
          <w:p>
            <w:pPr>
              <w:jc w:val="left"/>
              <w:rPr>
                <w:rFonts w:ascii="宋体" w:hAnsi="宋体" w:cs="宋体"/>
                <w:color w:val="auto"/>
                <w:sz w:val="22"/>
                <w:szCs w:val="22"/>
              </w:rPr>
            </w:pPr>
            <w:r>
              <w:rPr>
                <w:rFonts w:hint="eastAsia" w:ascii="宋体" w:hAnsi="宋体" w:cs="宋体"/>
                <w:color w:val="auto"/>
                <w:sz w:val="22"/>
                <w:szCs w:val="22"/>
              </w:rPr>
              <w:t>风机设有检修门，方便日后维护。</w:t>
            </w:r>
          </w:p>
          <w:p>
            <w:pPr>
              <w:jc w:val="left"/>
              <w:rPr>
                <w:rFonts w:ascii="宋体" w:hAnsi="宋体" w:cs="宋体"/>
                <w:b/>
                <w:bCs/>
                <w:color w:val="auto"/>
                <w:sz w:val="22"/>
                <w:szCs w:val="22"/>
              </w:rPr>
            </w:pPr>
            <w:r>
              <w:rPr>
                <w:rFonts w:hint="eastAsia" w:ascii="宋体" w:hAnsi="宋体" w:cs="宋体"/>
                <w:b/>
                <w:bCs/>
                <w:color w:val="auto"/>
                <w:sz w:val="22"/>
                <w:szCs w:val="22"/>
              </w:rPr>
              <w:t>1.所投“低噪音高压柜式风机”依据GB/T23717.1-2009，GB/T2298-2010，GB/T16916.1-2014标准要求，检测风机转子须具备较高的强度和耐久性，转子的振动速度不超过0.6毫米/秒。测试压力为120%到150%的额定压力，试验后无破皮情况。风机电气部件具备良好的绝缘质量，以保证风机的安全可靠。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p>
            <w:pPr>
              <w:jc w:val="left"/>
              <w:rPr>
                <w:rFonts w:ascii="宋体" w:hAnsi="宋体" w:cs="宋体"/>
                <w:color w:val="auto"/>
                <w:sz w:val="22"/>
                <w:szCs w:val="22"/>
              </w:rPr>
            </w:pPr>
            <w:r>
              <w:rPr>
                <w:rFonts w:hint="eastAsia" w:ascii="宋体" w:hAnsi="宋体" w:cs="宋体"/>
                <w:b/>
                <w:bCs/>
                <w:color w:val="auto"/>
                <w:sz w:val="22"/>
                <w:szCs w:val="22"/>
              </w:rPr>
              <w:t>2.所投“低噪音高压柜式风机”依据GB/T17626.31-2021，GB/T17626.5-2019，GB/T17626.6-2017，GB/T17626.10-2017标准要求，对射频场感应的传导骚扰抗扰度、短时中断和电压变化的抗扰度、工频磁场抗扰度的检测符合要求。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≥5.5kW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676910" cy="714375"/>
                  <wp:effectExtent l="0" t="0" r="8890" b="952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61"/>
                          <a:stretch>
                            <a:fillRect/>
                          </a:stretch>
                        </pic:blipFill>
                        <pic:spPr>
                          <a:xfrm>
                            <a:off x="0" y="0"/>
                            <a:ext cx="676910" cy="714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不锈钢油烟净化器</w:t>
            </w:r>
          </w:p>
          <w:p>
            <w:pPr>
              <w:jc w:val="left"/>
              <w:rPr>
                <w:rFonts w:ascii="宋体" w:hAnsi="宋体" w:cs="宋体"/>
                <w:color w:val="auto"/>
                <w:sz w:val="22"/>
                <w:szCs w:val="22"/>
              </w:rPr>
            </w:pPr>
            <w:r>
              <w:rPr>
                <w:rFonts w:hint="eastAsia" w:ascii="宋体" w:hAnsi="宋体" w:cs="宋体"/>
                <w:color w:val="auto"/>
                <w:sz w:val="22"/>
                <w:szCs w:val="22"/>
              </w:rPr>
              <w:t>净化效率：≥95%</w:t>
            </w:r>
          </w:p>
          <w:p>
            <w:pPr>
              <w:jc w:val="left"/>
              <w:rPr>
                <w:rFonts w:ascii="宋体" w:hAnsi="宋体" w:cs="宋体"/>
                <w:color w:val="auto"/>
                <w:sz w:val="22"/>
                <w:szCs w:val="22"/>
              </w:rPr>
            </w:pPr>
            <w:r>
              <w:rPr>
                <w:rFonts w:hint="eastAsia" w:ascii="宋体" w:hAnsi="宋体" w:cs="宋体"/>
                <w:color w:val="auto"/>
                <w:sz w:val="22"/>
                <w:szCs w:val="22"/>
              </w:rPr>
              <w:t>电场采用三系铝镁合金，铝板之前的间距≤8mm,以保证净化效果；</w:t>
            </w:r>
          </w:p>
          <w:p>
            <w:pPr>
              <w:jc w:val="left"/>
              <w:rPr>
                <w:rFonts w:ascii="宋体" w:hAnsi="宋体" w:cs="宋体"/>
                <w:color w:val="auto"/>
                <w:sz w:val="22"/>
                <w:szCs w:val="22"/>
              </w:rPr>
            </w:pPr>
            <w:r>
              <w:rPr>
                <w:rFonts w:hint="eastAsia" w:ascii="宋体" w:hAnsi="宋体" w:cs="宋体"/>
                <w:color w:val="auto"/>
                <w:sz w:val="22"/>
                <w:szCs w:val="22"/>
              </w:rPr>
              <w:t>外壳采用201不锈钢板制作；</w:t>
            </w:r>
          </w:p>
          <w:p>
            <w:pPr>
              <w:jc w:val="left"/>
              <w:rPr>
                <w:rFonts w:ascii="宋体" w:hAnsi="宋体" w:cs="宋体"/>
                <w:color w:val="auto"/>
                <w:sz w:val="22"/>
                <w:szCs w:val="22"/>
              </w:rPr>
            </w:pPr>
            <w:r>
              <w:rPr>
                <w:rFonts w:hint="eastAsia" w:ascii="宋体" w:hAnsi="宋体" w:cs="宋体"/>
                <w:color w:val="auto"/>
                <w:sz w:val="22"/>
                <w:szCs w:val="22"/>
              </w:rPr>
              <w:t>设备主体绝缘子采用陶瓷绝缘子，使用寿命长。</w:t>
            </w:r>
          </w:p>
          <w:p>
            <w:pPr>
              <w:jc w:val="left"/>
              <w:rPr>
                <w:rFonts w:ascii="宋体" w:hAnsi="宋体" w:cs="宋体"/>
                <w:color w:val="auto"/>
                <w:sz w:val="22"/>
                <w:szCs w:val="22"/>
              </w:rPr>
            </w:pPr>
            <w:r>
              <w:rPr>
                <w:rFonts w:hint="eastAsia" w:ascii="宋体" w:hAnsi="宋体" w:cs="宋体"/>
                <w:color w:val="auto"/>
                <w:sz w:val="22"/>
                <w:szCs w:val="22"/>
              </w:rPr>
              <w:t>风量：≥45000m³/h</w:t>
            </w:r>
          </w:p>
          <w:p>
            <w:pPr>
              <w:jc w:val="left"/>
              <w:rPr>
                <w:rFonts w:ascii="宋体" w:hAnsi="宋体" w:cs="宋体"/>
                <w:b/>
                <w:bCs/>
                <w:color w:val="auto"/>
                <w:sz w:val="22"/>
                <w:szCs w:val="22"/>
              </w:rPr>
            </w:pPr>
            <w:r>
              <w:rPr>
                <w:rFonts w:hint="eastAsia" w:ascii="宋体" w:hAnsi="宋体" w:cs="宋体"/>
                <w:b/>
                <w:bCs/>
                <w:color w:val="auto"/>
                <w:sz w:val="22"/>
                <w:szCs w:val="22"/>
              </w:rPr>
              <w:t>1、所投“油烟净化设备”依据GB/T17626.5-2019，GB/T13870.5-2016，GB/T12113-2023，GB/T38847-2020标准。1.对触及带电部件的防护，2.短时中断和电压变化的抗扰度，3.运转中有无异常声音或异常振动现象，4.可靠性、过压过流保护、短路保护、闪络保护、开路保护，5.生理效应接触电压阀值，检测结果符合要求。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p>
            <w:pPr>
              <w:jc w:val="left"/>
              <w:rPr>
                <w:rFonts w:ascii="宋体" w:hAnsi="宋体" w:cs="宋体"/>
                <w:color w:val="auto"/>
                <w:sz w:val="22"/>
                <w:szCs w:val="22"/>
              </w:rPr>
            </w:pPr>
            <w:r>
              <w:rPr>
                <w:rFonts w:hint="eastAsia" w:ascii="宋体" w:hAnsi="宋体" w:cs="宋体"/>
                <w:b/>
                <w:bCs/>
                <w:color w:val="auto"/>
                <w:sz w:val="22"/>
                <w:szCs w:val="22"/>
              </w:rPr>
              <w:t>2、所投“油烟净化设备”依据GB/T23717.1-2009，GB/T5095.2502-2021， GB/T35758-2017的检验标准，试验后样机的紧固件及机械结构无损伤、松动、元器件脱落等现象，通电工作正常。根据GB/T 2423.5-2019冲击试验方法，测试产品外观、功能及特性符合A级要求。根据GB/T 2423.17-2008第2部分:盐雾试验方法，测试条件满足：盐雾浓度5%、测试溶液PH值6.7(23℃)、盐雾驻留时间120小时，测试后经检査，漆膜无气泡、生锈、脱落、点蚀、裂纹等现象。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tc>
        <w:tc>
          <w:tcPr>
            <w:tcW w:w="1450" w:type="dxa"/>
            <w:vAlign w:val="center"/>
          </w:tcPr>
          <w:p>
            <w:pPr>
              <w:jc w:val="center"/>
              <w:rPr>
                <w:rFonts w:ascii="仿宋" w:hAnsi="仿宋" w:eastAsia="仿宋" w:cs="仿宋"/>
                <w:color w:val="auto"/>
                <w:sz w:val="24"/>
              </w:rPr>
            </w:pPr>
            <w:r>
              <w:rPr>
                <w:rFonts w:hint="eastAsia" w:ascii="仿宋" w:hAnsi="仿宋" w:eastAsia="仿宋" w:cs="仿宋"/>
                <w:color w:val="auto"/>
                <w:sz w:val="24"/>
              </w:rPr>
              <w:t>1130*1610*1150+脚130</w:t>
            </w:r>
            <w:r>
              <w:rPr>
                <w:rFonts w:hint="eastAsia" w:ascii="宋体" w:hAnsi="宋体" w:cs="宋体"/>
                <w:color w:val="auto"/>
                <w:sz w:val="22"/>
                <w:szCs w:val="22"/>
              </w:rPr>
              <w:t>（±30mm）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09270" cy="398145"/>
                  <wp:effectExtent l="0" t="0" r="5080" b="1905"/>
                  <wp:docPr id="26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90"/>
                          <pic:cNvPicPr>
                            <a:picLocks noChangeAspect="1"/>
                          </pic:cNvPicPr>
                        </pic:nvPicPr>
                        <pic:blipFill>
                          <a:blip r:embed="rId62"/>
                          <a:stretch>
                            <a:fillRect/>
                          </a:stretch>
                        </pic:blipFill>
                        <pic:spPr>
                          <a:xfrm>
                            <a:off x="0" y="0"/>
                            <a:ext cx="509270" cy="3981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6</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不锈钢油烟净化器</w:t>
            </w:r>
            <w:r>
              <w:rPr>
                <w:rFonts w:hint="eastAsia" w:ascii="宋体" w:hAnsi="宋体" w:cs="宋体"/>
                <w:b/>
                <w:bCs/>
                <w:color w:val="auto"/>
                <w:sz w:val="22"/>
                <w:szCs w:val="22"/>
              </w:rPr>
              <w:t>（需提供样品）</w:t>
            </w:r>
          </w:p>
          <w:p>
            <w:pPr>
              <w:jc w:val="left"/>
              <w:rPr>
                <w:rFonts w:ascii="宋体" w:hAnsi="宋体" w:cs="宋体"/>
                <w:color w:val="auto"/>
                <w:sz w:val="22"/>
                <w:szCs w:val="22"/>
              </w:rPr>
            </w:pPr>
            <w:r>
              <w:rPr>
                <w:rFonts w:hint="eastAsia" w:ascii="宋体" w:hAnsi="宋体" w:cs="宋体"/>
                <w:color w:val="auto"/>
                <w:sz w:val="22"/>
                <w:szCs w:val="22"/>
              </w:rPr>
              <w:t>净化效率：≥95%</w:t>
            </w:r>
          </w:p>
          <w:p>
            <w:pPr>
              <w:jc w:val="left"/>
              <w:rPr>
                <w:rFonts w:ascii="宋体" w:hAnsi="宋体" w:cs="宋体"/>
                <w:color w:val="auto"/>
                <w:sz w:val="22"/>
                <w:szCs w:val="22"/>
              </w:rPr>
            </w:pPr>
            <w:r>
              <w:rPr>
                <w:rFonts w:hint="eastAsia" w:ascii="宋体" w:hAnsi="宋体" w:cs="宋体"/>
                <w:color w:val="auto"/>
                <w:sz w:val="22"/>
                <w:szCs w:val="22"/>
              </w:rPr>
              <w:t>电场采用三系铝镁合金，铝板之前的间距≤8mm,以保证净化效果；</w:t>
            </w:r>
          </w:p>
          <w:p>
            <w:pPr>
              <w:jc w:val="left"/>
              <w:rPr>
                <w:rFonts w:ascii="宋体" w:hAnsi="宋体" w:cs="宋体"/>
                <w:color w:val="auto"/>
                <w:sz w:val="22"/>
                <w:szCs w:val="22"/>
              </w:rPr>
            </w:pPr>
            <w:r>
              <w:rPr>
                <w:rFonts w:hint="eastAsia" w:ascii="宋体" w:hAnsi="宋体" w:cs="宋体"/>
                <w:color w:val="auto"/>
                <w:sz w:val="22"/>
                <w:szCs w:val="22"/>
              </w:rPr>
              <w:t>外壳采用201不锈钢板制作；</w:t>
            </w:r>
          </w:p>
          <w:p>
            <w:pPr>
              <w:jc w:val="left"/>
              <w:rPr>
                <w:rFonts w:ascii="宋体" w:hAnsi="宋体" w:cs="宋体"/>
                <w:color w:val="auto"/>
                <w:sz w:val="22"/>
                <w:szCs w:val="22"/>
              </w:rPr>
            </w:pPr>
            <w:r>
              <w:rPr>
                <w:rFonts w:hint="eastAsia" w:ascii="宋体" w:hAnsi="宋体" w:cs="宋体"/>
                <w:color w:val="auto"/>
                <w:sz w:val="22"/>
                <w:szCs w:val="22"/>
              </w:rPr>
              <w:t>设备主体绝缘子采用陶瓷绝缘子，使用寿命长。</w:t>
            </w:r>
          </w:p>
          <w:p>
            <w:pPr>
              <w:jc w:val="left"/>
              <w:rPr>
                <w:rFonts w:ascii="宋体" w:hAnsi="宋体" w:cs="宋体"/>
                <w:color w:val="auto"/>
                <w:sz w:val="22"/>
                <w:szCs w:val="22"/>
              </w:rPr>
            </w:pPr>
            <w:r>
              <w:rPr>
                <w:rFonts w:hint="eastAsia" w:ascii="宋体" w:hAnsi="宋体" w:cs="宋体"/>
                <w:color w:val="auto"/>
                <w:sz w:val="22"/>
                <w:szCs w:val="22"/>
              </w:rPr>
              <w:t>风量：≥20000m³/h</w:t>
            </w:r>
          </w:p>
          <w:p>
            <w:pPr>
              <w:jc w:val="left"/>
              <w:rPr>
                <w:rFonts w:ascii="宋体" w:hAnsi="宋体" w:cs="宋体"/>
                <w:b/>
                <w:bCs/>
                <w:color w:val="auto"/>
                <w:sz w:val="22"/>
                <w:szCs w:val="22"/>
              </w:rPr>
            </w:pPr>
            <w:r>
              <w:rPr>
                <w:rFonts w:hint="eastAsia" w:ascii="宋体" w:hAnsi="宋体" w:cs="宋体"/>
                <w:b/>
                <w:bCs/>
                <w:color w:val="auto"/>
                <w:sz w:val="22"/>
                <w:szCs w:val="22"/>
              </w:rPr>
              <w:t>1、所投“油烟净化设备”依据GB/T17626.5-2019，GB/T13870.5-2016，GB/T12113-2023，GB/T38847-2020标准。1.对触及带电部件的防护，2.短时中断和电压变化的抗扰度，3.运转中有无异常声音或异常振动现象，4.可靠性、过压过流保护、短路保护、闪络保护、开路保护，5.生理效应接触电压阀值，检测结果符合要求。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p>
            <w:pPr>
              <w:jc w:val="left"/>
              <w:rPr>
                <w:rFonts w:ascii="宋体" w:hAnsi="宋体" w:cs="宋体"/>
                <w:color w:val="auto"/>
                <w:sz w:val="22"/>
                <w:szCs w:val="22"/>
              </w:rPr>
            </w:pPr>
            <w:r>
              <w:rPr>
                <w:rFonts w:hint="eastAsia" w:ascii="宋体" w:hAnsi="宋体" w:cs="宋体"/>
                <w:b/>
                <w:bCs/>
                <w:color w:val="auto"/>
                <w:sz w:val="22"/>
                <w:szCs w:val="22"/>
              </w:rPr>
              <w:t>2、所投“油烟净化设备”依据GB/T23717.1-2009，GB/T5095.2502-2021， GB/T35758-2017的检验标准，试验后样机的紧固件及机械结构无损伤、松动、元器件脱落等现象，通电工作正常。根据GB/T 2423.5-2019冲击试验方法，测试产品外观、功能及特性符合A级要求。根据GB/T 2423.17-2008第2部分:盐雾试验方法，测试条件满足：盐雾浓度5%、测试溶液PH值6.7(23℃)、盐雾驻留时间120小时，测试后经检査，样品漆膜无气泡、生锈、脱落、点蚀、裂纹等现象。提供国家法定检测机构具有CMA和CNAS标志的检验报告</w:t>
            </w:r>
            <w:r>
              <w:rPr>
                <w:rFonts w:hint="eastAsia" w:ascii="宋体" w:hAnsi="宋体" w:cs="宋体"/>
                <w:b/>
                <w:bCs/>
                <w:color w:val="auto"/>
                <w:sz w:val="22"/>
                <w:szCs w:val="22"/>
                <w:lang w:val="en-US" w:eastAsia="zh-CN"/>
              </w:rPr>
              <w:t>复印件</w:t>
            </w:r>
            <w:r>
              <w:rPr>
                <w:rFonts w:hint="eastAsia" w:ascii="宋体" w:hAnsi="宋体" w:cs="宋体"/>
                <w:b/>
                <w:bCs/>
                <w:color w:val="auto"/>
                <w:sz w:val="22"/>
                <w:szCs w:val="22"/>
              </w:rPr>
              <w:t>加盖投标人公章。报告信息于“全国认证认可信息公共服务平台”网站编号可查询。</w:t>
            </w:r>
          </w:p>
        </w:tc>
        <w:tc>
          <w:tcPr>
            <w:tcW w:w="1450" w:type="dxa"/>
            <w:vAlign w:val="center"/>
          </w:tcPr>
          <w:p>
            <w:pPr>
              <w:jc w:val="center"/>
              <w:rPr>
                <w:rFonts w:ascii="仿宋" w:hAnsi="仿宋" w:eastAsia="仿宋" w:cs="仿宋"/>
                <w:color w:val="auto"/>
                <w:sz w:val="24"/>
              </w:rPr>
            </w:pPr>
            <w:r>
              <w:rPr>
                <w:rFonts w:hint="eastAsia" w:ascii="仿宋" w:hAnsi="仿宋" w:eastAsia="仿宋" w:cs="仿宋"/>
                <w:color w:val="auto"/>
                <w:sz w:val="24"/>
              </w:rPr>
              <w:t>1280*890*1150+脚130</w:t>
            </w:r>
            <w:r>
              <w:rPr>
                <w:rFonts w:hint="eastAsia" w:ascii="宋体" w:hAnsi="宋体" w:cs="宋体"/>
                <w:color w:val="auto"/>
                <w:sz w:val="22"/>
                <w:szCs w:val="22"/>
              </w:rPr>
              <w:t>（±30mm）</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09270" cy="398145"/>
                  <wp:effectExtent l="0" t="0" r="5080" b="1905"/>
                  <wp:docPr id="2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0"/>
                          <pic:cNvPicPr>
                            <a:picLocks noChangeAspect="1"/>
                          </pic:cNvPicPr>
                        </pic:nvPicPr>
                        <pic:blipFill>
                          <a:blip r:embed="rId62"/>
                          <a:stretch>
                            <a:fillRect/>
                          </a:stretch>
                        </pic:blipFill>
                        <pic:spPr>
                          <a:xfrm>
                            <a:off x="0" y="0"/>
                            <a:ext cx="509270" cy="3981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7</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油烟专用风机</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≥1.1kW</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347980" cy="347980"/>
                  <wp:effectExtent l="0" t="0" r="13970" b="13970"/>
                  <wp:docPr id="55" name="图片 55" descr="防爆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防爆风机"/>
                          <pic:cNvPicPr>
                            <a:picLocks noChangeAspect="1"/>
                          </pic:cNvPicPr>
                        </pic:nvPicPr>
                        <pic:blipFill>
                          <a:blip r:embed="rId63"/>
                          <a:stretch>
                            <a:fillRect/>
                          </a:stretch>
                        </pic:blipFill>
                        <pic:spPr>
                          <a:xfrm>
                            <a:off x="0" y="0"/>
                            <a:ext cx="347980" cy="347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8</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防火阀</w:t>
            </w:r>
          </w:p>
          <w:p>
            <w:pPr>
              <w:jc w:val="left"/>
              <w:rPr>
                <w:rFonts w:ascii="宋体" w:hAnsi="宋体" w:cs="宋体"/>
                <w:color w:val="auto"/>
                <w:sz w:val="22"/>
                <w:szCs w:val="22"/>
              </w:rPr>
            </w:pPr>
            <w:r>
              <w:rPr>
                <w:rFonts w:hint="eastAsia" w:ascii="宋体" w:hAnsi="宋体" w:cs="宋体"/>
                <w:color w:val="auto"/>
                <w:sz w:val="22"/>
                <w:szCs w:val="22"/>
              </w:rPr>
              <w:t>熔点：≥150℃</w:t>
            </w:r>
          </w:p>
          <w:p>
            <w:pPr>
              <w:jc w:val="left"/>
              <w:rPr>
                <w:rFonts w:ascii="宋体" w:hAnsi="宋体" w:cs="宋体"/>
                <w:color w:val="auto"/>
                <w:sz w:val="22"/>
                <w:szCs w:val="22"/>
              </w:rPr>
            </w:pPr>
            <w:r>
              <w:rPr>
                <w:rFonts w:hint="eastAsia" w:ascii="宋体" w:hAnsi="宋体" w:cs="宋体"/>
                <w:color w:val="auto"/>
                <w:sz w:val="22"/>
                <w:szCs w:val="22"/>
              </w:rPr>
              <w:t>说明：采用镀锌板制作；是一种记忆熔合金的温度控制、利用重力作用和弹簧机构的作用关闭的阀门形式；当温度达到熔断器在≥150℃时熔断，使阀门关闭；</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配风管</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1399" w:type="dxa"/>
            <w:vAlign w:val="center"/>
          </w:tcPr>
          <w:p>
            <w:pPr>
              <w:jc w:val="center"/>
              <w:rPr>
                <w:rFonts w:ascii="宋体" w:hAnsi="宋体" w:cs="宋体"/>
                <w:color w:val="auto"/>
                <w:sz w:val="22"/>
                <w:szCs w:val="22"/>
              </w:rPr>
            </w:pPr>
            <w:r>
              <w:rPr>
                <w:rFonts w:hint="eastAsia" w:ascii="宋体" w:hAnsi="宋体" w:cs="宋体"/>
                <w:bCs/>
                <w:color w:val="auto"/>
                <w:sz w:val="22"/>
                <w:szCs w:val="22"/>
              </w:rPr>
              <w:drawing>
                <wp:inline distT="0" distB="0" distL="114300" distR="114300">
                  <wp:extent cx="368300" cy="367665"/>
                  <wp:effectExtent l="0" t="0" r="12700" b="13335"/>
                  <wp:docPr id="269" name="图片 91"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91" descr="防火阀"/>
                          <pic:cNvPicPr>
                            <a:picLocks noChangeAspect="1"/>
                          </pic:cNvPicPr>
                        </pic:nvPicPr>
                        <pic:blipFill>
                          <a:blip r:embed="rId64"/>
                          <a:stretch>
                            <a:fillRect/>
                          </a:stretch>
                        </pic:blipFill>
                        <pic:spPr>
                          <a:xfrm>
                            <a:off x="0" y="0"/>
                            <a:ext cx="368300" cy="367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9</w:t>
            </w:r>
          </w:p>
        </w:tc>
        <w:tc>
          <w:tcPr>
            <w:tcW w:w="4338" w:type="dxa"/>
            <w:vAlign w:val="center"/>
          </w:tcPr>
          <w:p>
            <w:pPr>
              <w:widowControl/>
              <w:jc w:val="left"/>
              <w:textAlignment w:val="center"/>
              <w:rPr>
                <w:rFonts w:ascii="宋体" w:hAnsi="宋体" w:cs="宋体"/>
                <w:color w:val="auto"/>
                <w:sz w:val="22"/>
                <w:szCs w:val="22"/>
              </w:rPr>
            </w:pPr>
            <w:r>
              <w:rPr>
                <w:rFonts w:hint="eastAsia" w:ascii="宋体" w:hAnsi="宋体" w:cs="宋体"/>
                <w:color w:val="auto"/>
                <w:sz w:val="22"/>
                <w:szCs w:val="22"/>
              </w:rPr>
              <w:t>减震器</w:t>
            </w:r>
          </w:p>
          <w:p>
            <w:pPr>
              <w:widowControl/>
              <w:jc w:val="left"/>
              <w:textAlignment w:val="center"/>
              <w:rPr>
                <w:rFonts w:ascii="宋体" w:hAnsi="宋体" w:cs="宋体"/>
                <w:color w:val="auto"/>
                <w:sz w:val="22"/>
                <w:szCs w:val="22"/>
              </w:rPr>
            </w:pPr>
            <w:r>
              <w:rPr>
                <w:rFonts w:hint="eastAsia" w:ascii="宋体" w:hAnsi="宋体" w:cs="宋体"/>
                <w:color w:val="auto"/>
                <w:sz w:val="22"/>
                <w:szCs w:val="22"/>
              </w:rPr>
              <w:t>说明：有效隔绝因震动产生的低频噪音，防震效率高弹簧防滑橡胶底座设计。</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100kg</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台</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12</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648970" cy="494030"/>
                  <wp:effectExtent l="0" t="0" r="17780" b="1270"/>
                  <wp:docPr id="270" name="图片 92"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92" descr="无标题.jpg"/>
                          <pic:cNvPicPr>
                            <a:picLocks noChangeAspect="1"/>
                          </pic:cNvPicPr>
                        </pic:nvPicPr>
                        <pic:blipFill>
                          <a:blip r:embed="rId65"/>
                          <a:stretch>
                            <a:fillRect/>
                          </a:stretch>
                        </pic:blipFill>
                        <pic:spPr>
                          <a:xfrm>
                            <a:off x="0" y="0"/>
                            <a:ext cx="648970" cy="494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10</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软接</w:t>
            </w:r>
          </w:p>
          <w:p>
            <w:pPr>
              <w:jc w:val="left"/>
              <w:rPr>
                <w:rFonts w:ascii="宋体" w:hAnsi="宋体" w:cs="宋体"/>
                <w:color w:val="auto"/>
                <w:sz w:val="22"/>
                <w:szCs w:val="22"/>
              </w:rPr>
            </w:pPr>
            <w:r>
              <w:rPr>
                <w:rFonts w:hint="eastAsia" w:ascii="宋体" w:hAnsi="宋体" w:cs="宋体"/>
                <w:color w:val="auto"/>
                <w:sz w:val="22"/>
                <w:szCs w:val="22"/>
              </w:rPr>
              <w:t>说明：采用加厚帆布制作。</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配风柜</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285115" cy="342900"/>
                  <wp:effectExtent l="0" t="0" r="635" b="0"/>
                  <wp:docPr id="27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93"/>
                          <pic:cNvPicPr>
                            <a:picLocks noChangeAspect="1"/>
                          </pic:cNvPicPr>
                        </pic:nvPicPr>
                        <pic:blipFill>
                          <a:blip r:embed="rId66"/>
                          <a:stretch>
                            <a:fillRect/>
                          </a:stretch>
                        </pic:blipFill>
                        <pic:spPr>
                          <a:xfrm>
                            <a:off x="0" y="0"/>
                            <a:ext cx="285115"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风机及净化器支架</w:t>
            </w:r>
          </w:p>
          <w:p>
            <w:pPr>
              <w:jc w:val="left"/>
              <w:rPr>
                <w:rFonts w:ascii="宋体" w:hAnsi="宋体" w:cs="宋体"/>
                <w:color w:val="auto"/>
                <w:sz w:val="22"/>
                <w:szCs w:val="22"/>
              </w:rPr>
            </w:pPr>
            <w:r>
              <w:rPr>
                <w:rFonts w:hint="eastAsia" w:ascii="宋体" w:hAnsi="宋体" w:cs="宋体"/>
                <w:color w:val="auto"/>
                <w:sz w:val="22"/>
                <w:szCs w:val="22"/>
              </w:rPr>
              <w:t>说明：采用≥6#槽钢和≥40*40*3mm镀锌角铁制作；焊接成型，焊缝表面平整光滑，无烧穿现象</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配设备</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507365" cy="245110"/>
                  <wp:effectExtent l="0" t="0" r="6985" b="2540"/>
                  <wp:docPr id="27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94"/>
                          <pic:cNvPicPr>
                            <a:picLocks noChangeAspect="1"/>
                          </pic:cNvPicPr>
                        </pic:nvPicPr>
                        <pic:blipFill>
                          <a:blip r:embed="rId67"/>
                          <a:stretch>
                            <a:fillRect/>
                          </a:stretch>
                        </pic:blipFill>
                        <pic:spPr>
                          <a:xfrm>
                            <a:off x="0" y="0"/>
                            <a:ext cx="507365" cy="2451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12</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风机变频器连箱体</w:t>
            </w:r>
          </w:p>
          <w:p>
            <w:pPr>
              <w:jc w:val="left"/>
              <w:rPr>
                <w:rFonts w:ascii="宋体" w:hAnsi="宋体" w:cs="宋体"/>
                <w:color w:val="auto"/>
                <w:sz w:val="22"/>
                <w:szCs w:val="22"/>
              </w:rPr>
            </w:pPr>
            <w:r>
              <w:rPr>
                <w:rFonts w:hint="eastAsia" w:ascii="宋体" w:hAnsi="宋体" w:cs="宋体"/>
                <w:color w:val="auto"/>
                <w:sz w:val="22"/>
                <w:szCs w:val="22"/>
              </w:rPr>
              <w:t>说明：配置≥18.5kW变频器，与排烟风机配套。注：电源线由装修水电施工方放至设备位置。</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配风柜</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368935" cy="504825"/>
                  <wp:effectExtent l="0" t="0" r="12065" b="9525"/>
                  <wp:docPr id="27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95"/>
                          <pic:cNvPicPr>
                            <a:picLocks noChangeAspect="1"/>
                          </pic:cNvPicPr>
                        </pic:nvPicPr>
                        <pic:blipFill>
                          <a:blip r:embed="rId68"/>
                          <a:stretch>
                            <a:fillRect/>
                          </a:stretch>
                        </pic:blipFill>
                        <pic:spPr>
                          <a:xfrm>
                            <a:off x="0" y="0"/>
                            <a:ext cx="368935"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13</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风机变频器连箱体</w:t>
            </w:r>
          </w:p>
          <w:p>
            <w:pPr>
              <w:jc w:val="left"/>
              <w:rPr>
                <w:rFonts w:ascii="宋体" w:hAnsi="宋体" w:cs="宋体"/>
                <w:color w:val="auto"/>
                <w:sz w:val="22"/>
                <w:szCs w:val="22"/>
              </w:rPr>
            </w:pPr>
            <w:r>
              <w:rPr>
                <w:rFonts w:hint="eastAsia" w:ascii="宋体" w:hAnsi="宋体" w:cs="宋体"/>
                <w:color w:val="auto"/>
                <w:sz w:val="22"/>
                <w:szCs w:val="22"/>
              </w:rPr>
              <w:t>说明：配置≥15kW变频器，与排烟风机配套。注：电源线由装修水电施工方放至设备位置。</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配风柜</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354330" cy="485140"/>
                  <wp:effectExtent l="0" t="0" r="7620" b="10160"/>
                  <wp:docPr id="3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5"/>
                          <pic:cNvPicPr>
                            <a:picLocks noChangeAspect="1"/>
                          </pic:cNvPicPr>
                        </pic:nvPicPr>
                        <pic:blipFill>
                          <a:blip r:embed="rId68"/>
                          <a:stretch>
                            <a:fillRect/>
                          </a:stretch>
                        </pic:blipFill>
                        <pic:spPr>
                          <a:xfrm>
                            <a:off x="0" y="0"/>
                            <a:ext cx="354330" cy="485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控制电箱</w:t>
            </w:r>
          </w:p>
          <w:p>
            <w:pPr>
              <w:jc w:val="left"/>
              <w:rPr>
                <w:rFonts w:ascii="宋体" w:hAnsi="宋体" w:cs="宋体"/>
                <w:color w:val="auto"/>
                <w:sz w:val="22"/>
                <w:szCs w:val="22"/>
              </w:rPr>
            </w:pPr>
            <w:r>
              <w:rPr>
                <w:rFonts w:hint="eastAsia" w:ascii="宋体" w:hAnsi="宋体" w:cs="宋体"/>
                <w:color w:val="auto"/>
                <w:sz w:val="22"/>
                <w:szCs w:val="22"/>
              </w:rPr>
              <w:t>说明：可控≥5.5kW</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配风柜</w:t>
            </w: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372110" cy="372110"/>
                  <wp:effectExtent l="0" t="0" r="8890" b="8890"/>
                  <wp:docPr id="50" name="图片 50" descr="控制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控制箱"/>
                          <pic:cNvPicPr>
                            <a:picLocks noChangeAspect="1"/>
                          </pic:cNvPicPr>
                        </pic:nvPicPr>
                        <pic:blipFill>
                          <a:blip r:embed="rId69"/>
                          <a:stretch>
                            <a:fillRect/>
                          </a:stretch>
                        </pic:blipFill>
                        <pic:spPr>
                          <a:xfrm>
                            <a:off x="0" y="0"/>
                            <a:ext cx="372110" cy="3721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pPr>
              <w:jc w:val="left"/>
              <w:rPr>
                <w:rFonts w:ascii="宋体" w:hAnsi="宋体" w:cs="宋体"/>
                <w:color w:val="auto"/>
                <w:sz w:val="22"/>
                <w:szCs w:val="22"/>
              </w:rPr>
            </w:pPr>
            <w:r>
              <w:rPr>
                <w:rFonts w:hint="eastAsia" w:ascii="宋体" w:hAnsi="宋体" w:cs="宋体"/>
                <w:b/>
                <w:bCs/>
                <w:color w:val="auto"/>
                <w:sz w:val="32"/>
                <w:szCs w:val="32"/>
              </w:rPr>
              <w:t>其他</w:t>
            </w:r>
          </w:p>
        </w:tc>
        <w:tc>
          <w:tcPr>
            <w:tcW w:w="4335" w:type="dxa"/>
            <w:gridSpan w:val="4"/>
            <w:vAlign w:val="center"/>
          </w:tcPr>
          <w:p>
            <w:pPr>
              <w:jc w:val="left"/>
              <w:rPr>
                <w:rFonts w:ascii="宋体" w:hAnsi="宋体" w:cs="宋体"/>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冷热水龙头</w:t>
            </w:r>
          </w:p>
          <w:p>
            <w:pPr>
              <w:jc w:val="left"/>
              <w:rPr>
                <w:rFonts w:ascii="宋体" w:hAnsi="宋体" w:cs="宋体"/>
                <w:color w:val="auto"/>
                <w:sz w:val="22"/>
                <w:szCs w:val="22"/>
              </w:rPr>
            </w:pPr>
            <w:r>
              <w:rPr>
                <w:rFonts w:hint="eastAsia" w:ascii="宋体" w:hAnsi="宋体" w:cs="宋体"/>
                <w:color w:val="auto"/>
                <w:sz w:val="22"/>
                <w:szCs w:val="22"/>
              </w:rPr>
              <w:t>说明：单孔单柄，陶瓷片阀芯，主体采用优质黄铜材料构成，保证出水的卫生.</w:t>
            </w:r>
          </w:p>
        </w:tc>
        <w:tc>
          <w:tcPr>
            <w:tcW w:w="1450" w:type="dxa"/>
            <w:vAlign w:val="center"/>
          </w:tcPr>
          <w:p>
            <w:pPr>
              <w:jc w:val="center"/>
              <w:rPr>
                <w:rFonts w:ascii="宋体" w:hAnsi="宋体" w:cs="宋体"/>
                <w:color w:val="auto"/>
                <w:sz w:val="22"/>
                <w:szCs w:val="22"/>
              </w:rPr>
            </w:pP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24</w:t>
            </w:r>
          </w:p>
        </w:tc>
        <w:tc>
          <w:tcPr>
            <w:tcW w:w="1399" w:type="dxa"/>
            <w:vAlign w:val="center"/>
          </w:tcPr>
          <w:p>
            <w:pPr>
              <w:jc w:val="center"/>
              <w:rPr>
                <w:rFonts w:ascii="宋体" w:hAnsi="宋体" w:cs="宋体"/>
                <w:color w:val="auto"/>
                <w:sz w:val="22"/>
                <w:szCs w:val="22"/>
              </w:rPr>
            </w:pPr>
            <w:r>
              <w:rPr>
                <w:rFonts w:hint="eastAsia" w:ascii="宋体" w:hAnsi="宋体" w:cs="宋体"/>
                <w:bCs/>
                <w:color w:val="auto"/>
                <w:sz w:val="22"/>
                <w:szCs w:val="22"/>
              </w:rPr>
              <w:drawing>
                <wp:inline distT="0" distB="0" distL="114300" distR="114300">
                  <wp:extent cx="415925" cy="565150"/>
                  <wp:effectExtent l="0" t="0" r="3175" b="6350"/>
                  <wp:docPr id="27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97"/>
                          <pic:cNvPicPr>
                            <a:picLocks noChangeAspect="1"/>
                          </pic:cNvPicPr>
                        </pic:nvPicPr>
                        <pic:blipFill>
                          <a:blip r:embed="rId70"/>
                          <a:stretch>
                            <a:fillRect/>
                          </a:stretch>
                        </pic:blipFill>
                        <pic:spPr>
                          <a:xfrm>
                            <a:off x="0" y="0"/>
                            <a:ext cx="415925" cy="565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2</w:t>
            </w:r>
          </w:p>
        </w:tc>
        <w:tc>
          <w:tcPr>
            <w:tcW w:w="4338" w:type="dxa"/>
            <w:vAlign w:val="center"/>
          </w:tcPr>
          <w:p>
            <w:pPr>
              <w:jc w:val="left"/>
              <w:rPr>
                <w:rFonts w:ascii="宋体" w:hAnsi="宋体" w:cs="宋体"/>
                <w:bCs/>
                <w:color w:val="auto"/>
                <w:sz w:val="22"/>
                <w:szCs w:val="22"/>
              </w:rPr>
            </w:pPr>
            <w:r>
              <w:rPr>
                <w:rFonts w:hint="eastAsia" w:ascii="宋体" w:hAnsi="宋体" w:cs="宋体"/>
                <w:bCs/>
                <w:color w:val="auto"/>
                <w:sz w:val="22"/>
                <w:szCs w:val="22"/>
              </w:rPr>
              <w:t>脚踏龙头</w:t>
            </w:r>
          </w:p>
          <w:p>
            <w:pPr>
              <w:jc w:val="left"/>
              <w:rPr>
                <w:rFonts w:ascii="宋体" w:hAnsi="宋体" w:cs="宋体"/>
                <w:bCs/>
                <w:color w:val="auto"/>
                <w:sz w:val="22"/>
                <w:szCs w:val="22"/>
              </w:rPr>
            </w:pPr>
            <w:r>
              <w:rPr>
                <w:rFonts w:hint="eastAsia" w:ascii="宋体" w:hAnsi="宋体" w:cs="宋体"/>
                <w:bCs/>
                <w:color w:val="auto"/>
                <w:sz w:val="22"/>
                <w:szCs w:val="22"/>
              </w:rPr>
              <w:t>说明：主体采用优质黄铜材料构成，防溅网式气泡器。</w:t>
            </w:r>
          </w:p>
        </w:tc>
        <w:tc>
          <w:tcPr>
            <w:tcW w:w="1450" w:type="dxa"/>
            <w:vAlign w:val="center"/>
          </w:tcPr>
          <w:p>
            <w:pPr>
              <w:jc w:val="center"/>
              <w:rPr>
                <w:rFonts w:ascii="宋体" w:hAnsi="宋体" w:cs="宋体"/>
                <w:bCs/>
                <w:color w:val="auto"/>
                <w:sz w:val="22"/>
                <w:szCs w:val="22"/>
              </w:rPr>
            </w:pPr>
          </w:p>
        </w:tc>
        <w:tc>
          <w:tcPr>
            <w:tcW w:w="6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只</w:t>
            </w:r>
          </w:p>
        </w:tc>
        <w:tc>
          <w:tcPr>
            <w:tcW w:w="843" w:type="dxa"/>
            <w:vAlign w:val="center"/>
          </w:tcPr>
          <w:p>
            <w:pPr>
              <w:jc w:val="center"/>
              <w:rPr>
                <w:rFonts w:ascii="宋体" w:hAnsi="宋体" w:cs="宋体"/>
                <w:bCs/>
                <w:color w:val="auto"/>
                <w:sz w:val="22"/>
                <w:szCs w:val="22"/>
              </w:rPr>
            </w:pPr>
            <w:r>
              <w:rPr>
                <w:rFonts w:hint="eastAsia" w:ascii="宋体" w:hAnsi="宋体" w:cs="宋体"/>
                <w:bCs/>
                <w:color w:val="auto"/>
                <w:sz w:val="22"/>
                <w:szCs w:val="22"/>
              </w:rPr>
              <w:t>4</w:t>
            </w:r>
          </w:p>
        </w:tc>
        <w:tc>
          <w:tcPr>
            <w:tcW w:w="1399" w:type="dxa"/>
            <w:vAlign w:val="center"/>
          </w:tcPr>
          <w:p>
            <w:pPr>
              <w:jc w:val="center"/>
              <w:rPr>
                <w:rFonts w:ascii="宋体" w:hAnsi="宋体" w:cs="宋体"/>
                <w:bCs/>
                <w:color w:val="auto"/>
                <w:sz w:val="22"/>
                <w:szCs w:val="22"/>
              </w:rPr>
            </w:pPr>
            <w:r>
              <w:rPr>
                <w:rFonts w:hint="eastAsia" w:ascii="宋体" w:hAnsi="宋体" w:cs="宋体"/>
                <w:bCs/>
                <w:color w:val="auto"/>
                <w:sz w:val="22"/>
                <w:szCs w:val="22"/>
              </w:rPr>
              <w:drawing>
                <wp:inline distT="0" distB="0" distL="114300" distR="114300">
                  <wp:extent cx="379095" cy="240030"/>
                  <wp:effectExtent l="0" t="0" r="1905" b="762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71"/>
                          <a:stretch>
                            <a:fillRect/>
                          </a:stretch>
                        </pic:blipFill>
                        <pic:spPr>
                          <a:xfrm>
                            <a:off x="0" y="0"/>
                            <a:ext cx="379095" cy="240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3</w:t>
            </w:r>
          </w:p>
        </w:tc>
        <w:tc>
          <w:tcPr>
            <w:tcW w:w="4338" w:type="dxa"/>
            <w:vAlign w:val="center"/>
          </w:tcPr>
          <w:p>
            <w:pPr>
              <w:widowControl/>
              <w:jc w:val="left"/>
              <w:textAlignment w:val="center"/>
              <w:rPr>
                <w:rFonts w:ascii="宋体" w:hAnsi="宋体" w:cs="宋体"/>
                <w:color w:val="auto"/>
                <w:sz w:val="22"/>
                <w:szCs w:val="22"/>
              </w:rPr>
            </w:pPr>
            <w:r>
              <w:rPr>
                <w:rFonts w:hint="eastAsia" w:ascii="宋体" w:hAnsi="宋体" w:cs="宋体"/>
                <w:color w:val="auto"/>
                <w:sz w:val="22"/>
                <w:szCs w:val="22"/>
              </w:rPr>
              <w:t>三角阀</w:t>
            </w:r>
          </w:p>
          <w:p>
            <w:pPr>
              <w:widowControl/>
              <w:jc w:val="left"/>
              <w:textAlignment w:val="center"/>
              <w:rPr>
                <w:rFonts w:ascii="宋体" w:hAnsi="宋体" w:cs="宋体"/>
                <w:color w:val="auto"/>
                <w:sz w:val="22"/>
                <w:szCs w:val="22"/>
              </w:rPr>
            </w:pPr>
            <w:r>
              <w:rPr>
                <w:rFonts w:hint="eastAsia" w:ascii="宋体" w:hAnsi="宋体" w:cs="宋体"/>
                <w:color w:val="auto"/>
                <w:sz w:val="22"/>
                <w:szCs w:val="22"/>
              </w:rPr>
              <w:t>说明：全铜加厚，耐磨防爆，多层电镀工艺，耐热耐冷角阀。</w:t>
            </w:r>
          </w:p>
        </w:tc>
        <w:tc>
          <w:tcPr>
            <w:tcW w:w="1450" w:type="dxa"/>
            <w:vAlign w:val="center"/>
          </w:tcPr>
          <w:p>
            <w:pPr>
              <w:jc w:val="center"/>
              <w:rPr>
                <w:rFonts w:ascii="宋体" w:hAnsi="宋体" w:cs="宋体"/>
                <w:color w:val="auto"/>
                <w:sz w:val="22"/>
                <w:szCs w:val="22"/>
              </w:rPr>
            </w:pPr>
          </w:p>
        </w:tc>
        <w:tc>
          <w:tcPr>
            <w:tcW w:w="643" w:type="dxa"/>
            <w:vAlign w:val="center"/>
          </w:tcPr>
          <w:p>
            <w:pPr>
              <w:jc w:val="center"/>
              <w:rPr>
                <w:rFonts w:ascii="宋体" w:hAnsi="宋体" w:cs="宋体"/>
                <w:color w:val="auto"/>
                <w:sz w:val="22"/>
                <w:szCs w:val="22"/>
              </w:rPr>
            </w:pPr>
            <w:r>
              <w:rPr>
                <w:rFonts w:hint="eastAsia" w:ascii="宋体" w:hAnsi="宋体" w:cs="宋体"/>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100</w:t>
            </w:r>
          </w:p>
        </w:tc>
        <w:tc>
          <w:tcPr>
            <w:tcW w:w="1399" w:type="dxa"/>
            <w:vAlign w:val="center"/>
          </w:tcPr>
          <w:p>
            <w:pPr>
              <w:jc w:val="center"/>
              <w:rPr>
                <w:rFonts w:ascii="宋体" w:hAnsi="宋体" w:cs="宋体"/>
                <w:color w:val="auto"/>
                <w:sz w:val="22"/>
                <w:szCs w:val="22"/>
              </w:rPr>
            </w:pPr>
            <w:r>
              <w:rPr>
                <w:rFonts w:hint="eastAsia" w:ascii="宋体" w:hAnsi="宋体" w:cs="宋体"/>
                <w:color w:val="auto"/>
                <w:sz w:val="22"/>
                <w:szCs w:val="22"/>
              </w:rPr>
              <w:drawing>
                <wp:inline distT="0" distB="0" distL="114300" distR="114300">
                  <wp:extent cx="422275" cy="458470"/>
                  <wp:effectExtent l="0" t="0" r="15875" b="17780"/>
                  <wp:docPr id="277" name="图片 98" descr="QQ图片2016112309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98" descr="QQ图片20161123093715"/>
                          <pic:cNvPicPr>
                            <a:picLocks noChangeAspect="1"/>
                          </pic:cNvPicPr>
                        </pic:nvPicPr>
                        <pic:blipFill>
                          <a:blip r:embed="rId72"/>
                          <a:stretch>
                            <a:fillRect/>
                          </a:stretch>
                        </pic:blipFill>
                        <pic:spPr>
                          <a:xfrm>
                            <a:off x="0" y="0"/>
                            <a:ext cx="422275" cy="458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4</w:t>
            </w:r>
          </w:p>
        </w:tc>
        <w:tc>
          <w:tcPr>
            <w:tcW w:w="4338" w:type="dxa"/>
            <w:vAlign w:val="center"/>
          </w:tcPr>
          <w:p>
            <w:pPr>
              <w:jc w:val="left"/>
              <w:rPr>
                <w:rFonts w:ascii="宋体" w:hAnsi="宋体" w:cs="宋体"/>
                <w:color w:val="auto"/>
                <w:sz w:val="22"/>
                <w:szCs w:val="22"/>
              </w:rPr>
            </w:pPr>
            <w:r>
              <w:rPr>
                <w:rFonts w:hint="eastAsia" w:ascii="宋体" w:hAnsi="宋体" w:cs="宋体"/>
                <w:color w:val="auto"/>
                <w:sz w:val="22"/>
                <w:szCs w:val="22"/>
              </w:rPr>
              <w:t>进水软管</w:t>
            </w:r>
          </w:p>
        </w:tc>
        <w:tc>
          <w:tcPr>
            <w:tcW w:w="1450" w:type="dxa"/>
            <w:vAlign w:val="center"/>
          </w:tcPr>
          <w:p>
            <w:pPr>
              <w:jc w:val="center"/>
              <w:rPr>
                <w:rFonts w:ascii="宋体" w:hAnsi="宋体" w:cs="宋体"/>
                <w:color w:val="auto"/>
                <w:sz w:val="22"/>
                <w:szCs w:val="22"/>
              </w:rPr>
            </w:pPr>
            <w:r>
              <w:rPr>
                <w:rFonts w:hint="eastAsia" w:ascii="宋体" w:hAnsi="宋体" w:cs="宋体"/>
                <w:color w:val="auto"/>
                <w:sz w:val="22"/>
                <w:szCs w:val="22"/>
              </w:rPr>
              <w:t>80cm</w:t>
            </w:r>
          </w:p>
        </w:tc>
        <w:tc>
          <w:tcPr>
            <w:tcW w:w="643" w:type="dxa"/>
            <w:vAlign w:val="center"/>
          </w:tcPr>
          <w:p>
            <w:pPr>
              <w:jc w:val="center"/>
              <w:rPr>
                <w:rFonts w:ascii="宋体" w:hAnsi="宋体" w:cs="宋体"/>
                <w:color w:val="auto"/>
                <w:sz w:val="22"/>
                <w:szCs w:val="22"/>
              </w:rPr>
            </w:pPr>
            <w:r>
              <w:rPr>
                <w:rFonts w:hint="eastAsia" w:ascii="宋体" w:hAnsi="宋体" w:cs="宋体"/>
                <w:bCs/>
                <w:color w:val="auto"/>
                <w:sz w:val="22"/>
                <w:szCs w:val="22"/>
              </w:rPr>
              <w:t>只</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100</w:t>
            </w:r>
          </w:p>
        </w:tc>
        <w:tc>
          <w:tcPr>
            <w:tcW w:w="1399" w:type="dxa"/>
            <w:vAlign w:val="center"/>
          </w:tcPr>
          <w:p>
            <w:pPr>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pPr>
              <w:jc w:val="center"/>
              <w:rPr>
                <w:rFonts w:ascii="宋体" w:hAnsi="宋体" w:cs="宋体"/>
                <w:color w:val="auto"/>
                <w:sz w:val="22"/>
                <w:szCs w:val="22"/>
              </w:rPr>
            </w:pPr>
            <w:r>
              <w:rPr>
                <w:rFonts w:hint="eastAsia" w:ascii="宋体" w:hAnsi="宋体" w:cs="宋体"/>
                <w:color w:val="auto"/>
                <w:sz w:val="22"/>
                <w:szCs w:val="22"/>
              </w:rPr>
              <w:t>5</w:t>
            </w:r>
          </w:p>
        </w:tc>
        <w:tc>
          <w:tcPr>
            <w:tcW w:w="4338" w:type="dxa"/>
            <w:vAlign w:val="center"/>
          </w:tcPr>
          <w:p>
            <w:pPr>
              <w:widowControl/>
              <w:jc w:val="left"/>
              <w:textAlignment w:val="center"/>
              <w:rPr>
                <w:rFonts w:ascii="宋体" w:hAnsi="宋体" w:cs="宋体"/>
                <w:color w:val="auto"/>
                <w:sz w:val="22"/>
                <w:szCs w:val="22"/>
              </w:rPr>
            </w:pPr>
            <w:r>
              <w:rPr>
                <w:rFonts w:hint="eastAsia" w:ascii="宋体" w:hAnsi="宋体" w:cs="宋体"/>
                <w:color w:val="auto"/>
                <w:sz w:val="22"/>
                <w:szCs w:val="22"/>
              </w:rPr>
              <w:t>不锈钢下水管</w:t>
            </w:r>
          </w:p>
          <w:p>
            <w:pPr>
              <w:widowControl/>
              <w:jc w:val="left"/>
              <w:textAlignment w:val="center"/>
              <w:rPr>
                <w:rFonts w:ascii="宋体" w:hAnsi="宋体" w:cs="宋体"/>
                <w:color w:val="auto"/>
                <w:sz w:val="22"/>
                <w:szCs w:val="22"/>
              </w:rPr>
            </w:pPr>
            <w:r>
              <w:rPr>
                <w:rFonts w:hint="eastAsia" w:ascii="宋体" w:hAnsi="宋体" w:cs="宋体"/>
                <w:color w:val="auto"/>
                <w:sz w:val="22"/>
                <w:szCs w:val="22"/>
              </w:rPr>
              <w:t>说明：设备连接材料201不锈钢管。</w:t>
            </w:r>
          </w:p>
        </w:tc>
        <w:tc>
          <w:tcPr>
            <w:tcW w:w="1450" w:type="dxa"/>
            <w:vAlign w:val="center"/>
          </w:tcPr>
          <w:p>
            <w:pPr>
              <w:jc w:val="center"/>
              <w:rPr>
                <w:rFonts w:ascii="宋体" w:hAnsi="宋体" w:cs="宋体"/>
                <w:color w:val="auto"/>
                <w:sz w:val="22"/>
                <w:szCs w:val="22"/>
              </w:rPr>
            </w:pPr>
          </w:p>
        </w:tc>
        <w:tc>
          <w:tcPr>
            <w:tcW w:w="643" w:type="dxa"/>
            <w:vAlign w:val="center"/>
          </w:tcPr>
          <w:p>
            <w:pPr>
              <w:jc w:val="center"/>
              <w:rPr>
                <w:rFonts w:ascii="宋体" w:hAnsi="宋体" w:cs="宋体"/>
                <w:color w:val="auto"/>
                <w:sz w:val="22"/>
                <w:szCs w:val="22"/>
              </w:rPr>
            </w:pPr>
            <w:r>
              <w:rPr>
                <w:rFonts w:hint="eastAsia" w:ascii="宋体" w:hAnsi="宋体" w:cs="宋体"/>
                <w:bCs/>
                <w:color w:val="auto"/>
                <w:sz w:val="22"/>
                <w:szCs w:val="22"/>
              </w:rPr>
              <w:t>批</w:t>
            </w:r>
          </w:p>
        </w:tc>
        <w:tc>
          <w:tcPr>
            <w:tcW w:w="843" w:type="dxa"/>
            <w:vAlign w:val="center"/>
          </w:tcPr>
          <w:p>
            <w:pPr>
              <w:jc w:val="center"/>
              <w:rPr>
                <w:rFonts w:ascii="宋体" w:hAnsi="宋体" w:cs="宋体"/>
                <w:color w:val="auto"/>
                <w:sz w:val="22"/>
                <w:szCs w:val="22"/>
              </w:rPr>
            </w:pPr>
            <w:r>
              <w:rPr>
                <w:rFonts w:hint="eastAsia" w:ascii="宋体" w:hAnsi="宋体" w:cs="宋体"/>
                <w:color w:val="auto"/>
                <w:sz w:val="22"/>
                <w:szCs w:val="22"/>
              </w:rPr>
              <w:t>1</w:t>
            </w:r>
          </w:p>
        </w:tc>
        <w:tc>
          <w:tcPr>
            <w:tcW w:w="1399" w:type="dxa"/>
            <w:vAlign w:val="center"/>
          </w:tcPr>
          <w:p>
            <w:pPr>
              <w:jc w:val="center"/>
              <w:rPr>
                <w:rFonts w:ascii="宋体" w:hAnsi="宋体" w:cs="宋体"/>
                <w:color w:val="auto"/>
                <w:sz w:val="22"/>
                <w:szCs w:val="22"/>
              </w:rPr>
            </w:pPr>
          </w:p>
        </w:tc>
      </w:tr>
      <w:bookmarkEnd w:id="9"/>
      <w:bookmarkEnd w:id="10"/>
    </w:tbl>
    <w:p>
      <w:pPr>
        <w:kinsoku w:val="0"/>
        <w:snapToGrid w:val="0"/>
        <w:spacing w:line="440" w:lineRule="exact"/>
        <w:ind w:firstLine="482" w:firstLineChars="200"/>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（二）其他要求</w:t>
      </w:r>
    </w:p>
    <w:p>
      <w:pPr>
        <w:kinsoku w:val="0"/>
        <w:snapToGrid w:val="0"/>
        <w:spacing w:line="440" w:lineRule="exact"/>
        <w:ind w:firstLine="482" w:firstLineChars="200"/>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1.项目内容：</w:t>
      </w:r>
    </w:p>
    <w:p>
      <w:pPr>
        <w:spacing w:line="44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（1）招标范围和内容：本项目招标内容为绍兴市政务服务办公室办公楼搬迁-厨房设备采购，须包含设备配套的所有管道、阀门、附件、辅料、专用工具及备品备件等。</w:t>
      </w:r>
    </w:p>
    <w:p>
      <w:pPr>
        <w:spacing w:line="44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具体实施内容包括材料、设备的采购、安装、调试、人员培训及售后服务等工作内容；配合相关单位的所有硬件和软件接口对接，相关系统和设备的联合调试等工作；负责第三方检测，并最终通过绍兴市相关行政主管部门验收。</w:t>
      </w:r>
    </w:p>
    <w:p>
      <w:pPr>
        <w:spacing w:line="44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（2）施工图深化设计要求：在现有的建筑、结构、机电、装饰图基础上进行深化设计，具体包含厨房工艺以及平面布局、厨房范围的水电暖等专业深化设计。</w:t>
      </w:r>
    </w:p>
    <w:p>
      <w:pPr>
        <w:spacing w:line="440" w:lineRule="exact"/>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厨房工艺深化设计深度须达到施工图要求，且优化方案必须经过采购人认可方能最终实施。深化图纸须满足最新国家法律法规、标准规范、相关部门的规定和卫生防疫以及能源供应要求。深化后图纸总预算不能超过项目中标价。</w:t>
      </w:r>
    </w:p>
    <w:p>
      <w:pPr>
        <w:pStyle w:val="63"/>
        <w:numPr>
          <w:ilvl w:val="0"/>
          <w:numId w:val="7"/>
        </w:numPr>
        <w:spacing w:after="0" w:line="440" w:lineRule="exact"/>
        <w:ind w:left="0" w:leftChars="0"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采购人完成原设计图纸内容，竣工验收合格后移交。</w:t>
      </w:r>
    </w:p>
    <w:p>
      <w:pPr>
        <w:pStyle w:val="63"/>
        <w:spacing w:after="0" w:line="440" w:lineRule="exact"/>
        <w:ind w:left="0" w:leftChars="0" w:firstLine="48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2.项目建设地点：</w:t>
      </w:r>
      <w:r>
        <w:rPr>
          <w:rFonts w:hint="eastAsia" w:ascii="仿宋_GB2312" w:hAnsi="仿宋_GB2312" w:eastAsia="仿宋_GB2312" w:cs="仿宋_GB2312"/>
          <w:color w:val="auto"/>
          <w:sz w:val="24"/>
        </w:rPr>
        <w:t>绍兴镜湖梅山广场2-1号楼5楼西区。</w:t>
      </w:r>
    </w:p>
    <w:p>
      <w:pPr>
        <w:pStyle w:val="63"/>
        <w:spacing w:after="0" w:line="440" w:lineRule="exact"/>
        <w:ind w:left="0" w:leftChars="0" w:firstLine="48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3.工作范围：</w:t>
      </w:r>
    </w:p>
    <w:p>
      <w:pPr>
        <w:pStyle w:val="63"/>
        <w:spacing w:after="0" w:line="440" w:lineRule="exact"/>
        <w:ind w:left="0" w:leftChars="0"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3.1投标人须完成以下项目：</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（1）提供厨房设备、软件产品</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（2）设备的就位和安装（包括和外部系统的联接）施工。设备基础如有特殊工艺处理；制冷设备（室内外机）的安装和连接；各排烟罩至排烟道的工程量；各种水电气管线的非埋墙埋地部分等；</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（3）设备的检查、检验及测试；</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（4）设备的电气线、上下水管、燃气蒸汽管、排烟通风管的安装、连接和检查；</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（5）总体调试及工程验收（包括整体验收）；</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（6）整改；</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（7）设备及相关部分的维护、维修，软件维护升级；</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（8）售后服务，包括对采购人操作人员的使用及维护培训；</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（9）工程实施过程中与采购人、其它协作方的协调和配合（投标人须服从采购人的安排，安全施工、实施材料堆放、现场运输、临时水电接通等事宜）。</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3.2本规格书只是对招标设备的一些基本的原则性规定，并不是详尽的要求，投标人有责任对厨房设备的设计符合技术规格书的要求负责，并向采购人提供使用单位满意的产品。采购人提供的文件资料若有漏项或未明确的设备或工程量，而根据国家标准和相关规范或系统应有的设备或工程量，须包含在投标报价中。</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3.3投标人须对招标文件中涉及到的专利负责，并保证不伤害采购人的利益。在法律范围内，所有文字、商标和技术侵权造成的相关费用，采购人概不负责。</w:t>
      </w:r>
    </w:p>
    <w:p>
      <w:pPr>
        <w:pStyle w:val="63"/>
        <w:spacing w:after="0" w:line="440" w:lineRule="exact"/>
        <w:ind w:left="0" w:leftChars="0" w:firstLine="48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4.服务期限</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设备供货、安装和调试完成时间，以采购人发出的开工指令后30日历天内。</w:t>
      </w:r>
    </w:p>
    <w:p>
      <w:pPr>
        <w:pStyle w:val="63"/>
        <w:spacing w:after="0" w:line="440" w:lineRule="exact"/>
        <w:ind w:left="0" w:leftChars="0" w:firstLine="48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5.参照标准及材料设备要求</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本项目设计制作、材料配件选配、施工安装、试运行、调试验收等须符合现行的国家标准、技术规范、行业标准等，国家实施强制性产品认证的产品须具有中国国家强制性产品认证证书（3C 认证）；国家规定实行生产许可证管理的投标产品取得《全国工业产品生产许可证》。</w:t>
      </w:r>
    </w:p>
    <w:p>
      <w:pPr>
        <w:pStyle w:val="63"/>
        <w:spacing w:after="0" w:line="440" w:lineRule="exact"/>
        <w:ind w:firstLine="480"/>
        <w:rPr>
          <w:rFonts w:ascii="仿宋_GB2312" w:hAnsi="仿宋_GB2312" w:eastAsia="仿宋_GB2312" w:cs="仿宋_GB2312"/>
          <w:color w:val="auto"/>
          <w:sz w:val="24"/>
        </w:rPr>
      </w:pPr>
      <w:r>
        <w:rPr>
          <w:rFonts w:hint="eastAsia" w:ascii="仿宋_GB2312" w:hAnsi="仿宋_GB2312" w:eastAsia="仿宋_GB2312" w:cs="仿宋_GB2312"/>
          <w:bCs/>
          <w:color w:val="auto"/>
          <w:sz w:val="24"/>
        </w:rPr>
        <w:t>材料及设备应是全新的、一流的、美观的。制造商应按技术规格书要求提供设备使采购人满意，此设备应易于检验、清洗及维修。所购产品</w:t>
      </w:r>
      <w:r>
        <w:rPr>
          <w:rFonts w:hint="eastAsia" w:ascii="仿宋_GB2312" w:hAnsi="仿宋_GB2312" w:eastAsia="仿宋_GB2312" w:cs="仿宋_GB2312"/>
          <w:color w:val="auto"/>
          <w:sz w:val="24"/>
        </w:rPr>
        <w:t>卸货、清点、搬运、保管、安装调试、试运行等均由投标人负责，并承担相应费用。</w:t>
      </w:r>
    </w:p>
    <w:p>
      <w:pPr>
        <w:pStyle w:val="63"/>
        <w:spacing w:after="0" w:line="440" w:lineRule="exact"/>
        <w:ind w:left="0" w:leftChars="0" w:firstLine="48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6.数量调整</w:t>
      </w:r>
    </w:p>
    <w:p>
      <w:pPr>
        <w:pStyle w:val="63"/>
        <w:spacing w:after="0" w:line="440" w:lineRule="exact"/>
        <w:ind w:firstLine="480"/>
        <w:rPr>
          <w:rFonts w:ascii="仿宋_GB2312" w:hAnsi="仿宋_GB2312" w:eastAsia="仿宋_GB2312" w:cs="仿宋_GB2312"/>
          <w:color w:val="auto"/>
          <w:sz w:val="24"/>
        </w:rPr>
      </w:pPr>
      <w:r>
        <w:rPr>
          <w:rFonts w:hint="eastAsia" w:ascii="仿宋_GB2312" w:hAnsi="仿宋_GB2312" w:eastAsia="仿宋_GB2312" w:cs="仿宋_GB2312"/>
          <w:color w:val="auto"/>
          <w:sz w:val="24"/>
        </w:rPr>
        <w:t>采购人保留在签约时调整部分方案及定购设备数量和服务的权力，投标人应对系统方案中设备和服务明细报价，按投标单价不变的前提下进行调整，双方不得拒绝。政府采购合同履行中追加与合同标的相同的货物、工程或者服务的采购金额不得超过原合同采购金额10%且不高于分散采购限额标准。</w:t>
      </w:r>
    </w:p>
    <w:p>
      <w:pPr>
        <w:pStyle w:val="63"/>
        <w:spacing w:after="0" w:line="440" w:lineRule="exact"/>
        <w:ind w:firstLine="480"/>
        <w:rPr>
          <w:rFonts w:ascii="仿宋_GB2312" w:hAnsi="仿宋_GB2312" w:eastAsia="仿宋_GB2312" w:cs="仿宋_GB2312"/>
          <w:color w:val="auto"/>
          <w:sz w:val="24"/>
        </w:rPr>
      </w:pPr>
      <w:r>
        <w:rPr>
          <w:rFonts w:hint="eastAsia" w:ascii="仿宋_GB2312" w:hAnsi="仿宋_GB2312" w:eastAsia="仿宋_GB2312" w:cs="仿宋_GB2312"/>
          <w:color w:val="auto"/>
          <w:sz w:val="24"/>
        </w:rPr>
        <w:t>如遇本次招标没有涉及的设备或服务时，由中标人提供申请，采购人确认后实施。</w:t>
      </w:r>
    </w:p>
    <w:p>
      <w:pPr>
        <w:snapToGrid w:val="0"/>
        <w:spacing w:line="440" w:lineRule="exact"/>
        <w:ind w:firstLine="482" w:firstLineChars="20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7.运输及装卸保险</w:t>
      </w:r>
    </w:p>
    <w:p>
      <w:pPr>
        <w:snapToGrid w:val="0"/>
        <w:spacing w:line="440" w:lineRule="exact"/>
        <w:ind w:left="420" w:leftChars="200"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7.1货物在装运前由投标人投保，一旦货物在装卸、运输过程中发生损坏或短缺，由投标人负责索赔。</w:t>
      </w:r>
    </w:p>
    <w:p>
      <w:pPr>
        <w:snapToGrid w:val="0"/>
        <w:spacing w:line="440" w:lineRule="exact"/>
        <w:ind w:left="420" w:leftChars="200"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7.2投标人保证在确认货物因装卸、运输中发生损坏或短缺后，尽快给予调换、修复和补齐缺件，不管其造成的原因如何，也不以办理索赔为由而拖延。</w:t>
      </w:r>
    </w:p>
    <w:p>
      <w:pPr>
        <w:pStyle w:val="63"/>
        <w:spacing w:after="0" w:line="440" w:lineRule="exact"/>
        <w:ind w:firstLine="480"/>
        <w:rPr>
          <w:rFonts w:ascii="仿宋_GB2312" w:hAnsi="仿宋_GB2312" w:eastAsia="仿宋_GB2312" w:cs="仿宋_GB2312"/>
          <w:color w:val="auto"/>
          <w:sz w:val="24"/>
        </w:rPr>
      </w:pPr>
      <w:r>
        <w:rPr>
          <w:rFonts w:hint="eastAsia" w:ascii="仿宋_GB2312" w:hAnsi="仿宋_GB2312" w:eastAsia="仿宋_GB2312" w:cs="仿宋_GB2312"/>
          <w:color w:val="auto"/>
          <w:sz w:val="24"/>
        </w:rPr>
        <w:t>7.3投标人工作人员及设备进场时，应遵守交货现场环境卫生管理、安全管理的有关规定，配备相应的环境保护及安全措施。承担因自身原因违反有关规定而导致的所有责任。</w:t>
      </w:r>
    </w:p>
    <w:p>
      <w:pPr>
        <w:snapToGrid w:val="0"/>
        <w:spacing w:line="440" w:lineRule="exact"/>
        <w:ind w:firstLine="482" w:firstLineChars="200"/>
        <w:rPr>
          <w:rFonts w:ascii="仿宋_GB2312" w:hAnsi="仿宋_GB2312" w:eastAsia="仿宋_GB2312" w:cs="仿宋_GB2312"/>
          <w:b/>
          <w:bCs/>
          <w:color w:val="auto"/>
          <w:kern w:val="0"/>
          <w:sz w:val="24"/>
        </w:rPr>
      </w:pPr>
      <w:r>
        <w:rPr>
          <w:rFonts w:hint="eastAsia" w:ascii="仿宋_GB2312" w:hAnsi="仿宋_GB2312" w:eastAsia="仿宋_GB2312" w:cs="仿宋_GB2312"/>
          <w:b/>
          <w:color w:val="auto"/>
          <w:sz w:val="24"/>
        </w:rPr>
        <w:t>8.付款方式</w:t>
      </w:r>
    </w:p>
    <w:p>
      <w:pPr>
        <w:snapToGrid w:val="0"/>
        <w:spacing w:line="440" w:lineRule="exact"/>
        <w:ind w:left="420" w:leftChars="200" w:firstLine="482" w:firstLineChars="200"/>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pStyle w:val="63"/>
        <w:spacing w:after="0" w:line="440" w:lineRule="exact"/>
        <w:ind w:left="0" w:leftChars="0" w:firstLine="48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9.文件和技术资料</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设备交货前投标人向采购人提供下列技术资料、图纸和文件：</w:t>
      </w:r>
    </w:p>
    <w:p>
      <w:pPr>
        <w:adjustRightInd w:val="0"/>
        <w:snapToGrid w:val="0"/>
        <w:spacing w:line="4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（1）样本及技术规格书，要求有8份。</w:t>
      </w:r>
    </w:p>
    <w:p>
      <w:pPr>
        <w:adjustRightInd w:val="0"/>
        <w:snapToGrid w:val="0"/>
        <w:spacing w:line="4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（2）施工图，要求有10份。</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（3）制造厂的设备生产许可证明和设备合格证书。</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（4）制造厂出具的品质保证书正本。</w:t>
      </w:r>
    </w:p>
    <w:p>
      <w:pPr>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（5）制作期间的试验、检验报告。</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（6）出厂检验报告。设备安装、操作、维护手册或说明书，要求有8份。此手册或说明书不应少于如下内容：</w:t>
      </w:r>
    </w:p>
    <w:p>
      <w:pPr>
        <w:tabs>
          <w:tab w:val="left" w:pos="560"/>
          <w:tab w:val="left" w:pos="1400"/>
        </w:tabs>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a、电气接线图；</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b、设备操作与维修手册。</w:t>
      </w:r>
    </w:p>
    <w:p>
      <w:pPr>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（7）采购人认为有必要提供的其他技术资料。</w:t>
      </w:r>
    </w:p>
    <w:p>
      <w:pPr>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（8）以上所有资料必须为中文。</w:t>
      </w:r>
    </w:p>
    <w:p>
      <w:pPr>
        <w:snapToGrid w:val="0"/>
        <w:spacing w:line="440" w:lineRule="exact"/>
        <w:ind w:firstLine="482" w:firstLineChars="20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10.技术服务</w:t>
      </w:r>
    </w:p>
    <w:p>
      <w:pPr>
        <w:pStyle w:val="63"/>
        <w:spacing w:after="0" w:line="440" w:lineRule="exact"/>
        <w:ind w:left="0" w:leftChars="0" w:firstLine="480"/>
        <w:rPr>
          <w:rFonts w:ascii="仿宋_GB2312" w:hAnsi="仿宋_GB2312" w:eastAsia="仿宋_GB2312" w:cs="仿宋_GB2312"/>
          <w:bCs/>
          <w:color w:val="auto"/>
          <w:sz w:val="24"/>
        </w:rPr>
      </w:pPr>
      <w:r>
        <w:rPr>
          <w:rFonts w:hint="eastAsia" w:ascii="仿宋_GB2312" w:hAnsi="仿宋_GB2312" w:eastAsia="仿宋_GB2312" w:cs="仿宋_GB2312"/>
          <w:color w:val="auto"/>
          <w:sz w:val="24"/>
        </w:rPr>
        <w:t>投标人免费对采购人的操作、维修人员在厂方或使用地进行技术培训。投标人提供的负责培训人员应具备同类产品5年以上的维修经验。</w:t>
      </w:r>
    </w:p>
    <w:p>
      <w:pPr>
        <w:pStyle w:val="63"/>
        <w:spacing w:after="0" w:line="440" w:lineRule="exact"/>
        <w:ind w:left="0" w:leftChars="0" w:firstLine="48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11.质量、技术标准</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11.1设备的制造、安装、验收标准及技术规范，必须符合中国国家标准。投标人必须保证交货产品各项性能不得低于中国国家标准，采购人随时有抽检及送检产品的权利，检验机构为政府法定检验机构。对于产品的任何技术及质量不合格，投标人承担检测费用，采购人有权拒收、部分拒收、退货、部分退货直至解除本合同，追究投标人违约责任，并要求投标人承担因此造成的所有损失。因此造成工期违约的，同时承担工期违约的违约责任。</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11.2采购人有权监督、检查、检验投标人的货物质量及安装质量进度，整改方案须经采购人认可后方能实施，投标人应把货物质量放在首位，加强技术管理和质量保证体系，严格认真地执行技术标准和规范。</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11.3未经采购人同意，投标人不得擅自更改或换用投标产品的零部件或配件，否则，投标人承担由此发生的费用，并赔偿采购人的有关损失，延误的供货日期不予顺延。</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11.4投标人在供货安装中如发生质量事故（责任由投标人全部承担），应及时报告采购人。做到及时查清事故原因，分清事故责任，并采取有效的补救措施。一般质量事故的处理方案应送采购人共同研究实施；重大质量事故的处理按国家相关条例执行。</w:t>
      </w:r>
    </w:p>
    <w:p>
      <w:pPr>
        <w:pStyle w:val="63"/>
        <w:spacing w:after="0" w:line="440" w:lineRule="exact"/>
        <w:ind w:left="0" w:leftChars="0" w:firstLine="48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 xml:space="preserve">12.设备、材料检验 </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所有的货物准备进场时须同时提供货物出厂合格证书、检测报告。所有材料必须有质保书和合格证，经认证许可，并符合施工图纸和规范要求，若材料质量不符合规定要求，投标人无条件退换并承担返工损失及工期、质量违约责任。</w:t>
      </w:r>
    </w:p>
    <w:p>
      <w:pPr>
        <w:pStyle w:val="63"/>
        <w:spacing w:after="0" w:line="440" w:lineRule="exact"/>
        <w:ind w:left="0" w:leftChars="0" w:firstLine="480"/>
        <w:rPr>
          <w:rFonts w:ascii="仿宋_GB2312" w:hAnsi="仿宋_GB2312" w:eastAsia="仿宋_GB2312" w:cs="仿宋_GB2312"/>
          <w:bCs/>
          <w:color w:val="auto"/>
          <w:sz w:val="24"/>
        </w:rPr>
      </w:pPr>
      <w:r>
        <w:rPr>
          <w:rFonts w:hint="eastAsia" w:ascii="仿宋_GB2312" w:hAnsi="仿宋_GB2312" w:eastAsia="仿宋_GB2312" w:cs="仿宋_GB2312"/>
          <w:b/>
          <w:bCs/>
          <w:color w:val="auto"/>
          <w:sz w:val="24"/>
        </w:rPr>
        <w:t>13.设备的安装、调试</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13.1本项目中部分货物或设备涉及安装，中标人负责设备和软件产品的安装、调试、人员培训及售后服务等的所有工作（包括前端水电气安装：从采购人指定配电箱进线接入、进气管对接和进水下水管全部对接工作，以及对原有土建有破坏的需进行复原），费用由中标人承担，请考虑到本次投标报价中。</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13.2投标人人员在安装及设备调试期间，所有费用由投标人负责。</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
          <w:color w:val="auto"/>
          <w:sz w:val="24"/>
        </w:rPr>
        <w:t>13.3投标人应在设备安装完毕后的5日内完成设备调试工作；调试完毕后须经过二个月的试运行。</w:t>
      </w:r>
      <w:r>
        <w:rPr>
          <w:rFonts w:hint="eastAsia" w:ascii="仿宋_GB2312" w:hAnsi="仿宋_GB2312" w:eastAsia="仿宋_GB2312" w:cs="仿宋_GB2312"/>
          <w:bCs/>
          <w:color w:val="auto"/>
          <w:sz w:val="24"/>
        </w:rPr>
        <w:t>如因投标人责任而造成的延期，所有因安装延期而产生的费用由投标人负担并承担相应的违约责任。</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安装完毕后，投标人应派遣有经验的工程技术人员进行设备的调试及试运行，采购人可以要求投标人或具有检测资质的第三方用专用仪器进行测试，投标人应负责测试和调试所需的人员、工具、材料、仪器及检测费用等一切费用，并填写测试报告交由采购人存档。如需采购人派有关人员配合，投标人应在设备安装调试前一周提出需配合工作人员的工种、人数等计划书交与采购人，以便采购人提前作好准备，确保整个工程顺利进行。采购人组织相关专家进行验收，验收人员、会务等相关的一切费用，由投标人负责。</w:t>
      </w:r>
    </w:p>
    <w:p>
      <w:pPr>
        <w:pStyle w:val="63"/>
        <w:spacing w:after="0" w:line="440" w:lineRule="exact"/>
        <w:ind w:left="0" w:leftChars="0" w:firstLine="480"/>
        <w:rPr>
          <w:rFonts w:ascii="仿宋_GB2312" w:hAnsi="仿宋_GB2312" w:eastAsia="仿宋_GB2312" w:cs="仿宋_GB2312"/>
          <w:bCs/>
          <w:color w:val="auto"/>
          <w:sz w:val="24"/>
        </w:rPr>
      </w:pPr>
      <w:r>
        <w:rPr>
          <w:rFonts w:hint="eastAsia" w:ascii="仿宋_GB2312" w:hAnsi="仿宋_GB2312" w:eastAsia="仿宋_GB2312" w:cs="仿宋_GB2312"/>
          <w:b/>
          <w:bCs/>
          <w:color w:val="auto"/>
          <w:sz w:val="24"/>
        </w:rPr>
        <w:t>14.设备验收</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14.1投标人应提供验收大纲和验收标准供采购人参考，经采购人确认后，作为验收的依据。</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14.2设备到达现场后，投标人派人到现场与采购人一起开箱初步验收。投标人负责本合同项目所在地政府主管部门（市场监督管理部门或卫生管理部门）的备案以及办理所需相关手续(如有)；本项目必须满足消防要求，最终应配合采购人通过消防验收。如需整改，投标人必须按照消防部门要求整改并通过验收。</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
          <w:color w:val="auto"/>
          <w:sz w:val="24"/>
        </w:rPr>
        <w:t>13.3设备在安装、调试结束后，经过二个月的试运行考核无故障，采购人会同当地有关部门等对设备共同进行验收</w:t>
      </w:r>
      <w:r>
        <w:rPr>
          <w:rFonts w:hint="eastAsia" w:ascii="仿宋_GB2312" w:hAnsi="仿宋_GB2312" w:eastAsia="仿宋_GB2312" w:cs="仿宋_GB2312"/>
          <w:bCs/>
          <w:color w:val="auto"/>
          <w:sz w:val="24"/>
        </w:rPr>
        <w:t>，投标人自行承担第三方检验费用（第三方检测单位须采购人及相关验收主管部门认可）。达到验收标准后，采购人在验收合格后七日内完成设备交接，并在《产品交付报告》上签字。</w:t>
      </w:r>
    </w:p>
    <w:p>
      <w:pPr>
        <w:pStyle w:val="63"/>
        <w:spacing w:after="0" w:line="440" w:lineRule="exact"/>
        <w:ind w:left="0" w:leftChars="0" w:firstLine="48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15.质保及维修</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
          <w:color w:val="auto"/>
          <w:sz w:val="24"/>
          <w:u w:val="single"/>
        </w:rPr>
        <w:t>15.1设备质量保证期为使用产品之日起至少24个月，</w:t>
      </w:r>
      <w:r>
        <w:rPr>
          <w:rFonts w:hint="eastAsia" w:ascii="仿宋_GB2312" w:hAnsi="仿宋_GB2312" w:eastAsia="仿宋_GB2312" w:cs="仿宋_GB2312"/>
          <w:bCs/>
          <w:color w:val="auto"/>
          <w:sz w:val="24"/>
        </w:rPr>
        <w:t>投标人投标文件承诺超过本要求的，以优惠者为准，若其他产品配件另有超过24个月的厂家质保规定或承诺的，按其规定或承诺执行。质保期内如无问题，则在质保期满时，由采购人提交质保期验收报告，验收由采购人签字认可。</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15.2在设备质保期内，软件产品应提供免费升级和售后维护，因设备本身的缺陷导致各种故障，投标人应负责免费更换产品，提供技术服务和指导设备维修，更换后的产品的质量保证期为更换后的产品使用之日起至少2年。</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15.3如设备在质保期后发生故障，投标人在收到采购人的书面维修通知后，应及时给予响应。在质保期内的工作应包括对所有设备每月至少2次的常规检查、调整和润滑，每半年一次保养，做好检查台账。</w:t>
      </w:r>
    </w:p>
    <w:p>
      <w:pPr>
        <w:pStyle w:val="63"/>
        <w:spacing w:after="0" w:line="440" w:lineRule="exact"/>
        <w:ind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15.4投标人在投标文件中所承诺的辅材、配件价格及保修期外的保修年费及服务方案作为合同的一部分。保修期满后，投标人继续为采购人服务，仅收取零配件成本费。</w:t>
      </w:r>
    </w:p>
    <w:p>
      <w:pPr>
        <w:pStyle w:val="63"/>
        <w:spacing w:after="0" w:line="440" w:lineRule="exact"/>
        <w:ind w:left="0" w:leftChars="0" w:firstLine="48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15.5在保修期内，投标人应保证所提供设备无故障开机运行，如达不到要求，保修期应顺延，并且投标人应赔偿采购人经济损失。对保修期内的维修服务，投标人应在接到采购人通知后做出响应并提出解决办法，无偿负责设备的调试或更换已损坏的零部件；</w:t>
      </w:r>
    </w:p>
    <w:p>
      <w:pPr>
        <w:pStyle w:val="63"/>
        <w:spacing w:after="0" w:line="440" w:lineRule="exact"/>
        <w:ind w:left="0" w:leftChars="0" w:firstLine="480"/>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16.安全要求</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16.1投标人在实施作业期间，必须做好安全生产工作。实施过程中，必须严格按照安全程序进行，同时应做好加强安全教育和安全监督，确保不出现各类安全事故。接受行业监督人员依法实施的检查和监督，投标人在所属现场施工期间，所发生的一切安全问题和治安问题由投标人负责。</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16.2投标人在实施过程中应采取必要的安全防护和消防措施，保障作业人员及出入施工现场人员的安全。投标人应为施工人员办理所需的工伤等保险，费用由投标人自行负责。</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16.3投标人在实施过程中如发生质量事故责任全部自行承担，及时报告采购人。做到及时查清事故原因，分清事故责任，并采取有效的补救措施。</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16.4本项目实施过程中出现的作业人员或因投标人原因引起的第三方人员、财务损失，造成的责任和因此发生的费用，由投标人承担。</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16.5本项目实施过程中，由投标人引起的管线、线路等损坏由投标人承担相应的责任和损失。</w:t>
      </w:r>
    </w:p>
    <w:p>
      <w:pPr>
        <w:pStyle w:val="63"/>
        <w:spacing w:after="0" w:line="440" w:lineRule="exact"/>
        <w:ind w:left="0" w:leftChars="0" w:firstLine="480"/>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17.违约责任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17.1合同约定工期，每逾期一天，投标人按1000元/天向采购人支付违约金；逾期超过 30天的，采购人有权解除合同、履约保证金不予返还，并由投标人承担所有的违约责任并承担由此造成的采购人的全部损失。投标人总工期超过本合同约定期限的，按照逾期交货承担违约责任。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17.2投标人交付的货品不能满足投标文件及合同主要技术标准及质量要求的，应按照要求更换、重做、修理，每发生一次退货，投标人应向采购人支付违约金5万元/次，累计发生2次（含）以上的，采购人有权解除合同、履约保证金不予返还，投标人承担全部的违约责任并承担因此造成的采购人所有损失。</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17.3投标人接受采购人对供货期调整的要求，具体方式为：采购人提前十五天发出有采购人代表签发的书面通知，投标人进行书面确认后即可执行，对此采购人不承担违约责任。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17.4如果投标人对合同的执行敷衍了事，或忽视履行合同约定的投标人任何工作及责任，而且从采购人发出书面要求其改正之日起30日内仍未采取有效措施并体现效果的，采购人有权解除本合同，并书面通知投标人，由此造成的经济损失，招标人有权在给投标人的任何款项中先行提取补偿，不足部分投标人仍应予以赔偿。</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17.5因投标人原因解除合同时，投标人应向采购人支付签约合同价款20%的违约金，且采购人有权决定是否接受属于投标人在现场的一切设施、设备、材料使用于本工程，投标人并应承担由此造成的采购人的全部损失。</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17.6未经采购人书面同意，投标人将本合同的权利、义务以任何形式全部或部分转让与他人的，采购人有权解除合同、履约保证金不予返还，投标人应按照本合同价款总额的20%向采购人支付违约金，并赔偿由此造成的采购人的全部损失。</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17.7合同中所有投标人应支付给采购人的违约金，投标人在收到书面通知后未及时支付的，采购人有权在应付投标人的任何款项中扣除。</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17.8因投标人原因延误工期给采购人造成损失的（包括但不限于直接损失与间接损失）均由投标人承担相应责任及费用，采购人有权从投标人合同款中扣除相应费用，不足部分采购人有权追偿。</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17.9因投标人原因造成本项目单项或整体验收不合格的，采购人有权没收投标人缴纳的履约保证金，同时由此产生的一切责任与费用均由投标人承担，采购人有权在投标人合同款中扣除相应费用，不足部分采购人有权追偿。</w:t>
      </w:r>
    </w:p>
    <w:p>
      <w:pPr>
        <w:snapToGrid w:val="0"/>
        <w:spacing w:line="440" w:lineRule="exact"/>
        <w:ind w:firstLine="482" w:firstLineChars="20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18.施工工艺和进度</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18.1投标人提出使用专利技术或特殊工艺，应取得采购人认可，投标人负责办理申报手续并承担有关费用。</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18.2投标人擅自使用专利技术侵犯他人专利权的因此产生的侵权纠纷，由投标人自行承担并每发生一次，投标人应向采购人支付违约金5万元，如造成采购人损失的，采购人有权全额向投标人追索且采购人有权视情形解除本合同。</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18.3工程进度要求：</w:t>
      </w:r>
    </w:p>
    <w:p>
      <w:pPr>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投标人应根据工程总体进度计划要求，制定本工程计划进度，并应保证满足下列控制时间：</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必须每月向采购人提交月进度报告。在月进度报告中须说明每项工作(如部件的设计、采购、制造、检验、发运、预装配、安装、调试、工厂试验、验收等)实际完成的百分比与计划完成的百分比的比较；以及当任务实际完成情况比计划落后时，应提出意见和说明可能产生的后果，并陈述拟采取的纠正措施。</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18.4项目实施过程中，投标人应和采购人做好配合、协调工作，参与竣工验收，并承担施工质量责任。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18.5为保证工程质量，在厨房所在地建筑物验收之后，还应进行单独专项验收。综合性能全面评定地检测单位需采购人认可。验收按国家有关规范、标准及当地政府主管部门要求进行。</w:t>
      </w:r>
    </w:p>
    <w:p>
      <w:pPr>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验收合格条件为：</w:t>
      </w:r>
    </w:p>
    <w:p>
      <w:pPr>
        <w:spacing w:line="440" w:lineRule="exact"/>
        <w:ind w:left="420" w:left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（1）运行结果符合产品标准、技术规范和招标文件及合同要求；</w:t>
      </w:r>
    </w:p>
    <w:p>
      <w:pPr>
        <w:spacing w:line="440" w:lineRule="exact"/>
        <w:ind w:left="420" w:left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（2）所有规定的货物、材料、整套设备图纸及技术文件、竣工资料等都已提交并得到接受；</w:t>
      </w:r>
    </w:p>
    <w:p>
      <w:pPr>
        <w:spacing w:line="440" w:lineRule="exact"/>
        <w:ind w:left="420" w:left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（3）按规定需要第三方部门进行检测（含抽检）的程序，必须已得到第三方部门出具的合格检测报告；</w:t>
      </w:r>
    </w:p>
    <w:p>
      <w:pPr>
        <w:spacing w:line="440" w:lineRule="exact"/>
        <w:ind w:left="420" w:left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（4）全部处理好与本工程相关的专业单位配合、费用结算、现场配合等各项工作；</w:t>
      </w:r>
    </w:p>
    <w:p>
      <w:pPr>
        <w:spacing w:line="440" w:lineRule="exact"/>
        <w:ind w:left="420" w:left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整套设备在交由使用人之前已通过试运行。</w:t>
      </w:r>
    </w:p>
    <w:p>
      <w:pPr>
        <w:snapToGrid w:val="0"/>
        <w:spacing w:line="440" w:lineRule="exact"/>
        <w:ind w:firstLine="482" w:firstLineChars="20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19.售后服务</w:t>
      </w:r>
    </w:p>
    <w:p>
      <w:pPr>
        <w:snapToGrid w:val="0"/>
        <w:spacing w:line="440" w:lineRule="exact"/>
        <w:ind w:firstLine="482" w:firstLineChars="200"/>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19.1售后服务体系健全，以及时处理所有的故障维修服务，需提供24小时服务，要求维修人员在接到故障报修电话后必须在2小时内做出响应并提出解决办法，提供不间断的故障维修服务直到故障处理服务结束。</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19.2每个维修项目完成后，经采购人验收并签字后，方为该维修项目本次维修完毕。</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19.3投标人未按本合同约定到场维修或未按约定时间维修完毕的，采购人有权委派他方处理，处理结果由采购人或管理方签字认可后即生效，不再经由投标人确认（采购人将处理情况通知投标人），因此所发生的一切费用由投标人承担。且投标人未能按售后服务要求提供服务的，每发生一次，投标人应向采购人支付违约金1万元。</w:t>
      </w:r>
    </w:p>
    <w:p>
      <w:pPr>
        <w:tabs>
          <w:tab w:val="left" w:pos="1800"/>
        </w:tabs>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19.4投标人承诺，无论以上质量缺陷属投标人、采购人或其他方责任，在接到通知后，均遵守上述时间性要求不问理由地进行维修，并在维修过程中与采购人及管理方共同取证，以判断责任原因，不属投标人责任的，由责任方向投标人支付材料及人工费用。</w:t>
      </w:r>
    </w:p>
    <w:p>
      <w:pPr>
        <w:tabs>
          <w:tab w:val="left" w:pos="1800"/>
        </w:tabs>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19.5投标人免费培训采购人指定的操作、管理人员，经培训合格后能上岗操作。</w:t>
      </w:r>
    </w:p>
    <w:p>
      <w:pPr>
        <w:snapToGrid w:val="0"/>
        <w:spacing w:line="4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19.6质保期内投标人应免费保养、免费升级维护、修理和替换由于设备、材料、施工质量的问题造成的损坏及故障。</w:t>
      </w:r>
    </w:p>
    <w:p>
      <w:pPr>
        <w:snapToGrid w:val="0"/>
        <w:spacing w:line="4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19.7如因设备本身原因造成采购人经济损失，投标人应照价赔偿。</w:t>
      </w:r>
    </w:p>
    <w:p>
      <w:pPr>
        <w:snapToGrid w:val="0"/>
        <w:spacing w:line="4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19.8投标人应提供保修记录书，以便采购人随时查阅维修保养、部件更换次数、检查及维修日期等记录。</w:t>
      </w:r>
    </w:p>
    <w:p>
      <w:pPr>
        <w:snapToGrid w:val="0"/>
        <w:spacing w:line="4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19.9单台（套）设备在免费维修或质保期间的修理费用超过投标价的60%时，必须重新免费更新设备。</w:t>
      </w:r>
    </w:p>
    <w:p>
      <w:pPr>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19.10备件供应：</w:t>
      </w:r>
    </w:p>
    <w:p>
      <w:pPr>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投标人对各种型号的设备须提供足够的备件、附件和易损件并保证是原厂生产，以满足设备正常运行的需要。</w:t>
      </w:r>
    </w:p>
    <w:p>
      <w:pPr>
        <w:snapToGrid w:val="0"/>
        <w:spacing w:line="440" w:lineRule="exact"/>
        <w:jc w:val="left"/>
        <w:rPr>
          <w:rFonts w:ascii="仿宋_GB2312" w:hAnsi="宋体" w:eastAsia="仿宋_GB2312"/>
          <w:color w:val="auto"/>
          <w:sz w:val="24"/>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rPr>
      </w:pPr>
      <w:r>
        <w:rPr>
          <w:rFonts w:hint="eastAsia" w:ascii="仿宋_GB2312" w:hAnsi="宋体" w:eastAsia="仿宋_GB2312"/>
          <w:b/>
          <w:color w:val="auto"/>
          <w:sz w:val="36"/>
          <w:szCs w:val="36"/>
        </w:rPr>
        <w:t>第四部分</w:t>
      </w:r>
      <w:r>
        <w:rPr>
          <w:rFonts w:hint="eastAsia" w:ascii="仿宋_GB2312" w:hAnsi="仿宋" w:eastAsia="仿宋_GB2312" w:cs="仿宋"/>
          <w:b/>
          <w:color w:val="auto"/>
          <w:sz w:val="36"/>
          <w:szCs w:val="36"/>
        </w:rPr>
        <w:t>拟签订的合同文本</w:t>
      </w:r>
    </w:p>
    <w:p>
      <w:pPr>
        <w:rPr>
          <w:rFonts w:ascii="仿宋_GB2312" w:hAnsi="仿宋" w:eastAsia="仿宋_GB2312" w:cs="仿宋"/>
          <w:color w:val="auto"/>
          <w:sz w:val="24"/>
          <w:u w:val="single"/>
        </w:rPr>
      </w:pPr>
      <w:r>
        <w:rPr>
          <w:rFonts w:hint="eastAsia" w:ascii="仿宋_GB2312" w:hAnsi="仿宋" w:eastAsia="仿宋_GB2312" w:cs="仿宋"/>
          <w:color w:val="auto"/>
          <w:sz w:val="24"/>
        </w:rPr>
        <w:t>合同编号：</w:t>
      </w:r>
    </w:p>
    <w:p>
      <w:pPr>
        <w:spacing w:line="480" w:lineRule="auto"/>
        <w:jc w:val="center"/>
        <w:rPr>
          <w:rFonts w:ascii="仿宋_GB2312" w:hAnsi="仿宋" w:eastAsia="仿宋_GB2312" w:cs="仿宋"/>
          <w:b/>
          <w:color w:val="auto"/>
          <w:sz w:val="28"/>
          <w:szCs w:val="28"/>
        </w:rPr>
      </w:pPr>
    </w:p>
    <w:p>
      <w:pPr>
        <w:spacing w:line="480" w:lineRule="auto"/>
        <w:jc w:val="center"/>
        <w:rPr>
          <w:rFonts w:ascii="仿宋_GB2312" w:hAnsi="仿宋" w:eastAsia="仿宋_GB2312" w:cs="仿宋"/>
          <w:b/>
          <w:color w:val="auto"/>
          <w:sz w:val="24"/>
        </w:rPr>
      </w:pPr>
    </w:p>
    <w:p>
      <w:pPr>
        <w:spacing w:line="480" w:lineRule="auto"/>
        <w:jc w:val="center"/>
        <w:rPr>
          <w:rFonts w:ascii="仿宋_GB2312" w:hAnsi="仿宋" w:eastAsia="仿宋_GB2312" w:cs="仿宋"/>
          <w:b/>
          <w:color w:val="auto"/>
          <w:sz w:val="24"/>
        </w:rPr>
      </w:pPr>
    </w:p>
    <w:p>
      <w:pPr>
        <w:spacing w:line="480" w:lineRule="auto"/>
        <w:jc w:val="center"/>
        <w:rPr>
          <w:rFonts w:ascii="仿宋_GB2312" w:hAnsi="仿宋" w:eastAsia="仿宋_GB2312" w:cs="仿宋"/>
          <w:b/>
          <w:color w:val="auto"/>
          <w:sz w:val="36"/>
          <w:szCs w:val="36"/>
        </w:rPr>
      </w:pPr>
      <w:r>
        <w:rPr>
          <w:rFonts w:hint="eastAsia" w:ascii="仿宋_GB2312" w:hAnsi="仿宋" w:eastAsia="仿宋_GB2312" w:cs="仿宋"/>
          <w:b/>
          <w:color w:val="auto"/>
          <w:sz w:val="36"/>
          <w:szCs w:val="36"/>
        </w:rPr>
        <w:t>政府采购合同参考范本</w:t>
      </w:r>
    </w:p>
    <w:p>
      <w:pPr>
        <w:spacing w:line="480" w:lineRule="auto"/>
        <w:jc w:val="center"/>
        <w:rPr>
          <w:rFonts w:ascii="仿宋_GB2312" w:hAnsi="仿宋" w:eastAsia="仿宋_GB2312" w:cs="仿宋"/>
          <w:b/>
          <w:color w:val="auto"/>
          <w:sz w:val="36"/>
          <w:szCs w:val="36"/>
        </w:rPr>
      </w:pPr>
      <w:r>
        <w:rPr>
          <w:rFonts w:hint="eastAsia" w:ascii="仿宋_GB2312" w:hAnsi="仿宋" w:eastAsia="仿宋_GB2312" w:cs="仿宋"/>
          <w:b/>
          <w:color w:val="auto"/>
          <w:sz w:val="36"/>
          <w:szCs w:val="36"/>
        </w:rPr>
        <w:t>（货物类）</w:t>
      </w:r>
    </w:p>
    <w:p>
      <w:pPr>
        <w:pStyle w:val="312"/>
        <w:ind w:left="0" w:leftChars="0" w:firstLine="0" w:firstLineChars="0"/>
        <w:rPr>
          <w:rFonts w:ascii="仿宋_GB2312" w:hAnsi="仿宋" w:eastAsia="仿宋_GB2312" w:cs="仿宋"/>
          <w:color w:val="auto"/>
          <w:szCs w:val="24"/>
        </w:rPr>
      </w:pPr>
    </w:p>
    <w:p>
      <w:pPr>
        <w:pStyle w:val="312"/>
        <w:jc w:val="center"/>
        <w:rPr>
          <w:rFonts w:ascii="仿宋_GB2312" w:hAnsi="仿宋" w:eastAsia="仿宋_GB2312" w:cs="仿宋"/>
          <w:color w:val="auto"/>
          <w:szCs w:val="24"/>
        </w:rPr>
      </w:pPr>
    </w:p>
    <w:p>
      <w:pPr>
        <w:pStyle w:val="312"/>
        <w:ind w:firstLine="2843" w:firstLineChars="1180"/>
        <w:rPr>
          <w:rFonts w:ascii="仿宋_GB2312" w:hAnsi="仿宋" w:eastAsia="仿宋_GB2312" w:cs="仿宋"/>
          <w:b/>
          <w:color w:val="auto"/>
          <w:szCs w:val="24"/>
        </w:rPr>
      </w:pPr>
      <w:r>
        <w:rPr>
          <w:rFonts w:hint="eastAsia" w:ascii="仿宋_GB2312" w:hAnsi="仿宋" w:eastAsia="仿宋_GB2312" w:cs="仿宋"/>
          <w:b/>
          <w:color w:val="auto"/>
          <w:szCs w:val="24"/>
        </w:rPr>
        <w:t>第一部分合同书</w:t>
      </w:r>
    </w:p>
    <w:p>
      <w:pPr>
        <w:pStyle w:val="312"/>
        <w:rPr>
          <w:rFonts w:ascii="仿宋_GB2312" w:hAnsi="仿宋" w:eastAsia="仿宋_GB2312" w:cs="仿宋"/>
          <w:color w:val="auto"/>
          <w:szCs w:val="24"/>
        </w:rPr>
      </w:pPr>
    </w:p>
    <w:p>
      <w:pPr>
        <w:pStyle w:val="312"/>
        <w:rPr>
          <w:rFonts w:ascii="仿宋_GB2312" w:hAnsi="仿宋" w:eastAsia="仿宋_GB2312" w:cs="仿宋"/>
          <w:color w:val="auto"/>
          <w:szCs w:val="24"/>
        </w:rPr>
      </w:pPr>
    </w:p>
    <w:p>
      <w:pPr>
        <w:spacing w:before="120" w:line="22" w:lineRule="atLeast"/>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项目名称：</w:t>
      </w:r>
    </w:p>
    <w:p>
      <w:pPr>
        <w:pStyle w:val="311"/>
        <w:spacing w:before="120" w:line="22" w:lineRule="atLeast"/>
        <w:rPr>
          <w:rFonts w:hAnsi="仿宋" w:cs="仿宋"/>
          <w:color w:val="auto"/>
          <w:szCs w:val="24"/>
        </w:rPr>
      </w:pPr>
    </w:p>
    <w:p>
      <w:pPr>
        <w:pStyle w:val="311"/>
        <w:spacing w:before="120" w:line="22" w:lineRule="atLeast"/>
        <w:rPr>
          <w:rFonts w:hAnsi="仿宋" w:cs="仿宋"/>
          <w:color w:val="auto"/>
          <w:szCs w:val="24"/>
        </w:rPr>
      </w:pPr>
    </w:p>
    <w:p>
      <w:pPr>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甲方：</w:t>
      </w:r>
    </w:p>
    <w:p>
      <w:pPr>
        <w:spacing w:before="120" w:line="22" w:lineRule="atLeast"/>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乙方：</w:t>
      </w:r>
    </w:p>
    <w:p>
      <w:pPr>
        <w:spacing w:before="120" w:line="22" w:lineRule="atLeast"/>
        <w:rPr>
          <w:rFonts w:ascii="仿宋_GB2312" w:hAnsi="仿宋" w:eastAsia="仿宋_GB2312" w:cs="仿宋"/>
          <w:color w:val="auto"/>
          <w:sz w:val="24"/>
        </w:rPr>
      </w:pPr>
    </w:p>
    <w:p>
      <w:pPr>
        <w:spacing w:before="120" w:line="22" w:lineRule="atLeast"/>
        <w:ind w:firstLine="1440" w:firstLineChars="600"/>
        <w:rPr>
          <w:rFonts w:ascii="仿宋_GB2312" w:hAnsi="仿宋" w:eastAsia="仿宋_GB2312" w:cs="仿宋"/>
          <w:color w:val="auto"/>
          <w:sz w:val="24"/>
          <w:u w:val="single"/>
        </w:rPr>
      </w:pPr>
      <w:r>
        <w:rPr>
          <w:rFonts w:hint="eastAsia" w:ascii="仿宋_GB2312" w:hAnsi="仿宋" w:eastAsia="仿宋_GB2312" w:cs="仿宋"/>
          <w:color w:val="auto"/>
          <w:sz w:val="24"/>
        </w:rPr>
        <w:t>签订地：</w:t>
      </w:r>
    </w:p>
    <w:p>
      <w:pPr>
        <w:spacing w:before="120" w:line="22" w:lineRule="atLeast"/>
        <w:rPr>
          <w:rFonts w:ascii="仿宋_GB2312" w:hAnsi="仿宋" w:eastAsia="仿宋_GB2312" w:cs="仿宋"/>
          <w:color w:val="auto"/>
          <w:sz w:val="24"/>
        </w:rPr>
      </w:pPr>
    </w:p>
    <w:p>
      <w:pPr>
        <w:spacing w:before="120" w:line="22" w:lineRule="atLeast"/>
        <w:ind w:firstLine="1440" w:firstLineChars="600"/>
        <w:rPr>
          <w:rFonts w:ascii="仿宋_GB2312" w:hAnsi="仿宋" w:eastAsia="仿宋_GB2312" w:cs="仿宋"/>
          <w:color w:val="auto"/>
          <w:sz w:val="24"/>
          <w:u w:val="single"/>
        </w:rPr>
      </w:pPr>
      <w:r>
        <w:rPr>
          <w:rFonts w:hint="eastAsia" w:ascii="仿宋_GB2312" w:hAnsi="仿宋" w:eastAsia="仿宋_GB2312" w:cs="仿宋"/>
          <w:color w:val="auto"/>
          <w:sz w:val="24"/>
        </w:rPr>
        <w:t>签订日期：年月日</w:t>
      </w:r>
    </w:p>
    <w:p>
      <w:pPr>
        <w:widowControl/>
        <w:jc w:val="left"/>
        <w:rPr>
          <w:rFonts w:ascii="仿宋_GB2312" w:hAnsi="仿宋" w:eastAsia="仿宋_GB2312" w:cs="仿宋"/>
          <w:color w:val="auto"/>
          <w:kern w:val="0"/>
          <w:sz w:val="24"/>
        </w:rPr>
        <w:sectPr>
          <w:headerReference r:id="rId3" w:type="default"/>
          <w:footerReference r:id="rId4" w:type="default"/>
          <w:pgSz w:w="11905" w:h="16838"/>
          <w:pgMar w:top="1814" w:right="1474" w:bottom="1814" w:left="1474" w:header="851" w:footer="992" w:gutter="0"/>
          <w:cols w:space="0" w:num="1"/>
          <w:docGrid w:linePitch="286" w:charSpace="0"/>
        </w:sectPr>
      </w:pP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lang w:val="zh-CN"/>
        </w:rPr>
        <w:t>年月日</w:t>
      </w:r>
      <w:r>
        <w:rPr>
          <w:rFonts w:hint="eastAsia" w:ascii="仿宋_GB2312" w:hAnsi="仿宋" w:eastAsia="仿宋_GB2312" w:cs="仿宋"/>
          <w:color w:val="auto"/>
          <w:sz w:val="24"/>
        </w:rPr>
        <w:t>，</w:t>
      </w:r>
      <w:r>
        <w:rPr>
          <w:rFonts w:ascii="仿宋_GB2312" w:hAnsi="仿宋" w:eastAsia="仿宋_GB2312" w:cs="仿宋"/>
          <w:color w:val="auto"/>
          <w:sz w:val="24"/>
          <w:u w:val="single"/>
        </w:rPr>
        <w:t xml:space="preserve">   （采购人）   </w:t>
      </w:r>
      <w:r>
        <w:rPr>
          <w:rFonts w:hint="eastAsia" w:ascii="仿宋_GB2312" w:hAnsi="仿宋" w:eastAsia="仿宋_GB2312" w:cs="仿宋"/>
          <w:color w:val="auto"/>
          <w:sz w:val="24"/>
        </w:rPr>
        <w:t>以</w:t>
      </w:r>
      <w:r>
        <w:rPr>
          <w:rFonts w:ascii="仿宋_GB2312" w:hAnsi="仿宋" w:eastAsia="仿宋_GB2312" w:cs="仿宋"/>
          <w:color w:val="auto"/>
          <w:sz w:val="24"/>
          <w:u w:val="single"/>
        </w:rPr>
        <w:t xml:space="preserve">   （政府采购方式）  </w:t>
      </w:r>
      <w:r>
        <w:rPr>
          <w:rFonts w:hint="eastAsia" w:ascii="仿宋_GB2312" w:hAnsi="仿宋" w:eastAsia="仿宋_GB2312" w:cs="仿宋"/>
          <w:color w:val="auto"/>
          <w:sz w:val="24"/>
        </w:rPr>
        <w:t>对</w:t>
      </w:r>
      <w:r>
        <w:rPr>
          <w:rFonts w:ascii="仿宋_GB2312" w:hAnsi="仿宋" w:eastAsia="仿宋_GB2312" w:cs="仿宋"/>
          <w:color w:val="auto"/>
          <w:sz w:val="24"/>
          <w:u w:val="single"/>
        </w:rPr>
        <w:t xml:space="preserve">   （项目名称、编号）   </w:t>
      </w:r>
      <w:r>
        <w:rPr>
          <w:rFonts w:hint="eastAsia" w:ascii="仿宋_GB2312" w:hAnsi="仿宋" w:eastAsia="仿宋_GB2312" w:cs="仿宋"/>
          <w:color w:val="auto"/>
          <w:sz w:val="24"/>
        </w:rPr>
        <w:t>项目进行了采购。经</w:t>
      </w:r>
      <w:r>
        <w:rPr>
          <w:rFonts w:ascii="仿宋_GB2312" w:hAnsi="仿宋" w:eastAsia="仿宋_GB2312" w:cs="仿宋"/>
          <w:color w:val="auto"/>
          <w:sz w:val="24"/>
          <w:u w:val="single"/>
        </w:rPr>
        <w:t xml:space="preserve">   （相关评定主体名称）   </w:t>
      </w:r>
      <w:r>
        <w:rPr>
          <w:rFonts w:hint="eastAsia" w:ascii="仿宋_GB2312" w:hAnsi="仿宋" w:eastAsia="仿宋_GB2312" w:cs="仿宋"/>
          <w:color w:val="auto"/>
          <w:sz w:val="24"/>
        </w:rPr>
        <w:t>评定，</w:t>
      </w:r>
      <w:r>
        <w:rPr>
          <w:rFonts w:ascii="仿宋_GB2312" w:hAnsi="仿宋" w:eastAsia="仿宋_GB2312" w:cs="仿宋"/>
          <w:color w:val="auto"/>
          <w:sz w:val="24"/>
          <w:u w:val="single"/>
        </w:rPr>
        <w:t xml:space="preserve">   （中标或者成交供应商名称）</w:t>
      </w:r>
      <w:r>
        <w:rPr>
          <w:rFonts w:hint="eastAsia" w:ascii="仿宋_GB2312" w:hAnsi="仿宋" w:eastAsia="仿宋_GB2312" w:cs="仿宋"/>
          <w:color w:val="auto"/>
          <w:sz w:val="24"/>
        </w:rPr>
        <w:t>为该项目中标或者成交供应商。现于中标或者成交通知书发出之日起</w:t>
      </w:r>
      <w:r>
        <w:rPr>
          <w:rFonts w:ascii="仿宋_GB2312" w:hAnsi="仿宋" w:eastAsia="仿宋_GB2312" w:cs="仿宋"/>
          <w:color w:val="auto"/>
          <w:sz w:val="24"/>
        </w:rPr>
        <w:t>10个工作日内，按照采购文件等确定的事项签订本合同。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lang w:val="zh-CN"/>
        </w:rPr>
        <w:t>根据《中华人民共和国民法典》《中华人民共和国政府采购法》等相关法律法规之规定，按照平等、自愿、公平、诚实信用和绿色的原则，经</w:t>
      </w:r>
      <w:r>
        <w:rPr>
          <w:rFonts w:ascii="仿宋_GB2312" w:hAnsi="仿宋" w:eastAsia="仿宋_GB2312" w:cs="仿宋"/>
          <w:color w:val="auto"/>
          <w:sz w:val="24"/>
          <w:u w:val="single"/>
        </w:rPr>
        <w:t xml:space="preserve">   （采购人）   </w:t>
      </w:r>
      <w:r>
        <w:rPr>
          <w:rFonts w:ascii="仿宋_GB2312" w:hAnsi="仿宋" w:eastAsia="仿宋_GB2312" w:cs="仿宋"/>
          <w:color w:val="auto"/>
          <w:sz w:val="24"/>
          <w:lang w:val="zh-CN"/>
        </w:rPr>
        <w:t>(以下简称：甲方)和</w:t>
      </w:r>
      <w:r>
        <w:rPr>
          <w:rFonts w:ascii="仿宋_GB2312" w:hAnsi="仿宋" w:eastAsia="仿宋_GB2312" w:cs="仿宋"/>
          <w:color w:val="auto"/>
          <w:sz w:val="24"/>
          <w:u w:val="single"/>
        </w:rPr>
        <w:t xml:space="preserve">   （中标或者成交供应商名称）   </w:t>
      </w:r>
      <w:r>
        <w:rPr>
          <w:rFonts w:ascii="仿宋_GB2312" w:hAnsi="仿宋" w:eastAsia="仿宋_GB2312" w:cs="仿宋"/>
          <w:color w:val="auto"/>
          <w:sz w:val="24"/>
          <w:lang w:val="zh-CN"/>
        </w:rPr>
        <w:t>(以下简称：乙方)协商一致，约定以下合同</w:t>
      </w:r>
      <w:r>
        <w:rPr>
          <w:rFonts w:hint="eastAsia" w:ascii="仿宋_GB2312" w:hAnsi="仿宋" w:eastAsia="仿宋_GB2312" w:cs="仿宋"/>
          <w:color w:val="auto"/>
          <w:sz w:val="24"/>
        </w:rPr>
        <w:t>条款，以兹共同遵守、全面履行。</w:t>
      </w:r>
    </w:p>
    <w:p>
      <w:pPr>
        <w:spacing w:line="440" w:lineRule="exact"/>
        <w:ind w:firstLine="482" w:firstLineChars="200"/>
        <w:outlineLvl w:val="0"/>
        <w:rPr>
          <w:rFonts w:ascii="仿宋_GB2312" w:hAnsi="仿宋" w:eastAsia="仿宋_GB2312" w:cs="仿宋"/>
          <w:b/>
          <w:color w:val="auto"/>
          <w:sz w:val="24"/>
        </w:rPr>
      </w:pPr>
      <w:bookmarkStart w:id="11" w:name="_Toc3029"/>
      <w:bookmarkStart w:id="12" w:name="_Toc2232"/>
      <w:bookmarkStart w:id="13" w:name="_Toc24059"/>
      <w:r>
        <w:rPr>
          <w:rFonts w:ascii="仿宋_GB2312" w:hAnsi="仿宋" w:eastAsia="仿宋_GB2312" w:cs="仿宋"/>
          <w:b/>
          <w:color w:val="auto"/>
          <w:sz w:val="24"/>
        </w:rPr>
        <w:t xml:space="preserve">1.1 </w:t>
      </w:r>
      <w:r>
        <w:rPr>
          <w:rFonts w:hint="eastAsia" w:ascii="仿宋_GB2312" w:hAnsi="仿宋" w:eastAsia="仿宋_GB2312" w:cs="仿宋"/>
          <w:b/>
          <w:color w:val="auto"/>
          <w:sz w:val="24"/>
        </w:rPr>
        <w:t>合同组成部分</w:t>
      </w:r>
      <w:bookmarkEnd w:id="11"/>
      <w:bookmarkEnd w:id="12"/>
      <w:bookmarkEnd w:id="13"/>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1.1.1 </w:t>
      </w:r>
      <w:r>
        <w:rPr>
          <w:rFonts w:hint="eastAsia" w:ascii="仿宋_GB2312" w:hAnsi="仿宋" w:eastAsia="仿宋_GB2312" w:cs="仿宋"/>
          <w:color w:val="auto"/>
          <w:sz w:val="24"/>
        </w:rPr>
        <w:t>本合同及其补充合同、变更协议；</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1.1.2 </w:t>
      </w:r>
      <w:r>
        <w:rPr>
          <w:rFonts w:hint="eastAsia" w:ascii="仿宋_GB2312" w:hAnsi="仿宋" w:eastAsia="仿宋_GB2312" w:cs="仿宋"/>
          <w:color w:val="auto"/>
          <w:sz w:val="24"/>
        </w:rPr>
        <w:t>中标或者成交通知书；</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1.1.3 </w:t>
      </w:r>
      <w:r>
        <w:rPr>
          <w:rFonts w:hint="eastAsia" w:ascii="仿宋_GB2312" w:hAnsi="仿宋" w:eastAsia="仿宋_GB2312" w:cs="仿宋"/>
          <w:color w:val="auto"/>
          <w:sz w:val="24"/>
        </w:rPr>
        <w:t>投标或者响应文件（含澄清或者说明文件）；</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1.1.4 </w:t>
      </w:r>
      <w:r>
        <w:rPr>
          <w:rFonts w:hint="eastAsia" w:ascii="仿宋_GB2312" w:hAnsi="仿宋" w:eastAsia="仿宋_GB2312" w:cs="仿宋"/>
          <w:color w:val="auto"/>
          <w:sz w:val="24"/>
        </w:rPr>
        <w:t>采购文件（含澄清或者修改文件）；</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1.1.5 </w:t>
      </w:r>
      <w:r>
        <w:rPr>
          <w:rFonts w:hint="eastAsia" w:ascii="仿宋_GB2312" w:hAnsi="仿宋" w:eastAsia="仿宋_GB2312" w:cs="仿宋"/>
          <w:color w:val="auto"/>
          <w:sz w:val="24"/>
        </w:rPr>
        <w:t>其他相关采购文件。</w:t>
      </w:r>
    </w:p>
    <w:p>
      <w:pPr>
        <w:spacing w:line="440" w:lineRule="exact"/>
        <w:ind w:firstLine="482" w:firstLineChars="200"/>
        <w:outlineLvl w:val="0"/>
        <w:rPr>
          <w:rFonts w:ascii="仿宋_GB2312" w:hAnsi="仿宋" w:eastAsia="仿宋_GB2312" w:cs="仿宋"/>
          <w:b/>
          <w:color w:val="auto"/>
          <w:sz w:val="24"/>
        </w:rPr>
      </w:pPr>
      <w:bookmarkStart w:id="14" w:name="_Toc24300"/>
      <w:bookmarkStart w:id="15" w:name="_Toc21295"/>
      <w:bookmarkStart w:id="16" w:name="_Toc27126"/>
      <w:r>
        <w:rPr>
          <w:rFonts w:ascii="仿宋_GB2312" w:hAnsi="仿宋" w:eastAsia="仿宋_GB2312" w:cs="仿宋"/>
          <w:b/>
          <w:color w:val="auto"/>
          <w:sz w:val="24"/>
        </w:rPr>
        <w:t xml:space="preserve">1.2 </w:t>
      </w:r>
      <w:r>
        <w:rPr>
          <w:rFonts w:hint="eastAsia" w:ascii="仿宋_GB2312" w:hAnsi="仿宋" w:eastAsia="仿宋_GB2312" w:cs="仿宋"/>
          <w:b/>
          <w:color w:val="auto"/>
          <w:sz w:val="24"/>
        </w:rPr>
        <w:t>货物</w:t>
      </w:r>
      <w:bookmarkEnd w:id="14"/>
      <w:bookmarkEnd w:id="15"/>
      <w:bookmarkEnd w:id="16"/>
    </w:p>
    <w:p>
      <w:pPr>
        <w:spacing w:line="440" w:lineRule="exact"/>
        <w:ind w:firstLine="480" w:firstLineChars="200"/>
        <w:rPr>
          <w:rFonts w:ascii="仿宋_GB2312" w:hAnsi="仿宋" w:eastAsia="仿宋_GB2312" w:cs="仿宋"/>
          <w:color w:val="auto"/>
          <w:sz w:val="24"/>
          <w:u w:val="single"/>
        </w:rPr>
      </w:pPr>
      <w:r>
        <w:rPr>
          <w:rFonts w:ascii="仿宋_GB2312" w:hAnsi="仿宋" w:eastAsia="仿宋_GB2312" w:cs="仿宋"/>
          <w:color w:val="auto"/>
          <w:sz w:val="24"/>
        </w:rPr>
        <w:t xml:space="preserve">1.2.1 </w:t>
      </w:r>
      <w:r>
        <w:rPr>
          <w:rFonts w:hint="eastAsia" w:ascii="仿宋_GB2312" w:hAnsi="仿宋" w:eastAsia="仿宋_GB2312" w:cs="仿宋"/>
          <w:color w:val="auto"/>
          <w:sz w:val="24"/>
        </w:rPr>
        <w:t>货物名称、品牌、规格型号、花色：；</w:t>
      </w:r>
    </w:p>
    <w:p>
      <w:pPr>
        <w:spacing w:line="440" w:lineRule="exact"/>
        <w:ind w:firstLine="480" w:firstLineChars="200"/>
        <w:rPr>
          <w:rFonts w:ascii="仿宋_GB2312" w:hAnsi="仿宋" w:eastAsia="仿宋_GB2312" w:cs="仿宋"/>
          <w:color w:val="auto"/>
          <w:sz w:val="24"/>
          <w:u w:val="single"/>
        </w:rPr>
      </w:pPr>
      <w:r>
        <w:rPr>
          <w:rFonts w:ascii="仿宋_GB2312" w:hAnsi="仿宋" w:eastAsia="仿宋_GB2312" w:cs="仿宋"/>
          <w:color w:val="auto"/>
          <w:sz w:val="24"/>
        </w:rPr>
        <w:t xml:space="preserve">1.2.2 </w:t>
      </w:r>
      <w:r>
        <w:rPr>
          <w:rFonts w:hint="eastAsia" w:ascii="仿宋_GB2312" w:hAnsi="仿宋" w:eastAsia="仿宋_GB2312" w:cs="仿宋"/>
          <w:color w:val="auto"/>
          <w:sz w:val="24"/>
        </w:rPr>
        <w:t>货物数量：；</w:t>
      </w:r>
    </w:p>
    <w:p>
      <w:pPr>
        <w:spacing w:line="440" w:lineRule="exact"/>
        <w:ind w:firstLine="480" w:firstLineChars="200"/>
        <w:rPr>
          <w:rFonts w:ascii="仿宋_GB2312" w:hAnsi="仿宋" w:eastAsia="仿宋_GB2312" w:cs="仿宋"/>
          <w:color w:val="auto"/>
          <w:sz w:val="24"/>
          <w:u w:val="single"/>
        </w:rPr>
      </w:pPr>
      <w:r>
        <w:rPr>
          <w:rFonts w:ascii="仿宋_GB2312" w:hAnsi="仿宋" w:eastAsia="仿宋_GB2312" w:cs="仿宋"/>
          <w:color w:val="auto"/>
          <w:sz w:val="24"/>
        </w:rPr>
        <w:t xml:space="preserve">1.2.3 </w:t>
      </w:r>
      <w:r>
        <w:rPr>
          <w:rFonts w:hint="eastAsia" w:ascii="仿宋_GB2312" w:hAnsi="仿宋" w:eastAsia="仿宋_GB2312" w:cs="仿宋"/>
          <w:color w:val="auto"/>
          <w:sz w:val="24"/>
        </w:rPr>
        <w:t>货物质量：</w:t>
      </w:r>
      <w:r>
        <w:rPr>
          <w:rFonts w:hint="eastAsia" w:ascii="仿宋_GB2312" w:hAnsi="仿宋" w:eastAsia="仿宋_GB2312" w:cs="仿宋"/>
          <w:color w:val="auto"/>
          <w:sz w:val="24"/>
          <w:u w:val="single"/>
        </w:rPr>
        <w:t>　　　　　　　　　　；</w:t>
      </w:r>
    </w:p>
    <w:p>
      <w:pPr>
        <w:spacing w:line="440" w:lineRule="exact"/>
        <w:ind w:firstLine="482" w:firstLineChars="200"/>
        <w:outlineLvl w:val="0"/>
        <w:rPr>
          <w:rFonts w:ascii="仿宋_GB2312" w:hAnsi="仿宋" w:eastAsia="仿宋_GB2312" w:cs="仿宋"/>
          <w:b/>
          <w:color w:val="auto"/>
          <w:sz w:val="24"/>
        </w:rPr>
      </w:pPr>
      <w:bookmarkStart w:id="17" w:name="_Toc21551"/>
      <w:bookmarkStart w:id="18" w:name="_Toc23292"/>
      <w:bookmarkStart w:id="19" w:name="_Toc21631"/>
      <w:r>
        <w:rPr>
          <w:rFonts w:ascii="仿宋_GB2312" w:hAnsi="仿宋" w:eastAsia="仿宋_GB2312" w:cs="仿宋"/>
          <w:b/>
          <w:color w:val="auto"/>
          <w:sz w:val="24"/>
        </w:rPr>
        <w:t xml:space="preserve">1.3 </w:t>
      </w:r>
      <w:r>
        <w:rPr>
          <w:rFonts w:hint="eastAsia" w:ascii="仿宋_GB2312" w:hAnsi="仿宋" w:eastAsia="仿宋_GB2312" w:cs="仿宋"/>
          <w:b/>
          <w:color w:val="auto"/>
          <w:sz w:val="24"/>
        </w:rPr>
        <w:t>价款</w:t>
      </w:r>
      <w:bookmarkEnd w:id="17"/>
      <w:bookmarkEnd w:id="18"/>
      <w:bookmarkEnd w:id="19"/>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本合同总价（含税）为：￥元（大写：元人民币）。</w:t>
      </w:r>
    </w:p>
    <w:p>
      <w:pPr>
        <w:spacing w:line="44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440" w:lineRule="exact"/>
              <w:ind w:firstLine="200"/>
              <w:jc w:val="center"/>
              <w:rPr>
                <w:rFonts w:ascii="仿宋_GB2312" w:hAnsi="仿宋" w:eastAsia="仿宋_GB2312" w:cs="仿宋"/>
                <w:color w:val="auto"/>
                <w:sz w:val="24"/>
                <w:szCs w:val="24"/>
              </w:rPr>
            </w:pPr>
          </w:p>
        </w:tc>
      </w:tr>
    </w:tbl>
    <w:p>
      <w:pPr>
        <w:pStyle w:val="313"/>
        <w:spacing w:before="0" w:beforeAutospacing="0" w:after="0" w:afterAutospacing="0" w:line="440" w:lineRule="exact"/>
        <w:ind w:firstLine="480"/>
        <w:rPr>
          <w:rFonts w:ascii="仿宋_GB2312" w:hAnsi="仿宋" w:eastAsia="仿宋_GB2312" w:cs="仿宋"/>
          <w:b/>
          <w:color w:val="auto"/>
        </w:rPr>
      </w:pPr>
      <w:bookmarkStart w:id="20" w:name="_Toc1814"/>
      <w:bookmarkStart w:id="21" w:name="_Toc22618"/>
      <w:bookmarkStart w:id="22" w:name="_Toc10340"/>
      <w:r>
        <w:rPr>
          <w:rFonts w:ascii="仿宋_GB2312" w:hAnsi="仿宋" w:eastAsia="仿宋_GB2312" w:cs="仿宋"/>
          <w:b/>
          <w:color w:val="auto"/>
        </w:rPr>
        <w:t>1.4履约保证金</w:t>
      </w:r>
    </w:p>
    <w:p>
      <w:pPr>
        <w:pStyle w:val="313"/>
        <w:spacing w:before="0" w:beforeAutospacing="0" w:after="0" w:afterAutospacing="0" w:line="440" w:lineRule="exact"/>
        <w:ind w:firstLine="480"/>
        <w:rPr>
          <w:rFonts w:ascii="仿宋_GB2312" w:hAnsi="仿宋" w:eastAsia="仿宋_GB2312" w:cs="仿宋"/>
          <w:color w:val="auto"/>
        </w:rPr>
      </w:pPr>
      <w:r>
        <w:rPr>
          <w:rFonts w:hint="eastAsia" w:ascii="仿宋_GB2312" w:hAnsi="仿宋" w:eastAsia="仿宋_GB2312" w:cs="仿宋"/>
          <w:color w:val="auto"/>
        </w:rPr>
        <w:t>乙方（是</w:t>
      </w:r>
      <w:r>
        <w:rPr>
          <w:rFonts w:ascii="仿宋_GB2312" w:hAnsi="仿宋" w:eastAsia="仿宋_GB2312" w:cs="仿宋"/>
          <w:color w:val="auto"/>
        </w:rPr>
        <w:t>/否）需要支付履约保证金。若需要支付履约保证金的，则：</w:t>
      </w:r>
    </w:p>
    <w:p>
      <w:pPr>
        <w:spacing w:line="440" w:lineRule="exact"/>
        <w:ind w:firstLine="480" w:firstLineChars="200"/>
        <w:outlineLvl w:val="0"/>
        <w:rPr>
          <w:rFonts w:ascii="仿宋_GB2312" w:hAnsi="仿宋" w:eastAsia="仿宋_GB2312" w:cs="仿宋"/>
          <w:color w:val="auto"/>
          <w:kern w:val="0"/>
          <w:sz w:val="24"/>
        </w:rPr>
      </w:pPr>
      <w:r>
        <w:rPr>
          <w:rFonts w:ascii="仿宋_GB2312" w:hAnsi="仿宋" w:eastAsia="仿宋_GB2312" w:cs="仿宋"/>
          <w:color w:val="auto"/>
          <w:kern w:val="0"/>
          <w:sz w:val="24"/>
        </w:rPr>
        <w:t>1.4.1履约保证金的比例为合同金额的%；</w:t>
      </w:r>
    </w:p>
    <w:p>
      <w:pPr>
        <w:spacing w:line="440" w:lineRule="exact"/>
        <w:ind w:firstLine="480" w:firstLineChars="200"/>
        <w:outlineLvl w:val="0"/>
        <w:rPr>
          <w:rFonts w:ascii="仿宋_GB2312" w:hAnsi="仿宋" w:eastAsia="仿宋_GB2312" w:cs="仿宋"/>
          <w:color w:val="auto"/>
          <w:kern w:val="0"/>
          <w:sz w:val="24"/>
        </w:rPr>
      </w:pPr>
      <w:r>
        <w:rPr>
          <w:rFonts w:ascii="仿宋_GB2312" w:hAnsi="仿宋" w:eastAsia="仿宋_GB2312" w:cs="仿宋"/>
          <w:color w:val="auto"/>
          <w:kern w:val="0"/>
          <w:sz w:val="24"/>
        </w:rPr>
        <w:t>1.4.2履约保证金支付方式详见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kern w:val="0"/>
          <w:sz w:val="24"/>
        </w:rPr>
        <w:t>；</w:t>
      </w:r>
    </w:p>
    <w:p>
      <w:pPr>
        <w:spacing w:line="440" w:lineRule="exact"/>
        <w:ind w:firstLine="480" w:firstLineChars="200"/>
        <w:outlineLvl w:val="0"/>
        <w:rPr>
          <w:rFonts w:ascii="仿宋_GB2312" w:hAnsi="仿宋" w:eastAsia="仿宋_GB2312" w:cs="仿宋"/>
          <w:color w:val="auto"/>
          <w:kern w:val="0"/>
          <w:sz w:val="24"/>
        </w:rPr>
      </w:pPr>
      <w:r>
        <w:rPr>
          <w:rFonts w:ascii="仿宋_GB2312" w:hAnsi="仿宋" w:eastAsia="仿宋_GB2312" w:cs="仿宋"/>
          <w:color w:val="auto"/>
          <w:kern w:val="0"/>
          <w:sz w:val="24"/>
        </w:rPr>
        <w:t xml:space="preserve">1.4.3 </w:t>
      </w:r>
      <w:r>
        <w:rPr>
          <w:rFonts w:hint="eastAsia" w:ascii="仿宋_GB2312" w:hAnsi="仿宋" w:eastAsia="仿宋_GB2312" w:cs="仿宋"/>
          <w:color w:val="auto"/>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_GB2312" w:hAnsi="仿宋" w:eastAsia="仿宋_GB2312" w:cs="仿宋"/>
          <w:color w:val="auto"/>
        </w:rPr>
      </w:pPr>
      <w:r>
        <w:rPr>
          <w:rFonts w:ascii="仿宋_GB2312" w:hAnsi="仿宋" w:eastAsia="仿宋_GB2312" w:cs="仿宋"/>
          <w:color w:val="auto"/>
          <w:kern w:val="0"/>
          <w:sz w:val="24"/>
        </w:rPr>
        <w:t xml:space="preserve">1.4.4 </w:t>
      </w:r>
      <w:r>
        <w:rPr>
          <w:rFonts w:hint="eastAsia" w:ascii="仿宋_GB2312" w:hAnsi="仿宋" w:eastAsia="仿宋_GB2312" w:cs="仿宋"/>
          <w:color w:val="auto"/>
          <w:kern w:val="0"/>
          <w:sz w:val="24"/>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ascii="仿宋_GB2312" w:hAnsi="仿宋" w:eastAsia="仿宋_GB2312" w:cs="仿宋"/>
          <w:color w:val="auto"/>
          <w:kern w:val="0"/>
          <w:sz w:val="24"/>
        </w:rPr>
        <w:t>%计算，最高限额为本合同履约保证金的 %。</w:t>
      </w:r>
    </w:p>
    <w:p>
      <w:pPr>
        <w:spacing w:line="440" w:lineRule="exact"/>
        <w:ind w:firstLine="482" w:firstLineChars="200"/>
        <w:outlineLvl w:val="0"/>
        <w:rPr>
          <w:rFonts w:ascii="仿宋_GB2312" w:hAnsi="仿宋" w:eastAsia="仿宋_GB2312" w:cs="仿宋"/>
          <w:b/>
          <w:color w:val="auto"/>
          <w:sz w:val="24"/>
        </w:rPr>
      </w:pPr>
      <w:r>
        <w:rPr>
          <w:rFonts w:ascii="仿宋_GB2312" w:hAnsi="仿宋" w:eastAsia="仿宋_GB2312" w:cs="仿宋"/>
          <w:b/>
          <w:color w:val="auto"/>
          <w:sz w:val="24"/>
        </w:rPr>
        <w:t>1.5</w:t>
      </w:r>
      <w:bookmarkEnd w:id="20"/>
      <w:bookmarkEnd w:id="21"/>
      <w:bookmarkEnd w:id="22"/>
      <w:r>
        <w:rPr>
          <w:rFonts w:hint="eastAsia" w:ascii="仿宋_GB2312" w:hAnsi="仿宋" w:eastAsia="仿宋_GB2312" w:cs="仿宋"/>
          <w:b/>
          <w:color w:val="auto"/>
          <w:sz w:val="24"/>
        </w:rPr>
        <w:t>预付款</w:t>
      </w:r>
    </w:p>
    <w:p>
      <w:pPr>
        <w:pStyle w:val="313"/>
        <w:spacing w:before="0" w:beforeAutospacing="0" w:after="0" w:afterAutospacing="0" w:line="440" w:lineRule="exact"/>
        <w:ind w:firstLine="480"/>
        <w:rPr>
          <w:rFonts w:ascii="仿宋_GB2312" w:hAnsi="仿宋" w:eastAsia="仿宋_GB2312" w:cs="仿宋"/>
          <w:color w:val="auto"/>
        </w:rPr>
      </w:pPr>
      <w:r>
        <w:rPr>
          <w:rFonts w:hint="eastAsia" w:ascii="仿宋_GB2312" w:hAnsi="仿宋" w:eastAsia="仿宋_GB2312" w:cs="仿宋"/>
          <w:color w:val="auto"/>
        </w:rPr>
        <w:t>甲方（是</w:t>
      </w:r>
      <w:r>
        <w:rPr>
          <w:rFonts w:ascii="仿宋_GB2312" w:hAnsi="仿宋" w:eastAsia="仿宋_GB2312" w:cs="仿宋"/>
          <w:color w:val="auto"/>
        </w:rPr>
        <w:t>/否）需要支付预付款。若需要支付预付款的，则：</w:t>
      </w:r>
    </w:p>
    <w:p>
      <w:pPr>
        <w:spacing w:line="440" w:lineRule="exact"/>
        <w:ind w:firstLine="480" w:firstLineChars="200"/>
        <w:rPr>
          <w:rFonts w:ascii="仿宋_GB2312" w:hAnsi="仿宋" w:eastAsia="仿宋_GB2312" w:cs="仿宋"/>
          <w:color w:val="auto"/>
          <w:kern w:val="0"/>
          <w:sz w:val="24"/>
        </w:rPr>
      </w:pPr>
      <w:r>
        <w:rPr>
          <w:rFonts w:ascii="仿宋_GB2312" w:hAnsi="仿宋" w:eastAsia="仿宋_GB2312" w:cs="仿宋"/>
          <w:color w:val="auto"/>
          <w:kern w:val="0"/>
          <w:sz w:val="24"/>
        </w:rPr>
        <w:t>1.5.1预付款比例、支付方式、时间详见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kern w:val="0"/>
          <w:sz w:val="24"/>
        </w:rPr>
        <w:t>；</w:t>
      </w:r>
    </w:p>
    <w:p>
      <w:pPr>
        <w:pStyle w:val="313"/>
        <w:spacing w:before="0" w:beforeAutospacing="0" w:after="0" w:afterAutospacing="0" w:line="440" w:lineRule="exact"/>
        <w:ind w:firstLine="480"/>
        <w:rPr>
          <w:rFonts w:ascii="仿宋_GB2312" w:hAnsi="仿宋" w:eastAsia="仿宋_GB2312" w:cs="仿宋"/>
          <w:color w:val="auto"/>
        </w:rPr>
      </w:pPr>
      <w:r>
        <w:rPr>
          <w:rFonts w:ascii="仿宋_GB2312" w:hAnsi="仿宋" w:eastAsia="仿宋_GB2312" w:cs="仿宋"/>
          <w:color w:val="auto"/>
        </w:rPr>
        <w:t>1.5.2预付款的扣回方式详见</w:t>
      </w:r>
      <w:r>
        <w:rPr>
          <w:rFonts w:hint="eastAsia" w:ascii="仿宋_GB2312" w:hAnsi="仿宋" w:eastAsia="仿宋_GB2312" w:cs="仿宋"/>
          <w:b/>
          <w:i/>
          <w:color w:val="auto"/>
          <w:u w:val="single"/>
        </w:rPr>
        <w:t>合同专用条款</w:t>
      </w:r>
      <w:r>
        <w:rPr>
          <w:rFonts w:hint="eastAsia" w:ascii="仿宋_GB2312" w:hAnsi="仿宋" w:eastAsia="仿宋_GB2312" w:cs="仿宋"/>
          <w:color w:val="auto"/>
        </w:rPr>
        <w:t>；</w:t>
      </w:r>
    </w:p>
    <w:p>
      <w:pPr>
        <w:pStyle w:val="313"/>
        <w:spacing w:before="0" w:beforeAutospacing="0" w:after="0" w:afterAutospacing="0" w:line="440" w:lineRule="exact"/>
        <w:ind w:firstLine="480"/>
        <w:rPr>
          <w:rFonts w:ascii="仿宋_GB2312" w:hAnsi="仿宋" w:eastAsia="仿宋_GB2312" w:cs="仿宋"/>
          <w:color w:val="auto"/>
          <w:u w:val="single"/>
        </w:rPr>
      </w:pPr>
      <w:r>
        <w:rPr>
          <w:rFonts w:ascii="仿宋_GB2312" w:hAnsi="仿宋" w:eastAsia="仿宋_GB2312" w:cs="仿宋"/>
          <w:color w:val="auto"/>
        </w:rPr>
        <w:t>1.5.3预付款的担保措施详见</w:t>
      </w:r>
      <w:r>
        <w:rPr>
          <w:rFonts w:hint="eastAsia" w:ascii="仿宋_GB2312" w:hAnsi="仿宋" w:eastAsia="仿宋_GB2312" w:cs="仿宋"/>
          <w:b/>
          <w:i/>
          <w:color w:val="auto"/>
          <w:u w:val="single"/>
        </w:rPr>
        <w:t>合同专用条款</w:t>
      </w:r>
      <w:r>
        <w:rPr>
          <w:rFonts w:hint="eastAsia" w:ascii="仿宋_GB2312" w:hAnsi="仿宋" w:eastAsia="仿宋_GB2312" w:cs="仿宋"/>
          <w:color w:val="auto"/>
        </w:rPr>
        <w:t>。</w:t>
      </w:r>
    </w:p>
    <w:p>
      <w:pPr>
        <w:pStyle w:val="313"/>
        <w:spacing w:before="0" w:beforeAutospacing="0" w:after="0" w:afterAutospacing="0" w:line="440" w:lineRule="exact"/>
        <w:ind w:firstLine="480"/>
        <w:rPr>
          <w:rFonts w:ascii="仿宋_GB2312" w:hAnsi="仿宋" w:eastAsia="仿宋_GB2312" w:cs="仿宋"/>
          <w:b/>
          <w:bCs/>
          <w:color w:val="auto"/>
        </w:rPr>
      </w:pPr>
      <w:r>
        <w:rPr>
          <w:rFonts w:ascii="仿宋_GB2312" w:hAnsi="仿宋" w:eastAsia="仿宋_GB2312" w:cs="仿宋"/>
          <w:b/>
          <w:bCs/>
          <w:color w:val="auto"/>
        </w:rPr>
        <w:t>1.6资金支付</w:t>
      </w:r>
    </w:p>
    <w:p>
      <w:pPr>
        <w:pStyle w:val="313"/>
        <w:spacing w:before="0" w:beforeAutospacing="0" w:after="0" w:afterAutospacing="0" w:line="440" w:lineRule="exact"/>
        <w:ind w:firstLine="480"/>
        <w:rPr>
          <w:rFonts w:ascii="仿宋_GB2312" w:hAnsi="仿宋" w:eastAsia="仿宋_GB2312" w:cs="仿宋"/>
          <w:color w:val="auto"/>
        </w:rPr>
      </w:pPr>
      <w:r>
        <w:rPr>
          <w:rFonts w:ascii="仿宋_GB2312" w:hAnsi="仿宋" w:eastAsia="仿宋_GB2312"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_GB2312" w:hAnsi="仿宋" w:eastAsia="仿宋_GB2312" w:cs="仿宋"/>
          <w:color w:val="auto"/>
          <w:sz w:val="24"/>
        </w:rPr>
      </w:pPr>
      <w:r>
        <w:rPr>
          <w:rFonts w:ascii="仿宋_GB2312" w:hAnsi="仿宋" w:eastAsia="仿宋_GB2312" w:cs="仿宋"/>
          <w:color w:val="auto"/>
          <w:sz w:val="24"/>
        </w:rPr>
        <w:t>1.6.2资金支付的方式、时间和条件详见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40" w:lineRule="exact"/>
        <w:ind w:firstLine="482" w:firstLineChars="200"/>
        <w:outlineLvl w:val="0"/>
        <w:rPr>
          <w:rFonts w:ascii="仿宋_GB2312" w:hAnsi="仿宋" w:eastAsia="仿宋_GB2312" w:cs="仿宋"/>
          <w:b/>
          <w:color w:val="auto"/>
          <w:sz w:val="24"/>
        </w:rPr>
      </w:pPr>
      <w:bookmarkStart w:id="23" w:name="_Toc2846"/>
      <w:bookmarkStart w:id="24" w:name="_Toc32071"/>
      <w:bookmarkStart w:id="25" w:name="_Toc19304"/>
      <w:r>
        <w:rPr>
          <w:rFonts w:ascii="仿宋_GB2312" w:hAnsi="仿宋" w:eastAsia="仿宋_GB2312" w:cs="仿宋"/>
          <w:b/>
          <w:color w:val="auto"/>
          <w:sz w:val="24"/>
        </w:rPr>
        <w:t>1.7货物交付期限、地点和方式</w:t>
      </w:r>
      <w:bookmarkEnd w:id="23"/>
      <w:bookmarkEnd w:id="24"/>
      <w:bookmarkEnd w:id="25"/>
    </w:p>
    <w:p>
      <w:pPr>
        <w:spacing w:line="440" w:lineRule="exact"/>
        <w:ind w:firstLine="480" w:firstLineChars="200"/>
        <w:rPr>
          <w:rFonts w:ascii="仿宋_GB2312" w:hAnsi="仿宋" w:eastAsia="仿宋_GB2312" w:cs="仿宋"/>
          <w:color w:val="auto"/>
          <w:sz w:val="24"/>
          <w:u w:val="single"/>
        </w:rPr>
      </w:pPr>
      <w:r>
        <w:rPr>
          <w:rFonts w:ascii="仿宋_GB2312" w:hAnsi="仿宋" w:eastAsia="仿宋_GB2312" w:cs="仿宋"/>
          <w:color w:val="auto"/>
          <w:sz w:val="24"/>
        </w:rPr>
        <w:t xml:space="preserve">1.7.1 </w:t>
      </w:r>
      <w:r>
        <w:rPr>
          <w:rFonts w:hint="eastAsia" w:ascii="仿宋_GB2312" w:hAnsi="仿宋" w:eastAsia="仿宋_GB2312" w:cs="仿宋"/>
          <w:color w:val="auto"/>
          <w:sz w:val="24"/>
        </w:rPr>
        <w:t>交付期限：详见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1.7.2 </w:t>
      </w:r>
      <w:r>
        <w:rPr>
          <w:rFonts w:hint="eastAsia" w:ascii="仿宋_GB2312" w:hAnsi="仿宋" w:eastAsia="仿宋_GB2312" w:cs="仿宋"/>
          <w:color w:val="auto"/>
          <w:sz w:val="24"/>
        </w:rPr>
        <w:t>交付地点：</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1.7.3 </w:t>
      </w:r>
      <w:r>
        <w:rPr>
          <w:rFonts w:hint="eastAsia" w:ascii="仿宋_GB2312" w:hAnsi="仿宋" w:eastAsia="仿宋_GB2312" w:cs="仿宋"/>
          <w:color w:val="auto"/>
          <w:sz w:val="24"/>
        </w:rPr>
        <w:t>交付方式：</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40" w:lineRule="exact"/>
        <w:ind w:firstLine="482" w:firstLineChars="200"/>
        <w:outlineLvl w:val="0"/>
        <w:rPr>
          <w:rFonts w:ascii="仿宋_GB2312" w:hAnsi="仿宋" w:eastAsia="仿宋_GB2312" w:cs="仿宋"/>
          <w:b/>
          <w:color w:val="auto"/>
          <w:sz w:val="24"/>
        </w:rPr>
      </w:pPr>
      <w:bookmarkStart w:id="26" w:name="_Toc19554"/>
      <w:bookmarkStart w:id="27" w:name="_Toc27250"/>
      <w:bookmarkStart w:id="28" w:name="_Toc21423"/>
      <w:r>
        <w:rPr>
          <w:rFonts w:ascii="仿宋_GB2312" w:hAnsi="仿宋" w:eastAsia="仿宋_GB2312" w:cs="仿宋"/>
          <w:b/>
          <w:color w:val="auto"/>
          <w:sz w:val="24"/>
        </w:rPr>
        <w:t>1.8违约责任</w:t>
      </w:r>
      <w:bookmarkEnd w:id="26"/>
      <w:bookmarkEnd w:id="27"/>
      <w:bookmarkEnd w:id="28"/>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1.8.1 </w:t>
      </w:r>
      <w:r>
        <w:rPr>
          <w:rFonts w:hint="eastAsia" w:ascii="仿宋_GB2312" w:hAnsi="仿宋" w:eastAsia="仿宋_GB2312" w:cs="仿宋"/>
          <w:color w:val="auto"/>
          <w:sz w:val="24"/>
        </w:rPr>
        <w:t>除不可抗力外，如果乙方没有按照本合同约定的期限、地点和方式交付货物，那么甲方可要求乙方支付违约金，违约金按每迟延交付货物一日的应交付而未交付货物价格的</w:t>
      </w:r>
      <w:r>
        <w:rPr>
          <w:rFonts w:ascii="仿宋_GB2312" w:hAnsi="仿宋" w:eastAsia="仿宋_GB2312" w:cs="仿宋"/>
          <w:color w:val="auto"/>
          <w:sz w:val="24"/>
        </w:rPr>
        <w:t>%计算，最高限额为本合同总价的%；迟延交付货物的违约金计算数额达到前述最高限额之日起，甲方有权在要求乙方支付违约金的同时，书面通知乙方解除本合同；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1.8.2 </w:t>
      </w:r>
      <w:r>
        <w:rPr>
          <w:rFonts w:hint="eastAsia" w:ascii="仿宋_GB2312" w:hAnsi="仿宋" w:eastAsia="仿宋_GB2312" w:cs="仿宋"/>
          <w:color w:val="auto"/>
          <w:sz w:val="24"/>
        </w:rPr>
        <w:t>除不可抗力外，如果甲方没有按照本合同约定的付款方式付款，那么乙方可要求甲方支付违约金，违约金按每迟延付款一日的应付而未付款的</w:t>
      </w:r>
      <w:r>
        <w:rPr>
          <w:rFonts w:ascii="仿宋_GB2312" w:hAnsi="仿宋" w:eastAsia="仿宋_GB2312" w:cs="仿宋"/>
          <w:color w:val="auto"/>
          <w:sz w:val="24"/>
        </w:rPr>
        <w:t>%计算，最高限额为本合同总价的%；迟延付款的违约金计算数额达到前述最高限额之日起，乙方有权在要求甲方支付违约金的同时，书面通知甲方解除本合同；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1.8.3 </w:t>
      </w:r>
      <w:r>
        <w:rPr>
          <w:rFonts w:hint="eastAsia" w:ascii="仿宋_GB2312" w:hAnsi="仿宋" w:eastAsia="仿宋_GB2312" w:cs="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1.8.4 </w:t>
      </w:r>
      <w:r>
        <w:rPr>
          <w:rFonts w:hint="eastAsia" w:ascii="仿宋_GB2312" w:hAnsi="仿宋" w:eastAsia="仿宋_GB2312" w:cs="仿宋"/>
          <w:color w:val="auto"/>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left="-420" w:leftChars="-200" w:right="-420" w:rightChars="-200" w:firstLine="960" w:firstLineChars="400"/>
        <w:rPr>
          <w:rFonts w:ascii="仿宋_GB2312" w:hAnsi="仿宋" w:eastAsia="仿宋_GB2312" w:cs="仿宋"/>
          <w:color w:val="auto"/>
        </w:rPr>
      </w:pPr>
      <w:r>
        <w:rPr>
          <w:rFonts w:ascii="仿宋_GB2312" w:hAnsi="仿宋" w:eastAsia="仿宋_GB2312" w:cs="仿宋"/>
          <w:color w:val="auto"/>
          <w:sz w:val="24"/>
        </w:rPr>
        <w:t>1.8.6违约责任</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另有约定的，从其约定。</w:t>
      </w:r>
    </w:p>
    <w:p>
      <w:pPr>
        <w:spacing w:line="440" w:lineRule="exact"/>
        <w:ind w:firstLine="482" w:firstLineChars="200"/>
        <w:outlineLvl w:val="0"/>
        <w:rPr>
          <w:rFonts w:ascii="仿宋_GB2312" w:hAnsi="仿宋" w:eastAsia="仿宋_GB2312" w:cs="仿宋"/>
          <w:b/>
          <w:color w:val="auto"/>
          <w:sz w:val="24"/>
        </w:rPr>
      </w:pPr>
      <w:bookmarkStart w:id="29" w:name="_Toc15583"/>
      <w:bookmarkStart w:id="30" w:name="_Toc28375"/>
      <w:bookmarkStart w:id="31" w:name="_Toc16021"/>
      <w:r>
        <w:rPr>
          <w:rFonts w:ascii="仿宋_GB2312" w:hAnsi="仿宋" w:eastAsia="仿宋_GB2312" w:cs="仿宋"/>
          <w:b/>
          <w:color w:val="auto"/>
          <w:sz w:val="24"/>
        </w:rPr>
        <w:t>1.9合同争议的解决</w:t>
      </w:r>
      <w:bookmarkEnd w:id="29"/>
      <w:bookmarkEnd w:id="30"/>
      <w:bookmarkEnd w:id="31"/>
    </w:p>
    <w:p>
      <w:pPr>
        <w:spacing w:line="440" w:lineRule="exact"/>
        <w:ind w:firstLine="480" w:firstLineChars="200"/>
        <w:outlineLvl w:val="0"/>
        <w:rPr>
          <w:rFonts w:ascii="仿宋_GB2312" w:hAnsi="仿宋" w:eastAsia="仿宋_GB2312" w:cs="仿宋"/>
          <w:color w:val="auto"/>
          <w:sz w:val="24"/>
        </w:rPr>
      </w:pPr>
      <w:r>
        <w:rPr>
          <w:rFonts w:hint="eastAsia" w:ascii="仿宋_GB2312" w:hAnsi="仿宋" w:eastAsia="仿宋_GB2312" w:cs="仿宋"/>
          <w:color w:val="auto"/>
          <w:sz w:val="24"/>
        </w:rPr>
        <w:t>本合同履行过程中发生的任何争议，双方当事人均可通过和解或者调解解决；不愿和解、调解或者和解、调解不成的，将争议提交绍兴仲裁委员会仲裁。</w:t>
      </w:r>
      <w:bookmarkStart w:id="32" w:name="_Toc11173"/>
      <w:bookmarkStart w:id="33" w:name="_Toc15322"/>
      <w:bookmarkStart w:id="34" w:name="_Toc7245"/>
    </w:p>
    <w:p>
      <w:pPr>
        <w:spacing w:line="440" w:lineRule="exact"/>
        <w:ind w:firstLine="482" w:firstLineChars="200"/>
        <w:outlineLvl w:val="0"/>
        <w:rPr>
          <w:rFonts w:ascii="仿宋_GB2312" w:hAnsi="仿宋" w:eastAsia="仿宋_GB2312" w:cs="仿宋"/>
          <w:b/>
          <w:color w:val="auto"/>
          <w:sz w:val="24"/>
        </w:rPr>
      </w:pPr>
      <w:r>
        <w:rPr>
          <w:rFonts w:ascii="仿宋_GB2312" w:hAnsi="仿宋" w:eastAsia="仿宋_GB2312" w:cs="仿宋"/>
          <w:b/>
          <w:color w:val="auto"/>
          <w:sz w:val="24"/>
        </w:rPr>
        <w:t xml:space="preserve">2.0 </w:t>
      </w:r>
      <w:r>
        <w:rPr>
          <w:rFonts w:hint="eastAsia" w:ascii="仿宋_GB2312" w:hAnsi="仿宋" w:eastAsia="仿宋_GB2312" w:cs="仿宋"/>
          <w:b/>
          <w:color w:val="auto"/>
          <w:sz w:val="24"/>
        </w:rPr>
        <w:t>合同生效</w:t>
      </w:r>
      <w:bookmarkEnd w:id="32"/>
      <w:bookmarkEnd w:id="33"/>
      <w:bookmarkEnd w:id="34"/>
    </w:p>
    <w:p>
      <w:pPr>
        <w:spacing w:line="440" w:lineRule="exact"/>
        <w:ind w:firstLine="480" w:firstLineChars="200"/>
        <w:rPr>
          <w:rFonts w:ascii="仿宋_GB2312" w:hAnsi="仿宋" w:eastAsia="仿宋_GB2312" w:cs="仿宋"/>
          <w:b/>
          <w:color w:val="auto"/>
          <w:sz w:val="24"/>
        </w:rPr>
      </w:pPr>
      <w:r>
        <w:rPr>
          <w:rFonts w:hint="eastAsia" w:ascii="仿宋_GB2312" w:hAnsi="仿宋" w:eastAsia="仿宋_GB2312" w:cs="仿宋"/>
          <w:color w:val="auto"/>
          <w:sz w:val="24"/>
        </w:rPr>
        <w:t>本合同自双方当事人盖章签字时生效。</w:t>
      </w:r>
    </w:p>
    <w:p>
      <w:pPr>
        <w:autoSpaceDE w:val="0"/>
        <w:autoSpaceDN w:val="0"/>
        <w:spacing w:line="440" w:lineRule="exact"/>
        <w:rPr>
          <w:rFonts w:ascii="仿宋_GB2312" w:hAnsi="仿宋" w:eastAsia="仿宋_GB2312" w:cs="仿宋"/>
          <w:color w:val="auto"/>
          <w:sz w:val="24"/>
          <w:lang w:val="zh-CN"/>
        </w:rPr>
      </w:pP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b/>
          <w:color w:val="auto"/>
          <w:sz w:val="24"/>
          <w:lang w:val="zh-CN"/>
        </w:rPr>
        <w:t>甲方</w:t>
      </w:r>
      <w:r>
        <w:rPr>
          <w:rFonts w:hint="eastAsia" w:ascii="仿宋_GB2312" w:hAnsi="仿宋" w:eastAsia="仿宋_GB2312" w:cs="仿宋"/>
          <w:color w:val="auto"/>
          <w:sz w:val="24"/>
          <w:lang w:val="zh-CN"/>
        </w:rPr>
        <w:t>：</w:t>
      </w:r>
      <w:r>
        <w:rPr>
          <w:rFonts w:ascii="仿宋_GB2312" w:hAnsi="仿宋" w:eastAsia="仿宋_GB2312" w:cs="仿宋"/>
          <w:b/>
          <w:color w:val="auto"/>
          <w:sz w:val="24"/>
          <w:lang w:val="zh-CN"/>
        </w:rPr>
        <w:t xml:space="preserve">      乙方</w:t>
      </w:r>
      <w:r>
        <w:rPr>
          <w:rFonts w:hint="eastAsia" w:ascii="仿宋_GB2312" w:hAnsi="仿宋" w:eastAsia="仿宋_GB2312" w:cs="仿宋"/>
          <w:color w:val="auto"/>
          <w:sz w:val="24"/>
          <w:lang w:val="zh-CN"/>
        </w:rPr>
        <w:t>：</w:t>
      </w: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统一社会信用代码：统一社会信用代码或身份证号码：</w:t>
      </w:r>
    </w:p>
    <w:p>
      <w:pPr>
        <w:autoSpaceDE w:val="0"/>
        <w:autoSpaceDN w:val="0"/>
        <w:spacing w:line="440" w:lineRule="exact"/>
        <w:rPr>
          <w:rFonts w:ascii="仿宋_GB2312" w:hAnsi="仿宋" w:eastAsia="仿宋_GB2312" w:cs="仿宋"/>
          <w:color w:val="auto"/>
          <w:sz w:val="24"/>
          <w:lang w:val="zh-CN"/>
        </w:rPr>
      </w:pP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住所：住所：</w:t>
      </w: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法定代表人或法定代表人</w:t>
      </w: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授权代表（签字）：</w:t>
      </w:r>
      <w:r>
        <w:rPr>
          <w:rFonts w:ascii="仿宋_GB2312" w:hAnsi="仿宋" w:eastAsia="仿宋_GB2312" w:cs="仿宋"/>
          <w:color w:val="auto"/>
          <w:sz w:val="24"/>
          <w:lang w:val="zh-CN"/>
        </w:rPr>
        <w:t xml:space="preserve">                        或授权代表（签字）: </w:t>
      </w: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联系人：联系人：</w:t>
      </w: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约定送达地址：约定送达地址：</w:t>
      </w: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邮政编码：邮政编码：</w:t>
      </w: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电话</w:t>
      </w:r>
      <w:r>
        <w:rPr>
          <w:rFonts w:ascii="仿宋_GB2312" w:hAnsi="仿宋" w:eastAsia="仿宋_GB2312" w:cs="仿宋"/>
          <w:color w:val="auto"/>
          <w:sz w:val="24"/>
          <w:lang w:val="zh-CN"/>
        </w:rPr>
        <w:t xml:space="preserve">:                                    电话: </w:t>
      </w:r>
    </w:p>
    <w:p>
      <w:pPr>
        <w:autoSpaceDE w:val="0"/>
        <w:autoSpaceDN w:val="0"/>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传真</w:t>
      </w:r>
      <w:r>
        <w:rPr>
          <w:rFonts w:ascii="仿宋_GB2312" w:hAnsi="仿宋" w:eastAsia="仿宋_GB2312" w:cs="仿宋"/>
          <w:color w:val="auto"/>
          <w:sz w:val="24"/>
          <w:lang w:val="zh-CN"/>
        </w:rPr>
        <w:t xml:space="preserve">:                                    </w:t>
      </w:r>
      <w:r>
        <w:rPr>
          <w:rFonts w:hint="eastAsia" w:ascii="仿宋_GB2312" w:hAnsi="仿宋" w:eastAsia="仿宋_GB2312" w:cs="仿宋"/>
          <w:color w:val="auto"/>
          <w:sz w:val="24"/>
          <w:lang w:val="zh-CN"/>
        </w:rPr>
        <w:t>传真</w:t>
      </w:r>
      <w:r>
        <w:rPr>
          <w:rFonts w:ascii="仿宋_GB2312" w:hAnsi="仿宋" w:eastAsia="仿宋_GB2312" w:cs="仿宋"/>
          <w:color w:val="auto"/>
          <w:sz w:val="24"/>
          <w:lang w:val="zh-CN"/>
        </w:rPr>
        <w:t>:</w:t>
      </w:r>
    </w:p>
    <w:p>
      <w:pPr>
        <w:autoSpaceDE w:val="0"/>
        <w:autoSpaceDN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lang w:val="zh-CN"/>
        </w:rPr>
        <w:t>电子邮箱：电子邮箱：</w:t>
      </w:r>
    </w:p>
    <w:p>
      <w:pPr>
        <w:autoSpaceDE w:val="0"/>
        <w:autoSpaceDN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开户银行：</w:t>
      </w:r>
      <w:r>
        <w:rPr>
          <w:rFonts w:ascii="仿宋_GB2312" w:hAnsi="仿宋" w:eastAsia="仿宋_GB2312" w:cs="仿宋"/>
          <w:color w:val="auto"/>
          <w:sz w:val="24"/>
        </w:rPr>
        <w:t xml:space="preserve">                               开户银行： </w:t>
      </w:r>
    </w:p>
    <w:p>
      <w:pPr>
        <w:autoSpaceDE w:val="0"/>
        <w:autoSpaceDN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开户名称：</w:t>
      </w:r>
      <w:r>
        <w:rPr>
          <w:rFonts w:ascii="仿宋_GB2312" w:hAnsi="仿宋" w:eastAsia="仿宋_GB2312" w:cs="仿宋"/>
          <w:color w:val="auto"/>
          <w:sz w:val="24"/>
        </w:rPr>
        <w:t xml:space="preserve">                               开户名称： </w:t>
      </w:r>
    </w:p>
    <w:p>
      <w:pPr>
        <w:autoSpaceDE w:val="0"/>
        <w:autoSpaceDN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开户账号：开户账号：</w:t>
      </w:r>
    </w:p>
    <w:p>
      <w:pPr>
        <w:rPr>
          <w:rFonts w:ascii="仿宋_GB2312" w:hAnsi="仿宋" w:eastAsia="仿宋_GB2312" w:cs="仿宋"/>
          <w:b/>
          <w:color w:val="auto"/>
        </w:rPr>
      </w:pPr>
      <w:r>
        <w:rPr>
          <w:rFonts w:ascii="仿宋_GB2312" w:hAnsi="仿宋" w:eastAsia="仿宋_GB2312" w:cs="仿宋"/>
          <w:b/>
          <w:color w:val="auto"/>
        </w:rPr>
        <w:br w:type="page"/>
      </w:r>
    </w:p>
    <w:p>
      <w:pPr>
        <w:pStyle w:val="24"/>
        <w:rPr>
          <w:color w:val="auto"/>
        </w:rPr>
      </w:pPr>
    </w:p>
    <w:p>
      <w:pPr>
        <w:pStyle w:val="312"/>
        <w:spacing w:after="0" w:line="440" w:lineRule="exact"/>
        <w:jc w:val="center"/>
        <w:rPr>
          <w:rFonts w:ascii="仿宋_GB2312" w:hAnsi="仿宋" w:eastAsia="仿宋_GB2312" w:cs="仿宋"/>
          <w:b/>
          <w:color w:val="auto"/>
          <w:szCs w:val="24"/>
        </w:rPr>
      </w:pPr>
      <w:r>
        <w:rPr>
          <w:rFonts w:hint="eastAsia" w:ascii="仿宋_GB2312" w:hAnsi="仿宋" w:eastAsia="仿宋_GB2312" w:cs="仿宋"/>
          <w:b/>
          <w:color w:val="auto"/>
          <w:szCs w:val="24"/>
        </w:rPr>
        <w:t>第二部分合同一般条款</w:t>
      </w:r>
    </w:p>
    <w:p>
      <w:pPr>
        <w:spacing w:line="440" w:lineRule="exact"/>
        <w:ind w:firstLine="482" w:firstLineChars="200"/>
        <w:outlineLvl w:val="0"/>
        <w:rPr>
          <w:rFonts w:ascii="仿宋_GB2312" w:hAnsi="仿宋" w:eastAsia="仿宋_GB2312" w:cs="仿宋"/>
          <w:b/>
          <w:color w:val="auto"/>
          <w:sz w:val="24"/>
        </w:rPr>
      </w:pPr>
      <w:bookmarkStart w:id="35" w:name="_Toc279701240"/>
      <w:bookmarkStart w:id="36" w:name="_Toc487900349"/>
      <w:bookmarkStart w:id="37" w:name="_Ref467379109"/>
      <w:bookmarkStart w:id="38" w:name="_Toc19614"/>
      <w:bookmarkStart w:id="39" w:name="_Ref467378499"/>
      <w:bookmarkStart w:id="40" w:name="_Ref467378463"/>
      <w:bookmarkStart w:id="41" w:name="_Toc16917"/>
      <w:bookmarkStart w:id="42" w:name="_Ref467379225"/>
      <w:bookmarkStart w:id="43" w:name="_Toc28763"/>
      <w:bookmarkStart w:id="44" w:name="_Ref467379094"/>
      <w:bookmarkStart w:id="45" w:name="_Ref467379101"/>
      <w:bookmarkStart w:id="46" w:name="_Toc259093669"/>
      <w:bookmarkStart w:id="47" w:name="_Ref467379205"/>
      <w:bookmarkStart w:id="48" w:name="_Ref467379214"/>
      <w:bookmarkStart w:id="49" w:name="_Ref467379195"/>
      <w:bookmarkStart w:id="50" w:name="_Ref467378404"/>
      <w:r>
        <w:rPr>
          <w:rFonts w:ascii="仿宋_GB2312" w:hAnsi="仿宋" w:eastAsia="仿宋_GB2312" w:cs="仿宋"/>
          <w:b/>
          <w:color w:val="auto"/>
          <w:sz w:val="24"/>
        </w:rPr>
        <w:t xml:space="preserve">2.1 </w:t>
      </w:r>
      <w:r>
        <w:rPr>
          <w:rFonts w:hint="eastAsia" w:ascii="仿宋_GB2312" w:hAnsi="仿宋" w:eastAsia="仿宋_GB2312" w:cs="仿宋"/>
          <w:b/>
          <w:color w:val="auto"/>
          <w:sz w:val="24"/>
        </w:rPr>
        <w:t>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本合同中的下列词语应按以下内容进行解释：</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2.1.1 </w:t>
      </w:r>
      <w:r>
        <w:rPr>
          <w:rFonts w:hint="eastAsia" w:ascii="仿宋_GB2312" w:hAnsi="仿宋" w:eastAsia="仿宋_GB2312" w:cs="仿宋"/>
          <w:color w:val="auto"/>
          <w:sz w:val="24"/>
        </w:rPr>
        <w:t>“合同”系指采购人和中标或成交供应商签订的载明双方当事人所达成的协议，并包括所有的附件、附录和构成合同的其他文件。</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2.1.2 </w:t>
      </w:r>
      <w:r>
        <w:rPr>
          <w:rFonts w:hint="eastAsia" w:ascii="仿宋_GB2312" w:hAnsi="仿宋" w:eastAsia="仿宋_GB2312" w:cs="仿宋"/>
          <w:color w:val="auto"/>
          <w:sz w:val="24"/>
        </w:rPr>
        <w:t>“合同价”系指根据合同约定，中标或成交供应商在完全履行合同义务后，采购人应支付给中标或成交供应商的价格。</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2.1.3 </w:t>
      </w:r>
      <w:r>
        <w:rPr>
          <w:rFonts w:hint="eastAsia" w:ascii="仿宋_GB2312" w:hAnsi="仿宋" w:eastAsia="仿宋_GB2312" w:cs="仿宋"/>
          <w:color w:val="auto"/>
          <w:sz w:val="24"/>
        </w:rPr>
        <w:t>“货物”系指中标或成交供应商根据合同约定应向采购人交付的一切各种形态和种类的物品，包括原材料、燃料、设备、机械、仪表、备件、计算机软件、产品等，并包括工具、手册等其他相关资料。</w:t>
      </w:r>
    </w:p>
    <w:p>
      <w:pPr>
        <w:spacing w:line="440" w:lineRule="exact"/>
        <w:ind w:firstLine="480" w:firstLineChars="200"/>
        <w:rPr>
          <w:rFonts w:ascii="仿宋_GB2312" w:hAnsi="仿宋" w:eastAsia="仿宋_GB2312" w:cs="仿宋"/>
          <w:color w:val="auto"/>
          <w:sz w:val="24"/>
        </w:rPr>
      </w:pPr>
      <w:bookmarkStart w:id="51" w:name="_Ref467378840"/>
      <w:r>
        <w:rPr>
          <w:rFonts w:ascii="仿宋_GB2312" w:hAnsi="仿宋" w:eastAsia="仿宋_GB2312" w:cs="仿宋"/>
          <w:color w:val="auto"/>
          <w:sz w:val="24"/>
        </w:rPr>
        <w:t xml:space="preserve">2.1.4 </w:t>
      </w:r>
      <w:r>
        <w:rPr>
          <w:rFonts w:hint="eastAsia" w:ascii="仿宋_GB2312" w:hAnsi="仿宋" w:eastAsia="仿宋_GB2312" w:cs="仿宋"/>
          <w:color w:val="auto"/>
          <w:sz w:val="24"/>
        </w:rPr>
        <w:t>“甲方”系指与中标或成交供应商签署合同的采购人</w:t>
      </w:r>
      <w:bookmarkEnd w:id="51"/>
      <w:r>
        <w:rPr>
          <w:rFonts w:hint="eastAsia" w:ascii="仿宋_GB2312" w:hAnsi="仿宋" w:eastAsia="仿宋_GB2312" w:cs="仿宋"/>
          <w:color w:val="auto"/>
          <w:sz w:val="24"/>
        </w:rPr>
        <w:t>；采购人委托采购代理机构代表其与乙方签订合同的，采购人的授权委托书作为合同附件。</w:t>
      </w:r>
    </w:p>
    <w:p>
      <w:pPr>
        <w:spacing w:line="440" w:lineRule="exact"/>
        <w:ind w:firstLine="480" w:firstLineChars="200"/>
        <w:rPr>
          <w:rFonts w:ascii="仿宋_GB2312" w:hAnsi="仿宋" w:eastAsia="仿宋_GB2312" w:cs="仿宋"/>
          <w:color w:val="auto"/>
          <w:sz w:val="24"/>
        </w:rPr>
      </w:pPr>
      <w:bookmarkStart w:id="52" w:name="_Ref467379400"/>
      <w:r>
        <w:rPr>
          <w:rFonts w:ascii="仿宋_GB2312" w:hAnsi="仿宋" w:eastAsia="仿宋_GB2312" w:cs="仿宋"/>
          <w:color w:val="auto"/>
          <w:sz w:val="24"/>
        </w:rPr>
        <w:t xml:space="preserve">2.1.5 </w:t>
      </w:r>
      <w:r>
        <w:rPr>
          <w:rFonts w:hint="eastAsia" w:ascii="仿宋_GB2312" w:hAnsi="仿宋" w:eastAsia="仿宋_GB2312" w:cs="仿宋"/>
          <w:color w:val="auto"/>
          <w:sz w:val="24"/>
        </w:rPr>
        <w:t>“乙方”系指根据合同约定交付货物的中标或成交供应商</w:t>
      </w:r>
      <w:bookmarkEnd w:id="52"/>
      <w:r>
        <w:rPr>
          <w:rFonts w:hint="eastAsia" w:ascii="仿宋_GB2312" w:hAnsi="仿宋" w:eastAsia="仿宋_GB2312"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440" w:lineRule="exact"/>
        <w:ind w:firstLine="480" w:firstLineChars="200"/>
        <w:rPr>
          <w:rFonts w:ascii="仿宋_GB2312" w:hAnsi="仿宋" w:eastAsia="仿宋_GB2312" w:cs="仿宋"/>
          <w:color w:val="auto"/>
          <w:sz w:val="24"/>
        </w:rPr>
      </w:pPr>
      <w:bookmarkStart w:id="53" w:name="_Ref467379436"/>
      <w:r>
        <w:rPr>
          <w:rFonts w:ascii="仿宋_GB2312" w:hAnsi="仿宋" w:eastAsia="仿宋_GB2312" w:cs="仿宋"/>
          <w:color w:val="auto"/>
          <w:sz w:val="24"/>
        </w:rPr>
        <w:t xml:space="preserve">2.1.6 </w:t>
      </w:r>
      <w:r>
        <w:rPr>
          <w:rFonts w:hint="eastAsia" w:ascii="仿宋_GB2312" w:hAnsi="仿宋" w:eastAsia="仿宋_GB2312" w:cs="仿宋"/>
          <w:color w:val="auto"/>
          <w:sz w:val="24"/>
        </w:rPr>
        <w:t>“现场”系指合同约定货物将要运至或者安装的地点。</w:t>
      </w:r>
      <w:bookmarkEnd w:id="53"/>
    </w:p>
    <w:p>
      <w:pPr>
        <w:spacing w:line="440" w:lineRule="exact"/>
        <w:ind w:firstLine="482" w:firstLineChars="200"/>
        <w:outlineLvl w:val="0"/>
        <w:rPr>
          <w:rFonts w:ascii="仿宋_GB2312" w:hAnsi="仿宋" w:eastAsia="仿宋_GB2312" w:cs="仿宋"/>
          <w:b/>
          <w:color w:val="auto"/>
          <w:sz w:val="24"/>
        </w:rPr>
      </w:pPr>
      <w:bookmarkStart w:id="54" w:name="_Toc27635"/>
      <w:bookmarkStart w:id="55" w:name="_Toc279701241"/>
      <w:bookmarkStart w:id="56" w:name="_Toc13336"/>
      <w:bookmarkStart w:id="57" w:name="_Toc259093670"/>
      <w:bookmarkStart w:id="58" w:name="_Toc32504"/>
      <w:bookmarkStart w:id="59" w:name="_Toc487900350"/>
      <w:r>
        <w:rPr>
          <w:rFonts w:ascii="仿宋_GB2312" w:hAnsi="仿宋" w:eastAsia="仿宋_GB2312" w:cs="仿宋"/>
          <w:b/>
          <w:color w:val="auto"/>
          <w:sz w:val="24"/>
        </w:rPr>
        <w:t xml:space="preserve">2.2 </w:t>
      </w:r>
      <w:r>
        <w:rPr>
          <w:rFonts w:hint="eastAsia" w:ascii="仿宋_GB2312" w:hAnsi="仿宋" w:eastAsia="仿宋_GB2312" w:cs="仿宋"/>
          <w:b/>
          <w:color w:val="auto"/>
          <w:sz w:val="24"/>
        </w:rPr>
        <w:t>技术规范</w:t>
      </w:r>
      <w:bookmarkEnd w:id="54"/>
      <w:bookmarkEnd w:id="55"/>
      <w:bookmarkEnd w:id="56"/>
      <w:bookmarkEnd w:id="57"/>
      <w:bookmarkEnd w:id="58"/>
      <w:bookmarkEnd w:id="59"/>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货物所应遵守的技术规范应与采购文件规定的技术规范和技术规范附件</w:t>
      </w:r>
      <w:r>
        <w:rPr>
          <w:rFonts w:ascii="仿宋_GB2312" w:hAnsi="仿宋" w:eastAsia="仿宋_GB2312" w:cs="仿宋"/>
          <w:color w:val="auto"/>
          <w:sz w:val="24"/>
        </w:rPr>
        <w:t>(如果有的话)及其技术规范偏差表(如果被甲方接受的话)相一致；如果采购文件中没有技术规范的相应说明，那么应以国家有关部门最新颁布的相应标准和规范为准。</w:t>
      </w:r>
    </w:p>
    <w:p>
      <w:pPr>
        <w:spacing w:line="440" w:lineRule="exact"/>
        <w:ind w:firstLine="482" w:firstLineChars="200"/>
        <w:outlineLvl w:val="0"/>
        <w:rPr>
          <w:rFonts w:ascii="仿宋_GB2312" w:hAnsi="仿宋" w:eastAsia="仿宋_GB2312" w:cs="仿宋"/>
          <w:b/>
          <w:color w:val="auto"/>
          <w:sz w:val="24"/>
        </w:rPr>
      </w:pPr>
      <w:bookmarkStart w:id="60" w:name="_Toc27853"/>
      <w:bookmarkStart w:id="61" w:name="_Toc487900351"/>
      <w:bookmarkStart w:id="62" w:name="_Toc259093671"/>
      <w:bookmarkStart w:id="63" w:name="_Toc31634"/>
      <w:bookmarkStart w:id="64" w:name="_Toc279701242"/>
      <w:bookmarkStart w:id="65" w:name="_Toc9829"/>
      <w:r>
        <w:rPr>
          <w:rFonts w:ascii="仿宋_GB2312" w:hAnsi="仿宋" w:eastAsia="仿宋_GB2312" w:cs="仿宋"/>
          <w:b/>
          <w:color w:val="auto"/>
          <w:sz w:val="24"/>
        </w:rPr>
        <w:t xml:space="preserve">2.3 </w:t>
      </w:r>
      <w:r>
        <w:rPr>
          <w:rFonts w:hint="eastAsia" w:ascii="仿宋_GB2312" w:hAnsi="仿宋" w:eastAsia="仿宋_GB2312" w:cs="仿宋"/>
          <w:b/>
          <w:color w:val="auto"/>
          <w:sz w:val="24"/>
        </w:rPr>
        <w:t>知识产权</w:t>
      </w:r>
      <w:bookmarkEnd w:id="60"/>
      <w:bookmarkEnd w:id="61"/>
      <w:bookmarkEnd w:id="62"/>
      <w:bookmarkEnd w:id="63"/>
      <w:bookmarkEnd w:id="64"/>
      <w:bookmarkEnd w:id="65"/>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2.3.1 </w:t>
      </w:r>
      <w:r>
        <w:rPr>
          <w:rFonts w:hint="eastAsia" w:ascii="仿宋_GB2312" w:hAnsi="仿宋" w:eastAsia="仿宋_GB2312" w:cs="仿宋"/>
          <w:color w:val="auto"/>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2.3.2具有知识产权的计算机软件等货物的知识产权归属，详见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40" w:lineRule="exact"/>
        <w:ind w:firstLine="482" w:firstLineChars="200"/>
        <w:outlineLvl w:val="0"/>
        <w:rPr>
          <w:rFonts w:ascii="仿宋_GB2312" w:hAnsi="仿宋" w:eastAsia="仿宋_GB2312" w:cs="仿宋"/>
          <w:b/>
          <w:color w:val="auto"/>
          <w:sz w:val="24"/>
        </w:rPr>
      </w:pPr>
      <w:bookmarkStart w:id="66" w:name="_Toc11932"/>
      <w:bookmarkStart w:id="67" w:name="_Toc4194"/>
      <w:bookmarkStart w:id="68" w:name="_Toc29149"/>
      <w:r>
        <w:rPr>
          <w:rFonts w:ascii="仿宋_GB2312" w:hAnsi="仿宋" w:eastAsia="仿宋_GB2312" w:cs="仿宋"/>
          <w:b/>
          <w:color w:val="auto"/>
          <w:sz w:val="24"/>
        </w:rPr>
        <w:t xml:space="preserve">2.4 </w:t>
      </w:r>
      <w:r>
        <w:rPr>
          <w:rFonts w:hint="eastAsia" w:ascii="仿宋_GB2312" w:hAnsi="仿宋" w:eastAsia="仿宋_GB2312" w:cs="仿宋"/>
          <w:b/>
          <w:color w:val="auto"/>
          <w:sz w:val="24"/>
        </w:rPr>
        <w:t>包装和装运</w:t>
      </w:r>
      <w:bookmarkEnd w:id="66"/>
      <w:bookmarkEnd w:id="67"/>
      <w:bookmarkEnd w:id="68"/>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2.4.1除</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另有约定外</w:t>
      </w:r>
      <w:r>
        <w:rPr>
          <w:rFonts w:ascii="仿宋_GB2312" w:hAnsi="仿宋" w:eastAsia="仿宋_GB2312" w:cs="仿宋"/>
          <w:color w:val="auto"/>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2.4.3 </w:t>
      </w:r>
      <w:r>
        <w:rPr>
          <w:rFonts w:hint="eastAsia" w:ascii="仿宋_GB2312" w:hAnsi="仿宋" w:eastAsia="仿宋_GB2312" w:cs="仿宋"/>
          <w:color w:val="auto"/>
          <w:sz w:val="24"/>
        </w:rPr>
        <w:t>装运货物的要求和通知，详见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40" w:lineRule="exact"/>
        <w:ind w:firstLine="482" w:firstLineChars="200"/>
        <w:outlineLvl w:val="0"/>
        <w:rPr>
          <w:rFonts w:ascii="仿宋_GB2312" w:hAnsi="仿宋" w:eastAsia="仿宋_GB2312" w:cs="仿宋"/>
          <w:b/>
          <w:color w:val="auto"/>
          <w:sz w:val="24"/>
        </w:rPr>
      </w:pPr>
      <w:bookmarkStart w:id="69" w:name="_Ref467378541"/>
      <w:bookmarkStart w:id="70" w:name="_Ref467378591"/>
      <w:bookmarkStart w:id="71" w:name="_Toc487900354"/>
      <w:bookmarkStart w:id="72" w:name="_Ref467379527"/>
      <w:bookmarkStart w:id="73" w:name="_Toc279701245"/>
      <w:bookmarkStart w:id="74" w:name="_Ref467379542"/>
      <w:bookmarkStart w:id="75" w:name="_Ref467379536"/>
      <w:bookmarkStart w:id="76" w:name="_Toc259093674"/>
      <w:bookmarkStart w:id="77" w:name="_Toc26182"/>
      <w:bookmarkStart w:id="78" w:name="_Toc19074"/>
      <w:bookmarkStart w:id="79" w:name="_Toc30272"/>
      <w:r>
        <w:rPr>
          <w:rFonts w:ascii="仿宋_GB2312" w:hAnsi="仿宋" w:eastAsia="仿宋_GB2312" w:cs="仿宋"/>
          <w:b/>
          <w:color w:val="auto"/>
          <w:sz w:val="24"/>
        </w:rPr>
        <w:t>2.</w:t>
      </w:r>
      <w:bookmarkEnd w:id="69"/>
      <w:bookmarkEnd w:id="70"/>
      <w:bookmarkEnd w:id="71"/>
      <w:bookmarkEnd w:id="72"/>
      <w:bookmarkEnd w:id="73"/>
      <w:bookmarkEnd w:id="74"/>
      <w:bookmarkEnd w:id="75"/>
      <w:bookmarkEnd w:id="76"/>
      <w:r>
        <w:rPr>
          <w:rFonts w:ascii="仿宋_GB2312" w:hAnsi="仿宋" w:eastAsia="仿宋_GB2312" w:cs="仿宋"/>
          <w:b/>
          <w:color w:val="auto"/>
          <w:sz w:val="24"/>
        </w:rPr>
        <w:t xml:space="preserve">5 </w:t>
      </w:r>
      <w:r>
        <w:rPr>
          <w:rFonts w:hint="eastAsia" w:ascii="仿宋_GB2312" w:hAnsi="仿宋" w:eastAsia="仿宋_GB2312" w:cs="仿宋"/>
          <w:b/>
          <w:color w:val="auto"/>
          <w:sz w:val="24"/>
        </w:rPr>
        <w:t>履约检查和问题反馈</w:t>
      </w:r>
      <w:bookmarkEnd w:id="77"/>
      <w:bookmarkEnd w:id="78"/>
      <w:bookmarkEnd w:id="79"/>
    </w:p>
    <w:p>
      <w:pPr>
        <w:spacing w:line="440" w:lineRule="exact"/>
        <w:ind w:firstLine="480" w:firstLineChars="200"/>
        <w:rPr>
          <w:rFonts w:ascii="仿宋_GB2312" w:hAnsi="仿宋" w:eastAsia="仿宋_GB2312" w:cs="仿宋"/>
          <w:color w:val="auto"/>
          <w:sz w:val="24"/>
        </w:rPr>
      </w:pPr>
      <w:bookmarkStart w:id="80" w:name="_Ref467379657"/>
      <w:r>
        <w:rPr>
          <w:rFonts w:ascii="仿宋_GB2312" w:hAnsi="仿宋" w:eastAsia="仿宋_GB2312" w:cs="仿宋"/>
          <w:color w:val="auto"/>
          <w:sz w:val="24"/>
        </w:rPr>
        <w:t>2.5.1</w:t>
      </w:r>
      <w:bookmarkEnd w:id="80"/>
      <w:bookmarkStart w:id="81" w:name="_Toc186431854"/>
      <w:bookmarkStart w:id="82" w:name="_Ref467379793"/>
      <w:bookmarkStart w:id="83" w:name="_Toc487900357"/>
      <w:bookmarkStart w:id="84" w:name="_Ref467379807"/>
      <w:bookmarkStart w:id="85" w:name="_Toc259093676"/>
      <w:bookmarkStart w:id="86" w:name="_Toc279701247"/>
      <w:r>
        <w:rPr>
          <w:rFonts w:hint="eastAsia" w:ascii="仿宋_GB2312" w:hAnsi="仿宋" w:eastAsia="仿宋_GB2312"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2.5.2 </w:t>
      </w:r>
      <w:r>
        <w:rPr>
          <w:rFonts w:hint="eastAsia" w:ascii="仿宋_GB2312" w:hAnsi="仿宋" w:eastAsia="仿宋_GB2312" w:cs="仿宋"/>
          <w:color w:val="auto"/>
          <w:sz w:val="24"/>
        </w:rPr>
        <w:t>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rPr>
        <w:t>。</w:t>
      </w:r>
    </w:p>
    <w:bookmarkEnd w:id="82"/>
    <w:bookmarkEnd w:id="83"/>
    <w:bookmarkEnd w:id="84"/>
    <w:bookmarkEnd w:id="85"/>
    <w:bookmarkEnd w:id="86"/>
    <w:bookmarkEnd w:id="87"/>
    <w:p>
      <w:pPr>
        <w:spacing w:line="440" w:lineRule="exact"/>
        <w:ind w:firstLine="482" w:firstLineChars="200"/>
        <w:outlineLvl w:val="0"/>
        <w:rPr>
          <w:rFonts w:ascii="仿宋_GB2312" w:hAnsi="仿宋" w:eastAsia="仿宋_GB2312" w:cs="仿宋"/>
          <w:b/>
          <w:color w:val="auto"/>
          <w:sz w:val="24"/>
        </w:rPr>
      </w:pPr>
      <w:bookmarkStart w:id="88" w:name="_Toc487900358"/>
      <w:bookmarkStart w:id="89" w:name="_Ref467379863"/>
      <w:bookmarkStart w:id="90" w:name="_Toc279701248"/>
      <w:bookmarkStart w:id="91" w:name="_Ref467379923"/>
      <w:bookmarkStart w:id="92" w:name="_Toc259093677"/>
      <w:bookmarkStart w:id="93" w:name="_Ref467379852"/>
      <w:bookmarkStart w:id="94" w:name="_Toc774"/>
      <w:bookmarkStart w:id="95" w:name="_Toc3225"/>
      <w:bookmarkStart w:id="96" w:name="_Toc16110"/>
      <w:r>
        <w:rPr>
          <w:rFonts w:ascii="仿宋_GB2312" w:hAnsi="仿宋" w:eastAsia="仿宋_GB2312" w:cs="仿宋"/>
          <w:b/>
          <w:color w:val="auto"/>
          <w:sz w:val="24"/>
        </w:rPr>
        <w:t xml:space="preserve">2.6 </w:t>
      </w:r>
      <w:r>
        <w:rPr>
          <w:rFonts w:hint="eastAsia" w:ascii="仿宋_GB2312" w:hAnsi="仿宋" w:eastAsia="仿宋_GB2312" w:cs="仿宋"/>
          <w:b/>
          <w:color w:val="auto"/>
          <w:sz w:val="24"/>
        </w:rPr>
        <w:t>技术资料</w:t>
      </w:r>
      <w:bookmarkEnd w:id="88"/>
      <w:bookmarkEnd w:id="89"/>
      <w:bookmarkEnd w:id="90"/>
      <w:bookmarkEnd w:id="91"/>
      <w:bookmarkEnd w:id="92"/>
      <w:bookmarkEnd w:id="93"/>
      <w:r>
        <w:rPr>
          <w:rFonts w:hint="eastAsia" w:ascii="仿宋_GB2312" w:hAnsi="仿宋" w:eastAsia="仿宋_GB2312" w:cs="仿宋"/>
          <w:b/>
          <w:color w:val="auto"/>
          <w:sz w:val="24"/>
        </w:rPr>
        <w:t>和保密义务</w:t>
      </w:r>
      <w:bookmarkEnd w:id="94"/>
      <w:bookmarkEnd w:id="95"/>
      <w:bookmarkEnd w:id="96"/>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2.6.1 </w:t>
      </w:r>
      <w:r>
        <w:rPr>
          <w:rFonts w:hint="eastAsia" w:ascii="仿宋_GB2312" w:hAnsi="仿宋" w:eastAsia="仿宋_GB2312" w:cs="仿宋"/>
          <w:color w:val="auto"/>
          <w:sz w:val="24"/>
        </w:rPr>
        <w:t>乙方有权依据合同约定和项目需要，向甲方了解有关情况，调阅有关资料等，甲方应予积极配合；</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2.6.2 </w:t>
      </w:r>
      <w:r>
        <w:rPr>
          <w:rFonts w:hint="eastAsia" w:ascii="仿宋_GB2312" w:hAnsi="仿宋" w:eastAsia="仿宋_GB2312" w:cs="仿宋"/>
          <w:color w:val="auto"/>
          <w:sz w:val="24"/>
        </w:rPr>
        <w:t>乙方有义务妥善保管和保护由甲方提供的前款信息和资料等；</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2.6.3 </w:t>
      </w:r>
      <w:r>
        <w:rPr>
          <w:rFonts w:hint="eastAsia" w:ascii="仿宋_GB2312" w:hAnsi="仿宋" w:eastAsia="仿宋_GB2312" w:cs="仿宋"/>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440" w:lineRule="exact"/>
        <w:ind w:firstLine="482" w:firstLineChars="200"/>
        <w:outlineLvl w:val="0"/>
        <w:rPr>
          <w:rFonts w:ascii="仿宋_GB2312" w:hAnsi="仿宋" w:eastAsia="仿宋_GB2312" w:cs="仿宋"/>
          <w:b/>
          <w:color w:val="auto"/>
          <w:sz w:val="24"/>
        </w:rPr>
      </w:pPr>
      <w:bookmarkStart w:id="97" w:name="_Toc7860"/>
      <w:r>
        <w:rPr>
          <w:rFonts w:ascii="仿宋_GB2312" w:hAnsi="仿宋" w:eastAsia="仿宋_GB2312" w:cs="仿宋"/>
          <w:b/>
          <w:color w:val="auto"/>
          <w:sz w:val="24"/>
        </w:rPr>
        <w:t xml:space="preserve">2.7 </w:t>
      </w:r>
      <w:r>
        <w:rPr>
          <w:rFonts w:hint="eastAsia" w:ascii="仿宋_GB2312" w:hAnsi="仿宋" w:eastAsia="仿宋_GB2312" w:cs="仿宋"/>
          <w:b/>
          <w:color w:val="auto"/>
          <w:sz w:val="24"/>
        </w:rPr>
        <w:t>质量保证</w:t>
      </w:r>
      <w:bookmarkEnd w:id="97"/>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2.7.1 </w:t>
      </w:r>
      <w:r>
        <w:rPr>
          <w:rFonts w:hint="eastAsia" w:ascii="仿宋_GB2312" w:hAnsi="仿宋" w:eastAsia="仿宋_GB2312" w:cs="仿宋"/>
          <w:color w:val="auto"/>
          <w:sz w:val="24"/>
        </w:rPr>
        <w:t>乙方应建立和完善履行合同的内部质量保证体系，并提供相关内部规章制度给甲方，以便甲方进行监督检查；</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2.7.2 </w:t>
      </w:r>
      <w:r>
        <w:rPr>
          <w:rFonts w:hint="eastAsia" w:ascii="仿宋_GB2312" w:hAnsi="仿宋" w:eastAsia="仿宋_GB2312" w:cs="仿宋"/>
          <w:color w:val="auto"/>
          <w:sz w:val="24"/>
        </w:rPr>
        <w:t>乙方应保证履行合同的人员数量和素质、软件和硬件设备的配置、场地、环境和设施等满足全面履行合同的要求，并应接受甲方的监督检查。</w:t>
      </w:r>
    </w:p>
    <w:p>
      <w:pPr>
        <w:spacing w:line="440" w:lineRule="exact"/>
        <w:ind w:firstLine="482" w:firstLineChars="200"/>
        <w:outlineLvl w:val="0"/>
        <w:rPr>
          <w:rFonts w:ascii="仿宋_GB2312" w:hAnsi="仿宋" w:eastAsia="仿宋_GB2312" w:cs="仿宋"/>
          <w:b/>
          <w:color w:val="auto"/>
          <w:sz w:val="24"/>
        </w:rPr>
      </w:pPr>
      <w:bookmarkStart w:id="98" w:name="_Toc17244"/>
      <w:bookmarkStart w:id="99" w:name="_Toc279701252"/>
      <w:bookmarkStart w:id="100" w:name="_Toc259093681"/>
      <w:bookmarkStart w:id="101" w:name="_Toc487900362"/>
      <w:r>
        <w:rPr>
          <w:rFonts w:ascii="仿宋_GB2312" w:hAnsi="仿宋" w:eastAsia="仿宋_GB2312" w:cs="仿宋"/>
          <w:b/>
          <w:color w:val="auto"/>
          <w:sz w:val="24"/>
        </w:rPr>
        <w:t xml:space="preserve">2.8 </w:t>
      </w:r>
      <w:r>
        <w:rPr>
          <w:rFonts w:hint="eastAsia" w:ascii="仿宋_GB2312" w:hAnsi="仿宋" w:eastAsia="仿宋_GB2312" w:cs="仿宋"/>
          <w:b/>
          <w:color w:val="auto"/>
          <w:sz w:val="24"/>
        </w:rPr>
        <w:t>货物的风险负担</w:t>
      </w:r>
      <w:bookmarkEnd w:id="98"/>
    </w:p>
    <w:p>
      <w:pPr>
        <w:spacing w:line="440" w:lineRule="exact"/>
        <w:ind w:firstLine="480" w:firstLineChars="200"/>
        <w:rPr>
          <w:rFonts w:ascii="仿宋_GB2312" w:hAnsi="仿宋" w:eastAsia="仿宋_GB2312" w:cs="仿宋"/>
          <w:b/>
          <w:color w:val="auto"/>
          <w:sz w:val="24"/>
        </w:rPr>
      </w:pPr>
      <w:r>
        <w:rPr>
          <w:rFonts w:hint="eastAsia" w:ascii="仿宋_GB2312" w:hAnsi="仿宋" w:eastAsia="仿宋_GB2312" w:cs="仿宋"/>
          <w:color w:val="auto"/>
          <w:sz w:val="24"/>
        </w:rPr>
        <w:t>货物或者在途货物或者交付给第一承运人后的货物毁损、灭失的风险负担详见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440" w:lineRule="exact"/>
        <w:ind w:firstLine="482" w:firstLineChars="200"/>
        <w:outlineLvl w:val="0"/>
        <w:rPr>
          <w:rFonts w:ascii="仿宋_GB2312" w:hAnsi="仿宋" w:eastAsia="仿宋_GB2312" w:cs="仿宋"/>
          <w:b/>
          <w:color w:val="auto"/>
          <w:sz w:val="24"/>
        </w:rPr>
      </w:pPr>
      <w:bookmarkStart w:id="102" w:name="_Toc14055"/>
      <w:r>
        <w:rPr>
          <w:rFonts w:ascii="仿宋_GB2312" w:hAnsi="仿宋" w:eastAsia="仿宋_GB2312" w:cs="仿宋"/>
          <w:b/>
          <w:color w:val="auto"/>
          <w:sz w:val="24"/>
        </w:rPr>
        <w:t xml:space="preserve">2.9 </w:t>
      </w:r>
      <w:r>
        <w:rPr>
          <w:rFonts w:hint="eastAsia" w:ascii="仿宋_GB2312" w:hAnsi="仿宋" w:eastAsia="仿宋_GB2312" w:cs="仿宋"/>
          <w:b/>
          <w:color w:val="auto"/>
          <w:sz w:val="24"/>
        </w:rPr>
        <w:t>延迟交货</w:t>
      </w:r>
      <w:bookmarkEnd w:id="99"/>
      <w:bookmarkEnd w:id="100"/>
      <w:bookmarkEnd w:id="101"/>
      <w:bookmarkEnd w:id="102"/>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440" w:lineRule="exact"/>
        <w:ind w:firstLine="482" w:firstLineChars="200"/>
        <w:outlineLvl w:val="0"/>
        <w:rPr>
          <w:rFonts w:ascii="仿宋_GB2312" w:hAnsi="仿宋" w:eastAsia="仿宋_GB2312" w:cs="仿宋"/>
          <w:b/>
          <w:color w:val="auto"/>
          <w:sz w:val="24"/>
        </w:rPr>
      </w:pPr>
      <w:bookmarkStart w:id="103" w:name="_Toc7502"/>
      <w:bookmarkStart w:id="104" w:name="_Ref467378121"/>
      <w:bookmarkStart w:id="105" w:name="_Toc487900364"/>
      <w:bookmarkStart w:id="106" w:name="_Toc279701254"/>
      <w:bookmarkStart w:id="107" w:name="_Toc259093683"/>
      <w:r>
        <w:rPr>
          <w:rFonts w:ascii="仿宋_GB2312" w:hAnsi="仿宋" w:eastAsia="仿宋_GB2312" w:cs="仿宋"/>
          <w:b/>
          <w:color w:val="auto"/>
          <w:sz w:val="24"/>
        </w:rPr>
        <w:t xml:space="preserve">2.10 </w:t>
      </w:r>
      <w:r>
        <w:rPr>
          <w:rFonts w:hint="eastAsia" w:ascii="仿宋_GB2312" w:hAnsi="仿宋" w:eastAsia="仿宋_GB2312" w:cs="仿宋"/>
          <w:b/>
          <w:color w:val="auto"/>
          <w:sz w:val="24"/>
        </w:rPr>
        <w:t>合同变更</w:t>
      </w:r>
      <w:bookmarkEnd w:id="103"/>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pacing w:line="440" w:lineRule="exact"/>
        <w:ind w:firstLine="482" w:firstLineChars="200"/>
        <w:outlineLvl w:val="0"/>
        <w:rPr>
          <w:rFonts w:ascii="仿宋_GB2312" w:hAnsi="仿宋" w:eastAsia="仿宋_GB2312" w:cs="仿宋"/>
          <w:b/>
          <w:color w:val="auto"/>
          <w:sz w:val="24"/>
        </w:rPr>
      </w:pPr>
      <w:bookmarkStart w:id="111" w:name="_Toc10366"/>
      <w:bookmarkStart w:id="112" w:name="_Toc22955"/>
      <w:bookmarkStart w:id="113" w:name="_Toc15237"/>
      <w:r>
        <w:rPr>
          <w:rFonts w:ascii="仿宋_GB2312" w:hAnsi="仿宋" w:eastAsia="仿宋_GB2312" w:cs="仿宋"/>
          <w:b/>
          <w:color w:val="auto"/>
          <w:sz w:val="24"/>
        </w:rPr>
        <w:t xml:space="preserve">2.11 </w:t>
      </w:r>
      <w:r>
        <w:rPr>
          <w:rFonts w:hint="eastAsia" w:ascii="仿宋_GB2312" w:hAnsi="仿宋" w:eastAsia="仿宋_GB2312" w:cs="仿宋"/>
          <w:b/>
          <w:color w:val="auto"/>
          <w:sz w:val="24"/>
        </w:rPr>
        <w:t>合同转让</w:t>
      </w:r>
      <w:bookmarkEnd w:id="108"/>
      <w:bookmarkEnd w:id="109"/>
      <w:bookmarkEnd w:id="110"/>
      <w:r>
        <w:rPr>
          <w:rFonts w:hint="eastAsia" w:ascii="仿宋_GB2312" w:hAnsi="仿宋" w:eastAsia="仿宋_GB2312" w:cs="仿宋"/>
          <w:b/>
          <w:color w:val="auto"/>
          <w:sz w:val="24"/>
        </w:rPr>
        <w:t>和分包</w:t>
      </w:r>
      <w:bookmarkEnd w:id="111"/>
      <w:bookmarkEnd w:id="112"/>
      <w:bookmarkEnd w:id="113"/>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2.11.2乙方采取分包方式履行合同的，甲方可直接向分包供应商支付款项。</w:t>
      </w:r>
    </w:p>
    <w:p>
      <w:pPr>
        <w:spacing w:line="440" w:lineRule="exact"/>
        <w:ind w:firstLine="482" w:firstLineChars="200"/>
        <w:outlineLvl w:val="0"/>
        <w:rPr>
          <w:rFonts w:ascii="仿宋_GB2312" w:hAnsi="仿宋" w:eastAsia="仿宋_GB2312" w:cs="仿宋"/>
          <w:b/>
          <w:color w:val="auto"/>
          <w:sz w:val="24"/>
        </w:rPr>
      </w:pPr>
      <w:bookmarkStart w:id="114" w:name="_Toc16508"/>
      <w:bookmarkStart w:id="115" w:name="_Toc14066"/>
      <w:bookmarkStart w:id="116" w:name="_Toc13566"/>
      <w:r>
        <w:rPr>
          <w:rFonts w:ascii="仿宋_GB2312" w:hAnsi="仿宋" w:eastAsia="仿宋_GB2312" w:cs="仿宋"/>
          <w:b/>
          <w:color w:val="auto"/>
          <w:sz w:val="24"/>
        </w:rPr>
        <w:t xml:space="preserve">2.12 </w:t>
      </w:r>
      <w:r>
        <w:rPr>
          <w:rFonts w:hint="eastAsia" w:ascii="仿宋_GB2312" w:hAnsi="仿宋" w:eastAsia="仿宋_GB2312" w:cs="仿宋"/>
          <w:b/>
          <w:color w:val="auto"/>
          <w:sz w:val="24"/>
        </w:rPr>
        <w:t>不可抗力</w:t>
      </w:r>
      <w:bookmarkEnd w:id="114"/>
      <w:bookmarkEnd w:id="115"/>
      <w:bookmarkEnd w:id="116"/>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2.12.1如果任何一方遭遇法律规定的不可抗力，致使合同履行受阻时，履行合同的期限应予延长，延长的期限应相当于不可抗力所影响的时间；</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2.12.2 </w:t>
      </w:r>
      <w:r>
        <w:rPr>
          <w:rFonts w:hint="eastAsia" w:ascii="仿宋_GB2312" w:hAnsi="仿宋" w:eastAsia="仿宋_GB2312" w:cs="仿宋"/>
          <w:color w:val="auto"/>
          <w:sz w:val="24"/>
        </w:rPr>
        <w:t>因不可抗力致使不能实现合同目的的，当事人可以解除合同；</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2.12.3 </w:t>
      </w:r>
      <w:r>
        <w:rPr>
          <w:rFonts w:hint="eastAsia" w:ascii="仿宋_GB2312" w:hAnsi="仿宋" w:eastAsia="仿宋_GB2312" w:cs="仿宋"/>
          <w:color w:val="auto"/>
          <w:sz w:val="24"/>
        </w:rPr>
        <w:t>因不可抗力致使合同有变更必要的，双方当事人应在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约定时间内以书面形式变更合同；</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2.12.4受不可抗力影响的一方在不可抗力发生后，应在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约定时间内以书面形式通知对方当事人，并在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约定时间内，将有关部门出具的证明文件送达对方当事人。</w:t>
      </w:r>
    </w:p>
    <w:p>
      <w:pPr>
        <w:spacing w:line="440" w:lineRule="exact"/>
        <w:ind w:firstLine="482" w:firstLineChars="200"/>
        <w:outlineLvl w:val="0"/>
        <w:rPr>
          <w:rFonts w:ascii="仿宋_GB2312" w:hAnsi="仿宋" w:eastAsia="仿宋_GB2312" w:cs="仿宋"/>
          <w:b/>
          <w:color w:val="auto"/>
          <w:sz w:val="24"/>
        </w:rPr>
      </w:pPr>
      <w:bookmarkStart w:id="117" w:name="_Toc279701255"/>
      <w:bookmarkStart w:id="118" w:name="_Toc6969"/>
      <w:bookmarkStart w:id="119" w:name="_Toc259093684"/>
      <w:bookmarkStart w:id="120" w:name="_Toc689"/>
      <w:bookmarkStart w:id="121" w:name="_Toc487900365"/>
      <w:bookmarkStart w:id="122" w:name="_Toc30676"/>
      <w:r>
        <w:rPr>
          <w:rFonts w:ascii="仿宋_GB2312" w:hAnsi="仿宋" w:eastAsia="仿宋_GB2312" w:cs="仿宋"/>
          <w:b/>
          <w:color w:val="auto"/>
          <w:sz w:val="24"/>
        </w:rPr>
        <w:t xml:space="preserve">2.13 </w:t>
      </w:r>
      <w:r>
        <w:rPr>
          <w:rFonts w:hint="eastAsia" w:ascii="仿宋_GB2312" w:hAnsi="仿宋" w:eastAsia="仿宋_GB2312" w:cs="仿宋"/>
          <w:b/>
          <w:color w:val="auto"/>
          <w:sz w:val="24"/>
        </w:rPr>
        <w:t>税费</w:t>
      </w:r>
      <w:bookmarkEnd w:id="117"/>
      <w:bookmarkEnd w:id="118"/>
      <w:bookmarkEnd w:id="119"/>
      <w:bookmarkEnd w:id="120"/>
      <w:bookmarkEnd w:id="121"/>
      <w:bookmarkEnd w:id="122"/>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与合同有关的一切税费，均按照中华人民共和国法律的相关规定。</w:t>
      </w:r>
    </w:p>
    <w:p>
      <w:pPr>
        <w:spacing w:line="440" w:lineRule="exact"/>
        <w:ind w:firstLine="482" w:firstLineChars="200"/>
        <w:outlineLvl w:val="0"/>
        <w:rPr>
          <w:rFonts w:ascii="仿宋_GB2312" w:hAnsi="仿宋" w:eastAsia="仿宋_GB2312" w:cs="仿宋"/>
          <w:b/>
          <w:color w:val="auto"/>
          <w:sz w:val="24"/>
        </w:rPr>
      </w:pPr>
      <w:bookmarkStart w:id="123" w:name="_Toc8298"/>
      <w:bookmarkStart w:id="124" w:name="_Toc7102"/>
      <w:bookmarkStart w:id="125" w:name="_Toc279701258"/>
      <w:bookmarkStart w:id="126" w:name="_Toc487900368"/>
      <w:bookmarkStart w:id="127" w:name="_Toc259093687"/>
      <w:bookmarkStart w:id="128" w:name="_Toc16959"/>
      <w:r>
        <w:rPr>
          <w:rFonts w:ascii="仿宋_GB2312" w:hAnsi="仿宋" w:eastAsia="仿宋_GB2312" w:cs="仿宋"/>
          <w:b/>
          <w:color w:val="auto"/>
          <w:sz w:val="24"/>
        </w:rPr>
        <w:t>2.14乙方破产</w:t>
      </w:r>
      <w:bookmarkEnd w:id="123"/>
      <w:bookmarkEnd w:id="124"/>
      <w:bookmarkEnd w:id="125"/>
      <w:bookmarkEnd w:id="126"/>
      <w:bookmarkEnd w:id="127"/>
      <w:bookmarkEnd w:id="128"/>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440" w:lineRule="exact"/>
        <w:ind w:firstLine="482" w:firstLineChars="200"/>
        <w:outlineLvl w:val="0"/>
        <w:rPr>
          <w:rFonts w:ascii="仿宋_GB2312" w:hAnsi="仿宋" w:eastAsia="仿宋_GB2312" w:cs="仿宋"/>
          <w:b/>
          <w:color w:val="auto"/>
          <w:sz w:val="24"/>
        </w:rPr>
      </w:pPr>
      <w:bookmarkStart w:id="129" w:name="_Toc6134"/>
      <w:bookmarkStart w:id="130" w:name="_Toc29333"/>
      <w:bookmarkStart w:id="131" w:name="_Toc15387"/>
      <w:r>
        <w:rPr>
          <w:rFonts w:ascii="仿宋_GB2312" w:hAnsi="仿宋" w:eastAsia="仿宋_GB2312" w:cs="仿宋"/>
          <w:b/>
          <w:color w:val="auto"/>
          <w:sz w:val="24"/>
        </w:rPr>
        <w:t xml:space="preserve">2.15 </w:t>
      </w:r>
      <w:r>
        <w:rPr>
          <w:rFonts w:hint="eastAsia" w:ascii="仿宋_GB2312" w:hAnsi="仿宋" w:eastAsia="仿宋_GB2312" w:cs="仿宋"/>
          <w:b/>
          <w:color w:val="auto"/>
          <w:sz w:val="24"/>
        </w:rPr>
        <w:t>合同中止、终止</w:t>
      </w:r>
      <w:bookmarkEnd w:id="129"/>
      <w:bookmarkEnd w:id="130"/>
      <w:bookmarkEnd w:id="131"/>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2.15.1 </w:t>
      </w:r>
      <w:r>
        <w:rPr>
          <w:rFonts w:hint="eastAsia" w:ascii="仿宋_GB2312" w:hAnsi="仿宋" w:eastAsia="仿宋_GB2312" w:cs="仿宋"/>
          <w:color w:val="auto"/>
          <w:sz w:val="24"/>
        </w:rPr>
        <w:t>双方当事人不得擅自中止或者终止合同；</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440" w:lineRule="exact"/>
        <w:ind w:firstLine="482" w:firstLineChars="200"/>
        <w:outlineLvl w:val="0"/>
        <w:rPr>
          <w:rFonts w:ascii="仿宋_GB2312" w:hAnsi="仿宋" w:eastAsia="仿宋_GB2312" w:cs="仿宋"/>
          <w:b/>
          <w:color w:val="auto"/>
          <w:sz w:val="24"/>
        </w:rPr>
      </w:pPr>
      <w:bookmarkStart w:id="132" w:name="_Toc6596"/>
      <w:bookmarkStart w:id="133" w:name="_Toc1125"/>
      <w:bookmarkStart w:id="134" w:name="_Toc14563"/>
      <w:r>
        <w:rPr>
          <w:rFonts w:ascii="仿宋_GB2312" w:hAnsi="仿宋" w:eastAsia="仿宋_GB2312" w:cs="仿宋"/>
          <w:b/>
          <w:color w:val="auto"/>
          <w:sz w:val="24"/>
        </w:rPr>
        <w:t>2.16检验和验收</w:t>
      </w:r>
      <w:bookmarkEnd w:id="132"/>
      <w:bookmarkEnd w:id="133"/>
      <w:bookmarkEnd w:id="134"/>
    </w:p>
    <w:p>
      <w:pPr>
        <w:tabs>
          <w:tab w:val="left" w:pos="360"/>
          <w:tab w:val="left" w:pos="540"/>
          <w:tab w:val="left" w:pos="1080"/>
        </w:tabs>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约定时间内组织验收，并可依法邀请相关方参加，验收应出具验收书。</w:t>
      </w:r>
    </w:p>
    <w:p>
      <w:pPr>
        <w:tabs>
          <w:tab w:val="left" w:pos="360"/>
          <w:tab w:val="left" w:pos="540"/>
          <w:tab w:val="left" w:pos="1080"/>
        </w:tabs>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2.16.3 </w:t>
      </w:r>
      <w:r>
        <w:rPr>
          <w:rFonts w:hint="eastAsia" w:ascii="仿宋_GB2312" w:hAnsi="仿宋" w:eastAsia="仿宋_GB2312" w:cs="仿宋"/>
          <w:color w:val="auto"/>
          <w:sz w:val="24"/>
        </w:rPr>
        <w:t>检验和验收标准、程序等具体内容以及前述验收书的效力详见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i/>
          <w:color w:val="auto"/>
          <w:sz w:val="24"/>
        </w:rPr>
        <w:t>。</w:t>
      </w:r>
    </w:p>
    <w:bookmarkEnd w:id="104"/>
    <w:bookmarkEnd w:id="105"/>
    <w:bookmarkEnd w:id="106"/>
    <w:bookmarkEnd w:id="107"/>
    <w:p>
      <w:pPr>
        <w:spacing w:line="440" w:lineRule="exact"/>
        <w:ind w:firstLine="482" w:firstLineChars="200"/>
        <w:outlineLvl w:val="0"/>
        <w:rPr>
          <w:rFonts w:ascii="仿宋_GB2312" w:hAnsi="仿宋" w:eastAsia="仿宋_GB2312" w:cs="仿宋"/>
          <w:b/>
          <w:color w:val="auto"/>
          <w:sz w:val="24"/>
        </w:rPr>
      </w:pPr>
      <w:bookmarkStart w:id="135" w:name="_Toc259093690"/>
      <w:bookmarkStart w:id="136" w:name="_Toc487900371"/>
      <w:bookmarkStart w:id="137" w:name="_Toc279701261"/>
      <w:bookmarkStart w:id="138" w:name="_Toc11284"/>
      <w:bookmarkStart w:id="139" w:name="_Toc19604"/>
      <w:bookmarkStart w:id="140" w:name="_Toc25182"/>
      <w:r>
        <w:rPr>
          <w:rFonts w:ascii="仿宋_GB2312" w:hAnsi="仿宋" w:eastAsia="仿宋_GB2312" w:cs="仿宋"/>
          <w:b/>
          <w:color w:val="auto"/>
          <w:sz w:val="24"/>
        </w:rPr>
        <w:t xml:space="preserve">2.17 </w:t>
      </w:r>
      <w:r>
        <w:rPr>
          <w:rFonts w:hint="eastAsia" w:ascii="仿宋_GB2312" w:hAnsi="仿宋" w:eastAsia="仿宋_GB2312" w:cs="仿宋"/>
          <w:b/>
          <w:color w:val="auto"/>
          <w:sz w:val="24"/>
        </w:rPr>
        <w:t>通知</w:t>
      </w:r>
      <w:bookmarkEnd w:id="135"/>
      <w:bookmarkEnd w:id="136"/>
      <w:bookmarkEnd w:id="137"/>
      <w:r>
        <w:rPr>
          <w:rFonts w:hint="eastAsia" w:ascii="仿宋_GB2312" w:hAnsi="仿宋" w:eastAsia="仿宋_GB2312" w:cs="仿宋"/>
          <w:b/>
          <w:color w:val="auto"/>
          <w:sz w:val="24"/>
        </w:rPr>
        <w:t>和送达</w:t>
      </w:r>
      <w:bookmarkEnd w:id="138"/>
      <w:bookmarkEnd w:id="139"/>
      <w:bookmarkEnd w:id="140"/>
    </w:p>
    <w:p>
      <w:pPr>
        <w:spacing w:line="440" w:lineRule="exact"/>
        <w:ind w:firstLine="480" w:firstLineChars="200"/>
        <w:rPr>
          <w:rFonts w:ascii="仿宋_GB2312" w:hAnsi="仿宋" w:eastAsia="仿宋_GB2312" w:cs="仿宋"/>
          <w:color w:val="auto"/>
          <w:sz w:val="24"/>
        </w:rPr>
      </w:pPr>
      <w:bookmarkStart w:id="141" w:name="_Toc3135"/>
      <w:bookmarkStart w:id="142" w:name="_Toc6698"/>
      <w:bookmarkStart w:id="143" w:name="_Toc279701262"/>
      <w:bookmarkStart w:id="144" w:name="_Toc259093691"/>
      <w:bookmarkStart w:id="145" w:name="_Toc487900372"/>
      <w:r>
        <w:rPr>
          <w:rFonts w:ascii="仿宋_GB2312" w:hAnsi="仿宋" w:eastAsia="仿宋_GB2312" w:cs="仿宋"/>
          <w:color w:val="auto"/>
          <w:sz w:val="24"/>
        </w:rPr>
        <w:t xml:space="preserve">2.17.1任何一方因履行合同而以合同第一部分尾部所列明的传真或电子邮件 </w:t>
      </w:r>
      <w:r>
        <w:rPr>
          <w:rFonts w:hint="eastAsia" w:ascii="仿宋_GB2312" w:hAnsi="仿宋" w:eastAsia="仿宋_GB2312" w:cs="仿宋"/>
          <w:color w:val="auto"/>
          <w:sz w:val="24"/>
        </w:rPr>
        <w:t>发出的所有通知、文件、材料，均视为已向对方当事人送达；任何一方变更上述送达方式或者地址的，应于</w:t>
      </w:r>
      <w:r>
        <w:rPr>
          <w:rFonts w:ascii="仿宋_GB2312" w:hAnsi="仿宋" w:eastAsia="仿宋_GB2312" w:cs="仿宋"/>
          <w:color w:val="auto"/>
          <w:sz w:val="24"/>
          <w:u w:val="single"/>
        </w:rPr>
        <w:t>3</w:t>
      </w:r>
      <w:r>
        <w:rPr>
          <w:rFonts w:hint="eastAsia" w:ascii="仿宋_GB2312" w:hAnsi="仿宋" w:eastAsia="仿宋_GB2312" w:cs="仿宋"/>
          <w:color w:val="auto"/>
          <w:sz w:val="24"/>
        </w:rPr>
        <w:t>个工作日内书面通知对方当事人，在对方当事人收到有关变更通知之前，变更前的约定送达方式或者地址仍视为有效。</w:t>
      </w:r>
      <w:bookmarkEnd w:id="141"/>
      <w:bookmarkEnd w:id="142"/>
    </w:p>
    <w:p>
      <w:pPr>
        <w:spacing w:line="440" w:lineRule="exact"/>
        <w:ind w:firstLine="480" w:firstLineChars="200"/>
        <w:rPr>
          <w:rFonts w:ascii="仿宋_GB2312" w:hAnsi="仿宋" w:eastAsia="仿宋_GB2312" w:cs="仿宋"/>
          <w:color w:val="auto"/>
          <w:sz w:val="24"/>
        </w:rPr>
      </w:pPr>
      <w:bookmarkStart w:id="146" w:name="_Toc23294"/>
      <w:bookmarkStart w:id="147" w:name="_Toc23128"/>
      <w:r>
        <w:rPr>
          <w:rFonts w:ascii="仿宋_GB2312" w:hAnsi="仿宋" w:eastAsia="仿宋_GB2312"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440" w:lineRule="exact"/>
        <w:ind w:firstLine="482" w:firstLineChars="200"/>
        <w:outlineLvl w:val="0"/>
        <w:rPr>
          <w:rFonts w:ascii="仿宋_GB2312" w:hAnsi="仿宋" w:eastAsia="仿宋_GB2312" w:cs="仿宋"/>
          <w:b/>
          <w:color w:val="auto"/>
          <w:sz w:val="24"/>
        </w:rPr>
      </w:pPr>
      <w:bookmarkStart w:id="148" w:name="_Toc4355"/>
      <w:bookmarkStart w:id="149" w:name="_Toc18540"/>
      <w:bookmarkStart w:id="150" w:name="_Toc30599"/>
      <w:r>
        <w:rPr>
          <w:rFonts w:ascii="仿宋_GB2312" w:hAnsi="仿宋" w:eastAsia="仿宋_GB2312" w:cs="仿宋"/>
          <w:b/>
          <w:color w:val="auto"/>
          <w:sz w:val="24"/>
        </w:rPr>
        <w:t xml:space="preserve">2.18 </w:t>
      </w:r>
      <w:r>
        <w:rPr>
          <w:rFonts w:hint="eastAsia" w:ascii="仿宋_GB2312" w:hAnsi="仿宋" w:eastAsia="仿宋_GB2312" w:cs="仿宋"/>
          <w:b/>
          <w:color w:val="auto"/>
          <w:sz w:val="24"/>
        </w:rPr>
        <w:t>计量单位</w:t>
      </w:r>
      <w:bookmarkEnd w:id="143"/>
      <w:bookmarkEnd w:id="144"/>
      <w:bookmarkEnd w:id="145"/>
      <w:bookmarkEnd w:id="148"/>
      <w:bookmarkEnd w:id="149"/>
      <w:bookmarkEnd w:id="150"/>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除技术规范中另有规定外</w:t>
      </w:r>
      <w:r>
        <w:rPr>
          <w:rFonts w:ascii="仿宋_GB2312" w:hAnsi="仿宋" w:eastAsia="仿宋_GB2312" w:cs="仿宋"/>
          <w:color w:val="auto"/>
          <w:sz w:val="24"/>
        </w:rPr>
        <w:t>,合同的计量单位均使用国家法定计量单位。</w:t>
      </w:r>
    </w:p>
    <w:p>
      <w:pPr>
        <w:spacing w:line="440" w:lineRule="exact"/>
        <w:ind w:firstLine="482" w:firstLineChars="200"/>
        <w:outlineLvl w:val="0"/>
        <w:rPr>
          <w:rFonts w:ascii="仿宋_GB2312" w:hAnsi="仿宋" w:eastAsia="仿宋_GB2312" w:cs="仿宋"/>
          <w:b/>
          <w:color w:val="auto"/>
          <w:sz w:val="24"/>
        </w:rPr>
      </w:pPr>
      <w:bookmarkStart w:id="151" w:name="_Toc259093692"/>
      <w:bookmarkStart w:id="152" w:name="_Toc12773"/>
      <w:bookmarkStart w:id="153" w:name="_Toc18567"/>
      <w:bookmarkStart w:id="154" w:name="_Toc279701263"/>
      <w:bookmarkStart w:id="155" w:name="_Toc10330"/>
      <w:bookmarkStart w:id="156" w:name="_Toc487900373"/>
      <w:r>
        <w:rPr>
          <w:rFonts w:ascii="仿宋_GB2312" w:hAnsi="仿宋" w:eastAsia="仿宋_GB2312" w:cs="仿宋"/>
          <w:b/>
          <w:color w:val="auto"/>
          <w:sz w:val="24"/>
        </w:rPr>
        <w:t xml:space="preserve">2.19 </w:t>
      </w:r>
      <w:r>
        <w:rPr>
          <w:rFonts w:hint="eastAsia" w:ascii="仿宋_GB2312" w:hAnsi="仿宋" w:eastAsia="仿宋_GB2312" w:cs="仿宋"/>
          <w:b/>
          <w:color w:val="auto"/>
          <w:sz w:val="24"/>
        </w:rPr>
        <w:t>合同使用的文字和适用的法律</w:t>
      </w:r>
      <w:bookmarkEnd w:id="151"/>
      <w:bookmarkEnd w:id="152"/>
      <w:bookmarkEnd w:id="153"/>
      <w:bookmarkEnd w:id="154"/>
      <w:bookmarkEnd w:id="155"/>
      <w:bookmarkEnd w:id="156"/>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2.19.1 </w:t>
      </w:r>
      <w:r>
        <w:rPr>
          <w:rFonts w:hint="eastAsia" w:ascii="仿宋_GB2312" w:hAnsi="仿宋" w:eastAsia="仿宋_GB2312" w:cs="仿宋"/>
          <w:color w:val="auto"/>
          <w:sz w:val="24"/>
        </w:rPr>
        <w:t>合同使用汉语书就、变更和解释；</w:t>
      </w:r>
    </w:p>
    <w:p>
      <w:pPr>
        <w:spacing w:line="44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2.19.2 </w:t>
      </w:r>
      <w:r>
        <w:rPr>
          <w:rFonts w:hint="eastAsia" w:ascii="仿宋_GB2312" w:hAnsi="仿宋" w:eastAsia="仿宋_GB2312" w:cs="仿宋"/>
          <w:color w:val="auto"/>
          <w:sz w:val="24"/>
        </w:rPr>
        <w:t>合同适用中华人民共和国法律。</w:t>
      </w:r>
    </w:p>
    <w:p>
      <w:pPr>
        <w:spacing w:line="440" w:lineRule="exact"/>
        <w:ind w:firstLine="482" w:firstLineChars="200"/>
        <w:outlineLvl w:val="0"/>
        <w:rPr>
          <w:rFonts w:ascii="仿宋_GB2312" w:hAnsi="仿宋" w:eastAsia="仿宋_GB2312" w:cs="仿宋"/>
          <w:b/>
          <w:color w:val="auto"/>
          <w:sz w:val="24"/>
        </w:rPr>
      </w:pPr>
      <w:bookmarkStart w:id="157" w:name="_Toc14001"/>
      <w:bookmarkStart w:id="158" w:name="_Toc19890"/>
      <w:bookmarkStart w:id="159" w:name="_Toc6885"/>
      <w:r>
        <w:rPr>
          <w:rFonts w:ascii="仿宋_GB2312" w:hAnsi="仿宋" w:eastAsia="仿宋_GB2312" w:cs="仿宋"/>
          <w:b/>
          <w:color w:val="auto"/>
          <w:sz w:val="24"/>
        </w:rPr>
        <w:t xml:space="preserve">2.20 </w:t>
      </w:r>
      <w:r>
        <w:rPr>
          <w:rFonts w:hint="eastAsia" w:ascii="仿宋_GB2312" w:hAnsi="仿宋" w:eastAsia="仿宋_GB2312" w:cs="仿宋"/>
          <w:b/>
          <w:color w:val="auto"/>
          <w:sz w:val="24"/>
        </w:rPr>
        <w:t>合同份数</w:t>
      </w:r>
      <w:bookmarkEnd w:id="157"/>
      <w:bookmarkEnd w:id="158"/>
      <w:bookmarkEnd w:id="159"/>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合同份数按</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规定，每份均具有同等法律效力。</w:t>
      </w:r>
    </w:p>
    <w:p>
      <w:pPr>
        <w:spacing w:line="440" w:lineRule="exact"/>
        <w:ind w:firstLine="480" w:firstLineChars="200"/>
        <w:jc w:val="center"/>
        <w:outlineLvl w:val="0"/>
        <w:rPr>
          <w:rFonts w:ascii="仿宋_GB2312" w:hAnsi="仿宋" w:eastAsia="仿宋_GB2312" w:cs="仿宋"/>
          <w:b/>
          <w:color w:val="auto"/>
        </w:rPr>
      </w:pPr>
      <w:r>
        <w:rPr>
          <w:rFonts w:ascii="仿宋_GB2312" w:hAnsi="仿宋" w:eastAsia="仿宋_GB2312" w:cs="仿宋"/>
          <w:color w:val="auto"/>
          <w:sz w:val="24"/>
        </w:rPr>
        <w:br w:type="page"/>
      </w:r>
      <w:r>
        <w:rPr>
          <w:rFonts w:hint="eastAsia" w:ascii="仿宋_GB2312" w:hAnsi="仿宋" w:eastAsia="仿宋_GB2312" w:cs="仿宋"/>
          <w:b/>
          <w:color w:val="auto"/>
          <w:sz w:val="24"/>
        </w:rPr>
        <w:t>第三部分合同专用条款</w:t>
      </w:r>
    </w:p>
    <w:p>
      <w:pPr>
        <w:spacing w:line="440" w:lineRule="exact"/>
        <w:ind w:left="-420" w:leftChars="-200" w:right="-420" w:rightChars="-200" w:firstLine="480" w:firstLineChars="200"/>
        <w:rPr>
          <w:rFonts w:ascii="仿宋_GB2312" w:hAnsi="仿宋" w:eastAsia="仿宋_GB2312" w:cs="仿宋"/>
          <w:color w:val="auto"/>
        </w:rPr>
      </w:pPr>
      <w:r>
        <w:rPr>
          <w:rFonts w:hint="eastAsia" w:ascii="仿宋_GB2312" w:hAnsi="仿宋" w:eastAsia="仿宋_GB2312"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条款号</w:t>
            </w:r>
          </w:p>
        </w:tc>
        <w:tc>
          <w:tcPr>
            <w:tcW w:w="8176"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1.4.2</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1.5.1</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 xml:space="preserve">1.5.2 </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1.5.3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1.6.2</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1.7.1</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1.7.2</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1.7.3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1.8.6</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2.4.3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rPr>
            </w:pPr>
            <w:r>
              <w:rPr>
                <w:rFonts w:ascii="仿宋_GB2312" w:hAnsi="仿宋" w:eastAsia="仿宋_GB2312" w:cs="仿宋"/>
                <w:color w:val="auto"/>
                <w:sz w:val="24"/>
              </w:rPr>
              <w:t xml:space="preserve">2.8 </w:t>
            </w:r>
          </w:p>
        </w:tc>
        <w:tc>
          <w:tcPr>
            <w:tcW w:w="8176" w:type="dxa"/>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2.12.3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2.12.4</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2.16.1</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ascii="仿宋_GB2312" w:hAnsi="仿宋" w:eastAsia="仿宋_GB2312" w:cs="仿宋"/>
                <w:color w:val="auto"/>
                <w:sz w:val="24"/>
              </w:rPr>
              <w:t>2.16.3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rPr>
            </w:pPr>
            <w:r>
              <w:rPr>
                <w:rFonts w:ascii="仿宋_GB2312" w:hAnsi="仿宋" w:eastAsia="仿宋_GB2312" w:cs="仿宋"/>
                <w:color w:val="auto"/>
                <w:sz w:val="24"/>
              </w:rPr>
              <w:t xml:space="preserve">2.20 </w:t>
            </w:r>
          </w:p>
        </w:tc>
        <w:tc>
          <w:tcPr>
            <w:tcW w:w="8176" w:type="dxa"/>
            <w:vAlign w:val="center"/>
          </w:tcPr>
          <w:p>
            <w:pPr>
              <w:spacing w:line="360" w:lineRule="auto"/>
              <w:rPr>
                <w:rFonts w:ascii="仿宋_GB2312" w:hAnsi="仿宋" w:eastAsia="仿宋_GB2312" w:cs="仿宋"/>
                <w:color w:val="auto"/>
                <w:sz w:val="24"/>
              </w:rPr>
            </w:pPr>
          </w:p>
        </w:tc>
      </w:tr>
    </w:tbl>
    <w:p>
      <w:pPr>
        <w:rPr>
          <w:rFonts w:ascii="仿宋_GB2312" w:hAnsi="仿宋" w:eastAsia="仿宋_GB2312" w:cs="仿宋"/>
          <w:color w:val="auto"/>
        </w:rPr>
      </w:pPr>
    </w:p>
    <w:p>
      <w:pPr>
        <w:rPr>
          <w:rFonts w:ascii="仿宋_GB2312" w:hAnsi="仿宋_GB2312" w:eastAsia="仿宋_GB2312" w:cs="仿宋_GB2312"/>
          <w:color w:val="auto"/>
        </w:rPr>
      </w:pPr>
    </w:p>
    <w:p>
      <w:pPr>
        <w:rPr>
          <w:rFonts w:ascii="仿宋_GB2312" w:hAnsi="仿宋_GB2312" w:eastAsia="仿宋_GB2312" w:cs="仿宋_GB2312"/>
          <w:color w:val="auto"/>
        </w:rPr>
      </w:pPr>
    </w:p>
    <w:p>
      <w:pPr>
        <w:rPr>
          <w:rFonts w:ascii="仿宋_GB2312" w:hAnsi="仿宋_GB2312" w:eastAsia="仿宋_GB2312" w:cs="仿宋_GB2312"/>
          <w:color w:val="auto"/>
        </w:rPr>
      </w:pPr>
    </w:p>
    <w:p>
      <w:pPr>
        <w:pStyle w:val="32"/>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第五部分评标方法及标准</w:t>
      </w:r>
    </w:p>
    <w:p>
      <w:pPr>
        <w:spacing w:line="440" w:lineRule="exact"/>
        <w:jc w:val="left"/>
        <w:rPr>
          <w:rFonts w:ascii="仿宋_GB2312" w:hAnsi="仿宋" w:eastAsia="仿宋_GB2312" w:cs="仿宋"/>
          <w:b/>
          <w:color w:val="auto"/>
          <w:sz w:val="24"/>
        </w:rPr>
      </w:pPr>
      <w:r>
        <w:rPr>
          <w:rFonts w:ascii="仿宋_GB2312" w:hAnsi="仿宋" w:eastAsia="仿宋_GB2312" w:cs="仿宋"/>
          <w:b/>
          <w:color w:val="auto"/>
          <w:sz w:val="24"/>
        </w:rPr>
        <w:t>1、评标方法：</w:t>
      </w:r>
    </w:p>
    <w:p>
      <w:pPr>
        <w:spacing w:line="440" w:lineRule="exact"/>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rPr>
      </w:pPr>
      <w:r>
        <w:rPr>
          <w:rFonts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
      </w:pPr>
      <w:r>
        <w:rPr>
          <w:rFonts w:ascii="仿宋_GB2312" w:hAnsi="宋体" w:eastAsia="仿宋_GB2312"/>
          <w:b/>
          <w:color w:val="auto"/>
          <w:sz w:val="24"/>
        </w:rPr>
        <w:t>2.评分标准：</w:t>
      </w:r>
      <w:r>
        <w:rPr>
          <w:rFonts w:hint="eastAsia" w:ascii="仿宋_GB2312" w:hAnsi="宋体" w:eastAsia="仿宋_GB2312"/>
          <w:color w:val="auto"/>
          <w:sz w:val="24"/>
        </w:rPr>
        <w:t>共</w:t>
      </w:r>
      <w:r>
        <w:rPr>
          <w:rFonts w:ascii="仿宋_GB2312" w:hAnsi="宋体" w:eastAsia="仿宋_GB2312"/>
          <w:color w:val="auto"/>
          <w:sz w:val="24"/>
        </w:rPr>
        <w:t>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color w:val="auto"/>
          <w:sz w:val="24"/>
        </w:rPr>
      </w:pPr>
      <w:r>
        <w:rPr>
          <w:rFonts w:ascii="仿宋_GB2312" w:hAnsi="宋体" w:eastAsia="仿宋_GB2312"/>
          <w:b/>
          <w:bCs/>
          <w:iCs/>
          <w:color w:val="auto"/>
          <w:sz w:val="24"/>
        </w:rPr>
        <w:t>2.1商务技术分（70分）</w:t>
      </w:r>
    </w:p>
    <w:tbl>
      <w:tblPr>
        <w:tblStyle w:val="64"/>
        <w:tblW w:w="10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46"/>
        <w:gridCol w:w="6886"/>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76" w:type="dxa"/>
            <w:vAlign w:val="center"/>
          </w:tcPr>
          <w:p>
            <w:pPr>
              <w:snapToGrid w:val="0"/>
              <w:spacing w:line="288"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序号</w:t>
            </w:r>
          </w:p>
        </w:tc>
        <w:tc>
          <w:tcPr>
            <w:tcW w:w="1246" w:type="dxa"/>
            <w:vAlign w:val="center"/>
          </w:tcPr>
          <w:p>
            <w:pPr>
              <w:snapToGrid w:val="0"/>
              <w:spacing w:line="288"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评分项</w:t>
            </w:r>
          </w:p>
        </w:tc>
        <w:tc>
          <w:tcPr>
            <w:tcW w:w="6886" w:type="dxa"/>
            <w:vAlign w:val="center"/>
          </w:tcPr>
          <w:p>
            <w:pPr>
              <w:snapToGrid w:val="0"/>
              <w:spacing w:line="288"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评审依据及标准</w:t>
            </w:r>
          </w:p>
        </w:tc>
        <w:tc>
          <w:tcPr>
            <w:tcW w:w="1005" w:type="dxa"/>
            <w:vAlign w:val="center"/>
          </w:tcPr>
          <w:p>
            <w:pPr>
              <w:snapToGrid w:val="0"/>
              <w:spacing w:line="288"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76" w:type="dxa"/>
            <w:vAlign w:val="center"/>
          </w:tcPr>
          <w:p>
            <w:pPr>
              <w:snapToGrid w:val="0"/>
              <w:spacing w:line="288"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w:t>
            </w:r>
          </w:p>
        </w:tc>
        <w:tc>
          <w:tcPr>
            <w:tcW w:w="1246" w:type="dxa"/>
            <w:vAlign w:val="center"/>
          </w:tcPr>
          <w:p>
            <w:pPr>
              <w:snapToGrid w:val="0"/>
              <w:spacing w:line="288"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企业业绩</w:t>
            </w:r>
          </w:p>
        </w:tc>
        <w:tc>
          <w:tcPr>
            <w:tcW w:w="6886" w:type="dxa"/>
            <w:vAlign w:val="center"/>
          </w:tcPr>
          <w:p>
            <w:pPr>
              <w:snapToGrid w:val="0"/>
              <w:spacing w:line="288"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投标人</w:t>
            </w:r>
            <w:r>
              <w:rPr>
                <w:rFonts w:hint="eastAsia" w:ascii="仿宋_GB2312" w:hAnsi="仿宋_GB2312" w:eastAsia="仿宋_GB2312" w:cs="仿宋_GB2312"/>
                <w:color w:val="auto"/>
                <w:sz w:val="24"/>
              </w:rPr>
              <w:t>自2021年</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月1日以来（以合同签订时间为准）完成的同类案例，每有1个得1分，满分3分。</w:t>
            </w:r>
          </w:p>
          <w:p>
            <w:pPr>
              <w:snapToGrid w:val="0"/>
              <w:spacing w:line="288"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w:t>
            </w:r>
            <w:r>
              <w:rPr>
                <w:rFonts w:hint="eastAsia" w:ascii="仿宋_GB2312" w:hAnsi="仿宋_GB2312" w:eastAsia="仿宋_GB2312" w:cs="仿宋_GB2312"/>
                <w:color w:val="auto"/>
                <w:sz w:val="24"/>
                <w:lang w:val="en-US" w:eastAsia="zh-CN"/>
              </w:rPr>
              <w:t>1</w:t>
            </w:r>
            <w:r>
              <w:rPr>
                <w:rFonts w:hint="eastAsia" w:ascii="仿宋_GB2312" w:hAnsi="仿宋_GB2312" w:eastAsia="仿宋_GB2312" w:cs="仿宋_GB2312"/>
                <w:color w:val="auto"/>
                <w:sz w:val="24"/>
              </w:rPr>
              <w:t>每个案例提供合同</w:t>
            </w:r>
            <w:r>
              <w:rPr>
                <w:rFonts w:hint="eastAsia" w:ascii="仿宋_GB2312" w:hAnsi="仿宋_GB2312" w:eastAsia="仿宋_GB2312" w:cs="仿宋_GB2312"/>
                <w:color w:val="auto"/>
                <w:sz w:val="24"/>
                <w:lang w:val="en-US" w:eastAsia="zh-CN"/>
              </w:rPr>
              <w:t>和验收报告的复印件，并</w:t>
            </w:r>
            <w:r>
              <w:rPr>
                <w:rFonts w:hint="eastAsia" w:ascii="仿宋_GB2312" w:hAnsi="仿宋_GB2312" w:eastAsia="仿宋_GB2312" w:cs="仿宋_GB2312"/>
                <w:color w:val="auto"/>
                <w:sz w:val="24"/>
              </w:rPr>
              <w:t>加盖</w:t>
            </w:r>
            <w:r>
              <w:rPr>
                <w:rFonts w:hint="eastAsia" w:ascii="仿宋_GB2312" w:hAnsi="仿宋_GB2312" w:eastAsia="仿宋_GB2312" w:cs="仿宋_GB2312"/>
                <w:color w:val="auto"/>
                <w:sz w:val="24"/>
                <w:lang w:val="en-US" w:eastAsia="zh-CN"/>
              </w:rPr>
              <w:t>投标人</w:t>
            </w:r>
            <w:r>
              <w:rPr>
                <w:rFonts w:hint="eastAsia" w:ascii="仿宋_GB2312" w:hAnsi="仿宋_GB2312" w:eastAsia="仿宋_GB2312" w:cs="仿宋_GB2312"/>
                <w:color w:val="auto"/>
                <w:sz w:val="24"/>
              </w:rPr>
              <w:t>公章。</w:t>
            </w:r>
          </w:p>
          <w:p>
            <w:pPr>
              <w:snapToGrid w:val="0"/>
              <w:spacing w:line="288" w:lineRule="auto"/>
              <w:rPr>
                <w:color w:val="auto"/>
              </w:rPr>
            </w:pPr>
            <w:r>
              <w:rPr>
                <w:rFonts w:hint="eastAsia"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tc>
        <w:tc>
          <w:tcPr>
            <w:tcW w:w="1005" w:type="dxa"/>
            <w:vAlign w:val="center"/>
          </w:tcPr>
          <w:p>
            <w:pPr>
              <w:snapToGrid w:val="0"/>
              <w:spacing w:line="288"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76" w:type="dxa"/>
            <w:vAlign w:val="center"/>
          </w:tcPr>
          <w:p>
            <w:pPr>
              <w:snapToGrid w:val="0"/>
              <w:spacing w:line="288" w:lineRule="auto"/>
              <w:ind w:left="105" w:leftChars="50" w:right="105" w:rightChars="5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p>
        </w:tc>
        <w:tc>
          <w:tcPr>
            <w:tcW w:w="1246" w:type="dxa"/>
            <w:vAlign w:val="center"/>
          </w:tcPr>
          <w:p>
            <w:pPr>
              <w:snapToGrid w:val="0"/>
              <w:spacing w:line="288" w:lineRule="auto"/>
              <w:ind w:left="105" w:leftChars="50" w:right="105" w:rightChars="5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企业相关资质</w:t>
            </w:r>
          </w:p>
        </w:tc>
        <w:tc>
          <w:tcPr>
            <w:tcW w:w="6886" w:type="dxa"/>
            <w:vAlign w:val="center"/>
          </w:tcPr>
          <w:p>
            <w:pPr>
              <w:numPr>
                <w:ilvl w:val="0"/>
                <w:numId w:val="0"/>
              </w:numPr>
              <w:autoSpaceDE w:val="0"/>
              <w:autoSpaceDN w:val="0"/>
              <w:adjustRightInd w:val="0"/>
              <w:snapToGrid w:val="0"/>
              <w:spacing w:line="288" w:lineRule="auto"/>
              <w:jc w:val="left"/>
              <w:textAlignment w:val="baseline"/>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根据投标人企业认证证书等方面由评标委员会打分，0-5分。</w:t>
            </w:r>
          </w:p>
          <w:p>
            <w:pPr>
              <w:numPr>
                <w:ilvl w:val="0"/>
                <w:numId w:val="0"/>
              </w:num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投标文件中提供相关证书复印件加盖投标人公章。</w:t>
            </w:r>
          </w:p>
        </w:tc>
        <w:tc>
          <w:tcPr>
            <w:tcW w:w="1005" w:type="dxa"/>
            <w:vAlign w:val="center"/>
          </w:tcPr>
          <w:p>
            <w:pPr>
              <w:snapToGrid w:val="0"/>
              <w:spacing w:line="288" w:lineRule="auto"/>
              <w:ind w:left="105" w:leftChars="50" w:right="105" w:rightChars="5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876" w:type="dxa"/>
            <w:vAlign w:val="center"/>
          </w:tcPr>
          <w:p>
            <w:pPr>
              <w:snapToGrid w:val="0"/>
              <w:spacing w:line="288" w:lineRule="auto"/>
              <w:ind w:left="105" w:leftChars="50" w:right="105" w:rightChars="5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p>
        </w:tc>
        <w:tc>
          <w:tcPr>
            <w:tcW w:w="1246" w:type="dxa"/>
            <w:vAlign w:val="center"/>
          </w:tcPr>
          <w:p>
            <w:pPr>
              <w:snapToGrid w:val="0"/>
              <w:spacing w:line="288" w:lineRule="auto"/>
              <w:ind w:left="105" w:leftChars="50" w:right="105" w:rightChars="5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设备技术要求</w:t>
            </w:r>
          </w:p>
        </w:tc>
        <w:tc>
          <w:tcPr>
            <w:tcW w:w="6886" w:type="dxa"/>
            <w:vAlign w:val="center"/>
          </w:tcPr>
          <w:p>
            <w:pPr>
              <w:snapToGrid w:val="0"/>
              <w:spacing w:line="288" w:lineRule="auto"/>
              <w:ind w:right="105" w:rightChars="5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投标人提供的产品主要参数满足招标文件参数要求的得14分，每一项负偏离扣1分,扣完为止。</w:t>
            </w:r>
          </w:p>
          <w:p>
            <w:pPr>
              <w:snapToGrid w:val="0"/>
              <w:spacing w:line="288" w:lineRule="auto"/>
              <w:ind w:right="105" w:rightChars="50"/>
              <w:rPr>
                <w:rFonts w:ascii="仿宋_GB2312" w:hAnsi="仿宋_GB2312" w:eastAsia="仿宋_GB2312" w:cs="仿宋_GB2312"/>
                <w:color w:val="auto"/>
                <w:sz w:val="24"/>
              </w:rPr>
            </w:pPr>
            <w:r>
              <w:rPr>
                <w:rFonts w:hint="eastAsia" w:ascii="仿宋_GB2312" w:hAnsi="仿宋_GB2312" w:eastAsia="仿宋_GB2312" w:cs="仿宋_GB2312"/>
                <w:color w:val="auto"/>
                <w:sz w:val="24"/>
              </w:rPr>
              <w:t>招标清单中要求提供相关证明材料，若未按招标清单要求提供相关证明材料的视为负偏离</w:t>
            </w:r>
            <w:r>
              <w:rPr>
                <w:rFonts w:hint="eastAsia" w:ascii="仿宋_GB2312" w:hAnsi="仿宋_GB2312" w:eastAsia="仿宋_GB2312" w:cs="仿宋_GB2312"/>
                <w:color w:val="auto"/>
                <w:szCs w:val="21"/>
              </w:rPr>
              <w:t>。</w:t>
            </w:r>
          </w:p>
        </w:tc>
        <w:tc>
          <w:tcPr>
            <w:tcW w:w="1005" w:type="dxa"/>
            <w:vAlign w:val="center"/>
          </w:tcPr>
          <w:p>
            <w:pPr>
              <w:widowControl/>
              <w:snapToGrid w:val="0"/>
              <w:spacing w:line="288" w:lineRule="auto"/>
              <w:jc w:val="center"/>
              <w:rPr>
                <w:rFonts w:ascii="仿宋_GB2312" w:hAnsi="仿宋_GB2312" w:eastAsia="仿宋_GB2312" w:cs="仿宋_GB2312"/>
                <w:color w:val="auto"/>
                <w:sz w:val="24"/>
                <w:lang w:bidi="en-US"/>
              </w:rPr>
            </w:pPr>
            <w:r>
              <w:rPr>
                <w:rFonts w:hint="eastAsia" w:ascii="仿宋_GB2312" w:hAnsi="仿宋_GB2312" w:eastAsia="仿宋_GB2312" w:cs="仿宋_GB2312"/>
                <w:color w:val="auto"/>
                <w:kern w:val="0"/>
                <w:sz w:val="24"/>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876" w:type="dxa"/>
            <w:vAlign w:val="center"/>
          </w:tcPr>
          <w:p>
            <w:pPr>
              <w:snapToGrid w:val="0"/>
              <w:spacing w:line="288" w:lineRule="auto"/>
              <w:ind w:left="105" w:leftChars="50" w:right="105" w:rightChars="5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w:t>
            </w:r>
          </w:p>
        </w:tc>
        <w:tc>
          <w:tcPr>
            <w:tcW w:w="1246" w:type="dxa"/>
            <w:vAlign w:val="center"/>
          </w:tcPr>
          <w:p>
            <w:pPr>
              <w:snapToGrid w:val="0"/>
              <w:spacing w:line="288" w:lineRule="auto"/>
              <w:ind w:left="105" w:leftChars="50" w:right="105" w:rightChars="5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原材料检测</w:t>
            </w:r>
          </w:p>
        </w:tc>
        <w:tc>
          <w:tcPr>
            <w:tcW w:w="6886" w:type="dxa"/>
            <w:vAlign w:val="center"/>
          </w:tcPr>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提供货物主要原材料304不锈钢板1.0mm、1.2mm，304不锈钢圆管φ25mm、φ38mm由第三方检测机构出具的检验检测报告，[报告同时符合GB/T 10125-2021、GB 4806.9-2016、GB/T 4334-2020、GB/T 9978.1-2008、GB 8624-2012、GB/T5464-2010、GB/T 14402-2007检验检测依据，报告符合乙酸盐雾试验连续喷雾1008h，表面耐腐蚀等级为10级，耐火完整性可调整至100min，符合在铜-硫酸铜-16%硫酸溶液(微沸)中弯曲成180°、10X显微镜观察弯曲式样外表面无裂纹，燃烧性能（A1级）要求的]每个得1分，最高得4分，不符合不得分。</w:t>
            </w:r>
          </w:p>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（投标文件中提供相关检测报告复印件加盖投标人公章，并附全国认证认可信息公共服务平台含网站网址的查询截图，不提供或未查询到的不得分。）</w:t>
            </w:r>
          </w:p>
        </w:tc>
        <w:tc>
          <w:tcPr>
            <w:tcW w:w="1005" w:type="dxa"/>
            <w:vAlign w:val="center"/>
          </w:tcPr>
          <w:p>
            <w:pPr>
              <w:snapToGrid w:val="0"/>
              <w:spacing w:line="288" w:lineRule="auto"/>
              <w:ind w:left="105" w:leftChars="50" w:right="105" w:rightChars="5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876" w:type="dxa"/>
            <w:shd w:val="clear" w:color="auto" w:fill="auto"/>
            <w:vAlign w:val="center"/>
          </w:tcPr>
          <w:p>
            <w:pPr>
              <w:snapToGrid w:val="0"/>
              <w:spacing w:line="288" w:lineRule="auto"/>
              <w:jc w:val="center"/>
              <w:textAlignment w:val="baseline"/>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w:t>
            </w:r>
          </w:p>
        </w:tc>
        <w:tc>
          <w:tcPr>
            <w:tcW w:w="1246" w:type="dxa"/>
            <w:shd w:val="clear" w:color="auto" w:fill="auto"/>
            <w:vAlign w:val="center"/>
          </w:tcPr>
          <w:p>
            <w:pPr>
              <w:snapToGrid w:val="0"/>
              <w:spacing w:line="288" w:lineRule="auto"/>
              <w:jc w:val="center"/>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深化设计方案</w:t>
            </w:r>
          </w:p>
        </w:tc>
        <w:tc>
          <w:tcPr>
            <w:tcW w:w="6886" w:type="dxa"/>
            <w:shd w:val="clear" w:color="auto" w:fill="auto"/>
            <w:vAlign w:val="center"/>
          </w:tcPr>
          <w:p>
            <w:pPr>
              <w:autoSpaceDE w:val="0"/>
              <w:autoSpaceDN w:val="0"/>
              <w:adjustRightInd w:val="0"/>
              <w:snapToGrid w:val="0"/>
              <w:spacing w:line="288" w:lineRule="auto"/>
              <w:jc w:val="left"/>
              <w:textAlignment w:val="baseline"/>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投标人需根据设备清单，提供厨房整体设计方案，要求提供包括但不限于：设备平面布置图，水电点位图，地沟、风管走向及排烟设备布置图等。根据设计方案及设计图纸的合理性、科学性</w:t>
            </w:r>
            <w:r>
              <w:rPr>
                <w:rFonts w:hint="eastAsia" w:ascii="仿宋_GB2312" w:hAnsi="仿宋_GB2312" w:eastAsia="仿宋_GB2312" w:cs="仿宋_GB2312"/>
                <w:color w:val="auto"/>
                <w:sz w:val="24"/>
                <w:lang w:val="en-US" w:eastAsia="zh-CN"/>
              </w:rPr>
              <w:t>由评标委员会打分，0-5分。</w:t>
            </w:r>
          </w:p>
          <w:p>
            <w:pPr>
              <w:pStyle w:val="81"/>
              <w:rPr>
                <w:color w:val="auto"/>
                <w:kern w:val="2"/>
                <w:lang w:val="zh-CN"/>
              </w:rPr>
            </w:pPr>
            <w:r>
              <w:rPr>
                <w:rFonts w:hint="eastAsia" w:ascii="仿宋_GB2312" w:hAnsi="仿宋_GB2312" w:eastAsia="仿宋_GB2312" w:cs="仿宋_GB2312"/>
                <w:color w:val="auto"/>
                <w:kern w:val="2"/>
                <w:lang w:val="zh-CN"/>
              </w:rPr>
              <w:t>注：采购人提供建筑原始平面图，但目前现场硬装已由轨道交通集团施工中，具体以现场为准，投标人可自行踏勘现场。</w:t>
            </w:r>
          </w:p>
        </w:tc>
        <w:tc>
          <w:tcPr>
            <w:tcW w:w="1005" w:type="dxa"/>
            <w:shd w:val="clear" w:color="auto" w:fill="auto"/>
            <w:vAlign w:val="center"/>
          </w:tcPr>
          <w:p>
            <w:pPr>
              <w:snapToGrid w:val="0"/>
              <w:spacing w:line="288" w:lineRule="auto"/>
              <w:jc w:val="center"/>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6" w:type="dxa"/>
            <w:vAlign w:val="center"/>
          </w:tcPr>
          <w:p>
            <w:pPr>
              <w:snapToGrid w:val="0"/>
              <w:spacing w:line="288"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w:t>
            </w:r>
          </w:p>
        </w:tc>
        <w:tc>
          <w:tcPr>
            <w:tcW w:w="1246" w:type="dxa"/>
            <w:vAlign w:val="center"/>
          </w:tcPr>
          <w:p>
            <w:pPr>
              <w:snapToGrid w:val="0"/>
              <w:spacing w:line="288"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项目施工方案</w:t>
            </w:r>
          </w:p>
        </w:tc>
        <w:tc>
          <w:tcPr>
            <w:tcW w:w="6886" w:type="dxa"/>
            <w:vAlign w:val="center"/>
          </w:tcPr>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投标人提供对项目实施部署思路、项目实施进度等方面情况。根据投标人提供方案的合理性、可操作性、优越性等</w:t>
            </w:r>
            <w:r>
              <w:rPr>
                <w:rFonts w:hint="eastAsia" w:ascii="仿宋_GB2312" w:hAnsi="仿宋_GB2312" w:eastAsia="仿宋_GB2312" w:cs="仿宋_GB2312"/>
                <w:color w:val="auto"/>
                <w:sz w:val="24"/>
                <w:lang w:val="en-US" w:eastAsia="zh-CN"/>
              </w:rPr>
              <w:t>由评标委员会打分</w:t>
            </w:r>
            <w:r>
              <w:rPr>
                <w:rFonts w:hint="eastAsia" w:ascii="仿宋_GB2312" w:hAnsi="仿宋_GB2312" w:eastAsia="仿宋_GB2312" w:cs="仿宋_GB2312"/>
                <w:color w:val="auto"/>
                <w:sz w:val="24"/>
                <w:highlight w:val="none"/>
              </w:rPr>
              <w:t>，0-5分。</w:t>
            </w:r>
          </w:p>
        </w:tc>
        <w:tc>
          <w:tcPr>
            <w:tcW w:w="1005" w:type="dxa"/>
            <w:vAlign w:val="center"/>
          </w:tcPr>
          <w:p>
            <w:pPr>
              <w:snapToGrid w:val="0"/>
              <w:spacing w:line="288"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6" w:type="dxa"/>
            <w:vAlign w:val="center"/>
          </w:tcPr>
          <w:p>
            <w:pPr>
              <w:snapToGrid w:val="0"/>
              <w:spacing w:line="288"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1246" w:type="dxa"/>
            <w:vAlign w:val="center"/>
          </w:tcPr>
          <w:p>
            <w:pPr>
              <w:snapToGrid w:val="0"/>
              <w:spacing w:line="288"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质量保证措施</w:t>
            </w:r>
          </w:p>
        </w:tc>
        <w:tc>
          <w:tcPr>
            <w:tcW w:w="6886" w:type="dxa"/>
            <w:vAlign w:val="center"/>
          </w:tcPr>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提供对项目实施质量保证、安全生产、文明施工的相关措施制度及承诺内容情况。根据投标人是否有质量控制标准、制作工序流程、成品质检方案、对于设计或工艺或材料的缺陷发生的任何不足或故障的处理方案，由评标委员会进行</w:t>
            </w:r>
            <w:r>
              <w:rPr>
                <w:rFonts w:hint="eastAsia" w:ascii="仿宋_GB2312" w:hAnsi="仿宋_GB2312" w:eastAsia="仿宋_GB2312" w:cs="仿宋_GB2312"/>
                <w:color w:val="auto"/>
                <w:sz w:val="24"/>
                <w:lang w:val="en-US" w:eastAsia="zh-CN"/>
              </w:rPr>
              <w:t>打</w:t>
            </w:r>
            <w:r>
              <w:rPr>
                <w:rFonts w:hint="eastAsia" w:ascii="仿宋_GB2312" w:hAnsi="仿宋_GB2312" w:eastAsia="仿宋_GB2312" w:cs="仿宋_GB2312"/>
                <w:color w:val="auto"/>
                <w:sz w:val="24"/>
              </w:rPr>
              <w:t>分</w:t>
            </w:r>
            <w:r>
              <w:rPr>
                <w:rFonts w:hint="eastAsia" w:ascii="仿宋_GB2312" w:hAnsi="仿宋_GB2312" w:eastAsia="仿宋_GB2312" w:cs="仿宋_GB2312"/>
                <w:color w:val="auto"/>
                <w:sz w:val="24"/>
                <w:highlight w:val="none"/>
              </w:rPr>
              <w:t>，0-4分。</w:t>
            </w:r>
          </w:p>
        </w:tc>
        <w:tc>
          <w:tcPr>
            <w:tcW w:w="1005" w:type="dxa"/>
            <w:vAlign w:val="center"/>
          </w:tcPr>
          <w:p>
            <w:pPr>
              <w:snapToGrid w:val="0"/>
              <w:spacing w:line="288"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6" w:type="dxa"/>
            <w:shd w:val="clear" w:color="auto" w:fill="auto"/>
            <w:vAlign w:val="center"/>
          </w:tcPr>
          <w:p>
            <w:pPr>
              <w:snapToGrid w:val="0"/>
              <w:spacing w:line="288" w:lineRule="auto"/>
              <w:jc w:val="center"/>
              <w:textAlignment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8</w:t>
            </w:r>
          </w:p>
        </w:tc>
        <w:tc>
          <w:tcPr>
            <w:tcW w:w="1246" w:type="dxa"/>
            <w:shd w:val="clear" w:color="auto" w:fill="auto"/>
            <w:vAlign w:val="center"/>
          </w:tcPr>
          <w:p>
            <w:pPr>
              <w:snapToGrid w:val="0"/>
              <w:spacing w:line="288" w:lineRule="auto"/>
              <w:jc w:val="center"/>
              <w:textAlignment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安装调试、验收方案及技术培训方案</w:t>
            </w:r>
          </w:p>
        </w:tc>
        <w:tc>
          <w:tcPr>
            <w:tcW w:w="6886" w:type="dxa"/>
            <w:shd w:val="clear" w:color="auto" w:fill="auto"/>
            <w:vAlign w:val="center"/>
          </w:tcPr>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根据投标人提供的安装调试、验收方案、培训计划方案等</w:t>
            </w:r>
            <w:r>
              <w:rPr>
                <w:rFonts w:hint="eastAsia" w:ascii="仿宋_GB2312" w:hAnsi="仿宋_GB2312" w:eastAsia="仿宋_GB2312" w:cs="仿宋_GB2312"/>
                <w:color w:val="auto"/>
                <w:sz w:val="24"/>
                <w:lang w:val="en-US" w:eastAsia="zh-CN"/>
              </w:rPr>
              <w:t>由评标委员会打分，</w:t>
            </w:r>
            <w:r>
              <w:rPr>
                <w:rFonts w:hint="eastAsia" w:ascii="仿宋_GB2312" w:hAnsi="仿宋_GB2312" w:eastAsia="仿宋_GB2312" w:cs="仿宋_GB2312"/>
                <w:color w:val="auto"/>
                <w:sz w:val="24"/>
                <w:highlight w:val="none"/>
              </w:rPr>
              <w:t>0-4分。</w:t>
            </w:r>
          </w:p>
        </w:tc>
        <w:tc>
          <w:tcPr>
            <w:tcW w:w="1005" w:type="dxa"/>
            <w:shd w:val="clear" w:color="auto" w:fill="auto"/>
            <w:vAlign w:val="center"/>
          </w:tcPr>
          <w:p>
            <w:pPr>
              <w:snapToGrid w:val="0"/>
              <w:spacing w:line="288" w:lineRule="auto"/>
              <w:jc w:val="center"/>
              <w:textAlignment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6" w:type="dxa"/>
            <w:shd w:val="clear" w:color="auto" w:fill="auto"/>
            <w:vAlign w:val="center"/>
          </w:tcPr>
          <w:p>
            <w:pPr>
              <w:snapToGrid w:val="0"/>
              <w:spacing w:line="288" w:lineRule="auto"/>
              <w:ind w:left="105" w:leftChars="50" w:right="105" w:rightChars="50"/>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1246" w:type="dxa"/>
            <w:shd w:val="clear" w:color="auto" w:fill="auto"/>
            <w:vAlign w:val="center"/>
          </w:tcPr>
          <w:p>
            <w:pPr>
              <w:snapToGrid w:val="0"/>
              <w:spacing w:line="288" w:lineRule="auto"/>
              <w:ind w:left="105" w:leftChars="50" w:right="105" w:rightChars="5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产品责任保险</w:t>
            </w:r>
          </w:p>
        </w:tc>
        <w:tc>
          <w:tcPr>
            <w:tcW w:w="6886" w:type="dxa"/>
            <w:shd w:val="clear" w:color="auto" w:fill="auto"/>
            <w:vAlign w:val="center"/>
          </w:tcPr>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根据</w:t>
            </w:r>
            <w:r>
              <w:rPr>
                <w:rFonts w:hint="eastAsia" w:ascii="仿宋_GB2312" w:hAnsi="仿宋_GB2312" w:eastAsia="仿宋_GB2312" w:cs="仿宋_GB2312"/>
                <w:color w:val="auto"/>
                <w:sz w:val="24"/>
              </w:rPr>
              <w:t>投标人具有厨房设备的产品责任保险保险单</w:t>
            </w:r>
            <w:r>
              <w:rPr>
                <w:rFonts w:hint="eastAsia" w:ascii="仿宋_GB2312" w:hAnsi="仿宋_GB2312" w:eastAsia="仿宋_GB2312" w:cs="仿宋_GB2312"/>
                <w:color w:val="auto"/>
                <w:sz w:val="24"/>
                <w:lang w:val="en-US" w:eastAsia="zh-CN"/>
              </w:rPr>
              <w:t>由评标委员会打分，0-2分。</w:t>
            </w:r>
          </w:p>
        </w:tc>
        <w:tc>
          <w:tcPr>
            <w:tcW w:w="1005" w:type="dxa"/>
            <w:shd w:val="clear" w:color="auto" w:fill="auto"/>
            <w:vAlign w:val="center"/>
          </w:tcPr>
          <w:p>
            <w:pPr>
              <w:snapToGrid w:val="0"/>
              <w:spacing w:line="288" w:lineRule="auto"/>
              <w:ind w:left="105" w:leftChars="50" w:right="105" w:rightChars="5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6" w:type="dxa"/>
            <w:shd w:val="clear" w:color="auto" w:fill="auto"/>
            <w:vAlign w:val="center"/>
          </w:tcPr>
          <w:p>
            <w:pPr>
              <w:autoSpaceDE w:val="0"/>
              <w:autoSpaceDN w:val="0"/>
              <w:adjustRightInd w:val="0"/>
              <w:snapToGrid w:val="0"/>
              <w:spacing w:line="288" w:lineRule="auto"/>
              <w:jc w:val="center"/>
              <w:textAlignment w:val="baseline"/>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1246" w:type="dxa"/>
            <w:shd w:val="clear" w:color="auto" w:fill="auto"/>
            <w:vAlign w:val="center"/>
          </w:tcPr>
          <w:p>
            <w:pPr>
              <w:autoSpaceDE w:val="0"/>
              <w:autoSpaceDN w:val="0"/>
              <w:adjustRightInd w:val="0"/>
              <w:snapToGrid w:val="0"/>
              <w:spacing w:line="288" w:lineRule="auto"/>
              <w:jc w:val="center"/>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质保期</w:t>
            </w:r>
          </w:p>
        </w:tc>
        <w:tc>
          <w:tcPr>
            <w:tcW w:w="6886" w:type="dxa"/>
            <w:shd w:val="clear" w:color="auto" w:fill="auto"/>
            <w:vAlign w:val="center"/>
          </w:tcPr>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投标人承诺在本项目质保期2年的基础上，质保期期限超过招标文件规定的质保期每增加1年的得2分，最高得4分。质保期增加期限内的服务内容同原质保期服务一致。</w:t>
            </w:r>
          </w:p>
        </w:tc>
        <w:tc>
          <w:tcPr>
            <w:tcW w:w="1005" w:type="dxa"/>
            <w:shd w:val="clear" w:color="auto" w:fill="auto"/>
            <w:vAlign w:val="center"/>
          </w:tcPr>
          <w:p>
            <w:pPr>
              <w:autoSpaceDE w:val="0"/>
              <w:autoSpaceDN w:val="0"/>
              <w:adjustRightInd w:val="0"/>
              <w:snapToGrid w:val="0"/>
              <w:spacing w:line="288" w:lineRule="auto"/>
              <w:jc w:val="center"/>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6" w:type="dxa"/>
            <w:shd w:val="clear" w:color="auto" w:fill="auto"/>
            <w:vAlign w:val="center"/>
          </w:tcPr>
          <w:p>
            <w:pPr>
              <w:snapToGrid w:val="0"/>
              <w:spacing w:line="288" w:lineRule="auto"/>
              <w:ind w:left="105" w:leftChars="50" w:right="105" w:rightChars="50"/>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1246" w:type="dxa"/>
            <w:shd w:val="clear" w:color="auto" w:fill="auto"/>
            <w:vAlign w:val="center"/>
          </w:tcPr>
          <w:p>
            <w:pPr>
              <w:snapToGrid w:val="0"/>
              <w:spacing w:line="288" w:lineRule="auto"/>
              <w:ind w:left="105" w:leftChars="50" w:right="105" w:rightChars="5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售后服务及保障</w:t>
            </w:r>
          </w:p>
        </w:tc>
        <w:tc>
          <w:tcPr>
            <w:tcW w:w="6886" w:type="dxa"/>
            <w:shd w:val="clear" w:color="auto" w:fill="auto"/>
            <w:vAlign w:val="center"/>
          </w:tcPr>
          <w:p>
            <w:pPr>
              <w:autoSpaceDE w:val="0"/>
              <w:autoSpaceDN w:val="0"/>
              <w:adjustRightInd w:val="0"/>
              <w:snapToGrid w:val="0"/>
              <w:spacing w:line="288" w:lineRule="auto"/>
              <w:jc w:val="left"/>
              <w:textAlignment w:val="baseline"/>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投标人设有售后服务网点，并提供售后服务方案、售后服务等情况，质保期内的服务承诺的可行性、完整性以及服务承诺的保障措施；售后服务人员安排是否合理；满足采购文件要求且满足现实的情况下，售后响应时间等</w:t>
            </w:r>
            <w:r>
              <w:rPr>
                <w:rFonts w:hint="eastAsia" w:ascii="仿宋_GB2312" w:hAnsi="仿宋_GB2312" w:eastAsia="仿宋_GB2312" w:cs="仿宋_GB2312"/>
                <w:color w:val="auto"/>
                <w:sz w:val="24"/>
                <w:lang w:val="en-US" w:eastAsia="zh-CN"/>
              </w:rPr>
              <w:t>由评标委员会打分</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0-</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分</w:t>
            </w:r>
            <w:r>
              <w:rPr>
                <w:rFonts w:hint="eastAsia" w:ascii="仿宋_GB2312" w:hAnsi="仿宋_GB2312" w:eastAsia="仿宋_GB2312" w:cs="仿宋_GB2312"/>
                <w:color w:val="auto"/>
                <w:sz w:val="24"/>
                <w:lang w:eastAsia="zh-CN"/>
              </w:rPr>
              <w:t>。</w:t>
            </w:r>
          </w:p>
        </w:tc>
        <w:tc>
          <w:tcPr>
            <w:tcW w:w="1005" w:type="dxa"/>
            <w:shd w:val="clear" w:color="auto" w:fill="auto"/>
            <w:vAlign w:val="center"/>
          </w:tcPr>
          <w:p>
            <w:pPr>
              <w:snapToGrid w:val="0"/>
              <w:spacing w:line="288" w:lineRule="auto"/>
              <w:ind w:left="105" w:leftChars="50" w:right="105" w:rightChars="5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6" w:type="dxa"/>
            <w:vAlign w:val="center"/>
          </w:tcPr>
          <w:p>
            <w:pPr>
              <w:snapToGrid w:val="0"/>
              <w:spacing w:line="288" w:lineRule="auto"/>
              <w:jc w:val="center"/>
              <w:textAlignment w:val="baseline"/>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1246" w:type="dxa"/>
            <w:vAlign w:val="center"/>
          </w:tcPr>
          <w:p>
            <w:pPr>
              <w:snapToGrid w:val="0"/>
              <w:spacing w:line="288" w:lineRule="auto"/>
              <w:jc w:val="center"/>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样品</w:t>
            </w:r>
          </w:p>
        </w:tc>
        <w:tc>
          <w:tcPr>
            <w:tcW w:w="6886" w:type="dxa"/>
            <w:vAlign w:val="center"/>
          </w:tcPr>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投标时提供以下三个样品：</w:t>
            </w:r>
          </w:p>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1、双门电热蒸饭箱（规格：1280*780*1600mm（±30mm））（5分）</w:t>
            </w:r>
          </w:p>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2、不锈钢油烟净化器（规格：1280*890*1150+脚130mm（±30mm））（5分）</w:t>
            </w:r>
          </w:p>
          <w:p>
            <w:pPr>
              <w:autoSpaceDE w:val="0"/>
              <w:autoSpaceDN w:val="0"/>
              <w:adjustRightInd w:val="0"/>
              <w:snapToGrid w:val="0"/>
              <w:spacing w:line="288" w:lineRule="auto"/>
              <w:jc w:val="left"/>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3、四格保温柜（规格：750*800*800mm（±30mm））（5分）</w:t>
            </w:r>
          </w:p>
          <w:p>
            <w:pPr>
              <w:spacing w:line="360" w:lineRule="exac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投标样品按招标清单技术参数的符合性、规格、材质、加工工艺、外观、性能等</w:t>
            </w:r>
            <w:r>
              <w:rPr>
                <w:rFonts w:hint="eastAsia" w:ascii="仿宋_GB2312" w:hAnsi="仿宋_GB2312" w:eastAsia="仿宋_GB2312" w:cs="仿宋_GB2312"/>
                <w:color w:val="auto"/>
                <w:sz w:val="24"/>
                <w:lang w:val="en-US" w:eastAsia="zh-CN"/>
              </w:rPr>
              <w:t>由评标委员会打分。</w:t>
            </w:r>
          </w:p>
          <w:p>
            <w:pPr>
              <w:spacing w:line="360" w:lineRule="exact"/>
              <w:rPr>
                <w:rFonts w:hint="default" w:eastAsia="仿宋_GB2312"/>
                <w:color w:val="auto"/>
                <w:lang w:val="en-US" w:eastAsia="zh-CN"/>
              </w:rPr>
            </w:pPr>
            <w:r>
              <w:rPr>
                <w:rFonts w:ascii="仿宋_GB2312" w:hAnsi="仿宋" w:eastAsia="仿宋_GB2312" w:cs="仿宋"/>
                <w:b/>
                <w:color w:val="auto"/>
                <w:sz w:val="24"/>
                <w:highlight w:val="none"/>
              </w:rPr>
              <w:t>对未提供样品或提供样品不满足采购</w:t>
            </w:r>
            <w:r>
              <w:rPr>
                <w:rFonts w:hint="eastAsia" w:ascii="仿宋_GB2312" w:hAnsi="仿宋" w:eastAsia="仿宋_GB2312" w:cs="仿宋"/>
                <w:b/>
                <w:color w:val="auto"/>
                <w:sz w:val="24"/>
                <w:highlight w:val="none"/>
              </w:rPr>
              <w:t>需</w:t>
            </w:r>
            <w:r>
              <w:rPr>
                <w:rFonts w:ascii="仿宋_GB2312" w:hAnsi="仿宋" w:eastAsia="仿宋_GB2312" w:cs="仿宋"/>
                <w:b/>
                <w:color w:val="auto"/>
                <w:sz w:val="24"/>
                <w:highlight w:val="none"/>
              </w:rPr>
              <w:t>求实质性条件的</w:t>
            </w:r>
            <w:r>
              <w:rPr>
                <w:rFonts w:hint="eastAsia" w:ascii="仿宋_GB2312" w:hAnsi="仿宋" w:eastAsia="仿宋_GB2312" w:cs="仿宋"/>
                <w:b/>
                <w:color w:val="auto"/>
                <w:sz w:val="24"/>
                <w:highlight w:val="none"/>
                <w:lang w:eastAsia="zh-CN"/>
              </w:rPr>
              <w:t>，</w:t>
            </w:r>
            <w:r>
              <w:rPr>
                <w:rFonts w:hint="eastAsia" w:ascii="仿宋_GB2312" w:hAnsi="仿宋" w:eastAsia="仿宋_GB2312" w:cs="仿宋"/>
                <w:b/>
                <w:color w:val="auto"/>
                <w:sz w:val="24"/>
                <w:highlight w:val="none"/>
                <w:lang w:val="en-US" w:eastAsia="zh-CN"/>
              </w:rPr>
              <w:t>按无效投标处理。</w:t>
            </w:r>
          </w:p>
        </w:tc>
        <w:tc>
          <w:tcPr>
            <w:tcW w:w="1005" w:type="dxa"/>
            <w:vAlign w:val="center"/>
          </w:tcPr>
          <w:p>
            <w:pPr>
              <w:snapToGrid w:val="0"/>
              <w:spacing w:line="288" w:lineRule="auto"/>
              <w:ind w:left="105" w:leftChars="50" w:right="105" w:rightChars="5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15分</w:t>
            </w:r>
          </w:p>
        </w:tc>
      </w:tr>
    </w:tbl>
    <w:p>
      <w:pPr>
        <w:snapToGrid w:val="0"/>
        <w:spacing w:line="440" w:lineRule="exact"/>
        <w:rPr>
          <w:rFonts w:ascii="仿宋_GB2312" w:hAnsi="仿宋" w:eastAsia="仿宋_GB2312" w:cs="仿宋"/>
          <w:color w:val="auto"/>
          <w:sz w:val="24"/>
        </w:rPr>
      </w:pPr>
      <w:r>
        <w:rPr>
          <w:rFonts w:hint="eastAsia" w:ascii="仿宋_GB2312" w:hAnsi="仿宋" w:eastAsia="仿宋_GB2312" w:cs="仿宋"/>
          <w:b/>
          <w:color w:val="auto"/>
          <w:sz w:val="24"/>
        </w:rPr>
        <w:t>备注：</w:t>
      </w:r>
      <w:r>
        <w:rPr>
          <w:rFonts w:ascii="仿宋_GB2312" w:hAnsi="仿宋" w:eastAsia="仿宋_GB2312" w:cs="仿宋"/>
          <w:color w:val="auto"/>
          <w:sz w:val="24"/>
        </w:rPr>
        <w:t>投标人编制投标文件（商务技术文件部分）时，建议按此目录（序号和内容）提供评标标准相应的商务技术资料。</w:t>
      </w:r>
    </w:p>
    <w:p>
      <w:pPr>
        <w:snapToGrid w:val="0"/>
        <w:spacing w:line="440" w:lineRule="exact"/>
        <w:rPr>
          <w:rFonts w:ascii="仿宋_GB2312" w:hAnsi="仿宋" w:eastAsia="仿宋_GB2312" w:cs="仿宋"/>
          <w:color w:val="auto"/>
          <w:sz w:val="24"/>
        </w:rPr>
      </w:pPr>
    </w:p>
    <w:p>
      <w:pPr>
        <w:spacing w:line="440" w:lineRule="exact"/>
        <w:rPr>
          <w:rFonts w:ascii="仿宋_GB2312" w:hAnsi="宋体" w:eastAsia="仿宋_GB2312"/>
          <w:b/>
          <w:bCs/>
          <w:iCs/>
          <w:color w:val="auto"/>
          <w:sz w:val="24"/>
        </w:rPr>
      </w:pPr>
      <w:r>
        <w:rPr>
          <w:rFonts w:ascii="仿宋_GB2312" w:hAnsi="宋体" w:eastAsia="仿宋_GB2312"/>
          <w:b/>
          <w:bCs/>
          <w:iCs/>
          <w:color w:val="auto"/>
          <w:sz w:val="24"/>
        </w:rPr>
        <w:t>2.2价格分（30分）</w:t>
      </w:r>
    </w:p>
    <w:p>
      <w:pPr>
        <w:spacing w:line="440" w:lineRule="exact"/>
        <w:rPr>
          <w:rFonts w:ascii="仿宋_GB2312" w:hAnsi="宋体" w:eastAsia="仿宋_GB2312"/>
          <w:bCs/>
          <w:iCs/>
          <w:color w:val="auto"/>
          <w:sz w:val="24"/>
        </w:rPr>
      </w:pPr>
      <w:r>
        <w:rPr>
          <w:rFonts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w:t>
      </w:r>
      <w:r>
        <w:rPr>
          <w:rFonts w:ascii="仿宋_GB2312" w:hAnsi="宋体" w:eastAsia="仿宋_GB2312"/>
          <w:bCs/>
          <w:iCs/>
          <w:color w:val="auto"/>
          <w:sz w:val="24"/>
        </w:rPr>
        <w:t>=(评标基准价／投标报价)×价格权值×100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即：投标报价得分</w:t>
      </w:r>
      <w:r>
        <w:rPr>
          <w:rFonts w:ascii="仿宋_GB2312" w:hAnsi="宋体" w:eastAsia="仿宋_GB2312"/>
          <w:bCs/>
          <w:iCs/>
          <w:color w:val="auto"/>
          <w:sz w:val="24"/>
        </w:rPr>
        <w:t>=(评标基准价／投标报价)×30</w:t>
      </w:r>
    </w:p>
    <w:bookmarkEnd w:id="5"/>
    <w:bookmarkEnd w:id="6"/>
    <w:bookmarkEnd w:id="7"/>
    <w:bookmarkEnd w:id="8"/>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w:t>
      </w:r>
      <w:r>
        <w:rPr>
          <w:rFonts w:hint="eastAsia" w:ascii="仿宋_GB2312" w:hAnsi="仿宋" w:eastAsia="仿宋_GB2312" w:cs="仿宋"/>
          <w:b/>
          <w:color w:val="auto"/>
          <w:sz w:val="36"/>
          <w:szCs w:val="20"/>
        </w:rPr>
        <w:t>投标文件及其附件格式</w:t>
      </w:r>
    </w:p>
    <w:p>
      <w:pPr>
        <w:spacing w:line="360" w:lineRule="auto"/>
        <w:ind w:firstLine="480" w:firstLineChars="200"/>
        <w:outlineLvl w:val="0"/>
        <w:rPr>
          <w:rFonts w:ascii="仿宋_GB2312" w:hAnsi="仿宋_GB2312" w:eastAsia="仿宋_GB2312" w:cs="仿宋_GB2312"/>
          <w:color w:val="auto"/>
          <w:sz w:val="24"/>
        </w:rPr>
      </w:pP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资格文件部分</w:t>
      </w: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adjustRightInd w:val="0"/>
        <w:spacing w:line="360" w:lineRule="auto"/>
        <w:jc w:val="center"/>
        <w:outlineLvl w:val="0"/>
        <w:rPr>
          <w:rFonts w:ascii="仿宋_GB2312" w:hAnsi="仿宋" w:eastAsia="仿宋_GB2312" w:cs="仿宋"/>
          <w:b/>
          <w:color w:val="auto"/>
          <w:kern w:val="0"/>
          <w:sz w:val="36"/>
          <w:szCs w:val="36"/>
        </w:rPr>
      </w:pP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r>
        <w:rPr>
          <w:rFonts w:ascii="仿宋_GB2312" w:hAnsi="仿宋" w:eastAsia="仿宋_GB2312" w:cs="仿宋"/>
          <w:color w:val="auto"/>
          <w:sz w:val="24"/>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snapToGrid w:val="0"/>
          <w:color w:val="auto"/>
          <w:kern w:val="28"/>
          <w:sz w:val="24"/>
          <w:szCs w:val="20"/>
        </w:rPr>
        <w:t>（</w:t>
      </w:r>
      <w:r>
        <w:rPr>
          <w:rFonts w:ascii="仿宋_GB2312" w:hAnsi="仿宋" w:eastAsia="仿宋_GB2312" w:cs="仿宋"/>
          <w:snapToGrid w:val="0"/>
          <w:color w:val="auto"/>
          <w:kern w:val="28"/>
          <w:sz w:val="24"/>
          <w:szCs w:val="20"/>
        </w:rPr>
        <w:t>2）联合协议</w:t>
      </w:r>
      <w:r>
        <w:rPr>
          <w:rFonts w:hint="eastAsia" w:ascii="仿宋_GB2312" w:hAnsi="仿宋" w:eastAsia="仿宋_GB2312" w:cs="仿宋"/>
          <w:color w:val="auto"/>
          <w:sz w:val="24"/>
        </w:rPr>
        <w:t>………………………………………………………………（页码）</w:t>
      </w:r>
    </w:p>
    <w:p>
      <w:pPr>
        <w:autoSpaceDE w:val="0"/>
        <w:autoSpaceDN w:val="0"/>
        <w:adjustRightInd w:val="0"/>
        <w:spacing w:line="360" w:lineRule="auto"/>
        <w:rPr>
          <w:rFonts w:ascii="仿宋_GB2312" w:hAnsi="仿宋" w:eastAsia="仿宋_GB2312" w:cs="仿宋"/>
          <w:snapToGrid w:val="0"/>
          <w:color w:val="auto"/>
          <w:sz w:val="24"/>
          <w:szCs w:val="21"/>
          <w:lang w:val="zh-CN"/>
        </w:rPr>
      </w:pPr>
      <w:r>
        <w:rPr>
          <w:rFonts w:hint="eastAsia" w:ascii="仿宋_GB2312" w:hAnsi="仿宋" w:eastAsia="仿宋_GB2312" w:cs="仿宋"/>
          <w:snapToGrid w:val="0"/>
          <w:color w:val="auto"/>
          <w:sz w:val="24"/>
          <w:szCs w:val="21"/>
          <w:lang w:val="zh-CN"/>
        </w:rPr>
        <w:t>（</w:t>
      </w:r>
      <w:r>
        <w:rPr>
          <w:rFonts w:ascii="仿宋_GB2312" w:hAnsi="仿宋" w:eastAsia="仿宋_GB2312" w:cs="仿宋"/>
          <w:snapToGrid w:val="0"/>
          <w:color w:val="auto"/>
          <w:sz w:val="24"/>
          <w:szCs w:val="21"/>
          <w:lang w:val="zh-CN"/>
        </w:rPr>
        <w:t>3）分包协议………………………………………………………………（页码）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r>
        <w:rPr>
          <w:rFonts w:ascii="仿宋_GB2312" w:hAnsi="仿宋" w:eastAsia="仿宋_GB2312" w:cs="仿宋"/>
          <w:color w:val="auto"/>
          <w:sz w:val="24"/>
        </w:rPr>
        <w:t>4）落实政府采购政策需满足的资格要求………………………………（页码）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r>
        <w:rPr>
          <w:rFonts w:ascii="仿宋_GB2312" w:hAnsi="仿宋" w:eastAsia="仿宋_GB2312" w:cs="仿宋"/>
          <w:color w:val="auto"/>
          <w:sz w:val="24"/>
        </w:rPr>
        <w:t>5）本项目的特定资格要求………………………………………………（页码）</w:t>
      </w:r>
    </w:p>
    <w:p>
      <w:pPr>
        <w:spacing w:line="360" w:lineRule="auto"/>
        <w:ind w:firstLine="480" w:firstLineChars="200"/>
        <w:outlineLvl w:val="0"/>
        <w:rPr>
          <w:rFonts w:ascii="仿宋_GB2312" w:hAnsi="仿宋_GB2312" w:eastAsia="仿宋_GB2312" w:cs="仿宋_GB2312"/>
          <w:color w:val="auto"/>
          <w:sz w:val="24"/>
        </w:rPr>
      </w:pPr>
    </w:p>
    <w:p>
      <w:pPr>
        <w:pStyle w:val="24"/>
        <w:spacing w:line="800" w:lineRule="atLeast"/>
        <w:ind w:left="0" w:leftChars="0"/>
        <w:rPr>
          <w:rFonts w:ascii="仿宋_GB2312" w:hAnsi="宋体" w:eastAsia="仿宋_GB2312"/>
          <w:b/>
          <w:color w:val="auto"/>
          <w:sz w:val="36"/>
          <w:szCs w:val="36"/>
        </w:rPr>
      </w:pPr>
    </w:p>
    <w:p>
      <w:pPr>
        <w:pStyle w:val="24"/>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br w:type="page"/>
      </w:r>
    </w:p>
    <w:p>
      <w:pPr>
        <w:snapToGrid w:val="0"/>
        <w:spacing w:line="440" w:lineRule="exact"/>
        <w:rPr>
          <w:rFonts w:ascii="仿宋_GB2312" w:hAnsi="仿宋_GB2312" w:eastAsia="仿宋_GB2312" w:cs="仿宋_GB2312"/>
          <w:color w:val="auto"/>
          <w:sz w:val="24"/>
        </w:rPr>
      </w:pPr>
      <w:r>
        <w:rPr>
          <w:rFonts w:hint="eastAsia" w:ascii="仿宋_GB2312" w:hAnsi="仿宋" w:eastAsia="仿宋_GB2312" w:cs="仿宋"/>
          <w:b/>
          <w:color w:val="auto"/>
          <w:kern w:val="0"/>
          <w:sz w:val="32"/>
          <w:szCs w:val="32"/>
        </w:rPr>
        <w:t>一、符合参加政府采购活动应当具备的一般条件的承诺函</w:t>
      </w:r>
    </w:p>
    <w:p>
      <w:pPr>
        <w:snapToGrid w:val="0"/>
        <w:spacing w:line="440" w:lineRule="exact"/>
        <w:rPr>
          <w:rFonts w:ascii="仿宋_GB2312" w:hAnsi="仿宋_GB2312" w:eastAsia="仿宋_GB2312" w:cs="仿宋_GB2312"/>
          <w:color w:val="auto"/>
          <w:sz w:val="24"/>
        </w:rPr>
      </w:pP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绍兴市政务服务办公室、浙江建诚工程管理咨询有限公司：</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我方参与项目（招标编号</w:t>
      </w:r>
      <w:r>
        <w:rPr>
          <w:rFonts w:ascii="仿宋_GB2312" w:hAnsi="仿宋" w:eastAsia="仿宋_GB2312" w:cs="仿宋"/>
          <w:color w:val="auto"/>
          <w:sz w:val="24"/>
        </w:rPr>
        <w:t>:</w:t>
      </w:r>
      <w:r>
        <w:rPr>
          <w:rFonts w:hint="eastAsia" w:ascii="仿宋_GB2312" w:hAnsi="仿宋" w:eastAsia="仿宋_GB2312" w:cs="仿宋"/>
          <w:color w:val="auto"/>
          <w:sz w:val="24"/>
        </w:rPr>
        <w:t>）政府采购活动，郑重承诺：</w:t>
      </w:r>
    </w:p>
    <w:p>
      <w:pPr>
        <w:snapToGrid w:val="0"/>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3、具有履行合同所必需的设备和专业技术能力；</w:t>
      </w:r>
    </w:p>
    <w:p>
      <w:pPr>
        <w:snapToGrid w:val="0"/>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4、有依法缴纳税收和社会保障资金的良好记录；</w:t>
      </w:r>
    </w:p>
    <w:p>
      <w:pPr>
        <w:snapToGrid w:val="0"/>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6、具有法律、行政法规规定的其他条件。</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（二）未被信用中国（</w:t>
      </w:r>
      <w:r>
        <w:rPr>
          <w:rFonts w:ascii="仿宋_GB2312" w:hAnsi="仿宋" w:eastAsia="仿宋_GB2312" w:cs="仿宋"/>
          <w:color w:val="auto"/>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（三）不存在以下情况：</w:t>
      </w:r>
    </w:p>
    <w:p>
      <w:pPr>
        <w:snapToGrid w:val="0"/>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2、为采购项目提供整体设计、规范编制或者项目管理、监理、检测等服务后再参加该采购项目的其他采购活动的。</w:t>
      </w:r>
    </w:p>
    <w:p>
      <w:pPr>
        <w:snapToGrid w:val="0"/>
        <w:spacing w:line="360" w:lineRule="auto"/>
        <w:jc w:val="left"/>
        <w:rPr>
          <w:rFonts w:ascii="仿宋_GB2312" w:hAnsi="仿宋" w:eastAsia="仿宋_GB2312" w:cs="仿宋"/>
          <w:color w:val="auto"/>
          <w:kern w:val="0"/>
          <w:sz w:val="24"/>
          <w:lang w:val="zh-CN"/>
        </w:rPr>
      </w:pPr>
    </w:p>
    <w:p>
      <w:pPr>
        <w:snapToGrid w:val="0"/>
        <w:spacing w:line="360" w:lineRule="auto"/>
        <w:jc w:val="left"/>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w:t>
      </w:r>
      <w:r>
        <w:rPr>
          <w:rFonts w:ascii="仿宋_GB2312" w:hAnsi="仿宋" w:eastAsia="仿宋_GB2312" w:cs="仿宋"/>
          <w:color w:val="auto"/>
          <w:kern w:val="0"/>
          <w:sz w:val="24"/>
          <w:lang w:val="zh-CN"/>
        </w:rPr>
        <w:t>(电子签名)：</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w:t>
      </w:r>
      <w:r>
        <w:rPr>
          <w:rFonts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月日</w:t>
      </w: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br w:type="page"/>
      </w:r>
    </w:p>
    <w:p>
      <w:pPr>
        <w:widowControl/>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二、联合协议（如果有）</w:t>
      </w:r>
    </w:p>
    <w:p>
      <w:pPr>
        <w:widowControl/>
        <w:spacing w:line="360" w:lineRule="auto"/>
        <w:ind w:firstLine="482" w:firstLineChars="200"/>
        <w:jc w:val="left"/>
        <w:rPr>
          <w:rFonts w:ascii="仿宋_GB2312" w:hAnsi="仿宋" w:eastAsia="仿宋_GB2312" w:cs="仿宋"/>
          <w:b/>
          <w:color w:val="auto"/>
          <w:sz w:val="24"/>
        </w:rPr>
      </w:pPr>
      <w:r>
        <w:rPr>
          <w:rFonts w:ascii="仿宋_GB2312" w:hAnsi="仿宋" w:eastAsia="仿宋_GB2312" w:cs="仿宋"/>
          <w:b/>
          <w:color w:val="auto"/>
          <w:sz w:val="24"/>
        </w:rPr>
        <w:t>[以联合体形式投标的，提供联合协议（附件5）；本项目不接受联合体投标或者投标人不以联合体形式投标的，则不需要提供]</w:t>
      </w:r>
    </w:p>
    <w:p>
      <w:pPr>
        <w:pStyle w:val="81"/>
        <w:rPr>
          <w:color w:val="auto"/>
        </w:rPr>
      </w:pPr>
    </w:p>
    <w:p>
      <w:pPr>
        <w:snapToGrid w:val="0"/>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三、分包意向协议（如果有）</w:t>
      </w:r>
    </w:p>
    <w:p>
      <w:pPr>
        <w:widowControl/>
        <w:spacing w:line="360" w:lineRule="auto"/>
        <w:ind w:firstLine="361" w:firstLineChars="150"/>
        <w:jc w:val="left"/>
        <w:rPr>
          <w:rFonts w:ascii="仿宋_GB2312" w:hAnsi="仿宋" w:eastAsia="仿宋_GB2312" w:cs="仿宋"/>
          <w:b/>
          <w:color w:val="auto"/>
          <w:sz w:val="24"/>
        </w:rPr>
      </w:pPr>
      <w:r>
        <w:rPr>
          <w:rFonts w:ascii="仿宋_GB2312" w:hAnsi="仿宋" w:eastAsia="仿宋_GB2312"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四、落实政府采购政策需满足的资格要求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rPr>
      </w:pPr>
      <w:r>
        <w:rPr>
          <w:rFonts w:ascii="仿宋_GB2312" w:hAnsi="仿宋" w:eastAsia="仿宋_GB2312" w:cs="仿宋"/>
          <w:b/>
          <w:color w:val="auto"/>
          <w:sz w:val="24"/>
        </w:rPr>
        <w:t>A</w:t>
      </w:r>
      <w:r>
        <w:rPr>
          <w:rFonts w:ascii="仿宋_GB2312" w:hAnsi="仿宋" w:eastAsia="仿宋_GB2312"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rPr>
      </w:pPr>
      <w:r>
        <w:rPr>
          <w:rFonts w:ascii="仿宋_GB2312" w:hAnsi="仿宋" w:eastAsia="仿宋_GB2312" w:cs="仿宋"/>
          <w:b/>
          <w:color w:val="auto"/>
          <w:sz w:val="24"/>
        </w:rPr>
        <w:t>B.</w:t>
      </w:r>
      <w:r>
        <w:rPr>
          <w:rFonts w:hint="eastAsia" w:ascii="仿宋_GB2312" w:hAnsi="仿宋" w:eastAsia="仿宋_GB2312" w:cs="仿宋"/>
          <w:color w:val="auto"/>
          <w:sz w:val="24"/>
        </w:rPr>
        <w:t>要求以联合体形式参加的，提供联合协议（附件</w:t>
      </w:r>
      <w:r>
        <w:rPr>
          <w:rFonts w:ascii="仿宋_GB2312" w:hAnsi="仿宋" w:eastAsia="仿宋_GB2312" w:cs="仿宋"/>
          <w:color w:val="auto"/>
          <w:sz w:val="24"/>
        </w:rPr>
        <w:t>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视同符合了资格条件，无需再与其他中小企业组成联合体参加政府采购活动，无需提供联合协议。</w:t>
      </w:r>
    </w:p>
    <w:p>
      <w:pPr>
        <w:spacing w:line="360" w:lineRule="auto"/>
        <w:ind w:firstLine="482" w:firstLineChars="200"/>
        <w:rPr>
          <w:rFonts w:ascii="仿宋_GB2312" w:hAnsi="仿宋" w:eastAsia="仿宋_GB2312" w:cs="仿宋"/>
          <w:color w:val="auto"/>
          <w:sz w:val="24"/>
        </w:rPr>
      </w:pPr>
      <w:r>
        <w:rPr>
          <w:rFonts w:ascii="仿宋_GB2312" w:hAnsi="仿宋" w:eastAsia="仿宋_GB2312" w:cs="仿宋"/>
          <w:b/>
          <w:color w:val="auto"/>
          <w:sz w:val="24"/>
        </w:rPr>
        <w:t>C、</w:t>
      </w:r>
      <w:r>
        <w:rPr>
          <w:rFonts w:hint="eastAsia" w:ascii="仿宋_GB2312" w:hAnsi="仿宋" w:eastAsia="仿宋_GB2312" w:cs="仿宋"/>
          <w:color w:val="auto"/>
          <w:sz w:val="24"/>
        </w:rPr>
        <w:t>要求合同分包的，提供分包意向协议（附件</w:t>
      </w:r>
      <w:r>
        <w:rPr>
          <w:rFonts w:ascii="仿宋_GB2312" w:hAnsi="仿宋" w:eastAsia="仿宋_GB2312" w:cs="仿宋"/>
          <w:color w:val="auto"/>
          <w:sz w:val="24"/>
        </w:rPr>
        <w:t>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rPr>
      </w:pPr>
    </w:p>
    <w:p>
      <w:pPr>
        <w:widowControl/>
        <w:spacing w:line="360" w:lineRule="auto"/>
        <w:ind w:left="15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五、本项目的特定资格要求</w:t>
      </w:r>
    </w:p>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rPr>
      </w:pPr>
    </w:p>
    <w:p>
      <w:pPr>
        <w:spacing w:line="336" w:lineRule="auto"/>
        <w:jc w:val="center"/>
        <w:rPr>
          <w:rFonts w:ascii="仿宋_GB2312" w:hAnsi="仿宋" w:eastAsia="仿宋_GB2312" w:cs="仿宋"/>
          <w:b/>
          <w:color w:val="auto"/>
          <w:kern w:val="0"/>
          <w:sz w:val="36"/>
          <w:szCs w:val="36"/>
        </w:rPr>
      </w:pPr>
    </w:p>
    <w:p>
      <w:pPr>
        <w:spacing w:line="336" w:lineRule="auto"/>
        <w:jc w:val="center"/>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商务技术文件部分</w:t>
      </w:r>
    </w:p>
    <w:p>
      <w:pPr>
        <w:spacing w:line="336" w:lineRule="auto"/>
        <w:jc w:val="center"/>
        <w:outlineLvl w:val="0"/>
        <w:rPr>
          <w:rFonts w:ascii="仿宋_GB2312" w:hAnsi="仿宋" w:eastAsia="仿宋_GB2312" w:cs="仿宋"/>
          <w:b/>
          <w:color w:val="auto"/>
          <w:kern w:val="0"/>
          <w:sz w:val="24"/>
        </w:rPr>
      </w:pPr>
    </w:p>
    <w:p>
      <w:pPr>
        <w:spacing w:line="336" w:lineRule="auto"/>
        <w:jc w:val="center"/>
        <w:outlineLvl w:val="0"/>
        <w:rPr>
          <w:rFonts w:ascii="仿宋_GB2312" w:hAnsi="仿宋" w:eastAsia="仿宋_GB2312" w:cs="仿宋"/>
          <w:b/>
          <w:color w:val="auto"/>
          <w:kern w:val="0"/>
          <w:sz w:val="28"/>
          <w:szCs w:val="28"/>
        </w:rPr>
      </w:pPr>
      <w:r>
        <w:rPr>
          <w:rFonts w:hint="eastAsia" w:ascii="仿宋_GB2312" w:hAnsi="仿宋" w:eastAsia="仿宋_GB2312" w:cs="仿宋"/>
          <w:b/>
          <w:color w:val="auto"/>
          <w:kern w:val="0"/>
          <w:sz w:val="28"/>
          <w:szCs w:val="28"/>
        </w:rPr>
        <w:t>目录</w:t>
      </w:r>
    </w:p>
    <w:p>
      <w:pPr>
        <w:pStyle w:val="223"/>
        <w:spacing w:line="336" w:lineRule="auto"/>
        <w:ind w:left="0" w:firstLine="0" w:firstLineChars="0"/>
        <w:rPr>
          <w:rFonts w:cs="仿宋"/>
          <w:color w:val="auto"/>
        </w:rPr>
      </w:pPr>
      <w:r>
        <w:rPr>
          <w:rFonts w:hint="eastAsia" w:hAnsi="仿宋_GB2312" w:cs="仿宋_GB2312"/>
          <w:color w:val="auto"/>
        </w:rPr>
        <w:t>（</w:t>
      </w:r>
      <w:r>
        <w:rPr>
          <w:rFonts w:hAnsi="仿宋_GB2312" w:cs="仿宋_GB2312"/>
          <w:color w:val="auto"/>
        </w:rPr>
        <w:t>1）</w:t>
      </w:r>
      <w:r>
        <w:rPr>
          <w:rFonts w:hint="eastAsia" w:cs="仿宋"/>
          <w:color w:val="auto"/>
        </w:rPr>
        <w:t>投标函</w:t>
      </w:r>
      <w:r>
        <w:rPr>
          <w:rFonts w:hint="eastAsia" w:hAnsi="仿宋_GB2312" w:cs="仿宋_GB2312"/>
          <w:color w:val="auto"/>
        </w:rPr>
        <w:t>………………………………………………………………………</w:t>
      </w:r>
      <w:r>
        <w:rPr>
          <w:rFonts w:hint="eastAsia" w:cs="仿宋"/>
          <w:color w:val="auto"/>
        </w:rPr>
        <w:t>（页码）</w:t>
      </w:r>
    </w:p>
    <w:p>
      <w:pPr>
        <w:pStyle w:val="223"/>
        <w:spacing w:line="336" w:lineRule="auto"/>
        <w:ind w:left="0" w:firstLine="0" w:firstLineChars="0"/>
        <w:rPr>
          <w:rFonts w:cs="仿宋"/>
          <w:color w:val="auto"/>
        </w:rPr>
      </w:pPr>
      <w:r>
        <w:rPr>
          <w:rFonts w:hint="eastAsia" w:hAnsi="仿宋_GB2312" w:cs="仿宋_GB2312"/>
          <w:color w:val="auto"/>
        </w:rPr>
        <w:t>（</w:t>
      </w:r>
      <w:r>
        <w:rPr>
          <w:rFonts w:hAnsi="仿宋_GB2312" w:cs="仿宋_GB2312"/>
          <w:color w:val="auto"/>
        </w:rPr>
        <w:t>2）</w:t>
      </w:r>
      <w:r>
        <w:rPr>
          <w:rFonts w:hint="eastAsia" w:cs="仿宋"/>
          <w:color w:val="auto"/>
        </w:rPr>
        <w:t>法定代表人授权书………………</w:t>
      </w:r>
      <w:r>
        <w:rPr>
          <w:rFonts w:hint="eastAsia" w:hAnsi="仿宋_GB2312" w:cs="仿宋_GB2312"/>
          <w:color w:val="auto"/>
        </w:rPr>
        <w:t>…………………………………………</w:t>
      </w:r>
      <w:r>
        <w:rPr>
          <w:rFonts w:hint="eastAsia" w:cs="仿宋"/>
          <w:color w:val="auto"/>
        </w:rPr>
        <w:t>（页码）</w:t>
      </w:r>
    </w:p>
    <w:p>
      <w:pPr>
        <w:pStyle w:val="223"/>
        <w:spacing w:line="336" w:lineRule="auto"/>
        <w:ind w:left="0" w:firstLine="0" w:firstLineChars="0"/>
        <w:rPr>
          <w:rFonts w:cs="仿宋"/>
          <w:color w:val="auto"/>
        </w:rPr>
      </w:pPr>
      <w:r>
        <w:rPr>
          <w:rFonts w:hint="eastAsia" w:hAnsi="仿宋_GB2312" w:cs="仿宋_GB2312"/>
          <w:color w:val="auto"/>
        </w:rPr>
        <w:t>（</w:t>
      </w:r>
      <w:r>
        <w:rPr>
          <w:rFonts w:hAnsi="仿宋_GB2312" w:cs="仿宋_GB2312"/>
          <w:color w:val="auto"/>
        </w:rPr>
        <w:t>3）</w:t>
      </w:r>
      <w:r>
        <w:rPr>
          <w:rFonts w:hint="eastAsia" w:cs="仿宋"/>
          <w:color w:val="auto"/>
        </w:rPr>
        <w:t>授权代表社保证明………………</w:t>
      </w:r>
      <w:r>
        <w:rPr>
          <w:rFonts w:hint="eastAsia" w:hAnsi="仿宋_GB2312" w:cs="仿宋_GB2312"/>
          <w:color w:val="auto"/>
        </w:rPr>
        <w:t>…………………………………………</w:t>
      </w:r>
      <w:r>
        <w:rPr>
          <w:rFonts w:hint="eastAsia" w:cs="仿宋"/>
          <w:color w:val="auto"/>
        </w:rPr>
        <w:t>（页码）</w:t>
      </w:r>
    </w:p>
    <w:p>
      <w:pPr>
        <w:pStyle w:val="223"/>
        <w:spacing w:line="336" w:lineRule="auto"/>
        <w:ind w:left="0" w:firstLine="0" w:firstLineChars="0"/>
        <w:rPr>
          <w:rFonts w:cs="仿宋"/>
          <w:color w:val="auto"/>
        </w:rPr>
      </w:pPr>
      <w:r>
        <w:rPr>
          <w:rFonts w:hint="eastAsia" w:hAnsi="仿宋_GB2312" w:cs="仿宋_GB2312"/>
          <w:color w:val="auto"/>
        </w:rPr>
        <w:t>（</w:t>
      </w:r>
      <w:r>
        <w:rPr>
          <w:rFonts w:hAnsi="仿宋_GB2312" w:cs="仿宋_GB2312"/>
          <w:color w:val="auto"/>
        </w:rPr>
        <w:t>4）</w:t>
      </w:r>
      <w:r>
        <w:rPr>
          <w:rFonts w:hint="eastAsia" w:cs="仿宋"/>
          <w:color w:val="auto"/>
        </w:rPr>
        <w:t>法定代表人及其授权代表身份证复印件（复印件）……………</w:t>
      </w:r>
      <w:r>
        <w:rPr>
          <w:rFonts w:hint="eastAsia" w:hAnsi="仿宋_GB2312" w:cs="仿宋_GB2312"/>
          <w:color w:val="auto"/>
        </w:rPr>
        <w:t>………</w:t>
      </w:r>
      <w:r>
        <w:rPr>
          <w:rFonts w:hint="eastAsia" w:cs="仿宋"/>
          <w:color w:val="auto"/>
        </w:rPr>
        <w:t>（页码）</w:t>
      </w:r>
    </w:p>
    <w:p>
      <w:pPr>
        <w:pStyle w:val="223"/>
        <w:spacing w:line="336" w:lineRule="auto"/>
        <w:ind w:left="0" w:firstLine="0" w:firstLineChars="0"/>
        <w:rPr>
          <w:rFonts w:cs="仿宋"/>
          <w:color w:val="auto"/>
        </w:rPr>
      </w:pPr>
      <w:r>
        <w:rPr>
          <w:rFonts w:hint="eastAsia" w:hAnsi="仿宋_GB2312" w:cs="仿宋_GB2312"/>
          <w:color w:val="auto"/>
        </w:rPr>
        <w:t>（</w:t>
      </w:r>
      <w:r>
        <w:rPr>
          <w:rFonts w:hAnsi="仿宋_GB2312" w:cs="仿宋_GB2312"/>
          <w:color w:val="auto"/>
        </w:rPr>
        <w:t>5）</w:t>
      </w:r>
      <w:r>
        <w:rPr>
          <w:rFonts w:hint="eastAsia" w:cs="仿宋"/>
          <w:color w:val="auto"/>
        </w:rPr>
        <w:t>法定代表人身份证明书……………………………………………………（页码）</w:t>
      </w:r>
    </w:p>
    <w:p>
      <w:pPr>
        <w:pStyle w:val="223"/>
        <w:spacing w:line="336" w:lineRule="auto"/>
        <w:ind w:left="0" w:firstLine="0" w:firstLineChars="0"/>
        <w:rPr>
          <w:rFonts w:cs="仿宋"/>
          <w:color w:val="auto"/>
        </w:rPr>
      </w:pPr>
      <w:r>
        <w:rPr>
          <w:rFonts w:hint="eastAsia" w:hAnsi="仿宋_GB2312" w:cs="仿宋_GB2312"/>
          <w:color w:val="auto"/>
        </w:rPr>
        <w:t>（</w:t>
      </w:r>
      <w:r>
        <w:rPr>
          <w:rFonts w:hAnsi="仿宋_GB2312" w:cs="仿宋_GB2312"/>
          <w:color w:val="auto"/>
        </w:rPr>
        <w:t>6）</w:t>
      </w:r>
      <w:r>
        <w:rPr>
          <w:rFonts w:hint="eastAsia" w:cs="仿宋"/>
          <w:color w:val="auto"/>
        </w:rPr>
        <w:t>商务技术偏离表……………………………………………………………（页码）</w:t>
      </w:r>
    </w:p>
    <w:p>
      <w:pPr>
        <w:pStyle w:val="223"/>
        <w:spacing w:line="336" w:lineRule="auto"/>
        <w:ind w:left="0" w:firstLine="0" w:firstLineChars="0"/>
        <w:rPr>
          <w:rFonts w:cs="仿宋"/>
          <w:color w:val="auto"/>
        </w:rPr>
      </w:pPr>
      <w:r>
        <w:rPr>
          <w:rFonts w:hint="eastAsia" w:hAnsi="仿宋_GB2312" w:cs="仿宋_GB2312"/>
          <w:color w:val="auto"/>
        </w:rPr>
        <w:t>（</w:t>
      </w:r>
      <w:r>
        <w:rPr>
          <w:rFonts w:hAnsi="仿宋_GB2312" w:cs="仿宋_GB2312"/>
          <w:color w:val="auto"/>
        </w:rPr>
        <w:t>7）</w:t>
      </w:r>
      <w:r>
        <w:rPr>
          <w:rFonts w:hint="eastAsia" w:cs="仿宋"/>
          <w:color w:val="auto"/>
          <w:lang w:val="zh-CN"/>
        </w:rPr>
        <w:t>政府采购供应商廉洁自律承诺书</w:t>
      </w:r>
      <w:r>
        <w:rPr>
          <w:rFonts w:hint="eastAsia" w:cs="仿宋"/>
          <w:color w:val="auto"/>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ascii="仿宋_GB2312" w:hAnsi="仿宋_GB2312" w:eastAsia="仿宋_GB2312" w:cs="仿宋_GB2312"/>
          <w:color w:val="auto"/>
          <w:sz w:val="24"/>
        </w:rPr>
        <w:t>12）供应商售后服务证明材料…………………………………………………（页码）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sz w:val="32"/>
          <w:szCs w:val="32"/>
        </w:rPr>
      </w:pPr>
      <w:r>
        <w:rPr>
          <w:rFonts w:hint="eastAsia" w:ascii="仿宋_GB2312" w:hAnsi="仿宋" w:eastAsia="仿宋_GB2312" w:cs="仿宋"/>
          <w:b/>
          <w:color w:val="auto"/>
          <w:kern w:val="0"/>
          <w:sz w:val="32"/>
          <w:szCs w:val="32"/>
        </w:rPr>
        <w:t>一、投标</w:t>
      </w:r>
      <w:r>
        <w:rPr>
          <w:rFonts w:hint="eastAsia" w:ascii="仿宋_GB2312" w:hAnsi="仿宋" w:eastAsia="仿宋_GB2312" w:cs="仿宋"/>
          <w:b/>
          <w:color w:val="auto"/>
          <w:sz w:val="32"/>
          <w:szCs w:val="32"/>
        </w:rPr>
        <w:t>函</w:t>
      </w:r>
    </w:p>
    <w:p>
      <w:pPr>
        <w:pStyle w:val="100"/>
        <w:spacing w:afterLines="0" w:line="400" w:lineRule="exact"/>
        <w:ind w:firstLine="0" w:firstLineChars="0"/>
        <w:rPr>
          <w:rFonts w:ascii="仿宋_GB2312" w:hAnsi="仿宋" w:eastAsia="仿宋_GB2312" w:cs="仿宋"/>
          <w:color w:val="auto"/>
          <w:szCs w:val="24"/>
        </w:rPr>
      </w:pPr>
      <w:r>
        <w:rPr>
          <w:rFonts w:hint="eastAsia" w:ascii="仿宋_GB2312" w:hAnsi="仿宋" w:eastAsia="仿宋_GB2312" w:cs="仿宋"/>
          <w:color w:val="auto"/>
          <w:szCs w:val="24"/>
        </w:rPr>
        <w:t>致：</w:t>
      </w:r>
      <w:r>
        <w:rPr>
          <w:rFonts w:hint="eastAsia" w:ascii="仿宋_GB2312" w:hAnsi="仿宋" w:eastAsia="仿宋_GB2312" w:cs="仿宋"/>
          <w:color w:val="auto"/>
          <w:szCs w:val="24"/>
          <w:u w:val="single"/>
        </w:rPr>
        <w:t>绍兴市政务服务办公室、浙江建诚工程管理咨询有限公司</w:t>
      </w:r>
    </w:p>
    <w:p>
      <w:pPr>
        <w:pStyle w:val="100"/>
        <w:spacing w:afterLines="0" w:line="400" w:lineRule="exact"/>
        <w:ind w:firstLine="480"/>
        <w:rPr>
          <w:rFonts w:ascii="仿宋_GB2312" w:hAnsi="仿宋" w:eastAsia="仿宋_GB2312" w:cs="仿宋"/>
          <w:color w:val="auto"/>
          <w:szCs w:val="24"/>
        </w:rPr>
      </w:pPr>
      <w:r>
        <w:rPr>
          <w:rFonts w:hint="eastAsia" w:ascii="仿宋_GB2312" w:hAnsi="仿宋" w:eastAsia="仿宋_GB2312" w:cs="仿宋"/>
          <w:color w:val="auto"/>
          <w:szCs w:val="24"/>
        </w:rPr>
        <w:t>根据贵方</w:t>
      </w:r>
      <w:r>
        <w:rPr>
          <w:rFonts w:hint="eastAsia" w:ascii="仿宋_GB2312" w:hAnsi="仿宋" w:eastAsia="仿宋_GB2312" w:cs="仿宋"/>
          <w:b/>
          <w:color w:val="auto"/>
          <w:szCs w:val="24"/>
          <w:u w:val="single"/>
        </w:rPr>
        <w:t xml:space="preserve">（填写项目名称）  </w:t>
      </w:r>
      <w:r>
        <w:rPr>
          <w:rFonts w:hint="eastAsia" w:ascii="仿宋_GB2312" w:hAnsi="仿宋" w:eastAsia="仿宋_GB2312" w:cs="仿宋"/>
          <w:color w:val="auto"/>
          <w:szCs w:val="24"/>
        </w:rPr>
        <w:t>招标文件（</w:t>
      </w:r>
      <w:r>
        <w:rPr>
          <w:rFonts w:hint="eastAsia" w:ascii="仿宋_GB2312" w:hAnsi="仿宋" w:eastAsia="仿宋_GB2312" w:cs="仿宋"/>
          <w:b/>
          <w:color w:val="auto"/>
          <w:szCs w:val="24"/>
          <w:u w:val="single"/>
        </w:rPr>
        <w:t>填写招标编号：</w:t>
      </w:r>
      <w:r>
        <w:rPr>
          <w:rFonts w:hint="eastAsia" w:ascii="仿宋_GB2312" w:hAnsi="仿宋" w:eastAsia="仿宋_GB2312" w:cs="仿宋"/>
          <w:color w:val="auto"/>
          <w:szCs w:val="24"/>
        </w:rPr>
        <w:t>）的要求，正式授权</w:t>
      </w:r>
      <w:r>
        <w:rPr>
          <w:rFonts w:hint="eastAsia" w:ascii="仿宋_GB2312" w:hAnsi="仿宋" w:eastAsia="仿宋_GB2312" w:cs="仿宋"/>
          <w:b/>
          <w:color w:val="auto"/>
          <w:szCs w:val="24"/>
          <w:u w:val="single"/>
        </w:rPr>
        <w:t>（全权代表姓名、单位、职务）</w:t>
      </w:r>
      <w:r>
        <w:rPr>
          <w:rFonts w:hint="eastAsia" w:ascii="仿宋_GB2312" w:hAnsi="仿宋" w:eastAsia="仿宋_GB2312" w:cs="仿宋"/>
          <w:color w:val="auto"/>
          <w:szCs w:val="24"/>
        </w:rPr>
        <w:t>代表投标人</w:t>
      </w:r>
      <w:r>
        <w:rPr>
          <w:rFonts w:hint="eastAsia" w:ascii="仿宋_GB2312" w:hAnsi="仿宋" w:eastAsia="仿宋_GB2312" w:cs="仿宋"/>
          <w:color w:val="auto"/>
          <w:szCs w:val="24"/>
          <w:u w:val="single"/>
        </w:rPr>
        <w:t>（</w:t>
      </w:r>
      <w:r>
        <w:rPr>
          <w:rFonts w:hint="eastAsia" w:ascii="仿宋_GB2312" w:hAnsi="仿宋" w:eastAsia="仿宋_GB2312" w:cs="仿宋"/>
          <w:b/>
          <w:color w:val="auto"/>
          <w:szCs w:val="24"/>
          <w:u w:val="single"/>
        </w:rPr>
        <w:t>填写单位</w:t>
      </w:r>
      <w:r>
        <w:rPr>
          <w:rFonts w:ascii="仿宋_GB2312" w:hAnsi="仿宋" w:eastAsia="仿宋_GB2312" w:cs="仿宋"/>
          <w:b/>
          <w:color w:val="auto"/>
          <w:szCs w:val="24"/>
          <w:u w:val="single"/>
        </w:rPr>
        <w:t xml:space="preserve">    、地址   </w:t>
      </w:r>
      <w:r>
        <w:rPr>
          <w:rFonts w:hint="eastAsia" w:ascii="仿宋_GB2312" w:hAnsi="仿宋" w:eastAsia="仿宋_GB2312" w:cs="仿宋"/>
          <w:color w:val="auto"/>
          <w:szCs w:val="24"/>
          <w:u w:val="single"/>
        </w:rPr>
        <w:t>）</w:t>
      </w:r>
      <w:r>
        <w:rPr>
          <w:rFonts w:hint="eastAsia" w:ascii="仿宋_GB2312" w:hAnsi="仿宋" w:eastAsia="仿宋_GB2312" w:cs="仿宋"/>
          <w:color w:val="auto"/>
          <w:szCs w:val="24"/>
        </w:rPr>
        <w:t>提交投标文件。</w:t>
      </w:r>
    </w:p>
    <w:p>
      <w:pPr>
        <w:pStyle w:val="100"/>
        <w:spacing w:afterLines="0" w:line="400" w:lineRule="exact"/>
        <w:ind w:firstLine="480"/>
        <w:rPr>
          <w:rFonts w:ascii="仿宋_GB2312" w:hAnsi="仿宋" w:eastAsia="仿宋_GB2312" w:cs="仿宋"/>
          <w:color w:val="auto"/>
          <w:szCs w:val="24"/>
        </w:rPr>
      </w:pPr>
      <w:r>
        <w:rPr>
          <w:rFonts w:hint="eastAsia" w:ascii="仿宋_GB2312" w:hAnsi="仿宋" w:eastAsia="仿宋_GB2312" w:cs="仿宋"/>
          <w:color w:val="auto"/>
          <w:szCs w:val="24"/>
        </w:rPr>
        <w:t>我方已完全明白招标文件的所有条款要求，兹声明同意如下：</w:t>
      </w:r>
    </w:p>
    <w:p>
      <w:pPr>
        <w:pStyle w:val="13"/>
        <w:snapToGrid w:val="0"/>
        <w:spacing w:afterLines="0" w:line="400" w:lineRule="exact"/>
        <w:ind w:left="0" w:firstLine="480" w:firstLineChars="200"/>
        <w:rPr>
          <w:rFonts w:ascii="仿宋_GB2312" w:hAnsi="仿宋" w:eastAsia="仿宋_GB2312" w:cs="仿宋"/>
          <w:color w:val="auto"/>
          <w:szCs w:val="24"/>
        </w:rPr>
      </w:pPr>
      <w:r>
        <w:rPr>
          <w:rFonts w:ascii="仿宋_GB2312" w:hAnsi="仿宋" w:eastAsia="仿宋_GB2312" w:cs="仿宋"/>
          <w:color w:val="auto"/>
          <w:szCs w:val="24"/>
        </w:rPr>
        <w:t>1.我方同意在投标人</w:t>
      </w:r>
      <w:r>
        <w:rPr>
          <w:rFonts w:hint="eastAsia" w:ascii="仿宋_GB2312" w:hAnsi="仿宋" w:eastAsia="仿宋_GB2312" w:cs="仿宋"/>
          <w:color w:val="auto"/>
          <w:kern w:val="44"/>
          <w:szCs w:val="24"/>
        </w:rPr>
        <w:t>须知</w:t>
      </w:r>
      <w:r>
        <w:rPr>
          <w:rFonts w:hint="eastAsia" w:ascii="仿宋_GB2312" w:hAnsi="仿宋" w:eastAsia="仿宋_GB2312" w:cs="仿宋"/>
          <w:color w:val="auto"/>
          <w:szCs w:val="24"/>
        </w:rPr>
        <w:t>规定的开标日期起遵守本投标文件中的承诺且在投标有效期满之前均具有约束力。</w:t>
      </w:r>
    </w:p>
    <w:p>
      <w:pPr>
        <w:pStyle w:val="100"/>
        <w:spacing w:afterLines="0" w:line="400" w:lineRule="exact"/>
        <w:ind w:firstLine="480"/>
        <w:rPr>
          <w:rFonts w:ascii="仿宋_GB2312" w:hAnsi="仿宋" w:eastAsia="仿宋_GB2312" w:cs="仿宋"/>
          <w:color w:val="auto"/>
          <w:szCs w:val="24"/>
        </w:rPr>
      </w:pPr>
      <w:r>
        <w:rPr>
          <w:rFonts w:ascii="仿宋_GB2312" w:hAnsi="仿宋" w:eastAsia="仿宋_GB2312" w:cs="仿宋"/>
          <w:color w:val="auto"/>
          <w:szCs w:val="24"/>
        </w:rPr>
        <w:t>2.我方承诺已经具备《中华人民共和国政府采购法》中规定的参加政府采购活动的供应商应当具备的条件。</w:t>
      </w:r>
    </w:p>
    <w:p>
      <w:pPr>
        <w:pStyle w:val="100"/>
        <w:spacing w:afterLines="0" w:line="400" w:lineRule="exact"/>
        <w:ind w:firstLine="480"/>
        <w:rPr>
          <w:rFonts w:ascii="仿宋_GB2312" w:hAnsi="仿宋" w:eastAsia="仿宋_GB2312" w:cs="仿宋"/>
          <w:color w:val="auto"/>
          <w:szCs w:val="24"/>
        </w:rPr>
      </w:pPr>
      <w:r>
        <w:rPr>
          <w:rFonts w:ascii="仿宋_GB2312" w:hAnsi="仿宋" w:eastAsia="仿宋_GB2312"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Lines="0" w:line="400" w:lineRule="exact"/>
        <w:ind w:firstLine="480"/>
        <w:rPr>
          <w:rFonts w:ascii="仿宋_GB2312" w:hAnsi="仿宋" w:eastAsia="仿宋_GB2312" w:cs="仿宋"/>
          <w:color w:val="auto"/>
          <w:szCs w:val="24"/>
        </w:rPr>
      </w:pPr>
      <w:r>
        <w:rPr>
          <w:rFonts w:ascii="仿宋_GB2312" w:hAnsi="仿宋" w:eastAsia="仿宋_GB2312" w:cs="仿宋"/>
          <w:color w:val="auto"/>
          <w:szCs w:val="24"/>
        </w:rPr>
        <w:t>4.我方理解贵方将不受你们所收到的最低报价的约束。</w:t>
      </w:r>
    </w:p>
    <w:p>
      <w:pPr>
        <w:pStyle w:val="13"/>
        <w:snapToGrid w:val="0"/>
        <w:spacing w:afterLines="0" w:line="400" w:lineRule="exact"/>
        <w:ind w:left="0" w:firstLine="480" w:firstLineChars="200"/>
        <w:rPr>
          <w:rFonts w:ascii="仿宋_GB2312" w:hAnsi="仿宋" w:eastAsia="仿宋_GB2312" w:cs="仿宋"/>
          <w:color w:val="auto"/>
          <w:szCs w:val="24"/>
        </w:rPr>
      </w:pPr>
      <w:r>
        <w:rPr>
          <w:rFonts w:ascii="仿宋_GB2312" w:hAnsi="仿宋" w:eastAsia="仿宋_GB2312" w:cs="仿宋"/>
          <w:color w:val="auto"/>
          <w:szCs w:val="24"/>
        </w:rPr>
        <w:t>5.本投标自开标之日（投标截止之日）起90天内有效。</w:t>
      </w:r>
    </w:p>
    <w:p>
      <w:pPr>
        <w:pStyle w:val="100"/>
        <w:spacing w:afterLines="0" w:line="400" w:lineRule="exact"/>
        <w:ind w:firstLine="480"/>
        <w:rPr>
          <w:rFonts w:ascii="仿宋_GB2312" w:hAnsi="仿宋" w:eastAsia="仿宋_GB2312" w:cs="仿宋"/>
          <w:color w:val="auto"/>
          <w:szCs w:val="24"/>
        </w:rPr>
      </w:pPr>
      <w:r>
        <w:rPr>
          <w:rFonts w:ascii="仿宋_GB2312" w:hAnsi="仿宋" w:eastAsia="仿宋_GB2312"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0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a)提供虚假材料谋取中标、成交的；</w:t>
      </w:r>
    </w:p>
    <w:p>
      <w:pPr>
        <w:snapToGrid w:val="0"/>
        <w:spacing w:line="40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b)采取不正当手段诋毁、排挤其他供应商的；</w:t>
      </w:r>
    </w:p>
    <w:p>
      <w:pPr>
        <w:snapToGrid w:val="0"/>
        <w:spacing w:line="40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c)与采购人、其它供应商或者采购代理机构恶意串通的；</w:t>
      </w:r>
    </w:p>
    <w:p>
      <w:pPr>
        <w:snapToGrid w:val="0"/>
        <w:spacing w:line="40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d)向采购人、采购代理机构行贿或者提供其他不正当利益的；</w:t>
      </w:r>
    </w:p>
    <w:p>
      <w:pPr>
        <w:snapToGrid w:val="0"/>
        <w:spacing w:line="40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e)在招标采购过程中与采购人进行协商谈判的；</w:t>
      </w:r>
    </w:p>
    <w:p>
      <w:pPr>
        <w:snapToGrid w:val="0"/>
        <w:spacing w:line="400" w:lineRule="exact"/>
        <w:ind w:firstLine="480" w:firstLineChars="200"/>
        <w:rPr>
          <w:rFonts w:ascii="仿宋_GB2312" w:hAnsi="仿宋" w:eastAsia="仿宋_GB2312" w:cs="仿宋"/>
          <w:color w:val="auto"/>
          <w:sz w:val="24"/>
        </w:rPr>
      </w:pPr>
      <w:r>
        <w:rPr>
          <w:rFonts w:ascii="仿宋_GB2312" w:hAnsi="仿宋" w:eastAsia="仿宋_GB2312" w:cs="仿宋"/>
          <w:color w:val="auto"/>
          <w:sz w:val="24"/>
        </w:rPr>
        <w:t>f)拒绝有关部门监督检查或提供虚假情况的。</w:t>
      </w:r>
    </w:p>
    <w:p>
      <w:pPr>
        <w:snapToGrid w:val="0"/>
        <w:spacing w:line="40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供应商有前款第</w:t>
      </w:r>
      <w:r>
        <w:rPr>
          <w:rFonts w:ascii="仿宋_GB2312" w:hAnsi="仿宋" w:eastAsia="仿宋_GB2312" w:cs="仿宋"/>
          <w:color w:val="auto"/>
          <w:sz w:val="24"/>
        </w:rPr>
        <w:t>a)至e)项情形之一的，中标、成交无效。</w:t>
      </w:r>
    </w:p>
    <w:p>
      <w:pPr>
        <w:pStyle w:val="100"/>
        <w:spacing w:afterLines="0" w:line="400" w:lineRule="exact"/>
        <w:ind w:firstLine="480"/>
        <w:rPr>
          <w:rFonts w:ascii="仿宋_GB2312" w:hAnsi="仿宋" w:eastAsia="仿宋_GB2312" w:cs="仿宋"/>
          <w:color w:val="auto"/>
          <w:szCs w:val="24"/>
        </w:rPr>
      </w:pPr>
      <w:r>
        <w:rPr>
          <w:rFonts w:hint="eastAsia" w:ascii="仿宋_GB2312" w:hAnsi="仿宋" w:eastAsia="仿宋_GB2312" w:cs="仿宋"/>
          <w:color w:val="auto"/>
          <w:szCs w:val="24"/>
        </w:rPr>
        <w:t>地址：　　　　　　　　　　　　　　　邮政编码：</w:t>
      </w:r>
    </w:p>
    <w:p>
      <w:pPr>
        <w:pStyle w:val="100"/>
        <w:spacing w:afterLines="0" w:line="400" w:lineRule="exact"/>
        <w:ind w:firstLine="480"/>
        <w:rPr>
          <w:rFonts w:ascii="仿宋_GB2312" w:hAnsi="仿宋" w:eastAsia="仿宋_GB2312" w:cs="仿宋"/>
          <w:color w:val="auto"/>
          <w:szCs w:val="24"/>
        </w:rPr>
      </w:pPr>
      <w:r>
        <w:rPr>
          <w:rFonts w:hint="eastAsia" w:ascii="仿宋_GB2312" w:hAnsi="仿宋" w:eastAsia="仿宋_GB2312" w:cs="仿宋"/>
          <w:color w:val="auto"/>
          <w:szCs w:val="24"/>
        </w:rPr>
        <w:t>电话：传真：</w:t>
      </w:r>
    </w:p>
    <w:p>
      <w:pPr>
        <w:pStyle w:val="100"/>
        <w:spacing w:afterLines="0" w:line="400" w:lineRule="exact"/>
        <w:ind w:firstLine="480"/>
        <w:rPr>
          <w:rFonts w:ascii="仿宋_GB2312" w:hAnsi="仿宋" w:eastAsia="仿宋_GB2312" w:cs="仿宋"/>
          <w:color w:val="auto"/>
          <w:szCs w:val="24"/>
        </w:rPr>
      </w:pPr>
      <w:r>
        <w:rPr>
          <w:rFonts w:hint="eastAsia" w:ascii="仿宋_GB2312" w:hAnsi="仿宋" w:eastAsia="仿宋_GB2312" w:cs="仿宋"/>
          <w:color w:val="auto"/>
          <w:szCs w:val="24"/>
        </w:rPr>
        <w:t>开户银行：帐号：</w:t>
      </w:r>
    </w:p>
    <w:p>
      <w:pPr>
        <w:pStyle w:val="100"/>
        <w:spacing w:afterLines="0" w:line="400" w:lineRule="exact"/>
        <w:ind w:firstLine="480"/>
        <w:rPr>
          <w:rFonts w:ascii="仿宋_GB2312" w:hAnsi="仿宋" w:eastAsia="仿宋_GB2312" w:cs="仿宋"/>
          <w:color w:val="auto"/>
          <w:szCs w:val="24"/>
        </w:rPr>
      </w:pPr>
    </w:p>
    <w:p>
      <w:pPr>
        <w:pStyle w:val="100"/>
        <w:spacing w:afterLines="0" w:line="400" w:lineRule="exact"/>
        <w:ind w:firstLine="480"/>
        <w:rPr>
          <w:rFonts w:ascii="仿宋_GB2312" w:hAnsi="仿宋" w:eastAsia="仿宋_GB2312" w:cs="仿宋"/>
          <w:color w:val="auto"/>
        </w:rPr>
      </w:pPr>
      <w:r>
        <w:rPr>
          <w:rFonts w:hint="eastAsia" w:ascii="仿宋_GB2312" w:hAnsi="仿宋" w:eastAsia="仿宋_GB2312" w:cs="仿宋"/>
          <w:color w:val="auto"/>
          <w:szCs w:val="24"/>
        </w:rPr>
        <w:t>法定代表人或其授权代表</w:t>
      </w:r>
      <w:r>
        <w:rPr>
          <w:rFonts w:ascii="仿宋_GB2312" w:hAnsi="仿宋" w:eastAsia="仿宋_GB2312" w:cs="仿宋"/>
          <w:color w:val="auto"/>
          <w:szCs w:val="24"/>
        </w:rPr>
        <w:t>(签字或盖章)：</w:t>
      </w:r>
    </w:p>
    <w:p>
      <w:pPr>
        <w:snapToGrid w:val="0"/>
        <w:spacing w:line="400" w:lineRule="exact"/>
        <w:ind w:firstLine="480" w:firstLineChars="200"/>
        <w:jc w:val="left"/>
        <w:rPr>
          <w:rFonts w:ascii="仿宋_GB2312" w:hAnsi="仿宋" w:eastAsia="仿宋_GB2312" w:cs="仿宋"/>
          <w:b/>
          <w:color w:val="auto"/>
          <w:kern w:val="0"/>
          <w:sz w:val="32"/>
          <w:szCs w:val="32"/>
        </w:rPr>
      </w:pPr>
      <w:r>
        <w:rPr>
          <w:rFonts w:hint="eastAsia" w:ascii="仿宋_GB2312" w:hAnsi="仿宋" w:eastAsia="仿宋_GB2312" w:cs="仿宋"/>
          <w:color w:val="auto"/>
          <w:sz w:val="24"/>
        </w:rPr>
        <w:t>投标人</w:t>
      </w:r>
      <w:r>
        <w:rPr>
          <w:rFonts w:ascii="仿宋_GB2312" w:hAnsi="仿宋" w:eastAsia="仿宋_GB2312" w:cs="仿宋"/>
          <w:color w:val="auto"/>
          <w:sz w:val="24"/>
        </w:rPr>
        <w:t xml:space="preserve">(电子签章)：　　　　　　　　　日期：  </w:t>
      </w: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二、法定代表人授权委托书（格式）</w:t>
      </w:r>
      <w:r>
        <w:rPr>
          <w:rFonts w:hint="eastAsia" w:ascii="仿宋_GB2312" w:hAnsi="仿宋" w:eastAsia="仿宋_GB2312" w:cs="仿宋"/>
          <w:b/>
          <w:color w:val="auto"/>
          <w:kern w:val="0"/>
          <w:sz w:val="32"/>
          <w:szCs w:val="32"/>
          <w:lang w:val="zh-CN"/>
        </w:rPr>
        <w:t>（适用于非联合体投标）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本授权委托书声明：我</w:t>
      </w:r>
      <w:r>
        <w:rPr>
          <w:rFonts w:ascii="仿宋_GB2312" w:hAnsi="仿宋" w:eastAsia="仿宋_GB2312" w:cs="仿宋"/>
          <w:color w:val="auto"/>
          <w:sz w:val="24"/>
          <w:u w:val="single"/>
        </w:rPr>
        <w:t xml:space="preserve">         (填写姓名)</w:t>
      </w:r>
      <w:r>
        <w:rPr>
          <w:rFonts w:hint="eastAsia" w:ascii="仿宋_GB2312" w:hAnsi="仿宋" w:eastAsia="仿宋_GB2312" w:cs="仿宋"/>
          <w:color w:val="auto"/>
          <w:sz w:val="24"/>
        </w:rPr>
        <w:t>系</w:t>
      </w:r>
      <w:r>
        <w:rPr>
          <w:rFonts w:ascii="仿宋_GB2312" w:hAnsi="仿宋" w:eastAsia="仿宋_GB2312" w:cs="仿宋"/>
          <w:color w:val="auto"/>
          <w:sz w:val="24"/>
          <w:u w:val="single"/>
        </w:rPr>
        <w:t xml:space="preserve">                   （填写投标人单位全称）</w:t>
      </w:r>
      <w:r>
        <w:rPr>
          <w:rFonts w:hint="eastAsia" w:ascii="仿宋_GB2312" w:hAnsi="仿宋" w:eastAsia="仿宋_GB2312" w:cs="仿宋"/>
          <w:color w:val="auto"/>
          <w:sz w:val="24"/>
        </w:rPr>
        <w:t>的法定代表人，现授权委托</w:t>
      </w:r>
      <w:r>
        <w:rPr>
          <w:rFonts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的（填写姓名）为我公司授权代表，</w:t>
      </w:r>
      <w:r>
        <w:rPr>
          <w:rFonts w:hint="eastAsia" w:ascii="仿宋_GB2312" w:hAnsi="仿宋" w:eastAsia="仿宋_GB2312" w:cs="仿宋"/>
          <w:color w:val="auto"/>
          <w:sz w:val="24"/>
          <w:u w:val="single"/>
        </w:rPr>
        <w:t>（填写身份证号码：）</w:t>
      </w:r>
      <w:r>
        <w:rPr>
          <w:rFonts w:hint="eastAsia" w:ascii="仿宋_GB2312" w:hAnsi="仿宋" w:eastAsia="仿宋_GB2312" w:cs="仿宋"/>
          <w:color w:val="auto"/>
          <w:sz w:val="24"/>
        </w:rPr>
        <w:t>。以本公司的名义参加</w:t>
      </w:r>
      <w:r>
        <w:rPr>
          <w:rFonts w:hint="eastAsia" w:ascii="仿宋_GB2312" w:hAnsi="仿宋" w:eastAsia="仿宋_GB2312" w:cs="仿宋"/>
          <w:color w:val="auto"/>
          <w:sz w:val="24"/>
          <w:u w:val="single"/>
        </w:rPr>
        <w:t>绍兴市政务服务办公室、浙江建诚工程管理咨询有限公司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rPr>
        <w:t>项目（招标编号</w:t>
      </w:r>
      <w:r>
        <w:rPr>
          <w:rFonts w:ascii="仿宋_GB2312" w:hAnsi="仿宋" w:eastAsia="仿宋_GB2312" w:cs="仿宋"/>
          <w:color w:val="auto"/>
          <w:sz w:val="24"/>
          <w:u w:val="single"/>
        </w:rPr>
        <w:t>:</w:t>
      </w:r>
      <w:r>
        <w:rPr>
          <w:rFonts w:hint="eastAsia" w:ascii="仿宋_GB2312" w:hAnsi="仿宋" w:eastAsia="仿宋_GB2312" w:cs="仿宋"/>
          <w:color w:val="auto"/>
          <w:sz w:val="24"/>
          <w:u w:val="single"/>
        </w:rPr>
        <w:t>）</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授权代表姓名：性别：年龄：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单位：部门：职务：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办公地址：联系电话：传真：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投标人（电子签章）：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法定代表人（签字或盖章）：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ind w:firstLine="5280" w:firstLineChars="2200"/>
        <w:jc w:val="left"/>
        <w:rPr>
          <w:rFonts w:ascii="仿宋_GB2312" w:hAnsi="仿宋" w:eastAsia="仿宋_GB2312" w:cs="仿宋"/>
          <w:color w:val="auto"/>
          <w:sz w:val="24"/>
        </w:rPr>
      </w:pPr>
      <w:r>
        <w:rPr>
          <w:rFonts w:hint="eastAsia" w:ascii="仿宋_GB2312" w:hAnsi="仿宋" w:eastAsia="仿宋_GB2312" w:cs="仿宋"/>
          <w:color w:val="auto"/>
          <w:sz w:val="24"/>
        </w:rPr>
        <w:t>日期：年月日</w:t>
      </w:r>
    </w:p>
    <w:p>
      <w:pPr>
        <w:ind w:firstLine="4920" w:firstLineChars="2050"/>
        <w:jc w:val="left"/>
        <w:rPr>
          <w:rFonts w:ascii="仿宋_GB2312" w:hAnsi="仿宋" w:eastAsia="仿宋_GB2312" w:cs="仿宋"/>
          <w:color w:val="auto"/>
          <w:sz w:val="24"/>
        </w:rPr>
      </w:pP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法定代表人授权委托书（格式）</w:t>
      </w:r>
      <w:r>
        <w:rPr>
          <w:rFonts w:hint="eastAsia" w:ascii="仿宋_GB2312" w:hAnsi="仿宋" w:eastAsia="仿宋_GB2312" w:cs="仿宋"/>
          <w:b/>
          <w:color w:val="auto"/>
          <w:kern w:val="0"/>
          <w:sz w:val="32"/>
          <w:szCs w:val="32"/>
          <w:lang w:val="zh-CN"/>
        </w:rPr>
        <w:t>（适用于联合体投标）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w:t>
      </w: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现授权委托</w:t>
      </w:r>
      <w:r>
        <w:rPr>
          <w:rFonts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w:t>
      </w:r>
      <w:r>
        <w:rPr>
          <w:rFonts w:hint="eastAsia" w:ascii="仿宋_GB2312" w:hAnsi="仿宋" w:eastAsia="仿宋_GB2312" w:cs="仿宋"/>
          <w:color w:val="auto"/>
          <w:sz w:val="24"/>
          <w:u w:val="single"/>
        </w:rPr>
        <w:t>（填写姓名）</w:t>
      </w:r>
      <w:r>
        <w:rPr>
          <w:rFonts w:hint="eastAsia" w:ascii="仿宋_GB2312" w:hAnsi="仿宋" w:eastAsia="仿宋_GB2312" w:cs="仿宋"/>
          <w:color w:val="auto"/>
          <w:sz w:val="24"/>
        </w:rPr>
        <w:t>为我方授权代表，</w:t>
      </w:r>
      <w:r>
        <w:rPr>
          <w:rFonts w:hint="eastAsia" w:ascii="仿宋_GB2312" w:hAnsi="仿宋" w:eastAsia="仿宋_GB2312" w:cs="仿宋"/>
          <w:color w:val="auto"/>
          <w:sz w:val="24"/>
          <w:u w:val="single"/>
        </w:rPr>
        <w:t>（填写身份证号码：）</w:t>
      </w:r>
      <w:r>
        <w:rPr>
          <w:rFonts w:hint="eastAsia" w:ascii="仿宋_GB2312" w:hAnsi="仿宋" w:eastAsia="仿宋_GB2312" w:cs="仿宋"/>
          <w:color w:val="auto"/>
          <w:sz w:val="24"/>
        </w:rPr>
        <w:t>。以我方的名义参加</w:t>
      </w:r>
      <w:r>
        <w:rPr>
          <w:rFonts w:ascii="仿宋_GB2312" w:hAnsi="仿宋" w:eastAsia="仿宋_GB2312" w:cs="仿宋"/>
          <w:color w:val="auto"/>
          <w:sz w:val="24"/>
          <w:u w:val="single"/>
        </w:rPr>
        <w:t>绍兴市政务服务办公室、</w:t>
      </w:r>
      <w:r>
        <w:rPr>
          <w:rFonts w:hint="eastAsia" w:ascii="仿宋_GB2312" w:hAnsi="仿宋" w:eastAsia="仿宋_GB2312" w:cs="仿宋"/>
          <w:color w:val="auto"/>
          <w:sz w:val="24"/>
          <w:u w:val="single"/>
        </w:rPr>
        <w:t>浙江建诚工程管理咨询有限公司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rPr>
        <w:t>项目（招标编号</w:t>
      </w:r>
      <w:r>
        <w:rPr>
          <w:rFonts w:ascii="仿宋_GB2312" w:hAnsi="仿宋" w:eastAsia="仿宋_GB2312" w:cs="仿宋"/>
          <w:color w:val="auto"/>
          <w:sz w:val="24"/>
          <w:u w:val="single"/>
        </w:rPr>
        <w:t>:</w:t>
      </w:r>
      <w:r>
        <w:rPr>
          <w:rFonts w:hint="eastAsia" w:ascii="仿宋_GB2312" w:hAnsi="仿宋" w:eastAsia="仿宋_GB2312" w:cs="仿宋"/>
          <w:color w:val="auto"/>
          <w:sz w:val="24"/>
          <w:u w:val="single"/>
        </w:rPr>
        <w:t>）</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授权代表姓名：性别：年龄：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单位：部门：职务：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办公地址：联系电话：传真：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jc w:val="center"/>
        <w:rPr>
          <w:rFonts w:ascii="仿宋_GB2312" w:hAnsi="仿宋" w:eastAsia="仿宋_GB2312" w:cs="仿宋"/>
          <w:b/>
          <w:color w:val="auto"/>
          <w:kern w:val="0"/>
          <w:sz w:val="32"/>
          <w:szCs w:val="32"/>
        </w:rPr>
      </w:pPr>
    </w:p>
    <w:p>
      <w:pPr>
        <w:rPr>
          <w:rFonts w:ascii="仿宋_GB2312" w:hAnsi="仿宋" w:eastAsia="仿宋_GB2312" w:cs="仿宋"/>
          <w:color w:val="auto"/>
        </w:rPr>
      </w:pP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w:t>
      </w:r>
      <w:r>
        <w:rPr>
          <w:rFonts w:ascii="仿宋_GB2312" w:hAnsi="仿宋" w:eastAsia="仿宋_GB2312" w:cs="仿宋"/>
          <w:color w:val="auto"/>
          <w:kern w:val="0"/>
          <w:sz w:val="24"/>
          <w:lang w:val="zh-CN"/>
        </w:rPr>
        <w:t>(电子签名/公章)：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w:t>
      </w:r>
      <w:r>
        <w:rPr>
          <w:rFonts w:ascii="仿宋_GB2312" w:hAnsi="仿宋" w:eastAsia="仿宋_GB2312" w:cs="仿宋"/>
          <w:color w:val="auto"/>
          <w:kern w:val="0"/>
          <w:sz w:val="24"/>
          <w:lang w:val="zh-CN"/>
        </w:rPr>
        <w:t>(电子签名/公章)：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napToGrid w:val="0"/>
        <w:spacing w:line="360" w:lineRule="auto"/>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lang w:val="zh-CN"/>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pPr>
        <w:spacing w:line="800" w:lineRule="exact"/>
        <w:ind w:firstLine="480" w:firstLineChars="200"/>
        <w:rPr>
          <w:rFonts w:ascii="仿宋_GB2312" w:hAnsi="仿宋" w:eastAsia="仿宋_GB2312" w:cs="仿宋"/>
          <w:b/>
          <w:color w:val="auto"/>
          <w:sz w:val="30"/>
          <w:szCs w:val="30"/>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w:t>
      </w:r>
      <w:r>
        <w:rPr>
          <w:rFonts w:ascii="仿宋_GB2312" w:hAnsi="宋体" w:eastAsia="仿宋_GB2312"/>
          <w:color w:val="auto"/>
          <w:sz w:val="24"/>
          <w:u w:val="wave"/>
        </w:rPr>
        <w:t>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四、法定代表人及其授权代表身份证复印件（正反面）</w:t>
      </w:r>
    </w:p>
    <w:p>
      <w:pPr>
        <w:spacing w:line="800" w:lineRule="exact"/>
        <w:rPr>
          <w:rFonts w:ascii="仿宋_GB2312" w:hAnsi="仿宋" w:eastAsia="仿宋_GB2312" w:cs="仿宋"/>
          <w:b/>
          <w:color w:val="auto"/>
          <w:sz w:val="24"/>
        </w:rPr>
      </w:pPr>
    </w:p>
    <w:p>
      <w:pPr>
        <w:spacing w:line="800" w:lineRule="exact"/>
        <w:rPr>
          <w:rFonts w:ascii="仿宋_GB2312" w:hAnsi="仿宋" w:eastAsia="仿宋_GB2312" w:cs="仿宋"/>
          <w:b/>
          <w:color w:val="auto"/>
          <w:sz w:val="24"/>
        </w:rPr>
      </w:pPr>
    </w:p>
    <w:p>
      <w:pPr>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五、法定代表人身份证明书</w:t>
      </w:r>
      <w:r>
        <w:rPr>
          <w:rFonts w:ascii="仿宋_GB2312" w:hAnsi="仿宋" w:eastAsia="仿宋_GB2312" w:cs="仿宋"/>
          <w:b/>
          <w:color w:val="auto"/>
          <w:sz w:val="30"/>
          <w:szCs w:val="30"/>
        </w:rPr>
        <w:t>(格式)</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投标人：</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地址：</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姓名：</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身份证号码：</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rPr>
      </w:pPr>
      <w:r>
        <w:rPr>
          <w:rFonts w:hint="eastAsia" w:ascii="仿宋_GB2312" w:hAnsi="仿宋" w:eastAsia="仿宋_GB2312" w:cs="仿宋"/>
          <w:color w:val="auto"/>
          <w:sz w:val="24"/>
        </w:rPr>
        <w:t>职务：</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系</w:t>
      </w:r>
      <w:r>
        <w:rPr>
          <w:rFonts w:ascii="仿宋_GB2312" w:hAnsi="仿宋" w:eastAsia="仿宋_GB2312" w:cs="仿宋"/>
          <w:color w:val="auto"/>
          <w:sz w:val="24"/>
          <w:u w:val="single"/>
        </w:rPr>
        <w:t xml:space="preserve">                           （填写投标人名称）</w:t>
      </w:r>
      <w:r>
        <w:rPr>
          <w:rFonts w:hint="eastAsia" w:ascii="仿宋_GB2312" w:hAnsi="仿宋" w:eastAsia="仿宋_GB2312" w:cs="仿宋"/>
          <w:color w:val="auto"/>
          <w:sz w:val="24"/>
        </w:rPr>
        <w:t>的法定代表人。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特此证明。</w:t>
      </w:r>
    </w:p>
    <w:p>
      <w:pPr>
        <w:spacing w:line="440" w:lineRule="exact"/>
        <w:rPr>
          <w:rFonts w:ascii="仿宋_GB2312" w:hAnsi="仿宋" w:eastAsia="仿宋_GB2312" w:cs="仿宋"/>
          <w:color w:val="auto"/>
          <w:sz w:val="24"/>
        </w:rPr>
      </w:pP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投标人名称：（电子签章）</w:t>
      </w:r>
    </w:p>
    <w:p>
      <w:pPr>
        <w:spacing w:line="440" w:lineRule="exact"/>
        <w:ind w:right="480"/>
        <w:rPr>
          <w:rFonts w:ascii="仿宋_GB2312" w:hAnsi="仿宋" w:eastAsia="仿宋_GB2312" w:cs="仿宋"/>
          <w:color w:val="auto"/>
          <w:sz w:val="24"/>
        </w:rPr>
      </w:pPr>
    </w:p>
    <w:p>
      <w:pPr>
        <w:spacing w:line="440" w:lineRule="exact"/>
        <w:ind w:right="720"/>
        <w:jc w:val="right"/>
        <w:rPr>
          <w:rFonts w:ascii="仿宋_GB2312" w:hAnsi="仿宋" w:eastAsia="仿宋_GB2312" w:cs="仿宋"/>
          <w:color w:val="auto"/>
          <w:sz w:val="24"/>
        </w:rPr>
      </w:pPr>
      <w:r>
        <w:rPr>
          <w:rFonts w:hint="eastAsia" w:ascii="仿宋_GB2312" w:hAnsi="仿宋" w:eastAsia="仿宋_GB2312" w:cs="仿宋"/>
          <w:color w:val="auto"/>
          <w:sz w:val="24"/>
        </w:rPr>
        <w:t>年月日</w:t>
      </w: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p>
    <w:p>
      <w:pPr>
        <w:rPr>
          <w:rFonts w:ascii="仿宋_GB2312" w:eastAsia="仿宋_GB2312"/>
          <w:color w:val="auto"/>
        </w:rPr>
      </w:pP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序号</w:t>
            </w:r>
          </w:p>
        </w:tc>
        <w:tc>
          <w:tcPr>
            <w:tcW w:w="3650" w:type="dxa"/>
            <w:vAlign w:val="center"/>
          </w:tcPr>
          <w:p>
            <w:pPr>
              <w:jc w:val="center"/>
              <w:rPr>
                <w:rFonts w:ascii="仿宋_GB2312" w:eastAsia="仿宋_GB2312"/>
                <w:b/>
                <w:color w:val="auto"/>
              </w:rPr>
            </w:pPr>
            <w:r>
              <w:rPr>
                <w:rFonts w:hint="eastAsia" w:ascii="仿宋_GB2312" w:eastAsia="仿宋_GB2312"/>
                <w:b/>
                <w:color w:val="auto"/>
              </w:rPr>
              <w:t>招标文件章节及具体内容</w:t>
            </w:r>
          </w:p>
        </w:tc>
        <w:tc>
          <w:tcPr>
            <w:tcW w:w="3514" w:type="dxa"/>
            <w:vAlign w:val="center"/>
          </w:tcPr>
          <w:p>
            <w:pPr>
              <w:jc w:val="center"/>
              <w:rPr>
                <w:rFonts w:ascii="仿宋_GB2312" w:eastAsia="仿宋_GB2312"/>
                <w:b/>
                <w:color w:val="auto"/>
              </w:rPr>
            </w:pPr>
            <w:r>
              <w:rPr>
                <w:rFonts w:hint="eastAsia" w:ascii="仿宋_GB2312" w:eastAsia="仿宋_GB2312"/>
                <w:b/>
                <w:color w:val="auto"/>
              </w:rPr>
              <w:t>投标文件章节及具体内容</w:t>
            </w:r>
          </w:p>
        </w:tc>
        <w:tc>
          <w:tcPr>
            <w:tcW w:w="1265" w:type="dxa"/>
            <w:vAlign w:val="center"/>
          </w:tcPr>
          <w:p>
            <w:pPr>
              <w:jc w:val="center"/>
              <w:rPr>
                <w:rFonts w:ascii="仿宋_GB2312" w:eastAsia="仿宋_GB2312"/>
                <w:b/>
                <w:color w:val="auto"/>
              </w:rPr>
            </w:pPr>
            <w:r>
              <w:rPr>
                <w:rFonts w:hint="eastAsia" w:ascii="仿宋_GB2312" w:eastAsia="仿宋_GB2312"/>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ascii="仿宋_GB2312" w:eastAsia="仿宋_GB2312"/>
                <w:b/>
                <w:color w:val="auto"/>
              </w:rPr>
              <w:t>1</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ascii="仿宋_GB2312" w:eastAsia="仿宋_GB2312"/>
                <w:b/>
                <w:color w:val="auto"/>
              </w:rPr>
              <w:t>2</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bl>
    <w:p>
      <w:pPr>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投标人保证：除商务技术偏离表列出的偏离外，投标人响应招标文件的全部要求</w:t>
      </w:r>
    </w:p>
    <w:p>
      <w:pPr>
        <w:jc w:val="center"/>
        <w:rPr>
          <w:rFonts w:ascii="仿宋_GB2312" w:hAnsi="仿宋" w:eastAsia="仿宋_GB2312" w:cs="仿宋"/>
          <w:b/>
          <w:color w:val="auto"/>
          <w:kern w:val="0"/>
          <w:sz w:val="32"/>
          <w:szCs w:val="32"/>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ind w:firstLine="1911" w:firstLineChars="595"/>
        <w:rPr>
          <w:rFonts w:ascii="仿宋_GB2312" w:hAnsi="仿宋" w:eastAsia="仿宋_GB2312" w:cs="仿宋"/>
          <w:b/>
          <w:bCs/>
          <w:color w:val="auto"/>
          <w:sz w:val="32"/>
          <w:szCs w:val="32"/>
        </w:rPr>
      </w:pPr>
    </w:p>
    <w:p>
      <w:pPr>
        <w:widowControl/>
        <w:jc w:val="center"/>
        <w:rPr>
          <w:rFonts w:ascii="仿宋_GB2312" w:hAnsi="仿宋" w:eastAsia="仿宋_GB2312" w:cs="仿宋"/>
          <w:b/>
          <w:color w:val="auto"/>
          <w:kern w:val="0"/>
          <w:sz w:val="32"/>
          <w:szCs w:val="32"/>
        </w:rPr>
      </w:pPr>
      <w:r>
        <w:rPr>
          <w:rFonts w:hint="eastAsia" w:ascii="仿宋_GB2312" w:hAnsi="仿宋" w:eastAsia="仿宋_GB2312" w:cs="仿宋"/>
          <w:b/>
          <w:bCs/>
          <w:color w:val="auto"/>
          <w:sz w:val="32"/>
          <w:szCs w:val="32"/>
        </w:rPr>
        <w:t>七</w:t>
      </w:r>
      <w:r>
        <w:rPr>
          <w:rFonts w:hint="eastAsia" w:ascii="仿宋_GB2312" w:hAnsi="仿宋" w:eastAsia="仿宋_GB2312" w:cs="仿宋"/>
          <w:b/>
          <w:color w:val="auto"/>
          <w:kern w:val="0"/>
          <w:sz w:val="32"/>
          <w:szCs w:val="32"/>
        </w:rPr>
        <w:t>、</w:t>
      </w:r>
      <w:r>
        <w:rPr>
          <w:rFonts w:hint="eastAsia" w:ascii="仿宋_GB2312" w:hAnsi="仿宋" w:eastAsia="仿宋_GB2312" w:cs="仿宋"/>
          <w:b/>
          <w:color w:val="auto"/>
          <w:kern w:val="0"/>
          <w:sz w:val="32"/>
          <w:szCs w:val="32"/>
          <w:lang w:val="zh-CN"/>
        </w:rPr>
        <w:t>政府采购供应商廉洁自律承诺书</w:t>
      </w:r>
    </w:p>
    <w:p>
      <w:pPr>
        <w:snapToGrid w:val="0"/>
        <w:spacing w:line="360" w:lineRule="auto"/>
        <w:rPr>
          <w:rFonts w:ascii="仿宋_GB2312" w:hAnsi="仿宋" w:eastAsia="仿宋_GB2312" w:cs="仿宋"/>
          <w:color w:val="auto"/>
          <w:sz w:val="24"/>
        </w:rPr>
      </w:pP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sz w:val="24"/>
        </w:rPr>
        <w:t>绍兴市政务服务办公室、浙江建诚工程管理咨询有限公司</w:t>
      </w:r>
      <w:r>
        <w:rPr>
          <w:rFonts w:hint="eastAsia" w:ascii="仿宋_GB2312" w:hAnsi="仿宋" w:eastAsia="仿宋_GB2312" w:cs="仿宋"/>
          <w:color w:val="auto"/>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我单位响应你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好处；</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六、严格遵守《</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政府采购法》《</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招标投标</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法》</w:t>
      </w:r>
      <w:r>
        <w:rPr>
          <w:rFonts w:hint="eastAsia" w:ascii="仿宋_GB2312" w:hAnsi="仿宋" w:eastAsia="仿宋_GB2312" w:cs="仿宋"/>
          <w:color w:val="auto"/>
          <w:sz w:val="24"/>
          <w:lang w:val="zh-CN"/>
        </w:rPr>
        <w:t>《中华人民共和国民法典》</w:t>
      </w:r>
      <w:r>
        <w:rPr>
          <w:rFonts w:hint="eastAsia" w:ascii="仿宋_GB2312" w:hAnsi="仿宋" w:eastAsia="仿宋_GB2312" w:cs="仿宋"/>
          <w:color w:val="auto"/>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如违反上述承诺，你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有权立即取消我单位投标、中标或在建项目的建设资格，有权拒绝我单位在一定时期内进入你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投标人名称（</w:t>
      </w:r>
      <w:r>
        <w:rPr>
          <w:rFonts w:hint="eastAsia" w:ascii="仿宋_GB2312" w:hAnsi="仿宋" w:eastAsia="仿宋_GB2312" w:cs="仿宋"/>
          <w:color w:val="auto"/>
          <w:sz w:val="24"/>
        </w:rPr>
        <w:t>电子签名</w:t>
      </w:r>
      <w:r>
        <w:rPr>
          <w:rFonts w:hint="eastAsia" w:ascii="仿宋_GB2312" w:hAnsi="仿宋" w:eastAsia="仿宋_GB2312" w:cs="仿宋"/>
          <w:color w:val="auto"/>
          <w:kern w:val="0"/>
          <w:sz w:val="24"/>
          <w:lang w:val="zh-CN"/>
        </w:rPr>
        <w:t>）：</w:t>
      </w:r>
    </w:p>
    <w:p>
      <w:pPr>
        <w:spacing w:line="360" w:lineRule="auto"/>
        <w:ind w:left="4620" w:leftChars="2200"/>
        <w:rPr>
          <w:rFonts w:ascii="仿宋_GB2312" w:hAnsi="仿宋" w:eastAsia="仿宋_GB2312" w:cs="仿宋"/>
          <w:color w:val="auto"/>
          <w:sz w:val="24"/>
        </w:rPr>
      </w:pP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w:t>
      </w:r>
      <w:r>
        <w:rPr>
          <w:rFonts w:ascii="仿宋_GB2312" w:hAnsi="仿宋" w:eastAsia="仿宋_GB2312" w:cs="仿宋"/>
          <w:color w:val="auto"/>
          <w:kern w:val="0"/>
          <w:sz w:val="24"/>
          <w:lang w:val="zh-CN"/>
        </w:rPr>
        <w:t xml:space="preserve">   年   月   日</w:t>
      </w:r>
    </w:p>
    <w:p>
      <w:pPr>
        <w:spacing w:line="360" w:lineRule="auto"/>
        <w:jc w:val="center"/>
        <w:rPr>
          <w:rFonts w:ascii="仿宋_GB2312" w:hAnsi="仿宋" w:eastAsia="仿宋_GB2312" w:cs="仿宋"/>
          <w:b/>
          <w:bCs/>
          <w:color w:val="auto"/>
          <w:sz w:val="24"/>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br w:type="page"/>
      </w: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pStyle w:val="224"/>
        <w:ind w:firstLine="0"/>
        <w:jc w:val="both"/>
        <w:rPr>
          <w:rFonts w:hAnsi="仿宋_GB2312" w:cs="仿宋_GB2312"/>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w:t>
      </w:r>
      <w:r>
        <w:rPr>
          <w:rFonts w:ascii="仿宋_GB2312" w:hAnsi="仿宋_GB2312" w:eastAsia="仿宋_GB2312" w:cs="仿宋_GB2312"/>
          <w:b/>
          <w:color w:val="auto"/>
          <w:kern w:val="0"/>
          <w:sz w:val="24"/>
        </w:rPr>
        <w:t>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rPr>
      </w:pPr>
      <w:r>
        <w:rPr>
          <w:rFonts w:ascii="仿宋_GB2312" w:hAnsi="仿宋" w:eastAsia="仿宋_GB2312"/>
          <w:b/>
          <w:color w:val="auto"/>
          <w:spacing w:val="6"/>
          <w:sz w:val="24"/>
        </w:rPr>
        <w:t>2.</w:t>
      </w:r>
      <w:r>
        <w:rPr>
          <w:rFonts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hint="eastAsia"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74" o:title=""/>
            <o:lock v:ext="edit" aspectratio="t"/>
            <w10:wrap type="none"/>
            <w10:anchorlock/>
          </v:shape>
          <o:OLEObject Type="Embed" ProgID="Package" ShapeID="_x0000_i1025" DrawAspect="Content" ObjectID="_1468075725" r:id="rId73">
            <o:LockedField>false</o:LockedField>
          </o:OLEObject>
        </w:object>
      </w:r>
      <w:r>
        <w:rPr>
          <w:rFonts w:hint="eastAsia" w:ascii="仿宋_GB2312" w:hAnsi="仿宋_GB2312" w:eastAsia="仿宋_GB2312" w:cs="仿宋_GB2312"/>
          <w:b/>
          <w:color w:val="auto"/>
          <w:kern w:val="0"/>
          <w:sz w:val="28"/>
          <w:szCs w:val="28"/>
        </w:rPr>
        <w:object>
          <v:shape id="_x0000_i1026" o:spt="75" type="#_x0000_t75" style="height:42pt;width:441.75pt;" o:ole="t" filled="f" o:preferrelative="t" stroked="f" coordsize="21600,21600">
            <v:path/>
            <v:fill on="f" focussize="0,0"/>
            <v:stroke on="f" joinstyle="miter"/>
            <v:imagedata r:id="rId76" o:title=""/>
            <o:lock v:ext="edit" aspectratio="t"/>
            <w10:wrap type="none"/>
            <w10:anchorlock/>
          </v:shape>
          <o:OLEObject Type="Embed" ProgID="Package" ShapeID="_x0000_i1026" DrawAspect="Content" ObjectID="_1468075726" r:id="rId7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ascii="仿宋_GB2312" w:hAnsi="仿宋_GB2312" w:eastAsia="仿宋_GB2312" w:cs="仿宋_GB2312"/>
          <w:b/>
          <w:bCs/>
          <w:color w:val="auto"/>
          <w:kern w:val="0"/>
          <w:sz w:val="24"/>
          <w:lang w:val="zh-CN"/>
        </w:rPr>
        <w:tab/>
      </w:r>
      <w:r>
        <w:rPr>
          <w:rFonts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81"/>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w:t>
      </w:r>
      <w:r>
        <w:rPr>
          <w:rFonts w:ascii="仿宋_GB2312" w:hAnsi="仿宋_GB2312" w:eastAsia="仿宋_GB2312" w:cs="仿宋_GB2312"/>
          <w:b/>
          <w:bCs/>
          <w:color w:val="auto"/>
          <w:kern w:val="0"/>
          <w:sz w:val="24"/>
          <w:lang w:val="zh-CN"/>
        </w:rPr>
        <w:t>:项目实施进度计划表</w:t>
      </w:r>
      <w:r>
        <w:rPr>
          <w:rFonts w:ascii="仿宋_GB2312" w:hAnsi="仿宋_GB2312" w:eastAsia="仿宋_GB2312" w:cs="仿宋_GB2312"/>
          <w:b/>
          <w:color w:val="auto"/>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81"/>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A:售后服务机构情况表</w:t>
      </w:r>
      <w:r>
        <w:rPr>
          <w:rFonts w:hint="eastAsia" w:ascii="仿宋_GB2312" w:hAnsi="仿宋_GB2312" w:eastAsia="仿宋_GB2312" w:cs="仿宋_GB2312"/>
          <w:color w:val="auto"/>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w:t>
      </w:r>
      <w:r>
        <w:rPr>
          <w:rFonts w:ascii="仿宋_GB2312" w:hAnsi="仿宋_GB2312" w:eastAsia="仿宋_GB2312" w:cs="仿宋_GB2312"/>
          <w:b/>
          <w:color w:val="auto"/>
          <w:kern w:val="0"/>
          <w:sz w:val="24"/>
        </w:rPr>
        <w:t>B：售后服务人员情况表</w:t>
      </w:r>
      <w:r>
        <w:rPr>
          <w:rFonts w:hint="eastAsia" w:ascii="仿宋_GB2312" w:hAnsi="仿宋_GB2312" w:eastAsia="仿宋_GB2312" w:cs="仿宋_GB2312"/>
          <w:color w:val="auto"/>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pPr>
        <w:spacing w:line="336" w:lineRule="auto"/>
        <w:ind w:firstLine="3600" w:firstLineChars="1500"/>
        <w:rPr>
          <w:rFonts w:ascii="仿宋_GB2312" w:hAnsi="仿宋" w:eastAsia="仿宋_GB2312" w:cs="仿宋"/>
          <w:color w:val="auto"/>
          <w:sz w:val="24"/>
        </w:rPr>
      </w:pPr>
    </w:p>
    <w:p>
      <w:pPr>
        <w:pStyle w:val="81"/>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w:t>
            </w:r>
            <w:r>
              <w:rPr>
                <w:rFonts w:ascii="仿宋_GB2312" w:hAnsi="仿宋_GB2312" w:eastAsia="仿宋_GB2312" w:cs="仿宋_GB2312"/>
                <w:color w:val="auto"/>
                <w:sz w:val="24"/>
              </w:rPr>
              <w:t>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pStyle w:val="81"/>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B:本项目的项目小组人员情况表</w:t>
      </w:r>
      <w:r>
        <w:rPr>
          <w:rFonts w:hint="eastAsia" w:ascii="仿宋_GB2312" w:hAnsi="仿宋_GB2312" w:eastAsia="仿宋_GB2312" w:cs="仿宋_GB2312"/>
          <w:color w:val="auto"/>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pStyle w:val="81"/>
        <w:rPr>
          <w:color w:val="auto"/>
        </w:rPr>
      </w:pP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w:t>
      </w:r>
      <w:r>
        <w:rPr>
          <w:rFonts w:hint="eastAsia" w:ascii="仿宋_GB2312" w:hAnsi="仿宋_GB2312" w:eastAsia="仿宋_GB2312" w:cs="仿宋_GB2312"/>
          <w:b/>
          <w:color w:val="auto"/>
          <w:sz w:val="24"/>
        </w:rPr>
        <w:t>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w:t>
      </w:r>
      <w:r>
        <w:rPr>
          <w:rFonts w:ascii="仿宋_GB2312" w:hAnsi="仿宋_GB2312" w:eastAsia="仿宋_GB2312" w:cs="仿宋_GB2312"/>
          <w:color w:val="auto"/>
          <w:sz w:val="24"/>
        </w:rPr>
        <w:t>:A</w:t>
      </w:r>
      <w:r>
        <w:rPr>
          <w:rFonts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ascii="仿宋_GB2312" w:hAnsi="仿宋_GB2312" w:eastAsia="仿宋_GB2312" w:cs="仿宋_GB2312"/>
          <w:color w:val="auto"/>
          <w:sz w:val="24"/>
        </w:rPr>
        <w:t xml:space="preserve">B  </w:t>
      </w:r>
      <w:r>
        <w:rPr>
          <w:rFonts w:hint="eastAsia" w:ascii="仿宋_GB2312" w:hAnsi="仿宋_GB2312" w:eastAsia="仿宋_GB2312" w:cs="仿宋_GB2312"/>
          <w:color w:val="auto"/>
          <w:sz w:val="24"/>
        </w:rPr>
        <w:t>按照附表</w:t>
      </w:r>
      <w:r>
        <w:rPr>
          <w:rFonts w:ascii="仿宋_GB2312" w:hAnsi="仿宋_GB2312" w:eastAsia="仿宋_GB2312" w:cs="仿宋_GB2312"/>
          <w:color w:val="auto"/>
          <w:sz w:val="24"/>
        </w:rPr>
        <w:t>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pStyle w:val="81"/>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投标人名称（电子签名）：</w:t>
      </w:r>
    </w:p>
    <w:p>
      <w:pPr>
        <w:spacing w:line="336" w:lineRule="auto"/>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pStyle w:val="82"/>
        <w:rPr>
          <w:rFonts w:ascii="仿宋_GB2312" w:eastAsia="仿宋_GB2312"/>
          <w:color w:val="auto"/>
        </w:rPr>
        <w:sectPr>
          <w:footerReference r:id="rId7" w:type="first"/>
          <w:headerReference r:id="rId5" w:type="default"/>
          <w:footerReference r:id="rId6" w:type="default"/>
          <w:pgSz w:w="11905" w:h="16838"/>
          <w:pgMar w:top="1814" w:right="1474" w:bottom="1701" w:left="1474" w:header="1134" w:footer="992" w:gutter="0"/>
          <w:cols w:space="0" w:num="1"/>
          <w:docGrid w:linePitch="312" w:charSpace="0"/>
        </w:sectPr>
      </w:pP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报价文件部分</w:t>
      </w: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spacing w:line="360" w:lineRule="auto"/>
        <w:jc w:val="center"/>
        <w:outlineLvl w:val="0"/>
        <w:rPr>
          <w:rFonts w:ascii="仿宋_GB2312" w:hAnsi="仿宋" w:eastAsia="仿宋_GB2312" w:cs="仿宋"/>
          <w:b/>
          <w:color w:val="auto"/>
          <w:kern w:val="0"/>
          <w:sz w:val="36"/>
          <w:szCs w:val="36"/>
        </w:rPr>
      </w:pP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r>
        <w:rPr>
          <w:rFonts w:ascii="仿宋_GB2312" w:hAnsi="仿宋" w:eastAsia="仿宋_GB2312" w:cs="仿宋"/>
          <w:color w:val="auto"/>
          <w:sz w:val="24"/>
        </w:rPr>
        <w:t>1）开标一览表（报价表）………………………………………………………（页码）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r>
        <w:rPr>
          <w:rFonts w:ascii="仿宋_GB2312" w:hAnsi="仿宋" w:eastAsia="仿宋_GB2312" w:cs="仿宋"/>
          <w:color w:val="auto"/>
          <w:sz w:val="24"/>
        </w:rPr>
        <w:t>2）中小企业声明函………………………………………………………………（页码）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r>
        <w:rPr>
          <w:rFonts w:ascii="仿宋_GB2312" w:hAnsi="仿宋" w:eastAsia="仿宋_GB2312" w:cs="仿宋"/>
          <w:color w:val="auto"/>
          <w:sz w:val="24"/>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rPr>
          <w:rFonts w:ascii="仿宋_GB2312" w:hAnsi="仿宋" w:eastAsia="仿宋_GB2312" w:cs="仿宋"/>
          <w:b/>
          <w:color w:val="auto"/>
          <w:kern w:val="0"/>
          <w:sz w:val="32"/>
          <w:szCs w:val="32"/>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footerReference r:id="rId9" w:type="first"/>
          <w:footerReference r:id="rId8" w:type="default"/>
          <w:pgSz w:w="11905" w:h="16838"/>
          <w:pgMar w:top="1814" w:right="1474" w:bottom="1814" w:left="1474" w:header="851" w:footer="992" w:gutter="0"/>
          <w:cols w:space="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r>
        <w:rPr>
          <w:rFonts w:hint="eastAsia" w:ascii="仿宋_GB2312" w:hAnsi="仿宋" w:eastAsia="仿宋_GB2312" w:cs="仿宋"/>
          <w:color w:val="auto"/>
          <w:kern w:val="2"/>
          <w:sz w:val="32"/>
          <w:szCs w:val="32"/>
        </w:rPr>
        <w:t>一、开标一览表（报价表）</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sz w:val="24"/>
        </w:rPr>
        <w:t>绍兴市政务服务办公室、浙江建诚工程管理咨询有限公司</w:t>
      </w:r>
      <w:r>
        <w:rPr>
          <w:rFonts w:hint="eastAsia" w:ascii="仿宋_GB2312" w:hAnsi="仿宋" w:eastAsia="仿宋_GB2312" w:cs="仿宋"/>
          <w:color w:val="auto"/>
          <w:kern w:val="0"/>
          <w:sz w:val="24"/>
          <w:lang w:val="zh-CN"/>
        </w:rPr>
        <w:t>：</w:t>
      </w:r>
    </w:p>
    <w:p>
      <w:pPr>
        <w:snapToGrid w:val="0"/>
        <w:spacing w:line="360" w:lineRule="auto"/>
        <w:ind w:firstLine="482"/>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u w:val="single"/>
        </w:rPr>
        <w:t>项目</w:t>
      </w:r>
      <w:r>
        <w:rPr>
          <w:rFonts w:hint="eastAsia" w:ascii="仿宋_GB2312" w:hAnsi="仿宋" w:eastAsia="仿宋_GB2312" w:cs="仿宋"/>
          <w:color w:val="auto"/>
          <w:sz w:val="24"/>
        </w:rPr>
        <w:t>（招标编号</w:t>
      </w:r>
      <w:r>
        <w:rPr>
          <w:rFonts w:ascii="仿宋_GB2312" w:hAnsi="仿宋" w:eastAsia="仿宋_GB2312" w:cs="仿宋"/>
          <w:color w:val="auto"/>
          <w:sz w:val="24"/>
        </w:rPr>
        <w:t>:</w:t>
      </w:r>
      <w:r>
        <w:rPr>
          <w:rFonts w:hint="eastAsia" w:ascii="仿宋_GB2312" w:hAnsi="仿宋" w:eastAsia="仿宋_GB2312" w:cs="仿宋"/>
          <w:color w:val="auto"/>
          <w:sz w:val="24"/>
        </w:rPr>
        <w:t>）的实施</w:t>
      </w: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开标一览表（报价表）</w:t>
      </w:r>
      <w:r>
        <w:rPr>
          <w:rFonts w:ascii="仿宋_GB2312" w:hAnsi="仿宋" w:eastAsia="仿宋_GB2312" w:cs="仿宋"/>
          <w:b/>
          <w:color w:val="auto"/>
          <w:kern w:val="0"/>
          <w:sz w:val="24"/>
          <w:lang w:val="zh-CN"/>
        </w:rPr>
        <w:t>(单位均为人民币元)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序号</w:t>
            </w:r>
          </w:p>
        </w:tc>
        <w:tc>
          <w:tcPr>
            <w:tcW w:w="1417"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名称</w:t>
            </w:r>
          </w:p>
        </w:tc>
        <w:tc>
          <w:tcPr>
            <w:tcW w:w="1843" w:type="dxa"/>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品牌（如果有）</w:t>
            </w:r>
          </w:p>
        </w:tc>
        <w:tc>
          <w:tcPr>
            <w:tcW w:w="3118"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规格型号</w:t>
            </w:r>
          </w:p>
        </w:tc>
        <w:tc>
          <w:tcPr>
            <w:tcW w:w="993"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数量</w:t>
            </w:r>
          </w:p>
        </w:tc>
        <w:tc>
          <w:tcPr>
            <w:tcW w:w="1559"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单价</w:t>
            </w:r>
          </w:p>
        </w:tc>
        <w:tc>
          <w:tcPr>
            <w:tcW w:w="1984"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合计</w:t>
            </w:r>
          </w:p>
        </w:tc>
        <w:tc>
          <w:tcPr>
            <w:tcW w:w="3119" w:type="dxa"/>
            <w:vAlign w:val="center"/>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备注（如果有）</w:t>
            </w:r>
          </w:p>
          <w:p>
            <w:pPr>
              <w:spacing w:line="360" w:lineRule="auto"/>
              <w:jc w:val="center"/>
              <w:rPr>
                <w:rFonts w:ascii="仿宋_GB2312" w:hAnsi="仿宋" w:eastAsia="仿宋_GB2312"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rPr>
            </w:pPr>
            <w:r>
              <w:rPr>
                <w:rFonts w:ascii="仿宋_GB2312" w:hAnsi="仿宋" w:eastAsia="仿宋_GB2312" w:cs="仿宋"/>
                <w:color w:val="auto"/>
                <w:sz w:val="24"/>
              </w:rPr>
              <w:t>1</w:t>
            </w:r>
          </w:p>
        </w:tc>
        <w:tc>
          <w:tcPr>
            <w:tcW w:w="1417" w:type="dxa"/>
            <w:vAlign w:val="center"/>
          </w:tcPr>
          <w:p>
            <w:pPr>
              <w:snapToGrid w:val="0"/>
              <w:spacing w:line="360" w:lineRule="auto"/>
              <w:jc w:val="center"/>
              <w:rPr>
                <w:rFonts w:ascii="仿宋_GB2312" w:hAnsi="仿宋" w:eastAsia="仿宋_GB2312" w:cs="仿宋"/>
                <w:color w:val="auto"/>
                <w:sz w:val="24"/>
              </w:rPr>
            </w:pPr>
            <w:r>
              <w:rPr>
                <w:rFonts w:ascii="仿宋_GB2312" w:hAnsi="仿宋" w:eastAsia="仿宋_GB2312" w:cs="仿宋"/>
                <w:color w:val="auto"/>
                <w:sz w:val="24"/>
              </w:rPr>
              <w:t>XX</w:t>
            </w: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r>
              <w:rPr>
                <w:rFonts w:ascii="仿宋_GB2312" w:hAnsi="仿宋" w:eastAsia="仿宋_GB2312" w:cs="仿宋"/>
                <w:color w:val="auto"/>
                <w:sz w:val="24"/>
              </w:rPr>
              <w:t>2</w:t>
            </w:r>
          </w:p>
        </w:tc>
        <w:tc>
          <w:tcPr>
            <w:tcW w:w="1417" w:type="dxa"/>
            <w:vAlign w:val="center"/>
          </w:tcPr>
          <w:p>
            <w:pPr>
              <w:snapToGrid w:val="0"/>
              <w:spacing w:line="360" w:lineRule="auto"/>
              <w:jc w:val="center"/>
              <w:rPr>
                <w:rFonts w:ascii="仿宋_GB2312" w:hAnsi="仿宋" w:eastAsia="仿宋_GB2312" w:cs="仿宋"/>
                <w:color w:val="auto"/>
                <w:sz w:val="24"/>
              </w:rPr>
            </w:pPr>
            <w:r>
              <w:rPr>
                <w:rFonts w:ascii="仿宋_GB2312" w:hAnsi="仿宋" w:eastAsia="仿宋_GB2312" w:cs="仿宋"/>
                <w:color w:val="auto"/>
                <w:sz w:val="24"/>
              </w:rPr>
              <w:t>XX</w:t>
            </w: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417"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p>
        </w:tc>
        <w:tc>
          <w:tcPr>
            <w:tcW w:w="1417"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投标报价（小写）</w:t>
            </w:r>
          </w:p>
        </w:tc>
        <w:tc>
          <w:tcPr>
            <w:tcW w:w="7655" w:type="dxa"/>
            <w:gridSpan w:val="4"/>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投标报价（大写）</w:t>
            </w:r>
          </w:p>
        </w:tc>
        <w:tc>
          <w:tcPr>
            <w:tcW w:w="7655" w:type="dxa"/>
            <w:gridSpan w:val="4"/>
            <w:vAlign w:val="center"/>
          </w:tcPr>
          <w:p>
            <w:pPr>
              <w:spacing w:line="360" w:lineRule="auto"/>
              <w:jc w:val="center"/>
              <w:rPr>
                <w:rFonts w:ascii="仿宋_GB2312" w:hAnsi="仿宋" w:eastAsia="仿宋_GB2312" w:cs="仿宋"/>
                <w:color w:val="auto"/>
                <w:sz w:val="24"/>
              </w:rPr>
            </w:pPr>
          </w:p>
        </w:tc>
      </w:tr>
    </w:tbl>
    <w:p>
      <w:pPr>
        <w:snapToGrid w:val="0"/>
        <w:spacing w:line="360" w:lineRule="auto"/>
        <w:ind w:left="480"/>
        <w:rPr>
          <w:rFonts w:ascii="仿宋_GB2312" w:hAnsi="仿宋" w:eastAsia="仿宋_GB2312" w:cs="仿宋"/>
          <w:b/>
          <w:color w:val="auto"/>
          <w:kern w:val="0"/>
          <w:sz w:val="24"/>
          <w:lang w:val="zh-CN"/>
        </w:rPr>
      </w:pPr>
    </w:p>
    <w:p>
      <w:pPr>
        <w:snapToGrid w:val="0"/>
        <w:spacing w:line="360" w:lineRule="auto"/>
        <w:ind w:left="480"/>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注：</w:t>
      </w:r>
    </w:p>
    <w:p>
      <w:pPr>
        <w:spacing w:line="360" w:lineRule="auto"/>
        <w:ind w:left="-2" w:leftChars="-1" w:firstLine="480" w:firstLineChars="200"/>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1、投标人需按本表格式填写</w:t>
      </w:r>
      <w:r>
        <w:rPr>
          <w:rFonts w:hint="eastAsia" w:ascii="仿宋_GB2312" w:hAnsi="仿宋" w:eastAsia="仿宋_GB2312" w:cs="仿宋"/>
          <w:b/>
          <w:color w:val="auto"/>
          <w:kern w:val="0"/>
          <w:sz w:val="24"/>
          <w:lang w:val="zh-CN"/>
        </w:rPr>
        <w:t>，</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color w:val="auto"/>
          <w:kern w:val="0"/>
          <w:sz w:val="24"/>
          <w:lang w:val="zh-CN"/>
        </w:rPr>
        <w:t>。</w:t>
      </w:r>
    </w:p>
    <w:p>
      <w:pPr>
        <w:spacing w:line="360" w:lineRule="auto"/>
        <w:ind w:firstLine="480" w:firstLineChars="200"/>
        <w:rPr>
          <w:rFonts w:ascii="仿宋_GB2312" w:hAnsi="仿宋" w:eastAsia="仿宋_GB2312" w:cs="仿宋"/>
          <w:color w:val="auto"/>
          <w:kern w:val="0"/>
          <w:sz w:val="24"/>
        </w:rPr>
      </w:pPr>
      <w:r>
        <w:rPr>
          <w:rFonts w:ascii="仿宋_GB2312" w:hAnsi="仿宋" w:eastAsia="仿宋_GB2312" w:cs="仿宋"/>
          <w:color w:val="auto"/>
          <w:kern w:val="0"/>
          <w:sz w:val="24"/>
          <w:lang w:val="zh-CN"/>
        </w:rPr>
        <w:t>2、有关本项目实施所涉及的一切费用均计入报价。</w:t>
      </w:r>
      <w:r>
        <w:rPr>
          <w:rFonts w:hint="eastAsia" w:ascii="仿宋_GB2312" w:hAnsi="仿宋" w:eastAsia="仿宋_GB2312" w:cs="仿宋"/>
          <w:b/>
          <w:color w:val="auto"/>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不得出现“</w:t>
      </w:r>
      <w:r>
        <w:rPr>
          <w:rFonts w:ascii="仿宋_GB2312" w:hAnsi="仿宋" w:eastAsia="仿宋_GB2312" w:cs="仿宋"/>
          <w:b/>
          <w:color w:val="auto"/>
          <w:kern w:val="0"/>
          <w:sz w:val="24"/>
          <w:lang w:val="zh-CN"/>
        </w:rPr>
        <w:t>0元”“免费赠送”等形式的无偿报价，</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b/>
          <w:color w:val="auto"/>
          <w:kern w:val="0"/>
          <w:sz w:val="24"/>
          <w:lang w:val="zh-CN"/>
        </w:rPr>
        <w:t>；采购内容未包含在《开标一览表（报价表）》名称栏中，投标人不能作出合理解释的，</w:t>
      </w:r>
      <w:r>
        <w:rPr>
          <w:rFonts w:hint="eastAsia" w:ascii="仿宋_GB2312" w:hAnsi="仿宋" w:eastAsia="仿宋_GB2312" w:cs="仿宋"/>
          <w:b/>
          <w:color w:val="auto"/>
          <w:kern w:val="0"/>
          <w:sz w:val="24"/>
        </w:rPr>
        <w:t>视为</w:t>
      </w:r>
      <w:r>
        <w:rPr>
          <w:rFonts w:hint="eastAsia" w:ascii="仿宋_GB2312" w:hAnsi="仿宋" w:eastAsia="仿宋_GB2312" w:cs="仿宋"/>
          <w:b/>
          <w:color w:val="auto"/>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lang w:val="zh-CN"/>
        </w:rPr>
      </w:pPr>
      <w:r>
        <w:rPr>
          <w:rFonts w:ascii="仿宋_GB2312" w:hAnsi="仿宋" w:eastAsia="仿宋_GB2312" w:cs="仿宋"/>
          <w:color w:val="auto"/>
          <w:kern w:val="0"/>
          <w:sz w:val="24"/>
          <w:szCs w:val="22"/>
          <w:lang w:val="zh-CN"/>
        </w:rPr>
        <w:t>4、</w:t>
      </w:r>
      <w:r>
        <w:rPr>
          <w:rFonts w:hint="eastAsia" w:ascii="仿宋_GB2312" w:hAnsi="仿宋" w:eastAsia="仿宋_GB2312"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pgSz w:w="16838" w:h="11905" w:orient="landscape"/>
          <w:pgMar w:top="1474" w:right="1814" w:bottom="1474" w:left="1814" w:header="851" w:footer="992" w:gutter="0"/>
          <w:cols w:space="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rPr>
      </w:pPr>
      <w:r>
        <w:rPr>
          <w:rFonts w:hint="eastAsia" w:ascii="仿宋_GB2312" w:hAnsi="仿宋" w:eastAsia="仿宋_GB2312" w:cs="仿宋"/>
          <w:color w:val="auto"/>
          <w:kern w:val="2"/>
          <w:sz w:val="32"/>
          <w:szCs w:val="32"/>
        </w:rPr>
        <w:t>二、</w:t>
      </w:r>
      <w:r>
        <w:rPr>
          <w:rFonts w:hint="eastAsia" w:ascii="仿宋_GB2312" w:hAnsi="仿宋" w:eastAsia="仿宋_GB2312" w:cs="仿宋"/>
          <w:color w:val="auto"/>
          <w:sz w:val="32"/>
          <w:szCs w:val="32"/>
        </w:rPr>
        <w:t>中小企业声明函</w:t>
      </w:r>
      <w:bookmarkStart w:id="160" w:name="_Hlk101259491"/>
      <w:r>
        <w:rPr>
          <w:rFonts w:hint="eastAsia" w:ascii="仿宋_GB2312" w:hAnsi="仿宋" w:eastAsia="仿宋_GB2312" w:cs="仿宋"/>
          <w:color w:val="auto"/>
          <w:sz w:val="32"/>
          <w:szCs w:val="32"/>
        </w:rPr>
        <w:t>（如果有）</w:t>
      </w:r>
      <w:bookmarkEnd w:id="160"/>
    </w:p>
    <w:p>
      <w:pPr>
        <w:widowControl/>
        <w:spacing w:line="360" w:lineRule="auto"/>
        <w:ind w:firstLine="120" w:firstLineChars="50"/>
        <w:jc w:val="left"/>
        <w:rPr>
          <w:rFonts w:ascii="仿宋_GB2312" w:hAnsi="仿宋" w:eastAsia="仿宋_GB2312" w:cs="仿宋"/>
          <w:b/>
          <w:color w:val="auto"/>
          <w:sz w:val="24"/>
        </w:rPr>
      </w:pPr>
      <w:r>
        <w:rPr>
          <w:rFonts w:ascii="仿宋_GB2312" w:hAnsi="仿宋" w:eastAsia="仿宋_GB2312"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Ansi="仿宋" w:cs="仿宋"/>
          <w:b/>
          <w:color w:val="auto"/>
        </w:rPr>
      </w:pPr>
    </w:p>
    <w:p>
      <w:pPr>
        <w:pStyle w:val="82"/>
        <w:rPr>
          <w:rFonts w:ascii="仿宋_GB2312" w:hAnsi="仿宋" w:eastAsia="仿宋_GB2312" w:cs="仿宋"/>
          <w:b/>
          <w:color w:val="auto"/>
          <w:sz w:val="24"/>
        </w:rPr>
      </w:pPr>
    </w:p>
    <w:p>
      <w:pPr>
        <w:rPr>
          <w:rFonts w:ascii="仿宋_GB2312" w:hAnsi="仿宋" w:eastAsia="仿宋_GB2312" w:cs="仿宋"/>
          <w:b/>
          <w:color w:val="auto"/>
          <w:sz w:val="24"/>
        </w:rPr>
      </w:pPr>
    </w:p>
    <w:p>
      <w:pPr>
        <w:pStyle w:val="81"/>
        <w:rPr>
          <w:rFonts w:hAnsi="仿宋" w:cs="仿宋"/>
          <w:b/>
          <w:color w:val="auto"/>
        </w:rPr>
      </w:pPr>
    </w:p>
    <w:p>
      <w:pPr>
        <w:pStyle w:val="82"/>
        <w:rPr>
          <w:rFonts w:ascii="仿宋_GB2312" w:eastAsia="仿宋_GB2312"/>
          <w:color w:val="auto"/>
        </w:rPr>
      </w:pPr>
    </w:p>
    <w:p>
      <w:pPr>
        <w:pStyle w:val="82"/>
        <w:rPr>
          <w:rFonts w:ascii="仿宋_GB2312" w:eastAsia="仿宋_GB2312"/>
          <w:color w:val="auto"/>
        </w:rPr>
      </w:pPr>
    </w:p>
    <w:p>
      <w:pPr>
        <w:widowControl/>
        <w:spacing w:line="360" w:lineRule="auto"/>
        <w:ind w:firstLine="161" w:firstLineChars="50"/>
        <w:jc w:val="center"/>
        <w:rPr>
          <w:rFonts w:ascii="仿宋_GB2312" w:hAnsi="仿宋" w:eastAsia="仿宋_GB2312" w:cs="仿宋"/>
          <w:b/>
          <w:color w:val="auto"/>
          <w:sz w:val="24"/>
        </w:rPr>
      </w:pPr>
      <w:r>
        <w:rPr>
          <w:rFonts w:hint="eastAsia" w:ascii="仿宋_GB2312" w:hAnsi="仿宋" w:eastAsia="仿宋_GB2312"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rPr>
      </w:pPr>
      <w:r>
        <w:rPr>
          <w:rFonts w:ascii="仿宋_GB2312" w:hAnsi="仿宋" w:eastAsia="仿宋_GB2312" w:cs="仿宋"/>
          <w:b/>
          <w:bCs/>
          <w:snapToGrid w:val="0"/>
          <w:color w:val="auto"/>
          <w:sz w:val="24"/>
          <w:szCs w:val="21"/>
          <w:lang w:val="zh-CN"/>
        </w:rPr>
        <w:t>[符合条件的残疾人福利性单位，提供残疾人福利性单位声明函(附件</w:t>
      </w:r>
      <w:r>
        <w:rPr>
          <w:rFonts w:ascii="仿宋_GB2312" w:hAnsi="仿宋" w:eastAsia="仿宋_GB2312" w:cs="仿宋"/>
          <w:b/>
          <w:bCs/>
          <w:snapToGrid w:val="0"/>
          <w:color w:val="auto"/>
          <w:sz w:val="24"/>
          <w:szCs w:val="21"/>
        </w:rPr>
        <w:t>6</w:t>
      </w:r>
      <w:r>
        <w:rPr>
          <w:rFonts w:ascii="仿宋_GB2312" w:hAnsi="仿宋" w:eastAsia="仿宋_GB2312" w:cs="仿宋"/>
          <w:b/>
          <w:bCs/>
          <w:snapToGrid w:val="0"/>
          <w:color w:val="auto"/>
          <w:sz w:val="24"/>
          <w:szCs w:val="21"/>
          <w:lang w:val="zh-CN"/>
        </w:rPr>
        <w:t>)，否则不需要提供。]</w:t>
      </w:r>
    </w:p>
    <w:p>
      <w:pPr>
        <w:pStyle w:val="81"/>
        <w:widowControl/>
        <w:spacing w:line="360" w:lineRule="auto"/>
        <w:ind w:firstLine="120" w:firstLineChars="50"/>
        <w:rPr>
          <w:rFonts w:hAnsi="仿宋" w:cs="仿宋"/>
          <w:b/>
          <w:color w:val="auto"/>
        </w:rPr>
      </w:pPr>
    </w:p>
    <w:p>
      <w:pPr>
        <w:pStyle w:val="82"/>
        <w:spacing w:line="360" w:lineRule="auto"/>
        <w:ind w:left="0" w:firstLine="120" w:firstLineChars="50"/>
        <w:jc w:val="left"/>
        <w:rPr>
          <w:rFonts w:ascii="仿宋_GB2312" w:hAnsi="仿宋" w:eastAsia="仿宋_GB2312" w:cs="仿宋"/>
          <w:b/>
          <w:color w:val="auto"/>
          <w:sz w:val="24"/>
        </w:rPr>
      </w:pPr>
    </w:p>
    <w:p>
      <w:pPr>
        <w:pStyle w:val="220"/>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spacing w:line="360" w:lineRule="auto"/>
        <w:ind w:right="420" w:firstLine="3614" w:firstLineChars="1000"/>
        <w:rPr>
          <w:rFonts w:ascii="仿宋_GB2312" w:hAnsi="仿宋" w:eastAsia="仿宋_GB2312" w:cs="仿宋"/>
          <w:b/>
          <w:color w:val="auto"/>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rPr>
      </w:pPr>
      <w:bookmarkStart w:id="161" w:name="_Toc465665161"/>
      <w:r>
        <w:rPr>
          <w:rFonts w:hint="eastAsia" w:ascii="仿宋_GB2312" w:hAnsi="仿宋" w:cs="仿宋"/>
          <w:color w:val="auto"/>
        </w:rPr>
        <w:t>附件</w:t>
      </w:r>
      <w:bookmarkEnd w:id="161"/>
    </w:p>
    <w:p>
      <w:pPr>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w:t>
      </w:r>
      <w:r>
        <w:rPr>
          <w:rFonts w:ascii="仿宋_GB2312" w:hAnsi="仿宋" w:eastAsia="仿宋_GB2312" w:cs="仿宋"/>
          <w:b/>
          <w:color w:val="auto"/>
          <w:spacing w:val="6"/>
          <w:sz w:val="32"/>
          <w:szCs w:val="32"/>
        </w:rPr>
        <w:t>1：质疑函范本及制作说明</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质疑函范本</w:t>
      </w:r>
    </w:p>
    <w:p>
      <w:pPr>
        <w:snapToGrid w:val="0"/>
        <w:spacing w:beforeLines="100"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一、质疑供应商基本信息</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质疑供应商：</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地址：邮编：</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联系人：联系电话：</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联系电话：</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地址：邮编：</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二、质疑项目基本情况</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质疑项目的名称：</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质疑项目的编号：包号：</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采购人名称：</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采购文件获取日期：</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三、质疑事项具体内容</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w:t>
      </w:r>
      <w:r>
        <w:rPr>
          <w:rFonts w:ascii="仿宋_GB2312" w:hAnsi="仿宋" w:eastAsia="仿宋_GB2312" w:cs="仿宋"/>
          <w:color w:val="auto"/>
          <w:sz w:val="24"/>
        </w:rPr>
        <w:t>1：</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事实依据：</w:t>
      </w:r>
    </w:p>
    <w:p>
      <w:pPr>
        <w:snapToGrid w:val="0"/>
        <w:spacing w:line="360" w:lineRule="auto"/>
        <w:rPr>
          <w:rFonts w:ascii="仿宋_GB2312" w:hAnsi="仿宋" w:eastAsia="仿宋_GB2312" w:cs="仿宋"/>
          <w:color w:val="auto"/>
          <w:sz w:val="24"/>
        </w:rPr>
      </w:pP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法律依据：</w:t>
      </w:r>
    </w:p>
    <w:p>
      <w:pPr>
        <w:snapToGrid w:val="0"/>
        <w:spacing w:line="360" w:lineRule="auto"/>
        <w:rPr>
          <w:rFonts w:ascii="仿宋_GB2312" w:hAnsi="仿宋" w:eastAsia="仿宋_GB2312" w:cs="仿宋"/>
          <w:color w:val="auto"/>
          <w:sz w:val="24"/>
          <w:u w:val="dotted"/>
        </w:rPr>
      </w:pP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w:t>
      </w:r>
      <w:r>
        <w:rPr>
          <w:rFonts w:ascii="仿宋_GB2312" w:hAnsi="仿宋" w:eastAsia="仿宋_GB2312" w:cs="仿宋"/>
          <w:color w:val="auto"/>
          <w:sz w:val="24"/>
        </w:rPr>
        <w:t>2</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四、与质疑事项相关的质疑请求</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请求：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签字</w:t>
      </w:r>
      <w:r>
        <w:rPr>
          <w:rFonts w:ascii="仿宋_GB2312" w:hAnsi="仿宋" w:eastAsia="仿宋_GB2312" w:cs="仿宋"/>
          <w:color w:val="auto"/>
          <w:sz w:val="24"/>
        </w:rPr>
        <w:t xml:space="preserve">(签章)：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日期：</w:t>
      </w:r>
    </w:p>
    <w:p>
      <w:pPr>
        <w:spacing w:line="360" w:lineRule="auto"/>
        <w:jc w:val="center"/>
        <w:rPr>
          <w:rFonts w:ascii="仿宋_GB2312" w:hAnsi="仿宋" w:eastAsia="仿宋_GB2312" w:cs="仿宋"/>
          <w:b/>
          <w:bCs/>
          <w:color w:val="auto"/>
          <w:sz w:val="24"/>
        </w:rPr>
      </w:pP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质疑函制作说明：</w:t>
      </w:r>
    </w:p>
    <w:p>
      <w:pPr>
        <w:widowControl/>
        <w:spacing w:line="360"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5.质疑函的质疑请求应与质疑事项相关。</w:t>
      </w:r>
    </w:p>
    <w:p>
      <w:pPr>
        <w:widowControl/>
        <w:spacing w:line="360"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rPr>
      </w:pPr>
    </w:p>
    <w:p>
      <w:pPr>
        <w:spacing w:line="360" w:lineRule="auto"/>
        <w:jc w:val="center"/>
        <w:rPr>
          <w:rFonts w:ascii="仿宋_GB2312" w:hAnsi="仿宋" w:eastAsia="仿宋_GB2312" w:cs="仿宋"/>
          <w:b/>
          <w:color w:val="auto"/>
          <w:spacing w:val="6"/>
          <w:sz w:val="32"/>
          <w:szCs w:val="32"/>
        </w:rPr>
      </w:pPr>
    </w:p>
    <w:p>
      <w:pPr>
        <w:spacing w:line="360" w:lineRule="auto"/>
        <w:jc w:val="center"/>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w:t>
      </w:r>
      <w:r>
        <w:rPr>
          <w:rFonts w:ascii="仿宋_GB2312" w:hAnsi="仿宋" w:eastAsia="仿宋_GB2312" w:cs="仿宋"/>
          <w:b/>
          <w:color w:val="auto"/>
          <w:spacing w:val="6"/>
          <w:sz w:val="32"/>
          <w:szCs w:val="32"/>
        </w:rPr>
        <w:t>2：投诉书范本及制作说明</w:t>
      </w:r>
    </w:p>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投诉书范本</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一、投诉相关主体基本情况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投诉人：</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地址：邮编：</w:t>
      </w:r>
    </w:p>
    <w:p>
      <w:pPr>
        <w:tabs>
          <w:tab w:val="left" w:pos="6510"/>
        </w:tabs>
        <w:spacing w:line="360" w:lineRule="auto"/>
        <w:jc w:val="left"/>
        <w:rPr>
          <w:rFonts w:ascii="仿宋_GB2312" w:hAnsi="仿宋" w:eastAsia="仿宋_GB2312" w:cs="仿宋"/>
          <w:color w:val="auto"/>
          <w:sz w:val="24"/>
        </w:rPr>
      </w:pPr>
      <w:r>
        <w:rPr>
          <w:rFonts w:hint="eastAsia" w:ascii="仿宋_GB2312" w:hAnsi="仿宋" w:eastAsia="仿宋_GB2312" w:cs="仿宋"/>
          <w:color w:val="auto"/>
          <w:sz w:val="24"/>
        </w:rPr>
        <w:t>法定代表人</w:t>
      </w:r>
      <w:r>
        <w:rPr>
          <w:rFonts w:ascii="仿宋_GB2312" w:hAnsi="仿宋" w:eastAsia="仿宋_GB2312" w:cs="仿宋"/>
          <w:color w:val="auto"/>
          <w:sz w:val="24"/>
        </w:rPr>
        <w:t>/主要负责人：</w:t>
      </w:r>
    </w:p>
    <w:p>
      <w:pPr>
        <w:tabs>
          <w:tab w:val="left" w:pos="6510"/>
        </w:tabs>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联系电话：</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授权代表：联系电话</w:t>
      </w:r>
      <w:r>
        <w:rPr>
          <w:rFonts w:hint="eastAsia" w:ascii="仿宋_GB2312" w:hAnsi="仿宋" w:eastAsia="仿宋_GB2312" w:cs="仿宋"/>
          <w:color w:val="auto"/>
          <w:sz w:val="24"/>
          <w:u w:val="dotted"/>
        </w:rPr>
        <w:t>：</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地址：邮编：</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被投诉人</w:t>
      </w:r>
      <w:r>
        <w:rPr>
          <w:rFonts w:ascii="仿宋_GB2312" w:hAnsi="仿宋" w:eastAsia="仿宋_GB2312" w:cs="仿宋"/>
          <w:color w:val="auto"/>
          <w:sz w:val="24"/>
        </w:rPr>
        <w:t>1：</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地址：邮编：</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联系人：联系电话：</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被投诉人</w:t>
      </w:r>
      <w:r>
        <w:rPr>
          <w:rFonts w:ascii="仿宋_GB2312" w:hAnsi="仿宋" w:eastAsia="仿宋_GB2312" w:cs="仿宋"/>
          <w:color w:val="auto"/>
          <w:sz w:val="24"/>
        </w:rPr>
        <w:t>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相关供应商：</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地址：邮编：</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联系人：联系电话：</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二、投诉项目基本情况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采购项目名称：</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采购项目编号：包号：</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采购人名称：</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代理机构名称：</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采购文件公告</w:t>
      </w:r>
      <w:r>
        <w:rPr>
          <w:rFonts w:ascii="仿宋_GB2312" w:hAnsi="仿宋" w:eastAsia="仿宋_GB2312" w:cs="仿宋"/>
          <w:color w:val="auto"/>
          <w:sz w:val="24"/>
        </w:rPr>
        <w:t>:</w:t>
      </w:r>
      <w:r>
        <w:rPr>
          <w:rFonts w:hint="eastAsia" w:ascii="仿宋_GB2312" w:hAnsi="仿宋" w:eastAsia="仿宋_GB2312" w:cs="仿宋"/>
          <w:color w:val="auto"/>
          <w:sz w:val="24"/>
          <w:u w:val="dotted"/>
        </w:rPr>
        <w:t>是</w:t>
      </w:r>
      <w:r>
        <w:rPr>
          <w:rFonts w:ascii="仿宋_GB2312" w:hAnsi="仿宋" w:eastAsia="仿宋_GB2312" w:cs="仿宋"/>
          <w:color w:val="auto"/>
          <w:sz w:val="24"/>
          <w:u w:val="dotted"/>
        </w:rPr>
        <w:t xml:space="preserve">/否 </w:t>
      </w:r>
      <w:r>
        <w:rPr>
          <w:rFonts w:hint="eastAsia" w:ascii="仿宋_GB2312" w:hAnsi="仿宋" w:eastAsia="仿宋_GB2312" w:cs="仿宋"/>
          <w:color w:val="auto"/>
          <w:sz w:val="24"/>
        </w:rPr>
        <w:t>公告期限：</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采购结果公告</w:t>
      </w:r>
      <w:r>
        <w:rPr>
          <w:rFonts w:ascii="仿宋_GB2312" w:hAnsi="仿宋" w:eastAsia="仿宋_GB2312" w:cs="仿宋"/>
          <w:color w:val="auto"/>
          <w:sz w:val="24"/>
        </w:rPr>
        <w:t>:</w:t>
      </w:r>
      <w:r>
        <w:rPr>
          <w:rFonts w:hint="eastAsia" w:ascii="仿宋_GB2312" w:hAnsi="仿宋" w:eastAsia="仿宋_GB2312" w:cs="仿宋"/>
          <w:color w:val="auto"/>
          <w:sz w:val="24"/>
          <w:u w:val="dotted"/>
        </w:rPr>
        <w:t>是</w:t>
      </w:r>
      <w:r>
        <w:rPr>
          <w:rFonts w:ascii="仿宋_GB2312" w:hAnsi="仿宋" w:eastAsia="仿宋_GB2312" w:cs="仿宋"/>
          <w:color w:val="auto"/>
          <w:sz w:val="24"/>
          <w:u w:val="dotted"/>
        </w:rPr>
        <w:t xml:space="preserve">/否 </w:t>
      </w:r>
      <w:r>
        <w:rPr>
          <w:rFonts w:hint="eastAsia" w:ascii="仿宋_GB2312" w:hAnsi="仿宋" w:eastAsia="仿宋_GB2312" w:cs="仿宋"/>
          <w:color w:val="auto"/>
          <w:sz w:val="24"/>
        </w:rPr>
        <w:t>公告期限：</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三、质疑基本情况</w:t>
      </w:r>
    </w:p>
    <w:p>
      <w:pPr>
        <w:spacing w:line="360" w:lineRule="auto"/>
        <w:ind w:firstLine="480" w:firstLineChars="200"/>
        <w:rPr>
          <w:rFonts w:ascii="仿宋_GB2312" w:hAnsi="仿宋" w:eastAsia="仿宋_GB2312" w:cs="仿宋"/>
          <w:color w:val="auto"/>
          <w:sz w:val="24"/>
          <w:u w:val="dotted"/>
        </w:rPr>
      </w:pPr>
      <w:r>
        <w:rPr>
          <w:rFonts w:hint="eastAsia" w:ascii="仿宋_GB2312" w:hAnsi="仿宋" w:eastAsia="仿宋_GB2312" w:cs="仿宋"/>
          <w:color w:val="auto"/>
          <w:sz w:val="24"/>
        </w:rPr>
        <w:t>投诉人于年月日</w:t>
      </w:r>
      <w:r>
        <w:rPr>
          <w:rFonts w:ascii="仿宋_GB2312" w:hAnsi="仿宋" w:eastAsia="仿宋_GB2312" w:cs="仿宋"/>
          <w:color w:val="auto"/>
          <w:sz w:val="24"/>
        </w:rPr>
        <w:t>,向</w:t>
      </w:r>
      <w:r>
        <w:rPr>
          <w:rFonts w:hint="eastAsia" w:ascii="仿宋_GB2312" w:hAnsi="仿宋" w:eastAsia="仿宋_GB2312" w:cs="仿宋"/>
          <w:color w:val="auto"/>
          <w:sz w:val="24"/>
        </w:rPr>
        <w:t>提出质疑，质疑事项为：</w:t>
      </w:r>
    </w:p>
    <w:p>
      <w:pPr>
        <w:spacing w:line="360" w:lineRule="auto"/>
        <w:rPr>
          <w:rFonts w:ascii="仿宋_GB2312" w:hAnsi="仿宋" w:eastAsia="仿宋_GB2312" w:cs="仿宋"/>
          <w:color w:val="auto"/>
          <w:sz w:val="24"/>
          <w:u w:val="dotted"/>
        </w:rPr>
      </w:pPr>
    </w:p>
    <w:p>
      <w:pPr>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u w:val="dotted"/>
        </w:rPr>
        <w:t>采购人</w:t>
      </w:r>
      <w:r>
        <w:rPr>
          <w:rFonts w:ascii="仿宋_GB2312" w:hAnsi="仿宋" w:eastAsia="仿宋_GB2312" w:cs="仿宋"/>
          <w:color w:val="auto"/>
          <w:sz w:val="24"/>
          <w:u w:val="dotted"/>
        </w:rPr>
        <w:t>/代理机构</w:t>
      </w:r>
      <w:r>
        <w:rPr>
          <w:rFonts w:hint="eastAsia" w:ascii="仿宋_GB2312" w:hAnsi="仿宋" w:eastAsia="仿宋_GB2312" w:cs="仿宋"/>
          <w:color w:val="auto"/>
          <w:sz w:val="24"/>
        </w:rPr>
        <w:t>于年月日</w:t>
      </w:r>
      <w:r>
        <w:rPr>
          <w:rFonts w:ascii="仿宋_GB2312" w:hAnsi="仿宋" w:eastAsia="仿宋_GB2312" w:cs="仿宋"/>
          <w:color w:val="auto"/>
          <w:sz w:val="24"/>
        </w:rPr>
        <w:t>,就质疑事项作出了答复/没有在法定期限内作出答复。</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四、投诉事项具体内容</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投诉事项</w:t>
      </w:r>
      <w:r>
        <w:rPr>
          <w:rFonts w:ascii="仿宋_GB2312" w:hAnsi="仿宋" w:eastAsia="仿宋_GB2312" w:cs="仿宋"/>
          <w:color w:val="auto"/>
          <w:sz w:val="24"/>
        </w:rPr>
        <w:t xml:space="preserve"> 1：</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事实依据：</w:t>
      </w:r>
    </w:p>
    <w:p>
      <w:pPr>
        <w:spacing w:line="360" w:lineRule="auto"/>
        <w:rPr>
          <w:rFonts w:ascii="仿宋_GB2312" w:hAnsi="仿宋" w:eastAsia="仿宋_GB2312" w:cs="仿宋"/>
          <w:color w:val="auto"/>
          <w:sz w:val="24"/>
          <w:u w:val="dotted"/>
        </w:rPr>
      </w:pP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法律依据：</w:t>
      </w:r>
    </w:p>
    <w:p>
      <w:pPr>
        <w:spacing w:line="360" w:lineRule="auto"/>
        <w:rPr>
          <w:rFonts w:ascii="仿宋_GB2312" w:hAnsi="仿宋" w:eastAsia="仿宋_GB2312" w:cs="仿宋"/>
          <w:color w:val="auto"/>
          <w:sz w:val="24"/>
          <w:u w:val="dotted"/>
        </w:rPr>
      </w:pP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投诉事项</w:t>
      </w:r>
      <w:r>
        <w:rPr>
          <w:rFonts w:ascii="仿宋_GB2312" w:hAnsi="仿宋" w:eastAsia="仿宋_GB2312" w:cs="仿宋"/>
          <w:color w:val="auto"/>
          <w:sz w:val="24"/>
        </w:rPr>
        <w:t>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五、与投诉事项相关的投诉请求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请求：</w:t>
      </w:r>
    </w:p>
    <w:p>
      <w:pPr>
        <w:spacing w:line="360" w:lineRule="auto"/>
        <w:rPr>
          <w:rFonts w:ascii="仿宋_GB2312" w:hAnsi="仿宋" w:eastAsia="仿宋_GB2312" w:cs="仿宋"/>
          <w:color w:val="auto"/>
          <w:sz w:val="24"/>
          <w:u w:val="single"/>
        </w:rPr>
      </w:pP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签字</w:t>
      </w:r>
      <w:r>
        <w:rPr>
          <w:rFonts w:ascii="仿宋_GB2312" w:hAnsi="仿宋" w:eastAsia="仿宋_GB2312" w:cs="仿宋"/>
          <w:color w:val="auto"/>
          <w:sz w:val="24"/>
        </w:rPr>
        <w:t xml:space="preserve">(签章)：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日期：</w:t>
      </w:r>
    </w:p>
    <w:p>
      <w:pPr>
        <w:spacing w:line="360" w:lineRule="auto"/>
        <w:rPr>
          <w:rFonts w:ascii="仿宋_GB2312" w:hAnsi="仿宋" w:eastAsia="仿宋_GB2312" w:cs="仿宋"/>
          <w:b/>
          <w:color w:val="auto"/>
          <w:sz w:val="24"/>
        </w:rPr>
      </w:pPr>
    </w:p>
    <w:p>
      <w:pPr>
        <w:spacing w:line="288" w:lineRule="auto"/>
        <w:rPr>
          <w:rFonts w:ascii="仿宋_GB2312" w:hAnsi="仿宋" w:eastAsia="仿宋_GB2312" w:cs="仿宋"/>
          <w:b/>
          <w:color w:val="auto"/>
          <w:sz w:val="24"/>
        </w:rPr>
      </w:pPr>
      <w:r>
        <w:rPr>
          <w:rFonts w:hint="eastAsia" w:ascii="仿宋_GB2312" w:hAnsi="仿宋" w:eastAsia="仿宋_GB2312" w:cs="仿宋"/>
          <w:b/>
          <w:color w:val="auto"/>
          <w:sz w:val="24"/>
        </w:rPr>
        <w:t>投诉书制作说明：</w:t>
      </w:r>
    </w:p>
    <w:p>
      <w:pPr>
        <w:widowControl/>
        <w:spacing w:line="288" w:lineRule="auto"/>
        <w:ind w:firstLine="480" w:firstLineChars="200"/>
        <w:rPr>
          <w:rFonts w:ascii="仿宋_GB2312" w:hAnsi="仿宋" w:eastAsia="仿宋_GB2312" w:cs="仿宋"/>
          <w:color w:val="auto"/>
          <w:kern w:val="0"/>
          <w:sz w:val="24"/>
        </w:rPr>
      </w:pPr>
      <w:r>
        <w:rPr>
          <w:rFonts w:ascii="仿宋_GB2312" w:hAnsi="仿宋" w:eastAsia="仿宋_GB2312" w:cs="仿宋"/>
          <w:color w:val="auto"/>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_GB2312" w:hAnsi="仿宋" w:eastAsia="仿宋_GB2312" w:cs="仿宋"/>
          <w:color w:val="auto"/>
          <w:kern w:val="0"/>
          <w:sz w:val="24"/>
        </w:rPr>
      </w:pPr>
      <w:r>
        <w:rPr>
          <w:rFonts w:ascii="仿宋_GB2312" w:hAnsi="仿宋" w:eastAsia="仿宋_GB2312" w:cs="仿宋"/>
          <w:color w:val="auto"/>
          <w:sz w:val="24"/>
        </w:rPr>
        <w:t>2.投诉人若委托代理人进行投诉的，投诉书应按照要求列明“授权代表”的有关内容，并在附件中提交由</w:t>
      </w:r>
      <w:r>
        <w:rPr>
          <w:rFonts w:hint="eastAsia" w:ascii="仿宋_GB2312" w:hAnsi="仿宋" w:eastAsia="仿宋_GB2312" w:cs="仿宋"/>
          <w:color w:val="auto"/>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3.投诉人若对项目的某一分包进行投诉，投诉书应列明具体分包号。</w:t>
      </w:r>
    </w:p>
    <w:p>
      <w:pPr>
        <w:widowControl/>
        <w:spacing w:line="288"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4.投诉书应简要列明质疑事项，质疑函、质疑答复等作为附件材料提供。</w:t>
      </w:r>
    </w:p>
    <w:p>
      <w:pPr>
        <w:widowControl/>
        <w:spacing w:line="288"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5.投诉书的投诉事项应具体、明确，并有必要的事实依据和法律依据。</w:t>
      </w:r>
    </w:p>
    <w:p>
      <w:pPr>
        <w:widowControl/>
        <w:spacing w:line="288" w:lineRule="auto"/>
        <w:ind w:firstLine="480" w:firstLineChars="200"/>
        <w:jc w:val="left"/>
        <w:rPr>
          <w:rFonts w:ascii="仿宋_GB2312" w:hAnsi="仿宋" w:eastAsia="仿宋_GB2312" w:cs="仿宋"/>
          <w:color w:val="auto"/>
          <w:sz w:val="24"/>
        </w:rPr>
      </w:pPr>
      <w:r>
        <w:rPr>
          <w:rFonts w:ascii="仿宋_GB2312" w:hAnsi="仿宋" w:eastAsia="仿宋_GB2312" w:cs="仿宋"/>
          <w:color w:val="auto"/>
          <w:sz w:val="24"/>
        </w:rPr>
        <w:t>6.投诉书的投诉请求应与投诉事项相关。</w:t>
      </w:r>
    </w:p>
    <w:p>
      <w:pPr>
        <w:widowControl/>
        <w:spacing w:line="288" w:lineRule="auto"/>
        <w:ind w:firstLine="480" w:firstLineChars="200"/>
        <w:jc w:val="left"/>
        <w:rPr>
          <w:rFonts w:ascii="仿宋_GB2312" w:hAnsi="仿宋" w:eastAsia="仿宋_GB2312" w:cs="仿宋"/>
          <w:color w:val="auto"/>
          <w:kern w:val="0"/>
          <w:sz w:val="24"/>
        </w:rPr>
      </w:pPr>
      <w:r>
        <w:rPr>
          <w:rFonts w:ascii="仿宋_GB2312" w:hAnsi="仿宋" w:eastAsia="仿宋_GB2312" w:cs="仿宋"/>
          <w:color w:val="auto"/>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w:t>
      </w:r>
      <w:r>
        <w:rPr>
          <w:rFonts w:ascii="仿宋_GB2312" w:hAnsi="仿宋" w:eastAsia="仿宋_GB2312" w:cs="仿宋"/>
          <w:b/>
          <w:color w:val="auto"/>
          <w:spacing w:val="6"/>
          <w:sz w:val="32"/>
          <w:szCs w:val="32"/>
        </w:rPr>
        <w:t>3：业务专用章使用说明函</w:t>
      </w:r>
    </w:p>
    <w:p>
      <w:pPr>
        <w:spacing w:line="360" w:lineRule="auto"/>
        <w:rPr>
          <w:rFonts w:ascii="仿宋_GB2312" w:hAnsi="仿宋" w:eastAsia="仿宋_GB2312" w:cs="仿宋"/>
          <w:color w:val="auto"/>
          <w:sz w:val="24"/>
          <w:u w:val="single"/>
        </w:rPr>
      </w:pP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u w:val="single"/>
        </w:rPr>
        <w:t>（采购人）、（采购代理机构）：</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kern w:val="0"/>
          <w:sz w:val="24"/>
          <w:lang w:val="zh-CN"/>
        </w:rPr>
        <w:t>我方</w:t>
      </w:r>
      <w:r>
        <w:rPr>
          <w:rFonts w:ascii="仿宋_GB2312" w:hAnsi="仿宋" w:eastAsia="仿宋_GB2312" w:cs="仿宋"/>
          <w:color w:val="auto"/>
          <w:sz w:val="24"/>
          <w:u w:val="single"/>
        </w:rPr>
        <w:t>(投标人全称)</w:t>
      </w:r>
      <w:r>
        <w:rPr>
          <w:rFonts w:ascii="仿宋_GB2312" w:hAnsi="仿宋" w:eastAsia="仿宋_GB2312" w:cs="仿宋"/>
          <w:color w:val="auto"/>
          <w:sz w:val="24"/>
        </w:rPr>
        <w:t>是中华人民共和国依法登记注册的合法企业，</w:t>
      </w:r>
      <w:r>
        <w:rPr>
          <w:rFonts w:hint="eastAsia" w:ascii="仿宋_GB2312" w:hAnsi="仿宋" w:eastAsia="仿宋_GB2312" w:cs="仿宋"/>
          <w:bCs/>
          <w:color w:val="auto"/>
          <w:sz w:val="24"/>
        </w:rPr>
        <w:t>在参加</w:t>
      </w:r>
      <w:r>
        <w:rPr>
          <w:rFonts w:hint="eastAsia" w:ascii="仿宋_GB2312" w:hAnsi="仿宋" w:eastAsia="仿宋_GB2312" w:cs="仿宋"/>
          <w:color w:val="auto"/>
          <w:sz w:val="24"/>
        </w:rPr>
        <w:t>你方组织的</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rPr>
        <w:t>【招标编号：</w:t>
      </w:r>
      <w:r>
        <w:rPr>
          <w:rFonts w:hint="eastAsia" w:ascii="仿宋_GB2312" w:hAnsi="仿宋" w:eastAsia="仿宋_GB2312" w:cs="仿宋"/>
          <w:color w:val="auto"/>
          <w:sz w:val="24"/>
          <w:u w:val="single"/>
        </w:rPr>
        <w:t>（采购编号）</w:t>
      </w:r>
      <w:r>
        <w:rPr>
          <w:rFonts w:hint="eastAsia" w:ascii="仿宋_GB2312" w:hAnsi="仿宋" w:eastAsia="仿宋_GB2312" w:cs="仿宋"/>
          <w:color w:val="auto"/>
          <w:sz w:val="24"/>
        </w:rPr>
        <w:t>】</w:t>
      </w:r>
      <w:r>
        <w:rPr>
          <w:rFonts w:hint="eastAsia" w:ascii="仿宋_GB2312" w:hAnsi="仿宋" w:eastAsia="仿宋_GB2312" w:cs="仿宋"/>
          <w:bCs/>
          <w:color w:val="auto"/>
          <w:sz w:val="24"/>
        </w:rPr>
        <w:t>投标活动中作如下说明：</w:t>
      </w:r>
      <w:r>
        <w:rPr>
          <w:rFonts w:hint="eastAsia" w:ascii="仿宋_GB2312" w:hAnsi="仿宋" w:eastAsia="仿宋_GB2312" w:cs="仿宋"/>
          <w:color w:val="auto"/>
          <w:sz w:val="24"/>
        </w:rPr>
        <w:t>我方所使用的“</w:t>
      </w:r>
      <w:r>
        <w:rPr>
          <w:rFonts w:ascii="仿宋_GB2312" w:hAnsi="仿宋" w:eastAsia="仿宋_GB2312" w:cs="仿宋"/>
          <w:color w:val="auto"/>
          <w:sz w:val="24"/>
        </w:rPr>
        <w:t xml:space="preserve">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特此说明。</w:t>
      </w: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right="480" w:firstLine="4080" w:firstLineChars="1700"/>
        <w:rPr>
          <w:rFonts w:ascii="仿宋_GB2312" w:hAnsi="仿宋" w:eastAsia="仿宋_GB2312" w:cs="仿宋"/>
          <w:color w:val="auto"/>
          <w:sz w:val="24"/>
        </w:rPr>
      </w:pPr>
      <w:r>
        <w:rPr>
          <w:rFonts w:hint="eastAsia" w:ascii="仿宋_GB2312" w:hAnsi="仿宋" w:eastAsia="仿宋_GB2312" w:cs="仿宋"/>
          <w:color w:val="auto"/>
          <w:sz w:val="24"/>
        </w:rPr>
        <w:t>投标单位（法定名称章）：</w:t>
      </w:r>
    </w:p>
    <w:p>
      <w:pPr>
        <w:ind w:right="1440" w:firstLine="494"/>
        <w:jc w:val="center"/>
        <w:rPr>
          <w:rFonts w:ascii="仿宋_GB2312" w:hAnsi="仿宋" w:eastAsia="仿宋_GB2312" w:cs="仿宋"/>
          <w:color w:val="auto"/>
          <w:sz w:val="24"/>
        </w:rPr>
      </w:pPr>
      <w:r>
        <w:rPr>
          <w:rFonts w:ascii="仿宋_GB2312" w:hAnsi="仿宋" w:eastAsia="仿宋_GB2312" w:cs="仿宋"/>
          <w:color w:val="auto"/>
          <w:sz w:val="24"/>
        </w:rPr>
        <w:t xml:space="preserve">                              日期：       年     月     日</w:t>
      </w:r>
    </w:p>
    <w:p>
      <w:pPr>
        <w:pStyle w:val="81"/>
        <w:rPr>
          <w:color w:val="auto"/>
        </w:rPr>
      </w:pPr>
    </w:p>
    <w:p>
      <w:pPr>
        <w:rPr>
          <w:rFonts w:ascii="仿宋_GB2312" w:hAnsi="仿宋" w:eastAsia="仿宋_GB2312" w:cs="仿宋"/>
          <w:color w:val="auto"/>
          <w:sz w:val="24"/>
        </w:rPr>
      </w:pPr>
      <w:r>
        <w:rPr>
          <w:rFonts w:hint="eastAsia" w:ascii="仿宋_GB2312" w:hAnsi="仿宋" w:eastAsia="仿宋_GB2312" w:cs="仿宋"/>
          <w:b/>
          <w:bCs/>
          <w:color w:val="auto"/>
          <w:sz w:val="24"/>
        </w:rPr>
        <w:t>附：</w:t>
      </w:r>
    </w:p>
    <w:p>
      <w:pPr>
        <w:spacing w:line="360" w:lineRule="auto"/>
        <w:rPr>
          <w:rFonts w:ascii="仿宋_GB2312" w:hAnsi="仿宋" w:eastAsia="仿宋_GB2312" w:cs="仿宋"/>
          <w:bCs/>
          <w:color w:val="auto"/>
          <w:sz w:val="24"/>
        </w:rPr>
      </w:pPr>
      <w:r>
        <w:rPr>
          <w:rFonts w:ascii="仿宋_GB2312" w:hAnsi="仿宋" w:eastAsia="仿宋_GB2312"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rPr>
        <w:t>投标单位法定名称章（印模）投标单位“</w:t>
      </w:r>
      <w:r>
        <w:rPr>
          <w:rFonts w:ascii="仿宋_GB2312" w:hAnsi="仿宋" w:eastAsia="仿宋_GB2312" w:cs="仿宋"/>
          <w:color w:val="auto"/>
          <w:sz w:val="24"/>
        </w:rPr>
        <w:t>XX专用章”（印模）</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rPr>
          <w:rFonts w:ascii="仿宋_GB2312" w:hAnsi="仿宋" w:eastAsia="仿宋_GB2312" w:cs="仿宋"/>
          <w:b/>
          <w:color w:val="auto"/>
          <w:spacing w:val="6"/>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w:t>
      </w:r>
      <w:r>
        <w:rPr>
          <w:rFonts w:ascii="仿宋_GB2312" w:hAnsi="仿宋" w:eastAsia="仿宋_GB2312" w:cs="仿宋"/>
          <w:b/>
          <w:color w:val="auto"/>
          <w:kern w:val="0"/>
          <w:sz w:val="32"/>
          <w:szCs w:val="32"/>
        </w:rPr>
        <w:t>4：联合协议</w:t>
      </w:r>
    </w:p>
    <w:p>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（联合体所有成员名称）</w:t>
      </w:r>
      <w:r>
        <w:rPr>
          <w:rFonts w:hint="eastAsia" w:ascii="仿宋_GB2312" w:hAnsi="仿宋" w:eastAsia="仿宋_GB2312" w:cs="仿宋"/>
          <w:color w:val="auto"/>
          <w:kern w:val="0"/>
          <w:sz w:val="24"/>
        </w:rPr>
        <w:t>自愿</w:t>
      </w:r>
      <w:r>
        <w:rPr>
          <w:rFonts w:hint="eastAsia" w:ascii="仿宋_GB2312" w:hAnsi="仿宋" w:eastAsia="仿宋_GB2312" w:cs="仿宋"/>
          <w:color w:val="auto"/>
          <w:kern w:val="0"/>
          <w:sz w:val="24"/>
          <w:lang w:val="zh-CN"/>
        </w:rPr>
        <w:t>组成一个联合体，以一个投标人的身份</w:t>
      </w:r>
      <w:r>
        <w:rPr>
          <w:rFonts w:hint="eastAsia" w:ascii="仿宋_GB2312" w:hAnsi="仿宋" w:eastAsia="仿宋_GB2312" w:cs="仿宋"/>
          <w:color w:val="auto"/>
          <w:kern w:val="0"/>
          <w:sz w:val="24"/>
        </w:rPr>
        <w:t>参加</w:t>
      </w:r>
      <w:r>
        <w:rPr>
          <w:rFonts w:hint="eastAsia" w:ascii="仿宋_GB2312" w:hAnsi="仿宋" w:eastAsia="仿宋_GB2312" w:cs="仿宋"/>
          <w:color w:val="auto"/>
          <w:sz w:val="24"/>
          <w:u w:val="single"/>
        </w:rPr>
        <w:t>（项目名称）【招标编号：（采购编号）</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投标。</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一、各方一致决定，</w:t>
      </w:r>
      <w:r>
        <w:rPr>
          <w:rFonts w:hint="eastAsia" w:ascii="仿宋_GB2312" w:hAnsi="仿宋" w:eastAsia="仿宋_GB2312" w:cs="仿宋"/>
          <w:color w:val="auto"/>
          <w:kern w:val="0"/>
          <w:sz w:val="24"/>
          <w:u w:val="single"/>
        </w:rPr>
        <w:t>（某联合体成员名称）</w:t>
      </w:r>
      <w:r>
        <w:rPr>
          <w:rFonts w:hint="eastAsia" w:ascii="仿宋_GB2312" w:hAnsi="仿宋" w:eastAsia="仿宋_GB2312" w:cs="仿宋"/>
          <w:color w:val="auto"/>
          <w:kern w:val="0"/>
          <w:sz w:val="24"/>
        </w:rPr>
        <w:t>为联合体</w:t>
      </w:r>
      <w:r>
        <w:rPr>
          <w:rFonts w:hint="eastAsia" w:ascii="仿宋_GB2312" w:hAnsi="仿宋" w:eastAsia="仿宋_GB2312" w:cs="仿宋"/>
          <w:color w:val="auto"/>
          <w:kern w:val="0"/>
          <w:sz w:val="24"/>
          <w:lang w:val="zh-CN"/>
        </w:rPr>
        <w:t>牵头人</w:t>
      </w:r>
      <w:r>
        <w:rPr>
          <w:rFonts w:hint="eastAsia" w:ascii="仿宋_GB2312" w:hAnsi="仿宋" w:eastAsia="仿宋_GB2312" w:cs="仿宋"/>
          <w:color w:val="auto"/>
          <w:sz w:val="24"/>
        </w:rPr>
        <w:t>，代表所有联合体成员负责投标和合同实施阶段的主办、协调工作</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w:t>
      </w:r>
      <w:r>
        <w:rPr>
          <w:rFonts w:hint="eastAsia" w:ascii="仿宋_GB2312" w:hAnsi="仿宋" w:eastAsia="仿宋_GB2312" w:cs="仿宋"/>
          <w:color w:val="auto"/>
          <w:sz w:val="24"/>
        </w:rPr>
        <w:t>所有联合体成员各方签署授权书，授权书载明的</w:t>
      </w:r>
      <w:r>
        <w:rPr>
          <w:rFonts w:hint="eastAsia" w:ascii="仿宋_GB2312" w:hAnsi="仿宋" w:eastAsia="仿宋_GB2312"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三、本次联合投标中，分工如下：</w:t>
      </w:r>
    </w:p>
    <w:p>
      <w:pPr>
        <w:snapToGrid w:val="0"/>
        <w:spacing w:line="360" w:lineRule="auto"/>
        <w:ind w:firstLine="576"/>
        <w:rPr>
          <w:rFonts w:ascii="仿宋_GB2312" w:hAnsi="仿宋" w:eastAsia="仿宋_GB2312" w:cs="仿宋"/>
          <w:color w:val="auto"/>
          <w:kern w:val="0"/>
          <w:sz w:val="24"/>
          <w:lang w:val="zh-CN"/>
        </w:rPr>
      </w:pPr>
      <w:bookmarkStart w:id="162" w:name="_Hlk101134295"/>
      <w:r>
        <w:rPr>
          <w:rFonts w:hint="eastAsia" w:ascii="仿宋_GB2312" w:hAnsi="仿宋" w:eastAsia="仿宋_GB2312" w:cs="仿宋"/>
          <w:color w:val="auto"/>
          <w:kern w:val="0"/>
          <w:sz w:val="24"/>
          <w:u w:val="single"/>
        </w:rPr>
        <w:t>（联合体成员</w:t>
      </w:r>
      <w:r>
        <w:rPr>
          <w:rFonts w:ascii="仿宋_GB2312" w:hAnsi="仿宋" w:eastAsia="仿宋_GB2312" w:cs="仿宋"/>
          <w:color w:val="auto"/>
          <w:kern w:val="0"/>
          <w:sz w:val="24"/>
          <w:u w:val="single"/>
        </w:rPr>
        <w:t>1）</w:t>
      </w:r>
      <w:r>
        <w:rPr>
          <w:rFonts w:hint="eastAsia" w:ascii="仿宋_GB2312" w:hAnsi="仿宋" w:eastAsia="仿宋_GB2312" w:cs="仿宋"/>
          <w:color w:val="auto"/>
          <w:kern w:val="0"/>
          <w:sz w:val="24"/>
          <w:lang w:val="zh-CN"/>
        </w:rPr>
        <w:t>承担的工作和义务为：；</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（联合体成员</w:t>
      </w:r>
      <w:r>
        <w:rPr>
          <w:rFonts w:ascii="仿宋_GB2312" w:hAnsi="仿宋" w:eastAsia="仿宋_GB2312" w:cs="仿宋"/>
          <w:color w:val="auto"/>
          <w:kern w:val="0"/>
          <w:sz w:val="24"/>
          <w:u w:val="single"/>
        </w:rPr>
        <w:t>2）</w:t>
      </w:r>
      <w:r>
        <w:rPr>
          <w:rFonts w:hint="eastAsia" w:ascii="仿宋_GB2312" w:hAnsi="仿宋" w:eastAsia="仿宋_GB2312" w:cs="仿宋"/>
          <w:color w:val="auto"/>
          <w:kern w:val="0"/>
          <w:sz w:val="24"/>
          <w:lang w:val="zh-CN"/>
        </w:rPr>
        <w:t>承担的工作和义务为：；</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w:t>
      </w:r>
    </w:p>
    <w:bookmarkEnd w:id="162"/>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四、联合体成员中小企业合同份额。</w:t>
      </w:r>
    </w:p>
    <w:p>
      <w:pPr>
        <w:snapToGrid w:val="0"/>
        <w:spacing w:line="360" w:lineRule="auto"/>
        <w:ind w:firstLine="576"/>
        <w:rPr>
          <w:rFonts w:ascii="仿宋_GB2312" w:hAnsi="仿宋" w:eastAsia="仿宋_GB2312" w:cs="仿宋"/>
          <w:b/>
          <w:color w:val="auto"/>
          <w:kern w:val="0"/>
          <w:sz w:val="24"/>
          <w:lang w:val="zh-CN"/>
        </w:rPr>
      </w:pPr>
      <w:r>
        <w:rPr>
          <w:rFonts w:ascii="仿宋_GB2312" w:hAnsi="仿宋" w:eastAsia="仿宋_GB2312" w:cs="仿宋"/>
          <w:color w:val="auto"/>
          <w:kern w:val="0"/>
          <w:sz w:val="24"/>
          <w:lang w:val="zh-CN"/>
        </w:rPr>
        <w:t>1、</w:t>
      </w:r>
      <w:r>
        <w:rPr>
          <w:rFonts w:hint="eastAsia" w:ascii="仿宋_GB2312" w:hAnsi="仿宋" w:eastAsia="仿宋_GB2312" w:cs="仿宋"/>
          <w:color w:val="auto"/>
          <w:kern w:val="0"/>
          <w:sz w:val="24"/>
          <w:u w:val="single"/>
        </w:rPr>
        <w:t>（联合体成员</w:t>
      </w:r>
      <w:r>
        <w:rPr>
          <w:rFonts w:ascii="仿宋_GB2312" w:hAnsi="仿宋" w:eastAsia="仿宋_GB2312" w:cs="仿宋"/>
          <w:color w:val="auto"/>
          <w:kern w:val="0"/>
          <w:sz w:val="24"/>
          <w:u w:val="single"/>
        </w:rPr>
        <w:t>X,……）</w:t>
      </w:r>
      <w:r>
        <w:rPr>
          <w:rFonts w:hint="eastAsia" w:ascii="仿宋_GB2312" w:hAnsi="仿宋" w:eastAsia="仿宋_GB2312" w:cs="仿宋"/>
          <w:color w:val="auto"/>
          <w:kern w:val="0"/>
          <w:sz w:val="24"/>
        </w:rPr>
        <w:t>提供的全部货物由小微企业制造，其合同份额占到合同总金额</w:t>
      </w:r>
      <w:r>
        <w:rPr>
          <w:rFonts w:ascii="仿宋_GB2312" w:hAnsi="仿宋" w:eastAsia="仿宋_GB2312" w:cs="仿宋"/>
          <w:color w:val="auto"/>
          <w:kern w:val="0"/>
          <w:sz w:val="24"/>
        </w:rPr>
        <w:t>%以上；</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hAnsi="仿宋" w:eastAsia="仿宋_GB2312" w:cs="仿宋"/>
          <w:b/>
          <w:color w:val="auto"/>
          <w:kern w:val="0"/>
          <w:sz w:val="24"/>
          <w:lang w:val="zh-CN"/>
        </w:rPr>
        <w:t>30%以上的，对联合体报价按评标标准确定的比例给予扣除。供应商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ascii="仿宋_GB2312" w:hAnsi="仿宋" w:eastAsia="仿宋_GB2312" w:cs="仿宋"/>
          <w:color w:val="auto"/>
          <w:sz w:val="24"/>
        </w:rPr>
        <w:t>2、中小企业合同金额达到%，其中小微企业合同金额达到%</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五、如果中标，</w:t>
      </w:r>
      <w:r>
        <w:rPr>
          <w:rFonts w:hint="eastAsia" w:ascii="仿宋_GB2312" w:hAnsi="仿宋" w:eastAsia="仿宋_GB2312" w:cs="仿宋"/>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六、有关本次联合投标的其他事宜：</w:t>
      </w:r>
    </w:p>
    <w:p>
      <w:pPr>
        <w:snapToGrid w:val="0"/>
        <w:spacing w:line="360" w:lineRule="auto"/>
        <w:ind w:firstLine="576"/>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w:t>
      </w:r>
      <w:r>
        <w:rPr>
          <w:rFonts w:ascii="仿宋_GB2312" w:hAnsi="仿宋" w:eastAsia="仿宋_GB2312" w:cs="仿宋"/>
          <w:color w:val="auto"/>
          <w:kern w:val="0"/>
          <w:sz w:val="24"/>
          <w:lang w:val="zh-CN"/>
        </w:rPr>
        <w:t>(电子签名/公章)：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w:t>
      </w:r>
      <w:r>
        <w:rPr>
          <w:rFonts w:ascii="仿宋_GB2312" w:hAnsi="仿宋" w:eastAsia="仿宋_GB2312" w:cs="仿宋"/>
          <w:color w:val="auto"/>
          <w:kern w:val="0"/>
          <w:sz w:val="24"/>
          <w:lang w:val="zh-CN"/>
        </w:rPr>
        <w:t>(电子签名/公章)：</w:t>
      </w:r>
    </w:p>
    <w:p>
      <w:pPr>
        <w:snapToGrid w:val="0"/>
        <w:spacing w:line="360" w:lineRule="auto"/>
        <w:ind w:right="960"/>
        <w:jc w:val="center"/>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 xml:space="preserve">                   ……</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日期：年月日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outlineLvl w:val="0"/>
        <w:rPr>
          <w:rFonts w:ascii="仿宋_GB2312" w:hAnsi="仿宋" w:eastAsia="仿宋_GB2312" w:cs="仿宋"/>
          <w:b/>
          <w:color w:val="auto"/>
          <w:kern w:val="0"/>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w:t>
      </w:r>
      <w:r>
        <w:rPr>
          <w:rFonts w:ascii="仿宋_GB2312" w:hAnsi="仿宋" w:eastAsia="仿宋_GB2312" w:cs="仿宋"/>
          <w:b/>
          <w:color w:val="auto"/>
          <w:kern w:val="0"/>
          <w:sz w:val="32"/>
          <w:szCs w:val="32"/>
        </w:rPr>
        <w:t>5：分包意向协议</w:t>
      </w:r>
    </w:p>
    <w:p>
      <w:pPr>
        <w:widowControl/>
        <w:spacing w:line="360" w:lineRule="auto"/>
        <w:ind w:firstLine="120" w:firstLineChars="50"/>
        <w:jc w:val="left"/>
        <w:rPr>
          <w:rFonts w:ascii="仿宋_GB2312" w:hAnsi="仿宋" w:eastAsia="仿宋_GB2312" w:cs="仿宋"/>
          <w:color w:val="auto"/>
          <w:sz w:val="24"/>
        </w:rPr>
      </w:pPr>
      <w:r>
        <w:rPr>
          <w:rFonts w:hint="eastAsia" w:ascii="仿宋_GB2312" w:hAnsi="仿宋" w:eastAsia="仿宋_GB2312" w:cs="仿宋"/>
          <w:color w:val="auto"/>
          <w:sz w:val="24"/>
        </w:rPr>
        <w:t>（</w:t>
      </w:r>
      <w:r>
        <w:rPr>
          <w:rFonts w:hint="eastAsia" w:ascii="仿宋_GB2312" w:hAnsi="仿宋" w:eastAsia="仿宋_GB2312" w:cs="仿宋"/>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若成为</w:t>
      </w:r>
      <w:r>
        <w:rPr>
          <w:rFonts w:hint="eastAsia" w:ascii="仿宋_GB2312" w:hAnsi="仿宋" w:eastAsia="仿宋_GB2312" w:cs="仿宋"/>
          <w:color w:val="auto"/>
          <w:sz w:val="24"/>
          <w:u w:val="single"/>
        </w:rPr>
        <w:t>（项目名称）【招标编号：（采购编号）】</w:t>
      </w:r>
      <w:r>
        <w:rPr>
          <w:rFonts w:hint="eastAsia" w:ascii="仿宋_GB2312" w:hAnsi="仿宋" w:eastAsia="仿宋_GB2312" w:cs="仿宋"/>
          <w:color w:val="auto"/>
          <w:kern w:val="0"/>
          <w:sz w:val="24"/>
          <w:lang w:val="zh-CN"/>
        </w:rPr>
        <w:t>的中标供应商，将依法采取分包方式履行合同。</w:t>
      </w: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rPr>
        <w:t>与</w:t>
      </w:r>
      <w:r>
        <w:rPr>
          <w:rFonts w:hint="eastAsia" w:ascii="仿宋_GB2312" w:hAnsi="仿宋" w:eastAsia="仿宋_GB2312" w:cs="仿宋"/>
          <w:color w:val="auto"/>
          <w:kern w:val="0"/>
          <w:sz w:val="24"/>
          <w:u w:val="single"/>
        </w:rPr>
        <w:t>（所有分包供应商名称）</w:t>
      </w:r>
      <w:r>
        <w:rPr>
          <w:rFonts w:hint="eastAsia" w:ascii="仿宋_GB2312" w:hAnsi="仿宋" w:eastAsia="仿宋_GB2312" w:cs="仿宋"/>
          <w:color w:val="auto"/>
          <w:kern w:val="0"/>
          <w:sz w:val="24"/>
        </w:rPr>
        <w:t>达成分包意向协议</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一、分包标的及数量</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将</w:t>
      </w:r>
      <w:r>
        <w:rPr>
          <w:rFonts w:ascii="仿宋_GB2312" w:hAnsi="仿宋" w:eastAsia="仿宋_GB2312" w:cs="仿宋"/>
          <w:color w:val="auto"/>
          <w:kern w:val="0"/>
          <w:sz w:val="24"/>
          <w:u w:val="single"/>
        </w:rPr>
        <w:t xml:space="preserve">  XX工作内容   </w:t>
      </w:r>
      <w:r>
        <w:rPr>
          <w:rFonts w:hint="eastAsia" w:ascii="仿宋_GB2312" w:hAnsi="仿宋" w:eastAsia="仿宋_GB2312" w:cs="仿宋"/>
          <w:color w:val="auto"/>
          <w:sz w:val="24"/>
        </w:rPr>
        <w:t>分包给</w:t>
      </w:r>
      <w:r>
        <w:rPr>
          <w:rFonts w:hint="eastAsia" w:ascii="仿宋_GB2312" w:hAnsi="仿宋" w:eastAsia="仿宋_GB2312" w:cs="仿宋"/>
          <w:color w:val="auto"/>
          <w:kern w:val="0"/>
          <w:sz w:val="24"/>
          <w:u w:val="single"/>
        </w:rPr>
        <w:t>（分包供应商</w:t>
      </w:r>
      <w:r>
        <w:rPr>
          <w:rFonts w:ascii="仿宋_GB2312" w:hAnsi="仿宋" w:eastAsia="仿宋_GB2312" w:cs="仿宋"/>
          <w:color w:val="auto"/>
          <w:kern w:val="0"/>
          <w:sz w:val="24"/>
          <w:u w:val="single"/>
        </w:rPr>
        <w:t>1名称）</w:t>
      </w:r>
      <w:r>
        <w:rPr>
          <w:rFonts w:hint="eastAsia" w:ascii="仿宋_GB2312" w:hAnsi="仿宋" w:eastAsia="仿宋_GB2312" w:cs="仿宋"/>
          <w:color w:val="auto"/>
          <w:kern w:val="0"/>
          <w:sz w:val="24"/>
          <w:lang w:val="zh-CN"/>
        </w:rPr>
        <w:t>，</w:t>
      </w:r>
      <w:r>
        <w:rPr>
          <w:rFonts w:hint="eastAsia" w:ascii="仿宋_GB2312" w:hAnsi="仿宋" w:eastAsia="仿宋_GB2312" w:cs="仿宋"/>
          <w:color w:val="auto"/>
          <w:kern w:val="0"/>
          <w:sz w:val="24"/>
          <w:u w:val="single"/>
        </w:rPr>
        <w:t>（分包供应商</w:t>
      </w:r>
      <w:r>
        <w:rPr>
          <w:rFonts w:ascii="仿宋_GB2312" w:hAnsi="仿宋" w:eastAsia="仿宋_GB2312" w:cs="仿宋"/>
          <w:color w:val="auto"/>
          <w:kern w:val="0"/>
          <w:sz w:val="24"/>
          <w:u w:val="single"/>
        </w:rPr>
        <w:t>1名称），</w:t>
      </w:r>
      <w:r>
        <w:rPr>
          <w:rFonts w:hint="eastAsia" w:ascii="仿宋_GB2312" w:hAnsi="仿宋" w:eastAsia="仿宋_GB2312" w:cs="仿宋"/>
          <w:color w:val="auto"/>
          <w:kern w:val="0"/>
          <w:sz w:val="24"/>
          <w:lang w:val="zh-CN"/>
        </w:rPr>
        <w:t>具备承</w:t>
      </w:r>
      <w:r>
        <w:rPr>
          <w:rFonts w:hint="eastAsia" w:ascii="仿宋_GB2312" w:hAnsi="仿宋" w:eastAsia="仿宋_GB2312" w:cs="仿宋"/>
          <w:color w:val="auto"/>
          <w:kern w:val="0"/>
          <w:sz w:val="24"/>
        </w:rPr>
        <w:t>担</w:t>
      </w:r>
      <w:r>
        <w:rPr>
          <w:rFonts w:ascii="仿宋_GB2312" w:hAnsi="仿宋" w:eastAsia="仿宋_GB2312" w:cs="仿宋"/>
          <w:color w:val="auto"/>
          <w:kern w:val="0"/>
          <w:sz w:val="24"/>
          <w:u w:val="single"/>
          <w:lang w:val="zh-CN"/>
        </w:rPr>
        <w:t>XX工作内容</w:t>
      </w:r>
      <w:r>
        <w:rPr>
          <w:rFonts w:hint="eastAsia" w:ascii="仿宋_GB2312" w:hAnsi="仿宋" w:eastAsia="仿宋_GB2312" w:cs="仿宋"/>
          <w:color w:val="auto"/>
          <w:kern w:val="0"/>
          <w:sz w:val="24"/>
          <w:lang w:val="zh-CN"/>
        </w:rPr>
        <w:t>相应资质条件且不得再次分包；</w:t>
      </w:r>
    </w:p>
    <w:p>
      <w:pPr>
        <w:snapToGrid w:val="0"/>
        <w:spacing w:line="360" w:lineRule="auto"/>
        <w:ind w:firstLine="576"/>
        <w:jc w:val="left"/>
        <w:rPr>
          <w:rFonts w:cs="仿宋"/>
          <w:color w:val="auto"/>
          <w:kern w:val="0"/>
          <w:sz w:val="24"/>
        </w:rPr>
      </w:pPr>
      <w:r>
        <w:rPr>
          <w:rFonts w:hint="eastAsia" w:cs="仿宋"/>
          <w:color w:val="auto"/>
          <w:kern w:val="0"/>
          <w:sz w:val="24"/>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二、分包供应商中小企业合同份额</w:t>
      </w:r>
    </w:p>
    <w:p>
      <w:pPr>
        <w:snapToGrid w:val="0"/>
        <w:spacing w:line="360" w:lineRule="auto"/>
        <w:ind w:firstLine="576"/>
        <w:rPr>
          <w:rFonts w:ascii="仿宋_GB2312" w:hAnsi="仿宋" w:eastAsia="仿宋_GB2312" w:cs="仿宋"/>
          <w:b/>
          <w:color w:val="auto"/>
          <w:kern w:val="0"/>
          <w:sz w:val="24"/>
          <w:lang w:val="zh-CN"/>
        </w:rPr>
      </w:pPr>
      <w:r>
        <w:rPr>
          <w:rFonts w:ascii="仿宋_GB2312" w:hAnsi="仿宋" w:eastAsia="仿宋_GB2312" w:cs="仿宋"/>
          <w:color w:val="auto"/>
          <w:kern w:val="0"/>
          <w:sz w:val="24"/>
        </w:rPr>
        <w:t>1、</w:t>
      </w:r>
      <w:r>
        <w:rPr>
          <w:rFonts w:hint="eastAsia" w:ascii="仿宋_GB2312" w:hAnsi="仿宋" w:eastAsia="仿宋_GB2312" w:cs="仿宋"/>
          <w:color w:val="auto"/>
          <w:kern w:val="0"/>
          <w:sz w:val="24"/>
          <w:u w:val="single"/>
        </w:rPr>
        <w:t>（分包供应商</w:t>
      </w:r>
      <w:r>
        <w:rPr>
          <w:rFonts w:ascii="仿宋_GB2312" w:hAnsi="仿宋" w:eastAsia="仿宋_GB2312" w:cs="仿宋"/>
          <w:color w:val="auto"/>
          <w:kern w:val="0"/>
          <w:sz w:val="24"/>
          <w:u w:val="single"/>
        </w:rPr>
        <w:t>X,……）提供的货物全部由小微企业制造，</w:t>
      </w:r>
      <w:r>
        <w:rPr>
          <w:rFonts w:hint="eastAsia" w:ascii="仿宋_GB2312" w:hAnsi="仿宋" w:eastAsia="仿宋_GB2312" w:cs="仿宋"/>
          <w:color w:val="auto"/>
          <w:kern w:val="0"/>
          <w:sz w:val="24"/>
        </w:rPr>
        <w:t>其合同份额占到合同总金额</w:t>
      </w:r>
      <w:r>
        <w:rPr>
          <w:rFonts w:ascii="仿宋_GB2312" w:hAnsi="仿宋" w:eastAsia="仿宋_GB2312" w:cs="仿宋"/>
          <w:color w:val="auto"/>
          <w:kern w:val="0"/>
          <w:sz w:val="24"/>
        </w:rPr>
        <w:t>%以上</w:t>
      </w:r>
      <w:r>
        <w:rPr>
          <w:rFonts w:hint="eastAsia" w:ascii="仿宋_GB2312" w:hAnsi="仿宋" w:eastAsia="仿宋_GB2312" w:cs="仿宋"/>
          <w:color w:val="auto"/>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hAnsi="仿宋" w:eastAsia="仿宋_GB2312" w:cs="仿宋"/>
          <w:b/>
          <w:color w:val="auto"/>
          <w:kern w:val="0"/>
          <w:sz w:val="24"/>
          <w:lang w:val="zh-CN"/>
        </w:rPr>
        <w:t>30%以上的，对大中型企业的报价按评标标准确定的比例给予扣除。供应商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pacing w:line="360" w:lineRule="auto"/>
        <w:ind w:firstLine="480" w:firstLineChars="200"/>
        <w:rPr>
          <w:rFonts w:ascii="仿宋_GB2312" w:hAnsi="仿宋" w:eastAsia="仿宋_GB2312" w:cs="仿宋"/>
          <w:b/>
          <w:bCs/>
          <w:color w:val="auto"/>
          <w:kern w:val="0"/>
          <w:sz w:val="24"/>
          <w:lang w:val="zh-CN"/>
        </w:rPr>
      </w:pPr>
      <w:r>
        <w:rPr>
          <w:rFonts w:ascii="仿宋_GB2312" w:hAnsi="仿宋" w:eastAsia="仿宋_GB2312" w:cs="仿宋"/>
          <w:color w:val="auto"/>
          <w:sz w:val="24"/>
        </w:rPr>
        <w:t>2、</w:t>
      </w:r>
      <w:bookmarkStart w:id="163" w:name="_Hlk101133173"/>
      <w:r>
        <w:rPr>
          <w:rFonts w:hint="eastAsia" w:ascii="仿宋_GB2312" w:hAnsi="仿宋" w:eastAsia="仿宋_GB2312" w:cs="仿宋"/>
          <w:color w:val="auto"/>
          <w:sz w:val="24"/>
        </w:rPr>
        <w:t>中小企业合同金额达到</w:t>
      </w:r>
      <w:r>
        <w:rPr>
          <w:rFonts w:ascii="仿宋_GB2312" w:hAnsi="仿宋" w:eastAsia="仿宋_GB2312" w:cs="仿宋"/>
          <w:color w:val="auto"/>
          <w:sz w:val="24"/>
        </w:rPr>
        <w:t>%，其中小微企业合同金额达到%</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lang w:val="zh-CN"/>
        </w:rPr>
        <w:t>分包意向协议</w:t>
      </w:r>
      <w:r>
        <w:rPr>
          <w:rFonts w:hint="eastAsia" w:ascii="仿宋_GB2312" w:hAnsi="仿宋" w:eastAsia="仿宋_GB2312" w:cs="仿宋"/>
          <w:b/>
          <w:bCs/>
          <w:color w:val="auto"/>
          <w:sz w:val="24"/>
        </w:rPr>
        <w:t>中中小企业、小微企业合同金额应当达到的比例要求填写。</w:t>
      </w:r>
      <w:r>
        <w:rPr>
          <w:rFonts w:hint="eastAsia" w:ascii="仿宋_GB2312" w:hAnsi="仿宋" w:eastAsia="仿宋_GB2312" w:cs="仿宋"/>
          <w:b/>
          <w:bCs/>
          <w:color w:val="auto"/>
          <w:kern w:val="0"/>
          <w:sz w:val="24"/>
          <w:lang w:val="zh-CN"/>
        </w:rPr>
        <w:t>）</w:t>
      </w:r>
      <w:bookmarkEnd w:id="163"/>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三、分包工作履行期限、地点、方式</w:t>
      </w:r>
    </w:p>
    <w:p>
      <w:pPr>
        <w:snapToGrid w:val="0"/>
        <w:spacing w:line="360" w:lineRule="auto"/>
        <w:ind w:firstLine="576"/>
        <w:rPr>
          <w:rFonts w:ascii="仿宋_GB2312" w:hAnsi="仿宋" w:eastAsia="仿宋_GB2312" w:cs="仿宋"/>
          <w:color w:val="auto"/>
          <w:u w:val="single"/>
        </w:rPr>
      </w:pP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四、质量</w:t>
      </w:r>
    </w:p>
    <w:p>
      <w:pPr>
        <w:snapToGrid w:val="0"/>
        <w:spacing w:line="360" w:lineRule="auto"/>
        <w:ind w:firstLine="576"/>
        <w:rPr>
          <w:rFonts w:ascii="仿宋_GB2312" w:hAnsi="仿宋" w:eastAsia="仿宋_GB2312" w:cs="仿宋"/>
          <w:color w:val="auto"/>
          <w:kern w:val="0"/>
          <w:sz w:val="24"/>
          <w:lang w:val="zh-CN"/>
        </w:rPr>
      </w:pP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五、价款或者报酬</w:t>
      </w:r>
    </w:p>
    <w:p>
      <w:pPr>
        <w:snapToGrid w:val="0"/>
        <w:spacing w:line="360" w:lineRule="auto"/>
        <w:ind w:left="573" w:leftChars="273"/>
        <w:rPr>
          <w:rFonts w:ascii="仿宋_GB2312" w:hAnsi="仿宋" w:eastAsia="仿宋_GB2312" w:cs="仿宋"/>
          <w:color w:val="auto"/>
          <w:kern w:val="0"/>
          <w:sz w:val="24"/>
          <w:lang w:val="zh-CN"/>
        </w:rPr>
      </w:pPr>
    </w:p>
    <w:p>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六、违约责任</w:t>
      </w:r>
    </w:p>
    <w:p>
      <w:pPr>
        <w:snapToGrid w:val="0"/>
        <w:spacing w:line="360" w:lineRule="auto"/>
        <w:ind w:firstLine="576"/>
        <w:rPr>
          <w:rFonts w:ascii="仿宋_GB2312" w:hAnsi="仿宋" w:eastAsia="仿宋_GB2312" w:cs="仿宋"/>
          <w:color w:val="auto"/>
          <w:kern w:val="0"/>
          <w:sz w:val="24"/>
          <w:lang w:val="zh-CN"/>
        </w:rPr>
      </w:pP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七、争议解决的办法</w:t>
      </w:r>
    </w:p>
    <w:p>
      <w:pPr>
        <w:snapToGrid w:val="0"/>
        <w:spacing w:line="360" w:lineRule="auto"/>
        <w:ind w:firstLine="576"/>
        <w:rPr>
          <w:rFonts w:ascii="仿宋_GB2312" w:hAnsi="仿宋" w:eastAsia="仿宋_GB2312" w:cs="仿宋"/>
          <w:color w:val="auto"/>
          <w:kern w:val="0"/>
          <w:sz w:val="24"/>
          <w:lang w:val="zh-CN"/>
        </w:rPr>
      </w:pPr>
    </w:p>
    <w:p>
      <w:pPr>
        <w:snapToGrid w:val="0"/>
        <w:spacing w:line="360" w:lineRule="auto"/>
        <w:ind w:left="5758" w:leftChars="342" w:hanging="5040" w:hangingChars="2100"/>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 xml:space="preserve">                                          投标人名称(电子签名)：</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分包供应商名称</w:t>
      </w:r>
      <w:r>
        <w:rPr>
          <w:rFonts w:ascii="仿宋_GB2312" w:hAnsi="仿宋" w:eastAsia="仿宋_GB2312" w:cs="仿宋"/>
          <w:color w:val="auto"/>
          <w:kern w:val="0"/>
          <w:sz w:val="24"/>
          <w:lang w:val="zh-CN"/>
        </w:rPr>
        <w:t>(电子签名/公章)：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 xml:space="preserve">                                        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Style w:val="81"/>
        <w:rPr>
          <w:rFonts w:hAnsi="仿宋" w:cs="仿宋"/>
          <w:b/>
          <w:color w:val="auto"/>
          <w:spacing w:val="6"/>
          <w:sz w:val="32"/>
          <w:szCs w:val="32"/>
        </w:rPr>
      </w:pPr>
    </w:p>
    <w:p>
      <w:pPr>
        <w:pStyle w:val="82"/>
        <w:rPr>
          <w:rFonts w:ascii="仿宋_GB2312" w:hAnsi="仿宋" w:eastAsia="仿宋_GB2312" w:cs="仿宋"/>
          <w:b/>
          <w:color w:val="auto"/>
          <w:spacing w:val="6"/>
          <w:sz w:val="32"/>
          <w:szCs w:val="32"/>
        </w:rPr>
      </w:pPr>
    </w:p>
    <w:p>
      <w:pPr>
        <w:rPr>
          <w:rFonts w:ascii="仿宋_GB2312" w:hAnsi="仿宋" w:eastAsia="仿宋_GB2312" w:cs="仿宋"/>
          <w:b/>
          <w:color w:val="auto"/>
          <w:spacing w:val="6"/>
          <w:sz w:val="32"/>
          <w:szCs w:val="32"/>
        </w:rPr>
      </w:pPr>
    </w:p>
    <w:p>
      <w:pPr>
        <w:pStyle w:val="81"/>
        <w:rPr>
          <w:rFonts w:hAnsi="仿宋" w:cs="仿宋"/>
          <w:b/>
          <w:color w:val="auto"/>
          <w:spacing w:val="6"/>
          <w:sz w:val="32"/>
          <w:szCs w:val="32"/>
        </w:rPr>
      </w:pPr>
    </w:p>
    <w:p>
      <w:pPr>
        <w:pStyle w:val="82"/>
        <w:rPr>
          <w:rFonts w:ascii="仿宋_GB2312" w:eastAsia="仿宋_GB2312"/>
          <w:color w:val="auto"/>
        </w:rPr>
      </w:pPr>
    </w:p>
    <w:p>
      <w:pPr>
        <w:spacing w:line="360" w:lineRule="auto"/>
        <w:rPr>
          <w:rFonts w:ascii="仿宋_GB2312" w:hAnsi="仿宋" w:eastAsia="仿宋_GB2312" w:cs="仿宋"/>
          <w:b/>
          <w:color w:val="auto"/>
          <w:spacing w:val="6"/>
          <w:sz w:val="32"/>
          <w:szCs w:val="32"/>
        </w:rPr>
      </w:pPr>
      <w:bookmarkStart w:id="164" w:name="OLE_LINK14"/>
      <w:bookmarkStart w:id="165" w:name="OLE_LINK13"/>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w:t>
      </w:r>
      <w:r>
        <w:rPr>
          <w:rFonts w:ascii="仿宋_GB2312" w:hAnsi="仿宋" w:eastAsia="仿宋_GB2312" w:cs="仿宋"/>
          <w:b/>
          <w:color w:val="auto"/>
          <w:spacing w:val="6"/>
          <w:sz w:val="32"/>
          <w:szCs w:val="32"/>
        </w:rPr>
        <w:t>6：</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残疾人福利性单位声明函</w:t>
      </w:r>
    </w:p>
    <w:bookmarkEnd w:id="164"/>
    <w:bookmarkEnd w:id="165"/>
    <w:p>
      <w:pPr>
        <w:spacing w:line="360" w:lineRule="auto"/>
        <w:rPr>
          <w:rFonts w:ascii="仿宋_GB2312" w:hAnsi="仿宋" w:eastAsia="仿宋_GB2312" w:cs="仿宋"/>
          <w:b/>
          <w:color w:val="auto"/>
          <w:spacing w:val="6"/>
          <w:sz w:val="30"/>
          <w:szCs w:val="30"/>
        </w:rPr>
      </w:pP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本单位郑重声明，根据《财政部民政部中国残疾人联合会关于促进残疾人就业政府采购政策的通知》（财库〔</w:t>
      </w:r>
      <w:r>
        <w:rPr>
          <w:rFonts w:ascii="仿宋_GB2312" w:hAnsi="仿宋" w:eastAsia="仿宋_GB2312" w:cs="仿宋"/>
          <w:color w:val="auto"/>
          <w:sz w:val="24"/>
        </w:rPr>
        <w:t>2017〕 141号）的规定，本单位为符合条件的残疾人福利性单位，且本单位参加_</w:t>
      </w:r>
      <w:r>
        <w:rPr>
          <w:rFonts w:hint="eastAsia" w:ascii="仿宋_GB2312" w:hAnsi="仿宋" w:eastAsia="仿宋_GB2312" w:cs="仿宋"/>
          <w:color w:val="auto"/>
          <w:sz w:val="24"/>
          <w:u w:val="single"/>
        </w:rPr>
        <w:t>（采购人）</w:t>
      </w:r>
      <w:r>
        <w:rPr>
          <w:rFonts w:ascii="仿宋_GB2312" w:hAnsi="仿宋" w:eastAsia="仿宋_GB2312" w:cs="仿宋"/>
          <w:color w:val="auto"/>
          <w:sz w:val="24"/>
        </w:rPr>
        <w:t>_单位的_</w:t>
      </w:r>
      <w:r>
        <w:rPr>
          <w:rFonts w:hint="eastAsia" w:ascii="仿宋_GB2312" w:hAnsi="仿宋" w:eastAsia="仿宋_GB2312" w:cs="仿宋"/>
          <w:color w:val="auto"/>
          <w:sz w:val="24"/>
          <w:u w:val="single"/>
        </w:rPr>
        <w:t>（项目名称）</w:t>
      </w:r>
      <w:r>
        <w:rPr>
          <w:rFonts w:ascii="仿宋_GB2312" w:hAnsi="仿宋" w:eastAsia="仿宋_GB2312"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rPr>
      </w:pPr>
    </w:p>
    <w:p>
      <w:pPr>
        <w:spacing w:line="360" w:lineRule="auto"/>
        <w:ind w:firstLine="480" w:firstLineChars="200"/>
        <w:rPr>
          <w:rFonts w:ascii="仿宋_GB2312" w:hAnsi="仿宋" w:eastAsia="仿宋_GB2312" w:cs="仿宋"/>
          <w:color w:val="auto"/>
          <w:sz w:val="24"/>
        </w:rPr>
      </w:pP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kern w:val="0"/>
          <w:sz w:val="24"/>
          <w:lang w:val="zh-CN"/>
        </w:rPr>
        <w:t>投标人名称（电子签名）</w:t>
      </w:r>
      <w:r>
        <w:rPr>
          <w:rFonts w:hint="eastAsia" w:ascii="仿宋_GB2312" w:hAnsi="仿宋" w:eastAsia="仿宋_GB2312" w:cs="仿宋"/>
          <w:color w:val="auto"/>
          <w:sz w:val="24"/>
        </w:rPr>
        <w:t>：</w:t>
      </w:r>
    </w:p>
    <w:p>
      <w:pPr>
        <w:tabs>
          <w:tab w:val="left" w:pos="4860"/>
        </w:tabs>
        <w:spacing w:line="360" w:lineRule="auto"/>
        <w:ind w:right="1560" w:firstLine="480" w:firstLineChars="200"/>
        <w:jc w:val="center"/>
        <w:rPr>
          <w:rFonts w:ascii="仿宋_GB2312" w:hAnsi="仿宋" w:eastAsia="仿宋_GB2312" w:cs="仿宋"/>
          <w:color w:val="auto"/>
          <w:sz w:val="24"/>
        </w:rPr>
      </w:pPr>
      <w:r>
        <w:rPr>
          <w:rFonts w:ascii="仿宋_GB2312" w:hAnsi="仿宋" w:eastAsia="仿宋_GB2312" w:cs="仿宋"/>
          <w:color w:val="auto"/>
          <w:sz w:val="24"/>
        </w:rPr>
        <w:t xml:space="preserve">       日  期：</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w:t>
      </w:r>
      <w:r>
        <w:rPr>
          <w:rFonts w:ascii="仿宋_GB2312" w:hAnsi="仿宋" w:eastAsia="仿宋_GB2312" w:cs="仿宋"/>
          <w:b/>
          <w:color w:val="auto"/>
          <w:spacing w:val="6"/>
          <w:sz w:val="32"/>
          <w:szCs w:val="32"/>
        </w:rPr>
        <w:t>7：</w:t>
      </w:r>
    </w:p>
    <w:p>
      <w:pPr>
        <w:spacing w:line="360" w:lineRule="auto"/>
        <w:jc w:val="center"/>
        <w:rPr>
          <w:rFonts w:ascii="仿宋_GB2312" w:hAnsi="仿宋" w:eastAsia="仿宋_GB2312" w:cs="仿宋"/>
          <w:color w:val="auto"/>
          <w:sz w:val="24"/>
          <w:u w:val="single"/>
        </w:rPr>
      </w:pPr>
    </w:p>
    <w:p>
      <w:pPr>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中小企业声明函（货物）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本公司（联合体）郑重声明，根据《政府采购促进中小企业发展管理办法》（财库</w:t>
      </w:r>
      <w:r>
        <w:rPr>
          <w:rFonts w:hint="eastAsia" w:ascii="仿宋_GB2312" w:hAnsi="仿宋" w:eastAsia="仿宋" w:cs="仿宋"/>
          <w:color w:val="auto"/>
          <w:sz w:val="24"/>
        </w:rPr>
        <w:t>﹝</w:t>
      </w:r>
      <w:r>
        <w:rPr>
          <w:rFonts w:ascii="仿宋_GB2312" w:hAnsi="仿宋" w:eastAsia="仿宋_GB2312" w:cs="仿宋"/>
          <w:color w:val="auto"/>
          <w:sz w:val="24"/>
        </w:rPr>
        <w:t>2020</w:t>
      </w:r>
      <w:r>
        <w:rPr>
          <w:rFonts w:hint="eastAsia" w:ascii="仿宋_GB2312" w:hAnsi="仿宋" w:eastAsia="仿宋" w:cs="仿宋"/>
          <w:color w:val="auto"/>
          <w:sz w:val="24"/>
        </w:rPr>
        <w:t>﹞</w:t>
      </w:r>
      <w:r>
        <w:rPr>
          <w:rFonts w:ascii="仿宋_GB2312" w:hAnsi="仿宋" w:eastAsia="仿宋_GB2312" w:cs="仿宋"/>
          <w:color w:val="auto"/>
          <w:sz w:val="24"/>
        </w:rPr>
        <w:t xml:space="preserve">46 号）的规定，本公司（联合体）参加 </w:t>
      </w:r>
      <w:r>
        <w:rPr>
          <w:rFonts w:hint="eastAsia" w:ascii="仿宋_GB2312" w:hAnsi="仿宋" w:eastAsia="仿宋_GB2312" w:cs="仿宋"/>
          <w:color w:val="auto"/>
          <w:sz w:val="24"/>
          <w:u w:val="single"/>
        </w:rPr>
        <w:t>（采购人）</w:t>
      </w:r>
      <w:r>
        <w:rPr>
          <w:rFonts w:hint="eastAsia" w:ascii="仿宋_GB2312" w:hAnsi="仿宋" w:eastAsia="仿宋_GB2312" w:cs="仿宋"/>
          <w:color w:val="auto"/>
          <w:sz w:val="24"/>
        </w:rPr>
        <w:t>的</w:t>
      </w:r>
      <w:r>
        <w:rPr>
          <w:rFonts w:hint="eastAsia" w:ascii="仿宋_GB2312" w:hAnsi="仿宋" w:eastAsia="仿宋_GB2312" w:cs="仿宋"/>
          <w:color w:val="auto"/>
          <w:sz w:val="24"/>
          <w:u w:val="single"/>
        </w:rPr>
        <w:t>（项目名称）</w:t>
      </w:r>
      <w:r>
        <w:rPr>
          <w:rFonts w:ascii="仿宋_GB2312" w:hAnsi="仿宋" w:eastAsia="仿宋_GB2312"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1.</w:t>
      </w:r>
      <w:r>
        <w:rPr>
          <w:rFonts w:hint="eastAsia" w:ascii="仿宋_GB2312" w:hAnsi="仿宋" w:eastAsia="仿宋_GB2312" w:cs="仿宋"/>
          <w:color w:val="auto"/>
          <w:sz w:val="24"/>
          <w:u w:val="single"/>
        </w:rPr>
        <w:t>（标的名称）</w:t>
      </w:r>
      <w:r>
        <w:rPr>
          <w:rFonts w:ascii="仿宋_GB2312" w:hAnsi="仿宋" w:eastAsia="仿宋_GB2312" w:cs="仿宋"/>
          <w:color w:val="auto"/>
          <w:sz w:val="24"/>
        </w:rPr>
        <w:t xml:space="preserve"> ，属于 </w:t>
      </w:r>
      <w:r>
        <w:rPr>
          <w:rFonts w:hint="eastAsia" w:ascii="仿宋_GB2312" w:hAnsi="仿宋" w:eastAsia="仿宋_GB2312" w:cs="仿宋"/>
          <w:color w:val="auto"/>
          <w:sz w:val="24"/>
          <w:u w:val="single"/>
        </w:rPr>
        <w:t>（采购文件中明确的所属行业）</w:t>
      </w:r>
      <w:r>
        <w:rPr>
          <w:rFonts w:hint="eastAsia" w:ascii="仿宋_GB2312" w:hAnsi="仿宋" w:eastAsia="仿宋_GB2312" w:cs="仿宋"/>
          <w:color w:val="auto"/>
          <w:sz w:val="24"/>
        </w:rPr>
        <w:t>行业；制造商为</w:t>
      </w:r>
      <w:r>
        <w:rPr>
          <w:rFonts w:ascii="仿宋_GB2312" w:hAnsi="仿宋" w:eastAsia="仿宋_GB2312" w:cs="仿宋"/>
          <w:color w:val="auto"/>
          <w:sz w:val="24"/>
          <w:u w:val="single"/>
        </w:rPr>
        <w:t xml:space="preserve"> （企业名称）</w:t>
      </w:r>
      <w:r>
        <w:rPr>
          <w:rFonts w:ascii="仿宋_GB2312" w:hAnsi="仿宋" w:eastAsia="仿宋_GB2312" w:cs="仿宋"/>
          <w:color w:val="auto"/>
          <w:sz w:val="24"/>
        </w:rPr>
        <w:t xml:space="preserve"> ，从业人员</w:t>
      </w:r>
      <w:r>
        <w:rPr>
          <w:rFonts w:hint="eastAsia" w:ascii="仿宋_GB2312" w:hAnsi="仿宋" w:eastAsia="仿宋_GB2312" w:cs="仿宋"/>
          <w:color w:val="auto"/>
          <w:sz w:val="24"/>
        </w:rPr>
        <w:t>人，营业收入为万元，资产总额为万元，属于</w:t>
      </w:r>
      <w:r>
        <w:rPr>
          <w:rFonts w:ascii="仿宋_GB2312" w:hAnsi="仿宋" w:eastAsia="仿宋_GB2312" w:cs="仿宋"/>
          <w:color w:val="auto"/>
          <w:sz w:val="24"/>
          <w:u w:val="single"/>
        </w:rPr>
        <w:t xml:space="preserve"> （中型企业、小型企业、微型企业）</w:t>
      </w:r>
      <w:r>
        <w:rPr>
          <w:rFonts w:ascii="仿宋_GB2312" w:hAnsi="仿宋" w:eastAsia="仿宋_GB2312" w:cs="仿宋"/>
          <w:color w:val="auto"/>
          <w:sz w:val="24"/>
        </w:rPr>
        <w:t xml:space="preserve"> ；</w:t>
      </w:r>
    </w:p>
    <w:p>
      <w:pPr>
        <w:spacing w:line="360" w:lineRule="auto"/>
        <w:ind w:firstLine="480" w:firstLineChars="200"/>
        <w:rPr>
          <w:rFonts w:ascii="仿宋_GB2312" w:hAnsi="仿宋" w:eastAsia="仿宋_GB2312" w:cs="仿宋"/>
          <w:color w:val="auto"/>
          <w:sz w:val="24"/>
        </w:rPr>
      </w:pPr>
      <w:r>
        <w:rPr>
          <w:rFonts w:ascii="仿宋_GB2312" w:hAnsi="仿宋" w:eastAsia="仿宋_GB2312" w:cs="仿宋"/>
          <w:color w:val="auto"/>
          <w:sz w:val="24"/>
        </w:rPr>
        <w:t>2.</w:t>
      </w:r>
      <w:r>
        <w:rPr>
          <w:rFonts w:hint="eastAsia" w:ascii="仿宋_GB2312" w:hAnsi="仿宋" w:eastAsia="仿宋_GB2312" w:cs="仿宋"/>
          <w:color w:val="auto"/>
          <w:sz w:val="24"/>
          <w:u w:val="single"/>
        </w:rPr>
        <w:t>（标的名称）</w:t>
      </w:r>
      <w:r>
        <w:rPr>
          <w:rFonts w:ascii="仿宋_GB2312" w:hAnsi="仿宋" w:eastAsia="仿宋_GB2312" w:cs="仿宋"/>
          <w:color w:val="auto"/>
          <w:sz w:val="24"/>
        </w:rPr>
        <w:t xml:space="preserve"> ，属于 </w:t>
      </w:r>
      <w:r>
        <w:rPr>
          <w:rFonts w:hint="eastAsia" w:ascii="仿宋_GB2312" w:hAnsi="仿宋" w:eastAsia="仿宋_GB2312" w:cs="仿宋"/>
          <w:color w:val="auto"/>
          <w:sz w:val="24"/>
          <w:u w:val="single"/>
        </w:rPr>
        <w:t>（采购文件中明确的所属行业）</w:t>
      </w:r>
      <w:r>
        <w:rPr>
          <w:rFonts w:hint="eastAsia" w:ascii="仿宋_GB2312" w:hAnsi="仿宋" w:eastAsia="仿宋_GB2312" w:cs="仿宋"/>
          <w:color w:val="auto"/>
          <w:sz w:val="24"/>
        </w:rPr>
        <w:t>行业；制造商为</w:t>
      </w:r>
      <w:r>
        <w:rPr>
          <w:rFonts w:ascii="仿宋_GB2312" w:hAnsi="仿宋" w:eastAsia="仿宋_GB2312" w:cs="仿宋"/>
          <w:color w:val="auto"/>
          <w:sz w:val="24"/>
          <w:u w:val="single"/>
        </w:rPr>
        <w:t xml:space="preserve"> （企业名称）</w:t>
      </w:r>
      <w:r>
        <w:rPr>
          <w:rFonts w:ascii="仿宋_GB2312" w:hAnsi="仿宋" w:eastAsia="仿宋_GB2312" w:cs="仿宋"/>
          <w:color w:val="auto"/>
          <w:sz w:val="24"/>
        </w:rPr>
        <w:t xml:space="preserve"> ，从业人员</w:t>
      </w:r>
      <w:r>
        <w:rPr>
          <w:rFonts w:hint="eastAsia" w:ascii="仿宋_GB2312" w:hAnsi="仿宋" w:eastAsia="仿宋_GB2312" w:cs="仿宋"/>
          <w:color w:val="auto"/>
          <w:sz w:val="24"/>
        </w:rPr>
        <w:t>人，营业收入为万元，资产总额为万元，属于</w:t>
      </w:r>
      <w:r>
        <w:rPr>
          <w:rFonts w:ascii="仿宋_GB2312" w:hAnsi="仿宋" w:eastAsia="仿宋_GB2312" w:cs="仿宋"/>
          <w:color w:val="auto"/>
          <w:sz w:val="24"/>
          <w:u w:val="single"/>
        </w:rPr>
        <w:t xml:space="preserve"> （中型企业、小型企业、微型企业）</w:t>
      </w:r>
      <w:r>
        <w:rPr>
          <w:rFonts w:ascii="仿宋_GB2312" w:hAnsi="仿宋" w:eastAsia="仿宋_GB2312" w:cs="仿宋"/>
          <w:color w:val="auto"/>
          <w:sz w:val="24"/>
        </w:rPr>
        <w:t xml:space="preserve">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w:t>
      </w:r>
      <w:r>
        <w:rPr>
          <w:rFonts w:ascii="仿宋_GB2312" w:hAnsi="仿宋" w:eastAsia="仿宋_GB2312" w:cs="仿宋"/>
          <w:color w:val="auto"/>
          <w:kern w:val="0"/>
          <w:sz w:val="24"/>
          <w:lang w:val="zh-CN"/>
        </w:rPr>
        <w:t>(电子签名)：</w:t>
      </w:r>
    </w:p>
    <w:p>
      <w:pPr>
        <w:snapToGrid w:val="0"/>
        <w:spacing w:line="360" w:lineRule="auto"/>
        <w:rPr>
          <w:rFonts w:ascii="仿宋_GB2312" w:hAnsi="仿宋" w:eastAsia="仿宋_GB2312" w:cs="仿宋"/>
          <w:color w:val="auto"/>
          <w:kern w:val="0"/>
          <w:sz w:val="24"/>
          <w:lang w:val="zh-CN"/>
        </w:rPr>
      </w:pPr>
      <w:r>
        <w:rPr>
          <w:rFonts w:ascii="仿宋_GB2312" w:hAnsi="仿宋" w:eastAsia="仿宋_GB2312" w:cs="仿宋"/>
          <w:color w:val="auto"/>
          <w:kern w:val="0"/>
          <w:sz w:val="24"/>
          <w:lang w:val="zh-CN"/>
        </w:rPr>
        <w:t xml:space="preserve">                                           日期</w:t>
      </w:r>
      <w:r>
        <w:rPr>
          <w:rFonts w:hint="eastAsia" w:ascii="仿宋_GB2312" w:hAnsi="仿宋" w:eastAsia="仿宋_GB2312" w:cs="仿宋"/>
          <w:color w:val="auto"/>
          <w:kern w:val="0"/>
          <w:sz w:val="24"/>
        </w:rPr>
        <w:t>：</w:t>
      </w:r>
      <w:r>
        <w:rPr>
          <w:rFonts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月日</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注：</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rPr>
      </w:pPr>
      <w:r>
        <w:rPr>
          <w:rFonts w:ascii="仿宋_GB2312" w:hAnsi="仿宋" w:eastAsia="仿宋_GB2312"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国家统计局关于印发《统计上大中小微型企业划分办法（</w:t>
      </w:r>
      <w:r>
        <w:rPr>
          <w:rFonts w:ascii="仿宋_GB2312" w:hAnsi="仿宋" w:eastAsia="仿宋_GB2312" w:cs="仿宋"/>
          <w:b/>
          <w:bCs/>
          <w:color w:val="auto"/>
          <w:kern w:val="0"/>
          <w:sz w:val="36"/>
          <w:szCs w:val="36"/>
        </w:rPr>
        <w:t>2017）》的通知</w:t>
      </w:r>
    </w:p>
    <w:p>
      <w:pPr>
        <w:spacing w:line="360" w:lineRule="auto"/>
        <w:ind w:right="420"/>
        <w:rPr>
          <w:rFonts w:ascii="仿宋_GB2312" w:hAnsi="仿宋" w:eastAsia="仿宋_GB2312" w:cs="仿宋"/>
          <w:color w:val="auto"/>
          <w:sz w:val="24"/>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各省、自治区、直辖市统计局，新疆生产建设兵团统计局，国务院各有关部门，国家统计局各调查总队：</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 w:val="24"/>
        </w:rPr>
      </w:pPr>
      <w:r>
        <w:rPr>
          <w:rFonts w:ascii="仿宋_GB2312" w:hAnsi="仿宋" w:eastAsia="仿宋_GB2312" w:cs="仿宋"/>
          <w:color w:val="auto"/>
          <w:kern w:val="0"/>
          <w:sz w:val="24"/>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 w:val="24"/>
        </w:rPr>
      </w:pPr>
      <w:r>
        <w:rPr>
          <w:rFonts w:ascii="仿宋_GB2312" w:hAnsi="仿宋" w:eastAsia="仿宋_GB2312" w:cs="仿宋"/>
          <w:color w:val="auto"/>
          <w:kern w:val="0"/>
          <w:sz w:val="24"/>
        </w:rPr>
        <w:t>2017年12月28日</w:t>
      </w:r>
    </w:p>
    <w:p>
      <w:pPr>
        <w:pStyle w:val="23"/>
        <w:rPr>
          <w:rFonts w:ascii="仿宋_GB2312"/>
          <w:color w:val="auto"/>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w:t>
      </w:r>
      <w:r>
        <w:rPr>
          <w:rFonts w:ascii="仿宋_GB2312" w:hAnsi="仿宋" w:eastAsia="仿宋_GB2312" w:cs="仿宋"/>
          <w:b/>
          <w:bCs/>
          <w:color w:val="auto"/>
          <w:kern w:val="0"/>
          <w:sz w:val="36"/>
          <w:szCs w:val="36"/>
        </w:rPr>
        <w:t>2017）</w:t>
      </w:r>
    </w:p>
    <w:p>
      <w:pPr>
        <w:widowControl/>
        <w:shd w:val="clear" w:color="auto" w:fill="FFFFFF"/>
        <w:spacing w:line="420" w:lineRule="atLeast"/>
        <w:jc w:val="left"/>
        <w:textAlignment w:val="baseline"/>
        <w:rPr>
          <w:rFonts w:ascii="仿宋_GB2312" w:hAnsi="仿宋" w:eastAsia="仿宋_GB2312" w:cs="仿宋"/>
          <w:color w:val="auto"/>
          <w:kern w:val="0"/>
          <w:sz w:val="24"/>
        </w:rPr>
      </w:pPr>
      <w:r>
        <w:rPr>
          <w:rFonts w:hint="eastAsia" w:ascii="仿宋_GB2312" w:hAnsi="仿宋" w:eastAsia="仿宋_GB2312" w:cs="仿宋"/>
          <w:color w:val="auto"/>
          <w:kern w:val="0"/>
          <w:sz w:val="24"/>
        </w:rPr>
        <w:t>一、根据工业和信息化部、国家统计局、国家发展改革委、财政部《关于印发中小企业划型标准规定的通知》（工信部联企业〔</w:t>
      </w:r>
      <w:r>
        <w:rPr>
          <w:rFonts w:ascii="仿宋_GB2312" w:hAnsi="仿宋" w:eastAsia="仿宋_GB2312" w:cs="仿宋"/>
          <w:color w:val="auto"/>
          <w:kern w:val="0"/>
          <w:sz w:val="24"/>
        </w:rPr>
        <w:t>2011〕300号），以《国民经济行业分类》（GB/T4754-2017）为基础，结合统计工作的实际情况，制定本办法。</w:t>
      </w:r>
    </w:p>
    <w:p>
      <w:pPr>
        <w:widowControl/>
        <w:shd w:val="clear" w:color="auto" w:fill="FFFFFF"/>
        <w:spacing w:line="420" w:lineRule="atLeast"/>
        <w:jc w:val="left"/>
        <w:textAlignment w:val="baseline"/>
        <w:rPr>
          <w:rFonts w:ascii="仿宋_GB2312" w:hAnsi="仿宋" w:eastAsia="仿宋_GB2312" w:cs="仿宋"/>
          <w:color w:val="auto"/>
          <w:kern w:val="0"/>
          <w:sz w:val="24"/>
        </w:rPr>
      </w:pPr>
      <w:r>
        <w:rPr>
          <w:rFonts w:hint="eastAsia" w:ascii="仿宋_GB2312" w:hAnsi="仿宋" w:eastAsia="仿宋_GB2312" w:cs="仿宋"/>
          <w:color w:val="auto"/>
          <w:kern w:val="0"/>
          <w:sz w:val="24"/>
        </w:rPr>
        <w:t>二、本办法适用对象为在中华人民共和国境内依法设立的各种组织形式的法人企业或单位。个体工商户参照本办法进行划分。</w:t>
      </w:r>
    </w:p>
    <w:p>
      <w:pPr>
        <w:widowControl/>
        <w:shd w:val="clear" w:color="auto" w:fill="FFFFFF"/>
        <w:spacing w:line="420" w:lineRule="atLeast"/>
        <w:jc w:val="left"/>
        <w:textAlignment w:val="baseline"/>
        <w:rPr>
          <w:rFonts w:ascii="仿宋_GB2312" w:hAnsi="仿宋" w:eastAsia="仿宋_GB2312" w:cs="仿宋"/>
          <w:color w:val="auto"/>
          <w:kern w:val="0"/>
          <w:sz w:val="24"/>
        </w:rPr>
      </w:pPr>
      <w:r>
        <w:rPr>
          <w:rFonts w:hint="eastAsia" w:ascii="仿宋_GB2312" w:hAnsi="仿宋" w:eastAsia="仿宋_GB2312" w:cs="仿宋"/>
          <w:color w:val="auto"/>
          <w:kern w:val="0"/>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hAnsi="仿宋" w:eastAsia="仿宋_GB2312" w:cs="仿宋"/>
          <w:color w:val="auto"/>
          <w:kern w:val="0"/>
          <w:sz w:val="24"/>
        </w:rPr>
        <w:t>15个行业门类以及社会工作行业大类。</w:t>
      </w:r>
    </w:p>
    <w:p>
      <w:pPr>
        <w:widowControl/>
        <w:shd w:val="clear" w:color="auto" w:fill="FFFFFF"/>
        <w:spacing w:line="420" w:lineRule="atLeast"/>
        <w:jc w:val="left"/>
        <w:textAlignment w:val="baseline"/>
        <w:rPr>
          <w:rFonts w:ascii="仿宋_GB2312" w:hAnsi="仿宋" w:eastAsia="仿宋_GB2312" w:cs="仿宋"/>
          <w:color w:val="auto"/>
          <w:kern w:val="0"/>
          <w:sz w:val="24"/>
        </w:rPr>
      </w:pPr>
      <w:r>
        <w:rPr>
          <w:rFonts w:hint="eastAsia" w:ascii="仿宋_GB2312" w:hAnsi="仿宋" w:eastAsia="仿宋_GB2312" w:cs="仿宋"/>
          <w:color w:val="auto"/>
          <w:kern w:val="0"/>
          <w:sz w:val="24"/>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20" w:lineRule="atLeast"/>
        <w:jc w:val="left"/>
        <w:textAlignment w:val="baseline"/>
        <w:rPr>
          <w:rFonts w:ascii="仿宋_GB2312" w:hAnsi="仿宋" w:eastAsia="仿宋_GB2312" w:cs="仿宋"/>
          <w:color w:val="auto"/>
          <w:kern w:val="0"/>
          <w:sz w:val="24"/>
        </w:rPr>
      </w:pPr>
      <w:r>
        <w:rPr>
          <w:rFonts w:hint="eastAsia" w:ascii="仿宋_GB2312" w:hAnsi="仿宋" w:eastAsia="仿宋_GB2312" w:cs="仿宋"/>
          <w:color w:val="auto"/>
          <w:kern w:val="0"/>
          <w:sz w:val="24"/>
        </w:rPr>
        <w:t>五、企业划分由政府综合统计部门根据统计年报每年确定一次，定报统计原则上不进行调整。</w:t>
      </w:r>
    </w:p>
    <w:p>
      <w:pPr>
        <w:widowControl/>
        <w:shd w:val="clear" w:color="auto" w:fill="FFFFFF"/>
        <w:spacing w:line="420" w:lineRule="atLeast"/>
        <w:jc w:val="left"/>
        <w:textAlignment w:val="baseline"/>
        <w:rPr>
          <w:rFonts w:ascii="仿宋_GB2312" w:hAnsi="仿宋" w:eastAsia="仿宋_GB2312" w:cs="仿宋"/>
          <w:color w:val="auto"/>
          <w:kern w:val="0"/>
          <w:sz w:val="24"/>
        </w:rPr>
      </w:pPr>
      <w:r>
        <w:rPr>
          <w:rFonts w:hint="eastAsia" w:ascii="仿宋_GB2312" w:hAnsi="仿宋" w:eastAsia="仿宋_GB2312" w:cs="仿宋"/>
          <w:color w:val="auto"/>
          <w:kern w:val="0"/>
          <w:sz w:val="24"/>
        </w:rPr>
        <w:t>六、本办法自印发之日起执行，国家统计局</w:t>
      </w:r>
      <w:r>
        <w:rPr>
          <w:rFonts w:ascii="仿宋_GB2312" w:hAnsi="仿宋" w:eastAsia="仿宋_GB2312" w:cs="仿宋"/>
          <w:color w:val="auto"/>
          <w:kern w:val="0"/>
          <w:sz w:val="24"/>
        </w:rPr>
        <w:t>2011年印发的《统计上大中小微型企业划分办法》（国统字〔2011〕75号）同时废止。</w:t>
      </w:r>
    </w:p>
    <w:p>
      <w:pPr>
        <w:widowControl/>
        <w:shd w:val="clear" w:color="auto" w:fill="FFFFFF"/>
        <w:spacing w:line="420" w:lineRule="atLeast"/>
        <w:jc w:val="left"/>
        <w:textAlignment w:val="baseline"/>
        <w:rPr>
          <w:rFonts w:ascii="仿宋_GB2312" w:hAnsi="仿宋" w:eastAsia="仿宋_GB2312" w:cs="仿宋"/>
          <w:color w:val="auto"/>
          <w:kern w:val="0"/>
          <w:sz w:val="24"/>
        </w:rPr>
      </w:pPr>
      <w:r>
        <w:rPr>
          <w:rFonts w:hint="eastAsia" w:ascii="仿宋_GB2312" w:hAnsi="仿宋" w:eastAsia="仿宋_GB2312" w:cs="仿宋"/>
          <w:color w:val="auto"/>
          <w:kern w:val="0"/>
          <w:sz w:val="24"/>
        </w:rPr>
        <w:t>附表：统计上大中小微型企业划分标准</w:t>
      </w: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农、林、牧、渔业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Y≥20000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500≤Y＜20000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50≤Y＜500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工业</w:t>
            </w:r>
            <w:r>
              <w:rPr>
                <w:rFonts w:ascii="仿宋_GB2312" w:hAnsi="仿宋" w:eastAsia="仿宋_GB2312" w:cs="仿宋"/>
                <w:color w:val="auto"/>
                <w:kern w:val="0"/>
                <w:sz w:val="24"/>
              </w:rPr>
              <w:t xml:space="preserve">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Y≥40000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2000≤Y＜40000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300≤Y＜2000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建筑业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Y≥80000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6000≤Y＜80000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300≤Y＜6000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w:t>
            </w:r>
            <w:r>
              <w:rPr>
                <w:rFonts w:ascii="仿宋_GB2312" w:hAnsi="仿宋" w:eastAsia="仿宋_GB2312" w:cs="仿宋"/>
                <w:color w:val="auto"/>
                <w:kern w:val="0"/>
                <w:sz w:val="24"/>
              </w:rPr>
              <w:t>(Z)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Z≥80000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5000≤Z＜80000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300≤Z＜5000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批发业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X≥200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20≤X＜200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5≤X＜20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Y≥40000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5000≤Y＜40000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1000≤Y＜5000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零售业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50≤X＜300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10≤X＜50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Y≥20000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500≤Y＜20000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100≤Y＜500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交通运输业</w:t>
            </w:r>
            <w:r>
              <w:rPr>
                <w:rFonts w:ascii="仿宋_GB2312" w:hAnsi="仿宋" w:eastAsia="仿宋_GB2312" w:cs="仿宋"/>
                <w:color w:val="auto"/>
                <w:kern w:val="0"/>
                <w:sz w:val="24"/>
              </w:rPr>
              <w:t xml:space="preserve">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3000≤Y＜30000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200≤Y＜3000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仓储业</w:t>
            </w:r>
            <w:r>
              <w:rPr>
                <w:rFonts w:ascii="仿宋_GB2312" w:hAnsi="仿宋" w:eastAsia="仿宋_GB2312" w:cs="仿宋"/>
                <w:color w:val="auto"/>
                <w:kern w:val="0"/>
                <w:sz w:val="24"/>
              </w:rPr>
              <w:t>*</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X≥200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100≤X＜200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20≤X＜100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1000≤Y＜30000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邮政业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20≤X＜300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2000≤Y＜30000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住宿业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2000≤Y＜10000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餐饮业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2000≤Y＜10000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信息传输业</w:t>
            </w:r>
            <w:r>
              <w:rPr>
                <w:rFonts w:ascii="仿宋_GB2312" w:hAnsi="仿宋" w:eastAsia="仿宋_GB2312" w:cs="仿宋"/>
                <w:color w:val="auto"/>
                <w:kern w:val="0"/>
                <w:sz w:val="24"/>
              </w:rPr>
              <w:t xml:space="preserve">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X≥2000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100≤X＜2000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1000≤Y＜100000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软件和信息技术服务业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1000≤Y＜10000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50≤Y＜1000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房地产开发经营</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Y≥200000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1000≤Y＜200000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w:t>
            </w:r>
            <w:r>
              <w:rPr>
                <w:rFonts w:ascii="仿宋_GB2312" w:hAnsi="仿宋" w:eastAsia="仿宋_GB2312" w:cs="仿宋"/>
                <w:color w:val="auto"/>
                <w:kern w:val="0"/>
                <w:sz w:val="24"/>
              </w:rPr>
              <w:t>(Z)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Z≥10000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5000≤Z＜10000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2000≤Z＜5000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物业管理</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300≤X＜1000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100≤X＜300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w:t>
            </w:r>
            <w:r>
              <w:rPr>
                <w:rFonts w:ascii="仿宋_GB2312" w:hAnsi="仿宋" w:eastAsia="仿宋_GB2312" w:cs="仿宋"/>
                <w:color w:val="auto"/>
                <w:kern w:val="0"/>
                <w:sz w:val="24"/>
              </w:rPr>
              <w:t>(Y)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Y≥5000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1000≤Y＜5000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500≤Y＜1000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租赁和商务服务业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w:t>
            </w:r>
            <w:r>
              <w:rPr>
                <w:rFonts w:ascii="仿宋_GB2312" w:hAnsi="仿宋" w:eastAsia="仿宋_GB2312" w:cs="仿宋"/>
                <w:color w:val="auto"/>
                <w:kern w:val="0"/>
                <w:sz w:val="24"/>
              </w:rPr>
              <w:t>(Z)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Z≥120000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8000≤Z＜120000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100≤Z＜8000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其他未列明行业</w:t>
            </w:r>
            <w:r>
              <w:rPr>
                <w:rFonts w:ascii="仿宋_GB2312" w:hAnsi="仿宋" w:eastAsia="仿宋_GB2312" w:cs="仿宋"/>
                <w:color w:val="auto"/>
                <w:kern w:val="0"/>
                <w:sz w:val="24"/>
              </w:rPr>
              <w:t xml:space="preserve">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r>
              <w:rPr>
                <w:rFonts w:ascii="仿宋_GB2312" w:hAnsi="仿宋" w:eastAsia="仿宋_GB2312" w:cs="仿宋"/>
                <w:color w:val="auto"/>
                <w:kern w:val="0"/>
                <w:sz w:val="24"/>
              </w:rPr>
              <w:t>(X)</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X≥300</w:t>
            </w:r>
          </w:p>
        </w:tc>
        <w:tc>
          <w:tcPr>
            <w:tcW w:w="1891"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100≤X＜300</w:t>
            </w:r>
          </w:p>
        </w:tc>
        <w:tc>
          <w:tcPr>
            <w:tcW w:w="1730"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10≤X＜100</w:t>
            </w:r>
          </w:p>
        </w:tc>
        <w:tc>
          <w:tcPr>
            <w:tcW w:w="1203"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1.大型、中型和小型企业须同时满足所列指标的下限，否则下划一档；微型企业只须满足所列指标中的一项即可。 </w:t>
      </w:r>
      <w:r>
        <w:rPr>
          <w:rFonts w:hint="eastAsia" w:ascii="仿宋_GB2312" w:hAnsi="仿宋" w:eastAsia="仿宋_GB2312" w:cs="仿宋"/>
          <w:color w:val="auto"/>
          <w:kern w:val="0"/>
          <w:szCs w:val="21"/>
        </w:rPr>
        <w:t>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_GB2312" w:hAnsi="仿宋" w:eastAsia="仿宋_GB2312" w:cs="仿宋"/>
          <w:color w:val="auto"/>
          <w:kern w:val="0"/>
          <w:szCs w:val="21"/>
        </w:rPr>
        <w:t>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（3）资产总额，采用资产总计代替。</w:t>
      </w: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w:t>
      </w:r>
      <w:r>
        <w:rPr>
          <w:rFonts w:ascii="仿宋_GB2312" w:hAnsi="仿宋" w:eastAsia="仿宋_GB2312" w:cs="仿宋"/>
          <w:b/>
          <w:bCs/>
          <w:color w:val="auto"/>
          <w:kern w:val="0"/>
          <w:sz w:val="36"/>
          <w:szCs w:val="36"/>
        </w:rPr>
        <w:t>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_GB2312" w:hAnsi="仿宋" w:eastAsia="仿宋_GB2312" w:cs="仿宋"/>
          <w:color w:val="auto"/>
          <w:kern w:val="0"/>
          <w:szCs w:val="21"/>
        </w:rPr>
        <w:t>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一、 </w:t>
      </w:r>
      <w:r>
        <w:rPr>
          <w:rFonts w:hint="eastAsia" w:ascii="仿宋_GB2312" w:hAnsi="仿宋" w:eastAsia="仿宋_GB2312" w:cs="仿宋"/>
          <w:color w:val="auto"/>
          <w:kern w:val="0"/>
          <w:szCs w:val="21"/>
        </w:rPr>
        <w:t>根据《中华人民共和国中小企业促进法》、《国务院关于进一步促进中小企业发展的若干意见》（国发〔</w:t>
      </w:r>
      <w:r>
        <w:rPr>
          <w:rFonts w:ascii="仿宋_GB2312" w:hAnsi="仿宋" w:eastAsia="仿宋_GB2312" w:cs="仿宋"/>
          <w:color w:val="auto"/>
          <w:kern w:val="0"/>
          <w:szCs w:val="21"/>
        </w:rPr>
        <w:t>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二、 </w:t>
      </w:r>
      <w:r>
        <w:rPr>
          <w:rFonts w:hint="eastAsia" w:ascii="仿宋_GB2312" w:hAnsi="仿宋" w:eastAsia="仿宋_GB2312" w:cs="仿宋"/>
          <w:color w:val="auto"/>
          <w:kern w:val="0"/>
          <w:szCs w:val="21"/>
        </w:rPr>
        <w:t>适用范围。本规定适用于从事《国民经济行业分类》</w:t>
      </w:r>
      <w:r>
        <w:rPr>
          <w:rFonts w:ascii="仿宋_GB2312" w:hAnsi="仿宋" w:eastAsia="仿宋_GB2312" w:cs="仿宋"/>
          <w:color w:val="auto"/>
          <w:kern w:val="0"/>
          <w:szCs w:val="21"/>
        </w:rPr>
        <w:t>(GB/T4754-2011)中J门类（金融业）活动的企业。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三、 </w:t>
      </w:r>
      <w:r>
        <w:rPr>
          <w:rFonts w:hint="eastAsia" w:ascii="仿宋_GB2312" w:hAnsi="仿宋" w:eastAsia="仿宋_GB2312" w:cs="仿宋"/>
          <w:color w:val="auto"/>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(一) </w:t>
      </w:r>
      <w:r>
        <w:rPr>
          <w:rFonts w:hint="eastAsia" w:ascii="仿宋_GB2312" w:hAnsi="仿宋" w:eastAsia="仿宋_GB2312" w:cs="仿宋"/>
          <w:color w:val="auto"/>
          <w:kern w:val="0"/>
          <w:szCs w:val="21"/>
        </w:rPr>
        <w:t>银行业存款类金融机构。资产总额</w:t>
      </w:r>
      <w:r>
        <w:rPr>
          <w:rFonts w:ascii="仿宋_GB2312" w:hAnsi="仿宋" w:eastAsia="仿宋_GB2312" w:cs="仿宋"/>
          <w:color w:val="auto"/>
          <w:kern w:val="0"/>
          <w:szCs w:val="21"/>
        </w:rPr>
        <w:t>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(二) </w:t>
      </w:r>
      <w:r>
        <w:rPr>
          <w:rFonts w:hint="eastAsia" w:ascii="仿宋_GB2312" w:hAnsi="仿宋" w:eastAsia="仿宋_GB2312" w:cs="仿宋"/>
          <w:color w:val="auto"/>
          <w:kern w:val="0"/>
          <w:szCs w:val="21"/>
        </w:rPr>
        <w:t>银行业非存款类金融机构。资产总额</w:t>
      </w:r>
      <w:r>
        <w:rPr>
          <w:rFonts w:ascii="仿宋_GB2312" w:hAnsi="仿宋" w:eastAsia="仿宋_GB2312" w:cs="仿宋"/>
          <w:color w:val="auto"/>
          <w:kern w:val="0"/>
          <w:szCs w:val="21"/>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(三) </w:t>
      </w:r>
      <w:r>
        <w:rPr>
          <w:rFonts w:hint="eastAsia" w:ascii="仿宋_GB2312" w:hAnsi="仿宋" w:eastAsia="仿宋_GB2312" w:cs="仿宋"/>
          <w:color w:val="auto"/>
          <w:kern w:val="0"/>
          <w:szCs w:val="21"/>
        </w:rPr>
        <w:t>贷款公司、小额贷款公司及典当行。资产总额</w:t>
      </w:r>
      <w:r>
        <w:rPr>
          <w:rFonts w:ascii="仿宋_GB2312" w:hAnsi="仿宋" w:eastAsia="仿宋_GB2312" w:cs="仿宋"/>
          <w:color w:val="auto"/>
          <w:kern w:val="0"/>
          <w:szCs w:val="21"/>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(四) </w:t>
      </w:r>
      <w:r>
        <w:rPr>
          <w:rFonts w:hint="eastAsia" w:ascii="仿宋_GB2312" w:hAnsi="仿宋" w:eastAsia="仿宋_GB2312" w:cs="仿宋"/>
          <w:color w:val="auto"/>
          <w:kern w:val="0"/>
          <w:szCs w:val="21"/>
        </w:rPr>
        <w:t>证券业金融机构。资产总额</w:t>
      </w:r>
      <w:r>
        <w:rPr>
          <w:rFonts w:ascii="仿宋_GB2312" w:hAnsi="仿宋" w:eastAsia="仿宋_GB2312" w:cs="仿宋"/>
          <w:color w:val="auto"/>
          <w:kern w:val="0"/>
          <w:szCs w:val="21"/>
        </w:rPr>
        <w:t>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(五) </w:t>
      </w:r>
      <w:r>
        <w:rPr>
          <w:rFonts w:hint="eastAsia" w:ascii="仿宋_GB2312" w:hAnsi="仿宋" w:eastAsia="仿宋_GB2312" w:cs="仿宋"/>
          <w:color w:val="auto"/>
          <w:kern w:val="0"/>
          <w:szCs w:val="21"/>
        </w:rPr>
        <w:t>保险业金融机构。资产总额</w:t>
      </w:r>
      <w:r>
        <w:rPr>
          <w:rFonts w:ascii="仿宋_GB2312" w:hAnsi="仿宋" w:eastAsia="仿宋_GB2312" w:cs="仿宋"/>
          <w:color w:val="auto"/>
          <w:kern w:val="0"/>
          <w:szCs w:val="21"/>
        </w:rPr>
        <w:t>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(六) </w:t>
      </w:r>
      <w:r>
        <w:rPr>
          <w:rFonts w:hint="eastAsia" w:ascii="仿宋_GB2312" w:hAnsi="仿宋" w:eastAsia="仿宋_GB2312" w:cs="仿宋"/>
          <w:color w:val="auto"/>
          <w:kern w:val="0"/>
          <w:szCs w:val="21"/>
        </w:rPr>
        <w:t>信托公司。信托资产</w:t>
      </w:r>
      <w:r>
        <w:rPr>
          <w:rFonts w:ascii="仿宋_GB2312" w:hAnsi="仿宋" w:eastAsia="仿宋_GB2312" w:cs="仿宋"/>
          <w:color w:val="auto"/>
          <w:kern w:val="0"/>
          <w:szCs w:val="21"/>
        </w:rPr>
        <w:t>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(七) </w:t>
      </w:r>
      <w:r>
        <w:rPr>
          <w:rFonts w:hint="eastAsia" w:ascii="仿宋_GB2312" w:hAnsi="仿宋" w:eastAsia="仿宋_GB2312" w:cs="仿宋"/>
          <w:color w:val="auto"/>
          <w:kern w:val="0"/>
          <w:szCs w:val="21"/>
        </w:rPr>
        <w:t>金融控股公司。资产总额</w:t>
      </w:r>
      <w:r>
        <w:rPr>
          <w:rFonts w:ascii="仿宋_GB2312" w:hAnsi="仿宋" w:eastAsia="仿宋_GB2312" w:cs="仿宋"/>
          <w:color w:val="auto"/>
          <w:kern w:val="0"/>
          <w:szCs w:val="21"/>
        </w:rPr>
        <w:t>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(八) </w:t>
      </w:r>
      <w:r>
        <w:rPr>
          <w:rFonts w:hint="eastAsia" w:ascii="仿宋_GB2312" w:hAnsi="仿宋" w:eastAsia="仿宋_GB2312" w:cs="仿宋"/>
          <w:color w:val="auto"/>
          <w:kern w:val="0"/>
          <w:szCs w:val="21"/>
        </w:rPr>
        <w:t>除贷款公司、小额贷款公司，典当行以外的其他金融机构。资产总额</w:t>
      </w:r>
      <w:r>
        <w:rPr>
          <w:rFonts w:ascii="仿宋_GB2312" w:hAnsi="仿宋" w:eastAsia="仿宋_GB2312" w:cs="仿宋"/>
          <w:color w:val="auto"/>
          <w:kern w:val="0"/>
          <w:szCs w:val="21"/>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六、 </w:t>
      </w:r>
      <w:r>
        <w:rPr>
          <w:rFonts w:hint="eastAsia" w:ascii="仿宋_GB2312" w:hAnsi="仿宋" w:eastAsia="仿宋_GB2312" w:cs="仿宋"/>
          <w:color w:val="auto"/>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七、 </w:t>
      </w:r>
      <w:r>
        <w:rPr>
          <w:rFonts w:hint="eastAsia" w:ascii="仿宋_GB2312" w:hAnsi="仿宋" w:eastAsia="仿宋_GB2312" w:cs="仿宋"/>
          <w:color w:val="auto"/>
          <w:kern w:val="0"/>
          <w:szCs w:val="21"/>
        </w:rPr>
        <w:t>标准值的评估和调整。金融业企业划型标准工作组</w:t>
      </w:r>
      <w:r>
        <w:rPr>
          <w:rFonts w:hint="eastAsia" w:ascii="仿宋_GB2312" w:hAnsi="仿宋" w:eastAsia="仿宋" w:cs="仿宋"/>
          <w:color w:val="auto"/>
          <w:kern w:val="0"/>
          <w:szCs w:val="21"/>
        </w:rPr>
        <w:t>毎</w:t>
      </w:r>
      <w:r>
        <w:rPr>
          <w:rFonts w:hint="eastAsia" w:ascii="仿宋_GB2312" w:hAnsi="仿宋" w:eastAsia="仿宋_GB2312" w:cs="仿宋"/>
          <w:color w:val="auto"/>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八、 </w:t>
      </w:r>
      <w:r>
        <w:rPr>
          <w:rFonts w:hint="eastAsia" w:ascii="仿宋_GB2312" w:hAnsi="仿宋" w:eastAsia="仿宋_GB2312" w:cs="仿宋"/>
          <w:color w:val="auto"/>
          <w:kern w:val="0"/>
          <w:szCs w:val="21"/>
        </w:rPr>
        <w:t>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xml:space="preserve">    九、 </w:t>
      </w:r>
      <w:r>
        <w:rPr>
          <w:rFonts w:hint="eastAsia" w:ascii="仿宋_GB2312" w:hAnsi="仿宋" w:eastAsia="仿宋_GB2312" w:cs="仿宋"/>
          <w:color w:val="auto"/>
          <w:kern w:val="0"/>
          <w:szCs w:val="21"/>
        </w:rPr>
        <w:t>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ascii="仿宋_GB2312" w:hAnsi="仿宋" w:eastAsia="仿宋_GB2312"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货币金融服务</w:t>
            </w: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货币银行服务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银行业存款类金融机构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非货币银行服务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银行业非存款类金融机构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贷款公司、小额贷款公司及典当行</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资本市场服务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证券业金融机构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其他金融业</w:t>
            </w: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金融信托与管理服务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信托公司</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控股公司服务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金融控股公司</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其他未包括的金融业</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ascii="仿宋_GB2312" w:hAnsi="仿宋" w:eastAsia="仿宋_GB2312" w:cs="仿宋"/>
                <w:color w:val="auto"/>
                <w:kern w:val="0"/>
                <w:sz w:val="24"/>
              </w:rPr>
              <w:t>50亿元以下</w:t>
            </w:r>
          </w:p>
        </w:tc>
      </w:tr>
    </w:tbl>
    <w:p>
      <w:pPr>
        <w:spacing w:line="360" w:lineRule="auto"/>
        <w:rPr>
          <w:rFonts w:ascii="仿宋_GB2312" w:hAnsi="仿宋" w:eastAsia="仿宋_GB2312" w:cs="仿宋"/>
          <w:color w:val="auto"/>
          <w:sz w:val="24"/>
        </w:rPr>
      </w:pPr>
    </w:p>
    <w:sectPr>
      <w:footerReference r:id="rId10" w:type="default"/>
      <w:footerReference r:id="rId11" w:type="even"/>
      <w:pgSz w:w="11905" w:h="16838"/>
      <w:pgMar w:top="1814" w:right="1474" w:bottom="1814" w:left="1474"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r>
      <w:rPr>
        <w:rFonts w:hint="eastAsia"/>
      </w:rPr>
      <w:t>浙江建诚工程管理咨询有限公司                                  招标文件招标编号:CGSHZJ-2024-N001029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r>
      <w:rPr>
        <w:rFonts w:hint="eastAsia"/>
      </w:rPr>
      <w:t>浙江建诚工程管理咨询有限公司                            招标文件招标编号：CGSHZJ-2024-N001029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76E396F"/>
    <w:multiLevelType w:val="singleLevel"/>
    <w:tmpl w:val="076E396F"/>
    <w:lvl w:ilvl="0" w:tentative="0">
      <w:start w:val="3"/>
      <w:numFmt w:val="decimal"/>
      <w:suff w:val="nothing"/>
      <w:lvlText w:val="（%1）"/>
      <w:lvlJc w:val="left"/>
    </w:lvl>
  </w:abstractNum>
  <w:abstractNum w:abstractNumId="5">
    <w:nsid w:val="3E00A9A4"/>
    <w:multiLevelType w:val="singleLevel"/>
    <w:tmpl w:val="3E00A9A4"/>
    <w:lvl w:ilvl="0" w:tentative="0">
      <w:start w:val="1"/>
      <w:numFmt w:val="decimal"/>
      <w:suff w:val="nothing"/>
      <w:lvlText w:val="（%1）"/>
      <w:lvlJc w:val="left"/>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2"/>
  </w:num>
  <w:num w:numId="3">
    <w:abstractNumId w:val="1"/>
  </w:num>
  <w:num w:numId="4">
    <w:abstractNumId w:val="7"/>
  </w:num>
  <w:num w:numId="5">
    <w:abstractNumId w:val="0"/>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5ZjUzY2VhMDhkODI5ZjQzOTJiMTQ3ZjQyNjZlMTYifQ=="/>
  </w:docVars>
  <w:rsids>
    <w:rsidRoot w:val="00417C8A"/>
    <w:rsid w:val="00002EF8"/>
    <w:rsid w:val="00003B69"/>
    <w:rsid w:val="00005125"/>
    <w:rsid w:val="0000551C"/>
    <w:rsid w:val="00010C9A"/>
    <w:rsid w:val="00010FC1"/>
    <w:rsid w:val="00012137"/>
    <w:rsid w:val="00012257"/>
    <w:rsid w:val="0001278F"/>
    <w:rsid w:val="0002045E"/>
    <w:rsid w:val="00021560"/>
    <w:rsid w:val="00021D87"/>
    <w:rsid w:val="0002203D"/>
    <w:rsid w:val="0002468D"/>
    <w:rsid w:val="00025A9F"/>
    <w:rsid w:val="00026762"/>
    <w:rsid w:val="00031F75"/>
    <w:rsid w:val="000329A7"/>
    <w:rsid w:val="00033D7B"/>
    <w:rsid w:val="0003799B"/>
    <w:rsid w:val="000402F5"/>
    <w:rsid w:val="00040A03"/>
    <w:rsid w:val="00045B4A"/>
    <w:rsid w:val="00046704"/>
    <w:rsid w:val="00047118"/>
    <w:rsid w:val="00047D3B"/>
    <w:rsid w:val="00050658"/>
    <w:rsid w:val="0005172F"/>
    <w:rsid w:val="000517D0"/>
    <w:rsid w:val="00051C47"/>
    <w:rsid w:val="00052DCC"/>
    <w:rsid w:val="000535F4"/>
    <w:rsid w:val="00053E91"/>
    <w:rsid w:val="00056199"/>
    <w:rsid w:val="0005700A"/>
    <w:rsid w:val="0006049D"/>
    <w:rsid w:val="0006344A"/>
    <w:rsid w:val="0006392C"/>
    <w:rsid w:val="000643A5"/>
    <w:rsid w:val="00065197"/>
    <w:rsid w:val="000657C6"/>
    <w:rsid w:val="00065EFB"/>
    <w:rsid w:val="00067FB2"/>
    <w:rsid w:val="000702AD"/>
    <w:rsid w:val="0007066D"/>
    <w:rsid w:val="00071449"/>
    <w:rsid w:val="00072254"/>
    <w:rsid w:val="00074373"/>
    <w:rsid w:val="000751F9"/>
    <w:rsid w:val="00075850"/>
    <w:rsid w:val="0007656E"/>
    <w:rsid w:val="000812D0"/>
    <w:rsid w:val="00082A4C"/>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4BD7"/>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1FE"/>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D68"/>
    <w:rsid w:val="00161F66"/>
    <w:rsid w:val="00162614"/>
    <w:rsid w:val="001628B5"/>
    <w:rsid w:val="0016296C"/>
    <w:rsid w:val="00162DD9"/>
    <w:rsid w:val="001637A2"/>
    <w:rsid w:val="00163B9C"/>
    <w:rsid w:val="00165068"/>
    <w:rsid w:val="001657B2"/>
    <w:rsid w:val="00171701"/>
    <w:rsid w:val="00173F93"/>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3E0"/>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3B6"/>
    <w:rsid w:val="001E4A9F"/>
    <w:rsid w:val="001F14C4"/>
    <w:rsid w:val="001F2767"/>
    <w:rsid w:val="001F3804"/>
    <w:rsid w:val="001F429B"/>
    <w:rsid w:val="001F43C6"/>
    <w:rsid w:val="001F4C63"/>
    <w:rsid w:val="001F661E"/>
    <w:rsid w:val="001F7E31"/>
    <w:rsid w:val="00201062"/>
    <w:rsid w:val="0020236F"/>
    <w:rsid w:val="0020498D"/>
    <w:rsid w:val="00204DA6"/>
    <w:rsid w:val="0020567D"/>
    <w:rsid w:val="002056F9"/>
    <w:rsid w:val="002062F2"/>
    <w:rsid w:val="0020786F"/>
    <w:rsid w:val="002102AD"/>
    <w:rsid w:val="00210450"/>
    <w:rsid w:val="002105F0"/>
    <w:rsid w:val="00213AC9"/>
    <w:rsid w:val="00214C2B"/>
    <w:rsid w:val="00214D48"/>
    <w:rsid w:val="0022062E"/>
    <w:rsid w:val="002206DC"/>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43B"/>
    <w:rsid w:val="00254905"/>
    <w:rsid w:val="0025660E"/>
    <w:rsid w:val="00256A92"/>
    <w:rsid w:val="0025749B"/>
    <w:rsid w:val="002608A0"/>
    <w:rsid w:val="00260A0D"/>
    <w:rsid w:val="00262E82"/>
    <w:rsid w:val="00264B31"/>
    <w:rsid w:val="00264FFB"/>
    <w:rsid w:val="00266447"/>
    <w:rsid w:val="00267418"/>
    <w:rsid w:val="00267D7C"/>
    <w:rsid w:val="00270E20"/>
    <w:rsid w:val="00271324"/>
    <w:rsid w:val="00274B01"/>
    <w:rsid w:val="00275F7B"/>
    <w:rsid w:val="0028220A"/>
    <w:rsid w:val="00283EAF"/>
    <w:rsid w:val="002857D3"/>
    <w:rsid w:val="002860D2"/>
    <w:rsid w:val="00286495"/>
    <w:rsid w:val="00291839"/>
    <w:rsid w:val="00291D57"/>
    <w:rsid w:val="002945E5"/>
    <w:rsid w:val="00295D4B"/>
    <w:rsid w:val="00295DD9"/>
    <w:rsid w:val="0029645F"/>
    <w:rsid w:val="002A0921"/>
    <w:rsid w:val="002A0BE6"/>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2024"/>
    <w:rsid w:val="002B3711"/>
    <w:rsid w:val="002B4A4B"/>
    <w:rsid w:val="002B5650"/>
    <w:rsid w:val="002B6B66"/>
    <w:rsid w:val="002B78AF"/>
    <w:rsid w:val="002C0C85"/>
    <w:rsid w:val="002C2C53"/>
    <w:rsid w:val="002C3804"/>
    <w:rsid w:val="002D290F"/>
    <w:rsid w:val="002D2D83"/>
    <w:rsid w:val="002D2F86"/>
    <w:rsid w:val="002D4DC8"/>
    <w:rsid w:val="002D5386"/>
    <w:rsid w:val="002D6037"/>
    <w:rsid w:val="002D6849"/>
    <w:rsid w:val="002D6DC6"/>
    <w:rsid w:val="002D7C56"/>
    <w:rsid w:val="002E2C11"/>
    <w:rsid w:val="002E34F4"/>
    <w:rsid w:val="002E35C4"/>
    <w:rsid w:val="002E3894"/>
    <w:rsid w:val="002E4DCA"/>
    <w:rsid w:val="002E6CF6"/>
    <w:rsid w:val="002E7ADA"/>
    <w:rsid w:val="002F2363"/>
    <w:rsid w:val="002F34ED"/>
    <w:rsid w:val="002F3755"/>
    <w:rsid w:val="002F3F13"/>
    <w:rsid w:val="002F40C5"/>
    <w:rsid w:val="002F4354"/>
    <w:rsid w:val="002F439D"/>
    <w:rsid w:val="002F5A63"/>
    <w:rsid w:val="002F642C"/>
    <w:rsid w:val="002F7932"/>
    <w:rsid w:val="003006C3"/>
    <w:rsid w:val="00301E96"/>
    <w:rsid w:val="00302020"/>
    <w:rsid w:val="00302514"/>
    <w:rsid w:val="00302B64"/>
    <w:rsid w:val="00307917"/>
    <w:rsid w:val="00310479"/>
    <w:rsid w:val="00310AA4"/>
    <w:rsid w:val="0031167A"/>
    <w:rsid w:val="0031312F"/>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37EA"/>
    <w:rsid w:val="00344940"/>
    <w:rsid w:val="00347CAD"/>
    <w:rsid w:val="00350E72"/>
    <w:rsid w:val="00351EEF"/>
    <w:rsid w:val="0035254A"/>
    <w:rsid w:val="00355E1F"/>
    <w:rsid w:val="003565A0"/>
    <w:rsid w:val="003618CE"/>
    <w:rsid w:val="00365766"/>
    <w:rsid w:val="00365F56"/>
    <w:rsid w:val="0036696B"/>
    <w:rsid w:val="003670EB"/>
    <w:rsid w:val="00367EAB"/>
    <w:rsid w:val="00371A53"/>
    <w:rsid w:val="0037368A"/>
    <w:rsid w:val="00375107"/>
    <w:rsid w:val="0037517D"/>
    <w:rsid w:val="003822F9"/>
    <w:rsid w:val="00384E3C"/>
    <w:rsid w:val="00385323"/>
    <w:rsid w:val="0039130B"/>
    <w:rsid w:val="00391E7C"/>
    <w:rsid w:val="00392758"/>
    <w:rsid w:val="00392ECF"/>
    <w:rsid w:val="00393589"/>
    <w:rsid w:val="00393A4C"/>
    <w:rsid w:val="003949AE"/>
    <w:rsid w:val="003A137B"/>
    <w:rsid w:val="003A19D2"/>
    <w:rsid w:val="003A3963"/>
    <w:rsid w:val="003A546B"/>
    <w:rsid w:val="003A74F5"/>
    <w:rsid w:val="003B1125"/>
    <w:rsid w:val="003B1CC8"/>
    <w:rsid w:val="003B1CEB"/>
    <w:rsid w:val="003B24CA"/>
    <w:rsid w:val="003B2A7E"/>
    <w:rsid w:val="003B2B02"/>
    <w:rsid w:val="003B4EAE"/>
    <w:rsid w:val="003B774D"/>
    <w:rsid w:val="003B7907"/>
    <w:rsid w:val="003C459A"/>
    <w:rsid w:val="003C46C5"/>
    <w:rsid w:val="003C4B74"/>
    <w:rsid w:val="003C527A"/>
    <w:rsid w:val="003C637D"/>
    <w:rsid w:val="003C6718"/>
    <w:rsid w:val="003C7A48"/>
    <w:rsid w:val="003C7F20"/>
    <w:rsid w:val="003D10C3"/>
    <w:rsid w:val="003D1A22"/>
    <w:rsid w:val="003D3253"/>
    <w:rsid w:val="003D7052"/>
    <w:rsid w:val="003E074D"/>
    <w:rsid w:val="003E0777"/>
    <w:rsid w:val="003E2D56"/>
    <w:rsid w:val="003E3A40"/>
    <w:rsid w:val="003E4007"/>
    <w:rsid w:val="003E5724"/>
    <w:rsid w:val="003E6C02"/>
    <w:rsid w:val="003F2982"/>
    <w:rsid w:val="003F4084"/>
    <w:rsid w:val="003F57B9"/>
    <w:rsid w:val="003F77E0"/>
    <w:rsid w:val="003F7D25"/>
    <w:rsid w:val="00400057"/>
    <w:rsid w:val="00400B4D"/>
    <w:rsid w:val="00400BD4"/>
    <w:rsid w:val="00400E9F"/>
    <w:rsid w:val="004014D1"/>
    <w:rsid w:val="00403FEC"/>
    <w:rsid w:val="00404284"/>
    <w:rsid w:val="00407D88"/>
    <w:rsid w:val="004109FD"/>
    <w:rsid w:val="00410AB2"/>
    <w:rsid w:val="0041394C"/>
    <w:rsid w:val="00413B7A"/>
    <w:rsid w:val="0041460B"/>
    <w:rsid w:val="00414F64"/>
    <w:rsid w:val="00417C8A"/>
    <w:rsid w:val="0042136D"/>
    <w:rsid w:val="004213EA"/>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30DA"/>
    <w:rsid w:val="00457231"/>
    <w:rsid w:val="00457BF2"/>
    <w:rsid w:val="004600A6"/>
    <w:rsid w:val="004601E7"/>
    <w:rsid w:val="004605F9"/>
    <w:rsid w:val="00460793"/>
    <w:rsid w:val="00461637"/>
    <w:rsid w:val="00463E5C"/>
    <w:rsid w:val="00464359"/>
    <w:rsid w:val="00465D0D"/>
    <w:rsid w:val="00467CFF"/>
    <w:rsid w:val="0047117D"/>
    <w:rsid w:val="00471407"/>
    <w:rsid w:val="00471DA5"/>
    <w:rsid w:val="00472E4E"/>
    <w:rsid w:val="00472F6D"/>
    <w:rsid w:val="00473031"/>
    <w:rsid w:val="0047483C"/>
    <w:rsid w:val="00474BED"/>
    <w:rsid w:val="00476C0B"/>
    <w:rsid w:val="00477EFE"/>
    <w:rsid w:val="004826F8"/>
    <w:rsid w:val="004832BC"/>
    <w:rsid w:val="00484FE8"/>
    <w:rsid w:val="00485E04"/>
    <w:rsid w:val="00486B01"/>
    <w:rsid w:val="00487465"/>
    <w:rsid w:val="004939A7"/>
    <w:rsid w:val="00495C9D"/>
    <w:rsid w:val="00497699"/>
    <w:rsid w:val="00497DB2"/>
    <w:rsid w:val="004A0174"/>
    <w:rsid w:val="004A236E"/>
    <w:rsid w:val="004A2423"/>
    <w:rsid w:val="004A3418"/>
    <w:rsid w:val="004A403F"/>
    <w:rsid w:val="004A4419"/>
    <w:rsid w:val="004A51BA"/>
    <w:rsid w:val="004A5DF1"/>
    <w:rsid w:val="004A6677"/>
    <w:rsid w:val="004A7A78"/>
    <w:rsid w:val="004B3B15"/>
    <w:rsid w:val="004B5136"/>
    <w:rsid w:val="004B5B9E"/>
    <w:rsid w:val="004C0238"/>
    <w:rsid w:val="004C0EE6"/>
    <w:rsid w:val="004C35DE"/>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D6BCA"/>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1AF"/>
    <w:rsid w:val="00517733"/>
    <w:rsid w:val="005202C2"/>
    <w:rsid w:val="005215F9"/>
    <w:rsid w:val="00522169"/>
    <w:rsid w:val="005230CA"/>
    <w:rsid w:val="0052315C"/>
    <w:rsid w:val="0052340D"/>
    <w:rsid w:val="0052376F"/>
    <w:rsid w:val="00524FD6"/>
    <w:rsid w:val="00527E1C"/>
    <w:rsid w:val="005316E4"/>
    <w:rsid w:val="00532937"/>
    <w:rsid w:val="005351C1"/>
    <w:rsid w:val="00536FBF"/>
    <w:rsid w:val="00537A85"/>
    <w:rsid w:val="00537C1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04E7"/>
    <w:rsid w:val="00580FBC"/>
    <w:rsid w:val="00585233"/>
    <w:rsid w:val="0058680D"/>
    <w:rsid w:val="00586C3A"/>
    <w:rsid w:val="005879E7"/>
    <w:rsid w:val="00590A70"/>
    <w:rsid w:val="00591190"/>
    <w:rsid w:val="00591584"/>
    <w:rsid w:val="00594CDD"/>
    <w:rsid w:val="00595AB2"/>
    <w:rsid w:val="005A0739"/>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170E"/>
    <w:rsid w:val="005D2685"/>
    <w:rsid w:val="005D2F62"/>
    <w:rsid w:val="005D375C"/>
    <w:rsid w:val="005D451A"/>
    <w:rsid w:val="005D6575"/>
    <w:rsid w:val="005D70ED"/>
    <w:rsid w:val="005E282B"/>
    <w:rsid w:val="005E33BD"/>
    <w:rsid w:val="005E4144"/>
    <w:rsid w:val="005E5B57"/>
    <w:rsid w:val="005E68E7"/>
    <w:rsid w:val="005E7018"/>
    <w:rsid w:val="005F510E"/>
    <w:rsid w:val="005F5143"/>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3BF4"/>
    <w:rsid w:val="006541FB"/>
    <w:rsid w:val="006652D7"/>
    <w:rsid w:val="00665466"/>
    <w:rsid w:val="00665B12"/>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A7F74"/>
    <w:rsid w:val="006B183A"/>
    <w:rsid w:val="006B1996"/>
    <w:rsid w:val="006B1A97"/>
    <w:rsid w:val="006B3AAF"/>
    <w:rsid w:val="006B4F54"/>
    <w:rsid w:val="006B6B67"/>
    <w:rsid w:val="006C002F"/>
    <w:rsid w:val="006C02F5"/>
    <w:rsid w:val="006C5FEF"/>
    <w:rsid w:val="006C7460"/>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2E65"/>
    <w:rsid w:val="007040B6"/>
    <w:rsid w:val="007047D8"/>
    <w:rsid w:val="0070514C"/>
    <w:rsid w:val="00707395"/>
    <w:rsid w:val="007122EB"/>
    <w:rsid w:val="00713E94"/>
    <w:rsid w:val="00715B09"/>
    <w:rsid w:val="007173DC"/>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430E"/>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2FB3"/>
    <w:rsid w:val="007A4FF4"/>
    <w:rsid w:val="007A5361"/>
    <w:rsid w:val="007A6CC8"/>
    <w:rsid w:val="007A7063"/>
    <w:rsid w:val="007A7711"/>
    <w:rsid w:val="007B0001"/>
    <w:rsid w:val="007B3695"/>
    <w:rsid w:val="007B58B1"/>
    <w:rsid w:val="007B5ADD"/>
    <w:rsid w:val="007B68B5"/>
    <w:rsid w:val="007B6A7E"/>
    <w:rsid w:val="007B7257"/>
    <w:rsid w:val="007C0571"/>
    <w:rsid w:val="007C2503"/>
    <w:rsid w:val="007C2B7A"/>
    <w:rsid w:val="007C4BF9"/>
    <w:rsid w:val="007C5716"/>
    <w:rsid w:val="007C65AC"/>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0EA7"/>
    <w:rsid w:val="008125CD"/>
    <w:rsid w:val="00813057"/>
    <w:rsid w:val="00813E51"/>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3D4F"/>
    <w:rsid w:val="00834788"/>
    <w:rsid w:val="00840AB3"/>
    <w:rsid w:val="008424CD"/>
    <w:rsid w:val="00842C80"/>
    <w:rsid w:val="00844F41"/>
    <w:rsid w:val="008457C1"/>
    <w:rsid w:val="0084613D"/>
    <w:rsid w:val="008466E4"/>
    <w:rsid w:val="00850E6B"/>
    <w:rsid w:val="00852E88"/>
    <w:rsid w:val="008557E8"/>
    <w:rsid w:val="00863478"/>
    <w:rsid w:val="00863945"/>
    <w:rsid w:val="00864E3D"/>
    <w:rsid w:val="008669B8"/>
    <w:rsid w:val="00875064"/>
    <w:rsid w:val="00877F0F"/>
    <w:rsid w:val="008800C8"/>
    <w:rsid w:val="0088347A"/>
    <w:rsid w:val="00883AD1"/>
    <w:rsid w:val="008853C7"/>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8F64E4"/>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33"/>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0B9"/>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BE1"/>
    <w:rsid w:val="00970F9E"/>
    <w:rsid w:val="009712BD"/>
    <w:rsid w:val="00972FCF"/>
    <w:rsid w:val="00974BCB"/>
    <w:rsid w:val="00975C87"/>
    <w:rsid w:val="00976585"/>
    <w:rsid w:val="00982C5D"/>
    <w:rsid w:val="00986357"/>
    <w:rsid w:val="009924D5"/>
    <w:rsid w:val="0099257A"/>
    <w:rsid w:val="009931AC"/>
    <w:rsid w:val="00993E50"/>
    <w:rsid w:val="00995623"/>
    <w:rsid w:val="00995AD7"/>
    <w:rsid w:val="00995C94"/>
    <w:rsid w:val="0099775A"/>
    <w:rsid w:val="00997ACE"/>
    <w:rsid w:val="009A2940"/>
    <w:rsid w:val="009A373E"/>
    <w:rsid w:val="009A3CEA"/>
    <w:rsid w:val="009A5E9D"/>
    <w:rsid w:val="009A728E"/>
    <w:rsid w:val="009A74ED"/>
    <w:rsid w:val="009B022A"/>
    <w:rsid w:val="009B0427"/>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332"/>
    <w:rsid w:val="009D744F"/>
    <w:rsid w:val="009E0132"/>
    <w:rsid w:val="009E1AA0"/>
    <w:rsid w:val="009E3C73"/>
    <w:rsid w:val="009E4458"/>
    <w:rsid w:val="009E6D86"/>
    <w:rsid w:val="009E7112"/>
    <w:rsid w:val="009E7993"/>
    <w:rsid w:val="009F1113"/>
    <w:rsid w:val="009F3AC5"/>
    <w:rsid w:val="009F3C3B"/>
    <w:rsid w:val="009F51CF"/>
    <w:rsid w:val="009F55BF"/>
    <w:rsid w:val="009F5C24"/>
    <w:rsid w:val="009F5CDD"/>
    <w:rsid w:val="009F7C75"/>
    <w:rsid w:val="00A042F1"/>
    <w:rsid w:val="00A05568"/>
    <w:rsid w:val="00A0629A"/>
    <w:rsid w:val="00A10B9C"/>
    <w:rsid w:val="00A147EE"/>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3BB"/>
    <w:rsid w:val="00A40FD5"/>
    <w:rsid w:val="00A41EAC"/>
    <w:rsid w:val="00A428D5"/>
    <w:rsid w:val="00A42B9E"/>
    <w:rsid w:val="00A44F6D"/>
    <w:rsid w:val="00A44FE5"/>
    <w:rsid w:val="00A4609C"/>
    <w:rsid w:val="00A472EC"/>
    <w:rsid w:val="00A5358B"/>
    <w:rsid w:val="00A53D4A"/>
    <w:rsid w:val="00A55F87"/>
    <w:rsid w:val="00A56E2E"/>
    <w:rsid w:val="00A56F8C"/>
    <w:rsid w:val="00A57196"/>
    <w:rsid w:val="00A67420"/>
    <w:rsid w:val="00A7154B"/>
    <w:rsid w:val="00A746F5"/>
    <w:rsid w:val="00A7634A"/>
    <w:rsid w:val="00A76F1B"/>
    <w:rsid w:val="00A773A7"/>
    <w:rsid w:val="00A773DA"/>
    <w:rsid w:val="00A8134F"/>
    <w:rsid w:val="00A81702"/>
    <w:rsid w:val="00A84FC6"/>
    <w:rsid w:val="00A86340"/>
    <w:rsid w:val="00A864EB"/>
    <w:rsid w:val="00A86CA5"/>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67E"/>
    <w:rsid w:val="00AB738E"/>
    <w:rsid w:val="00AC1694"/>
    <w:rsid w:val="00AC21AD"/>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0D0F"/>
    <w:rsid w:val="00B11F7D"/>
    <w:rsid w:val="00B1230F"/>
    <w:rsid w:val="00B127DA"/>
    <w:rsid w:val="00B12ECD"/>
    <w:rsid w:val="00B14C0B"/>
    <w:rsid w:val="00B14C57"/>
    <w:rsid w:val="00B1582E"/>
    <w:rsid w:val="00B2031D"/>
    <w:rsid w:val="00B213DD"/>
    <w:rsid w:val="00B2146D"/>
    <w:rsid w:val="00B243CC"/>
    <w:rsid w:val="00B257CC"/>
    <w:rsid w:val="00B25D56"/>
    <w:rsid w:val="00B26E26"/>
    <w:rsid w:val="00B27632"/>
    <w:rsid w:val="00B31EAF"/>
    <w:rsid w:val="00B3313A"/>
    <w:rsid w:val="00B34302"/>
    <w:rsid w:val="00B35133"/>
    <w:rsid w:val="00B36043"/>
    <w:rsid w:val="00B37734"/>
    <w:rsid w:val="00B37BCC"/>
    <w:rsid w:val="00B41870"/>
    <w:rsid w:val="00B4542B"/>
    <w:rsid w:val="00B46A1E"/>
    <w:rsid w:val="00B47039"/>
    <w:rsid w:val="00B47E7B"/>
    <w:rsid w:val="00B55791"/>
    <w:rsid w:val="00B563FF"/>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5CDD"/>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2249"/>
    <w:rsid w:val="00BC3D6F"/>
    <w:rsid w:val="00BC500A"/>
    <w:rsid w:val="00BC57B1"/>
    <w:rsid w:val="00BC61AC"/>
    <w:rsid w:val="00BC747C"/>
    <w:rsid w:val="00BD0EBD"/>
    <w:rsid w:val="00BD20CF"/>
    <w:rsid w:val="00BD3984"/>
    <w:rsid w:val="00BD3B87"/>
    <w:rsid w:val="00BD4C35"/>
    <w:rsid w:val="00BD682B"/>
    <w:rsid w:val="00BE4CCA"/>
    <w:rsid w:val="00BE5103"/>
    <w:rsid w:val="00BE681D"/>
    <w:rsid w:val="00BE6FA5"/>
    <w:rsid w:val="00BF28ED"/>
    <w:rsid w:val="00BF3E90"/>
    <w:rsid w:val="00BF4A9B"/>
    <w:rsid w:val="00BF4D63"/>
    <w:rsid w:val="00BF55E7"/>
    <w:rsid w:val="00C013D8"/>
    <w:rsid w:val="00C0150B"/>
    <w:rsid w:val="00C02786"/>
    <w:rsid w:val="00C036EC"/>
    <w:rsid w:val="00C04372"/>
    <w:rsid w:val="00C0598F"/>
    <w:rsid w:val="00C05D83"/>
    <w:rsid w:val="00C06B27"/>
    <w:rsid w:val="00C1042C"/>
    <w:rsid w:val="00C112CD"/>
    <w:rsid w:val="00C136E5"/>
    <w:rsid w:val="00C1389C"/>
    <w:rsid w:val="00C13CEC"/>
    <w:rsid w:val="00C13CF5"/>
    <w:rsid w:val="00C142D9"/>
    <w:rsid w:val="00C14BD8"/>
    <w:rsid w:val="00C16FAD"/>
    <w:rsid w:val="00C17776"/>
    <w:rsid w:val="00C1781A"/>
    <w:rsid w:val="00C2059D"/>
    <w:rsid w:val="00C20DC8"/>
    <w:rsid w:val="00C21882"/>
    <w:rsid w:val="00C23661"/>
    <w:rsid w:val="00C2561D"/>
    <w:rsid w:val="00C300F2"/>
    <w:rsid w:val="00C305F8"/>
    <w:rsid w:val="00C31883"/>
    <w:rsid w:val="00C31EB2"/>
    <w:rsid w:val="00C320DF"/>
    <w:rsid w:val="00C329C3"/>
    <w:rsid w:val="00C34C64"/>
    <w:rsid w:val="00C35733"/>
    <w:rsid w:val="00C35B77"/>
    <w:rsid w:val="00C35D54"/>
    <w:rsid w:val="00C408A4"/>
    <w:rsid w:val="00C4126C"/>
    <w:rsid w:val="00C42C0C"/>
    <w:rsid w:val="00C42C40"/>
    <w:rsid w:val="00C45D96"/>
    <w:rsid w:val="00C550E1"/>
    <w:rsid w:val="00C55889"/>
    <w:rsid w:val="00C55E95"/>
    <w:rsid w:val="00C57BFA"/>
    <w:rsid w:val="00C62563"/>
    <w:rsid w:val="00C6395F"/>
    <w:rsid w:val="00C642F8"/>
    <w:rsid w:val="00C649BC"/>
    <w:rsid w:val="00C66128"/>
    <w:rsid w:val="00C66BD5"/>
    <w:rsid w:val="00C66EE6"/>
    <w:rsid w:val="00C66FCB"/>
    <w:rsid w:val="00C670AB"/>
    <w:rsid w:val="00C71D37"/>
    <w:rsid w:val="00C71D3E"/>
    <w:rsid w:val="00C721C3"/>
    <w:rsid w:val="00C72862"/>
    <w:rsid w:val="00C73E52"/>
    <w:rsid w:val="00C745A9"/>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1E07"/>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6EEA"/>
    <w:rsid w:val="00CF7670"/>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829"/>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726"/>
    <w:rsid w:val="00D5093A"/>
    <w:rsid w:val="00D51479"/>
    <w:rsid w:val="00D55FFA"/>
    <w:rsid w:val="00D60532"/>
    <w:rsid w:val="00D617AD"/>
    <w:rsid w:val="00D625F8"/>
    <w:rsid w:val="00D626F2"/>
    <w:rsid w:val="00D63D29"/>
    <w:rsid w:val="00D649AA"/>
    <w:rsid w:val="00D70559"/>
    <w:rsid w:val="00D73693"/>
    <w:rsid w:val="00D74A49"/>
    <w:rsid w:val="00D74BEC"/>
    <w:rsid w:val="00D75A07"/>
    <w:rsid w:val="00D80A4D"/>
    <w:rsid w:val="00D813F9"/>
    <w:rsid w:val="00D83294"/>
    <w:rsid w:val="00D832F2"/>
    <w:rsid w:val="00D83A4D"/>
    <w:rsid w:val="00D840D8"/>
    <w:rsid w:val="00D85827"/>
    <w:rsid w:val="00D92A2B"/>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4CB2"/>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65E"/>
    <w:rsid w:val="00E01909"/>
    <w:rsid w:val="00E04E0A"/>
    <w:rsid w:val="00E04E91"/>
    <w:rsid w:val="00E04FDF"/>
    <w:rsid w:val="00E05A53"/>
    <w:rsid w:val="00E05F15"/>
    <w:rsid w:val="00E07D2B"/>
    <w:rsid w:val="00E10531"/>
    <w:rsid w:val="00E10877"/>
    <w:rsid w:val="00E10F29"/>
    <w:rsid w:val="00E1304F"/>
    <w:rsid w:val="00E13A83"/>
    <w:rsid w:val="00E13BC1"/>
    <w:rsid w:val="00E1419F"/>
    <w:rsid w:val="00E1468A"/>
    <w:rsid w:val="00E17315"/>
    <w:rsid w:val="00E17D79"/>
    <w:rsid w:val="00E20872"/>
    <w:rsid w:val="00E20A02"/>
    <w:rsid w:val="00E238C5"/>
    <w:rsid w:val="00E25C80"/>
    <w:rsid w:val="00E261C5"/>
    <w:rsid w:val="00E3133A"/>
    <w:rsid w:val="00E32521"/>
    <w:rsid w:val="00E34C20"/>
    <w:rsid w:val="00E3505A"/>
    <w:rsid w:val="00E35D90"/>
    <w:rsid w:val="00E3742A"/>
    <w:rsid w:val="00E4159A"/>
    <w:rsid w:val="00E42DE4"/>
    <w:rsid w:val="00E454D5"/>
    <w:rsid w:val="00E45EE2"/>
    <w:rsid w:val="00E46623"/>
    <w:rsid w:val="00E46934"/>
    <w:rsid w:val="00E509E1"/>
    <w:rsid w:val="00E51C1B"/>
    <w:rsid w:val="00E52E4C"/>
    <w:rsid w:val="00E56E61"/>
    <w:rsid w:val="00E57296"/>
    <w:rsid w:val="00E622B2"/>
    <w:rsid w:val="00E63148"/>
    <w:rsid w:val="00E633B5"/>
    <w:rsid w:val="00E644CD"/>
    <w:rsid w:val="00E65A9B"/>
    <w:rsid w:val="00E6637F"/>
    <w:rsid w:val="00E715C6"/>
    <w:rsid w:val="00E720E4"/>
    <w:rsid w:val="00E7370C"/>
    <w:rsid w:val="00E73BAF"/>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3FAE"/>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6753"/>
    <w:rsid w:val="00EC74CE"/>
    <w:rsid w:val="00EC7697"/>
    <w:rsid w:val="00EC77D6"/>
    <w:rsid w:val="00EC7AA0"/>
    <w:rsid w:val="00ED1F25"/>
    <w:rsid w:val="00ED23E5"/>
    <w:rsid w:val="00ED3A71"/>
    <w:rsid w:val="00ED5D0D"/>
    <w:rsid w:val="00ED645B"/>
    <w:rsid w:val="00ED758C"/>
    <w:rsid w:val="00EE06ED"/>
    <w:rsid w:val="00EE232E"/>
    <w:rsid w:val="00EE2C2C"/>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2D6C"/>
    <w:rsid w:val="00F2566F"/>
    <w:rsid w:val="00F30E51"/>
    <w:rsid w:val="00F31980"/>
    <w:rsid w:val="00F31AD0"/>
    <w:rsid w:val="00F33527"/>
    <w:rsid w:val="00F3506F"/>
    <w:rsid w:val="00F35DF7"/>
    <w:rsid w:val="00F37F36"/>
    <w:rsid w:val="00F4058D"/>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0EF2"/>
    <w:rsid w:val="00F8143A"/>
    <w:rsid w:val="00F825E8"/>
    <w:rsid w:val="00F82E38"/>
    <w:rsid w:val="00F83C52"/>
    <w:rsid w:val="00F83D25"/>
    <w:rsid w:val="00F84A1B"/>
    <w:rsid w:val="00F85561"/>
    <w:rsid w:val="00F85A41"/>
    <w:rsid w:val="00F87203"/>
    <w:rsid w:val="00F87DA7"/>
    <w:rsid w:val="00F90A9D"/>
    <w:rsid w:val="00F92229"/>
    <w:rsid w:val="00F928C4"/>
    <w:rsid w:val="00F942DD"/>
    <w:rsid w:val="00F94983"/>
    <w:rsid w:val="00F95111"/>
    <w:rsid w:val="00F95B52"/>
    <w:rsid w:val="00F97C0A"/>
    <w:rsid w:val="00F97C8E"/>
    <w:rsid w:val="00F97E58"/>
    <w:rsid w:val="00FA0AAD"/>
    <w:rsid w:val="00FA1DC1"/>
    <w:rsid w:val="00FA504C"/>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891CDB"/>
    <w:rsid w:val="02443788"/>
    <w:rsid w:val="033B7EA4"/>
    <w:rsid w:val="03EE320A"/>
    <w:rsid w:val="055511AF"/>
    <w:rsid w:val="05E53FBB"/>
    <w:rsid w:val="07DD5136"/>
    <w:rsid w:val="08F004AA"/>
    <w:rsid w:val="0AF36C07"/>
    <w:rsid w:val="0B684530"/>
    <w:rsid w:val="0CE31F7B"/>
    <w:rsid w:val="0D2D1606"/>
    <w:rsid w:val="0E487C71"/>
    <w:rsid w:val="0FA9345E"/>
    <w:rsid w:val="113B5A69"/>
    <w:rsid w:val="128819B3"/>
    <w:rsid w:val="131555DD"/>
    <w:rsid w:val="133D7EA5"/>
    <w:rsid w:val="14DC7B1F"/>
    <w:rsid w:val="156141C9"/>
    <w:rsid w:val="1578217E"/>
    <w:rsid w:val="15870C62"/>
    <w:rsid w:val="170D293A"/>
    <w:rsid w:val="176C53FF"/>
    <w:rsid w:val="17C0062D"/>
    <w:rsid w:val="19052E7B"/>
    <w:rsid w:val="19CF064A"/>
    <w:rsid w:val="1B8E212F"/>
    <w:rsid w:val="1B9211AC"/>
    <w:rsid w:val="1BE60CA2"/>
    <w:rsid w:val="1BEC4C3A"/>
    <w:rsid w:val="1C317E36"/>
    <w:rsid w:val="1C8A03F1"/>
    <w:rsid w:val="1DD8603D"/>
    <w:rsid w:val="1EBF1ADB"/>
    <w:rsid w:val="1ED24FF2"/>
    <w:rsid w:val="1F135E66"/>
    <w:rsid w:val="20AC7CD9"/>
    <w:rsid w:val="20C04A0E"/>
    <w:rsid w:val="20C233BB"/>
    <w:rsid w:val="20E045B2"/>
    <w:rsid w:val="24617421"/>
    <w:rsid w:val="24A11A27"/>
    <w:rsid w:val="25CB5FAD"/>
    <w:rsid w:val="26160213"/>
    <w:rsid w:val="27A24E6D"/>
    <w:rsid w:val="27E168E7"/>
    <w:rsid w:val="2989420F"/>
    <w:rsid w:val="29EB5389"/>
    <w:rsid w:val="2A1F4553"/>
    <w:rsid w:val="2BCE0BE6"/>
    <w:rsid w:val="2D70382B"/>
    <w:rsid w:val="2D77037B"/>
    <w:rsid w:val="2E224612"/>
    <w:rsid w:val="2F5729E1"/>
    <w:rsid w:val="2FA54326"/>
    <w:rsid w:val="333A2E44"/>
    <w:rsid w:val="34967B08"/>
    <w:rsid w:val="37B073B9"/>
    <w:rsid w:val="380D4CAC"/>
    <w:rsid w:val="38A547BD"/>
    <w:rsid w:val="39435915"/>
    <w:rsid w:val="394C69E7"/>
    <w:rsid w:val="3AF245C4"/>
    <w:rsid w:val="3D7D22D6"/>
    <w:rsid w:val="3DB016CD"/>
    <w:rsid w:val="3DE8448A"/>
    <w:rsid w:val="3E2B306F"/>
    <w:rsid w:val="3E61642A"/>
    <w:rsid w:val="3EED1791"/>
    <w:rsid w:val="3F977902"/>
    <w:rsid w:val="40BF056A"/>
    <w:rsid w:val="40D21EC7"/>
    <w:rsid w:val="41686896"/>
    <w:rsid w:val="41875808"/>
    <w:rsid w:val="41AF09C6"/>
    <w:rsid w:val="4245502A"/>
    <w:rsid w:val="42970066"/>
    <w:rsid w:val="431079BA"/>
    <w:rsid w:val="43C217C5"/>
    <w:rsid w:val="453A766D"/>
    <w:rsid w:val="46334724"/>
    <w:rsid w:val="47DD7AD0"/>
    <w:rsid w:val="4A9B157C"/>
    <w:rsid w:val="4B3B5DC9"/>
    <w:rsid w:val="4C4F3FC2"/>
    <w:rsid w:val="4CF3353A"/>
    <w:rsid w:val="4D9F00B2"/>
    <w:rsid w:val="5010004A"/>
    <w:rsid w:val="51BC69A8"/>
    <w:rsid w:val="51FA5FDA"/>
    <w:rsid w:val="521B3D1B"/>
    <w:rsid w:val="53017303"/>
    <w:rsid w:val="557B3B10"/>
    <w:rsid w:val="56EB5D99"/>
    <w:rsid w:val="583D488A"/>
    <w:rsid w:val="589955E7"/>
    <w:rsid w:val="59EB0EED"/>
    <w:rsid w:val="5A865020"/>
    <w:rsid w:val="5AFB6602"/>
    <w:rsid w:val="5C73708D"/>
    <w:rsid w:val="5FF47F1C"/>
    <w:rsid w:val="60065E0F"/>
    <w:rsid w:val="603A75A0"/>
    <w:rsid w:val="60620CE7"/>
    <w:rsid w:val="619538D9"/>
    <w:rsid w:val="61C2680F"/>
    <w:rsid w:val="62D358FF"/>
    <w:rsid w:val="6348506D"/>
    <w:rsid w:val="65292C16"/>
    <w:rsid w:val="66E42464"/>
    <w:rsid w:val="682C350E"/>
    <w:rsid w:val="69E41353"/>
    <w:rsid w:val="6A261A93"/>
    <w:rsid w:val="6AF742A9"/>
    <w:rsid w:val="6C452093"/>
    <w:rsid w:val="6CF50B68"/>
    <w:rsid w:val="6EDB63E4"/>
    <w:rsid w:val="6F1F1DA0"/>
    <w:rsid w:val="70AC7790"/>
    <w:rsid w:val="711041C2"/>
    <w:rsid w:val="728775A8"/>
    <w:rsid w:val="72E87C49"/>
    <w:rsid w:val="731E25AC"/>
    <w:rsid w:val="73B274A0"/>
    <w:rsid w:val="74A23383"/>
    <w:rsid w:val="75C9257E"/>
    <w:rsid w:val="768C6099"/>
    <w:rsid w:val="76C94E50"/>
    <w:rsid w:val="773455EC"/>
    <w:rsid w:val="78104CF5"/>
    <w:rsid w:val="7A067F11"/>
    <w:rsid w:val="7A1430D8"/>
    <w:rsid w:val="7A251A58"/>
    <w:rsid w:val="7AA101C1"/>
    <w:rsid w:val="7B100701"/>
    <w:rsid w:val="7BB02821"/>
    <w:rsid w:val="7C9E08D4"/>
    <w:rsid w:val="7D4F1BCF"/>
    <w:rsid w:val="7D667F1E"/>
    <w:rsid w:val="7D7020D1"/>
    <w:rsid w:val="7DFBB8BB"/>
    <w:rsid w:val="7F422C60"/>
    <w:rsid w:val="7F6C6A68"/>
    <w:rsid w:val="7F7061A1"/>
    <w:rsid w:val="7FAB4F49"/>
    <w:rsid w:val="7FB3C1B7"/>
    <w:rsid w:val="7FCEAED3"/>
    <w:rsid w:val="AEBA6020"/>
    <w:rsid w:val="BBBBF6BE"/>
    <w:rsid w:val="DDFF4768"/>
    <w:rsid w:val="DE4EF4D7"/>
    <w:rsid w:val="F75EB7A7"/>
    <w:rsid w:val="F7FE9BC4"/>
    <w:rsid w:val="F9B4BE2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7"/>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autoRedefine/>
    <w:semiHidden/>
    <w:unhideWhenUsed/>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84"/>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9"/>
    <w:autoRedefine/>
    <w:qFormat/>
    <w:uiPriority w:val="0"/>
    <w:pPr>
      <w:shd w:val="clear" w:color="auto" w:fill="000080"/>
    </w:pPr>
  </w:style>
  <w:style w:type="paragraph" w:styleId="19">
    <w:name w:val="annotation text"/>
    <w:basedOn w:val="1"/>
    <w:link w:val="102"/>
    <w:autoRedefine/>
    <w:qFormat/>
    <w:uiPriority w:val="99"/>
    <w:pPr>
      <w:jc w:val="left"/>
    </w:pPr>
  </w:style>
  <w:style w:type="paragraph" w:styleId="20">
    <w:name w:val="Salutation"/>
    <w:basedOn w:val="1"/>
    <w:next w:val="1"/>
    <w:link w:val="317"/>
    <w:autoRedefine/>
    <w:qFormat/>
    <w:uiPriority w:val="0"/>
    <w:pPr>
      <w:adjustRightInd w:val="0"/>
    </w:pPr>
    <w:rPr>
      <w:rFonts w:ascii="仿宋_GB2312" w:eastAsia="仿宋_GB2312"/>
      <w:sz w:val="28"/>
      <w:szCs w:val="20"/>
    </w:rPr>
  </w:style>
  <w:style w:type="paragraph" w:styleId="21">
    <w:name w:val="Body Text 3"/>
    <w:basedOn w:val="1"/>
    <w:link w:val="318"/>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next w:val="1"/>
    <w:link w:val="115"/>
    <w:autoRedefine/>
    <w:qFormat/>
    <w:uiPriority w:val="0"/>
    <w:pPr>
      <w:spacing w:line="360" w:lineRule="auto"/>
    </w:pPr>
    <w:rPr>
      <w:rFonts w:eastAsia="仿宋_GB2312"/>
      <w:sz w:val="28"/>
    </w:rPr>
  </w:style>
  <w:style w:type="paragraph" w:styleId="24">
    <w:name w:val="Body Text Indent"/>
    <w:basedOn w:val="1"/>
    <w:link w:val="96"/>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link w:val="94"/>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7"/>
    <w:autoRedefine/>
    <w:qFormat/>
    <w:uiPriority w:val="0"/>
    <w:rPr>
      <w:rFonts w:ascii="楷体_GB2312" w:eastAsia="楷体_GB2312"/>
      <w:b/>
      <w:sz w:val="28"/>
      <w:szCs w:val="20"/>
    </w:rPr>
  </w:style>
  <w:style w:type="paragraph" w:styleId="36">
    <w:name w:val="Body Text Indent 2"/>
    <w:basedOn w:val="1"/>
    <w:link w:val="111"/>
    <w:autoRedefine/>
    <w:qFormat/>
    <w:uiPriority w:val="0"/>
    <w:pPr>
      <w:spacing w:after="120" w:line="480" w:lineRule="auto"/>
      <w:ind w:left="420" w:leftChars="200"/>
    </w:pPr>
  </w:style>
  <w:style w:type="paragraph" w:styleId="37">
    <w:name w:val="endnote text"/>
    <w:basedOn w:val="1"/>
    <w:link w:val="320"/>
    <w:autoRedefine/>
    <w:qFormat/>
    <w:uiPriority w:val="0"/>
    <w:pPr>
      <w:adjustRightInd w:val="0"/>
    </w:pPr>
    <w:rPr>
      <w:lang w:val="zh-CN"/>
    </w:rPr>
  </w:style>
  <w:style w:type="paragraph" w:styleId="38">
    <w:name w:val="Balloon Text"/>
    <w:basedOn w:val="1"/>
    <w:link w:val="228"/>
    <w:autoRedefine/>
    <w:qFormat/>
    <w:uiPriority w:val="0"/>
    <w:rPr>
      <w:sz w:val="18"/>
      <w:szCs w:val="18"/>
    </w:rPr>
  </w:style>
  <w:style w:type="paragraph" w:styleId="39">
    <w:name w:val="footer"/>
    <w:basedOn w:val="1"/>
    <w:link w:val="99"/>
    <w:autoRedefine/>
    <w:qFormat/>
    <w:uiPriority w:val="0"/>
    <w:pPr>
      <w:tabs>
        <w:tab w:val="center" w:pos="4153"/>
        <w:tab w:val="right" w:pos="8306"/>
      </w:tabs>
      <w:snapToGrid w:val="0"/>
      <w:jc w:val="left"/>
    </w:pPr>
    <w:rPr>
      <w:sz w:val="18"/>
      <w:szCs w:val="18"/>
    </w:rPr>
  </w:style>
  <w:style w:type="paragraph" w:styleId="40">
    <w:name w:val="header"/>
    <w:basedOn w:val="1"/>
    <w:link w:val="98"/>
    <w:autoRedefine/>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1"/>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6"/>
    <w:link w:val="323"/>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9"/>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3"/>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Message Header"/>
    <w:basedOn w:val="1"/>
    <w:link w:val="104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rPr>
  </w:style>
  <w:style w:type="paragraph" w:styleId="58">
    <w:name w:val="HTML Preformatted"/>
    <w:basedOn w:val="1"/>
    <w:link w:val="23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autoRedefine/>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autoRedefine/>
    <w:qFormat/>
    <w:uiPriority w:val="0"/>
    <w:pPr>
      <w:widowControl/>
      <w:spacing w:afterLines="50"/>
    </w:pPr>
    <w:rPr>
      <w:b/>
      <w:bCs/>
      <w:kern w:val="0"/>
      <w:sz w:val="24"/>
      <w:szCs w:val="20"/>
    </w:rPr>
  </w:style>
  <w:style w:type="paragraph" w:styleId="62">
    <w:name w:val="Body Text First Indent"/>
    <w:basedOn w:val="23"/>
    <w:link w:val="232"/>
    <w:autoRedefine/>
    <w:qFormat/>
    <w:uiPriority w:val="0"/>
    <w:pPr>
      <w:spacing w:after="120" w:line="240" w:lineRule="auto"/>
      <w:ind w:firstLine="420" w:firstLineChars="100"/>
    </w:pPr>
    <w:rPr>
      <w:rFonts w:eastAsia="宋体"/>
      <w:sz w:val="21"/>
    </w:rPr>
  </w:style>
  <w:style w:type="paragraph" w:styleId="63">
    <w:name w:val="Body Text First Indent 2"/>
    <w:basedOn w:val="24"/>
    <w:link w:val="233"/>
    <w:autoRedefine/>
    <w:qFormat/>
    <w:uiPriority w:val="0"/>
    <w:pPr>
      <w:ind w:firstLine="420" w:firstLineChars="200"/>
    </w:p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style>
  <w:style w:type="character" w:styleId="75">
    <w:name w:val="FollowedHyperlink"/>
    <w:basedOn w:val="71"/>
    <w:autoRedefine/>
    <w:qFormat/>
    <w:uiPriority w:val="99"/>
    <w:rPr>
      <w:color w:val="800080"/>
      <w:u w:val="none"/>
    </w:rPr>
  </w:style>
  <w:style w:type="character" w:styleId="76">
    <w:name w:val="Emphasis"/>
    <w:autoRedefine/>
    <w:qFormat/>
    <w:uiPriority w:val="20"/>
    <w:rPr>
      <w:color w:val="CC0000"/>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basedOn w:val="71"/>
    <w:autoRedefine/>
    <w:qFormat/>
    <w:uiPriority w:val="99"/>
    <w:rPr>
      <w:color w:val="0000FF"/>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0"/>
    <w:rPr>
      <w:sz w:val="21"/>
      <w:szCs w:val="21"/>
    </w:rPr>
  </w:style>
  <w:style w:type="paragraph" w:customStyle="1" w:styleId="81">
    <w:name w:val="Default"/>
    <w:next w:val="82"/>
    <w:link w:val="316"/>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标题 1 Char"/>
    <w:link w:val="2"/>
    <w:autoRedefine/>
    <w:qFormat/>
    <w:uiPriority w:val="9"/>
    <w:rPr>
      <w:rFonts w:eastAsia="仿宋_GB2312"/>
      <w:b/>
      <w:kern w:val="44"/>
      <w:sz w:val="44"/>
      <w:lang w:val="en-US" w:eastAsia="zh-CN" w:bidi="ar-SA"/>
    </w:rPr>
  </w:style>
  <w:style w:type="character" w:customStyle="1" w:styleId="84">
    <w:name w:val="正文缩进 Char"/>
    <w:link w:val="6"/>
    <w:autoRedefine/>
    <w:qFormat/>
    <w:uiPriority w:val="0"/>
    <w:rPr>
      <w:rFonts w:eastAsia="宋体"/>
      <w:kern w:val="2"/>
      <w:sz w:val="21"/>
      <w:szCs w:val="24"/>
      <w:lang w:val="en-US" w:eastAsia="zh-CN" w:bidi="ar-SA"/>
    </w:rPr>
  </w:style>
  <w:style w:type="paragraph" w:customStyle="1" w:styleId="85">
    <w:name w:val="_Style 15"/>
    <w:basedOn w:val="1"/>
    <w:autoRedefine/>
    <w:qFormat/>
    <w:uiPriority w:val="0"/>
    <w:rPr>
      <w:rFonts w:ascii="Tahoma" w:hAnsi="Tahoma"/>
      <w:sz w:val="24"/>
      <w:szCs w:val="20"/>
    </w:rPr>
  </w:style>
  <w:style w:type="character" w:customStyle="1" w:styleId="86">
    <w:name w:val="标题 2 Char"/>
    <w:link w:val="3"/>
    <w:autoRedefine/>
    <w:qFormat/>
    <w:uiPriority w:val="0"/>
    <w:rPr>
      <w:rFonts w:ascii="Arial" w:hAnsi="Arial" w:eastAsia="黑体"/>
      <w:b/>
      <w:kern w:val="2"/>
      <w:sz w:val="32"/>
      <w:lang w:val="en-US" w:eastAsia="zh-CN" w:bidi="ar-SA"/>
    </w:rPr>
  </w:style>
  <w:style w:type="character" w:customStyle="1" w:styleId="87">
    <w:name w:val="标题 3 Char"/>
    <w:link w:val="4"/>
    <w:autoRedefine/>
    <w:qFormat/>
    <w:uiPriority w:val="0"/>
    <w:rPr>
      <w:rFonts w:eastAsia="仿宋_GB2312"/>
      <w:b/>
      <w:kern w:val="2"/>
      <w:sz w:val="32"/>
      <w:lang w:val="en-US" w:eastAsia="zh-CN" w:bidi="ar-SA"/>
    </w:rPr>
  </w:style>
  <w:style w:type="character" w:customStyle="1" w:styleId="88">
    <w:name w:val="标题 4 Char1"/>
    <w:link w:val="5"/>
    <w:autoRedefine/>
    <w:qFormat/>
    <w:uiPriority w:val="9"/>
    <w:rPr>
      <w:rFonts w:ascii="Arial" w:hAnsi="Arial" w:eastAsia="黑体"/>
      <w:b/>
      <w:kern w:val="2"/>
      <w:sz w:val="28"/>
      <w:lang w:val="en-US" w:eastAsia="zh-CN" w:bidi="ar-SA"/>
    </w:rPr>
  </w:style>
  <w:style w:type="character" w:customStyle="1" w:styleId="89">
    <w:name w:val="标题 5 Char1"/>
    <w:link w:val="7"/>
    <w:autoRedefine/>
    <w:qFormat/>
    <w:uiPriority w:val="0"/>
    <w:rPr>
      <w:rFonts w:eastAsia="宋体"/>
      <w:sz w:val="24"/>
      <w:lang w:val="en-US" w:eastAsia="zh-CN" w:bidi="ar-SA"/>
    </w:rPr>
  </w:style>
  <w:style w:type="character" w:customStyle="1" w:styleId="90">
    <w:name w:val="标题 6 Char1"/>
    <w:link w:val="8"/>
    <w:autoRedefine/>
    <w:qFormat/>
    <w:uiPriority w:val="0"/>
    <w:rPr>
      <w:rFonts w:ascii="宋体" w:hAnsi="Arial" w:eastAsia="宋体"/>
      <w:sz w:val="24"/>
      <w:lang w:val="en-US" w:eastAsia="zh-CN" w:bidi="ar-SA"/>
    </w:rPr>
  </w:style>
  <w:style w:type="character" w:customStyle="1" w:styleId="91">
    <w:name w:val="标题 7 Char1"/>
    <w:link w:val="9"/>
    <w:autoRedefine/>
    <w:qFormat/>
    <w:uiPriority w:val="0"/>
    <w:rPr>
      <w:rFonts w:ascii="宋体" w:hAnsi="Arial" w:eastAsia="宋体"/>
      <w:b/>
      <w:sz w:val="24"/>
      <w:lang w:val="en-US" w:eastAsia="zh-CN" w:bidi="ar-SA"/>
    </w:rPr>
  </w:style>
  <w:style w:type="character" w:customStyle="1" w:styleId="92">
    <w:name w:val="标题 8 Char1"/>
    <w:link w:val="10"/>
    <w:autoRedefine/>
    <w:qFormat/>
    <w:uiPriority w:val="0"/>
    <w:rPr>
      <w:rFonts w:ascii="Arial" w:hAnsi="Arial" w:eastAsia="黑体"/>
      <w:sz w:val="24"/>
      <w:lang w:val="en-US" w:eastAsia="zh-CN" w:bidi="ar-SA"/>
    </w:rPr>
  </w:style>
  <w:style w:type="character" w:customStyle="1" w:styleId="93">
    <w:name w:val="标题 9 Char1"/>
    <w:link w:val="11"/>
    <w:autoRedefine/>
    <w:qFormat/>
    <w:uiPriority w:val="0"/>
    <w:rPr>
      <w:rFonts w:ascii="Arial" w:hAnsi="Arial" w:eastAsia="黑体"/>
      <w:sz w:val="24"/>
      <w:lang w:val="en-US" w:eastAsia="zh-CN" w:bidi="ar-SA"/>
    </w:rPr>
  </w:style>
  <w:style w:type="character" w:customStyle="1" w:styleId="94">
    <w:name w:val="纯文本 Char"/>
    <w:link w:val="32"/>
    <w:autoRedefine/>
    <w:qFormat/>
    <w:uiPriority w:val="0"/>
    <w:rPr>
      <w:rFonts w:ascii="宋体" w:hAnsi="Courier New" w:eastAsia="宋体"/>
      <w:kern w:val="2"/>
      <w:sz w:val="21"/>
      <w:lang w:val="en-US" w:eastAsia="zh-CN" w:bidi="ar-SA"/>
    </w:rPr>
  </w:style>
  <w:style w:type="paragraph" w:customStyle="1" w:styleId="95">
    <w:name w:val="表正文"/>
    <w:basedOn w:val="1"/>
    <w:next w:val="32"/>
    <w:autoRedefine/>
    <w:qFormat/>
    <w:uiPriority w:val="0"/>
    <w:rPr>
      <w:rFonts w:ascii="宋体" w:hAnsi="Courier New"/>
      <w:szCs w:val="20"/>
    </w:rPr>
  </w:style>
  <w:style w:type="character" w:customStyle="1" w:styleId="96">
    <w:name w:val="正文文本缩进 Char"/>
    <w:link w:val="24"/>
    <w:autoRedefine/>
    <w:qFormat/>
    <w:uiPriority w:val="0"/>
    <w:rPr>
      <w:rFonts w:eastAsia="宋体"/>
      <w:kern w:val="2"/>
      <w:sz w:val="21"/>
      <w:szCs w:val="24"/>
      <w:lang w:val="en-US" w:eastAsia="zh-CN" w:bidi="ar-SA"/>
    </w:rPr>
  </w:style>
  <w:style w:type="character" w:customStyle="1" w:styleId="97">
    <w:name w:val="日期 Char2"/>
    <w:link w:val="35"/>
    <w:autoRedefine/>
    <w:qFormat/>
    <w:uiPriority w:val="0"/>
    <w:rPr>
      <w:rFonts w:ascii="楷体_GB2312" w:eastAsia="楷体_GB2312"/>
      <w:b/>
      <w:kern w:val="2"/>
      <w:sz w:val="28"/>
      <w:lang w:val="en-US" w:eastAsia="zh-CN" w:bidi="ar-SA"/>
    </w:rPr>
  </w:style>
  <w:style w:type="character" w:customStyle="1" w:styleId="98">
    <w:name w:val="页眉 Char1"/>
    <w:link w:val="40"/>
    <w:autoRedefine/>
    <w:qFormat/>
    <w:uiPriority w:val="0"/>
    <w:rPr>
      <w:rFonts w:eastAsia="宋体"/>
      <w:kern w:val="2"/>
      <w:sz w:val="18"/>
      <w:szCs w:val="18"/>
      <w:lang w:val="en-US" w:eastAsia="zh-CN" w:bidi="ar-SA"/>
    </w:rPr>
  </w:style>
  <w:style w:type="character" w:customStyle="1" w:styleId="99">
    <w:name w:val="页脚 Char"/>
    <w:link w:val="39"/>
    <w:autoRedefine/>
    <w:qFormat/>
    <w:locked/>
    <w:uiPriority w:val="0"/>
    <w:rPr>
      <w:rFonts w:eastAsia="宋体"/>
      <w:kern w:val="2"/>
      <w:sz w:val="18"/>
      <w:szCs w:val="18"/>
      <w:lang w:val="en-US" w:eastAsia="zh-CN" w:bidi="ar-SA"/>
    </w:rPr>
  </w:style>
  <w:style w:type="paragraph" w:customStyle="1" w:styleId="100">
    <w:name w:val="正文段"/>
    <w:basedOn w:val="1"/>
    <w:link w:val="101"/>
    <w:autoRedefine/>
    <w:qFormat/>
    <w:uiPriority w:val="0"/>
    <w:pPr>
      <w:widowControl/>
      <w:snapToGrid w:val="0"/>
      <w:spacing w:afterLines="50"/>
      <w:ind w:firstLine="200" w:firstLineChars="200"/>
    </w:pPr>
    <w:rPr>
      <w:kern w:val="0"/>
      <w:sz w:val="24"/>
      <w:szCs w:val="20"/>
    </w:rPr>
  </w:style>
  <w:style w:type="character" w:customStyle="1" w:styleId="101">
    <w:name w:val="正文段 Char"/>
    <w:link w:val="100"/>
    <w:autoRedefine/>
    <w:qFormat/>
    <w:uiPriority w:val="0"/>
    <w:rPr>
      <w:rFonts w:eastAsia="宋体"/>
      <w:sz w:val="24"/>
      <w:lang w:val="en-US" w:eastAsia="zh-CN" w:bidi="ar-SA"/>
    </w:rPr>
  </w:style>
  <w:style w:type="character" w:customStyle="1" w:styleId="102">
    <w:name w:val="批注文字 Char1"/>
    <w:link w:val="19"/>
    <w:autoRedefine/>
    <w:qFormat/>
    <w:uiPriority w:val="0"/>
    <w:rPr>
      <w:rFonts w:eastAsia="宋体"/>
      <w:kern w:val="2"/>
      <w:sz w:val="21"/>
      <w:szCs w:val="24"/>
      <w:lang w:val="en-US" w:eastAsia="zh-CN" w:bidi="ar-SA"/>
    </w:rPr>
  </w:style>
  <w:style w:type="character" w:customStyle="1" w:styleId="103">
    <w:name w:val="正文文本 2 Char1"/>
    <w:link w:val="55"/>
    <w:autoRedefine/>
    <w:qFormat/>
    <w:uiPriority w:val="0"/>
    <w:rPr>
      <w:rFonts w:ascii="隶书" w:eastAsia="隶书"/>
      <w:bCs/>
      <w:sz w:val="72"/>
      <w:szCs w:val="84"/>
      <w:lang w:val="en-US" w:eastAsia="zh-CN" w:bidi="ar-SA"/>
    </w:rPr>
  </w:style>
  <w:style w:type="paragraph" w:customStyle="1" w:styleId="104">
    <w:name w:val="Char"/>
    <w:basedOn w:val="1"/>
    <w:autoRedefine/>
    <w:qFormat/>
    <w:uiPriority w:val="0"/>
    <w:rPr>
      <w:rFonts w:ascii="仿宋_GB2312" w:eastAsia="仿宋_GB2312"/>
      <w:b/>
      <w:sz w:val="32"/>
      <w:szCs w:val="32"/>
    </w:rPr>
  </w:style>
  <w:style w:type="paragraph" w:customStyle="1" w:styleId="105">
    <w:name w:val="Table Text"/>
    <w:link w:val="106"/>
    <w:autoRedefine/>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autoRedefine/>
    <w:qFormat/>
    <w:uiPriority w:val="0"/>
    <w:rPr>
      <w:rFonts w:ascii="Arial" w:hAnsi="Arial"/>
      <w:sz w:val="18"/>
      <w:lang w:val="en-US" w:eastAsia="zh-CN" w:bidi="ar-SA"/>
    </w:rPr>
  </w:style>
  <w:style w:type="character" w:customStyle="1" w:styleId="107">
    <w:name w:val="正文（缩进2汉字） Char"/>
    <w:link w:val="108"/>
    <w:autoRedefine/>
    <w:qFormat/>
    <w:uiPriority w:val="0"/>
    <w:rPr>
      <w:rFonts w:ascii="宋体"/>
      <w:kern w:val="2"/>
      <w:sz w:val="21"/>
      <w:lang w:bidi="ar-SA"/>
    </w:rPr>
  </w:style>
  <w:style w:type="paragraph" w:customStyle="1" w:styleId="108">
    <w:name w:val="正文（缩进2汉字）"/>
    <w:basedOn w:val="1"/>
    <w:link w:val="107"/>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autoRedefine/>
    <w:qFormat/>
    <w:uiPriority w:val="0"/>
    <w:pPr>
      <w:tabs>
        <w:tab w:val="left" w:pos="432"/>
      </w:tabs>
      <w:spacing w:beforeLines="50" w:afterLines="50"/>
      <w:ind w:left="432" w:hanging="432"/>
      <w:jc w:val="center"/>
    </w:pPr>
    <w:rPr>
      <w:sz w:val="24"/>
    </w:rPr>
  </w:style>
  <w:style w:type="paragraph" w:customStyle="1" w:styleId="110">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6"/>
    <w:autoRedefine/>
    <w:qFormat/>
    <w:locked/>
    <w:uiPriority w:val="99"/>
    <w:rPr>
      <w:rFonts w:eastAsia="宋体"/>
      <w:kern w:val="2"/>
      <w:sz w:val="21"/>
      <w:szCs w:val="24"/>
      <w:lang w:val="en-US" w:eastAsia="zh-CN" w:bidi="ar-SA"/>
    </w:rPr>
  </w:style>
  <w:style w:type="paragraph" w:customStyle="1" w:styleId="112">
    <w:name w:val="缺省文本"/>
    <w:basedOn w:val="1"/>
    <w:autoRedefine/>
    <w:qFormat/>
    <w:uiPriority w:val="0"/>
    <w:pPr>
      <w:autoSpaceDE w:val="0"/>
      <w:autoSpaceDN w:val="0"/>
      <w:adjustRightInd w:val="0"/>
      <w:jc w:val="left"/>
    </w:pPr>
    <w:rPr>
      <w:kern w:val="0"/>
      <w:sz w:val="24"/>
    </w:rPr>
  </w:style>
  <w:style w:type="paragraph" w:customStyle="1" w:styleId="113">
    <w:name w:val="WW-正文文字缩进 2"/>
    <w:basedOn w:val="1"/>
    <w:autoRedefine/>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autoRedefine/>
    <w:qFormat/>
    <w:uiPriority w:val="0"/>
    <w:rPr>
      <w:rFonts w:ascii="Tahoma" w:hAnsi="Tahoma"/>
      <w:sz w:val="24"/>
      <w:szCs w:val="20"/>
    </w:rPr>
  </w:style>
  <w:style w:type="character" w:customStyle="1" w:styleId="115">
    <w:name w:val="正文文本 Char1"/>
    <w:link w:val="23"/>
    <w:autoRedefine/>
    <w:qFormat/>
    <w:locked/>
    <w:uiPriority w:val="0"/>
    <w:rPr>
      <w:rFonts w:eastAsia="仿宋_GB2312"/>
      <w:kern w:val="2"/>
      <w:sz w:val="28"/>
      <w:szCs w:val="24"/>
      <w:lang w:val="en-US" w:eastAsia="zh-CN" w:bidi="ar-SA"/>
    </w:rPr>
  </w:style>
  <w:style w:type="paragraph" w:customStyle="1" w:styleId="116">
    <w:name w:val="项目排列"/>
    <w:basedOn w:val="1"/>
    <w:link w:val="117"/>
    <w:autoRedefine/>
    <w:qFormat/>
    <w:uiPriority w:val="0"/>
    <w:pPr>
      <w:tabs>
        <w:tab w:val="left" w:pos="900"/>
      </w:tabs>
      <w:spacing w:beforeLines="50" w:afterLines="50" w:line="300" w:lineRule="auto"/>
      <w:ind w:left="900" w:hanging="420"/>
    </w:pPr>
    <w:rPr>
      <w:sz w:val="24"/>
    </w:rPr>
  </w:style>
  <w:style w:type="character" w:customStyle="1" w:styleId="117">
    <w:name w:val="项目排列 Char"/>
    <w:link w:val="116"/>
    <w:autoRedefine/>
    <w:qFormat/>
    <w:uiPriority w:val="0"/>
    <w:rPr>
      <w:kern w:val="2"/>
      <w:sz w:val="24"/>
      <w:szCs w:val="24"/>
    </w:rPr>
  </w:style>
  <w:style w:type="character" w:customStyle="1" w:styleId="118">
    <w:name w:val="style21"/>
    <w:autoRedefine/>
    <w:qFormat/>
    <w:uiPriority w:val="0"/>
    <w:rPr>
      <w:sz w:val="15"/>
      <w:szCs w:val="15"/>
    </w:rPr>
  </w:style>
  <w:style w:type="paragraph" w:customStyle="1" w:styleId="119">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autoRedefine/>
    <w:qFormat/>
    <w:uiPriority w:val="0"/>
    <w:rPr>
      <w:szCs w:val="20"/>
    </w:rPr>
  </w:style>
  <w:style w:type="paragraph" w:customStyle="1" w:styleId="122">
    <w:name w:val="列出段落1"/>
    <w:basedOn w:val="1"/>
    <w:autoRedefine/>
    <w:qFormat/>
    <w:uiPriority w:val="0"/>
    <w:pPr>
      <w:ind w:firstLine="420" w:firstLineChars="200"/>
    </w:pPr>
    <w:rPr>
      <w:rFonts w:ascii="Calibri" w:hAnsi="Calibri"/>
      <w:szCs w:val="22"/>
    </w:rPr>
  </w:style>
  <w:style w:type="paragraph" w:customStyle="1" w:styleId="123">
    <w:name w:val="默认段落字体 Para Char Char Char Char"/>
    <w:basedOn w:val="1"/>
    <w:autoRedefine/>
    <w:qFormat/>
    <w:uiPriority w:val="0"/>
  </w:style>
  <w:style w:type="paragraph" w:customStyle="1" w:styleId="124">
    <w:name w:val="Char Char Char1 Char Char Char1 Char Char Char Char"/>
    <w:basedOn w:val="1"/>
    <w:autoRedefine/>
    <w:qFormat/>
    <w:uiPriority w:val="0"/>
  </w:style>
  <w:style w:type="character" w:customStyle="1" w:styleId="125">
    <w:name w:val="font1"/>
    <w:autoRedefine/>
    <w:qFormat/>
    <w:uiPriority w:val="0"/>
    <w:rPr>
      <w:color w:val="999999"/>
      <w:sz w:val="18"/>
      <w:szCs w:val="18"/>
      <w:u w:val="none"/>
    </w:rPr>
  </w:style>
  <w:style w:type="paragraph" w:customStyle="1" w:styleId="126">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autoRedefine/>
    <w:qFormat/>
    <w:uiPriority w:val="0"/>
    <w:rPr>
      <w:rFonts w:ascii="Tahoma" w:hAnsi="Tahoma"/>
      <w:sz w:val="24"/>
      <w:szCs w:val="20"/>
    </w:rPr>
  </w:style>
  <w:style w:type="character" w:customStyle="1" w:styleId="128">
    <w:name w:val="apple-style-span"/>
    <w:basedOn w:val="71"/>
    <w:autoRedefine/>
    <w:qFormat/>
    <w:uiPriority w:val="0"/>
  </w:style>
  <w:style w:type="paragraph" w:customStyle="1" w:styleId="129">
    <w:name w:val="正文无缩进"/>
    <w:basedOn w:val="1"/>
    <w:link w:val="130"/>
    <w:autoRedefine/>
    <w:qFormat/>
    <w:uiPriority w:val="0"/>
    <w:pPr>
      <w:spacing w:line="360" w:lineRule="auto"/>
    </w:pPr>
    <w:rPr>
      <w:rFonts w:ascii="宋体"/>
      <w:color w:val="000000"/>
      <w:sz w:val="24"/>
    </w:rPr>
  </w:style>
  <w:style w:type="character" w:customStyle="1" w:styleId="130">
    <w:name w:val="正文无缩进 Char"/>
    <w:link w:val="129"/>
    <w:autoRedefine/>
    <w:qFormat/>
    <w:uiPriority w:val="0"/>
    <w:rPr>
      <w:rFonts w:ascii="宋体" w:eastAsia="宋体"/>
      <w:color w:val="000000"/>
      <w:kern w:val="2"/>
      <w:sz w:val="24"/>
      <w:szCs w:val="24"/>
      <w:lang w:val="en-US" w:eastAsia="zh-CN" w:bidi="ar-SA"/>
    </w:rPr>
  </w:style>
  <w:style w:type="paragraph" w:customStyle="1" w:styleId="131">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1"/>
    <w:autoRedefine/>
    <w:qFormat/>
    <w:uiPriority w:val="0"/>
  </w:style>
  <w:style w:type="paragraph" w:customStyle="1" w:styleId="13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4">
    <w:name w:val="表格 Char Char"/>
    <w:link w:val="135"/>
    <w:autoRedefine/>
    <w:qFormat/>
    <w:locked/>
    <w:uiPriority w:val="0"/>
    <w:rPr>
      <w:rFonts w:ascii="宋体" w:hAnsi="宋体" w:eastAsia="宋体"/>
      <w:lang w:val="en-US" w:eastAsia="zh-CN" w:bidi="ar-SA"/>
    </w:rPr>
  </w:style>
  <w:style w:type="paragraph" w:customStyle="1" w:styleId="135">
    <w:name w:val="表格"/>
    <w:basedOn w:val="1"/>
    <w:link w:val="134"/>
    <w:autoRedefine/>
    <w:qFormat/>
    <w:uiPriority w:val="0"/>
    <w:pPr>
      <w:snapToGrid w:val="0"/>
      <w:ind w:firstLine="42" w:firstLineChars="21"/>
    </w:pPr>
    <w:rPr>
      <w:rFonts w:ascii="宋体" w:hAnsi="宋体"/>
      <w:kern w:val="0"/>
      <w:sz w:val="20"/>
      <w:szCs w:val="20"/>
    </w:rPr>
  </w:style>
  <w:style w:type="paragraph" w:customStyle="1" w:styleId="13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autoRedefine/>
    <w:qFormat/>
    <w:uiPriority w:val="0"/>
    <w:pPr>
      <w:widowControl/>
      <w:spacing w:after="160" w:line="240" w:lineRule="exact"/>
      <w:jc w:val="left"/>
    </w:pPr>
  </w:style>
  <w:style w:type="character" w:customStyle="1" w:styleId="138">
    <w:name w:val="Char Char"/>
    <w:autoRedefine/>
    <w:qFormat/>
    <w:uiPriority w:val="0"/>
    <w:rPr>
      <w:rFonts w:hint="eastAsia" w:ascii="宋体" w:hAnsi="Courier New" w:eastAsia="宋体"/>
      <w:kern w:val="2"/>
      <w:sz w:val="21"/>
      <w:lang w:val="en-US" w:eastAsia="zh-CN" w:bidi="ar-SA"/>
    </w:rPr>
  </w:style>
  <w:style w:type="character" w:customStyle="1" w:styleId="139">
    <w:name w:val="style51"/>
    <w:autoRedefine/>
    <w:qFormat/>
    <w:uiPriority w:val="0"/>
    <w:rPr>
      <w:sz w:val="21"/>
      <w:szCs w:val="21"/>
    </w:rPr>
  </w:style>
  <w:style w:type="paragraph" w:customStyle="1" w:styleId="14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autoRedefine/>
    <w:qFormat/>
    <w:uiPriority w:val="0"/>
    <w:pPr>
      <w:spacing w:line="360" w:lineRule="auto"/>
      <w:ind w:firstLine="480" w:firstLineChars="200"/>
    </w:pPr>
    <w:rPr>
      <w:rFonts w:cs="宋体"/>
      <w:sz w:val="24"/>
      <w:szCs w:val="20"/>
    </w:rPr>
  </w:style>
  <w:style w:type="character" w:customStyle="1" w:styleId="142">
    <w:name w:val="标准文本 Char"/>
    <w:link w:val="141"/>
    <w:autoRedefine/>
    <w:qFormat/>
    <w:uiPriority w:val="0"/>
    <w:rPr>
      <w:rFonts w:eastAsia="宋体" w:cs="宋体"/>
      <w:kern w:val="2"/>
      <w:sz w:val="24"/>
      <w:lang w:val="en-US" w:eastAsia="zh-CN" w:bidi="ar-SA"/>
    </w:rPr>
  </w:style>
  <w:style w:type="paragraph" w:customStyle="1" w:styleId="143">
    <w:name w:val="自定义正文"/>
    <w:basedOn w:val="1"/>
    <w:link w:val="144"/>
    <w:autoRedefine/>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autoRedefine/>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6">
    <w:name w:val="自定义表格文字"/>
    <w:basedOn w:val="1"/>
    <w:autoRedefine/>
    <w:qFormat/>
    <w:uiPriority w:val="0"/>
    <w:pPr>
      <w:spacing w:before="60" w:after="60" w:line="320" w:lineRule="exact"/>
      <w:jc w:val="left"/>
    </w:pPr>
    <w:rPr>
      <w:rFonts w:ascii="宋体" w:eastAsia="楷体_GB2312"/>
    </w:rPr>
  </w:style>
  <w:style w:type="paragraph" w:customStyle="1" w:styleId="147">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8"/>
    <w:autoRedefine/>
    <w:qFormat/>
    <w:uiPriority w:val="0"/>
    <w:rPr>
      <w:rFonts w:eastAsia="宋体"/>
      <w:kern w:val="2"/>
      <w:sz w:val="21"/>
      <w:szCs w:val="24"/>
      <w:lang w:val="en-US" w:eastAsia="zh-CN" w:bidi="ar-SA"/>
    </w:rPr>
  </w:style>
  <w:style w:type="character" w:customStyle="1" w:styleId="150">
    <w:name w:val="Char Char12"/>
    <w:autoRedefine/>
    <w:qFormat/>
    <w:uiPriority w:val="0"/>
    <w:rPr>
      <w:rFonts w:ascii="宋体" w:hAnsi="Courier New" w:eastAsia="宋体"/>
      <w:kern w:val="2"/>
      <w:sz w:val="21"/>
      <w:lang w:val="en-US" w:eastAsia="zh-CN" w:bidi="ar-SA"/>
    </w:rPr>
  </w:style>
  <w:style w:type="character" w:customStyle="1" w:styleId="151">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2">
    <w:name w:val="H5 Char"/>
    <w:autoRedefine/>
    <w:qFormat/>
    <w:uiPriority w:val="0"/>
    <w:rPr>
      <w:rFonts w:ascii="Arial" w:hAnsi="Arial" w:eastAsia="宋体"/>
      <w:sz w:val="24"/>
      <w:lang w:val="en-US" w:eastAsia="zh-CN" w:bidi="ar-SA"/>
    </w:rPr>
  </w:style>
  <w:style w:type="character" w:customStyle="1" w:styleId="153">
    <w:name w:val="Char Char8"/>
    <w:autoRedefine/>
    <w:qFormat/>
    <w:uiPriority w:val="0"/>
    <w:rPr>
      <w:rFonts w:ascii="宋体" w:eastAsia="宋体"/>
      <w:kern w:val="2"/>
      <w:sz w:val="28"/>
      <w:lang w:val="en-US" w:eastAsia="zh-CN" w:bidi="ar-SA"/>
    </w:rPr>
  </w:style>
  <w:style w:type="character" w:customStyle="1" w:styleId="154">
    <w:name w:val="Char Char7"/>
    <w:autoRedefine/>
    <w:qFormat/>
    <w:uiPriority w:val="0"/>
    <w:rPr>
      <w:rFonts w:eastAsia="仿宋_GB2312"/>
      <w:kern w:val="2"/>
      <w:sz w:val="24"/>
      <w:szCs w:val="24"/>
      <w:lang w:val="en-US" w:eastAsia="zh-CN" w:bidi="ar-SA"/>
    </w:rPr>
  </w:style>
  <w:style w:type="paragraph" w:customStyle="1" w:styleId="155">
    <w:name w:val="表内文字"/>
    <w:basedOn w:val="1"/>
    <w:autoRedefine/>
    <w:qFormat/>
    <w:uiPriority w:val="0"/>
    <w:pPr>
      <w:jc w:val="center"/>
    </w:pPr>
    <w:rPr>
      <w:color w:val="FF0000"/>
      <w:kern w:val="0"/>
      <w:sz w:val="24"/>
    </w:rPr>
  </w:style>
  <w:style w:type="character" w:customStyle="1" w:styleId="156">
    <w:name w:val="Char Char3"/>
    <w:autoRedefine/>
    <w:qFormat/>
    <w:uiPriority w:val="0"/>
    <w:rPr>
      <w:rFonts w:eastAsia="仿宋_GB2312"/>
      <w:kern w:val="2"/>
      <w:sz w:val="28"/>
      <w:szCs w:val="24"/>
      <w:lang w:val="en-US" w:eastAsia="zh-CN" w:bidi="ar-SA"/>
    </w:rPr>
  </w:style>
  <w:style w:type="paragraph" w:customStyle="1" w:styleId="157">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autoRedefine/>
    <w:qFormat/>
    <w:uiPriority w:val="0"/>
    <w:pPr>
      <w:tabs>
        <w:tab w:val="left" w:pos="840"/>
      </w:tabs>
      <w:spacing w:after="60"/>
      <w:ind w:left="840" w:hanging="420"/>
    </w:pPr>
    <w:rPr>
      <w:rFonts w:ascii="宋体"/>
      <w:spacing w:val="4"/>
      <w:szCs w:val="20"/>
    </w:rPr>
  </w:style>
  <w:style w:type="paragraph" w:customStyle="1" w:styleId="162">
    <w:name w:val="编10号"/>
    <w:basedOn w:val="1"/>
    <w:autoRedefine/>
    <w:qFormat/>
    <w:uiPriority w:val="0"/>
    <w:pPr>
      <w:tabs>
        <w:tab w:val="left" w:pos="1620"/>
      </w:tabs>
      <w:ind w:left="1620" w:hanging="360"/>
    </w:pPr>
  </w:style>
  <w:style w:type="paragraph" w:customStyle="1" w:styleId="163">
    <w:name w:val="段"/>
    <w:basedOn w:val="1"/>
    <w:autoRedefine/>
    <w:qFormat/>
    <w:uiPriority w:val="0"/>
    <w:pPr>
      <w:ind w:firstLine="425"/>
    </w:pPr>
    <w:rPr>
      <w:rFonts w:ascii="宋体"/>
      <w:szCs w:val="20"/>
    </w:rPr>
  </w:style>
  <w:style w:type="paragraph" w:customStyle="1" w:styleId="164">
    <w:name w:val="Char Char Char Char"/>
    <w:basedOn w:val="1"/>
    <w:autoRedefine/>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autoRedefine/>
    <w:qFormat/>
    <w:uiPriority w:val="0"/>
    <w:rPr>
      <w:rFonts w:hint="eastAsia" w:ascii="宋体" w:hAnsi="宋体" w:eastAsia="宋体"/>
      <w:sz w:val="18"/>
      <w:szCs w:val="18"/>
    </w:rPr>
  </w:style>
  <w:style w:type="paragraph" w:customStyle="1" w:styleId="167">
    <w:name w:val="Char1 Char Char Char Char Char Char"/>
    <w:basedOn w:val="1"/>
    <w:autoRedefine/>
    <w:qFormat/>
    <w:uiPriority w:val="0"/>
    <w:rPr>
      <w:rFonts w:ascii="Tahoma" w:hAnsi="Tahoma"/>
      <w:sz w:val="24"/>
      <w:szCs w:val="20"/>
    </w:rPr>
  </w:style>
  <w:style w:type="paragraph" w:customStyle="1" w:styleId="168">
    <w:name w:val="Char Char2 Char Char Char Char"/>
    <w:basedOn w:val="18"/>
    <w:autoRedefine/>
    <w:qFormat/>
    <w:uiPriority w:val="0"/>
    <w:rPr>
      <w:rFonts w:ascii="Tahoma" w:hAnsi="Tahoma"/>
      <w:sz w:val="24"/>
    </w:rPr>
  </w:style>
  <w:style w:type="paragraph" w:customStyle="1" w:styleId="169">
    <w:name w:val="Char Char Char"/>
    <w:basedOn w:val="18"/>
    <w:autoRedefine/>
    <w:qFormat/>
    <w:uiPriority w:val="0"/>
    <w:rPr>
      <w:rFonts w:ascii="Tahoma" w:hAnsi="Tahoma"/>
      <w:sz w:val="24"/>
    </w:rPr>
  </w:style>
  <w:style w:type="paragraph" w:customStyle="1" w:styleId="170">
    <w:name w:val="正文缩进 New"/>
    <w:basedOn w:val="1"/>
    <w:autoRedefine/>
    <w:qFormat/>
    <w:uiPriority w:val="0"/>
    <w:pPr>
      <w:ind w:firstLine="420" w:firstLineChars="200"/>
    </w:pPr>
    <w:rPr>
      <w:szCs w:val="20"/>
    </w:rPr>
  </w:style>
  <w:style w:type="paragraph" w:customStyle="1" w:styleId="171">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autoRedefine/>
    <w:qFormat/>
    <w:uiPriority w:val="0"/>
    <w:rPr>
      <w:sz w:val="20"/>
      <w:szCs w:val="20"/>
    </w:rPr>
  </w:style>
  <w:style w:type="character" w:customStyle="1" w:styleId="173">
    <w:name w:val="Char Char11"/>
    <w:autoRedefine/>
    <w:qFormat/>
    <w:uiPriority w:val="0"/>
    <w:rPr>
      <w:b/>
      <w:kern w:val="44"/>
      <w:sz w:val="44"/>
    </w:rPr>
  </w:style>
  <w:style w:type="character" w:customStyle="1" w:styleId="174">
    <w:name w:val="Char Char10"/>
    <w:autoRedefine/>
    <w:qFormat/>
    <w:uiPriority w:val="0"/>
    <w:rPr>
      <w:b/>
      <w:kern w:val="2"/>
      <w:sz w:val="28"/>
      <w:szCs w:val="28"/>
    </w:rPr>
  </w:style>
  <w:style w:type="character" w:customStyle="1" w:styleId="175">
    <w:name w:val="Char Char9"/>
    <w:autoRedefine/>
    <w:qFormat/>
    <w:uiPriority w:val="0"/>
    <w:rPr>
      <w:b/>
      <w:kern w:val="2"/>
      <w:sz w:val="24"/>
      <w:szCs w:val="24"/>
    </w:rPr>
  </w:style>
  <w:style w:type="paragraph" w:customStyle="1" w:styleId="176">
    <w:name w:val="Char Char Char 字元 字元"/>
    <w:basedOn w:val="1"/>
    <w:autoRedefine/>
    <w:qFormat/>
    <w:uiPriority w:val="0"/>
    <w:pPr>
      <w:spacing w:line="360" w:lineRule="auto"/>
      <w:ind w:firstLine="200" w:firstLineChars="200"/>
    </w:pPr>
    <w:rPr>
      <w:szCs w:val="20"/>
    </w:rPr>
  </w:style>
  <w:style w:type="paragraph" w:customStyle="1" w:styleId="177">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autoRedefine/>
    <w:qFormat/>
    <w:uiPriority w:val="0"/>
    <w:rPr>
      <w:b/>
      <w:bCs/>
      <w:color w:val="FF0000"/>
    </w:rPr>
  </w:style>
  <w:style w:type="character" w:customStyle="1" w:styleId="180">
    <w:name w:val="info"/>
    <w:basedOn w:val="71"/>
    <w:autoRedefine/>
    <w:qFormat/>
    <w:uiPriority w:val="0"/>
  </w:style>
  <w:style w:type="paragraph" w:customStyle="1" w:styleId="181">
    <w:name w:val="样式 正文缩进 + 首行缩进:  2 字符"/>
    <w:basedOn w:val="6"/>
    <w:link w:val="182"/>
    <w:autoRedefine/>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autoRedefine/>
    <w:qFormat/>
    <w:locked/>
    <w:uiPriority w:val="0"/>
    <w:rPr>
      <w:rFonts w:ascii="宋体" w:hAnsi="宋体" w:eastAsia="宋体"/>
      <w:color w:val="000000"/>
      <w:sz w:val="24"/>
      <w:lang w:bidi="ar-SA"/>
    </w:rPr>
  </w:style>
  <w:style w:type="paragraph" w:customStyle="1" w:styleId="183">
    <w:name w:val="正文2"/>
    <w:basedOn w:val="1"/>
    <w:link w:val="184"/>
    <w:autoRedefine/>
    <w:qFormat/>
    <w:uiPriority w:val="0"/>
    <w:pPr>
      <w:spacing w:before="156" w:line="360" w:lineRule="auto"/>
      <w:ind w:firstLine="510" w:firstLineChars="200"/>
    </w:pPr>
    <w:rPr>
      <w:sz w:val="24"/>
      <w:szCs w:val="20"/>
    </w:rPr>
  </w:style>
  <w:style w:type="character" w:customStyle="1" w:styleId="184">
    <w:name w:val="正文2 Char"/>
    <w:link w:val="183"/>
    <w:autoRedefine/>
    <w:qFormat/>
    <w:uiPriority w:val="0"/>
    <w:rPr>
      <w:rFonts w:eastAsia="宋体"/>
      <w:kern w:val="2"/>
      <w:sz w:val="24"/>
      <w:lang w:val="en-US" w:eastAsia="zh-CN" w:bidi="ar-SA"/>
    </w:rPr>
  </w:style>
  <w:style w:type="paragraph" w:customStyle="1" w:styleId="185">
    <w:name w:val="p0"/>
    <w:basedOn w:val="1"/>
    <w:autoRedefine/>
    <w:qFormat/>
    <w:uiPriority w:val="0"/>
    <w:pPr>
      <w:widowControl/>
    </w:pPr>
    <w:rPr>
      <w:kern w:val="0"/>
      <w:szCs w:val="21"/>
    </w:rPr>
  </w:style>
  <w:style w:type="character" w:customStyle="1" w:styleId="186">
    <w:name w:val="param-name"/>
    <w:basedOn w:val="71"/>
    <w:autoRedefine/>
    <w:qFormat/>
    <w:uiPriority w:val="99"/>
  </w:style>
  <w:style w:type="character" w:customStyle="1" w:styleId="187">
    <w:name w:val="日期 Char"/>
    <w:autoRedefine/>
    <w:qFormat/>
    <w:uiPriority w:val="0"/>
    <w:rPr>
      <w:rFonts w:ascii="楷体_GB2312" w:eastAsia="楷体_GB2312"/>
      <w:b/>
      <w:kern w:val="2"/>
      <w:sz w:val="28"/>
      <w:lang w:val="en-US" w:eastAsia="zh-CN" w:bidi="ar-SA"/>
    </w:rPr>
  </w:style>
  <w:style w:type="character" w:customStyle="1" w:styleId="188">
    <w:name w:val="标题 4 Char"/>
    <w:autoRedefine/>
    <w:qFormat/>
    <w:uiPriority w:val="0"/>
    <w:rPr>
      <w:rFonts w:ascii="Arial" w:hAnsi="Arial" w:eastAsia="黑体"/>
      <w:b/>
      <w:kern w:val="2"/>
      <w:sz w:val="28"/>
      <w:lang w:val="en-US" w:eastAsia="zh-CN" w:bidi="ar-SA"/>
    </w:rPr>
  </w:style>
  <w:style w:type="character" w:customStyle="1" w:styleId="189">
    <w:name w:val="标题 6 Char"/>
    <w:autoRedefine/>
    <w:qFormat/>
    <w:uiPriority w:val="0"/>
    <w:rPr>
      <w:rFonts w:ascii="宋体" w:hAnsi="Arial" w:eastAsia="宋体"/>
      <w:sz w:val="24"/>
      <w:lang w:val="en-US" w:eastAsia="zh-CN" w:bidi="ar-SA"/>
    </w:rPr>
  </w:style>
  <w:style w:type="character" w:customStyle="1" w:styleId="190">
    <w:name w:val="标题 8 Char"/>
    <w:autoRedefine/>
    <w:qFormat/>
    <w:uiPriority w:val="0"/>
    <w:rPr>
      <w:rFonts w:ascii="Arial" w:hAnsi="Arial" w:eastAsia="黑体"/>
      <w:sz w:val="24"/>
      <w:lang w:val="en-US" w:eastAsia="zh-CN" w:bidi="ar-SA"/>
    </w:rPr>
  </w:style>
  <w:style w:type="character" w:customStyle="1" w:styleId="191">
    <w:name w:val="标题 9 Char"/>
    <w:autoRedefine/>
    <w:qFormat/>
    <w:uiPriority w:val="0"/>
    <w:rPr>
      <w:rFonts w:ascii="Arial" w:hAnsi="Arial" w:eastAsia="黑体"/>
      <w:sz w:val="24"/>
      <w:lang w:val="en-US" w:eastAsia="zh-CN" w:bidi="ar-SA"/>
    </w:rPr>
  </w:style>
  <w:style w:type="character" w:customStyle="1" w:styleId="192">
    <w:name w:val="标题 5 Char"/>
    <w:autoRedefine/>
    <w:qFormat/>
    <w:uiPriority w:val="9"/>
    <w:rPr>
      <w:rFonts w:eastAsia="宋体"/>
      <w:sz w:val="24"/>
      <w:lang w:val="en-US" w:eastAsia="zh-CN" w:bidi="ar-SA"/>
    </w:rPr>
  </w:style>
  <w:style w:type="character" w:customStyle="1" w:styleId="193">
    <w:name w:val="正文文本 Char"/>
    <w:autoRedefine/>
    <w:qFormat/>
    <w:locked/>
    <w:uiPriority w:val="0"/>
    <w:rPr>
      <w:rFonts w:eastAsia="仿宋_GB2312"/>
      <w:kern w:val="2"/>
      <w:sz w:val="28"/>
      <w:szCs w:val="24"/>
      <w:lang w:val="en-US" w:eastAsia="zh-CN" w:bidi="ar-SA"/>
    </w:rPr>
  </w:style>
  <w:style w:type="character" w:customStyle="1" w:styleId="194">
    <w:name w:val="正文文本缩进 2 Char"/>
    <w:autoRedefine/>
    <w:qFormat/>
    <w:locked/>
    <w:uiPriority w:val="0"/>
    <w:rPr>
      <w:rFonts w:eastAsia="宋体"/>
      <w:kern w:val="2"/>
      <w:sz w:val="21"/>
      <w:szCs w:val="24"/>
      <w:lang w:val="en-US" w:eastAsia="zh-CN" w:bidi="ar-SA"/>
    </w:rPr>
  </w:style>
  <w:style w:type="character" w:customStyle="1" w:styleId="195">
    <w:name w:val="正文文本 2 Char"/>
    <w:autoRedefine/>
    <w:qFormat/>
    <w:uiPriority w:val="0"/>
    <w:rPr>
      <w:rFonts w:ascii="隶书" w:eastAsia="隶书"/>
      <w:bCs/>
      <w:sz w:val="72"/>
      <w:szCs w:val="84"/>
      <w:lang w:val="en-US" w:eastAsia="zh-CN" w:bidi="ar-SA"/>
    </w:rPr>
  </w:style>
  <w:style w:type="character" w:customStyle="1" w:styleId="196">
    <w:name w:val="标题 7 Char"/>
    <w:autoRedefine/>
    <w:qFormat/>
    <w:uiPriority w:val="0"/>
    <w:rPr>
      <w:rFonts w:ascii="宋体" w:hAnsi="Arial" w:eastAsia="宋体"/>
      <w:b/>
      <w:sz w:val="24"/>
      <w:lang w:val="en-US" w:eastAsia="zh-CN" w:bidi="ar-SA"/>
    </w:rPr>
  </w:style>
  <w:style w:type="character" w:customStyle="1" w:styleId="197">
    <w:name w:val="页眉 Char"/>
    <w:autoRedefine/>
    <w:qFormat/>
    <w:uiPriority w:val="0"/>
    <w:rPr>
      <w:rFonts w:eastAsia="宋体"/>
      <w:kern w:val="2"/>
      <w:sz w:val="18"/>
      <w:szCs w:val="18"/>
      <w:lang w:val="en-US" w:eastAsia="zh-CN" w:bidi="ar-SA"/>
    </w:rPr>
  </w:style>
  <w:style w:type="character" w:customStyle="1" w:styleId="198">
    <w:name w:val="批注文字 Char"/>
    <w:autoRedefine/>
    <w:qFormat/>
    <w:uiPriority w:val="0"/>
    <w:rPr>
      <w:rFonts w:eastAsia="宋体"/>
      <w:kern w:val="2"/>
      <w:sz w:val="21"/>
      <w:szCs w:val="24"/>
      <w:lang w:val="en-US" w:eastAsia="zh-CN" w:bidi="ar-SA"/>
    </w:rPr>
  </w:style>
  <w:style w:type="character" w:customStyle="1" w:styleId="199">
    <w:name w:val="汇视源正文 Char"/>
    <w:link w:val="200"/>
    <w:autoRedefine/>
    <w:qFormat/>
    <w:uiPriority w:val="0"/>
    <w:rPr>
      <w:rFonts w:cs="宋体"/>
      <w:kern w:val="2"/>
      <w:sz w:val="24"/>
      <w:lang w:val="en-US" w:eastAsia="zh-CN" w:bidi="ar-SA"/>
    </w:rPr>
  </w:style>
  <w:style w:type="paragraph" w:customStyle="1" w:styleId="200">
    <w:name w:val="汇视源正文"/>
    <w:link w:val="199"/>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autoRedefine/>
    <w:qFormat/>
    <w:uiPriority w:val="2"/>
    <w:pPr>
      <w:tabs>
        <w:tab w:val="left" w:pos="840"/>
      </w:tabs>
      <w:spacing w:afterLines="0"/>
      <w:ind w:left="425" w:hanging="425"/>
    </w:pPr>
    <w:rPr>
      <w:rFonts w:cs="宋体"/>
    </w:rPr>
  </w:style>
  <w:style w:type="paragraph" w:customStyle="1" w:styleId="202">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0"/>
    <w:autoRedefine/>
    <w:qFormat/>
    <w:locked/>
    <w:uiPriority w:val="0"/>
    <w:rPr>
      <w:rFonts w:ascii="Calibri Light" w:hAnsi="Calibri Light" w:eastAsia="宋体"/>
      <w:b/>
      <w:bCs/>
      <w:kern w:val="2"/>
      <w:sz w:val="32"/>
      <w:szCs w:val="32"/>
      <w:lang w:val="en-US" w:eastAsia="zh-CN" w:bidi="ar-SA"/>
    </w:rPr>
  </w:style>
  <w:style w:type="character" w:customStyle="1" w:styleId="205">
    <w:name w:val="Date Char"/>
    <w:autoRedefine/>
    <w:qFormat/>
    <w:locked/>
    <w:uiPriority w:val="0"/>
    <w:rPr>
      <w:rFonts w:ascii="宋体"/>
      <w:sz w:val="21"/>
      <w:lang w:val="zh-CN"/>
    </w:rPr>
  </w:style>
  <w:style w:type="character" w:customStyle="1" w:styleId="206">
    <w:name w:val="Normal Indent Char"/>
    <w:autoRedefine/>
    <w:qFormat/>
    <w:locked/>
    <w:uiPriority w:val="0"/>
    <w:rPr>
      <w:rFonts w:ascii="宋体" w:eastAsia="宋体"/>
      <w:snapToGrid w:val="0"/>
      <w:color w:val="000000"/>
      <w:kern w:val="28"/>
      <w:sz w:val="28"/>
    </w:rPr>
  </w:style>
  <w:style w:type="character" w:customStyle="1" w:styleId="207">
    <w:name w:val="Plain Text Char"/>
    <w:autoRedefine/>
    <w:qFormat/>
    <w:locked/>
    <w:uiPriority w:val="0"/>
    <w:rPr>
      <w:rFonts w:ascii="宋体" w:hAnsi="Courier New" w:eastAsia="宋体"/>
      <w:snapToGrid w:val="0"/>
      <w:sz w:val="21"/>
    </w:rPr>
  </w:style>
  <w:style w:type="character" w:customStyle="1" w:styleId="208">
    <w:name w:val="日期 Char1"/>
    <w:autoRedefine/>
    <w:qFormat/>
    <w:uiPriority w:val="99"/>
    <w:rPr>
      <w:rFonts w:ascii="Times New Roman" w:hAnsi="Times New Roman" w:eastAsia="宋体" w:cs="Times New Roman"/>
      <w:sz w:val="24"/>
      <w:szCs w:val="24"/>
    </w:rPr>
  </w:style>
  <w:style w:type="character" w:customStyle="1" w:styleId="209">
    <w:name w:val="纯文本 Char1"/>
    <w:link w:val="210"/>
    <w:autoRedefine/>
    <w:qFormat/>
    <w:uiPriority w:val="0"/>
    <w:rPr>
      <w:rFonts w:ascii="宋体" w:hAnsi="Courier New" w:eastAsia="宋体" w:cs="Courier New"/>
      <w:sz w:val="21"/>
      <w:szCs w:val="21"/>
    </w:rPr>
  </w:style>
  <w:style w:type="paragraph" w:customStyle="1" w:styleId="210">
    <w:name w:val="纯文本1"/>
    <w:basedOn w:val="1"/>
    <w:link w:val="209"/>
    <w:autoRedefine/>
    <w:qFormat/>
    <w:uiPriority w:val="0"/>
    <w:rPr>
      <w:rFonts w:ascii="宋体" w:hAnsi="Courier New" w:cs="Courier New"/>
      <w:kern w:val="0"/>
      <w:szCs w:val="21"/>
    </w:rPr>
  </w:style>
  <w:style w:type="paragraph" w:customStyle="1" w:styleId="21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autoRedefine/>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autoRedefine/>
    <w:qFormat/>
    <w:locked/>
    <w:uiPriority w:val="0"/>
    <w:rPr>
      <w:rFonts w:ascii="Times New Roman" w:hAnsi="Times New Roman" w:eastAsia="宋体" w:cs="Times New Roman"/>
      <w:sz w:val="18"/>
      <w:szCs w:val="18"/>
    </w:rPr>
  </w:style>
  <w:style w:type="paragraph" w:customStyle="1" w:styleId="21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8">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autoRedefine/>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autoRedefine/>
    <w:qFormat/>
    <w:uiPriority w:val="0"/>
    <w:rPr>
      <w:rFonts w:ascii="Times New Roman" w:hAnsi="Times New Roman" w:eastAsia="宋体" w:cs="Times New Roman"/>
      <w:szCs w:val="24"/>
    </w:rPr>
  </w:style>
  <w:style w:type="character" w:customStyle="1" w:styleId="228">
    <w:name w:val="批注框文本 Char"/>
    <w:basedOn w:val="71"/>
    <w:link w:val="38"/>
    <w:autoRedefine/>
    <w:qFormat/>
    <w:uiPriority w:val="0"/>
    <w:rPr>
      <w:kern w:val="2"/>
      <w:sz w:val="18"/>
      <w:szCs w:val="18"/>
    </w:rPr>
  </w:style>
  <w:style w:type="character" w:customStyle="1" w:styleId="229">
    <w:name w:val="正文文本缩进 3 Char"/>
    <w:basedOn w:val="71"/>
    <w:link w:val="52"/>
    <w:autoRedefine/>
    <w:qFormat/>
    <w:uiPriority w:val="0"/>
    <w:rPr>
      <w:kern w:val="2"/>
      <w:sz w:val="16"/>
      <w:szCs w:val="16"/>
    </w:rPr>
  </w:style>
  <w:style w:type="character" w:customStyle="1" w:styleId="230">
    <w:name w:val="HTML 预设格式 Char"/>
    <w:basedOn w:val="71"/>
    <w:link w:val="58"/>
    <w:qFormat/>
    <w:uiPriority w:val="0"/>
    <w:rPr>
      <w:rFonts w:ascii="黑体" w:hAnsi="Courier New" w:eastAsia="黑体" w:cs="Courier New"/>
    </w:rPr>
  </w:style>
  <w:style w:type="character" w:customStyle="1" w:styleId="231">
    <w:name w:val="批注主题 Char"/>
    <w:basedOn w:val="198"/>
    <w:link w:val="61"/>
    <w:autoRedefine/>
    <w:qFormat/>
    <w:uiPriority w:val="0"/>
    <w:rPr>
      <w:rFonts w:eastAsia="宋体"/>
      <w:b/>
      <w:bCs/>
      <w:kern w:val="2"/>
      <w:sz w:val="24"/>
      <w:szCs w:val="24"/>
      <w:lang w:val="en-US" w:eastAsia="zh-CN" w:bidi="ar-SA"/>
    </w:rPr>
  </w:style>
  <w:style w:type="character" w:customStyle="1" w:styleId="232">
    <w:name w:val="正文首行缩进 Char"/>
    <w:basedOn w:val="193"/>
    <w:link w:val="62"/>
    <w:autoRedefine/>
    <w:qFormat/>
    <w:uiPriority w:val="0"/>
    <w:rPr>
      <w:rFonts w:eastAsia="仿宋_GB2312"/>
      <w:kern w:val="2"/>
      <w:sz w:val="21"/>
      <w:szCs w:val="24"/>
      <w:lang w:val="en-US" w:eastAsia="zh-CN" w:bidi="ar-SA"/>
    </w:rPr>
  </w:style>
  <w:style w:type="character" w:customStyle="1" w:styleId="233">
    <w:name w:val="正文首行缩进 2 Char"/>
    <w:basedOn w:val="96"/>
    <w:link w:val="63"/>
    <w:autoRedefine/>
    <w:qFormat/>
    <w:uiPriority w:val="0"/>
    <w:rPr>
      <w:rFonts w:eastAsia="宋体"/>
      <w:kern w:val="2"/>
      <w:sz w:val="21"/>
      <w:szCs w:val="24"/>
      <w:lang w:val="en-US" w:eastAsia="zh-CN" w:bidi="ar-SA"/>
    </w:rPr>
  </w:style>
  <w:style w:type="paragraph" w:customStyle="1" w:styleId="234">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autoRedefine/>
    <w:qFormat/>
    <w:uiPriority w:val="0"/>
    <w:rPr>
      <w:rFonts w:ascii="仿宋_GB2312" w:hAnsi="宋体" w:eastAsia="仿宋_GB2312"/>
      <w:sz w:val="31"/>
    </w:rPr>
  </w:style>
  <w:style w:type="paragraph" w:customStyle="1" w:styleId="243">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autoRedefine/>
    <w:qFormat/>
    <w:uiPriority w:val="0"/>
    <w:rPr>
      <w:rFonts w:ascii="宋体" w:hAnsi="Courier New" w:eastAsia="宋体"/>
      <w:kern w:val="2"/>
      <w:sz w:val="21"/>
      <w:lang w:val="en-US" w:eastAsia="zh-CN" w:bidi="ar-SA"/>
    </w:rPr>
  </w:style>
  <w:style w:type="paragraph" w:customStyle="1" w:styleId="284">
    <w:name w:val="列出段落2"/>
    <w:basedOn w:val="1"/>
    <w:autoRedefine/>
    <w:qFormat/>
    <w:uiPriority w:val="0"/>
    <w:pPr>
      <w:spacing w:line="440" w:lineRule="exact"/>
      <w:ind w:firstLine="420" w:firstLineChars="200"/>
    </w:pPr>
    <w:rPr>
      <w:rFonts w:eastAsia="仿宋_GB2312"/>
      <w:sz w:val="24"/>
    </w:rPr>
  </w:style>
  <w:style w:type="paragraph" w:customStyle="1" w:styleId="285">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autoRedefine/>
    <w:qFormat/>
    <w:uiPriority w:val="0"/>
    <w:pPr>
      <w:ind w:firstLine="420" w:firstLineChars="200"/>
    </w:pPr>
    <w:rPr>
      <w:rFonts w:ascii="Calibri" w:hAnsi="Calibri"/>
      <w:szCs w:val="22"/>
    </w:rPr>
  </w:style>
  <w:style w:type="paragraph" w:customStyle="1" w:styleId="288">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autoRedefine/>
    <w:qFormat/>
    <w:uiPriority w:val="0"/>
    <w:rPr>
      <w:rFonts w:ascii="Tahoma" w:hAnsi="Tahoma"/>
      <w:sz w:val="24"/>
      <w:szCs w:val="20"/>
    </w:rPr>
  </w:style>
  <w:style w:type="paragraph" w:customStyle="1" w:styleId="294">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1"/>
    <w:autoRedefine/>
    <w:qFormat/>
    <w:uiPriority w:val="0"/>
    <w:rPr>
      <w:rFonts w:hint="eastAsia" w:ascii="宋体" w:hAnsi="宋体" w:eastAsia="宋体" w:cs="宋体"/>
      <w:color w:val="000000"/>
      <w:sz w:val="22"/>
      <w:szCs w:val="22"/>
      <w:u w:val="none"/>
    </w:rPr>
  </w:style>
  <w:style w:type="character" w:customStyle="1" w:styleId="296">
    <w:name w:val="font11"/>
    <w:basedOn w:val="71"/>
    <w:autoRedefine/>
    <w:qFormat/>
    <w:uiPriority w:val="0"/>
    <w:rPr>
      <w:rFonts w:hint="eastAsia" w:ascii="宋体" w:hAnsi="宋体" w:eastAsia="宋体" w:cs="宋体"/>
      <w:color w:val="FF0000"/>
      <w:sz w:val="22"/>
      <w:szCs w:val="22"/>
      <w:u w:val="none"/>
    </w:rPr>
  </w:style>
  <w:style w:type="character" w:customStyle="1" w:styleId="297">
    <w:name w:val="font41"/>
    <w:basedOn w:val="71"/>
    <w:autoRedefine/>
    <w:qFormat/>
    <w:uiPriority w:val="0"/>
    <w:rPr>
      <w:rFonts w:hint="default" w:ascii="等线" w:hAnsi="等线" w:eastAsia="等线" w:cs="等线"/>
      <w:color w:val="FF0000"/>
      <w:sz w:val="22"/>
      <w:szCs w:val="22"/>
      <w:u w:val="none"/>
    </w:rPr>
  </w:style>
  <w:style w:type="character" w:customStyle="1" w:styleId="298">
    <w:name w:val="font21"/>
    <w:basedOn w:val="71"/>
    <w:autoRedefine/>
    <w:qFormat/>
    <w:uiPriority w:val="0"/>
    <w:rPr>
      <w:rFonts w:hint="default" w:ascii="等线" w:hAnsi="等线" w:eastAsia="等线" w:cs="等线"/>
      <w:color w:val="000000"/>
      <w:sz w:val="22"/>
      <w:szCs w:val="22"/>
      <w:u w:val="none"/>
    </w:rPr>
  </w:style>
  <w:style w:type="character" w:customStyle="1" w:styleId="299">
    <w:name w:val="font51"/>
    <w:basedOn w:val="71"/>
    <w:autoRedefine/>
    <w:qFormat/>
    <w:uiPriority w:val="0"/>
    <w:rPr>
      <w:rFonts w:hint="default" w:ascii="等线" w:hAnsi="等线" w:eastAsia="等线" w:cs="等线"/>
      <w:color w:val="FF0000"/>
      <w:sz w:val="22"/>
      <w:szCs w:val="22"/>
      <w:u w:val="none"/>
    </w:rPr>
  </w:style>
  <w:style w:type="character" w:customStyle="1" w:styleId="300">
    <w:name w:val="font61"/>
    <w:basedOn w:val="71"/>
    <w:autoRedefine/>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1"/>
    <w:autoRedefine/>
    <w:unhideWhenUsed/>
    <w:qFormat/>
    <w:uiPriority w:val="0"/>
    <w:rPr>
      <w:color w:val="605E5C"/>
      <w:shd w:val="clear" w:color="auto" w:fill="E1DFDD"/>
    </w:rPr>
  </w:style>
  <w:style w:type="paragraph" w:customStyle="1" w:styleId="307">
    <w:name w:val="p15"/>
    <w:basedOn w:val="1"/>
    <w:autoRedefine/>
    <w:qFormat/>
    <w:uiPriority w:val="0"/>
    <w:pPr>
      <w:widowControl/>
      <w:adjustRightInd w:val="0"/>
    </w:pPr>
    <w:rPr>
      <w:rFonts w:ascii="宋体" w:hAnsi="宋体" w:cs="宋体"/>
      <w:kern w:val="0"/>
      <w:sz w:val="20"/>
      <w:szCs w:val="20"/>
    </w:rPr>
  </w:style>
  <w:style w:type="character" w:customStyle="1" w:styleId="308">
    <w:name w:val="bookmark-item"/>
    <w:basedOn w:val="71"/>
    <w:autoRedefine/>
    <w:qFormat/>
    <w:uiPriority w:val="0"/>
  </w:style>
  <w:style w:type="paragraph" w:customStyle="1" w:styleId="309">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6"/>
    <w:qFormat/>
    <w:uiPriority w:val="0"/>
    <w:rPr>
      <w:rFonts w:ascii="Calibri" w:hAnsi="Calibri"/>
      <w:kern w:val="2"/>
    </w:rPr>
  </w:style>
  <w:style w:type="paragraph" w:customStyle="1" w:styleId="311">
    <w:name w:val="索引 11"/>
    <w:basedOn w:val="1"/>
    <w:next w:val="1"/>
    <w:autoRedefine/>
    <w:qFormat/>
    <w:uiPriority w:val="99"/>
    <w:pPr>
      <w:spacing w:line="360" w:lineRule="auto"/>
    </w:pPr>
    <w:rPr>
      <w:rFonts w:ascii="仿宋_GB2312" w:eastAsia="仿宋_GB2312"/>
      <w:sz w:val="24"/>
      <w:szCs w:val="20"/>
    </w:rPr>
  </w:style>
  <w:style w:type="paragraph" w:customStyle="1" w:styleId="312">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autoRedefine/>
    <w:qFormat/>
    <w:locked/>
    <w:uiPriority w:val="99"/>
    <w:rPr>
      <w:kern w:val="2"/>
      <w:sz w:val="18"/>
      <w:szCs w:val="18"/>
    </w:rPr>
  </w:style>
  <w:style w:type="character" w:customStyle="1" w:styleId="315">
    <w:name w:val="页眉 Char2"/>
    <w:autoRedefine/>
    <w:qFormat/>
    <w:uiPriority w:val="99"/>
    <w:rPr>
      <w:kern w:val="2"/>
      <w:sz w:val="18"/>
      <w:szCs w:val="18"/>
    </w:rPr>
  </w:style>
  <w:style w:type="character" w:customStyle="1" w:styleId="316">
    <w:name w:val="Default Char"/>
    <w:link w:val="81"/>
    <w:qFormat/>
    <w:uiPriority w:val="0"/>
    <w:rPr>
      <w:color w:val="000000"/>
      <w:sz w:val="24"/>
      <w:szCs w:val="24"/>
    </w:rPr>
  </w:style>
  <w:style w:type="character" w:customStyle="1" w:styleId="317">
    <w:name w:val="称呼 Char"/>
    <w:basedOn w:val="71"/>
    <w:link w:val="20"/>
    <w:autoRedefine/>
    <w:qFormat/>
    <w:uiPriority w:val="0"/>
    <w:rPr>
      <w:rFonts w:ascii="仿宋_GB2312" w:eastAsia="仿宋_GB2312"/>
      <w:kern w:val="2"/>
      <w:sz w:val="28"/>
    </w:rPr>
  </w:style>
  <w:style w:type="character" w:customStyle="1" w:styleId="318">
    <w:name w:val="正文文本 3 Char"/>
    <w:basedOn w:val="71"/>
    <w:link w:val="21"/>
    <w:autoRedefine/>
    <w:qFormat/>
    <w:uiPriority w:val="0"/>
    <w:rPr>
      <w:kern w:val="2"/>
      <w:sz w:val="21"/>
    </w:rPr>
  </w:style>
  <w:style w:type="character" w:customStyle="1" w:styleId="319">
    <w:name w:val="HTML 地址 Char"/>
    <w:basedOn w:val="71"/>
    <w:link w:val="29"/>
    <w:autoRedefine/>
    <w:qFormat/>
    <w:uiPriority w:val="0"/>
    <w:rPr>
      <w:rFonts w:ascii="宋体" w:hAnsi="宋体"/>
      <w:i/>
      <w:iCs/>
      <w:sz w:val="24"/>
      <w:szCs w:val="24"/>
    </w:rPr>
  </w:style>
  <w:style w:type="character" w:customStyle="1" w:styleId="320">
    <w:name w:val="尾注文本 Char"/>
    <w:basedOn w:val="71"/>
    <w:link w:val="37"/>
    <w:autoRedefine/>
    <w:qFormat/>
    <w:uiPriority w:val="0"/>
    <w:rPr>
      <w:kern w:val="2"/>
      <w:sz w:val="21"/>
      <w:szCs w:val="24"/>
      <w:lang w:val="zh-CN"/>
    </w:rPr>
  </w:style>
  <w:style w:type="character" w:customStyle="1" w:styleId="321">
    <w:name w:val="签名 Char"/>
    <w:basedOn w:val="71"/>
    <w:link w:val="41"/>
    <w:autoRedefine/>
    <w:qFormat/>
    <w:uiPriority w:val="0"/>
    <w:rPr>
      <w:rFonts w:eastAsia="仿宋_GB2312"/>
      <w:sz w:val="24"/>
    </w:rPr>
  </w:style>
  <w:style w:type="character" w:customStyle="1" w:styleId="322">
    <w:name w:val="副标题 Char"/>
    <w:basedOn w:val="71"/>
    <w:link w:val="46"/>
    <w:autoRedefine/>
    <w:qFormat/>
    <w:uiPriority w:val="0"/>
    <w:rPr>
      <w:rFonts w:ascii="Arial" w:hAnsi="Arial" w:eastAsia="隶书"/>
      <w:b/>
      <w:bCs/>
      <w:kern w:val="28"/>
      <w:sz w:val="44"/>
      <w:szCs w:val="32"/>
    </w:rPr>
  </w:style>
  <w:style w:type="character" w:customStyle="1" w:styleId="323">
    <w:name w:val="脚注文本 Char"/>
    <w:basedOn w:val="71"/>
    <w:link w:val="49"/>
    <w:autoRedefine/>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autoRedefine/>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0"/>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0"/>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6"/>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81"/>
    <w:next w:val="8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81"/>
    <w:next w:val="8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autoRedefine/>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autoRedefine/>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6"/>
    <w:autoRedefine/>
    <w:qFormat/>
    <w:uiPriority w:val="0"/>
    <w:pPr>
      <w:adjustRightInd w:val="0"/>
      <w:spacing w:after="120" w:line="480" w:lineRule="auto"/>
      <w:ind w:left="420" w:leftChars="200"/>
    </w:pPr>
    <w:rPr>
      <w:sz w:val="24"/>
      <w:szCs w:val="20"/>
    </w:rPr>
  </w:style>
  <w:style w:type="paragraph" w:customStyle="1" w:styleId="841">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autoRedefine/>
    <w:qFormat/>
    <w:uiPriority w:val="0"/>
    <w:pPr>
      <w:adjustRightInd w:val="0"/>
    </w:pPr>
    <w:rPr>
      <w:rFonts w:ascii="仿宋_GB2312" w:eastAsia="仿宋_GB2312"/>
      <w:b/>
      <w:sz w:val="32"/>
      <w:szCs w:val="20"/>
    </w:rPr>
  </w:style>
  <w:style w:type="paragraph" w:customStyle="1" w:styleId="84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autoRedefine/>
    <w:qFormat/>
    <w:uiPriority w:val="0"/>
    <w:pPr>
      <w:adjustRightInd w:val="0"/>
    </w:pPr>
    <w:rPr>
      <w:rFonts w:ascii="仿宋_GB2312" w:eastAsia="仿宋_GB2312"/>
      <w:b/>
      <w:sz w:val="32"/>
      <w:szCs w:val="32"/>
    </w:rPr>
  </w:style>
  <w:style w:type="paragraph" w:customStyle="1" w:styleId="853">
    <w:name w:val="Char3 Char Char Char1"/>
    <w:basedOn w:val="1"/>
    <w:autoRedefine/>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autoRedefine/>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autoRedefine/>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autoRedefine/>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60"/>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6"/>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autoRedefine/>
    <w:qFormat/>
    <w:uiPriority w:val="0"/>
    <w:pPr>
      <w:adjustRightInd w:val="0"/>
    </w:pPr>
    <w:rPr>
      <w:rFonts w:ascii="仿宋_GB2312" w:eastAsia="仿宋_GB2312"/>
      <w:b/>
      <w:sz w:val="32"/>
      <w:szCs w:val="32"/>
    </w:rPr>
  </w:style>
  <w:style w:type="paragraph" w:customStyle="1" w:styleId="902">
    <w:name w:val="五级条标题"/>
    <w:basedOn w:val="903"/>
    <w:next w:val="163"/>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autoRedefine/>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autoRedefine/>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autoRedefine/>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5"/>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0"/>
    <w:pPr>
      <w:ind w:right="238" w:firstLine="420"/>
    </w:pPr>
    <w:rPr>
      <w:rFonts w:ascii="Calibri" w:hAnsi="Calibri"/>
      <w:sz w:val="24"/>
    </w:rPr>
  </w:style>
  <w:style w:type="paragraph" w:customStyle="1" w:styleId="958">
    <w:name w:val="Char Char110"/>
    <w:basedOn w:val="1"/>
    <w:autoRedefine/>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18"/>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1040">
    <w:name w:val="修订5"/>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041">
    <w:name w:val="信息标题 Char"/>
    <w:basedOn w:val="71"/>
    <w:link w:val="57"/>
    <w:autoRedefine/>
    <w:qFormat/>
    <w:uiPriority w:val="0"/>
    <w:rPr>
      <w:rFonts w:ascii="Cambria" w:hAnsi="Cambria"/>
      <w:kern w:val="2"/>
      <w:sz w:val="21"/>
      <w:szCs w:val="24"/>
      <w:shd w:val="pct20" w:color="auto" w:fill="auto"/>
    </w:rPr>
  </w:style>
  <w:style w:type="paragraph" w:customStyle="1" w:styleId="104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2.emf"/><Relationship Id="rId75" Type="http://schemas.openxmlformats.org/officeDocument/2006/relationships/oleObject" Target="embeddings/oleObject2.bin"/><Relationship Id="rId74" Type="http://schemas.openxmlformats.org/officeDocument/2006/relationships/image" Target="media/image61.emf"/><Relationship Id="rId73" Type="http://schemas.openxmlformats.org/officeDocument/2006/relationships/oleObject" Target="embeddings/oleObject1.bin"/><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jpe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133</Pages>
  <Words>12475</Words>
  <Characters>71113</Characters>
  <Lines>592</Lines>
  <Paragraphs>166</Paragraphs>
  <TotalTime>25</TotalTime>
  <ScaleCrop>false</ScaleCrop>
  <LinksUpToDate>false</LinksUpToDate>
  <CharactersWithSpaces>83422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user</cp:lastModifiedBy>
  <cp:lastPrinted>2024-09-04T07:15:00Z</cp:lastPrinted>
  <dcterms:modified xsi:type="dcterms:W3CDTF">2024-09-04T12:45:38Z</dcterms:modified>
  <dc:title>绍兴文理学院计算机机房设备及录播系统供货项目</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BBB09222CD854751BF19611EB2C5F65E_13</vt:lpwstr>
  </property>
</Properties>
</file>