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B9FAB2">
      <w:pPr>
        <w:pStyle w:val="15"/>
      </w:pPr>
    </w:p>
    <w:p w14:paraId="58CB8845">
      <w:pPr>
        <w:pStyle w:val="16"/>
        <w:ind w:firstLine="210"/>
        <w:jc w:val="center"/>
        <w:rPr>
          <w:b/>
          <w:bCs w:val="0"/>
          <w:sz w:val="44"/>
          <w:szCs w:val="48"/>
        </w:rPr>
      </w:pPr>
      <w:r>
        <w:rPr>
          <w:rFonts w:hint="eastAsia" w:ascii="宋体" w:hAnsi="宋体" w:cs="宋体"/>
          <w:b/>
          <w:bCs w:val="0"/>
          <w:sz w:val="56"/>
          <w:szCs w:val="240"/>
          <w:lang w:val="en-US" w:eastAsia="zh-CN"/>
        </w:rPr>
        <w:t xml:space="preserve">普陀区海岛“菜篮子”配送服务 </w:t>
      </w:r>
    </w:p>
    <w:p w14:paraId="451EF529">
      <w:pPr>
        <w:pStyle w:val="16"/>
        <w:ind w:firstLine="210"/>
        <w:rPr>
          <w:rFonts w:ascii="宋体" w:hAnsi="宋体" w:cs="宋体"/>
        </w:rPr>
      </w:pPr>
    </w:p>
    <w:p w14:paraId="7BDDF129">
      <w:pPr>
        <w:pStyle w:val="30"/>
      </w:pPr>
    </w:p>
    <w:p w14:paraId="29BF9552"/>
    <w:p w14:paraId="0AA4F176">
      <w:pPr>
        <w:pStyle w:val="15"/>
      </w:pPr>
    </w:p>
    <w:p w14:paraId="4A0D3FE9">
      <w:pPr>
        <w:spacing w:beforeLines="50"/>
        <w:jc w:val="center"/>
        <w:outlineLvl w:val="0"/>
        <w:rPr>
          <w:rFonts w:ascii="宋体" w:hAnsi="宋体" w:cs="宋体"/>
          <w:b/>
          <w:sz w:val="52"/>
          <w:szCs w:val="52"/>
        </w:rPr>
      </w:pPr>
      <w:r>
        <w:rPr>
          <w:rFonts w:hint="eastAsia" w:ascii="宋体" w:hAnsi="宋体" w:cs="宋体"/>
          <w:b/>
          <w:sz w:val="52"/>
          <w:szCs w:val="52"/>
        </w:rPr>
        <w:t>竞争性磋商文件</w:t>
      </w:r>
    </w:p>
    <w:p w14:paraId="33A56CD7">
      <w:pPr>
        <w:snapToGrid w:val="0"/>
        <w:spacing w:line="480" w:lineRule="auto"/>
        <w:ind w:firstLine="900" w:firstLineChars="300"/>
        <w:rPr>
          <w:rFonts w:ascii="宋体" w:hAnsi="宋体" w:cs="宋体"/>
          <w:bCs/>
          <w:sz w:val="30"/>
          <w:szCs w:val="72"/>
        </w:rPr>
      </w:pPr>
    </w:p>
    <w:p w14:paraId="4FD12F5A">
      <w:pPr>
        <w:snapToGrid w:val="0"/>
        <w:spacing w:line="480" w:lineRule="auto"/>
        <w:ind w:firstLine="900" w:firstLineChars="300"/>
        <w:rPr>
          <w:rFonts w:ascii="宋体" w:hAnsi="宋体" w:cs="宋体"/>
          <w:bCs/>
          <w:sz w:val="30"/>
          <w:szCs w:val="72"/>
        </w:rPr>
      </w:pPr>
    </w:p>
    <w:p w14:paraId="4786C08A">
      <w:pPr>
        <w:pStyle w:val="15"/>
        <w:rPr>
          <w:rFonts w:ascii="宋体" w:hAnsi="宋体" w:cs="宋体"/>
        </w:rPr>
      </w:pPr>
    </w:p>
    <w:p w14:paraId="3B2DCE65">
      <w:pPr>
        <w:snapToGrid w:val="0"/>
        <w:spacing w:line="480" w:lineRule="auto"/>
        <w:rPr>
          <w:rFonts w:ascii="宋体" w:hAnsi="宋体" w:cs="宋体"/>
          <w:bCs/>
          <w:sz w:val="30"/>
          <w:szCs w:val="72"/>
        </w:rPr>
      </w:pPr>
    </w:p>
    <w:p w14:paraId="01978790">
      <w:pPr>
        <w:pStyle w:val="15"/>
        <w:rPr>
          <w:rFonts w:ascii="宋体" w:hAnsi="宋体" w:cs="宋体"/>
        </w:rPr>
      </w:pPr>
    </w:p>
    <w:p w14:paraId="690563F6">
      <w:pPr>
        <w:snapToGrid w:val="0"/>
        <w:spacing w:line="480" w:lineRule="auto"/>
        <w:ind w:firstLine="600" w:firstLineChars="200"/>
        <w:rPr>
          <w:rFonts w:hint="default" w:ascii="宋体" w:hAnsi="宋体" w:eastAsia="宋体" w:cs="宋体"/>
          <w:bCs/>
          <w:color w:val="auto"/>
          <w:sz w:val="30"/>
          <w:szCs w:val="72"/>
          <w:lang w:val="en-US" w:eastAsia="zh-CN"/>
        </w:rPr>
      </w:pPr>
      <w:r>
        <w:rPr>
          <w:rFonts w:hint="eastAsia" w:ascii="宋体" w:hAnsi="宋体" w:cs="宋体"/>
          <w:bCs/>
          <w:sz w:val="30"/>
          <w:szCs w:val="72"/>
        </w:rPr>
        <w:t>项目编号：</w:t>
      </w:r>
      <w:r>
        <w:rPr>
          <w:rFonts w:hint="eastAsia" w:ascii="宋体" w:hAnsi="宋体" w:cs="宋体"/>
          <w:bCs/>
          <w:color w:val="auto"/>
          <w:sz w:val="30"/>
          <w:szCs w:val="72"/>
          <w:lang w:eastAsia="zh-CN"/>
        </w:rPr>
        <w:t>ZHZS（采）-2025-041</w:t>
      </w:r>
    </w:p>
    <w:p w14:paraId="4FD7CDD5">
      <w:pPr>
        <w:snapToGrid w:val="0"/>
        <w:spacing w:line="480" w:lineRule="auto"/>
        <w:ind w:firstLine="600" w:firstLineChars="200"/>
        <w:rPr>
          <w:rFonts w:ascii="宋体" w:hAnsi="宋体" w:cs="宋体"/>
          <w:bCs/>
          <w:sz w:val="30"/>
          <w:szCs w:val="72"/>
        </w:rPr>
      </w:pPr>
      <w:r>
        <w:rPr>
          <w:rFonts w:hint="eastAsia" w:ascii="宋体" w:hAnsi="宋体" w:cs="宋体"/>
          <w:bCs/>
          <w:sz w:val="30"/>
          <w:szCs w:val="72"/>
        </w:rPr>
        <w:t>项目名称：</w:t>
      </w:r>
      <w:r>
        <w:rPr>
          <w:rFonts w:hint="eastAsia" w:ascii="宋体" w:hAnsi="宋体" w:cs="宋体"/>
          <w:bCs/>
          <w:sz w:val="30"/>
          <w:szCs w:val="72"/>
          <w:lang w:val="en-US" w:eastAsia="zh-CN"/>
        </w:rPr>
        <w:t xml:space="preserve">普陀区海岛“菜篮子”配送服务 </w:t>
      </w:r>
    </w:p>
    <w:p w14:paraId="15331CFE">
      <w:pPr>
        <w:snapToGrid w:val="0"/>
        <w:spacing w:line="480" w:lineRule="auto"/>
        <w:ind w:firstLine="600" w:firstLineChars="200"/>
        <w:rPr>
          <w:rFonts w:hint="eastAsia" w:ascii="宋体" w:hAnsi="宋体" w:eastAsia="宋体" w:cs="宋体"/>
          <w:bCs/>
          <w:sz w:val="30"/>
          <w:szCs w:val="72"/>
          <w:lang w:eastAsia="zh-CN"/>
        </w:rPr>
      </w:pPr>
      <w:r>
        <w:rPr>
          <w:rFonts w:hint="eastAsia" w:ascii="宋体" w:hAnsi="宋体" w:cs="宋体"/>
          <w:bCs/>
          <w:sz w:val="30"/>
          <w:szCs w:val="72"/>
        </w:rPr>
        <w:t>采购单位：</w:t>
      </w:r>
      <w:r>
        <w:rPr>
          <w:rFonts w:hint="eastAsia" w:ascii="宋体" w:hAnsi="宋体" w:cs="宋体"/>
          <w:bCs/>
          <w:sz w:val="30"/>
          <w:szCs w:val="72"/>
          <w:lang w:eastAsia="zh-CN"/>
        </w:rPr>
        <w:t xml:space="preserve">舟山市普陀区商务局  </w:t>
      </w:r>
    </w:p>
    <w:p w14:paraId="39813DAD">
      <w:pPr>
        <w:snapToGrid w:val="0"/>
        <w:spacing w:line="480" w:lineRule="auto"/>
        <w:ind w:firstLine="600" w:firstLineChars="200"/>
        <w:rPr>
          <w:rFonts w:hint="eastAsia" w:ascii="宋体" w:hAnsi="宋体" w:eastAsia="宋体" w:cs="宋体"/>
          <w:bCs/>
          <w:sz w:val="30"/>
          <w:szCs w:val="72"/>
          <w:highlight w:val="yellow"/>
          <w:lang w:eastAsia="zh-CN"/>
        </w:rPr>
      </w:pPr>
      <w:r>
        <w:rPr>
          <w:rFonts w:hint="eastAsia" w:ascii="宋体" w:hAnsi="宋体" w:cs="宋体"/>
          <w:bCs/>
          <w:sz w:val="30"/>
          <w:szCs w:val="72"/>
        </w:rPr>
        <w:t>采购代理机构：</w:t>
      </w:r>
      <w:r>
        <w:rPr>
          <w:rFonts w:hint="eastAsia" w:ascii="宋体" w:hAnsi="宋体" w:cs="宋体"/>
          <w:bCs/>
          <w:sz w:val="30"/>
          <w:szCs w:val="72"/>
          <w:lang w:eastAsia="zh-CN"/>
        </w:rPr>
        <w:t>浙江卓宏建设项目管理有限公司</w:t>
      </w:r>
    </w:p>
    <w:p w14:paraId="43AF3D34">
      <w:pPr>
        <w:pStyle w:val="15"/>
        <w:spacing w:after="0" w:line="480" w:lineRule="auto"/>
        <w:ind w:firstLine="600" w:firstLineChars="200"/>
        <w:rPr>
          <w:rFonts w:hAnsi="宋体" w:cs="宋体"/>
          <w:sz w:val="44"/>
          <w:szCs w:val="44"/>
        </w:rPr>
        <w:sectPr>
          <w:footerReference r:id="rId5" w:type="default"/>
          <w:pgSz w:w="11906" w:h="16838"/>
          <w:pgMar w:top="1417" w:right="1247" w:bottom="1417" w:left="1247" w:header="851" w:footer="850" w:gutter="340"/>
          <w:pgNumType w:start="1"/>
          <w:cols w:space="0" w:num="1"/>
          <w:docGrid w:linePitch="381" w:charSpace="0"/>
        </w:sectPr>
      </w:pPr>
      <w:r>
        <w:rPr>
          <w:rFonts w:hint="eastAsia" w:ascii="宋体" w:hAnsi="宋体" w:cs="宋体"/>
          <w:bCs/>
          <w:sz w:val="30"/>
          <w:szCs w:val="72"/>
        </w:rPr>
        <w:t>日     期：</w:t>
      </w:r>
      <w:r>
        <w:rPr>
          <w:rFonts w:hint="eastAsia" w:ascii="宋体" w:hAnsi="宋体" w:cs="宋体"/>
          <w:bCs/>
          <w:kern w:val="2"/>
          <w:sz w:val="30"/>
          <w:szCs w:val="72"/>
        </w:rPr>
        <w:t>202</w:t>
      </w:r>
      <w:r>
        <w:rPr>
          <w:rFonts w:hint="eastAsia" w:ascii="宋体" w:hAnsi="宋体" w:cs="宋体"/>
          <w:bCs/>
          <w:kern w:val="2"/>
          <w:sz w:val="30"/>
          <w:szCs w:val="72"/>
          <w:lang w:val="en-US" w:eastAsia="zh-CN"/>
        </w:rPr>
        <w:t>5</w:t>
      </w:r>
      <w:r>
        <w:rPr>
          <w:rFonts w:hint="eastAsia" w:ascii="宋体" w:hAnsi="宋体" w:cs="宋体"/>
          <w:bCs/>
          <w:kern w:val="2"/>
          <w:sz w:val="30"/>
          <w:szCs w:val="72"/>
        </w:rPr>
        <w:t>年</w:t>
      </w:r>
      <w:r>
        <w:rPr>
          <w:rFonts w:hint="eastAsia" w:ascii="宋体" w:hAnsi="宋体" w:cs="宋体"/>
          <w:bCs/>
          <w:kern w:val="2"/>
          <w:sz w:val="30"/>
          <w:szCs w:val="72"/>
          <w:lang w:val="en-US" w:eastAsia="zh-CN"/>
        </w:rPr>
        <w:t>4</w:t>
      </w:r>
      <w:r>
        <w:rPr>
          <w:rFonts w:hint="eastAsia" w:ascii="宋体" w:hAnsi="宋体" w:cs="宋体"/>
          <w:bCs/>
          <w:kern w:val="2"/>
          <w:sz w:val="30"/>
          <w:szCs w:val="72"/>
        </w:rPr>
        <w:t>月</w:t>
      </w:r>
    </w:p>
    <w:p w14:paraId="79BD8191">
      <w:pPr>
        <w:pStyle w:val="22"/>
        <w:spacing w:line="360" w:lineRule="auto"/>
        <w:ind w:firstLine="3534" w:firstLineChars="1100"/>
        <w:outlineLvl w:val="0"/>
        <w:rPr>
          <w:rFonts w:hAnsi="宋体" w:eastAsia="宋体" w:cs="宋体"/>
          <w:b/>
          <w:sz w:val="32"/>
          <w:szCs w:val="32"/>
        </w:rPr>
      </w:pPr>
      <w:r>
        <w:rPr>
          <w:rFonts w:hint="eastAsia" w:hAnsi="宋体" w:eastAsia="宋体" w:cs="宋体"/>
          <w:b/>
          <w:sz w:val="32"/>
          <w:szCs w:val="32"/>
        </w:rPr>
        <w:t>目    录</w:t>
      </w:r>
    </w:p>
    <w:p w14:paraId="21B7A11B">
      <w:pPr>
        <w:spacing w:line="360" w:lineRule="auto"/>
        <w:outlineLvl w:val="0"/>
        <w:rPr>
          <w:rFonts w:ascii="宋体" w:hAnsi="宋体" w:cs="宋体"/>
          <w:sz w:val="28"/>
          <w:szCs w:val="28"/>
        </w:rPr>
      </w:pPr>
      <w:r>
        <w:rPr>
          <w:rFonts w:hint="eastAsia" w:ascii="宋体" w:hAnsi="宋体" w:cs="宋体"/>
          <w:sz w:val="28"/>
          <w:szCs w:val="28"/>
        </w:rPr>
        <w:t>第一章  竞争性磋商公告</w:t>
      </w:r>
    </w:p>
    <w:p w14:paraId="6AC4D806">
      <w:pPr>
        <w:spacing w:line="360" w:lineRule="auto"/>
        <w:outlineLvl w:val="0"/>
        <w:rPr>
          <w:rFonts w:ascii="宋体" w:hAnsi="宋体" w:cs="宋体"/>
          <w:sz w:val="28"/>
          <w:szCs w:val="28"/>
        </w:rPr>
      </w:pPr>
      <w:r>
        <w:rPr>
          <w:rFonts w:hint="eastAsia" w:ascii="宋体" w:hAnsi="宋体" w:cs="宋体"/>
          <w:sz w:val="28"/>
          <w:szCs w:val="28"/>
        </w:rPr>
        <w:t>第二章  采购需求</w:t>
      </w:r>
    </w:p>
    <w:p w14:paraId="69452FE8">
      <w:pPr>
        <w:spacing w:line="360" w:lineRule="auto"/>
        <w:outlineLvl w:val="0"/>
        <w:rPr>
          <w:rFonts w:ascii="宋体" w:hAnsi="宋体" w:cs="宋体"/>
          <w:sz w:val="28"/>
          <w:szCs w:val="28"/>
        </w:rPr>
      </w:pPr>
      <w:r>
        <w:rPr>
          <w:rFonts w:hint="eastAsia" w:ascii="宋体" w:hAnsi="宋体" w:cs="宋体"/>
          <w:sz w:val="28"/>
          <w:szCs w:val="28"/>
        </w:rPr>
        <w:t>第三章  供应商须知</w:t>
      </w:r>
    </w:p>
    <w:p w14:paraId="266764D8">
      <w:pPr>
        <w:spacing w:line="360" w:lineRule="auto"/>
        <w:ind w:firstLine="1120" w:firstLineChars="400"/>
        <w:rPr>
          <w:rFonts w:ascii="宋体" w:hAnsi="宋体" w:cs="宋体"/>
          <w:sz w:val="28"/>
          <w:szCs w:val="28"/>
        </w:rPr>
      </w:pPr>
      <w:r>
        <w:rPr>
          <w:rFonts w:hint="eastAsia" w:ascii="宋体" w:hAnsi="宋体" w:cs="宋体"/>
          <w:sz w:val="28"/>
          <w:szCs w:val="28"/>
        </w:rPr>
        <w:t>前附表</w:t>
      </w:r>
    </w:p>
    <w:p w14:paraId="607822A9">
      <w:pPr>
        <w:spacing w:line="360" w:lineRule="auto"/>
        <w:ind w:firstLine="560" w:firstLineChars="200"/>
        <w:rPr>
          <w:rFonts w:ascii="宋体" w:hAnsi="宋体" w:cs="宋体"/>
          <w:sz w:val="28"/>
          <w:szCs w:val="28"/>
        </w:rPr>
      </w:pPr>
      <w:r>
        <w:rPr>
          <w:rFonts w:hint="eastAsia" w:ascii="宋体" w:hAnsi="宋体" w:cs="宋体"/>
          <w:sz w:val="28"/>
          <w:szCs w:val="28"/>
        </w:rPr>
        <w:t>一、总 则</w:t>
      </w:r>
    </w:p>
    <w:p w14:paraId="5C4EEE70">
      <w:pPr>
        <w:spacing w:line="360" w:lineRule="auto"/>
        <w:ind w:firstLine="560" w:firstLineChars="200"/>
        <w:rPr>
          <w:rFonts w:ascii="宋体" w:hAnsi="宋体" w:cs="宋体"/>
          <w:sz w:val="28"/>
          <w:szCs w:val="28"/>
        </w:rPr>
      </w:pPr>
      <w:r>
        <w:rPr>
          <w:rFonts w:hint="eastAsia" w:ascii="宋体" w:hAnsi="宋体" w:cs="宋体"/>
          <w:sz w:val="28"/>
          <w:szCs w:val="28"/>
        </w:rPr>
        <w:t>二、磋商文件</w:t>
      </w:r>
    </w:p>
    <w:p w14:paraId="06FBB484">
      <w:pPr>
        <w:spacing w:line="360" w:lineRule="auto"/>
        <w:ind w:firstLine="560" w:firstLineChars="200"/>
        <w:rPr>
          <w:rFonts w:ascii="宋体" w:hAnsi="宋体" w:cs="宋体"/>
          <w:sz w:val="28"/>
          <w:szCs w:val="28"/>
        </w:rPr>
      </w:pPr>
      <w:r>
        <w:rPr>
          <w:rFonts w:hint="eastAsia" w:ascii="宋体" w:hAnsi="宋体" w:cs="宋体"/>
          <w:sz w:val="28"/>
          <w:szCs w:val="28"/>
        </w:rPr>
        <w:t>三、磋商响应文件的编制</w:t>
      </w:r>
    </w:p>
    <w:p w14:paraId="69704E0D">
      <w:pPr>
        <w:spacing w:line="360" w:lineRule="auto"/>
        <w:ind w:firstLine="560" w:firstLineChars="200"/>
        <w:rPr>
          <w:rFonts w:ascii="宋体" w:hAnsi="宋体" w:cs="宋体"/>
          <w:sz w:val="28"/>
          <w:szCs w:val="28"/>
        </w:rPr>
      </w:pPr>
      <w:r>
        <w:rPr>
          <w:rFonts w:hint="eastAsia" w:ascii="宋体" w:hAnsi="宋体" w:cs="宋体"/>
          <w:sz w:val="28"/>
          <w:szCs w:val="28"/>
        </w:rPr>
        <w:t>四、磋商</w:t>
      </w:r>
    </w:p>
    <w:p w14:paraId="02FA63D5">
      <w:pPr>
        <w:spacing w:line="360" w:lineRule="auto"/>
        <w:ind w:firstLine="560" w:firstLineChars="200"/>
        <w:rPr>
          <w:rFonts w:ascii="宋体" w:hAnsi="宋体" w:cs="宋体"/>
          <w:sz w:val="28"/>
          <w:szCs w:val="28"/>
        </w:rPr>
      </w:pPr>
      <w:r>
        <w:rPr>
          <w:rFonts w:hint="eastAsia" w:ascii="宋体" w:hAnsi="宋体" w:cs="宋体"/>
          <w:sz w:val="28"/>
          <w:szCs w:val="28"/>
        </w:rPr>
        <w:t>五、响应文件评审</w:t>
      </w:r>
    </w:p>
    <w:p w14:paraId="530093EB">
      <w:pPr>
        <w:pStyle w:val="15"/>
        <w:spacing w:after="0" w:line="360" w:lineRule="auto"/>
        <w:ind w:firstLine="560" w:firstLineChars="200"/>
        <w:rPr>
          <w:rFonts w:ascii="宋体" w:hAnsi="宋体" w:cs="宋体"/>
          <w:kern w:val="2"/>
          <w:sz w:val="28"/>
          <w:szCs w:val="28"/>
        </w:rPr>
      </w:pPr>
      <w:r>
        <w:rPr>
          <w:rFonts w:hint="eastAsia" w:ascii="宋体" w:hAnsi="宋体" w:cs="宋体"/>
          <w:kern w:val="2"/>
          <w:sz w:val="28"/>
          <w:szCs w:val="28"/>
        </w:rPr>
        <w:t>六、废标</w:t>
      </w:r>
    </w:p>
    <w:p w14:paraId="7F729A5C">
      <w:pPr>
        <w:spacing w:line="360" w:lineRule="auto"/>
        <w:ind w:firstLine="560" w:firstLineChars="200"/>
        <w:rPr>
          <w:rFonts w:ascii="宋体" w:hAnsi="宋体" w:cs="宋体"/>
          <w:sz w:val="28"/>
          <w:szCs w:val="28"/>
        </w:rPr>
      </w:pPr>
      <w:r>
        <w:rPr>
          <w:rFonts w:hint="eastAsia" w:ascii="宋体" w:hAnsi="宋体" w:cs="宋体"/>
          <w:sz w:val="28"/>
          <w:szCs w:val="28"/>
        </w:rPr>
        <w:t>七、定标</w:t>
      </w:r>
    </w:p>
    <w:p w14:paraId="34853BE1">
      <w:pPr>
        <w:spacing w:line="360" w:lineRule="auto"/>
        <w:ind w:firstLine="560" w:firstLineChars="200"/>
        <w:rPr>
          <w:rFonts w:ascii="宋体" w:hAnsi="宋体" w:cs="宋体"/>
          <w:sz w:val="28"/>
          <w:szCs w:val="28"/>
        </w:rPr>
      </w:pPr>
      <w:r>
        <w:rPr>
          <w:rFonts w:hint="eastAsia" w:ascii="宋体" w:hAnsi="宋体" w:cs="宋体"/>
          <w:sz w:val="28"/>
          <w:szCs w:val="28"/>
        </w:rPr>
        <w:t>八、合同授予</w:t>
      </w:r>
    </w:p>
    <w:p w14:paraId="40CE715C">
      <w:pPr>
        <w:pStyle w:val="17"/>
        <w:snapToGrid w:val="0"/>
        <w:spacing w:line="360" w:lineRule="auto"/>
        <w:ind w:firstLine="588" w:firstLineChars="210"/>
        <w:outlineLvl w:val="1"/>
        <w:rPr>
          <w:rFonts w:hAnsi="宋体" w:cs="宋体"/>
          <w:spacing w:val="0"/>
          <w:sz w:val="28"/>
          <w:szCs w:val="28"/>
        </w:rPr>
      </w:pPr>
      <w:r>
        <w:rPr>
          <w:rFonts w:hint="eastAsia" w:hAnsi="宋体" w:cs="宋体"/>
          <w:spacing w:val="0"/>
          <w:sz w:val="28"/>
          <w:szCs w:val="28"/>
        </w:rPr>
        <w:t>九、政府采购政策</w:t>
      </w:r>
    </w:p>
    <w:p w14:paraId="4E0DAFB5">
      <w:pPr>
        <w:pStyle w:val="17"/>
        <w:snapToGrid w:val="0"/>
        <w:spacing w:line="360" w:lineRule="auto"/>
        <w:ind w:firstLine="588" w:firstLineChars="210"/>
        <w:outlineLvl w:val="1"/>
        <w:rPr>
          <w:rFonts w:hAnsi="宋体" w:cs="宋体"/>
          <w:spacing w:val="0"/>
          <w:sz w:val="28"/>
          <w:szCs w:val="28"/>
        </w:rPr>
      </w:pPr>
      <w:r>
        <w:rPr>
          <w:rFonts w:hint="eastAsia" w:hAnsi="宋体" w:cs="宋体"/>
          <w:spacing w:val="0"/>
          <w:sz w:val="28"/>
          <w:szCs w:val="28"/>
        </w:rPr>
        <w:t>十、解释权</w:t>
      </w:r>
    </w:p>
    <w:p w14:paraId="268785D7">
      <w:pPr>
        <w:spacing w:line="360" w:lineRule="auto"/>
        <w:outlineLvl w:val="0"/>
        <w:rPr>
          <w:rFonts w:ascii="宋体" w:hAnsi="宋体" w:cs="宋体"/>
          <w:sz w:val="28"/>
          <w:szCs w:val="28"/>
        </w:rPr>
      </w:pPr>
      <w:r>
        <w:rPr>
          <w:rFonts w:hint="eastAsia" w:ascii="宋体" w:hAnsi="宋体" w:cs="宋体"/>
          <w:sz w:val="28"/>
          <w:szCs w:val="28"/>
        </w:rPr>
        <w:t>第四章  磋商办法及标准</w:t>
      </w:r>
    </w:p>
    <w:p w14:paraId="3EF5C277">
      <w:pPr>
        <w:spacing w:line="360" w:lineRule="auto"/>
        <w:outlineLvl w:val="0"/>
        <w:rPr>
          <w:rFonts w:ascii="宋体" w:hAnsi="宋体" w:cs="宋体"/>
          <w:sz w:val="28"/>
          <w:szCs w:val="28"/>
        </w:rPr>
      </w:pPr>
      <w:r>
        <w:rPr>
          <w:rFonts w:hint="eastAsia" w:ascii="宋体" w:hAnsi="宋体" w:cs="宋体"/>
          <w:sz w:val="28"/>
          <w:szCs w:val="28"/>
        </w:rPr>
        <w:t>第五章  合同主要条款</w:t>
      </w:r>
    </w:p>
    <w:p w14:paraId="4C7F853B">
      <w:pPr>
        <w:spacing w:line="360" w:lineRule="auto"/>
        <w:outlineLvl w:val="0"/>
        <w:rPr>
          <w:rFonts w:ascii="宋体" w:hAnsi="宋体" w:cs="宋体"/>
          <w:sz w:val="28"/>
          <w:szCs w:val="28"/>
        </w:rPr>
      </w:pPr>
      <w:r>
        <w:rPr>
          <w:rFonts w:hint="eastAsia" w:ascii="宋体" w:hAnsi="宋体" w:cs="宋体"/>
          <w:sz w:val="28"/>
          <w:szCs w:val="28"/>
        </w:rPr>
        <w:t>第六章  磋商响应文件格式</w:t>
      </w:r>
    </w:p>
    <w:p w14:paraId="6298F853">
      <w:pPr>
        <w:pStyle w:val="22"/>
        <w:snapToGrid w:val="0"/>
        <w:spacing w:before="120" w:after="120" w:line="360" w:lineRule="auto"/>
        <w:ind w:firstLine="600" w:firstLineChars="200"/>
        <w:jc w:val="center"/>
        <w:outlineLvl w:val="0"/>
        <w:rPr>
          <w:rFonts w:hAnsi="宋体" w:eastAsia="宋体" w:cs="宋体"/>
          <w:b/>
          <w:sz w:val="24"/>
        </w:rPr>
      </w:pPr>
      <w:r>
        <w:rPr>
          <w:rFonts w:hint="eastAsia" w:hAnsi="宋体" w:eastAsia="宋体" w:cs="宋体"/>
        </w:rPr>
        <w:br w:type="page"/>
      </w:r>
      <w:r>
        <w:rPr>
          <w:rFonts w:hint="eastAsia" w:hAnsi="宋体" w:eastAsia="宋体" w:cs="宋体"/>
          <w:b/>
          <w:szCs w:val="30"/>
        </w:rPr>
        <w:t>第一章  竞争性磋商公告</w:t>
      </w:r>
    </w:p>
    <w:tbl>
      <w:tblPr>
        <w:tblStyle w:val="38"/>
        <w:tblpPr w:leftFromText="180" w:rightFromText="180" w:vertAnchor="text" w:horzAnchor="page" w:tblpX="2044" w:tblpY="17"/>
        <w:tblOverlap w:val="never"/>
        <w:tblW w:w="875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2"/>
      </w:tblGrid>
      <w:tr w14:paraId="6F960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8752" w:type="dxa"/>
          </w:tcPr>
          <w:p w14:paraId="6513D415">
            <w:pPr>
              <w:pStyle w:val="34"/>
              <w:keepNext w:val="0"/>
              <w:keepLines w:val="0"/>
              <w:pageBreakBefore w:val="0"/>
              <w:widowControl/>
              <w:kinsoku/>
              <w:wordWrap/>
              <w:overflowPunct/>
              <w:topLinePunct w:val="0"/>
              <w:autoSpaceDE/>
              <w:autoSpaceDN/>
              <w:bidi w:val="0"/>
              <w:spacing w:before="0" w:beforeAutospacing="0" w:after="0" w:afterAutospacing="0" w:line="360" w:lineRule="auto"/>
              <w:jc w:val="both"/>
              <w:textAlignment w:val="auto"/>
              <w:outlineLvl w:val="1"/>
              <w:rPr>
                <w:rStyle w:val="40"/>
                <w:rFonts w:hint="eastAsia" w:ascii="宋体" w:hAnsi="宋体" w:cs="宋体"/>
                <w:sz w:val="21"/>
                <w:szCs w:val="21"/>
              </w:rPr>
            </w:pPr>
            <w:r>
              <w:rPr>
                <w:rStyle w:val="40"/>
                <w:rFonts w:hint="eastAsia" w:ascii="宋体" w:hAnsi="宋体" w:cs="宋体"/>
                <w:b/>
                <w:bCs/>
                <w:sz w:val="21"/>
                <w:szCs w:val="21"/>
              </w:rPr>
              <w:t xml:space="preserve">项目概况   </w:t>
            </w:r>
            <w:r>
              <w:rPr>
                <w:rStyle w:val="40"/>
                <w:rFonts w:hint="eastAsia" w:ascii="宋体" w:hAnsi="宋体" w:cs="宋体"/>
                <w:sz w:val="21"/>
                <w:szCs w:val="21"/>
              </w:rPr>
              <w:t> </w:t>
            </w:r>
          </w:p>
          <w:p w14:paraId="67DC10E7">
            <w:pPr>
              <w:pStyle w:val="34"/>
              <w:keepNext w:val="0"/>
              <w:keepLines w:val="0"/>
              <w:pageBreakBefore w:val="0"/>
              <w:widowControl/>
              <w:kinsoku/>
              <w:wordWrap/>
              <w:overflowPunct/>
              <w:topLinePunct w:val="0"/>
              <w:autoSpaceDE/>
              <w:autoSpaceDN/>
              <w:bidi w:val="0"/>
              <w:spacing w:before="0" w:beforeAutospacing="0" w:after="0" w:afterAutospacing="0" w:line="360" w:lineRule="auto"/>
              <w:jc w:val="both"/>
              <w:textAlignment w:val="auto"/>
              <w:outlineLvl w:val="1"/>
              <w:rPr>
                <w:rFonts w:ascii="宋体" w:hAnsi="宋体" w:cs="宋体"/>
                <w:sz w:val="21"/>
                <w:szCs w:val="21"/>
              </w:rPr>
            </w:pPr>
            <w:r>
              <w:rPr>
                <w:rStyle w:val="40"/>
                <w:rFonts w:hint="eastAsia" w:ascii="宋体" w:hAnsi="宋体" w:cs="宋体"/>
                <w:sz w:val="21"/>
                <w:szCs w:val="21"/>
                <w:lang w:eastAsia="zh-CN"/>
              </w:rPr>
              <w:t xml:space="preserve">普陀区海岛“菜篮子”配送服务 </w:t>
            </w:r>
            <w:r>
              <w:rPr>
                <w:rStyle w:val="40"/>
                <w:rFonts w:hint="eastAsia" w:ascii="宋体" w:hAnsi="宋体" w:cs="宋体"/>
                <w:sz w:val="21"/>
                <w:szCs w:val="21"/>
              </w:rPr>
              <w:t>采购项目的潜在供应商应在政采云平台线上获取获取（下载）采购文件，并于2025年</w:t>
            </w:r>
            <w:r>
              <w:rPr>
                <w:rStyle w:val="40"/>
                <w:rFonts w:hint="eastAsia" w:ascii="宋体" w:hAnsi="宋体" w:cs="宋体"/>
                <w:sz w:val="21"/>
                <w:szCs w:val="21"/>
                <w:lang w:val="en-US" w:eastAsia="zh-CN"/>
              </w:rPr>
              <w:t>4</w:t>
            </w:r>
            <w:r>
              <w:rPr>
                <w:rStyle w:val="40"/>
                <w:rFonts w:hint="eastAsia" w:ascii="宋体" w:hAnsi="宋体" w:cs="宋体"/>
                <w:sz w:val="21"/>
                <w:szCs w:val="21"/>
              </w:rPr>
              <w:t>月</w:t>
            </w:r>
            <w:r>
              <w:rPr>
                <w:rStyle w:val="40"/>
                <w:rFonts w:hint="eastAsia" w:ascii="宋体" w:hAnsi="宋体" w:cs="宋体"/>
                <w:sz w:val="21"/>
                <w:szCs w:val="21"/>
                <w:lang w:val="en-US" w:eastAsia="zh-CN"/>
              </w:rPr>
              <w:t>14</w:t>
            </w:r>
            <w:r>
              <w:rPr>
                <w:rStyle w:val="40"/>
                <w:rFonts w:hint="eastAsia" w:ascii="宋体" w:hAnsi="宋体" w:cs="宋体"/>
                <w:sz w:val="21"/>
                <w:szCs w:val="21"/>
              </w:rPr>
              <w:t xml:space="preserve">日 09:30（北京时间）前提交（上传）响应文件。 </w:t>
            </w:r>
            <w:r>
              <w:rPr>
                <w:rFonts w:hint="eastAsia" w:ascii="微软雅黑" w:hAnsi="微软雅黑" w:eastAsia="微软雅黑" w:cs="微软雅黑"/>
                <w:i w:val="0"/>
                <w:iCs w:val="0"/>
                <w:caps w:val="0"/>
                <w:color w:val="000000"/>
                <w:spacing w:val="0"/>
                <w:sz w:val="24"/>
                <w:szCs w:val="24"/>
              </w:rPr>
              <w:t>   </w:t>
            </w:r>
          </w:p>
        </w:tc>
      </w:tr>
    </w:tbl>
    <w:p w14:paraId="7A8D9617">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一、项目基本情况</w:t>
      </w:r>
    </w:p>
    <w:p w14:paraId="2F669357">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项目编号：ZHZS（采）-2025-041      </w:t>
      </w:r>
    </w:p>
    <w:p w14:paraId="61861D8C">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项目名称：普陀区海岛“菜篮子”配送服务      </w:t>
      </w:r>
    </w:p>
    <w:p w14:paraId="7CE26BB7">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采购方式：竞争性磋商      </w:t>
      </w:r>
    </w:p>
    <w:p w14:paraId="6C22A648">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预算金额（元）：350000      </w:t>
      </w:r>
    </w:p>
    <w:p w14:paraId="2D358954">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最高限价（元）：350000      </w:t>
      </w:r>
    </w:p>
    <w:p w14:paraId="22EEE873">
      <w:pPr>
        <w:keepNext w:val="0"/>
        <w:keepLines w:val="0"/>
        <w:widowControl/>
        <w:suppressLineNumbers w:val="0"/>
        <w:ind w:left="0" w:firstLine="420"/>
        <w:jc w:val="left"/>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kern w:val="0"/>
          <w:sz w:val="21"/>
          <w:szCs w:val="21"/>
          <w:lang w:val="en-US" w:eastAsia="zh-CN" w:bidi="ar"/>
        </w:rPr>
        <w:t>采购需求：        </w:t>
      </w:r>
    </w:p>
    <w:p w14:paraId="09B97C25">
      <w:pPr>
        <w:pStyle w:val="34"/>
        <w:keepNext w:val="0"/>
        <w:keepLines w:val="0"/>
        <w:widowControl/>
        <w:suppressLineNumbers w:val="0"/>
        <w:spacing w:before="300" w:beforeAutospacing="0" w:after="300" w:afterAutospacing="0" w:line="30"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数量：</w:t>
      </w:r>
      <w:r>
        <w:rPr>
          <w:rFonts w:hint="eastAsia" w:ascii="宋体" w:hAnsi="宋体" w:eastAsia="宋体" w:cs="宋体"/>
          <w:b w:val="0"/>
          <w:bCs w:val="0"/>
          <w:i w:val="0"/>
          <w:iCs w:val="0"/>
          <w:caps w:val="0"/>
          <w:color w:val="000000"/>
          <w:spacing w:val="0"/>
          <w:sz w:val="21"/>
          <w:szCs w:val="21"/>
          <w:shd w:val="clear" w:fill="F7F7F7"/>
        </w:rPr>
        <w:t>不限</w:t>
      </w:r>
      <w:r>
        <w:rPr>
          <w:rFonts w:hint="eastAsia" w:ascii="宋体" w:hAnsi="宋体" w:eastAsia="宋体" w:cs="宋体"/>
          <w:i w:val="0"/>
          <w:iCs w:val="0"/>
          <w:caps w:val="0"/>
          <w:color w:val="000000"/>
          <w:spacing w:val="0"/>
          <w:sz w:val="21"/>
          <w:szCs w:val="21"/>
          <w:shd w:val="clear" w:fill="F7F7F7"/>
        </w:rPr>
        <w:t>          </w:t>
      </w:r>
    </w:p>
    <w:p w14:paraId="6A6DDB89">
      <w:pPr>
        <w:pStyle w:val="34"/>
        <w:keepNext w:val="0"/>
        <w:keepLines w:val="0"/>
        <w:widowControl/>
        <w:suppressLineNumbers w:val="0"/>
        <w:spacing w:before="300" w:beforeAutospacing="0" w:after="300" w:afterAutospacing="0" w:line="30"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预算金额（元）：</w:t>
      </w:r>
      <w:r>
        <w:rPr>
          <w:rFonts w:hint="eastAsia" w:ascii="宋体" w:hAnsi="宋体" w:eastAsia="宋体" w:cs="宋体"/>
          <w:b w:val="0"/>
          <w:bCs w:val="0"/>
          <w:i w:val="0"/>
          <w:iCs w:val="0"/>
          <w:caps w:val="0"/>
          <w:color w:val="000000"/>
          <w:spacing w:val="0"/>
          <w:sz w:val="21"/>
          <w:szCs w:val="21"/>
          <w:shd w:val="clear" w:fill="F7F7F7"/>
        </w:rPr>
        <w:t>350000</w:t>
      </w:r>
      <w:r>
        <w:rPr>
          <w:rFonts w:hint="eastAsia" w:ascii="宋体" w:hAnsi="宋体" w:eastAsia="宋体" w:cs="宋体"/>
          <w:i w:val="0"/>
          <w:iCs w:val="0"/>
          <w:caps w:val="0"/>
          <w:color w:val="000000"/>
          <w:spacing w:val="0"/>
          <w:sz w:val="21"/>
          <w:szCs w:val="21"/>
          <w:shd w:val="clear" w:fill="F7F7F7"/>
        </w:rPr>
        <w:t>          </w:t>
      </w:r>
    </w:p>
    <w:p w14:paraId="530F18E5">
      <w:pPr>
        <w:pStyle w:val="34"/>
        <w:keepNext w:val="0"/>
        <w:keepLines w:val="0"/>
        <w:widowControl/>
        <w:suppressLineNumbers w:val="0"/>
        <w:spacing w:before="300" w:beforeAutospacing="0" w:after="300" w:afterAutospacing="0" w:line="30"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单位：</w:t>
      </w:r>
      <w:r>
        <w:rPr>
          <w:rFonts w:hint="eastAsia" w:ascii="宋体" w:hAnsi="宋体" w:eastAsia="宋体" w:cs="宋体"/>
          <w:b w:val="0"/>
          <w:bCs w:val="0"/>
          <w:i w:val="0"/>
          <w:iCs w:val="0"/>
          <w:caps w:val="0"/>
          <w:color w:val="000000"/>
          <w:spacing w:val="0"/>
          <w:sz w:val="21"/>
          <w:szCs w:val="21"/>
          <w:shd w:val="clear" w:fill="F7F7F7"/>
        </w:rPr>
        <w:t>项</w:t>
      </w:r>
      <w:r>
        <w:rPr>
          <w:rFonts w:hint="eastAsia" w:ascii="宋体" w:hAnsi="宋体" w:eastAsia="宋体" w:cs="宋体"/>
          <w:i w:val="0"/>
          <w:iCs w:val="0"/>
          <w:caps w:val="0"/>
          <w:color w:val="000000"/>
          <w:spacing w:val="0"/>
          <w:sz w:val="21"/>
          <w:szCs w:val="21"/>
          <w:shd w:val="clear" w:fill="F7F7F7"/>
        </w:rPr>
        <w:t>          </w:t>
      </w:r>
    </w:p>
    <w:p w14:paraId="7CDDDEE5">
      <w:pPr>
        <w:pStyle w:val="34"/>
        <w:keepNext w:val="0"/>
        <w:keepLines w:val="0"/>
        <w:widowControl/>
        <w:suppressLineNumbers w:val="0"/>
        <w:spacing w:before="300" w:beforeAutospacing="0" w:after="300" w:afterAutospacing="0" w:line="30"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简要规格描述：</w:t>
      </w:r>
      <w:r>
        <w:rPr>
          <w:rFonts w:hint="eastAsia" w:ascii="宋体" w:hAnsi="宋体" w:eastAsia="宋体" w:cs="宋体"/>
          <w:b w:val="0"/>
          <w:bCs w:val="0"/>
          <w:i w:val="0"/>
          <w:iCs w:val="0"/>
          <w:caps w:val="0"/>
          <w:color w:val="000000"/>
          <w:spacing w:val="0"/>
          <w:sz w:val="21"/>
          <w:szCs w:val="21"/>
          <w:shd w:val="clear" w:fill="F7F7F7"/>
        </w:rPr>
        <w:t>详见采购文件</w:t>
      </w:r>
      <w:r>
        <w:rPr>
          <w:rFonts w:hint="eastAsia" w:ascii="宋体" w:hAnsi="宋体" w:eastAsia="宋体" w:cs="宋体"/>
          <w:i w:val="0"/>
          <w:iCs w:val="0"/>
          <w:caps w:val="0"/>
          <w:color w:val="000000"/>
          <w:spacing w:val="0"/>
          <w:sz w:val="21"/>
          <w:szCs w:val="21"/>
          <w:shd w:val="clear" w:fill="F7F7F7"/>
        </w:rPr>
        <w:t>          </w:t>
      </w:r>
    </w:p>
    <w:p w14:paraId="6914B636">
      <w:pPr>
        <w:pStyle w:val="34"/>
        <w:keepNext w:val="0"/>
        <w:keepLines w:val="0"/>
        <w:widowControl/>
        <w:suppressLineNumbers w:val="0"/>
        <w:spacing w:before="300" w:beforeAutospacing="0" w:after="300" w:afterAutospacing="0" w:line="30" w:lineRule="atLeast"/>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shd w:val="clear" w:fill="F7F7F7"/>
        </w:rPr>
        <w:t>备注：          </w:t>
      </w:r>
    </w:p>
    <w:p w14:paraId="58F49D48">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合同履约期限：标项 1，详见采购文件      </w:t>
      </w:r>
    </w:p>
    <w:p w14:paraId="37B8A3AD">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本项目（否）接受联合体投标。      </w:t>
      </w:r>
    </w:p>
    <w:p w14:paraId="2B34E6E4">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二、申请人的资格要求：</w:t>
      </w:r>
    </w:p>
    <w:p w14:paraId="2C40B331">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满足《中华人民共和国政府采购法》第二十二条规定；未被“信用中国”（www.creditchina.gov.cn)、中国政府采购网（www.ccgp.gov.cn）列入失信被执行人、重大税收违法失信主体、政府采购严重违法失信行为记录名单。      </w:t>
      </w:r>
    </w:p>
    <w:p w14:paraId="6226CEFF">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2.落实政府采购政策需满足的资格要求：标项1：：标项1：本项目非专门面向中小企业（按照本办法规定预留采购份额无法确保充分供应、充分竞争，或者存在可能影响政府采购目标实现的情形）。            </w:t>
      </w:r>
    </w:p>
    <w:p w14:paraId="01BE7A60">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3.本项目的特定资格要求：无      </w:t>
      </w:r>
    </w:p>
    <w:p w14:paraId="535393E0">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三、获取（下载）采购文件</w:t>
      </w:r>
    </w:p>
    <w:p w14:paraId="6ED46547">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时间：2025年04月01日至2025年04月14日，每天上午00:00至12:00，下午12:00至23:59（北京时间，线上获取法定节假日均可，线下获取文件法定节假日除外）      </w:t>
      </w:r>
    </w:p>
    <w:p w14:paraId="6DB398DF">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地点（网址）：政采云平台线上获取      </w:t>
      </w:r>
    </w:p>
    <w:p w14:paraId="7F016348">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方式：供应商登录政采云平台https://www.zcygov.cn/在线申请获取采购文件（进入“项目采购”应用，在获取采购文件菜单中选择项目，申请获取采购文件）      </w:t>
      </w:r>
    </w:p>
    <w:p w14:paraId="52E2A308">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售价（元）：0      </w:t>
      </w:r>
    </w:p>
    <w:p w14:paraId="7F276351">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四、响应文件提交（上传）</w:t>
      </w:r>
    </w:p>
    <w:p w14:paraId="0066F52D">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截止时间：2025年04月14日 09:30（北京时间）</w:t>
      </w:r>
    </w:p>
    <w:p w14:paraId="1BE147FD">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地点（网址）：请登录政采云投标客户端投标      </w:t>
      </w:r>
    </w:p>
    <w:p w14:paraId="532F16FF">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五、响应文件开启</w:t>
      </w:r>
    </w:p>
    <w:p w14:paraId="503976AC">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开启时间： 2025年04月14日 09:30（北京时间）</w:t>
      </w:r>
    </w:p>
    <w:p w14:paraId="171AC420">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地点（网址）：政采云      </w:t>
      </w:r>
    </w:p>
    <w:p w14:paraId="531D3DA3">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六、公告期限</w:t>
      </w:r>
    </w:p>
    <w:p w14:paraId="1948E477">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自本公告发布之日起3个工作日。      </w:t>
      </w:r>
    </w:p>
    <w:p w14:paraId="4C4C82E8">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七、其他补充事宜</w:t>
      </w:r>
    </w:p>
    <w:p w14:paraId="0EDA21BC">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      </w:t>
      </w:r>
    </w:p>
    <w:p w14:paraId="7A7E5482">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7EB35C12">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1BDD398D">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4.其他事项：（1）单位负责人为同一人或者存在直接控股、管理关系的不同供应商，不得同时参加同一合同项下的投标。（2）为项目提供整体设计、规范编制或者项目管理、监理、检测等服务的供应商，不得再参加该采购项目的其他采购活动。（3）本项目执行促进中小企业发展（监狱企业、残疾人福利性单位视同小型、微型企业）、优先采购节能产品、优先采购环境标志产品政策。（4）为支持和促进中小企业发展，舟山市财政局出台了政府采购信用融资政策，具体详见采购文件。        </w:t>
      </w:r>
    </w:p>
    <w:p w14:paraId="4FD1EFD3">
      <w:pPr>
        <w:pStyle w:val="34"/>
        <w:keepNext w:val="0"/>
        <w:keepLines w:val="0"/>
        <w:widowControl/>
        <w:suppressLineNumbers w:val="0"/>
        <w:spacing w:before="300" w:beforeAutospacing="0" w:after="0" w:afterAutospacing="0"/>
        <w:ind w:left="0" w:right="0"/>
        <w:rPr>
          <w:rFonts w:hint="eastAsia" w:ascii="宋体" w:hAnsi="宋体" w:eastAsia="宋体" w:cs="宋体"/>
          <w:b/>
          <w:bCs/>
          <w:sz w:val="21"/>
          <w:szCs w:val="21"/>
        </w:rPr>
      </w:pPr>
      <w:r>
        <w:rPr>
          <w:rFonts w:hint="eastAsia" w:ascii="宋体" w:hAnsi="宋体" w:eastAsia="宋体" w:cs="宋体"/>
          <w:b/>
          <w:bCs/>
          <w:i w:val="0"/>
          <w:iCs w:val="0"/>
          <w:caps w:val="0"/>
          <w:color w:val="000000"/>
          <w:spacing w:val="0"/>
          <w:sz w:val="21"/>
          <w:szCs w:val="21"/>
        </w:rPr>
        <w:t>八、凡对本次招标提出询问、质疑、投诉，请按以下方式联系</w:t>
      </w:r>
    </w:p>
    <w:p w14:paraId="7C9275A9">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1.采购人信息        </w:t>
      </w:r>
    </w:p>
    <w:p w14:paraId="25BF5700">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称：舟山市普陀区商务局        </w:t>
      </w:r>
    </w:p>
    <w:p w14:paraId="5FCF28AB">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址：浙江省舟山市普陀区东港街道昌正街79号商务中心2号楼3层        </w:t>
      </w:r>
    </w:p>
    <w:p w14:paraId="50D01A94">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        </w:t>
      </w:r>
    </w:p>
    <w:p w14:paraId="2B2DB8EB">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项目联系人（询问）：杨吉鹏        </w:t>
      </w:r>
    </w:p>
    <w:p w14:paraId="59570949">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项目联系方式（询问）：0580-3801885        </w:t>
      </w:r>
    </w:p>
    <w:p w14:paraId="79073A51">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质疑联系人：13059853095        </w:t>
      </w:r>
    </w:p>
    <w:p w14:paraId="5224EA7E">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质疑联系方式：0580-3800399        </w:t>
      </w:r>
    </w:p>
    <w:p w14:paraId="410ECD32">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2.采购代理机构信息        </w:t>
      </w:r>
    </w:p>
    <w:p w14:paraId="7630E348">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称：浙江卓宏建设项目管理有限公司        </w:t>
      </w:r>
    </w:p>
    <w:p w14:paraId="5719FB4E">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址：舟山市临城千岛路中浪国际A座6楼        </w:t>
      </w:r>
    </w:p>
    <w:p w14:paraId="6DBF3AEB">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        </w:t>
      </w:r>
    </w:p>
    <w:p w14:paraId="0B890626">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项目联系人（询问）：陈怡轩        </w:t>
      </w:r>
    </w:p>
    <w:p w14:paraId="1FB319FF">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项目联系方式（询问）：0580-2027712        </w:t>
      </w:r>
    </w:p>
    <w:p w14:paraId="0FD0E4A0">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质疑联系人：刘珍珍        </w:t>
      </w:r>
    </w:p>
    <w:p w14:paraId="3AF79472">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质疑联系方式：0580-2027712        </w:t>
      </w:r>
    </w:p>
    <w:p w14:paraId="27AEF150">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3.</w:t>
      </w:r>
      <w:r>
        <w:rPr>
          <w:rStyle w:val="53"/>
          <w:rFonts w:hint="eastAsia" w:ascii="宋体" w:hAnsi="宋体" w:eastAsia="宋体" w:cs="宋体"/>
          <w:i w:val="0"/>
          <w:iCs w:val="0"/>
          <w:caps w:val="0"/>
          <w:color w:val="000000"/>
          <w:spacing w:val="0"/>
          <w:sz w:val="21"/>
          <w:szCs w:val="21"/>
        </w:rPr>
        <w:t>同级政府采购监督管理部门</w:t>
      </w:r>
    </w:p>
    <w:p w14:paraId="5D90B7B9">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名    称：舟山市普陀区财政局</w:t>
      </w:r>
    </w:p>
    <w:p w14:paraId="2D4798F6">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地    址：</w:t>
      </w:r>
    </w:p>
    <w:p w14:paraId="2E7776BB">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传    真：</w:t>
      </w:r>
    </w:p>
    <w:p w14:paraId="36F7864F">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联 系 人：徐女士</w:t>
      </w:r>
    </w:p>
    <w:p w14:paraId="6B6B63B7">
      <w:pPr>
        <w:pStyle w:val="34"/>
        <w:keepNext w:val="0"/>
        <w:keepLines w:val="0"/>
        <w:widowControl/>
        <w:suppressLineNumbers w:val="0"/>
        <w:spacing w:before="0" w:beforeAutospacing="0" w:after="0" w:afterAutospacing="0"/>
        <w:ind w:left="0" w:right="0" w:firstLine="42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监督投诉电话：0580-3062899</w:t>
      </w:r>
    </w:p>
    <w:p w14:paraId="04F063C5">
      <w:pPr>
        <w:keepNext w:val="0"/>
        <w:keepLines w:val="0"/>
        <w:widowControl/>
        <w:suppressLineNumbers w:val="0"/>
        <w:ind w:left="0" w:firstLine="0"/>
        <w:jc w:val="left"/>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kern w:val="0"/>
          <w:sz w:val="21"/>
          <w:szCs w:val="21"/>
          <w:lang w:val="en-US" w:eastAsia="zh-CN" w:bidi="ar"/>
        </w:rPr>
        <w:t>       </w:t>
      </w:r>
    </w:p>
    <w:p w14:paraId="3DD912CD">
      <w:pPr>
        <w:pStyle w:val="34"/>
        <w:keepNext w:val="0"/>
        <w:keepLines w:val="0"/>
        <w:widowControl/>
        <w:suppressLineNumbers w:val="0"/>
        <w:spacing w:before="600" w:beforeAutospacing="0" w:after="0" w:afterAutospacing="0"/>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若对项目采购电子交易系统操作有疑问，可登录政采云（https://www.zcygov.cn/），点击右侧咨询小采，获取采小蜜智能服务管家帮助，或拨打政采云服务热线95763获取热线服务帮助。</w:t>
      </w:r>
    </w:p>
    <w:p w14:paraId="53EA08C2">
      <w:pPr>
        <w:pStyle w:val="34"/>
        <w:keepNext w:val="0"/>
        <w:keepLines w:val="0"/>
        <w:widowControl/>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i w:val="0"/>
          <w:iCs w:val="0"/>
          <w:caps w:val="0"/>
          <w:color w:val="000000"/>
          <w:spacing w:val="0"/>
          <w:sz w:val="21"/>
          <w:szCs w:val="21"/>
        </w:rPr>
        <w:t>CA问题联系电话（人工）：汇信CA 400-888-4636；天谷CA 400-087-8198。</w:t>
      </w:r>
    </w:p>
    <w:p w14:paraId="167673BD">
      <w:pPr>
        <w:pStyle w:val="34"/>
        <w:widowControl/>
        <w:spacing w:before="50" w:beforeAutospacing="0" w:after="50" w:afterAutospacing="0" w:line="240" w:lineRule="auto"/>
        <w:rPr>
          <w:rFonts w:hint="eastAsia" w:ascii="宋体" w:hAnsi="宋体" w:cs="宋体"/>
          <w:color w:val="000000"/>
        </w:rPr>
      </w:pPr>
    </w:p>
    <w:p w14:paraId="1CD95C00">
      <w:pPr>
        <w:pStyle w:val="34"/>
        <w:widowControl/>
        <w:spacing w:before="50" w:beforeAutospacing="0" w:after="50" w:afterAutospacing="0" w:line="240" w:lineRule="auto"/>
        <w:rPr>
          <w:rFonts w:hint="eastAsia" w:ascii="宋体" w:hAnsi="宋体" w:cs="宋体"/>
          <w:color w:val="000000"/>
        </w:rPr>
      </w:pPr>
    </w:p>
    <w:p w14:paraId="74796412">
      <w:pPr>
        <w:pStyle w:val="34"/>
        <w:widowControl/>
        <w:spacing w:before="50" w:beforeAutospacing="0" w:after="50" w:afterAutospacing="0" w:line="240" w:lineRule="auto"/>
        <w:rPr>
          <w:rFonts w:hint="eastAsia" w:ascii="宋体" w:hAnsi="宋体" w:cs="宋体"/>
          <w:color w:val="000000"/>
        </w:rPr>
      </w:pPr>
    </w:p>
    <w:p w14:paraId="072516F3">
      <w:pPr>
        <w:rPr>
          <w:rFonts w:hint="eastAsia"/>
        </w:rPr>
      </w:pPr>
    </w:p>
    <w:p w14:paraId="16B3F43D">
      <w:pPr>
        <w:pStyle w:val="2"/>
        <w:spacing w:line="240" w:lineRule="auto"/>
        <w:ind w:firstLine="2711" w:firstLineChars="900"/>
        <w:jc w:val="both"/>
        <w:rPr>
          <w:rFonts w:ascii="宋体" w:hAnsi="宋体" w:cs="宋体"/>
          <w:bCs w:val="0"/>
          <w:kern w:val="2"/>
          <w:sz w:val="30"/>
          <w:szCs w:val="30"/>
        </w:rPr>
      </w:pPr>
      <w:r>
        <w:rPr>
          <w:rFonts w:hint="eastAsia" w:ascii="宋体" w:hAnsi="宋体" w:cs="宋体"/>
          <w:bCs w:val="0"/>
          <w:kern w:val="2"/>
          <w:sz w:val="30"/>
          <w:szCs w:val="30"/>
        </w:rPr>
        <w:t>第二章  采购需求</w:t>
      </w:r>
    </w:p>
    <w:p w14:paraId="5473D2BE">
      <w:pPr>
        <w:keepNext w:val="0"/>
        <w:keepLines w:val="0"/>
        <w:pageBreakBefore w:val="0"/>
        <w:widowControl/>
        <w:kinsoku/>
        <w:wordWrap/>
        <w:overflowPunct/>
        <w:topLinePunct w:val="0"/>
        <w:bidi w:val="0"/>
        <w:snapToGrid/>
        <w:spacing w:line="540" w:lineRule="exact"/>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color w:val="auto"/>
          <w:kern w:val="0"/>
          <w:sz w:val="21"/>
          <w:szCs w:val="21"/>
          <w:highlight w:val="none"/>
        </w:rPr>
        <w:t>一、项目</w:t>
      </w:r>
      <w:r>
        <w:rPr>
          <w:rFonts w:hint="eastAsia" w:ascii="宋体" w:hAnsi="宋体" w:eastAsia="宋体" w:cs="宋体"/>
          <w:b/>
          <w:color w:val="auto"/>
          <w:kern w:val="0"/>
          <w:sz w:val="21"/>
          <w:szCs w:val="21"/>
          <w:highlight w:val="none"/>
          <w:lang w:eastAsia="zh-CN"/>
        </w:rPr>
        <w:t>概况</w:t>
      </w:r>
    </w:p>
    <w:p w14:paraId="3AD84ADA">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本项目采购内容为</w:t>
      </w:r>
      <w:r>
        <w:rPr>
          <w:rFonts w:hint="eastAsia" w:ascii="宋体" w:hAnsi="宋体" w:eastAsia="宋体" w:cs="宋体"/>
          <w:color w:val="auto"/>
          <w:kern w:val="0"/>
          <w:sz w:val="21"/>
          <w:szCs w:val="21"/>
          <w:highlight w:val="none"/>
          <w:lang w:val="en-US" w:eastAsia="zh-CN"/>
        </w:rPr>
        <w:t xml:space="preserve"> </w:t>
      </w:r>
      <w:r>
        <w:rPr>
          <w:rFonts w:hint="eastAsia" w:ascii="宋体" w:hAnsi="宋体" w:eastAsia="宋体" w:cs="宋体"/>
          <w:color w:val="auto"/>
          <w:kern w:val="0"/>
          <w:sz w:val="21"/>
          <w:szCs w:val="21"/>
          <w:highlight w:val="none"/>
          <w:u w:val="single"/>
          <w:lang w:val="en-US" w:eastAsia="zh-CN"/>
        </w:rPr>
        <w:t xml:space="preserve"> 普陀区海岛“菜篮子” </w:t>
      </w:r>
      <w:r>
        <w:rPr>
          <w:rFonts w:hint="eastAsia" w:ascii="宋体" w:hAnsi="宋体" w:eastAsia="宋体" w:cs="宋体"/>
          <w:color w:val="auto"/>
          <w:kern w:val="0"/>
          <w:sz w:val="21"/>
          <w:szCs w:val="21"/>
          <w:highlight w:val="none"/>
        </w:rPr>
        <w:t>配送服务，投标报价应包括物资配送过程中运输、装卸搬运、人工等费用、招标代理费及售后服务费、验收费、政策性文件规定及合同包含的所有费用等全部费用</w:t>
      </w:r>
      <w:r>
        <w:rPr>
          <w:rFonts w:hint="eastAsia" w:ascii="宋体" w:hAnsi="宋体" w:eastAsia="宋体" w:cs="宋体"/>
          <w:color w:val="auto"/>
          <w:kern w:val="0"/>
          <w:sz w:val="21"/>
          <w:szCs w:val="21"/>
          <w:highlight w:val="none"/>
          <w:lang w:eastAsia="zh-CN"/>
        </w:rPr>
        <w:t>，供应商</w:t>
      </w:r>
      <w:r>
        <w:rPr>
          <w:rFonts w:hint="eastAsia" w:ascii="宋体" w:hAnsi="宋体" w:eastAsia="宋体" w:cs="宋体"/>
          <w:color w:val="auto"/>
          <w:kern w:val="0"/>
          <w:sz w:val="21"/>
          <w:szCs w:val="21"/>
          <w:highlight w:val="none"/>
        </w:rPr>
        <w:t xml:space="preserve">应根据自身能力合理报价。 </w:t>
      </w:r>
    </w:p>
    <w:p w14:paraId="096B12DD">
      <w:pPr>
        <w:keepNext w:val="0"/>
        <w:keepLines w:val="0"/>
        <w:pageBreakBefore w:val="0"/>
        <w:widowControl/>
        <w:kinsoku/>
        <w:wordWrap/>
        <w:overflowPunct/>
        <w:topLinePunct w:val="0"/>
        <w:bidi w:val="0"/>
        <w:snapToGrid/>
        <w:spacing w:line="5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rPr>
        <w:t>二、服务</w:t>
      </w:r>
      <w:r>
        <w:rPr>
          <w:rFonts w:hint="eastAsia" w:ascii="宋体" w:hAnsi="宋体" w:eastAsia="宋体" w:cs="宋体"/>
          <w:b/>
          <w:color w:val="auto"/>
          <w:kern w:val="0"/>
          <w:sz w:val="21"/>
          <w:szCs w:val="21"/>
          <w:highlight w:val="none"/>
          <w:lang w:eastAsia="zh-CN"/>
        </w:rPr>
        <w:t>内容和</w:t>
      </w:r>
      <w:r>
        <w:rPr>
          <w:rFonts w:hint="eastAsia" w:ascii="宋体" w:hAnsi="宋体" w:eastAsia="宋体" w:cs="宋体"/>
          <w:b/>
          <w:color w:val="auto"/>
          <w:kern w:val="0"/>
          <w:sz w:val="21"/>
          <w:szCs w:val="21"/>
          <w:highlight w:val="none"/>
        </w:rPr>
        <w:t xml:space="preserve">要求 </w:t>
      </w:r>
    </w:p>
    <w:p w14:paraId="17B55F7C">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b w:val="0"/>
          <w:bCs/>
          <w:color w:val="auto"/>
          <w:kern w:val="0"/>
          <w:sz w:val="21"/>
          <w:szCs w:val="21"/>
          <w:highlight w:val="none"/>
          <w:lang w:val="en-US" w:eastAsia="zh-CN"/>
        </w:rPr>
        <w:t>1</w:t>
      </w:r>
      <w:r>
        <w:rPr>
          <w:rFonts w:hint="eastAsia" w:ascii="宋体" w:hAnsi="宋体" w:eastAsia="宋体" w:cs="宋体"/>
          <w:color w:val="auto"/>
          <w:kern w:val="0"/>
          <w:sz w:val="21"/>
          <w:szCs w:val="21"/>
          <w:highlight w:val="none"/>
          <w:lang w:val="en-US" w:eastAsia="zh-CN"/>
        </w:rPr>
        <w:t>、服务时间：2025年4月1日—2026年3月31日</w:t>
      </w:r>
      <w:r>
        <w:rPr>
          <w:rFonts w:hint="eastAsia" w:ascii="宋体" w:hAnsi="宋体" w:eastAsia="宋体" w:cs="宋体"/>
          <w:color w:val="auto"/>
          <w:kern w:val="0"/>
          <w:sz w:val="21"/>
          <w:szCs w:val="21"/>
          <w:highlight w:val="none"/>
          <w:lang w:eastAsia="zh-CN"/>
        </w:rPr>
        <w:t>。</w:t>
      </w:r>
    </w:p>
    <w:p w14:paraId="5B1DE616">
      <w:pPr>
        <w:keepNext w:val="0"/>
        <w:keepLines w:val="0"/>
        <w:pageBreakBefore w:val="0"/>
        <w:widowControl/>
        <w:kinsoku/>
        <w:wordWrap/>
        <w:overflowPunct/>
        <w:topLinePunct w:val="0"/>
        <w:bidi w:val="0"/>
        <w:adjustRightInd w:val="0"/>
        <w:snapToGrid/>
        <w:spacing w:line="56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2、配送范围：</w:t>
      </w:r>
      <w:r>
        <w:rPr>
          <w:rFonts w:hint="eastAsia" w:ascii="宋体" w:hAnsi="宋体" w:eastAsia="宋体" w:cs="宋体"/>
          <w:color w:val="auto"/>
          <w:kern w:val="0"/>
          <w:sz w:val="21"/>
          <w:szCs w:val="21"/>
          <w:highlight w:val="none"/>
          <w:lang w:eastAsia="zh-CN"/>
        </w:rPr>
        <w:t>普陀区下辖</w:t>
      </w:r>
      <w:r>
        <w:rPr>
          <w:rFonts w:hint="eastAsia" w:ascii="宋体" w:hAnsi="宋体" w:eastAsia="宋体" w:cs="宋体"/>
          <w:color w:val="auto"/>
          <w:kern w:val="0"/>
          <w:sz w:val="21"/>
          <w:szCs w:val="21"/>
          <w:highlight w:val="none"/>
          <w:lang w:val="en-US" w:eastAsia="zh-CN"/>
        </w:rPr>
        <w:t>45个有居民海岛。</w:t>
      </w:r>
    </w:p>
    <w:p w14:paraId="78F5A449">
      <w:pPr>
        <w:keepNext w:val="0"/>
        <w:keepLines w:val="0"/>
        <w:pageBreakBefore w:val="0"/>
        <w:widowControl/>
        <w:kinsoku/>
        <w:wordWrap/>
        <w:overflowPunct/>
        <w:topLinePunct w:val="0"/>
        <w:bidi w:val="0"/>
        <w:adjustRightInd w:val="0"/>
        <w:snapToGrid/>
        <w:spacing w:line="56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3、惠民政策：</w:t>
      </w:r>
    </w:p>
    <w:p w14:paraId="0DBF2BE0">
      <w:pPr>
        <w:keepNext w:val="0"/>
        <w:keepLines w:val="0"/>
        <w:pageBreakBefore w:val="0"/>
        <w:widowControl/>
        <w:kinsoku/>
        <w:wordWrap/>
        <w:overflowPunct/>
        <w:topLinePunct w:val="0"/>
        <w:bidi w:val="0"/>
        <w:adjustRightInd w:val="0"/>
        <w:snapToGrid/>
        <w:spacing w:line="56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（1）海岛户籍居民采购“菜篮子”商品可享受普陀区政府运输补贴政策；</w:t>
      </w:r>
    </w:p>
    <w:p w14:paraId="5027B4CB">
      <w:pPr>
        <w:keepNext w:val="0"/>
        <w:keepLines w:val="0"/>
        <w:pageBreakBefore w:val="0"/>
        <w:widowControl/>
        <w:kinsoku/>
        <w:wordWrap/>
        <w:overflowPunct/>
        <w:topLinePunct w:val="0"/>
        <w:bidi w:val="0"/>
        <w:adjustRightInd w:val="0"/>
        <w:snapToGrid/>
        <w:spacing w:line="56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（2）海岛国有企业或政府机构经申请同意并备案，可享受普陀区政府运输补贴政策；</w:t>
      </w:r>
    </w:p>
    <w:p w14:paraId="42DA105A">
      <w:pPr>
        <w:pStyle w:val="18"/>
        <w:keepNext w:val="0"/>
        <w:keepLines w:val="0"/>
        <w:pageBreakBefore w:val="0"/>
        <w:kinsoku/>
        <w:wordWrap/>
        <w:overflowPunct/>
        <w:topLinePunct w:val="0"/>
        <w:bidi w:val="0"/>
        <w:adjustRightInd w:val="0"/>
        <w:snapToGrid/>
        <w:spacing w:after="0" w:line="560" w:lineRule="exact"/>
        <w:ind w:left="0" w:leftChars="0" w:firstLine="404" w:firstLineChars="200"/>
        <w:textAlignment w:val="auto"/>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（3）海岛民营企业或个体工商户，不享受普陀区政府运输补贴政策，但是运输环节运费不得高于市场行情价格。</w:t>
      </w:r>
    </w:p>
    <w:p w14:paraId="13511359">
      <w:pPr>
        <w:keepNext w:val="0"/>
        <w:keepLines w:val="0"/>
        <w:pageBreakBefore w:val="0"/>
        <w:widowControl/>
        <w:kinsoku/>
        <w:wordWrap/>
        <w:overflowPunct/>
        <w:topLinePunct w:val="0"/>
        <w:bidi w:val="0"/>
        <w:adjustRightInd w:val="0"/>
        <w:snapToGrid/>
        <w:spacing w:line="560" w:lineRule="exact"/>
        <w:ind w:firstLine="420" w:firstLineChars="200"/>
        <w:jc w:val="left"/>
        <w:textAlignment w:val="auto"/>
        <w:rPr>
          <w:rFonts w:hint="eastAsia" w:ascii="宋体" w:hAnsi="宋体" w:eastAsia="宋体" w:cs="宋体"/>
          <w:b/>
          <w:color w:val="auto"/>
          <w:kern w:val="0"/>
          <w:sz w:val="21"/>
          <w:szCs w:val="21"/>
          <w:highlight w:val="none"/>
        </w:rPr>
      </w:pPr>
      <w:r>
        <w:rPr>
          <w:rFonts w:hint="eastAsia" w:ascii="宋体" w:hAnsi="宋体" w:eastAsia="宋体" w:cs="宋体"/>
          <w:b w:val="0"/>
          <w:bCs/>
          <w:color w:val="auto"/>
          <w:kern w:val="0"/>
          <w:sz w:val="21"/>
          <w:szCs w:val="21"/>
          <w:highlight w:val="none"/>
          <w:lang w:val="en-US" w:eastAsia="zh-CN"/>
        </w:rPr>
        <w:t>4、</w:t>
      </w:r>
      <w:r>
        <w:rPr>
          <w:rFonts w:hint="eastAsia" w:ascii="宋体" w:hAnsi="宋体" w:eastAsia="宋体" w:cs="宋体"/>
          <w:b w:val="0"/>
          <w:bCs/>
          <w:color w:val="auto"/>
          <w:kern w:val="0"/>
          <w:sz w:val="21"/>
          <w:szCs w:val="21"/>
          <w:highlight w:val="none"/>
        </w:rPr>
        <w:t>食材要求：</w:t>
      </w:r>
      <w:r>
        <w:rPr>
          <w:rFonts w:hint="eastAsia" w:ascii="宋体" w:hAnsi="宋体" w:eastAsia="宋体" w:cs="宋体"/>
          <w:b/>
          <w:color w:val="auto"/>
          <w:kern w:val="0"/>
          <w:sz w:val="21"/>
          <w:szCs w:val="21"/>
          <w:highlight w:val="none"/>
        </w:rPr>
        <w:t xml:space="preserve"> </w:t>
      </w:r>
    </w:p>
    <w:p w14:paraId="0431B240">
      <w:pPr>
        <w:pStyle w:val="15"/>
        <w:keepNext w:val="0"/>
        <w:keepLines w:val="0"/>
        <w:pageBreakBefore w:val="0"/>
        <w:kinsoku/>
        <w:wordWrap/>
        <w:overflowPunct/>
        <w:topLinePunct w:val="0"/>
        <w:bidi w:val="0"/>
        <w:adjustRightInd w:val="0"/>
        <w:snapToGrid/>
        <w:spacing w:line="560" w:lineRule="exact"/>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val="0"/>
          <w:bCs/>
          <w:snapToGrid/>
          <w:color w:val="auto"/>
          <w:kern w:val="0"/>
          <w:sz w:val="21"/>
          <w:szCs w:val="21"/>
          <w:highlight w:val="none"/>
          <w:lang w:val="en-US" w:eastAsia="zh-CN" w:bidi="ar-SA"/>
        </w:rPr>
        <w:t>1）蔬菜农残必须符合《食品安全国家标准食品中农药最大残留限量》（GB 2763-2021）；</w:t>
      </w:r>
    </w:p>
    <w:p w14:paraId="11FF0EC8">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b w:val="0"/>
          <w:bCs/>
          <w:color w:val="auto"/>
          <w:kern w:val="0"/>
          <w:sz w:val="21"/>
          <w:szCs w:val="21"/>
          <w:highlight w:val="none"/>
        </w:rPr>
      </w:pPr>
      <w:r>
        <w:rPr>
          <w:rFonts w:hint="eastAsia" w:ascii="宋体" w:hAnsi="宋体" w:eastAsia="宋体" w:cs="宋体"/>
          <w:b w:val="0"/>
          <w:bCs/>
          <w:color w:val="auto"/>
          <w:kern w:val="0"/>
          <w:sz w:val="21"/>
          <w:szCs w:val="21"/>
          <w:highlight w:val="none"/>
          <w:lang w:val="en-US" w:eastAsia="zh-CN"/>
        </w:rPr>
        <w:t>2</w:t>
      </w:r>
      <w:r>
        <w:rPr>
          <w:rFonts w:hint="eastAsia" w:ascii="宋体" w:hAnsi="宋体" w:eastAsia="宋体" w:cs="宋体"/>
          <w:b w:val="0"/>
          <w:bCs/>
          <w:snapToGrid/>
          <w:color w:val="auto"/>
          <w:kern w:val="0"/>
          <w:sz w:val="21"/>
          <w:szCs w:val="21"/>
          <w:highlight w:val="none"/>
          <w:lang w:val="en-US" w:eastAsia="zh-CN" w:bidi="ar-SA"/>
        </w:rPr>
        <w:t>）</w:t>
      </w:r>
      <w:r>
        <w:rPr>
          <w:rFonts w:hint="eastAsia" w:ascii="宋体" w:hAnsi="宋体" w:eastAsia="宋体" w:cs="宋体"/>
          <w:b w:val="0"/>
          <w:bCs/>
          <w:color w:val="auto"/>
          <w:kern w:val="0"/>
          <w:sz w:val="21"/>
          <w:szCs w:val="21"/>
          <w:highlight w:val="none"/>
        </w:rPr>
        <w:t>豆制品必须符合</w:t>
      </w:r>
      <w:r>
        <w:rPr>
          <w:rFonts w:hint="eastAsia" w:ascii="宋体" w:hAnsi="宋体" w:eastAsia="宋体" w:cs="宋体"/>
          <w:b w:val="0"/>
          <w:bCs/>
          <w:color w:val="auto"/>
          <w:kern w:val="0"/>
          <w:sz w:val="21"/>
          <w:szCs w:val="21"/>
          <w:highlight w:val="none"/>
          <w:lang w:val="en-US" w:eastAsia="zh-CN"/>
        </w:rPr>
        <w:t xml:space="preserve">《食品安全国家标准 </w:t>
      </w:r>
      <w:r>
        <w:rPr>
          <w:rFonts w:hint="eastAsia" w:ascii="宋体" w:hAnsi="宋体" w:eastAsia="宋体" w:cs="宋体"/>
          <w:b w:val="0"/>
          <w:bCs/>
          <w:color w:val="auto"/>
          <w:kern w:val="0"/>
          <w:sz w:val="21"/>
          <w:szCs w:val="21"/>
          <w:highlight w:val="none"/>
        </w:rPr>
        <w:t>豆制品</w:t>
      </w:r>
      <w:r>
        <w:rPr>
          <w:rFonts w:hint="eastAsia" w:ascii="宋体" w:hAnsi="宋体" w:eastAsia="宋体" w:cs="宋体"/>
          <w:b w:val="0"/>
          <w:bCs/>
          <w:color w:val="auto"/>
          <w:kern w:val="0"/>
          <w:sz w:val="21"/>
          <w:szCs w:val="21"/>
          <w:highlight w:val="none"/>
          <w:lang w:val="en-US" w:eastAsia="zh-CN"/>
        </w:rPr>
        <w:t>》（</w:t>
      </w:r>
      <w:r>
        <w:rPr>
          <w:rFonts w:hint="eastAsia" w:ascii="宋体" w:hAnsi="宋体" w:eastAsia="宋体" w:cs="宋体"/>
          <w:b w:val="0"/>
          <w:bCs/>
          <w:color w:val="auto"/>
          <w:kern w:val="0"/>
          <w:sz w:val="21"/>
          <w:szCs w:val="21"/>
          <w:highlight w:val="none"/>
        </w:rPr>
        <w:t>GB 2712-2014</w:t>
      </w:r>
      <w:r>
        <w:rPr>
          <w:rFonts w:hint="eastAsia" w:ascii="宋体" w:hAnsi="宋体" w:eastAsia="宋体" w:cs="宋体"/>
          <w:b w:val="0"/>
          <w:bCs/>
          <w:color w:val="auto"/>
          <w:kern w:val="0"/>
          <w:sz w:val="21"/>
          <w:szCs w:val="21"/>
          <w:highlight w:val="none"/>
          <w:lang w:val="en-US" w:eastAsia="zh-CN"/>
        </w:rPr>
        <w:t>）</w:t>
      </w:r>
      <w:r>
        <w:rPr>
          <w:rFonts w:hint="eastAsia" w:ascii="宋体" w:hAnsi="宋体" w:eastAsia="宋体" w:cs="宋体"/>
          <w:b w:val="0"/>
          <w:bCs/>
          <w:color w:val="auto"/>
          <w:kern w:val="0"/>
          <w:sz w:val="21"/>
          <w:szCs w:val="21"/>
          <w:highlight w:val="none"/>
        </w:rPr>
        <w:t>，并</w:t>
      </w:r>
      <w:r>
        <w:rPr>
          <w:rFonts w:hint="eastAsia" w:ascii="宋体" w:hAnsi="宋体" w:eastAsia="宋体" w:cs="宋体"/>
          <w:b w:val="0"/>
          <w:bCs/>
          <w:color w:val="auto"/>
          <w:kern w:val="0"/>
          <w:sz w:val="21"/>
          <w:szCs w:val="21"/>
          <w:highlight w:val="none"/>
          <w:lang w:val="en-US" w:eastAsia="zh-CN"/>
        </w:rPr>
        <w:t>提供</w:t>
      </w:r>
      <w:r>
        <w:rPr>
          <w:rFonts w:hint="eastAsia" w:ascii="宋体" w:hAnsi="宋体" w:eastAsia="宋体" w:cs="宋体"/>
          <w:b w:val="0"/>
          <w:bCs/>
          <w:color w:val="auto"/>
          <w:kern w:val="0"/>
          <w:sz w:val="21"/>
          <w:szCs w:val="21"/>
          <w:highlight w:val="none"/>
        </w:rPr>
        <w:t>食品生产许可证编号。豆制品应</w:t>
      </w:r>
      <w:r>
        <w:rPr>
          <w:rFonts w:hint="eastAsia" w:ascii="宋体" w:hAnsi="宋体" w:eastAsia="宋体" w:cs="宋体"/>
          <w:b w:val="0"/>
          <w:bCs/>
          <w:color w:val="auto"/>
          <w:kern w:val="0"/>
          <w:sz w:val="21"/>
          <w:szCs w:val="21"/>
          <w:highlight w:val="none"/>
          <w:lang w:eastAsia="zh-CN"/>
        </w:rPr>
        <w:t>采取</w:t>
      </w:r>
      <w:r>
        <w:rPr>
          <w:rFonts w:hint="eastAsia" w:ascii="宋体" w:hAnsi="宋体" w:eastAsia="宋体" w:cs="宋体"/>
          <w:b w:val="0"/>
          <w:bCs/>
          <w:color w:val="auto"/>
          <w:kern w:val="0"/>
          <w:sz w:val="21"/>
          <w:szCs w:val="21"/>
          <w:highlight w:val="none"/>
        </w:rPr>
        <w:t>保温措施</w:t>
      </w:r>
      <w:r>
        <w:rPr>
          <w:rFonts w:hint="eastAsia" w:ascii="宋体" w:hAnsi="宋体" w:eastAsia="宋体" w:cs="宋体"/>
          <w:b w:val="0"/>
          <w:bCs/>
          <w:color w:val="auto"/>
          <w:kern w:val="0"/>
          <w:sz w:val="21"/>
          <w:szCs w:val="21"/>
          <w:highlight w:val="none"/>
          <w:lang w:val="en-US" w:eastAsia="zh-CN"/>
        </w:rPr>
        <w:t>以</w:t>
      </w:r>
      <w:r>
        <w:rPr>
          <w:rFonts w:hint="eastAsia" w:ascii="宋体" w:hAnsi="宋体" w:eastAsia="宋体" w:cs="宋体"/>
          <w:b w:val="0"/>
          <w:bCs/>
          <w:color w:val="auto"/>
          <w:kern w:val="0"/>
          <w:sz w:val="21"/>
          <w:szCs w:val="21"/>
          <w:highlight w:val="none"/>
        </w:rPr>
        <w:t>确保保鲜，</w:t>
      </w:r>
      <w:r>
        <w:rPr>
          <w:rFonts w:hint="eastAsia" w:ascii="宋体" w:hAnsi="宋体" w:eastAsia="宋体" w:cs="宋体"/>
          <w:b w:val="0"/>
          <w:bCs/>
          <w:color w:val="auto"/>
          <w:kern w:val="0"/>
          <w:sz w:val="21"/>
          <w:szCs w:val="21"/>
          <w:highlight w:val="none"/>
          <w:lang w:eastAsia="zh-CN"/>
        </w:rPr>
        <w:t>剩余</w:t>
      </w:r>
      <w:r>
        <w:rPr>
          <w:rFonts w:hint="eastAsia" w:ascii="宋体" w:hAnsi="宋体" w:eastAsia="宋体" w:cs="宋体"/>
          <w:b w:val="0"/>
          <w:bCs/>
          <w:color w:val="auto"/>
          <w:kern w:val="0"/>
          <w:sz w:val="21"/>
          <w:szCs w:val="21"/>
          <w:highlight w:val="none"/>
        </w:rPr>
        <w:t>保质期应不低于</w:t>
      </w:r>
      <w:r>
        <w:rPr>
          <w:rFonts w:hint="eastAsia" w:ascii="宋体" w:hAnsi="宋体" w:eastAsia="宋体" w:cs="宋体"/>
          <w:b w:val="0"/>
          <w:bCs/>
          <w:color w:val="auto"/>
          <w:kern w:val="0"/>
          <w:sz w:val="21"/>
          <w:szCs w:val="21"/>
          <w:highlight w:val="none"/>
          <w:lang w:eastAsia="zh-CN"/>
        </w:rPr>
        <w:t>其</w:t>
      </w:r>
      <w:r>
        <w:rPr>
          <w:rFonts w:hint="eastAsia" w:ascii="宋体" w:hAnsi="宋体" w:eastAsia="宋体" w:cs="宋体"/>
          <w:b w:val="0"/>
          <w:bCs/>
          <w:color w:val="auto"/>
          <w:kern w:val="0"/>
          <w:sz w:val="21"/>
          <w:szCs w:val="21"/>
          <w:highlight w:val="none"/>
        </w:rPr>
        <w:t>保质期限的一半</w:t>
      </w:r>
      <w:r>
        <w:rPr>
          <w:rFonts w:hint="eastAsia" w:ascii="宋体" w:hAnsi="宋体" w:eastAsia="宋体" w:cs="宋体"/>
          <w:b w:val="0"/>
          <w:bCs/>
          <w:color w:val="auto"/>
          <w:kern w:val="0"/>
          <w:sz w:val="21"/>
          <w:szCs w:val="21"/>
          <w:highlight w:val="none"/>
          <w:lang w:eastAsia="zh-CN"/>
        </w:rPr>
        <w:t>；</w:t>
      </w:r>
      <w:r>
        <w:rPr>
          <w:rFonts w:hint="eastAsia" w:ascii="宋体" w:hAnsi="宋体" w:eastAsia="宋体" w:cs="宋体"/>
          <w:b w:val="0"/>
          <w:bCs/>
          <w:color w:val="auto"/>
          <w:kern w:val="0"/>
          <w:sz w:val="21"/>
          <w:szCs w:val="21"/>
          <w:highlight w:val="none"/>
        </w:rPr>
        <w:t xml:space="preserve"> </w:t>
      </w:r>
    </w:p>
    <w:p w14:paraId="571DBA98">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b w:val="0"/>
          <w:bCs/>
          <w:color w:val="auto"/>
          <w:kern w:val="0"/>
          <w:sz w:val="21"/>
          <w:szCs w:val="21"/>
          <w:highlight w:val="none"/>
          <w:lang w:eastAsia="zh-CN"/>
        </w:rPr>
      </w:pPr>
      <w:r>
        <w:rPr>
          <w:rFonts w:hint="eastAsia" w:ascii="宋体" w:hAnsi="宋体" w:eastAsia="宋体" w:cs="宋体"/>
          <w:b w:val="0"/>
          <w:bCs/>
          <w:color w:val="auto"/>
          <w:kern w:val="0"/>
          <w:sz w:val="21"/>
          <w:szCs w:val="21"/>
          <w:highlight w:val="none"/>
          <w:lang w:val="en-US" w:eastAsia="zh-CN"/>
        </w:rPr>
        <w:t>3</w:t>
      </w:r>
      <w:r>
        <w:rPr>
          <w:rFonts w:hint="eastAsia" w:ascii="宋体" w:hAnsi="宋体" w:eastAsia="宋体" w:cs="宋体"/>
          <w:b w:val="0"/>
          <w:bCs/>
          <w:snapToGrid/>
          <w:color w:val="auto"/>
          <w:kern w:val="0"/>
          <w:sz w:val="21"/>
          <w:szCs w:val="21"/>
          <w:highlight w:val="none"/>
          <w:lang w:val="en-US" w:eastAsia="zh-CN" w:bidi="ar-SA"/>
        </w:rPr>
        <w:t>）</w:t>
      </w:r>
      <w:r>
        <w:rPr>
          <w:rFonts w:hint="eastAsia" w:ascii="宋体" w:hAnsi="宋体" w:eastAsia="宋体" w:cs="宋体"/>
          <w:b w:val="0"/>
          <w:bCs/>
          <w:color w:val="auto"/>
          <w:kern w:val="0"/>
          <w:sz w:val="21"/>
          <w:szCs w:val="21"/>
          <w:highlight w:val="none"/>
        </w:rPr>
        <w:t>蔬菜等</w:t>
      </w:r>
      <w:r>
        <w:rPr>
          <w:rFonts w:hint="eastAsia" w:ascii="宋体" w:hAnsi="宋体" w:eastAsia="宋体" w:cs="宋体"/>
          <w:b w:val="0"/>
          <w:bCs/>
          <w:color w:val="auto"/>
          <w:kern w:val="0"/>
          <w:sz w:val="21"/>
          <w:szCs w:val="21"/>
          <w:highlight w:val="none"/>
          <w:lang w:val="en-US" w:eastAsia="zh-CN"/>
        </w:rPr>
        <w:t>新鲜</w:t>
      </w:r>
      <w:r>
        <w:rPr>
          <w:rFonts w:hint="eastAsia" w:ascii="宋体" w:hAnsi="宋体" w:eastAsia="宋体" w:cs="宋体"/>
          <w:b w:val="0"/>
          <w:bCs/>
          <w:color w:val="auto"/>
          <w:kern w:val="0"/>
          <w:sz w:val="21"/>
          <w:szCs w:val="21"/>
          <w:highlight w:val="none"/>
        </w:rPr>
        <w:t>农产品必须具有相应的检测报告或食品检验合格证</w:t>
      </w:r>
      <w:r>
        <w:rPr>
          <w:rFonts w:hint="eastAsia" w:ascii="宋体" w:hAnsi="宋体" w:eastAsia="宋体" w:cs="宋体"/>
          <w:b w:val="0"/>
          <w:bCs/>
          <w:color w:val="auto"/>
          <w:kern w:val="0"/>
          <w:sz w:val="21"/>
          <w:szCs w:val="21"/>
          <w:highlight w:val="none"/>
          <w:lang w:eastAsia="zh-CN"/>
        </w:rPr>
        <w:t>；</w:t>
      </w:r>
    </w:p>
    <w:p w14:paraId="179DBCC3">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b w:val="0"/>
          <w:bCs/>
          <w:color w:val="auto"/>
          <w:kern w:val="0"/>
          <w:sz w:val="21"/>
          <w:szCs w:val="21"/>
          <w:highlight w:val="none"/>
          <w:lang w:eastAsia="zh-CN"/>
        </w:rPr>
      </w:pPr>
      <w:r>
        <w:rPr>
          <w:rFonts w:hint="eastAsia" w:ascii="宋体" w:hAnsi="宋体" w:eastAsia="宋体" w:cs="宋体"/>
          <w:b w:val="0"/>
          <w:bCs/>
          <w:color w:val="auto"/>
          <w:kern w:val="0"/>
          <w:sz w:val="21"/>
          <w:szCs w:val="21"/>
          <w:highlight w:val="none"/>
          <w:lang w:val="en-US" w:eastAsia="zh-CN"/>
        </w:rPr>
        <w:t>4</w:t>
      </w:r>
      <w:r>
        <w:rPr>
          <w:rFonts w:hint="eastAsia" w:ascii="宋体" w:hAnsi="宋体" w:eastAsia="宋体" w:cs="宋体"/>
          <w:b w:val="0"/>
          <w:bCs/>
          <w:snapToGrid/>
          <w:color w:val="auto"/>
          <w:kern w:val="0"/>
          <w:sz w:val="21"/>
          <w:szCs w:val="21"/>
          <w:highlight w:val="none"/>
          <w:lang w:val="en-US" w:eastAsia="zh-CN" w:bidi="ar-SA"/>
        </w:rPr>
        <w:t>）</w:t>
      </w:r>
      <w:r>
        <w:rPr>
          <w:rFonts w:hint="eastAsia" w:ascii="宋体" w:hAnsi="宋体" w:eastAsia="宋体" w:cs="宋体"/>
          <w:b w:val="0"/>
          <w:bCs/>
          <w:color w:val="auto"/>
          <w:kern w:val="0"/>
          <w:sz w:val="21"/>
          <w:szCs w:val="21"/>
          <w:highlight w:val="none"/>
        </w:rPr>
        <w:t>采购文件中未提到但厨房中的其他必需品，必须满足相关规定</w:t>
      </w:r>
      <w:r>
        <w:rPr>
          <w:rFonts w:hint="eastAsia" w:ascii="宋体" w:hAnsi="宋体" w:eastAsia="宋体" w:cs="宋体"/>
          <w:b w:val="0"/>
          <w:bCs/>
          <w:color w:val="auto"/>
          <w:kern w:val="0"/>
          <w:sz w:val="21"/>
          <w:szCs w:val="21"/>
          <w:highlight w:val="none"/>
          <w:lang w:eastAsia="zh-CN"/>
        </w:rPr>
        <w:t>；</w:t>
      </w:r>
    </w:p>
    <w:p w14:paraId="6CA69D19">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b w:val="0"/>
          <w:bCs/>
          <w:color w:val="auto"/>
          <w:kern w:val="0"/>
          <w:sz w:val="21"/>
          <w:szCs w:val="21"/>
          <w:highlight w:val="none"/>
          <w:lang w:val="en-US"/>
        </w:rPr>
      </w:pPr>
      <w:r>
        <w:rPr>
          <w:rFonts w:hint="eastAsia" w:ascii="宋体" w:hAnsi="宋体" w:eastAsia="宋体" w:cs="宋体"/>
          <w:b w:val="0"/>
          <w:bCs/>
          <w:color w:val="auto"/>
          <w:kern w:val="0"/>
          <w:sz w:val="21"/>
          <w:szCs w:val="21"/>
          <w:highlight w:val="none"/>
          <w:lang w:val="en-US" w:eastAsia="zh-CN"/>
        </w:rPr>
        <w:t>5</w:t>
      </w:r>
      <w:r>
        <w:rPr>
          <w:rFonts w:hint="eastAsia" w:ascii="宋体" w:hAnsi="宋体" w:eastAsia="宋体" w:cs="宋体"/>
          <w:b w:val="0"/>
          <w:bCs/>
          <w:snapToGrid/>
          <w:color w:val="auto"/>
          <w:kern w:val="0"/>
          <w:sz w:val="21"/>
          <w:szCs w:val="21"/>
          <w:highlight w:val="none"/>
          <w:lang w:val="en-US" w:eastAsia="zh-CN" w:bidi="ar-SA"/>
        </w:rPr>
        <w:t>）</w:t>
      </w:r>
      <w:r>
        <w:rPr>
          <w:rFonts w:hint="eastAsia" w:ascii="宋体" w:hAnsi="宋体" w:eastAsia="宋体" w:cs="宋体"/>
          <w:b w:val="0"/>
          <w:bCs/>
          <w:color w:val="auto"/>
          <w:kern w:val="0"/>
          <w:sz w:val="21"/>
          <w:szCs w:val="21"/>
          <w:highlight w:val="none"/>
          <w:lang w:val="en-US"/>
        </w:rPr>
        <w:t>所供蔬菜必须为新鲜</w:t>
      </w:r>
      <w:r>
        <w:rPr>
          <w:rFonts w:hint="eastAsia" w:ascii="宋体" w:hAnsi="宋体" w:eastAsia="宋体" w:cs="宋体"/>
          <w:b w:val="0"/>
          <w:bCs/>
          <w:color w:val="auto"/>
          <w:kern w:val="0"/>
          <w:sz w:val="21"/>
          <w:szCs w:val="21"/>
          <w:highlight w:val="none"/>
          <w:lang w:val="en-US" w:eastAsia="zh-CN"/>
        </w:rPr>
        <w:t>非冷冻</w:t>
      </w:r>
      <w:r>
        <w:rPr>
          <w:rFonts w:hint="eastAsia" w:ascii="宋体" w:hAnsi="宋体" w:eastAsia="宋体" w:cs="宋体"/>
          <w:b w:val="0"/>
          <w:bCs/>
          <w:color w:val="auto"/>
          <w:kern w:val="0"/>
          <w:sz w:val="21"/>
          <w:szCs w:val="21"/>
          <w:highlight w:val="none"/>
          <w:lang w:val="en-US"/>
        </w:rPr>
        <w:t>蔬菜，采用冷冻</w:t>
      </w:r>
      <w:r>
        <w:rPr>
          <w:rFonts w:hint="eastAsia" w:ascii="宋体" w:hAnsi="宋体" w:eastAsia="宋体" w:cs="宋体"/>
          <w:b w:val="0"/>
          <w:bCs/>
          <w:color w:val="auto"/>
          <w:kern w:val="0"/>
          <w:sz w:val="21"/>
          <w:szCs w:val="21"/>
          <w:highlight w:val="none"/>
          <w:lang w:val="en-US" w:eastAsia="zh-CN"/>
        </w:rPr>
        <w:t>方式</w:t>
      </w:r>
      <w:r>
        <w:rPr>
          <w:rFonts w:hint="eastAsia" w:ascii="宋体" w:hAnsi="宋体" w:eastAsia="宋体" w:cs="宋体"/>
          <w:b w:val="0"/>
          <w:bCs/>
          <w:color w:val="auto"/>
          <w:kern w:val="0"/>
          <w:sz w:val="21"/>
          <w:szCs w:val="21"/>
          <w:highlight w:val="none"/>
          <w:lang w:val="en-US"/>
        </w:rPr>
        <w:t>的，须经采购人备案同意，</w:t>
      </w:r>
      <w:r>
        <w:rPr>
          <w:rFonts w:hint="eastAsia" w:ascii="宋体" w:hAnsi="宋体" w:eastAsia="宋体" w:cs="宋体"/>
          <w:b w:val="0"/>
          <w:bCs/>
          <w:color w:val="auto"/>
          <w:kern w:val="0"/>
          <w:sz w:val="21"/>
          <w:szCs w:val="21"/>
          <w:highlight w:val="none"/>
          <w:lang w:val="en-US" w:eastAsia="zh-CN"/>
        </w:rPr>
        <w:t>未经允许私自</w:t>
      </w:r>
      <w:r>
        <w:rPr>
          <w:rFonts w:hint="eastAsia" w:ascii="宋体" w:hAnsi="宋体" w:eastAsia="宋体" w:cs="宋体"/>
          <w:b w:val="0"/>
          <w:bCs/>
          <w:color w:val="auto"/>
          <w:kern w:val="0"/>
          <w:sz w:val="21"/>
          <w:szCs w:val="21"/>
          <w:highlight w:val="none"/>
          <w:lang w:val="en-US"/>
        </w:rPr>
        <w:t>采用冷冻类产品的，采购人有权提前终止合同</w:t>
      </w:r>
      <w:r>
        <w:rPr>
          <w:rFonts w:hint="eastAsia" w:ascii="宋体" w:hAnsi="宋体" w:eastAsia="宋体" w:cs="宋体"/>
          <w:b w:val="0"/>
          <w:bCs/>
          <w:color w:val="auto"/>
          <w:kern w:val="0"/>
          <w:sz w:val="21"/>
          <w:szCs w:val="21"/>
          <w:highlight w:val="none"/>
          <w:lang w:val="en-US" w:eastAsia="zh-CN"/>
        </w:rPr>
        <w:t>，并将追究供应商相关责任</w:t>
      </w:r>
      <w:r>
        <w:rPr>
          <w:rFonts w:hint="eastAsia" w:ascii="宋体" w:hAnsi="宋体" w:eastAsia="宋体" w:cs="宋体"/>
          <w:b w:val="0"/>
          <w:bCs/>
          <w:color w:val="auto"/>
          <w:kern w:val="0"/>
          <w:sz w:val="21"/>
          <w:szCs w:val="21"/>
          <w:highlight w:val="none"/>
          <w:lang w:val="en-US"/>
        </w:rPr>
        <w:t>。</w:t>
      </w:r>
    </w:p>
    <w:p w14:paraId="0294970F">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 xml:space="preserve">、服务要求 </w:t>
      </w:r>
    </w:p>
    <w:p w14:paraId="5591838E">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投标企业应制订具体的质量保证措施及相关服务的承诺</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p>
    <w:p w14:paraId="6DC107C2">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b w:val="0"/>
          <w:bCs/>
          <w:color w:val="auto"/>
          <w:kern w:val="0"/>
          <w:sz w:val="21"/>
          <w:szCs w:val="21"/>
          <w:highlight w:val="none"/>
        </w:rPr>
        <w:t>投标企业应具备较强的供货能力、良好的企业信誉及售后服务能力</w:t>
      </w:r>
      <w:r>
        <w:rPr>
          <w:rFonts w:hint="eastAsia" w:ascii="宋体" w:hAnsi="宋体" w:eastAsia="宋体" w:cs="宋体"/>
          <w:b w:val="0"/>
          <w:bCs/>
          <w:color w:val="auto"/>
          <w:kern w:val="0"/>
          <w:sz w:val="21"/>
          <w:szCs w:val="21"/>
          <w:highlight w:val="none"/>
          <w:lang w:eastAsia="zh-CN"/>
        </w:rPr>
        <w:t>，</w:t>
      </w:r>
      <w:r>
        <w:rPr>
          <w:rFonts w:hint="eastAsia" w:ascii="宋体" w:hAnsi="宋体" w:eastAsia="宋体" w:cs="宋体"/>
          <w:b w:val="0"/>
          <w:bCs/>
          <w:color w:val="auto"/>
          <w:kern w:val="0"/>
          <w:sz w:val="21"/>
          <w:szCs w:val="21"/>
          <w:highlight w:val="none"/>
          <w:lang w:val="en-US" w:eastAsia="zh-CN"/>
        </w:rPr>
        <w:t>在海岛正常通航状态下，根据海岛交通特点，</w:t>
      </w:r>
      <w:r>
        <w:rPr>
          <w:rFonts w:hint="eastAsia" w:ascii="宋体" w:hAnsi="宋体" w:cs="宋体"/>
          <w:b w:val="0"/>
          <w:bCs/>
          <w:color w:val="auto"/>
          <w:kern w:val="0"/>
          <w:sz w:val="21"/>
          <w:szCs w:val="21"/>
          <w:highlight w:val="none"/>
          <w:lang w:eastAsia="zh-CN"/>
        </w:rPr>
        <w:t>保证</w:t>
      </w:r>
      <w:r>
        <w:rPr>
          <w:rFonts w:hint="eastAsia" w:ascii="宋体" w:hAnsi="宋体" w:eastAsia="宋体" w:cs="宋体"/>
          <w:b w:val="0"/>
          <w:bCs/>
          <w:color w:val="auto"/>
          <w:kern w:val="0"/>
          <w:sz w:val="21"/>
          <w:szCs w:val="21"/>
          <w:highlight w:val="none"/>
          <w:lang w:eastAsia="zh-CN"/>
        </w:rPr>
        <w:t>“菜篮子”商品配送“普陀本岛至海岛一日达”</w:t>
      </w:r>
      <w:r>
        <w:rPr>
          <w:rFonts w:hint="eastAsia" w:ascii="宋体" w:hAnsi="宋体" w:cs="宋体"/>
          <w:b w:val="0"/>
          <w:bCs/>
          <w:color w:val="auto"/>
          <w:kern w:val="0"/>
          <w:sz w:val="21"/>
          <w:szCs w:val="21"/>
          <w:highlight w:val="none"/>
          <w:lang w:eastAsia="zh-CN"/>
        </w:rPr>
        <w:t>；</w:t>
      </w:r>
      <w:r>
        <w:rPr>
          <w:rFonts w:hint="eastAsia" w:ascii="宋体" w:hAnsi="宋体" w:eastAsia="宋体" w:cs="宋体"/>
          <w:b w:val="0"/>
          <w:bCs/>
          <w:color w:val="auto"/>
          <w:kern w:val="0"/>
          <w:sz w:val="21"/>
          <w:szCs w:val="21"/>
          <w:highlight w:val="none"/>
          <w:lang w:val="en-US" w:eastAsia="zh-CN"/>
        </w:rPr>
        <w:t>恶劣天气下根据通知采取必要措施，合理组织人员进行集中保供</w:t>
      </w:r>
      <w:r>
        <w:rPr>
          <w:rFonts w:hint="eastAsia" w:ascii="宋体" w:hAnsi="宋体" w:eastAsia="宋体" w:cs="宋体"/>
          <w:b w:val="0"/>
          <w:bCs/>
          <w:color w:val="auto"/>
          <w:kern w:val="0"/>
          <w:sz w:val="21"/>
          <w:szCs w:val="21"/>
          <w:highlight w:val="none"/>
          <w:lang w:eastAsia="zh-CN"/>
        </w:rPr>
        <w:t>；</w:t>
      </w:r>
      <w:r>
        <w:rPr>
          <w:rFonts w:hint="eastAsia" w:ascii="宋体" w:hAnsi="宋体" w:eastAsia="宋体" w:cs="宋体"/>
          <w:b w:val="0"/>
          <w:bCs/>
          <w:color w:val="auto"/>
          <w:kern w:val="0"/>
          <w:sz w:val="21"/>
          <w:szCs w:val="21"/>
          <w:highlight w:val="none"/>
        </w:rPr>
        <w:t xml:space="preserve"> </w:t>
      </w:r>
    </w:p>
    <w:p w14:paraId="72C7FC93">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能提供配送物品的检测报告或食品检验合格证</w:t>
      </w:r>
      <w:r>
        <w:rPr>
          <w:rFonts w:hint="eastAsia" w:ascii="宋体" w:hAnsi="宋体" w:eastAsia="宋体" w:cs="宋体"/>
          <w:color w:val="auto"/>
          <w:kern w:val="0"/>
          <w:sz w:val="21"/>
          <w:szCs w:val="21"/>
          <w:highlight w:val="none"/>
          <w:lang w:eastAsia="zh-CN"/>
        </w:rPr>
        <w:t>明；</w:t>
      </w:r>
      <w:r>
        <w:rPr>
          <w:rFonts w:hint="eastAsia" w:ascii="宋体" w:hAnsi="宋体" w:eastAsia="宋体" w:cs="宋体"/>
          <w:color w:val="auto"/>
          <w:kern w:val="0"/>
          <w:sz w:val="21"/>
          <w:szCs w:val="21"/>
          <w:highlight w:val="none"/>
        </w:rPr>
        <w:t xml:space="preserve"> </w:t>
      </w:r>
    </w:p>
    <w:p w14:paraId="15295203">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能自觉遵守</w:t>
      </w:r>
      <w:r>
        <w:rPr>
          <w:rFonts w:hint="eastAsia" w:ascii="宋体" w:hAnsi="宋体" w:eastAsia="宋体" w:cs="宋体"/>
          <w:color w:val="auto"/>
          <w:kern w:val="0"/>
          <w:sz w:val="21"/>
          <w:szCs w:val="21"/>
          <w:highlight w:val="none"/>
          <w:lang w:eastAsia="zh-CN"/>
        </w:rPr>
        <w:t>普陀区“菜篮子”工程</w:t>
      </w:r>
      <w:r>
        <w:rPr>
          <w:rFonts w:hint="eastAsia" w:ascii="宋体" w:hAnsi="宋体" w:eastAsia="宋体" w:cs="宋体"/>
          <w:color w:val="auto"/>
          <w:kern w:val="0"/>
          <w:sz w:val="21"/>
          <w:szCs w:val="21"/>
          <w:highlight w:val="none"/>
        </w:rPr>
        <w:t>相关规章制度，服从</w:t>
      </w:r>
      <w:r>
        <w:rPr>
          <w:rFonts w:hint="eastAsia" w:ascii="宋体" w:hAnsi="宋体" w:eastAsia="宋体" w:cs="宋体"/>
          <w:color w:val="auto"/>
          <w:kern w:val="0"/>
          <w:sz w:val="21"/>
          <w:szCs w:val="21"/>
          <w:highlight w:val="none"/>
          <w:lang w:eastAsia="zh-CN"/>
        </w:rPr>
        <w:t>政府调控</w:t>
      </w:r>
      <w:r>
        <w:rPr>
          <w:rFonts w:hint="eastAsia" w:ascii="宋体" w:hAnsi="宋体" w:eastAsia="宋体" w:cs="宋体"/>
          <w:color w:val="auto"/>
          <w:kern w:val="0"/>
          <w:sz w:val="21"/>
          <w:szCs w:val="21"/>
          <w:highlight w:val="none"/>
        </w:rPr>
        <w:t>管理</w:t>
      </w:r>
      <w:r>
        <w:rPr>
          <w:rFonts w:hint="eastAsia" w:ascii="宋体" w:hAnsi="宋体" w:eastAsia="宋体" w:cs="宋体"/>
          <w:color w:val="auto"/>
          <w:kern w:val="0"/>
          <w:sz w:val="21"/>
          <w:szCs w:val="21"/>
          <w:highlight w:val="none"/>
          <w:lang w:eastAsia="zh-CN"/>
        </w:rPr>
        <w:t>，积极做好“小岛菜篮”小程序运行推广，线上商品上架、下单接单等工作；</w:t>
      </w:r>
      <w:r>
        <w:rPr>
          <w:rFonts w:hint="eastAsia" w:ascii="宋体" w:hAnsi="宋体" w:eastAsia="宋体" w:cs="宋体"/>
          <w:color w:val="auto"/>
          <w:kern w:val="0"/>
          <w:sz w:val="21"/>
          <w:szCs w:val="21"/>
          <w:highlight w:val="none"/>
        </w:rPr>
        <w:t xml:space="preserve"> </w:t>
      </w:r>
    </w:p>
    <w:p w14:paraId="5F3DD1D1">
      <w:pPr>
        <w:pStyle w:val="18"/>
        <w:keepNext w:val="0"/>
        <w:keepLines w:val="0"/>
        <w:pageBreakBefore w:val="0"/>
        <w:kinsoku/>
        <w:wordWrap/>
        <w:overflowPunct/>
        <w:topLinePunct w:val="0"/>
        <w:bidi w:val="0"/>
        <w:snapToGrid/>
        <w:spacing w:after="0" w:line="540" w:lineRule="exact"/>
        <w:ind w:left="0" w:leftChars="0" w:firstLine="404" w:firstLineChars="200"/>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（5）建立完善的食品安全追溯体系，所有“菜篮子”商品及配送信息可查，保证出现食品安全问题快速溯源；</w:t>
      </w:r>
    </w:p>
    <w:p w14:paraId="6F865B59">
      <w:pPr>
        <w:pStyle w:val="19"/>
        <w:keepNext w:val="0"/>
        <w:keepLines w:val="0"/>
        <w:pageBreakBefore w:val="0"/>
        <w:kinsoku/>
        <w:wordWrap/>
        <w:overflowPunct/>
        <w:topLinePunct w:val="0"/>
        <w:autoSpaceDE/>
        <w:autoSpaceDN/>
        <w:bidi w:val="0"/>
        <w:adjustRightInd w:val="0"/>
        <w:snapToGrid/>
        <w:spacing w:before="0" w:after="0" w:line="540" w:lineRule="exact"/>
        <w:ind w:firstLine="420" w:firstLineChars="200"/>
        <w:jc w:val="both"/>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（6）运输环节船舶和车辆定期进行安全检查与维护，具备有关部门下发检验合格标识，按规定做好车船及装载根据的清洁消毒，运输工具良好状态运行；</w:t>
      </w:r>
    </w:p>
    <w:p w14:paraId="56CA3808">
      <w:pPr>
        <w:keepNext w:val="0"/>
        <w:keepLines w:val="0"/>
        <w:pageBreakBefore w:val="0"/>
        <w:kinsoku/>
        <w:wordWrap/>
        <w:overflowPunct/>
        <w:topLinePunct w:val="0"/>
        <w:bidi w:val="0"/>
        <w:snapToGrid/>
        <w:spacing w:line="540" w:lineRule="exact"/>
        <w:ind w:firstLine="420" w:firstLineChars="200"/>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 xml:space="preserve">（7）遵守政府协议保密规定，做好“小岛菜篮”应用平台居民个人信息及销售数据资料的保密工作，防止信息泄露，采用加密技术保障线上交易安全；     </w:t>
      </w:r>
    </w:p>
    <w:p w14:paraId="267D1BDA">
      <w:pPr>
        <w:pStyle w:val="18"/>
        <w:keepNext w:val="0"/>
        <w:keepLines w:val="0"/>
        <w:pageBreakBefore w:val="0"/>
        <w:kinsoku/>
        <w:wordWrap/>
        <w:overflowPunct/>
        <w:topLinePunct w:val="0"/>
        <w:bidi w:val="0"/>
        <w:snapToGrid/>
        <w:spacing w:after="0" w:line="540" w:lineRule="exact"/>
        <w:ind w:left="0" w:leftChars="0" w:firstLine="404" w:firstLineChars="200"/>
        <w:textAlignment w:val="auto"/>
        <w:rPr>
          <w:rFonts w:hint="eastAsia" w:ascii="宋体" w:hAnsi="宋体" w:eastAsia="宋体" w:cs="宋体"/>
          <w:b w:val="0"/>
          <w:color w:val="auto"/>
          <w:kern w:val="0"/>
          <w:sz w:val="21"/>
          <w:szCs w:val="21"/>
          <w:highlight w:val="none"/>
          <w:lang w:val="en-US" w:eastAsia="zh-CN" w:bidi="ar-SA"/>
        </w:rPr>
      </w:pPr>
      <w:r>
        <w:rPr>
          <w:rFonts w:hint="eastAsia" w:ascii="宋体" w:hAnsi="宋体" w:eastAsia="宋体" w:cs="宋体"/>
          <w:b w:val="0"/>
          <w:color w:val="auto"/>
          <w:kern w:val="0"/>
          <w:sz w:val="21"/>
          <w:szCs w:val="21"/>
          <w:highlight w:val="none"/>
          <w:lang w:val="en-US" w:eastAsia="zh-CN" w:bidi="ar-SA"/>
        </w:rPr>
        <w:t>（8）有关工作人员持健康证上岗，严格遵守食品卫生操作规范；</w:t>
      </w:r>
    </w:p>
    <w:p w14:paraId="7C05C7AD">
      <w:pPr>
        <w:pStyle w:val="19"/>
        <w:keepNext w:val="0"/>
        <w:keepLines w:val="0"/>
        <w:pageBreakBefore w:val="0"/>
        <w:kinsoku/>
        <w:wordWrap/>
        <w:overflowPunct/>
        <w:topLinePunct w:val="0"/>
        <w:bidi w:val="0"/>
        <w:snapToGrid/>
        <w:spacing w:before="0" w:after="0" w:line="540" w:lineRule="exact"/>
        <w:ind w:firstLine="420" w:firstLineChars="200"/>
        <w:jc w:val="both"/>
        <w:textAlignment w:val="auto"/>
        <w:rPr>
          <w:rFonts w:hint="eastAsia"/>
          <w:sz w:val="21"/>
          <w:szCs w:val="21"/>
          <w:lang w:val="en-US" w:eastAsia="zh-CN"/>
        </w:rPr>
      </w:pPr>
      <w:r>
        <w:rPr>
          <w:rFonts w:hint="eastAsia" w:ascii="宋体" w:hAnsi="宋体" w:eastAsia="宋体" w:cs="宋体"/>
          <w:b w:val="0"/>
          <w:color w:val="auto"/>
          <w:kern w:val="0"/>
          <w:sz w:val="21"/>
          <w:szCs w:val="21"/>
          <w:highlight w:val="none"/>
          <w:lang w:val="en-US" w:eastAsia="zh-CN" w:bidi="ar-SA"/>
        </w:rPr>
        <w:t>（9）高温季节做好保鲜措施 ，运用环保保温箱，避免挤压损伤，确保运输过程中的品质；</w:t>
      </w:r>
    </w:p>
    <w:p w14:paraId="6AAABA23">
      <w:pPr>
        <w:keepNext w:val="0"/>
        <w:keepLines w:val="0"/>
        <w:pageBreakBefore w:val="0"/>
        <w:widowControl/>
        <w:kinsoku/>
        <w:wordWrap/>
        <w:overflowPunct/>
        <w:topLinePunct w:val="0"/>
        <w:autoSpaceDE/>
        <w:autoSpaceDN/>
        <w:bidi w:val="0"/>
        <w:adjustRightInd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投标企业应严格遵守《</w:t>
      </w:r>
      <w:r>
        <w:rPr>
          <w:rFonts w:hint="eastAsia" w:ascii="宋体" w:hAnsi="宋体" w:eastAsia="宋体" w:cs="宋体"/>
          <w:color w:val="auto"/>
          <w:kern w:val="0"/>
          <w:sz w:val="21"/>
          <w:szCs w:val="21"/>
          <w:highlight w:val="none"/>
          <w:lang w:eastAsia="zh-CN"/>
        </w:rPr>
        <w:t>中华人民共和国食品安全法</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rPr>
        <w:t>以及与食品安全相</w:t>
      </w:r>
      <w:r>
        <w:rPr>
          <w:rFonts w:hint="eastAsia" w:ascii="宋体" w:hAnsi="宋体" w:eastAsia="宋体" w:cs="宋体"/>
          <w:color w:val="auto"/>
          <w:kern w:val="0"/>
          <w:sz w:val="21"/>
          <w:szCs w:val="21"/>
          <w:highlight w:val="none"/>
        </w:rPr>
        <w:t>关</w:t>
      </w:r>
      <w:r>
        <w:rPr>
          <w:rFonts w:hint="eastAsia" w:ascii="宋体" w:hAnsi="宋体" w:eastAsia="宋体" w:cs="宋体"/>
          <w:color w:val="auto"/>
          <w:kern w:val="0"/>
          <w:sz w:val="21"/>
          <w:szCs w:val="21"/>
          <w:highlight w:val="none"/>
          <w:lang w:val="en-US" w:eastAsia="zh-CN"/>
        </w:rPr>
        <w:t>的其他法律</w:t>
      </w:r>
      <w:r>
        <w:rPr>
          <w:rFonts w:hint="eastAsia" w:ascii="宋体" w:hAnsi="宋体" w:eastAsia="宋体" w:cs="宋体"/>
          <w:color w:val="auto"/>
          <w:kern w:val="0"/>
          <w:sz w:val="21"/>
          <w:szCs w:val="21"/>
          <w:highlight w:val="none"/>
        </w:rPr>
        <w:t>规定，一经发现供应以下食品，除全部退货外，将取消</w:t>
      </w:r>
      <w:r>
        <w:rPr>
          <w:rFonts w:hint="eastAsia" w:ascii="宋体" w:hAnsi="宋体" w:eastAsia="宋体" w:cs="宋体"/>
          <w:color w:val="auto"/>
          <w:kern w:val="0"/>
          <w:sz w:val="21"/>
          <w:szCs w:val="21"/>
          <w:highlight w:val="none"/>
          <w:lang w:eastAsia="zh-CN"/>
        </w:rPr>
        <w:t>海岛“菜篮子”商品配送服务</w:t>
      </w:r>
      <w:r>
        <w:rPr>
          <w:rFonts w:hint="eastAsia" w:ascii="宋体" w:hAnsi="宋体" w:eastAsia="宋体" w:cs="宋体"/>
          <w:color w:val="auto"/>
          <w:kern w:val="0"/>
          <w:sz w:val="21"/>
          <w:szCs w:val="21"/>
          <w:highlight w:val="none"/>
        </w:rPr>
        <w:t xml:space="preserve">资格，并承担由此造成的经济责任和法律责任： </w:t>
      </w:r>
    </w:p>
    <w:p w14:paraId="45C9DC72">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rPr>
        <w:t>①</w:t>
      </w:r>
      <w:r>
        <w:rPr>
          <w:rFonts w:hint="eastAsia" w:ascii="宋体" w:hAnsi="宋体" w:eastAsia="宋体" w:cs="宋体"/>
          <w:color w:val="auto"/>
          <w:kern w:val="0"/>
          <w:sz w:val="21"/>
          <w:szCs w:val="21"/>
          <w:highlight w:val="none"/>
        </w:rPr>
        <w:t>腐败变质、霉变、生虫、污秽不洁、混有异物或者其他感官性状异常，可能对人体健康有害的</w:t>
      </w:r>
      <w:r>
        <w:rPr>
          <w:rFonts w:hint="eastAsia" w:ascii="宋体" w:hAnsi="宋体" w:eastAsia="宋体" w:cs="宋体"/>
          <w:color w:val="auto"/>
          <w:kern w:val="0"/>
          <w:sz w:val="21"/>
          <w:szCs w:val="21"/>
          <w:highlight w:val="none"/>
          <w:lang w:eastAsia="zh-CN"/>
        </w:rPr>
        <w:t>；</w:t>
      </w:r>
    </w:p>
    <w:p w14:paraId="42455E9D">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②</w:t>
      </w:r>
      <w:r>
        <w:rPr>
          <w:rFonts w:hint="eastAsia" w:ascii="宋体" w:hAnsi="宋体" w:eastAsia="宋体" w:cs="宋体"/>
          <w:color w:val="auto"/>
          <w:kern w:val="0"/>
          <w:sz w:val="21"/>
          <w:szCs w:val="21"/>
          <w:highlight w:val="none"/>
        </w:rPr>
        <w:t>含有毒、有害物质或者被有害物质污染，对人体健康有害的</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p>
    <w:p w14:paraId="4E554950">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③</w:t>
      </w:r>
      <w:r>
        <w:rPr>
          <w:rFonts w:hint="eastAsia" w:ascii="宋体" w:hAnsi="宋体" w:eastAsia="宋体" w:cs="宋体"/>
          <w:color w:val="auto"/>
          <w:kern w:val="0"/>
          <w:sz w:val="21"/>
          <w:szCs w:val="21"/>
          <w:highlight w:val="none"/>
        </w:rPr>
        <w:t>含有致病性寄生虫、微生物或者微生物含量超过国家限定标准的</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p>
    <w:p w14:paraId="5A65E4F1">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rPr>
        <w:t>④</w:t>
      </w:r>
      <w:r>
        <w:rPr>
          <w:rFonts w:hint="eastAsia" w:ascii="宋体" w:hAnsi="宋体" w:eastAsia="宋体" w:cs="宋体"/>
          <w:color w:val="auto"/>
          <w:kern w:val="0"/>
          <w:sz w:val="21"/>
          <w:szCs w:val="21"/>
          <w:highlight w:val="none"/>
        </w:rPr>
        <w:t>掺假、掺杂、伪造，影响营养、卫生的</w:t>
      </w:r>
      <w:r>
        <w:rPr>
          <w:rFonts w:hint="eastAsia" w:ascii="宋体" w:hAnsi="宋体" w:eastAsia="宋体" w:cs="宋体"/>
          <w:color w:val="auto"/>
          <w:kern w:val="0"/>
          <w:sz w:val="21"/>
          <w:szCs w:val="21"/>
          <w:highlight w:val="none"/>
          <w:lang w:eastAsia="zh-CN"/>
        </w:rPr>
        <w:t>；</w:t>
      </w:r>
    </w:p>
    <w:p w14:paraId="0960E53B">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⑤</w:t>
      </w:r>
      <w:r>
        <w:rPr>
          <w:rFonts w:hint="eastAsia" w:ascii="宋体" w:hAnsi="宋体" w:eastAsia="宋体" w:cs="宋体"/>
          <w:color w:val="auto"/>
          <w:kern w:val="0"/>
          <w:sz w:val="21"/>
          <w:szCs w:val="21"/>
          <w:highlight w:val="none"/>
        </w:rPr>
        <w:t>用非食品原料加工的，加入非食品用化学物质或者将非食品当作食品的</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p>
    <w:p w14:paraId="549E60FF">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rPr>
        <w:t>⑥</w:t>
      </w:r>
      <w:r>
        <w:rPr>
          <w:rFonts w:hint="eastAsia" w:ascii="宋体" w:hAnsi="宋体" w:eastAsia="宋体" w:cs="宋体"/>
          <w:color w:val="auto"/>
          <w:kern w:val="0"/>
          <w:sz w:val="21"/>
          <w:szCs w:val="21"/>
          <w:highlight w:val="none"/>
        </w:rPr>
        <w:t>超过保质期限的</w:t>
      </w:r>
      <w:r>
        <w:rPr>
          <w:rFonts w:hint="eastAsia" w:ascii="宋体" w:hAnsi="宋体" w:eastAsia="宋体" w:cs="宋体"/>
          <w:color w:val="auto"/>
          <w:kern w:val="0"/>
          <w:sz w:val="21"/>
          <w:szCs w:val="21"/>
          <w:highlight w:val="none"/>
          <w:lang w:eastAsia="zh-CN"/>
        </w:rPr>
        <w:t>；</w:t>
      </w:r>
    </w:p>
    <w:p w14:paraId="1950AF1B">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⑦</w:t>
      </w:r>
      <w:r>
        <w:rPr>
          <w:rFonts w:hint="eastAsia" w:ascii="宋体" w:hAnsi="宋体" w:eastAsia="宋体" w:cs="宋体"/>
          <w:color w:val="auto"/>
          <w:kern w:val="0"/>
          <w:sz w:val="21"/>
          <w:szCs w:val="21"/>
          <w:highlight w:val="none"/>
        </w:rPr>
        <w:t xml:space="preserve">其他违反法律法规的。  </w:t>
      </w:r>
    </w:p>
    <w:p w14:paraId="59B48E3D">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rPr>
        <w:t xml:space="preserve">、配送要求： </w:t>
      </w:r>
    </w:p>
    <w:p w14:paraId="3318C946">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 xml:space="preserve">定价方法 </w:t>
      </w:r>
    </w:p>
    <w:p w14:paraId="4760D50D">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①</w:t>
      </w:r>
      <w:r>
        <w:rPr>
          <w:rFonts w:hint="eastAsia" w:ascii="宋体" w:hAnsi="宋体" w:eastAsia="宋体" w:cs="宋体"/>
          <w:color w:val="auto"/>
          <w:kern w:val="0"/>
          <w:sz w:val="21"/>
          <w:szCs w:val="21"/>
          <w:highlight w:val="none"/>
        </w:rPr>
        <w:t>所有配送</w:t>
      </w:r>
      <w:r>
        <w:rPr>
          <w:rFonts w:hint="eastAsia" w:ascii="宋体" w:hAnsi="宋体" w:eastAsia="宋体" w:cs="宋体"/>
          <w:color w:val="auto"/>
          <w:kern w:val="0"/>
          <w:sz w:val="21"/>
          <w:szCs w:val="21"/>
          <w:highlight w:val="none"/>
          <w:lang w:eastAsia="zh-CN"/>
        </w:rPr>
        <w:t>“菜篮子”商品</w:t>
      </w:r>
      <w:r>
        <w:rPr>
          <w:rFonts w:hint="eastAsia" w:ascii="宋体" w:hAnsi="宋体" w:eastAsia="宋体" w:cs="宋体"/>
          <w:color w:val="auto"/>
          <w:kern w:val="0"/>
          <w:sz w:val="21"/>
          <w:szCs w:val="21"/>
          <w:highlight w:val="none"/>
        </w:rPr>
        <w:t>的价格按每</w:t>
      </w:r>
      <w:r>
        <w:rPr>
          <w:rFonts w:hint="eastAsia" w:ascii="宋体" w:hAnsi="宋体" w:eastAsia="宋体" w:cs="宋体"/>
          <w:color w:val="auto"/>
          <w:kern w:val="0"/>
          <w:sz w:val="21"/>
          <w:szCs w:val="21"/>
          <w:highlight w:val="none"/>
          <w:lang w:val="en-US" w:eastAsia="zh-CN"/>
        </w:rPr>
        <w:t>周一次定价，且在“小岛菜篮”平台进行商品上架及价格调整</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r>
        <w:rPr>
          <w:rFonts w:hint="eastAsia" w:ascii="宋体" w:hAnsi="宋体" w:eastAsia="宋体" w:cs="宋体"/>
          <w:b/>
          <w:color w:val="auto"/>
          <w:kern w:val="0"/>
          <w:sz w:val="21"/>
          <w:szCs w:val="21"/>
          <w:highlight w:val="none"/>
        </w:rPr>
        <w:t xml:space="preserve"> </w:t>
      </w:r>
    </w:p>
    <w:p w14:paraId="5F6C7E9C">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②海岛户籍居民（含申请备案的政府机构、国有企业）采购“菜篮子”商品的价格，参照区级“菜篮子”惠民店价格执行，</w:t>
      </w:r>
      <w:r>
        <w:rPr>
          <w:rFonts w:hint="eastAsia" w:ascii="宋体" w:hAnsi="宋体" w:eastAsia="宋体" w:cs="宋体"/>
          <w:color w:val="auto"/>
          <w:kern w:val="0"/>
          <w:sz w:val="21"/>
          <w:szCs w:val="21"/>
          <w:highlight w:val="none"/>
          <w:lang w:val="zh-CN" w:eastAsia="zh-CN"/>
        </w:rPr>
        <w:t>蔬菜、猪肉基本品种供应价格，同比当地农贸市场低</w:t>
      </w:r>
      <w:r>
        <w:rPr>
          <w:rFonts w:hint="default" w:ascii="宋体" w:hAnsi="宋体" w:eastAsia="宋体" w:cs="宋体"/>
          <w:color w:val="auto"/>
          <w:kern w:val="0"/>
          <w:sz w:val="21"/>
          <w:szCs w:val="21"/>
          <w:highlight w:val="none"/>
          <w:lang w:val="en-US" w:eastAsia="zh-CN"/>
        </w:rPr>
        <w:t>10%</w:t>
      </w:r>
      <w:r>
        <w:rPr>
          <w:rFonts w:hint="eastAsia" w:ascii="宋体" w:hAnsi="宋体" w:eastAsia="宋体" w:cs="宋体"/>
          <w:color w:val="auto"/>
          <w:kern w:val="0"/>
          <w:sz w:val="21"/>
          <w:szCs w:val="21"/>
          <w:highlight w:val="none"/>
          <w:lang w:val="zh-CN" w:eastAsia="zh-CN"/>
        </w:rPr>
        <w:t>以上，其中</w:t>
      </w:r>
      <w:r>
        <w:rPr>
          <w:rFonts w:hint="eastAsia" w:ascii="宋体" w:hAnsi="宋体" w:eastAsia="宋体" w:cs="宋体"/>
          <w:color w:val="auto"/>
          <w:kern w:val="0"/>
          <w:sz w:val="21"/>
          <w:szCs w:val="21"/>
          <w:highlight w:val="none"/>
          <w:lang w:val="en-US" w:eastAsia="zh-CN"/>
        </w:rPr>
        <w:t>32种政府调控蔬菜按照实际要求执行</w:t>
      </w:r>
      <w:r>
        <w:rPr>
          <w:rFonts w:hint="eastAsia" w:ascii="宋体" w:hAnsi="宋体" w:eastAsia="宋体" w:cs="宋体"/>
          <w:color w:val="auto"/>
          <w:kern w:val="0"/>
          <w:sz w:val="21"/>
          <w:szCs w:val="21"/>
          <w:highlight w:val="none"/>
          <w:lang w:val="zh-CN" w:eastAsia="zh-CN"/>
        </w:rPr>
        <w:t>；豆制品、禽蛋基本品种供应价格，同比当地农贸市场低</w:t>
      </w:r>
      <w:r>
        <w:rPr>
          <w:rFonts w:hint="default"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val="zh-CN" w:eastAsia="zh-CN"/>
        </w:rPr>
        <w:t>以上，</w:t>
      </w:r>
      <w:r>
        <w:rPr>
          <w:rFonts w:hint="eastAsia" w:ascii="宋体" w:hAnsi="宋体" w:eastAsia="宋体" w:cs="宋体"/>
          <w:color w:val="auto"/>
          <w:kern w:val="0"/>
          <w:sz w:val="21"/>
          <w:szCs w:val="21"/>
          <w:highlight w:val="none"/>
          <w:lang w:eastAsia="zh-CN"/>
        </w:rPr>
        <w:t>每</w:t>
      </w:r>
      <w:r>
        <w:rPr>
          <w:rFonts w:hint="eastAsia" w:ascii="宋体" w:hAnsi="宋体" w:eastAsia="宋体" w:cs="宋体"/>
          <w:color w:val="auto"/>
          <w:kern w:val="0"/>
          <w:sz w:val="21"/>
          <w:szCs w:val="21"/>
          <w:highlight w:val="none"/>
          <w:lang w:val="en-US" w:eastAsia="zh-CN"/>
        </w:rPr>
        <w:t>周一</w:t>
      </w:r>
      <w:r>
        <w:rPr>
          <w:rFonts w:hint="eastAsia" w:ascii="宋体" w:hAnsi="宋体" w:eastAsia="宋体" w:cs="宋体"/>
          <w:color w:val="auto"/>
          <w:kern w:val="0"/>
          <w:sz w:val="21"/>
          <w:szCs w:val="21"/>
          <w:highlight w:val="none"/>
          <w:lang w:eastAsia="zh-CN"/>
        </w:rPr>
        <w:t>“普陀潮”发布</w:t>
      </w:r>
      <w:r>
        <w:rPr>
          <w:rFonts w:hint="eastAsia" w:ascii="宋体" w:hAnsi="宋体" w:eastAsia="宋体" w:cs="宋体"/>
          <w:color w:val="auto"/>
          <w:kern w:val="0"/>
          <w:sz w:val="21"/>
          <w:szCs w:val="21"/>
          <w:highlight w:val="none"/>
          <w:lang w:val="zh-CN" w:eastAsia="zh-CN"/>
        </w:rPr>
        <w:t>农贸市场均价</w:t>
      </w:r>
      <w:r>
        <w:rPr>
          <w:rFonts w:hint="eastAsia" w:ascii="宋体" w:hAnsi="宋体" w:eastAsia="宋体" w:cs="宋体"/>
          <w:color w:val="auto"/>
          <w:kern w:val="0"/>
          <w:sz w:val="21"/>
          <w:szCs w:val="21"/>
          <w:highlight w:val="none"/>
          <w:lang w:eastAsia="zh-CN"/>
        </w:rPr>
        <w:t>；春节、伏休期、中秋、国庆等时段，根据区“菜篮子”办公室通知，同步实施海岛“菜篮子”商品平价供应活动，价格按照区级平价供应要求执行；</w:t>
      </w:r>
    </w:p>
    <w:p w14:paraId="6C181FBC">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③除海岛户籍居民（含申请备案的政府机构、国有企业）以外采购“菜篮子”商品的价格，参照每</w:t>
      </w:r>
      <w:r>
        <w:rPr>
          <w:rFonts w:hint="eastAsia" w:ascii="宋体" w:hAnsi="宋体" w:eastAsia="宋体" w:cs="宋体"/>
          <w:color w:val="auto"/>
          <w:kern w:val="0"/>
          <w:sz w:val="21"/>
          <w:szCs w:val="21"/>
          <w:highlight w:val="none"/>
          <w:lang w:val="en-US" w:eastAsia="zh-CN"/>
        </w:rPr>
        <w:t>周一</w:t>
      </w:r>
      <w:r>
        <w:rPr>
          <w:rFonts w:hint="eastAsia" w:ascii="宋体" w:hAnsi="宋体" w:eastAsia="宋体" w:cs="宋体"/>
          <w:color w:val="auto"/>
          <w:kern w:val="0"/>
          <w:sz w:val="21"/>
          <w:szCs w:val="21"/>
          <w:highlight w:val="none"/>
          <w:lang w:eastAsia="zh-CN"/>
        </w:rPr>
        <w:t>“普陀潮”发布</w:t>
      </w:r>
      <w:r>
        <w:rPr>
          <w:rFonts w:hint="eastAsia" w:ascii="宋体" w:hAnsi="宋体" w:eastAsia="宋体" w:cs="宋体"/>
          <w:color w:val="auto"/>
          <w:kern w:val="0"/>
          <w:sz w:val="21"/>
          <w:szCs w:val="21"/>
          <w:highlight w:val="none"/>
          <w:lang w:val="zh-CN" w:eastAsia="zh-CN"/>
        </w:rPr>
        <w:t>农贸市场均价合理定价，并在“小岛菜篮”应用平台标明配送费用。</w:t>
      </w:r>
    </w:p>
    <w:p w14:paraId="1678729C">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④</w:t>
      </w:r>
      <w:r>
        <w:rPr>
          <w:rFonts w:hint="eastAsia" w:ascii="宋体" w:hAnsi="宋体" w:eastAsia="宋体" w:cs="宋体"/>
          <w:color w:val="auto"/>
          <w:kern w:val="0"/>
          <w:sz w:val="21"/>
          <w:szCs w:val="21"/>
          <w:highlight w:val="none"/>
        </w:rPr>
        <w:t>每</w:t>
      </w:r>
      <w:r>
        <w:rPr>
          <w:rFonts w:hint="eastAsia" w:ascii="宋体" w:hAnsi="宋体" w:eastAsia="宋体" w:cs="宋体"/>
          <w:color w:val="auto"/>
          <w:kern w:val="0"/>
          <w:sz w:val="21"/>
          <w:szCs w:val="21"/>
          <w:highlight w:val="none"/>
          <w:lang w:val="en-US" w:eastAsia="zh-CN"/>
        </w:rPr>
        <w:t>周一</w:t>
      </w:r>
      <w:r>
        <w:rPr>
          <w:rFonts w:hint="eastAsia" w:ascii="宋体" w:hAnsi="宋体" w:eastAsia="宋体" w:cs="宋体"/>
          <w:color w:val="auto"/>
          <w:kern w:val="0"/>
          <w:sz w:val="21"/>
          <w:szCs w:val="21"/>
          <w:highlight w:val="none"/>
        </w:rPr>
        <w:t>确定</w:t>
      </w:r>
      <w:r>
        <w:rPr>
          <w:rFonts w:hint="eastAsia" w:ascii="宋体" w:hAnsi="宋体" w:eastAsia="宋体" w:cs="宋体"/>
          <w:color w:val="auto"/>
          <w:kern w:val="0"/>
          <w:sz w:val="21"/>
          <w:szCs w:val="21"/>
          <w:highlight w:val="none"/>
          <w:lang w:eastAsia="zh-CN"/>
        </w:rPr>
        <w:t>本</w:t>
      </w:r>
      <w:r>
        <w:rPr>
          <w:rFonts w:hint="eastAsia" w:ascii="宋体" w:hAnsi="宋体" w:eastAsia="宋体" w:cs="宋体"/>
          <w:color w:val="auto"/>
          <w:kern w:val="0"/>
          <w:sz w:val="21"/>
          <w:szCs w:val="21"/>
          <w:highlight w:val="none"/>
          <w:lang w:val="en-US" w:eastAsia="zh-CN"/>
        </w:rPr>
        <w:t>周</w:t>
      </w:r>
      <w:r>
        <w:rPr>
          <w:rFonts w:hint="eastAsia" w:ascii="宋体" w:hAnsi="宋体" w:eastAsia="宋体" w:cs="宋体"/>
          <w:color w:val="auto"/>
          <w:kern w:val="0"/>
          <w:sz w:val="21"/>
          <w:szCs w:val="21"/>
          <w:highlight w:val="none"/>
        </w:rPr>
        <w:t>的</w:t>
      </w:r>
      <w:r>
        <w:rPr>
          <w:rFonts w:hint="eastAsia" w:ascii="宋体" w:hAnsi="宋体" w:eastAsia="宋体" w:cs="宋体"/>
          <w:color w:val="auto"/>
          <w:kern w:val="0"/>
          <w:sz w:val="21"/>
          <w:szCs w:val="21"/>
          <w:highlight w:val="none"/>
          <w:lang w:eastAsia="zh-CN"/>
        </w:rPr>
        <w:t>“菜篮子”商品</w:t>
      </w:r>
      <w:r>
        <w:rPr>
          <w:rFonts w:hint="eastAsia" w:ascii="宋体" w:hAnsi="宋体" w:eastAsia="宋体" w:cs="宋体"/>
          <w:color w:val="auto"/>
          <w:kern w:val="0"/>
          <w:sz w:val="21"/>
          <w:szCs w:val="21"/>
          <w:highlight w:val="none"/>
        </w:rPr>
        <w:t>价格，结算时以此作为依据。价格经双方确认后，无论市场价格怎样变化，本周</w:t>
      </w:r>
      <w:r>
        <w:rPr>
          <w:rFonts w:hint="eastAsia" w:ascii="宋体" w:hAnsi="宋体" w:eastAsia="宋体" w:cs="宋体"/>
          <w:color w:val="auto"/>
          <w:kern w:val="0"/>
          <w:sz w:val="21"/>
          <w:szCs w:val="21"/>
          <w:highlight w:val="none"/>
          <w:lang w:val="en-US" w:eastAsia="zh-CN"/>
        </w:rPr>
        <w:t>期</w:t>
      </w:r>
      <w:r>
        <w:rPr>
          <w:rFonts w:hint="eastAsia" w:ascii="宋体" w:hAnsi="宋体" w:eastAsia="宋体" w:cs="宋体"/>
          <w:color w:val="auto"/>
          <w:kern w:val="0"/>
          <w:sz w:val="21"/>
          <w:szCs w:val="21"/>
          <w:highlight w:val="none"/>
        </w:rPr>
        <w:t>配送价格将不予调整</w:t>
      </w:r>
      <w:r>
        <w:rPr>
          <w:rFonts w:hint="eastAsia" w:ascii="宋体" w:hAnsi="宋体" w:eastAsia="宋体" w:cs="宋体"/>
          <w:color w:val="auto"/>
          <w:kern w:val="0"/>
          <w:sz w:val="21"/>
          <w:szCs w:val="21"/>
          <w:highlight w:val="none"/>
          <w:lang w:eastAsia="zh-CN"/>
        </w:rPr>
        <w:t>；</w:t>
      </w:r>
    </w:p>
    <w:p w14:paraId="098BFA76">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⑤指定专职人员，做好“小岛菜篮”应用后台数据管理，每周及时调整公开“菜篮子”商品</w:t>
      </w:r>
      <w:r>
        <w:rPr>
          <w:rFonts w:hint="eastAsia" w:ascii="宋体" w:hAnsi="宋体" w:eastAsia="宋体" w:cs="宋体"/>
          <w:color w:val="auto"/>
          <w:kern w:val="0"/>
          <w:sz w:val="21"/>
          <w:szCs w:val="21"/>
          <w:highlight w:val="none"/>
        </w:rPr>
        <w:t>价格</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 </w:t>
      </w:r>
    </w:p>
    <w:p w14:paraId="640A9252">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下单订货 </w:t>
      </w:r>
    </w:p>
    <w:p w14:paraId="0F720EE5">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①海岛居民或企事业单位运用“小岛菜篮”应用平台下单或者线下接单</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eastAsia="zh-CN"/>
        </w:rPr>
        <w:t>中标单位根据“小岛菜篮”</w:t>
      </w:r>
      <w:r>
        <w:rPr>
          <w:rFonts w:hint="eastAsia" w:ascii="宋体" w:hAnsi="宋体" w:eastAsia="宋体" w:cs="宋体"/>
          <w:color w:val="auto"/>
          <w:kern w:val="0"/>
          <w:sz w:val="21"/>
          <w:szCs w:val="21"/>
          <w:highlight w:val="none"/>
        </w:rPr>
        <w:t>订单</w:t>
      </w:r>
      <w:r>
        <w:rPr>
          <w:rFonts w:hint="eastAsia" w:ascii="宋体" w:hAnsi="宋体" w:eastAsia="宋体" w:cs="宋体"/>
          <w:color w:val="auto"/>
          <w:kern w:val="0"/>
          <w:sz w:val="21"/>
          <w:szCs w:val="21"/>
          <w:highlight w:val="none"/>
          <w:lang w:eastAsia="zh-CN"/>
        </w:rPr>
        <w:t>信息或者线下接单信息，做好海岛“菜篮子”商品需求订单接单、备货、出货及配送，并注明配送“菜篮子”商品</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lang w:eastAsia="zh-CN"/>
        </w:rPr>
        <w:t>类别</w:t>
      </w:r>
      <w:r>
        <w:rPr>
          <w:rFonts w:hint="eastAsia" w:ascii="宋体" w:hAnsi="宋体" w:eastAsia="宋体" w:cs="宋体"/>
          <w:color w:val="auto"/>
          <w:kern w:val="0"/>
          <w:sz w:val="21"/>
          <w:szCs w:val="21"/>
          <w:highlight w:val="none"/>
        </w:rPr>
        <w:t>、规格、数量、运送时间、送达地点、订单联系人等</w:t>
      </w:r>
      <w:r>
        <w:rPr>
          <w:rFonts w:hint="eastAsia" w:ascii="宋体" w:hAnsi="宋体" w:eastAsia="宋体" w:cs="宋体"/>
          <w:color w:val="auto"/>
          <w:kern w:val="0"/>
          <w:sz w:val="21"/>
          <w:szCs w:val="21"/>
          <w:highlight w:val="none"/>
          <w:lang w:eastAsia="zh-CN"/>
        </w:rPr>
        <w:t>要素；</w:t>
      </w:r>
      <w:r>
        <w:rPr>
          <w:rFonts w:hint="eastAsia" w:ascii="宋体" w:hAnsi="宋体" w:eastAsia="宋体" w:cs="宋体"/>
          <w:color w:val="auto"/>
          <w:kern w:val="0"/>
          <w:sz w:val="21"/>
          <w:szCs w:val="21"/>
          <w:highlight w:val="none"/>
        </w:rPr>
        <w:t xml:space="preserve"> </w:t>
      </w:r>
    </w:p>
    <w:p w14:paraId="4C2F5705">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②中标单位</w:t>
      </w:r>
      <w:r>
        <w:rPr>
          <w:rFonts w:hint="eastAsia" w:ascii="宋体" w:hAnsi="宋体" w:eastAsia="宋体" w:cs="宋体"/>
          <w:color w:val="auto"/>
          <w:kern w:val="0"/>
          <w:sz w:val="21"/>
          <w:szCs w:val="21"/>
          <w:highlight w:val="none"/>
        </w:rPr>
        <w:t>接到</w:t>
      </w:r>
      <w:r>
        <w:rPr>
          <w:rFonts w:hint="eastAsia" w:ascii="宋体" w:hAnsi="宋体" w:eastAsia="宋体" w:cs="宋体"/>
          <w:color w:val="auto"/>
          <w:kern w:val="0"/>
          <w:sz w:val="21"/>
          <w:szCs w:val="21"/>
          <w:highlight w:val="none"/>
          <w:lang w:eastAsia="zh-CN"/>
        </w:rPr>
        <w:t>海岛居民或企事业单位</w:t>
      </w:r>
      <w:r>
        <w:rPr>
          <w:rFonts w:hint="eastAsia" w:ascii="宋体" w:hAnsi="宋体" w:eastAsia="宋体" w:cs="宋体"/>
          <w:color w:val="auto"/>
          <w:kern w:val="0"/>
          <w:sz w:val="21"/>
          <w:szCs w:val="21"/>
          <w:highlight w:val="none"/>
        </w:rPr>
        <w:t>订单后，个别</w:t>
      </w:r>
      <w:r>
        <w:rPr>
          <w:rFonts w:hint="eastAsia" w:ascii="宋体" w:hAnsi="宋体" w:eastAsia="宋体" w:cs="宋体"/>
          <w:color w:val="auto"/>
          <w:kern w:val="0"/>
          <w:sz w:val="21"/>
          <w:szCs w:val="21"/>
          <w:highlight w:val="none"/>
          <w:lang w:eastAsia="zh-CN"/>
        </w:rPr>
        <w:t>食材</w:t>
      </w:r>
      <w:r>
        <w:rPr>
          <w:rFonts w:hint="eastAsia" w:ascii="宋体" w:hAnsi="宋体" w:eastAsia="宋体" w:cs="宋体"/>
          <w:color w:val="auto"/>
          <w:kern w:val="0"/>
          <w:sz w:val="21"/>
          <w:szCs w:val="21"/>
          <w:highlight w:val="none"/>
        </w:rPr>
        <w:t>品种因缺货而无法提供的，供应商应在接到订单当</w:t>
      </w:r>
      <w:r>
        <w:rPr>
          <w:rFonts w:hint="eastAsia" w:ascii="宋体" w:hAnsi="宋体" w:eastAsia="宋体" w:cs="宋体"/>
          <w:color w:val="auto"/>
          <w:kern w:val="0"/>
          <w:sz w:val="21"/>
          <w:szCs w:val="21"/>
          <w:highlight w:val="none"/>
          <w:lang w:eastAsia="zh-CN"/>
        </w:rPr>
        <w:t>日</w:t>
      </w:r>
      <w:r>
        <w:rPr>
          <w:rFonts w:hint="eastAsia" w:ascii="宋体" w:hAnsi="宋体" w:eastAsia="宋体" w:cs="宋体"/>
          <w:color w:val="auto"/>
          <w:kern w:val="0"/>
          <w:sz w:val="21"/>
          <w:szCs w:val="21"/>
          <w:highlight w:val="none"/>
        </w:rPr>
        <w:t>内及时</w:t>
      </w:r>
      <w:r>
        <w:rPr>
          <w:rFonts w:hint="eastAsia" w:ascii="宋体" w:hAnsi="宋体" w:eastAsia="宋体" w:cs="宋体"/>
          <w:color w:val="auto"/>
          <w:kern w:val="0"/>
          <w:sz w:val="21"/>
          <w:szCs w:val="21"/>
          <w:highlight w:val="none"/>
          <w:lang w:eastAsia="zh-CN"/>
        </w:rPr>
        <w:t>联系</w:t>
      </w:r>
      <w:r>
        <w:rPr>
          <w:rFonts w:hint="eastAsia" w:ascii="宋体" w:hAnsi="宋体" w:eastAsia="宋体" w:cs="宋体"/>
          <w:color w:val="auto"/>
          <w:kern w:val="0"/>
          <w:sz w:val="21"/>
          <w:szCs w:val="21"/>
          <w:highlight w:val="none"/>
        </w:rPr>
        <w:t>采购人</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并协商解决。 </w:t>
      </w:r>
    </w:p>
    <w:p w14:paraId="62B70008">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 xml:space="preserve">交货要求 </w:t>
      </w:r>
    </w:p>
    <w:p w14:paraId="131D69A0">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①中标单位按照海岛居民或企事业单位订单信息，必须提供足额的“菜篮子”商品，运输过程中确保商品的品质；</w:t>
      </w:r>
      <w:r>
        <w:rPr>
          <w:rFonts w:hint="eastAsia" w:ascii="宋体" w:hAnsi="宋体" w:eastAsia="宋体" w:cs="宋体"/>
          <w:color w:val="auto"/>
          <w:kern w:val="0"/>
          <w:sz w:val="21"/>
          <w:szCs w:val="21"/>
          <w:highlight w:val="none"/>
        </w:rPr>
        <w:t xml:space="preserve"> </w:t>
      </w:r>
    </w:p>
    <w:p w14:paraId="6124A8DB">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②所有供应“菜篮子”商品必须与订单信息一致，不得以次充好</w:t>
      </w:r>
      <w:r>
        <w:rPr>
          <w:rFonts w:hint="eastAsia" w:ascii="宋体" w:hAnsi="宋体" w:eastAsia="宋体" w:cs="宋体"/>
          <w:color w:val="auto"/>
          <w:kern w:val="0"/>
          <w:sz w:val="21"/>
          <w:szCs w:val="21"/>
          <w:highlight w:val="none"/>
        </w:rPr>
        <w:t xml:space="preserve">。 </w:t>
      </w:r>
    </w:p>
    <w:p w14:paraId="6387F04D">
      <w:pPr>
        <w:pStyle w:val="15"/>
        <w:keepNext w:val="0"/>
        <w:keepLines w:val="0"/>
        <w:pageBreakBefore w:val="0"/>
        <w:kinsoku/>
        <w:wordWrap/>
        <w:overflowPunct/>
        <w:topLinePunct w:val="0"/>
        <w:bidi w:val="0"/>
        <w:snapToGrid/>
        <w:spacing w:line="540" w:lineRule="exact"/>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③</w:t>
      </w:r>
      <w:r>
        <w:rPr>
          <w:rFonts w:hint="eastAsia" w:ascii="宋体" w:hAnsi="宋体" w:eastAsia="宋体" w:cs="宋体"/>
          <w:color w:val="auto"/>
          <w:kern w:val="0"/>
          <w:sz w:val="21"/>
          <w:szCs w:val="21"/>
          <w:highlight w:val="none"/>
        </w:rPr>
        <w:t>质量必须符合国家相关食品安全卫生标准，</w:t>
      </w:r>
      <w:r>
        <w:rPr>
          <w:rFonts w:hint="eastAsia" w:ascii="宋体" w:hAnsi="宋体" w:eastAsia="宋体" w:cs="宋体"/>
          <w:color w:val="auto"/>
          <w:kern w:val="0"/>
          <w:sz w:val="21"/>
          <w:szCs w:val="21"/>
          <w:highlight w:val="none"/>
          <w:lang w:eastAsia="zh-CN"/>
        </w:rPr>
        <w:t>若配送服务过程中接到群众举报，一经查实扣除相应补助经费</w:t>
      </w:r>
      <w:r>
        <w:rPr>
          <w:rFonts w:hint="eastAsia" w:ascii="宋体" w:hAnsi="宋体" w:eastAsia="宋体" w:cs="宋体"/>
          <w:color w:val="auto"/>
          <w:kern w:val="0"/>
          <w:sz w:val="21"/>
          <w:szCs w:val="21"/>
          <w:highlight w:val="none"/>
        </w:rPr>
        <w:t>。</w:t>
      </w:r>
    </w:p>
    <w:p w14:paraId="3BD84F99">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7、</w:t>
      </w:r>
      <w:r>
        <w:rPr>
          <w:rFonts w:hint="eastAsia" w:ascii="宋体" w:hAnsi="宋体" w:eastAsia="宋体" w:cs="宋体"/>
          <w:color w:val="auto"/>
          <w:kern w:val="0"/>
          <w:sz w:val="21"/>
          <w:szCs w:val="21"/>
          <w:highlight w:val="none"/>
        </w:rPr>
        <w:t xml:space="preserve">其他内容： </w:t>
      </w:r>
    </w:p>
    <w:p w14:paraId="41ADB8EF">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eastAsia="zh-CN"/>
        </w:rPr>
        <w:t>中标单位提供</w:t>
      </w:r>
      <w:r>
        <w:rPr>
          <w:rFonts w:hint="eastAsia" w:ascii="宋体" w:hAnsi="宋体" w:eastAsia="宋体" w:cs="宋体"/>
          <w:color w:val="auto"/>
          <w:kern w:val="0"/>
          <w:sz w:val="21"/>
          <w:szCs w:val="21"/>
          <w:highlight w:val="none"/>
        </w:rPr>
        <w:t xml:space="preserve">服务的应急措施的服务。 </w:t>
      </w:r>
    </w:p>
    <w:p w14:paraId="68379BD4">
      <w:pPr>
        <w:keepNext w:val="0"/>
        <w:keepLines w:val="0"/>
        <w:pageBreakBefore w:val="0"/>
        <w:widowControl/>
        <w:kinsoku/>
        <w:wordWrap/>
        <w:overflowPunct/>
        <w:topLinePunct w:val="0"/>
        <w:autoSpaceDE/>
        <w:autoSpaceDN/>
        <w:bidi w:val="0"/>
        <w:adjustRightInd/>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2）优惠承诺和特色服务等。 </w:t>
      </w:r>
    </w:p>
    <w:p w14:paraId="77639918">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3）无条件响应</w:t>
      </w:r>
      <w:r>
        <w:rPr>
          <w:rFonts w:hint="eastAsia" w:ascii="宋体" w:hAnsi="宋体" w:eastAsia="宋体" w:cs="宋体"/>
          <w:color w:val="auto"/>
          <w:kern w:val="0"/>
          <w:sz w:val="21"/>
          <w:szCs w:val="21"/>
          <w:highlight w:val="none"/>
          <w:lang w:eastAsia="zh-CN"/>
        </w:rPr>
        <w:t>采购方</w:t>
      </w:r>
      <w:r>
        <w:rPr>
          <w:rFonts w:hint="eastAsia" w:ascii="宋体" w:hAnsi="宋体" w:eastAsia="宋体" w:cs="宋体"/>
          <w:color w:val="auto"/>
          <w:kern w:val="0"/>
          <w:sz w:val="21"/>
          <w:szCs w:val="21"/>
          <w:highlight w:val="none"/>
        </w:rPr>
        <w:t xml:space="preserve">提出的补货、退货、换货要求。 </w:t>
      </w:r>
      <w:r>
        <w:rPr>
          <w:rFonts w:hint="eastAsia" w:ascii="宋体" w:hAnsi="宋体" w:eastAsia="宋体" w:cs="宋体"/>
          <w:b/>
          <w:color w:val="auto"/>
          <w:kern w:val="0"/>
          <w:sz w:val="21"/>
          <w:szCs w:val="21"/>
          <w:highlight w:val="none"/>
        </w:rPr>
        <w:t xml:space="preserve"> </w:t>
      </w:r>
    </w:p>
    <w:p w14:paraId="3E145BE0">
      <w:pPr>
        <w:keepNext w:val="0"/>
        <w:keepLines w:val="0"/>
        <w:pageBreakBefore w:val="0"/>
        <w:widowControl/>
        <w:kinsoku/>
        <w:wordWrap/>
        <w:overflowPunct/>
        <w:topLinePunct w:val="0"/>
        <w:bidi w:val="0"/>
        <w:snapToGrid/>
        <w:spacing w:line="540" w:lineRule="exact"/>
        <w:jc w:val="left"/>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rPr>
        <w:t>三</w:t>
      </w:r>
      <w:r>
        <w:rPr>
          <w:rFonts w:hint="eastAsia" w:ascii="宋体" w:hAnsi="宋体" w:eastAsia="宋体" w:cs="宋体"/>
          <w:b/>
          <w:color w:val="auto"/>
          <w:kern w:val="0"/>
          <w:sz w:val="21"/>
          <w:szCs w:val="21"/>
          <w:highlight w:val="none"/>
        </w:rPr>
        <w:t>、服务期限</w:t>
      </w:r>
      <w:r>
        <w:rPr>
          <w:rFonts w:hint="eastAsia" w:ascii="宋体" w:hAnsi="宋体" w:eastAsia="宋体" w:cs="宋体"/>
          <w:b/>
          <w:color w:val="auto"/>
          <w:kern w:val="0"/>
          <w:sz w:val="21"/>
          <w:szCs w:val="21"/>
          <w:highlight w:val="none"/>
          <w:lang w:eastAsia="zh-CN"/>
        </w:rPr>
        <w:t>和</w:t>
      </w:r>
      <w:r>
        <w:rPr>
          <w:rFonts w:hint="eastAsia" w:ascii="宋体" w:hAnsi="宋体" w:eastAsia="宋体" w:cs="宋体"/>
          <w:b/>
          <w:color w:val="auto"/>
          <w:kern w:val="0"/>
          <w:sz w:val="21"/>
          <w:szCs w:val="21"/>
          <w:highlight w:val="none"/>
        </w:rPr>
        <w:t>地点</w:t>
      </w:r>
    </w:p>
    <w:p w14:paraId="75A29753">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kern w:val="0"/>
          <w:sz w:val="21"/>
          <w:szCs w:val="21"/>
          <w:highlight w:val="none"/>
        </w:rPr>
        <w:t>1、服务期限：</w:t>
      </w:r>
      <w:r>
        <w:rPr>
          <w:rFonts w:hint="eastAsia" w:ascii="宋体" w:hAnsi="宋体" w:eastAsia="宋体" w:cs="宋体"/>
          <w:color w:val="auto"/>
          <w:sz w:val="21"/>
          <w:szCs w:val="21"/>
          <w:highlight w:val="none"/>
          <w:lang w:val="en-US" w:eastAsia="zh-CN"/>
        </w:rPr>
        <w:t>服务期为1年（12个月），具体起始日期依据合同约定；</w:t>
      </w:r>
      <w:r>
        <w:rPr>
          <w:rFonts w:hint="eastAsia" w:ascii="宋体" w:hAnsi="宋体" w:eastAsia="宋体" w:cs="宋体"/>
          <w:b w:val="0"/>
          <w:bCs/>
          <w:color w:val="auto"/>
          <w:kern w:val="0"/>
          <w:sz w:val="21"/>
          <w:szCs w:val="21"/>
          <w:highlight w:val="none"/>
        </w:rPr>
        <w:t xml:space="preserve"> </w:t>
      </w:r>
    </w:p>
    <w:p w14:paraId="0757E56D">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2、在服务期内</w:t>
      </w:r>
      <w:r>
        <w:rPr>
          <w:rFonts w:hint="eastAsia" w:ascii="宋体" w:hAnsi="宋体" w:eastAsia="宋体" w:cs="宋体"/>
          <w:color w:val="auto"/>
          <w:kern w:val="0"/>
          <w:sz w:val="21"/>
          <w:szCs w:val="21"/>
          <w:highlight w:val="none"/>
          <w:lang w:eastAsia="zh-CN"/>
        </w:rPr>
        <w:t>如</w:t>
      </w:r>
      <w:r>
        <w:rPr>
          <w:rFonts w:hint="eastAsia" w:ascii="宋体" w:hAnsi="宋体" w:eastAsia="宋体" w:cs="宋体"/>
          <w:color w:val="auto"/>
          <w:kern w:val="0"/>
          <w:sz w:val="21"/>
          <w:szCs w:val="21"/>
          <w:highlight w:val="none"/>
        </w:rPr>
        <w:t>中标人严格履行合同，</w:t>
      </w:r>
      <w:r>
        <w:rPr>
          <w:rFonts w:hint="eastAsia" w:ascii="宋体" w:hAnsi="宋体" w:eastAsia="宋体" w:cs="宋体"/>
          <w:color w:val="auto"/>
          <w:kern w:val="0"/>
          <w:sz w:val="21"/>
          <w:szCs w:val="21"/>
          <w:highlight w:val="none"/>
          <w:lang w:eastAsia="zh-CN"/>
        </w:rPr>
        <w:t>发包单位</w:t>
      </w:r>
      <w:r>
        <w:rPr>
          <w:rFonts w:hint="eastAsia" w:ascii="宋体" w:hAnsi="宋体" w:eastAsia="宋体" w:cs="宋体"/>
          <w:color w:val="auto"/>
          <w:kern w:val="0"/>
          <w:sz w:val="21"/>
          <w:szCs w:val="21"/>
          <w:highlight w:val="none"/>
        </w:rPr>
        <w:t>可与中标人在合同期满</w:t>
      </w:r>
      <w:r>
        <w:rPr>
          <w:rFonts w:hint="eastAsia" w:ascii="宋体" w:hAnsi="宋体" w:eastAsia="宋体" w:cs="宋体"/>
          <w:color w:val="auto"/>
          <w:kern w:val="0"/>
          <w:sz w:val="21"/>
          <w:szCs w:val="21"/>
          <w:highlight w:val="none"/>
          <w:lang w:eastAsia="zh-CN"/>
        </w:rPr>
        <w:t>时视情可</w:t>
      </w:r>
      <w:r>
        <w:rPr>
          <w:rFonts w:hint="eastAsia" w:ascii="宋体" w:hAnsi="宋体" w:eastAsia="宋体" w:cs="宋体"/>
          <w:color w:val="auto"/>
          <w:kern w:val="0"/>
          <w:sz w:val="21"/>
          <w:szCs w:val="21"/>
          <w:highlight w:val="none"/>
        </w:rPr>
        <w:t>续签一年。如中标人在服务期内违反合同约定，经考核不合格，</w:t>
      </w:r>
      <w:r>
        <w:rPr>
          <w:rFonts w:hint="eastAsia" w:ascii="宋体" w:hAnsi="宋体" w:eastAsia="宋体" w:cs="宋体"/>
          <w:color w:val="auto"/>
          <w:kern w:val="0"/>
          <w:sz w:val="21"/>
          <w:szCs w:val="21"/>
          <w:highlight w:val="none"/>
          <w:lang w:eastAsia="zh-CN"/>
        </w:rPr>
        <w:t>发包单位</w:t>
      </w:r>
      <w:r>
        <w:rPr>
          <w:rFonts w:hint="eastAsia" w:ascii="宋体" w:hAnsi="宋体" w:eastAsia="宋体" w:cs="宋体"/>
          <w:color w:val="auto"/>
          <w:kern w:val="0"/>
          <w:sz w:val="21"/>
          <w:szCs w:val="21"/>
          <w:highlight w:val="none"/>
        </w:rPr>
        <w:t xml:space="preserve">有权提前终止合同； </w:t>
      </w:r>
    </w:p>
    <w:p w14:paraId="63AEA634">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rPr>
        <w:t>3、服务地点：</w:t>
      </w:r>
      <w:r>
        <w:rPr>
          <w:rFonts w:hint="eastAsia" w:ascii="宋体" w:hAnsi="宋体" w:eastAsia="宋体" w:cs="宋体"/>
          <w:color w:val="auto"/>
          <w:kern w:val="0"/>
          <w:sz w:val="21"/>
          <w:szCs w:val="21"/>
          <w:highlight w:val="none"/>
          <w:lang w:eastAsia="zh-CN"/>
        </w:rPr>
        <w:t>普陀区海岛“菜篮子”配送指定地点。</w:t>
      </w:r>
    </w:p>
    <w:p w14:paraId="7D2E29CB">
      <w:pPr>
        <w:keepNext w:val="0"/>
        <w:keepLines w:val="0"/>
        <w:pageBreakBefore w:val="0"/>
        <w:widowControl/>
        <w:numPr>
          <w:ilvl w:val="0"/>
          <w:numId w:val="0"/>
        </w:numPr>
        <w:kinsoku/>
        <w:wordWrap/>
        <w:overflowPunct/>
        <w:topLinePunct w:val="0"/>
        <w:bidi w:val="0"/>
        <w:snapToGrid/>
        <w:spacing w:line="540" w:lineRule="exact"/>
        <w:jc w:val="left"/>
        <w:textAlignment w:val="auto"/>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四</w:t>
      </w:r>
      <w:r>
        <w:rPr>
          <w:rFonts w:hint="eastAsia" w:ascii="宋体" w:hAnsi="宋体" w:eastAsia="宋体" w:cs="宋体"/>
          <w:b/>
          <w:color w:val="auto"/>
          <w:kern w:val="0"/>
          <w:sz w:val="21"/>
          <w:szCs w:val="21"/>
          <w:highlight w:val="none"/>
        </w:rPr>
        <w:t>、货款支付方式</w:t>
      </w:r>
    </w:p>
    <w:p w14:paraId="649C6496">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val="zh-CN" w:eastAsia="zh-CN"/>
        </w:rPr>
      </w:pPr>
      <w:r>
        <w:rPr>
          <w:rFonts w:hint="eastAsia" w:ascii="宋体" w:hAnsi="宋体" w:eastAsia="宋体" w:cs="宋体"/>
          <w:color w:val="auto"/>
          <w:kern w:val="0"/>
          <w:sz w:val="21"/>
          <w:szCs w:val="21"/>
          <w:highlight w:val="none"/>
          <w:lang w:val="en-US" w:eastAsia="zh-CN"/>
        </w:rPr>
        <w:t>中标单位在合同签履约合格后，每年3月、10月提交相关佐证资料，</w:t>
      </w:r>
      <w:r>
        <w:rPr>
          <w:rFonts w:hint="eastAsia" w:ascii="宋体" w:hAnsi="宋体" w:eastAsia="宋体" w:cs="宋体"/>
          <w:color w:val="auto"/>
          <w:kern w:val="0"/>
          <w:sz w:val="21"/>
          <w:szCs w:val="21"/>
          <w:highlight w:val="none"/>
          <w:lang w:val="zh-CN" w:eastAsia="zh-CN"/>
        </w:rPr>
        <w:t>发包单位委托第三方审计机构进行审计，依据审计报告结果补贴各项费用，主要补贴项目为</w:t>
      </w:r>
      <w:r>
        <w:rPr>
          <w:rFonts w:hint="eastAsia" w:ascii="宋体" w:hAnsi="宋体" w:eastAsia="宋体" w:cs="宋体"/>
          <w:color w:val="auto"/>
          <w:kern w:val="0"/>
          <w:sz w:val="21"/>
          <w:szCs w:val="21"/>
          <w:highlight w:val="none"/>
          <w:lang w:eastAsia="zh-CN"/>
        </w:rPr>
        <w:t>海岛户籍居民（含申请备案的政府机构、国有企业）下单的配送费、打包费、物料费等，具体事项合同内注明</w:t>
      </w:r>
      <w:r>
        <w:rPr>
          <w:rFonts w:hint="eastAsia" w:ascii="宋体" w:hAnsi="宋体" w:eastAsia="宋体" w:cs="宋体"/>
          <w:color w:val="auto"/>
          <w:kern w:val="0"/>
          <w:sz w:val="21"/>
          <w:szCs w:val="21"/>
          <w:highlight w:val="none"/>
          <w:lang w:val="zh-CN" w:eastAsia="zh-CN"/>
        </w:rPr>
        <w:t>。</w:t>
      </w:r>
    </w:p>
    <w:p w14:paraId="55A68011">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注：付款前中标人须提供正式税务发票。如由于中标人未能及时提供发票导致采购人未按时付款的，由中标人承担责任。以上款项在财政资金到位后支付。</w:t>
      </w:r>
    </w:p>
    <w:p w14:paraId="59D78670">
      <w:pPr>
        <w:jc w:val="center"/>
        <w:outlineLvl w:val="0"/>
        <w:rPr>
          <w:rFonts w:hint="eastAsia" w:ascii="宋体" w:hAnsi="宋体" w:cs="宋体"/>
          <w:b/>
          <w:sz w:val="30"/>
          <w:szCs w:val="30"/>
        </w:rPr>
      </w:pPr>
    </w:p>
    <w:p w14:paraId="5524EFC6">
      <w:pPr>
        <w:jc w:val="center"/>
        <w:outlineLvl w:val="0"/>
        <w:rPr>
          <w:rFonts w:hint="eastAsia" w:ascii="宋体" w:hAnsi="宋体" w:cs="宋体"/>
          <w:b/>
          <w:sz w:val="30"/>
          <w:szCs w:val="30"/>
        </w:rPr>
      </w:pPr>
    </w:p>
    <w:p w14:paraId="3A80F5ED">
      <w:pPr>
        <w:jc w:val="center"/>
        <w:outlineLvl w:val="0"/>
        <w:rPr>
          <w:rFonts w:hint="eastAsia" w:ascii="宋体" w:hAnsi="宋体" w:cs="宋体"/>
          <w:b/>
          <w:sz w:val="30"/>
          <w:szCs w:val="30"/>
        </w:rPr>
      </w:pPr>
    </w:p>
    <w:p w14:paraId="5A612BFD">
      <w:pPr>
        <w:jc w:val="center"/>
        <w:outlineLvl w:val="0"/>
        <w:rPr>
          <w:rFonts w:hint="eastAsia" w:ascii="宋体" w:hAnsi="宋体" w:cs="宋体"/>
          <w:b/>
          <w:sz w:val="30"/>
          <w:szCs w:val="30"/>
        </w:rPr>
      </w:pPr>
    </w:p>
    <w:p w14:paraId="09540D79">
      <w:pPr>
        <w:jc w:val="center"/>
        <w:outlineLvl w:val="0"/>
        <w:rPr>
          <w:rFonts w:hint="eastAsia" w:ascii="宋体" w:hAnsi="宋体" w:cs="宋体"/>
          <w:b/>
          <w:sz w:val="30"/>
          <w:szCs w:val="30"/>
        </w:rPr>
      </w:pPr>
    </w:p>
    <w:p w14:paraId="2C87A5C0">
      <w:pPr>
        <w:jc w:val="center"/>
        <w:outlineLvl w:val="0"/>
        <w:rPr>
          <w:rFonts w:hint="eastAsia" w:ascii="宋体" w:hAnsi="宋体" w:cs="宋体"/>
          <w:b/>
          <w:sz w:val="30"/>
          <w:szCs w:val="30"/>
        </w:rPr>
      </w:pPr>
    </w:p>
    <w:p w14:paraId="441F6450">
      <w:pPr>
        <w:jc w:val="center"/>
        <w:outlineLvl w:val="0"/>
        <w:rPr>
          <w:rFonts w:hint="eastAsia" w:ascii="宋体" w:hAnsi="宋体" w:cs="宋体"/>
          <w:b/>
          <w:sz w:val="30"/>
          <w:szCs w:val="30"/>
        </w:rPr>
      </w:pPr>
    </w:p>
    <w:p w14:paraId="4DE33962">
      <w:pPr>
        <w:jc w:val="center"/>
        <w:outlineLvl w:val="0"/>
        <w:rPr>
          <w:rFonts w:hint="eastAsia" w:ascii="宋体" w:hAnsi="宋体" w:cs="宋体"/>
          <w:b/>
          <w:sz w:val="30"/>
          <w:szCs w:val="30"/>
        </w:rPr>
      </w:pPr>
    </w:p>
    <w:p w14:paraId="579C961E">
      <w:pPr>
        <w:jc w:val="center"/>
        <w:outlineLvl w:val="0"/>
        <w:rPr>
          <w:rFonts w:hint="eastAsia" w:ascii="宋体" w:hAnsi="宋体" w:cs="宋体"/>
          <w:b/>
          <w:sz w:val="30"/>
          <w:szCs w:val="30"/>
        </w:rPr>
      </w:pPr>
    </w:p>
    <w:p w14:paraId="38DC5D04">
      <w:pPr>
        <w:jc w:val="center"/>
        <w:outlineLvl w:val="0"/>
        <w:rPr>
          <w:rFonts w:hint="eastAsia" w:ascii="宋体" w:hAnsi="宋体" w:cs="宋体"/>
          <w:b/>
          <w:sz w:val="30"/>
          <w:szCs w:val="30"/>
        </w:rPr>
      </w:pPr>
    </w:p>
    <w:p w14:paraId="79A14D9E">
      <w:pPr>
        <w:jc w:val="center"/>
        <w:outlineLvl w:val="0"/>
        <w:rPr>
          <w:rFonts w:hint="eastAsia" w:ascii="宋体" w:hAnsi="宋体" w:cs="宋体"/>
          <w:b/>
          <w:sz w:val="30"/>
          <w:szCs w:val="30"/>
        </w:rPr>
      </w:pPr>
    </w:p>
    <w:p w14:paraId="46DE2BE2">
      <w:pPr>
        <w:jc w:val="center"/>
        <w:outlineLvl w:val="0"/>
        <w:rPr>
          <w:rFonts w:hint="eastAsia" w:ascii="宋体" w:hAnsi="宋体" w:cs="宋体"/>
          <w:b/>
          <w:sz w:val="30"/>
          <w:szCs w:val="30"/>
        </w:rPr>
      </w:pPr>
    </w:p>
    <w:p w14:paraId="53941BD2">
      <w:pPr>
        <w:jc w:val="center"/>
        <w:outlineLvl w:val="0"/>
        <w:rPr>
          <w:rFonts w:hint="eastAsia" w:ascii="宋体" w:hAnsi="宋体" w:cs="宋体"/>
          <w:b/>
          <w:sz w:val="30"/>
          <w:szCs w:val="30"/>
        </w:rPr>
      </w:pPr>
    </w:p>
    <w:p w14:paraId="73A41015">
      <w:pPr>
        <w:jc w:val="center"/>
        <w:outlineLvl w:val="0"/>
        <w:rPr>
          <w:rFonts w:ascii="宋体" w:hAnsi="宋体" w:cs="宋体"/>
          <w:b/>
          <w:sz w:val="30"/>
          <w:szCs w:val="30"/>
        </w:rPr>
      </w:pPr>
      <w:r>
        <w:rPr>
          <w:rFonts w:hint="eastAsia" w:ascii="宋体" w:hAnsi="宋体" w:cs="宋体"/>
          <w:b/>
          <w:sz w:val="30"/>
          <w:szCs w:val="30"/>
        </w:rPr>
        <w:t>第三章   供应商须知</w:t>
      </w:r>
    </w:p>
    <w:p w14:paraId="1EE4FCAD">
      <w:pPr>
        <w:spacing w:line="360" w:lineRule="auto"/>
        <w:jc w:val="center"/>
        <w:outlineLvl w:val="1"/>
        <w:rPr>
          <w:rFonts w:ascii="宋体" w:hAnsi="宋体" w:cs="宋体"/>
          <w:b/>
          <w:sz w:val="30"/>
          <w:szCs w:val="30"/>
        </w:rPr>
      </w:pPr>
      <w:r>
        <w:rPr>
          <w:rFonts w:hint="eastAsia" w:ascii="宋体" w:hAnsi="宋体" w:cs="宋体"/>
          <w:b/>
          <w:sz w:val="30"/>
          <w:szCs w:val="30"/>
        </w:rPr>
        <w:t>前附表</w:t>
      </w:r>
    </w:p>
    <w:tbl>
      <w:tblPr>
        <w:tblStyle w:val="37"/>
        <w:tblW w:w="943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21"/>
        <w:gridCol w:w="1254"/>
        <w:gridCol w:w="4375"/>
        <w:gridCol w:w="1098"/>
        <w:gridCol w:w="2082"/>
      </w:tblGrid>
      <w:tr w14:paraId="1E9E1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590FA94E">
            <w:pPr>
              <w:spacing w:line="360" w:lineRule="auto"/>
              <w:jc w:val="center"/>
              <w:rPr>
                <w:rFonts w:ascii="宋体" w:hAnsi="宋体" w:cs="宋体"/>
                <w:b/>
                <w:sz w:val="21"/>
                <w:szCs w:val="21"/>
              </w:rPr>
            </w:pPr>
            <w:r>
              <w:rPr>
                <w:rFonts w:hint="eastAsia" w:ascii="宋体" w:hAnsi="宋体" w:cs="宋体"/>
                <w:b/>
                <w:sz w:val="21"/>
                <w:szCs w:val="21"/>
              </w:rPr>
              <w:t>序号</w:t>
            </w:r>
          </w:p>
        </w:tc>
        <w:tc>
          <w:tcPr>
            <w:tcW w:w="8788" w:type="dxa"/>
            <w:gridSpan w:val="4"/>
            <w:shd w:val="clear" w:color="auto" w:fill="E0E0E0"/>
            <w:vAlign w:val="center"/>
          </w:tcPr>
          <w:p w14:paraId="452AEFE9">
            <w:pPr>
              <w:spacing w:line="360" w:lineRule="auto"/>
              <w:jc w:val="center"/>
              <w:rPr>
                <w:rFonts w:ascii="宋体" w:hAnsi="宋体" w:cs="宋体"/>
                <w:b/>
                <w:sz w:val="21"/>
                <w:szCs w:val="21"/>
              </w:rPr>
            </w:pPr>
            <w:r>
              <w:rPr>
                <w:rFonts w:hint="eastAsia" w:ascii="宋体" w:hAnsi="宋体" w:cs="宋体"/>
                <w:b/>
                <w:sz w:val="21"/>
                <w:szCs w:val="21"/>
              </w:rPr>
              <w:t>内容说明及要求</w:t>
            </w:r>
          </w:p>
        </w:tc>
      </w:tr>
      <w:tr w14:paraId="1990E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4" w:hRule="atLeast"/>
          <w:tblCellSpacing w:w="7" w:type="dxa"/>
          <w:jc w:val="center"/>
        </w:trPr>
        <w:tc>
          <w:tcPr>
            <w:tcW w:w="600" w:type="dxa"/>
            <w:shd w:val="clear" w:color="auto" w:fill="E0E0E0"/>
            <w:vAlign w:val="center"/>
          </w:tcPr>
          <w:p w14:paraId="18F8C198">
            <w:pPr>
              <w:jc w:val="center"/>
              <w:rPr>
                <w:rFonts w:ascii="宋体" w:hAnsi="宋体" w:cs="宋体"/>
                <w:b/>
                <w:sz w:val="21"/>
                <w:szCs w:val="21"/>
              </w:rPr>
            </w:pPr>
            <w:r>
              <w:rPr>
                <w:rFonts w:hint="eastAsia" w:ascii="宋体" w:hAnsi="宋体" w:cs="宋体"/>
                <w:b/>
                <w:sz w:val="21"/>
                <w:szCs w:val="21"/>
              </w:rPr>
              <w:t>1</w:t>
            </w:r>
          </w:p>
        </w:tc>
        <w:tc>
          <w:tcPr>
            <w:tcW w:w="1240" w:type="dxa"/>
            <w:shd w:val="clear" w:color="auto" w:fill="E0E0E0"/>
            <w:vAlign w:val="center"/>
          </w:tcPr>
          <w:p w14:paraId="0289A4CA">
            <w:pPr>
              <w:spacing w:line="240" w:lineRule="auto"/>
              <w:jc w:val="center"/>
              <w:rPr>
                <w:rFonts w:ascii="宋体" w:hAnsi="宋体" w:cs="宋体"/>
                <w:b/>
                <w:sz w:val="21"/>
                <w:szCs w:val="21"/>
              </w:rPr>
            </w:pPr>
            <w:r>
              <w:rPr>
                <w:rFonts w:hint="eastAsia" w:ascii="宋体" w:hAnsi="宋体" w:cs="宋体"/>
                <w:b/>
                <w:sz w:val="21"/>
                <w:szCs w:val="21"/>
              </w:rPr>
              <w:t>项目名称</w:t>
            </w:r>
          </w:p>
        </w:tc>
        <w:tc>
          <w:tcPr>
            <w:tcW w:w="4361" w:type="dxa"/>
            <w:shd w:val="clear" w:color="auto" w:fill="FFFFFF"/>
            <w:vAlign w:val="center"/>
          </w:tcPr>
          <w:p w14:paraId="03843A86">
            <w:pPr>
              <w:spacing w:line="240" w:lineRule="auto"/>
              <w:rPr>
                <w:rFonts w:ascii="宋体" w:hAnsi="宋体" w:cs="宋体"/>
                <w:kern w:val="0"/>
                <w:sz w:val="21"/>
                <w:szCs w:val="21"/>
              </w:rPr>
            </w:pPr>
            <w:r>
              <w:rPr>
                <w:rStyle w:val="40"/>
                <w:rFonts w:hint="eastAsia" w:ascii="宋体" w:hAnsi="宋体" w:cs="宋体"/>
                <w:sz w:val="21"/>
                <w:szCs w:val="21"/>
                <w:lang w:val="en-US" w:eastAsia="zh-CN"/>
              </w:rPr>
              <w:t xml:space="preserve">普陀区海岛“菜篮子”配送服务 </w:t>
            </w:r>
          </w:p>
        </w:tc>
        <w:tc>
          <w:tcPr>
            <w:tcW w:w="1084" w:type="dxa"/>
            <w:shd w:val="clear" w:color="auto" w:fill="E0E0E0"/>
            <w:vAlign w:val="center"/>
          </w:tcPr>
          <w:p w14:paraId="5AEBC847">
            <w:pPr>
              <w:spacing w:line="240" w:lineRule="auto"/>
              <w:jc w:val="center"/>
              <w:rPr>
                <w:rFonts w:ascii="宋体" w:hAnsi="宋体" w:cs="宋体"/>
                <w:b/>
                <w:sz w:val="21"/>
                <w:szCs w:val="21"/>
              </w:rPr>
            </w:pPr>
            <w:r>
              <w:rPr>
                <w:rFonts w:hint="eastAsia" w:ascii="宋体" w:hAnsi="宋体" w:cs="宋体"/>
                <w:b/>
                <w:sz w:val="21"/>
                <w:szCs w:val="21"/>
              </w:rPr>
              <w:t>采购编号</w:t>
            </w:r>
          </w:p>
        </w:tc>
        <w:tc>
          <w:tcPr>
            <w:tcW w:w="2061" w:type="dxa"/>
            <w:shd w:val="clear" w:color="auto" w:fill="FFFFFF"/>
            <w:vAlign w:val="center"/>
          </w:tcPr>
          <w:p w14:paraId="64A84A89">
            <w:pPr>
              <w:spacing w:line="240" w:lineRule="auto"/>
              <w:rPr>
                <w:rFonts w:hint="eastAsia" w:ascii="宋体" w:hAnsi="宋体" w:eastAsia="宋体" w:cs="宋体"/>
                <w:sz w:val="21"/>
                <w:szCs w:val="21"/>
                <w:lang w:eastAsia="zh-CN"/>
              </w:rPr>
            </w:pPr>
            <w:r>
              <w:rPr>
                <w:rStyle w:val="40"/>
                <w:rFonts w:hint="eastAsia" w:ascii="宋体" w:hAnsi="宋体" w:cs="宋体"/>
                <w:sz w:val="21"/>
                <w:szCs w:val="21"/>
                <w:lang w:val="en-US" w:eastAsia="zh-CN"/>
              </w:rPr>
              <w:t>ZHZS（采）-2025-041</w:t>
            </w:r>
          </w:p>
        </w:tc>
      </w:tr>
      <w:tr w14:paraId="22576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2" w:hRule="atLeast"/>
          <w:tblCellSpacing w:w="7" w:type="dxa"/>
          <w:jc w:val="center"/>
        </w:trPr>
        <w:tc>
          <w:tcPr>
            <w:tcW w:w="600" w:type="dxa"/>
            <w:shd w:val="clear" w:color="auto" w:fill="E0E0E0"/>
            <w:vAlign w:val="center"/>
          </w:tcPr>
          <w:p w14:paraId="15A16069">
            <w:pPr>
              <w:jc w:val="center"/>
              <w:rPr>
                <w:rFonts w:ascii="宋体" w:hAnsi="宋体" w:cs="宋体"/>
                <w:b/>
                <w:sz w:val="21"/>
                <w:szCs w:val="21"/>
              </w:rPr>
            </w:pPr>
            <w:r>
              <w:rPr>
                <w:rFonts w:hint="eastAsia" w:ascii="宋体" w:hAnsi="宋体" w:cs="宋体"/>
                <w:b/>
                <w:sz w:val="21"/>
                <w:szCs w:val="21"/>
              </w:rPr>
              <w:t>2</w:t>
            </w:r>
          </w:p>
        </w:tc>
        <w:tc>
          <w:tcPr>
            <w:tcW w:w="1240" w:type="dxa"/>
            <w:shd w:val="clear" w:color="auto" w:fill="E0E0E0"/>
            <w:vAlign w:val="center"/>
          </w:tcPr>
          <w:p w14:paraId="77F8B996">
            <w:pPr>
              <w:spacing w:line="240" w:lineRule="auto"/>
              <w:jc w:val="center"/>
              <w:rPr>
                <w:rFonts w:ascii="宋体" w:hAnsi="宋体" w:cs="宋体"/>
                <w:b/>
                <w:sz w:val="21"/>
                <w:szCs w:val="21"/>
              </w:rPr>
            </w:pPr>
            <w:r>
              <w:rPr>
                <w:rFonts w:hint="eastAsia" w:ascii="宋体" w:hAnsi="宋体" w:cs="宋体"/>
                <w:b/>
                <w:sz w:val="21"/>
                <w:szCs w:val="21"/>
              </w:rPr>
              <w:t>采购内容</w:t>
            </w:r>
          </w:p>
        </w:tc>
        <w:tc>
          <w:tcPr>
            <w:tcW w:w="7534" w:type="dxa"/>
            <w:gridSpan w:val="3"/>
            <w:shd w:val="clear" w:color="auto" w:fill="FFFFFF"/>
            <w:vAlign w:val="center"/>
          </w:tcPr>
          <w:p w14:paraId="090028B3">
            <w:pPr>
              <w:spacing w:line="240" w:lineRule="auto"/>
              <w:rPr>
                <w:rFonts w:ascii="宋体" w:hAnsi="宋体" w:cs="宋体"/>
                <w:sz w:val="21"/>
                <w:szCs w:val="21"/>
                <w:shd w:val="clear" w:color="auto" w:fill="FFFFFF"/>
              </w:rPr>
            </w:pPr>
            <w:r>
              <w:rPr>
                <w:rFonts w:hint="eastAsia" w:ascii="宋体" w:hAnsi="宋体" w:cs="宋体"/>
                <w:sz w:val="21"/>
                <w:szCs w:val="21"/>
              </w:rPr>
              <w:t>详见第二章采购需求</w:t>
            </w:r>
          </w:p>
        </w:tc>
      </w:tr>
      <w:tr w14:paraId="4DB24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8" w:hRule="atLeast"/>
          <w:tblCellSpacing w:w="7" w:type="dxa"/>
          <w:jc w:val="center"/>
        </w:trPr>
        <w:tc>
          <w:tcPr>
            <w:tcW w:w="600" w:type="dxa"/>
            <w:shd w:val="clear" w:color="auto" w:fill="E0E0E0"/>
            <w:vAlign w:val="center"/>
          </w:tcPr>
          <w:p w14:paraId="27DCFBB6">
            <w:pPr>
              <w:spacing w:line="360" w:lineRule="auto"/>
              <w:jc w:val="center"/>
              <w:rPr>
                <w:rFonts w:ascii="宋体" w:hAnsi="宋体" w:cs="宋体"/>
                <w:b/>
                <w:sz w:val="21"/>
                <w:szCs w:val="21"/>
              </w:rPr>
            </w:pPr>
            <w:r>
              <w:rPr>
                <w:rFonts w:hint="eastAsia" w:ascii="宋体" w:hAnsi="宋体" w:cs="宋体"/>
                <w:b/>
                <w:sz w:val="21"/>
                <w:szCs w:val="21"/>
              </w:rPr>
              <w:t>3</w:t>
            </w:r>
          </w:p>
        </w:tc>
        <w:tc>
          <w:tcPr>
            <w:tcW w:w="1240" w:type="dxa"/>
            <w:shd w:val="clear" w:color="auto" w:fill="E0E0E0"/>
            <w:vAlign w:val="center"/>
          </w:tcPr>
          <w:p w14:paraId="08D65EAD">
            <w:pPr>
              <w:spacing w:line="240" w:lineRule="auto"/>
              <w:jc w:val="center"/>
              <w:rPr>
                <w:rFonts w:ascii="宋体" w:hAnsi="宋体" w:cs="宋体"/>
                <w:b/>
                <w:sz w:val="21"/>
                <w:szCs w:val="21"/>
              </w:rPr>
            </w:pPr>
            <w:r>
              <w:rPr>
                <w:rFonts w:hint="eastAsia" w:ascii="宋体" w:hAnsi="宋体" w:cs="宋体"/>
                <w:b/>
                <w:sz w:val="21"/>
                <w:szCs w:val="21"/>
              </w:rPr>
              <w:t>项目预算</w:t>
            </w:r>
          </w:p>
        </w:tc>
        <w:tc>
          <w:tcPr>
            <w:tcW w:w="7534" w:type="dxa"/>
            <w:gridSpan w:val="3"/>
            <w:shd w:val="clear" w:color="auto" w:fill="FFFFFF"/>
            <w:vAlign w:val="center"/>
          </w:tcPr>
          <w:p w14:paraId="52F0C781">
            <w:pPr>
              <w:spacing w:line="240" w:lineRule="auto"/>
              <w:rPr>
                <w:rFonts w:hint="default" w:ascii="宋体" w:hAnsi="宋体" w:eastAsia="宋体" w:cs="宋体"/>
                <w:sz w:val="21"/>
                <w:szCs w:val="21"/>
                <w:shd w:val="clear" w:color="auto" w:fill="FFFFFF"/>
                <w:lang w:val="en-US" w:eastAsia="zh-CN"/>
              </w:rPr>
            </w:pPr>
            <w:r>
              <w:rPr>
                <w:rFonts w:hint="eastAsia" w:ascii="宋体" w:hAnsi="宋体" w:cs="宋体"/>
                <w:sz w:val="21"/>
                <w:szCs w:val="21"/>
                <w:lang w:val="en-US" w:eastAsia="zh-CN"/>
              </w:rPr>
              <w:t>350000元</w:t>
            </w:r>
          </w:p>
        </w:tc>
      </w:tr>
      <w:tr w14:paraId="0AE01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515462A">
            <w:pPr>
              <w:spacing w:line="360" w:lineRule="auto"/>
              <w:jc w:val="center"/>
              <w:rPr>
                <w:rFonts w:ascii="宋体" w:hAnsi="宋体" w:cs="宋体"/>
                <w:b/>
                <w:sz w:val="21"/>
                <w:szCs w:val="21"/>
              </w:rPr>
            </w:pPr>
            <w:r>
              <w:rPr>
                <w:rFonts w:hint="eastAsia" w:ascii="宋体" w:hAnsi="宋体" w:cs="宋体"/>
                <w:b/>
                <w:sz w:val="21"/>
                <w:szCs w:val="21"/>
              </w:rPr>
              <w:t>4</w:t>
            </w:r>
          </w:p>
        </w:tc>
        <w:tc>
          <w:tcPr>
            <w:tcW w:w="1240" w:type="dxa"/>
            <w:shd w:val="clear" w:color="auto" w:fill="E0E0E0"/>
            <w:vAlign w:val="center"/>
          </w:tcPr>
          <w:p w14:paraId="515C9EEA">
            <w:pPr>
              <w:spacing w:line="240" w:lineRule="auto"/>
              <w:jc w:val="center"/>
              <w:rPr>
                <w:rFonts w:ascii="宋体" w:hAnsi="宋体" w:cs="宋体"/>
                <w:b/>
                <w:sz w:val="21"/>
                <w:szCs w:val="21"/>
              </w:rPr>
            </w:pPr>
            <w:r>
              <w:rPr>
                <w:rFonts w:hint="eastAsia" w:ascii="宋体" w:hAnsi="宋体" w:cs="宋体"/>
                <w:b/>
                <w:sz w:val="21"/>
                <w:szCs w:val="21"/>
              </w:rPr>
              <w:t>踏勘现场</w:t>
            </w:r>
          </w:p>
        </w:tc>
        <w:tc>
          <w:tcPr>
            <w:tcW w:w="7534" w:type="dxa"/>
            <w:gridSpan w:val="3"/>
            <w:shd w:val="clear" w:color="auto" w:fill="FFFFFF"/>
            <w:vAlign w:val="center"/>
          </w:tcPr>
          <w:p w14:paraId="78447C77">
            <w:pPr>
              <w:spacing w:line="240" w:lineRule="auto"/>
              <w:rPr>
                <w:rFonts w:ascii="宋体" w:hAnsi="宋体" w:cs="宋体"/>
                <w:sz w:val="21"/>
                <w:szCs w:val="21"/>
              </w:rPr>
            </w:pPr>
            <w:r>
              <w:rPr>
                <w:rFonts w:hint="eastAsia" w:ascii="宋体" w:hAnsi="宋体" w:cs="宋体"/>
                <w:sz w:val="21"/>
                <w:szCs w:val="21"/>
              </w:rPr>
              <w:t>代理机构不组织踏勘，如供应商需进行现场踏勘的，须跟采购人进行协商。但供应商不得因此使采购人承担有关责任和蒙受损失，供应商应承担踏勘现场的责任和风险。</w:t>
            </w:r>
          </w:p>
        </w:tc>
      </w:tr>
      <w:tr w14:paraId="773B6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B29E59F">
            <w:pPr>
              <w:spacing w:line="360" w:lineRule="auto"/>
              <w:jc w:val="center"/>
              <w:rPr>
                <w:rFonts w:ascii="宋体" w:hAnsi="宋体" w:cs="宋体"/>
                <w:b/>
                <w:color w:val="C00000"/>
                <w:sz w:val="21"/>
                <w:szCs w:val="21"/>
              </w:rPr>
            </w:pPr>
            <w:r>
              <w:rPr>
                <w:rFonts w:hint="eastAsia" w:ascii="宋体" w:hAnsi="宋体" w:cs="宋体"/>
                <w:b/>
                <w:sz w:val="21"/>
                <w:szCs w:val="21"/>
              </w:rPr>
              <w:t>5</w:t>
            </w:r>
          </w:p>
        </w:tc>
        <w:tc>
          <w:tcPr>
            <w:tcW w:w="1240" w:type="dxa"/>
            <w:shd w:val="clear" w:color="auto" w:fill="E0E0E0"/>
            <w:vAlign w:val="center"/>
          </w:tcPr>
          <w:p w14:paraId="7E647330">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服务期限</w:t>
            </w:r>
          </w:p>
        </w:tc>
        <w:tc>
          <w:tcPr>
            <w:tcW w:w="7534" w:type="dxa"/>
            <w:gridSpan w:val="3"/>
            <w:shd w:val="clear" w:color="auto" w:fill="FFFFFF"/>
            <w:vAlign w:val="center"/>
          </w:tcPr>
          <w:p w14:paraId="12FC469E">
            <w:pPr>
              <w:spacing w:line="240" w:lineRule="auto"/>
              <w:rPr>
                <w:rFonts w:ascii="宋体" w:hAnsi="宋体" w:cs="宋体"/>
                <w:b/>
                <w:sz w:val="21"/>
                <w:szCs w:val="21"/>
              </w:rPr>
            </w:pPr>
            <w:r>
              <w:rPr>
                <w:rFonts w:hint="eastAsia" w:ascii="宋体" w:hAnsi="宋体" w:eastAsia="宋体" w:cs="宋体"/>
                <w:color w:val="auto"/>
                <w:sz w:val="21"/>
                <w:szCs w:val="21"/>
                <w:highlight w:val="none"/>
                <w:lang w:val="en-US" w:eastAsia="zh-CN"/>
              </w:rPr>
              <w:t>服务期为1年（12个月），具体起始日期依据合同约定。</w:t>
            </w:r>
          </w:p>
        </w:tc>
      </w:tr>
      <w:tr w14:paraId="1E0F1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92BF4C8">
            <w:pPr>
              <w:spacing w:line="360" w:lineRule="auto"/>
              <w:jc w:val="center"/>
              <w:rPr>
                <w:rFonts w:ascii="宋体" w:hAnsi="宋体" w:cs="宋体"/>
                <w:b/>
                <w:sz w:val="21"/>
                <w:szCs w:val="21"/>
              </w:rPr>
            </w:pPr>
            <w:r>
              <w:rPr>
                <w:rFonts w:hint="eastAsia" w:ascii="宋体" w:hAnsi="宋体" w:cs="宋体"/>
                <w:b/>
                <w:sz w:val="21"/>
                <w:szCs w:val="21"/>
              </w:rPr>
              <w:t>6</w:t>
            </w:r>
          </w:p>
        </w:tc>
        <w:tc>
          <w:tcPr>
            <w:tcW w:w="1240" w:type="dxa"/>
            <w:shd w:val="clear" w:color="auto" w:fill="FFFFFF"/>
            <w:vAlign w:val="center"/>
          </w:tcPr>
          <w:p w14:paraId="36C02AC8">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投标有效期</w:t>
            </w:r>
          </w:p>
        </w:tc>
        <w:tc>
          <w:tcPr>
            <w:tcW w:w="7534" w:type="dxa"/>
            <w:gridSpan w:val="3"/>
            <w:shd w:val="clear" w:color="auto" w:fill="FFFFFF"/>
            <w:vAlign w:val="center"/>
          </w:tcPr>
          <w:p w14:paraId="44615A93">
            <w:pPr>
              <w:spacing w:line="240" w:lineRule="auto"/>
              <w:rPr>
                <w:rFonts w:ascii="宋体" w:hAnsi="宋体" w:cs="宋体"/>
                <w:sz w:val="21"/>
                <w:szCs w:val="21"/>
              </w:rPr>
            </w:pPr>
            <w:r>
              <w:rPr>
                <w:rFonts w:hint="eastAsia" w:ascii="宋体" w:hAnsi="宋体" w:cs="宋体"/>
                <w:sz w:val="21"/>
                <w:szCs w:val="21"/>
              </w:rPr>
              <w:t>90日历天。（从磋商开始之日起）。</w:t>
            </w:r>
          </w:p>
        </w:tc>
      </w:tr>
      <w:tr w14:paraId="1FF48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00" w:type="dxa"/>
            <w:shd w:val="clear" w:color="auto" w:fill="E0E0E0"/>
            <w:vAlign w:val="center"/>
          </w:tcPr>
          <w:p w14:paraId="469A2BDD">
            <w:pPr>
              <w:spacing w:line="360" w:lineRule="auto"/>
              <w:jc w:val="center"/>
              <w:rPr>
                <w:rFonts w:ascii="宋体" w:hAnsi="宋体" w:cs="宋体"/>
                <w:b/>
                <w:sz w:val="21"/>
                <w:szCs w:val="21"/>
              </w:rPr>
            </w:pPr>
            <w:r>
              <w:rPr>
                <w:rFonts w:hint="eastAsia" w:ascii="宋体" w:hAnsi="宋体" w:cs="宋体"/>
                <w:b/>
                <w:sz w:val="21"/>
                <w:szCs w:val="21"/>
              </w:rPr>
              <w:t>7</w:t>
            </w:r>
          </w:p>
        </w:tc>
        <w:tc>
          <w:tcPr>
            <w:tcW w:w="1240" w:type="dxa"/>
            <w:shd w:val="clear" w:color="auto" w:fill="FFFFFF"/>
            <w:vAlign w:val="center"/>
          </w:tcPr>
          <w:p w14:paraId="2F3A0C99">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评标办法</w:t>
            </w:r>
          </w:p>
        </w:tc>
        <w:tc>
          <w:tcPr>
            <w:tcW w:w="7534" w:type="dxa"/>
            <w:gridSpan w:val="3"/>
            <w:shd w:val="clear" w:color="auto" w:fill="FFFFFF"/>
            <w:vAlign w:val="center"/>
          </w:tcPr>
          <w:p w14:paraId="4BD8A236">
            <w:pPr>
              <w:spacing w:line="240" w:lineRule="auto"/>
              <w:rPr>
                <w:rFonts w:ascii="宋体" w:hAnsi="宋体" w:cs="宋体"/>
                <w:sz w:val="21"/>
                <w:szCs w:val="21"/>
              </w:rPr>
            </w:pPr>
            <w:r>
              <w:rPr>
                <w:rFonts w:hint="eastAsia" w:ascii="宋体" w:hAnsi="宋体" w:cs="宋体"/>
                <w:sz w:val="21"/>
                <w:szCs w:val="21"/>
              </w:rPr>
              <w:t>综合评分法</w:t>
            </w:r>
          </w:p>
        </w:tc>
      </w:tr>
      <w:tr w14:paraId="5BE10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3826F8D1">
            <w:pPr>
              <w:spacing w:line="360" w:lineRule="auto"/>
              <w:jc w:val="center"/>
              <w:rPr>
                <w:rFonts w:ascii="宋体" w:hAnsi="宋体" w:cs="宋体"/>
                <w:b/>
                <w:sz w:val="21"/>
                <w:szCs w:val="21"/>
              </w:rPr>
            </w:pPr>
            <w:r>
              <w:rPr>
                <w:rFonts w:hint="eastAsia" w:ascii="宋体" w:hAnsi="宋体" w:cs="宋体"/>
                <w:b/>
                <w:sz w:val="21"/>
                <w:szCs w:val="21"/>
              </w:rPr>
              <w:t>8</w:t>
            </w:r>
          </w:p>
        </w:tc>
        <w:tc>
          <w:tcPr>
            <w:tcW w:w="1240" w:type="dxa"/>
            <w:shd w:val="clear" w:color="auto" w:fill="FFFFFF"/>
            <w:vAlign w:val="center"/>
          </w:tcPr>
          <w:p w14:paraId="00F8DC53">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签订合同</w:t>
            </w:r>
          </w:p>
        </w:tc>
        <w:tc>
          <w:tcPr>
            <w:tcW w:w="7534" w:type="dxa"/>
            <w:gridSpan w:val="3"/>
            <w:shd w:val="clear" w:color="auto" w:fill="FFFFFF"/>
            <w:vAlign w:val="center"/>
          </w:tcPr>
          <w:p w14:paraId="12A684F5">
            <w:pPr>
              <w:spacing w:line="240" w:lineRule="auto"/>
              <w:rPr>
                <w:rFonts w:ascii="宋体" w:hAnsi="宋体" w:cs="宋体"/>
                <w:sz w:val="21"/>
                <w:szCs w:val="21"/>
              </w:rPr>
            </w:pPr>
            <w:r>
              <w:rPr>
                <w:rFonts w:hint="eastAsia" w:ascii="宋体" w:hAnsi="宋体" w:cs="宋体"/>
                <w:sz w:val="21"/>
                <w:szCs w:val="21"/>
              </w:rPr>
              <w:t>中标通知书发出后</w:t>
            </w:r>
            <w:r>
              <w:rPr>
                <w:rFonts w:hint="eastAsia" w:ascii="宋体" w:hAnsi="宋体" w:cs="宋体"/>
                <w:sz w:val="21"/>
                <w:szCs w:val="21"/>
                <w:u w:val="single"/>
              </w:rPr>
              <w:t xml:space="preserve"> 30</w:t>
            </w:r>
            <w:r>
              <w:rPr>
                <w:rFonts w:hint="eastAsia" w:ascii="宋体" w:hAnsi="宋体" w:cs="宋体"/>
                <w:sz w:val="21"/>
                <w:szCs w:val="21"/>
              </w:rPr>
              <w:t>天内。</w:t>
            </w:r>
          </w:p>
        </w:tc>
      </w:tr>
      <w:tr w14:paraId="33DBA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blCellSpacing w:w="7" w:type="dxa"/>
          <w:jc w:val="center"/>
        </w:trPr>
        <w:tc>
          <w:tcPr>
            <w:tcW w:w="600" w:type="dxa"/>
            <w:shd w:val="clear" w:color="auto" w:fill="E0E0E0"/>
            <w:vAlign w:val="center"/>
          </w:tcPr>
          <w:p w14:paraId="3F49948F">
            <w:pPr>
              <w:jc w:val="center"/>
              <w:rPr>
                <w:rFonts w:ascii="宋体" w:hAnsi="宋体" w:cs="宋体"/>
                <w:b/>
                <w:sz w:val="21"/>
                <w:szCs w:val="21"/>
              </w:rPr>
            </w:pPr>
            <w:r>
              <w:rPr>
                <w:rFonts w:hint="eastAsia" w:ascii="宋体" w:hAnsi="宋体" w:cs="宋体"/>
                <w:b/>
                <w:sz w:val="21"/>
                <w:szCs w:val="21"/>
              </w:rPr>
              <w:t>9</w:t>
            </w:r>
          </w:p>
        </w:tc>
        <w:tc>
          <w:tcPr>
            <w:tcW w:w="1240" w:type="dxa"/>
            <w:shd w:val="clear" w:color="auto" w:fill="FFFFFF"/>
            <w:vAlign w:val="center"/>
          </w:tcPr>
          <w:p w14:paraId="76855352">
            <w:pPr>
              <w:spacing w:line="240" w:lineRule="auto"/>
              <w:jc w:val="center"/>
              <w:rPr>
                <w:rFonts w:hint="eastAsia" w:ascii="宋体" w:hAnsi="宋体" w:eastAsia="宋体" w:cs="宋体"/>
                <w:b/>
                <w:sz w:val="21"/>
                <w:szCs w:val="21"/>
              </w:rPr>
            </w:pPr>
            <w:r>
              <w:rPr>
                <w:rFonts w:hint="eastAsia" w:ascii="宋体" w:hAnsi="宋体" w:eastAsia="宋体" w:cs="宋体"/>
                <w:b/>
                <w:sz w:val="21"/>
                <w:szCs w:val="21"/>
              </w:rPr>
              <w:t>资金结算</w:t>
            </w:r>
          </w:p>
        </w:tc>
        <w:tc>
          <w:tcPr>
            <w:tcW w:w="7534" w:type="dxa"/>
            <w:gridSpan w:val="3"/>
            <w:shd w:val="clear" w:color="auto" w:fill="FFFFFF"/>
            <w:vAlign w:val="center"/>
          </w:tcPr>
          <w:p w14:paraId="49B39051">
            <w:pPr>
              <w:spacing w:line="240" w:lineRule="auto"/>
              <w:rPr>
                <w:rFonts w:hint="eastAsia" w:ascii="宋体" w:hAnsi="宋体" w:eastAsia="宋体" w:cs="宋体"/>
                <w:spacing w:val="10"/>
                <w:kern w:val="0"/>
                <w:sz w:val="21"/>
                <w:szCs w:val="21"/>
              </w:rPr>
            </w:pPr>
            <w:r>
              <w:rPr>
                <w:rFonts w:hint="eastAsia" w:ascii="宋体" w:hAnsi="宋体" w:eastAsia="宋体" w:cs="宋体"/>
                <w:spacing w:val="10"/>
                <w:kern w:val="0"/>
                <w:sz w:val="21"/>
                <w:szCs w:val="21"/>
              </w:rPr>
              <w:t>中标单位在合同签履约合格后，每年3月、10月提交相关佐证资料，发包单位委托第三方审计机构进行审计，依据审计报告结果补贴各项费用，主要补贴项目为海岛户籍居民（含申请备案的政府机构、国有企业）下单的配送费、打包费、物料费等，具体事项合同内注明。</w:t>
            </w:r>
          </w:p>
          <w:p w14:paraId="3DA253C5">
            <w:pPr>
              <w:spacing w:line="240" w:lineRule="auto"/>
              <w:rPr>
                <w:rFonts w:ascii="宋体" w:hAnsi="宋体" w:cs="宋体"/>
                <w:sz w:val="21"/>
                <w:szCs w:val="21"/>
              </w:rPr>
            </w:pPr>
            <w:r>
              <w:rPr>
                <w:rFonts w:hint="eastAsia" w:ascii="宋体" w:hAnsi="宋体" w:eastAsia="宋体" w:cs="宋体"/>
                <w:spacing w:val="10"/>
                <w:kern w:val="0"/>
                <w:sz w:val="21"/>
                <w:szCs w:val="21"/>
              </w:rPr>
              <w:t>注：付款前中标人须提供正式税务发票。如由于中标人未能及时提供发票导致采购人未按时付款的，由中标人承担责任。以上款项在财政资金到位后支付。</w:t>
            </w:r>
          </w:p>
        </w:tc>
      </w:tr>
      <w:tr w14:paraId="38DDE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27" w:hRule="atLeast"/>
          <w:tblCellSpacing w:w="7" w:type="dxa"/>
          <w:jc w:val="center"/>
        </w:trPr>
        <w:tc>
          <w:tcPr>
            <w:tcW w:w="600" w:type="dxa"/>
            <w:shd w:val="clear" w:color="auto" w:fill="E0E0E0"/>
            <w:vAlign w:val="center"/>
          </w:tcPr>
          <w:p w14:paraId="2EE1594C">
            <w:pPr>
              <w:spacing w:line="360" w:lineRule="auto"/>
              <w:jc w:val="center"/>
              <w:rPr>
                <w:rFonts w:ascii="宋体" w:hAnsi="宋体" w:cs="宋体"/>
                <w:b/>
                <w:sz w:val="21"/>
                <w:szCs w:val="21"/>
              </w:rPr>
            </w:pPr>
            <w:r>
              <w:rPr>
                <w:rFonts w:hint="eastAsia" w:ascii="宋体" w:hAnsi="宋体" w:cs="宋体"/>
                <w:b/>
                <w:sz w:val="21"/>
                <w:szCs w:val="21"/>
              </w:rPr>
              <w:t>10</w:t>
            </w:r>
          </w:p>
        </w:tc>
        <w:tc>
          <w:tcPr>
            <w:tcW w:w="1240" w:type="dxa"/>
            <w:shd w:val="clear" w:color="auto" w:fill="E0E0E0"/>
            <w:vAlign w:val="center"/>
          </w:tcPr>
          <w:p w14:paraId="7A1A09DE">
            <w:pPr>
              <w:spacing w:line="240" w:lineRule="auto"/>
              <w:jc w:val="center"/>
              <w:rPr>
                <w:rFonts w:ascii="宋体" w:hAnsi="宋体" w:cs="宋体"/>
                <w:b/>
                <w:sz w:val="21"/>
                <w:szCs w:val="21"/>
              </w:rPr>
            </w:pPr>
            <w:r>
              <w:rPr>
                <w:rFonts w:hint="eastAsia" w:ascii="宋体" w:hAnsi="宋体" w:cs="宋体"/>
                <w:b/>
                <w:sz w:val="21"/>
                <w:szCs w:val="21"/>
              </w:rPr>
              <w:t>磋商报价</w:t>
            </w:r>
          </w:p>
          <w:p w14:paraId="21E5C30F">
            <w:pPr>
              <w:spacing w:line="240" w:lineRule="auto"/>
              <w:jc w:val="center"/>
              <w:rPr>
                <w:rFonts w:ascii="宋体" w:hAnsi="宋体" w:cs="宋体"/>
                <w:b/>
                <w:sz w:val="21"/>
                <w:szCs w:val="21"/>
              </w:rPr>
            </w:pPr>
            <w:r>
              <w:rPr>
                <w:rFonts w:hint="eastAsia" w:ascii="宋体" w:hAnsi="宋体" w:cs="宋体"/>
                <w:b/>
                <w:sz w:val="21"/>
                <w:szCs w:val="21"/>
              </w:rPr>
              <w:t>与费用</w:t>
            </w:r>
          </w:p>
        </w:tc>
        <w:tc>
          <w:tcPr>
            <w:tcW w:w="7534" w:type="dxa"/>
            <w:gridSpan w:val="3"/>
            <w:shd w:val="clear" w:color="auto" w:fill="FFFFFF"/>
            <w:vAlign w:val="center"/>
          </w:tcPr>
          <w:p w14:paraId="21EAC239">
            <w:pPr>
              <w:spacing w:line="240" w:lineRule="auto"/>
              <w:rPr>
                <w:rFonts w:ascii="宋体" w:hAnsi="宋体" w:cs="宋体"/>
                <w:sz w:val="21"/>
                <w:szCs w:val="21"/>
              </w:rPr>
            </w:pPr>
            <w:r>
              <w:rPr>
                <w:rFonts w:hint="eastAsia" w:ascii="宋体" w:hAnsi="宋体" w:cs="宋体"/>
                <w:sz w:val="21"/>
                <w:szCs w:val="21"/>
              </w:rPr>
              <w:t>1、按国家规定由中标人缴纳的各种税收由中标人自行向税务机关缴纳相关费用。</w:t>
            </w:r>
          </w:p>
          <w:p w14:paraId="7BD33857">
            <w:pPr>
              <w:spacing w:line="240" w:lineRule="auto"/>
              <w:rPr>
                <w:rFonts w:ascii="宋体" w:hAnsi="宋体" w:cs="宋体"/>
                <w:sz w:val="21"/>
                <w:szCs w:val="21"/>
              </w:rPr>
            </w:pPr>
            <w:r>
              <w:rPr>
                <w:rFonts w:hint="eastAsia" w:ascii="宋体" w:hAnsi="宋体" w:cs="宋体"/>
                <w:sz w:val="21"/>
                <w:szCs w:val="21"/>
              </w:rPr>
              <w:t>2、投标人应承担其参加本招标活动自身所发生的全部费用及相关配套费用，具体列出明细报价。（应包括人员工资及福利、保险、节假日加班费、意外保险及日用品费、设施装备费、水电费、管理费、招标代理费、税费、利润等一切费用。）</w:t>
            </w:r>
          </w:p>
          <w:p w14:paraId="435E5429">
            <w:pPr>
              <w:spacing w:line="240" w:lineRule="auto"/>
              <w:rPr>
                <w:rFonts w:hint="default" w:ascii="宋体" w:hAnsi="宋体" w:eastAsia="宋体" w:cs="宋体"/>
                <w:sz w:val="21"/>
                <w:szCs w:val="21"/>
                <w:lang w:val="en-US" w:eastAsia="zh-CN"/>
              </w:rPr>
            </w:pPr>
            <w:r>
              <w:rPr>
                <w:rFonts w:hint="eastAsia" w:ascii="宋体" w:hAnsi="宋体" w:cs="宋体"/>
                <w:sz w:val="21"/>
                <w:szCs w:val="21"/>
                <w:lang w:val="en-US" w:eastAsia="zh-CN"/>
              </w:rPr>
              <w:t>3</w:t>
            </w:r>
            <w:r>
              <w:rPr>
                <w:rFonts w:hint="eastAsia" w:ascii="宋体" w:hAnsi="宋体" w:cs="宋体"/>
                <w:sz w:val="21"/>
                <w:szCs w:val="21"/>
              </w:rPr>
              <w:t>.中标人须缴纳招标代理服务费，收费金额标准：</w:t>
            </w:r>
            <w:r>
              <w:rPr>
                <w:rFonts w:hint="eastAsia" w:ascii="宋体" w:hAnsi="宋体" w:cs="宋体"/>
                <w:sz w:val="21"/>
                <w:szCs w:val="21"/>
                <w:lang w:val="en-US" w:eastAsia="zh-CN"/>
              </w:rPr>
              <w:t>一次性包干7000元整。</w:t>
            </w:r>
          </w:p>
          <w:p w14:paraId="3ED46EE3">
            <w:pPr>
              <w:spacing w:line="240" w:lineRule="auto"/>
              <w:rPr>
                <w:rFonts w:ascii="宋体" w:hAnsi="宋体" w:cs="宋体"/>
                <w:sz w:val="21"/>
                <w:szCs w:val="21"/>
              </w:rPr>
            </w:pPr>
            <w:r>
              <w:rPr>
                <w:rFonts w:hint="eastAsia" w:ascii="宋体" w:hAnsi="宋体" w:cs="宋体"/>
                <w:sz w:val="21"/>
                <w:szCs w:val="21"/>
              </w:rPr>
              <w:t>支付方式及时间为：增值税发票发出后5个工作日内一次性支付给招标代理机构并领取中标通知书。</w:t>
            </w:r>
          </w:p>
          <w:p w14:paraId="0C44A4C8">
            <w:pPr>
              <w:spacing w:line="240" w:lineRule="auto"/>
              <w:rPr>
                <w:rFonts w:hint="eastAsia" w:ascii="宋体" w:hAnsi="宋体" w:cs="宋体"/>
                <w:sz w:val="21"/>
                <w:szCs w:val="21"/>
              </w:rPr>
            </w:pPr>
            <w:r>
              <w:rPr>
                <w:rFonts w:hint="eastAsia" w:ascii="宋体" w:hAnsi="宋体" w:cs="宋体"/>
                <w:sz w:val="21"/>
                <w:szCs w:val="21"/>
              </w:rPr>
              <w:t>收款单位名称：浙江卓宏建设项目管理有限公司舟山分公司</w:t>
            </w:r>
          </w:p>
          <w:p w14:paraId="2E92CE4F">
            <w:pPr>
              <w:spacing w:line="240" w:lineRule="auto"/>
              <w:rPr>
                <w:rFonts w:hint="eastAsia" w:ascii="宋体" w:hAnsi="宋体" w:cs="宋体"/>
                <w:sz w:val="21"/>
                <w:szCs w:val="21"/>
              </w:rPr>
            </w:pPr>
            <w:r>
              <w:rPr>
                <w:rFonts w:hint="eastAsia" w:ascii="宋体" w:hAnsi="宋体" w:cs="宋体"/>
                <w:sz w:val="21"/>
                <w:szCs w:val="21"/>
              </w:rPr>
              <w:t>开户银行： 中国工商银行舟山市分行普陀区支行</w:t>
            </w:r>
          </w:p>
          <w:p w14:paraId="6F242588">
            <w:pPr>
              <w:spacing w:line="240" w:lineRule="auto"/>
              <w:rPr>
                <w:rFonts w:ascii="宋体" w:hAnsi="宋体" w:cs="宋体"/>
                <w:sz w:val="21"/>
                <w:szCs w:val="21"/>
              </w:rPr>
            </w:pPr>
            <w:r>
              <w:rPr>
                <w:rFonts w:hint="eastAsia" w:ascii="宋体" w:hAnsi="宋体" w:cs="宋体"/>
                <w:sz w:val="21"/>
                <w:szCs w:val="21"/>
              </w:rPr>
              <w:t>银行账号： 1206021</w:t>
            </w:r>
            <w:r>
              <w:rPr>
                <w:rFonts w:hint="eastAsia" w:ascii="宋体" w:hAnsi="宋体" w:cs="宋体"/>
                <w:sz w:val="21"/>
                <w:szCs w:val="21"/>
                <w:lang w:val="en-US" w:eastAsia="zh-CN"/>
              </w:rPr>
              <w:t>1</w:t>
            </w:r>
            <w:r>
              <w:rPr>
                <w:rFonts w:hint="eastAsia" w:ascii="宋体" w:hAnsi="宋体" w:cs="宋体"/>
                <w:sz w:val="21"/>
                <w:szCs w:val="21"/>
              </w:rPr>
              <w:t>09200015108</w:t>
            </w:r>
          </w:p>
        </w:tc>
      </w:tr>
      <w:tr w14:paraId="60A0F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5" w:hRule="atLeast"/>
          <w:tblCellSpacing w:w="7" w:type="dxa"/>
          <w:jc w:val="center"/>
        </w:trPr>
        <w:tc>
          <w:tcPr>
            <w:tcW w:w="600" w:type="dxa"/>
            <w:shd w:val="clear" w:color="auto" w:fill="E0E0E0"/>
            <w:vAlign w:val="center"/>
          </w:tcPr>
          <w:p w14:paraId="339A03AB">
            <w:pPr>
              <w:spacing w:line="360" w:lineRule="auto"/>
              <w:jc w:val="center"/>
              <w:rPr>
                <w:rFonts w:ascii="宋体" w:hAnsi="宋体" w:cs="宋体"/>
                <w:b/>
                <w:sz w:val="21"/>
                <w:szCs w:val="21"/>
              </w:rPr>
            </w:pPr>
            <w:r>
              <w:rPr>
                <w:rFonts w:hint="eastAsia" w:ascii="宋体" w:hAnsi="宋体" w:cs="宋体"/>
                <w:b/>
                <w:sz w:val="21"/>
                <w:szCs w:val="21"/>
              </w:rPr>
              <w:t>11</w:t>
            </w:r>
          </w:p>
        </w:tc>
        <w:tc>
          <w:tcPr>
            <w:tcW w:w="1240" w:type="dxa"/>
            <w:shd w:val="clear" w:color="auto" w:fill="E0E0E0"/>
            <w:vAlign w:val="center"/>
          </w:tcPr>
          <w:p w14:paraId="78D804BA">
            <w:pPr>
              <w:spacing w:line="240" w:lineRule="auto"/>
              <w:jc w:val="center"/>
              <w:rPr>
                <w:rFonts w:ascii="宋体" w:hAnsi="宋体" w:cs="宋体"/>
                <w:b/>
                <w:sz w:val="21"/>
                <w:szCs w:val="21"/>
              </w:rPr>
            </w:pPr>
            <w:r>
              <w:rPr>
                <w:rFonts w:hint="eastAsia" w:ascii="宋体" w:hAnsi="宋体" w:cs="宋体"/>
                <w:b/>
                <w:sz w:val="21"/>
                <w:szCs w:val="21"/>
              </w:rPr>
              <w:t>履约保证金</w:t>
            </w:r>
          </w:p>
        </w:tc>
        <w:tc>
          <w:tcPr>
            <w:tcW w:w="7534" w:type="dxa"/>
            <w:gridSpan w:val="3"/>
            <w:shd w:val="clear" w:color="auto" w:fill="FFFFFF"/>
            <w:vAlign w:val="center"/>
          </w:tcPr>
          <w:p w14:paraId="175858AB">
            <w:pPr>
              <w:spacing w:line="240" w:lineRule="auto"/>
              <w:rPr>
                <w:rFonts w:ascii="宋体" w:hAnsi="宋体" w:cs="宋体"/>
                <w:b/>
                <w:sz w:val="21"/>
                <w:szCs w:val="21"/>
              </w:rPr>
            </w:pPr>
            <w:r>
              <w:rPr>
                <w:rFonts w:hint="eastAsia" w:ascii="宋体" w:hAnsi="宋体" w:cs="宋体"/>
                <w:b/>
                <w:sz w:val="21"/>
                <w:szCs w:val="21"/>
              </w:rPr>
              <w:t xml:space="preserve"> /</w:t>
            </w:r>
          </w:p>
        </w:tc>
      </w:tr>
      <w:tr w14:paraId="50C48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69725570">
            <w:pPr>
              <w:spacing w:line="360" w:lineRule="auto"/>
              <w:jc w:val="center"/>
              <w:rPr>
                <w:rFonts w:ascii="宋体" w:hAnsi="宋体" w:cs="宋体"/>
                <w:b/>
                <w:sz w:val="21"/>
                <w:szCs w:val="21"/>
              </w:rPr>
            </w:pPr>
            <w:r>
              <w:rPr>
                <w:rFonts w:hint="eastAsia" w:ascii="宋体" w:hAnsi="宋体" w:cs="宋体"/>
                <w:b/>
                <w:sz w:val="21"/>
                <w:szCs w:val="21"/>
              </w:rPr>
              <w:t>12</w:t>
            </w:r>
          </w:p>
        </w:tc>
        <w:tc>
          <w:tcPr>
            <w:tcW w:w="1240" w:type="dxa"/>
            <w:shd w:val="clear" w:color="auto" w:fill="E0E0E0"/>
            <w:vAlign w:val="center"/>
          </w:tcPr>
          <w:p w14:paraId="6CB543B3">
            <w:pPr>
              <w:spacing w:line="240" w:lineRule="auto"/>
              <w:jc w:val="center"/>
              <w:rPr>
                <w:rFonts w:ascii="宋体" w:hAnsi="宋体" w:cs="宋体"/>
                <w:b/>
                <w:sz w:val="21"/>
                <w:szCs w:val="21"/>
              </w:rPr>
            </w:pPr>
            <w:r>
              <w:rPr>
                <w:rFonts w:hint="eastAsia" w:ascii="宋体" w:hAnsi="宋体" w:cs="宋体"/>
                <w:b/>
                <w:sz w:val="21"/>
                <w:szCs w:val="21"/>
              </w:rPr>
              <w:t>磋商响应文件的组成</w:t>
            </w:r>
          </w:p>
        </w:tc>
        <w:tc>
          <w:tcPr>
            <w:tcW w:w="7534" w:type="dxa"/>
            <w:gridSpan w:val="3"/>
            <w:shd w:val="clear" w:color="auto" w:fill="FFFFFF"/>
            <w:vAlign w:val="center"/>
          </w:tcPr>
          <w:p w14:paraId="4AD8B890">
            <w:pPr>
              <w:pStyle w:val="15"/>
              <w:spacing w:after="0" w:line="240" w:lineRule="auto"/>
              <w:rPr>
                <w:rFonts w:ascii="宋体" w:hAnsi="宋体" w:cs="宋体"/>
                <w:kern w:val="2"/>
                <w:sz w:val="21"/>
                <w:szCs w:val="21"/>
              </w:rPr>
            </w:pPr>
            <w:r>
              <w:rPr>
                <w:rFonts w:hint="eastAsia" w:ascii="宋体" w:hAnsi="宋体" w:cs="宋体"/>
                <w:kern w:val="2"/>
                <w:sz w:val="21"/>
                <w:szCs w:val="21"/>
              </w:rPr>
              <w:t>磋商响应文件由资格响应文件、商务及技术响应文件、报价文件三部分组成。</w:t>
            </w:r>
          </w:p>
        </w:tc>
      </w:tr>
      <w:tr w14:paraId="204EC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5A5D78A2">
            <w:pPr>
              <w:spacing w:line="360" w:lineRule="auto"/>
              <w:jc w:val="center"/>
              <w:rPr>
                <w:rFonts w:ascii="宋体" w:hAnsi="宋体" w:cs="宋体"/>
                <w:b/>
                <w:sz w:val="21"/>
                <w:szCs w:val="21"/>
              </w:rPr>
            </w:pPr>
            <w:r>
              <w:rPr>
                <w:rFonts w:hint="eastAsia" w:ascii="宋体" w:hAnsi="宋体" w:cs="宋体"/>
                <w:b/>
                <w:sz w:val="21"/>
                <w:szCs w:val="21"/>
              </w:rPr>
              <w:t>13</w:t>
            </w:r>
          </w:p>
        </w:tc>
        <w:tc>
          <w:tcPr>
            <w:tcW w:w="1240" w:type="dxa"/>
            <w:shd w:val="clear" w:color="auto" w:fill="E0E0E0"/>
            <w:vAlign w:val="center"/>
          </w:tcPr>
          <w:p w14:paraId="7FA2516F">
            <w:pPr>
              <w:spacing w:line="240" w:lineRule="auto"/>
              <w:jc w:val="center"/>
              <w:rPr>
                <w:rFonts w:ascii="宋体" w:hAnsi="宋体" w:cs="宋体"/>
                <w:b/>
                <w:sz w:val="21"/>
                <w:szCs w:val="21"/>
              </w:rPr>
            </w:pPr>
            <w:r>
              <w:rPr>
                <w:rFonts w:hint="eastAsia" w:ascii="宋体" w:hAnsi="宋体" w:cs="宋体"/>
                <w:b/>
                <w:sz w:val="21"/>
                <w:szCs w:val="21"/>
              </w:rPr>
              <w:t>投标文件</w:t>
            </w:r>
          </w:p>
          <w:p w14:paraId="5C70EC80">
            <w:pPr>
              <w:spacing w:line="240" w:lineRule="auto"/>
              <w:jc w:val="center"/>
              <w:rPr>
                <w:rFonts w:ascii="宋体" w:hAnsi="宋体" w:cs="宋体"/>
                <w:b/>
                <w:sz w:val="21"/>
                <w:szCs w:val="21"/>
              </w:rPr>
            </w:pPr>
            <w:r>
              <w:rPr>
                <w:rFonts w:hint="eastAsia" w:ascii="宋体" w:hAnsi="宋体" w:cs="宋体"/>
                <w:b/>
                <w:sz w:val="21"/>
                <w:szCs w:val="21"/>
              </w:rPr>
              <w:t>的密封要求</w:t>
            </w:r>
          </w:p>
        </w:tc>
        <w:tc>
          <w:tcPr>
            <w:tcW w:w="7534" w:type="dxa"/>
            <w:gridSpan w:val="3"/>
            <w:shd w:val="clear" w:color="auto" w:fill="FFFFFF"/>
            <w:vAlign w:val="center"/>
          </w:tcPr>
          <w:p w14:paraId="7DDA268D">
            <w:pPr>
              <w:snapToGrid w:val="0"/>
              <w:spacing w:line="240" w:lineRule="auto"/>
              <w:rPr>
                <w:rFonts w:ascii="宋体" w:hAnsi="宋体" w:cs="宋体"/>
                <w:sz w:val="21"/>
                <w:szCs w:val="21"/>
              </w:rPr>
            </w:pPr>
            <w:r>
              <w:rPr>
                <w:rFonts w:hint="eastAsia" w:ascii="宋体" w:hAnsi="宋体" w:cs="宋体"/>
                <w:sz w:val="21"/>
                <w:szCs w:val="21"/>
              </w:rPr>
              <w:t>本项目实行网上投标。</w:t>
            </w:r>
          </w:p>
          <w:p w14:paraId="0CCC0ABC">
            <w:pPr>
              <w:snapToGrid w:val="0"/>
              <w:spacing w:line="240" w:lineRule="auto"/>
              <w:rPr>
                <w:rFonts w:ascii="宋体" w:hAnsi="宋体" w:cs="宋体"/>
                <w:sz w:val="21"/>
                <w:szCs w:val="21"/>
              </w:rPr>
            </w:pPr>
            <w:r>
              <w:rPr>
                <w:rFonts w:hint="eastAsia" w:ascii="宋体" w:hAnsi="宋体" w:cs="宋体"/>
                <w:sz w:val="21"/>
                <w:szCs w:val="21"/>
              </w:rPr>
              <w:t>投标人线上制作投标文件并采用CA数字证书进行电子签章及加密。</w:t>
            </w:r>
          </w:p>
          <w:p w14:paraId="1CE05842">
            <w:pPr>
              <w:snapToGrid w:val="0"/>
              <w:spacing w:line="240" w:lineRule="auto"/>
              <w:rPr>
                <w:rFonts w:ascii="宋体" w:hAnsi="宋体" w:cs="宋体"/>
                <w:sz w:val="21"/>
                <w:szCs w:val="21"/>
              </w:rPr>
            </w:pPr>
            <w:r>
              <w:rPr>
                <w:rFonts w:hint="eastAsia" w:ascii="宋体" w:hAnsi="宋体" w:cs="宋体"/>
                <w:sz w:val="21"/>
                <w:szCs w:val="21"/>
              </w:rPr>
              <w:t>投标人递交备份投标文件应密封封装，注明投标人名称、项目名称并封口处加盖公章。</w:t>
            </w:r>
          </w:p>
        </w:tc>
      </w:tr>
      <w:tr w14:paraId="1BB79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19AAF730">
            <w:pPr>
              <w:adjustRightInd w:val="0"/>
              <w:snapToGrid w:val="0"/>
              <w:spacing w:line="360" w:lineRule="auto"/>
              <w:jc w:val="center"/>
              <w:rPr>
                <w:rFonts w:ascii="宋体" w:hAnsi="宋体" w:cs="宋体"/>
                <w:b/>
                <w:sz w:val="21"/>
                <w:szCs w:val="21"/>
              </w:rPr>
            </w:pPr>
            <w:r>
              <w:rPr>
                <w:rFonts w:hint="eastAsia" w:ascii="宋体" w:hAnsi="宋体" w:cs="宋体"/>
                <w:b/>
                <w:sz w:val="21"/>
                <w:szCs w:val="21"/>
              </w:rPr>
              <w:t>14</w:t>
            </w:r>
          </w:p>
        </w:tc>
        <w:tc>
          <w:tcPr>
            <w:tcW w:w="1240" w:type="dxa"/>
            <w:shd w:val="clear" w:color="auto" w:fill="E0E0E0"/>
            <w:vAlign w:val="center"/>
          </w:tcPr>
          <w:p w14:paraId="225D91F3">
            <w:pPr>
              <w:adjustRightInd w:val="0"/>
              <w:snapToGrid w:val="0"/>
              <w:spacing w:line="240" w:lineRule="auto"/>
              <w:jc w:val="center"/>
              <w:rPr>
                <w:rFonts w:ascii="宋体" w:hAnsi="宋体" w:cs="宋体"/>
                <w:b/>
                <w:sz w:val="21"/>
                <w:szCs w:val="21"/>
              </w:rPr>
            </w:pPr>
            <w:r>
              <w:rPr>
                <w:rFonts w:hint="eastAsia" w:ascii="宋体" w:hAnsi="宋体" w:cs="宋体"/>
                <w:b/>
                <w:sz w:val="21"/>
                <w:szCs w:val="21"/>
              </w:rPr>
              <w:t>磋商响应文件提交</w:t>
            </w:r>
          </w:p>
        </w:tc>
        <w:tc>
          <w:tcPr>
            <w:tcW w:w="7534" w:type="dxa"/>
            <w:gridSpan w:val="3"/>
            <w:shd w:val="clear" w:color="auto" w:fill="FFFFFF"/>
            <w:vAlign w:val="center"/>
          </w:tcPr>
          <w:p w14:paraId="55381FE6">
            <w:pPr>
              <w:snapToGrid w:val="0"/>
              <w:spacing w:line="240" w:lineRule="auto"/>
              <w:rPr>
                <w:rFonts w:ascii="宋体" w:hAnsi="宋体" w:cs="宋体"/>
                <w:sz w:val="21"/>
                <w:szCs w:val="21"/>
              </w:rPr>
            </w:pPr>
            <w:r>
              <w:rPr>
                <w:rFonts w:hint="eastAsia" w:ascii="宋体" w:hAnsi="宋体" w:cs="宋体"/>
                <w:sz w:val="21"/>
                <w:szCs w:val="21"/>
              </w:rPr>
              <w:t xml:space="preserve"> 根据《浙江省政府采购项目电子交易管理暂行办法》第二十条规定，本次投标允许投标人递交电子备份投标文件</w:t>
            </w:r>
            <w:r>
              <w:rPr>
                <w:rFonts w:hint="eastAsia" w:ascii="宋体" w:hAnsi="宋体" w:cs="宋体"/>
                <w:b/>
                <w:bCs/>
                <w:sz w:val="21"/>
                <w:szCs w:val="21"/>
              </w:rPr>
              <w:t>（后缀名为.bfbs）</w:t>
            </w:r>
            <w:r>
              <w:rPr>
                <w:rFonts w:hint="eastAsia" w:ascii="宋体" w:hAnsi="宋体" w:cs="宋体"/>
                <w:sz w:val="21"/>
                <w:szCs w:val="21"/>
              </w:rPr>
              <w:t xml:space="preserve">，但不强制要求提交，未提供造成项目开评标活动无法进行下去的，投标无效，相关风险由投标人自行承担。 </w:t>
            </w:r>
          </w:p>
          <w:p w14:paraId="17189D77">
            <w:pPr>
              <w:snapToGrid w:val="0"/>
              <w:spacing w:line="240" w:lineRule="auto"/>
              <w:rPr>
                <w:rFonts w:ascii="宋体" w:hAnsi="宋体" w:cs="宋体"/>
                <w:sz w:val="21"/>
                <w:szCs w:val="21"/>
              </w:rPr>
            </w:pPr>
            <w:r>
              <w:rPr>
                <w:rFonts w:hint="eastAsia" w:ascii="宋体" w:hAnsi="宋体" w:cs="宋体"/>
                <w:sz w:val="21"/>
                <w:szCs w:val="21"/>
              </w:rPr>
              <w:t>1、在开标截止时间前须在政采云系统里上传加密的电子版投标文件。</w:t>
            </w:r>
          </w:p>
          <w:p w14:paraId="7D095766">
            <w:pPr>
              <w:snapToGrid w:val="0"/>
              <w:spacing w:line="240" w:lineRule="auto"/>
              <w:rPr>
                <w:rFonts w:ascii="宋体" w:hAnsi="宋体" w:cs="宋体"/>
                <w:sz w:val="21"/>
                <w:szCs w:val="21"/>
              </w:rPr>
            </w:pPr>
            <w:r>
              <w:rPr>
                <w:rFonts w:hint="eastAsia" w:ascii="宋体" w:hAnsi="宋体" w:cs="宋体"/>
                <w:sz w:val="21"/>
                <w:szCs w:val="21"/>
              </w:rPr>
              <w:t>2、备份投标文件递交的方式及时间为：</w:t>
            </w:r>
          </w:p>
          <w:p w14:paraId="5563B10D">
            <w:pPr>
              <w:snapToGrid w:val="0"/>
              <w:spacing w:line="240" w:lineRule="auto"/>
              <w:rPr>
                <w:rFonts w:ascii="宋体" w:hAnsi="宋体" w:cs="宋体"/>
                <w:sz w:val="21"/>
                <w:szCs w:val="21"/>
              </w:rPr>
            </w:pPr>
            <w:r>
              <w:rPr>
                <w:rFonts w:hint="eastAsia" w:ascii="宋体" w:hAnsi="宋体" w:cs="宋体"/>
                <w:sz w:val="21"/>
                <w:szCs w:val="21"/>
              </w:rPr>
              <w:t>2.1投标截止时间前。</w:t>
            </w:r>
          </w:p>
          <w:p w14:paraId="09446F16">
            <w:pPr>
              <w:snapToGrid w:val="0"/>
              <w:spacing w:line="240" w:lineRule="auto"/>
              <w:rPr>
                <w:rFonts w:ascii="宋体" w:hAnsi="宋体" w:cs="宋体"/>
                <w:sz w:val="21"/>
                <w:szCs w:val="21"/>
              </w:rPr>
            </w:pPr>
            <w:r>
              <w:rPr>
                <w:rFonts w:hint="eastAsia" w:ascii="宋体" w:hAnsi="宋体" w:cs="宋体"/>
                <w:sz w:val="21"/>
                <w:szCs w:val="21"/>
              </w:rPr>
              <w:t>2.2</w:t>
            </w:r>
            <w:r>
              <w:rPr>
                <w:rFonts w:hint="eastAsia" w:ascii="宋体" w:hAnsi="宋体" w:cs="宋体"/>
                <w:b/>
                <w:bCs/>
                <w:sz w:val="21"/>
                <w:szCs w:val="21"/>
                <w:shd w:val="clear" w:color="auto" w:fill="FFFFFF"/>
              </w:rPr>
              <w:t>邮寄或送达代理机构</w:t>
            </w:r>
            <w:r>
              <w:rPr>
                <w:rFonts w:hint="eastAsia" w:ascii="宋体" w:hAnsi="宋体" w:cs="宋体"/>
                <w:sz w:val="21"/>
                <w:szCs w:val="21"/>
              </w:rPr>
              <w:t>。</w:t>
            </w:r>
          </w:p>
          <w:p w14:paraId="4A5426A7">
            <w:pPr>
              <w:snapToGrid w:val="0"/>
              <w:spacing w:line="240" w:lineRule="auto"/>
              <w:rPr>
                <w:rFonts w:hint="default" w:ascii="宋体" w:hAnsi="宋体" w:eastAsia="宋体" w:cs="宋体"/>
                <w:b/>
                <w:bCs/>
                <w:sz w:val="21"/>
                <w:szCs w:val="21"/>
                <w:lang w:val="en-US" w:eastAsia="zh-CN"/>
              </w:rPr>
            </w:pPr>
            <w:r>
              <w:rPr>
                <w:rFonts w:hint="eastAsia" w:ascii="宋体" w:hAnsi="宋体" w:cs="宋体"/>
                <w:b/>
                <w:bCs/>
                <w:sz w:val="21"/>
                <w:szCs w:val="21"/>
              </w:rPr>
              <w:t>邮寄地址：</w:t>
            </w:r>
            <w:r>
              <w:rPr>
                <w:rFonts w:hint="eastAsia" w:ascii="宋体" w:hAnsi="宋体" w:cs="宋体"/>
                <w:b/>
                <w:bCs/>
                <w:sz w:val="21"/>
                <w:szCs w:val="21"/>
                <w:lang w:val="en-US" w:eastAsia="zh-CN"/>
              </w:rPr>
              <w:t>舟山市定海区临城街道中浪国际A座6楼</w:t>
            </w:r>
          </w:p>
          <w:p w14:paraId="597B0A54">
            <w:pPr>
              <w:spacing w:line="240" w:lineRule="auto"/>
              <w:rPr>
                <w:rFonts w:hint="eastAsia" w:ascii="宋体" w:hAnsi="宋体" w:cs="宋体"/>
                <w:b/>
                <w:bCs/>
                <w:sz w:val="21"/>
                <w:szCs w:val="21"/>
              </w:rPr>
            </w:pPr>
            <w:r>
              <w:rPr>
                <w:rFonts w:hint="eastAsia" w:ascii="宋体" w:hAnsi="宋体" w:cs="宋体"/>
                <w:b/>
                <w:bCs/>
                <w:sz w:val="21"/>
                <w:szCs w:val="21"/>
              </w:rPr>
              <w:t>收件人：</w:t>
            </w:r>
            <w:r>
              <w:rPr>
                <w:rFonts w:hint="eastAsia" w:ascii="宋体" w:hAnsi="宋体" w:cs="宋体"/>
                <w:b/>
                <w:bCs/>
                <w:sz w:val="21"/>
                <w:szCs w:val="21"/>
                <w:lang w:val="en-US" w:eastAsia="zh-CN"/>
              </w:rPr>
              <w:t>陈怡轩</w:t>
            </w:r>
            <w:r>
              <w:rPr>
                <w:rFonts w:hint="eastAsia" w:ascii="宋体" w:hAnsi="宋体" w:cs="宋体"/>
                <w:b/>
                <w:bCs/>
                <w:sz w:val="21"/>
                <w:szCs w:val="21"/>
              </w:rPr>
              <w:t>，电话：0580-2027712</w:t>
            </w:r>
          </w:p>
          <w:p w14:paraId="367051B5">
            <w:pPr>
              <w:snapToGrid w:val="0"/>
              <w:spacing w:line="240" w:lineRule="auto"/>
              <w:rPr>
                <w:rFonts w:ascii="宋体" w:hAnsi="宋体" w:cs="宋体"/>
                <w:sz w:val="21"/>
                <w:szCs w:val="21"/>
              </w:rPr>
            </w:pPr>
            <w:r>
              <w:rPr>
                <w:rFonts w:hint="eastAsia" w:ascii="宋体" w:hAnsi="宋体" w:cs="宋体"/>
                <w:sz w:val="21"/>
                <w:szCs w:val="21"/>
              </w:rPr>
              <w:t>3、备份投标文件，介质可以是U盘或DVD光盘，只允许存储一个文件。</w:t>
            </w:r>
          </w:p>
          <w:p w14:paraId="3142E3F7">
            <w:pPr>
              <w:snapToGrid w:val="0"/>
              <w:spacing w:line="240" w:lineRule="auto"/>
              <w:rPr>
                <w:rFonts w:ascii="宋体" w:hAnsi="宋体" w:cs="宋体"/>
                <w:sz w:val="21"/>
                <w:szCs w:val="21"/>
              </w:rPr>
            </w:pPr>
            <w:r>
              <w:rPr>
                <w:rFonts w:hint="eastAsia" w:ascii="宋体" w:hAnsi="宋体" w:cs="宋体"/>
                <w:sz w:val="21"/>
                <w:szCs w:val="21"/>
              </w:rPr>
              <w:t>4、当发生投标人未按时解密时，代理机构将启用已提交的备份投标文件。</w:t>
            </w:r>
          </w:p>
          <w:p w14:paraId="50291E03">
            <w:pPr>
              <w:snapToGrid w:val="0"/>
              <w:spacing w:line="240" w:lineRule="auto"/>
              <w:rPr>
                <w:rFonts w:ascii="宋体" w:hAnsi="宋体" w:cs="宋体"/>
                <w:sz w:val="21"/>
                <w:szCs w:val="21"/>
              </w:rPr>
            </w:pPr>
            <w:r>
              <w:rPr>
                <w:rFonts w:hint="eastAsia" w:ascii="宋体" w:hAnsi="宋体" w:cs="宋体"/>
                <w:sz w:val="21"/>
                <w:szCs w:val="21"/>
              </w:rPr>
              <w:t>5、以下情形视为</w:t>
            </w:r>
            <w:r>
              <w:rPr>
                <w:rFonts w:hint="eastAsia" w:ascii="宋体" w:hAnsi="宋体" w:cs="宋体"/>
                <w:b/>
                <w:bCs/>
                <w:sz w:val="21"/>
                <w:szCs w:val="21"/>
              </w:rPr>
              <w:t>未提交有效投标文件：</w:t>
            </w:r>
          </w:p>
          <w:p w14:paraId="36E130E2">
            <w:pPr>
              <w:snapToGrid w:val="0"/>
              <w:spacing w:line="240" w:lineRule="auto"/>
              <w:rPr>
                <w:rFonts w:ascii="宋体" w:hAnsi="宋体" w:cs="宋体"/>
                <w:sz w:val="21"/>
                <w:szCs w:val="21"/>
              </w:rPr>
            </w:pPr>
            <w:r>
              <w:rPr>
                <w:rFonts w:hint="eastAsia" w:ascii="宋体" w:hAnsi="宋体" w:cs="宋体"/>
                <w:sz w:val="21"/>
                <w:szCs w:val="21"/>
              </w:rPr>
              <w:t>5.1仅提交备份投标文件的；</w:t>
            </w:r>
          </w:p>
          <w:p w14:paraId="7DC5A05B">
            <w:pPr>
              <w:snapToGrid w:val="0"/>
              <w:spacing w:line="240" w:lineRule="auto"/>
              <w:rPr>
                <w:rFonts w:ascii="宋体" w:hAnsi="宋体" w:cs="宋体"/>
                <w:sz w:val="21"/>
                <w:szCs w:val="21"/>
              </w:rPr>
            </w:pPr>
            <w:r>
              <w:rPr>
                <w:rFonts w:hint="eastAsia" w:ascii="宋体" w:hAnsi="宋体" w:cs="宋体"/>
                <w:sz w:val="21"/>
                <w:szCs w:val="21"/>
              </w:rPr>
              <w:t>5.2投标人未按时解密，且提交备份投标文件无效的；</w:t>
            </w:r>
          </w:p>
          <w:p w14:paraId="7BBA5EA3">
            <w:pPr>
              <w:snapToGrid w:val="0"/>
              <w:spacing w:line="240" w:lineRule="auto"/>
              <w:rPr>
                <w:rFonts w:ascii="宋体" w:hAnsi="宋体" w:cs="宋体"/>
                <w:sz w:val="21"/>
                <w:szCs w:val="21"/>
              </w:rPr>
            </w:pPr>
            <w:r>
              <w:rPr>
                <w:rFonts w:hint="eastAsia" w:ascii="宋体" w:hAnsi="宋体" w:cs="宋体"/>
                <w:sz w:val="21"/>
                <w:szCs w:val="21"/>
              </w:rPr>
              <w:t>5.3投标人未按时解密，且提交的备份投标文件不明确，存在一个或一个以上备选（替代）备份投标文件。</w:t>
            </w:r>
          </w:p>
          <w:p w14:paraId="4F8FD0F7">
            <w:pPr>
              <w:snapToGrid w:val="0"/>
              <w:spacing w:line="240" w:lineRule="auto"/>
              <w:rPr>
                <w:rFonts w:ascii="宋体" w:hAnsi="宋体" w:cs="宋体"/>
                <w:sz w:val="21"/>
                <w:szCs w:val="21"/>
              </w:rPr>
            </w:pPr>
            <w:r>
              <w:rPr>
                <w:rFonts w:hint="eastAsia" w:ascii="宋体" w:hAnsi="宋体" w:cs="宋体"/>
                <w:sz w:val="21"/>
                <w:szCs w:val="21"/>
              </w:rPr>
              <w:t>6、投标人递交备份投标文件时，如出现下列情况之一的，</w:t>
            </w:r>
            <w:r>
              <w:rPr>
                <w:rFonts w:hint="eastAsia" w:ascii="宋体" w:hAnsi="宋体" w:cs="宋体"/>
                <w:b/>
                <w:bCs/>
                <w:sz w:val="21"/>
                <w:szCs w:val="21"/>
              </w:rPr>
              <w:t>将被拒收：</w:t>
            </w:r>
          </w:p>
          <w:p w14:paraId="06ADDD26">
            <w:pPr>
              <w:snapToGrid w:val="0"/>
              <w:spacing w:line="240" w:lineRule="auto"/>
              <w:rPr>
                <w:rFonts w:ascii="宋体" w:hAnsi="宋体" w:cs="宋体"/>
                <w:sz w:val="21"/>
                <w:szCs w:val="21"/>
              </w:rPr>
            </w:pPr>
            <w:r>
              <w:rPr>
                <w:rFonts w:hint="eastAsia" w:ascii="宋体" w:hAnsi="宋体" w:cs="宋体"/>
                <w:sz w:val="21"/>
                <w:szCs w:val="21"/>
              </w:rPr>
              <w:t>6.1未按规定密封或标记的投标文件；</w:t>
            </w:r>
          </w:p>
          <w:p w14:paraId="267D40F7">
            <w:pPr>
              <w:snapToGrid w:val="0"/>
              <w:spacing w:line="240" w:lineRule="auto"/>
              <w:rPr>
                <w:rFonts w:ascii="宋体" w:hAnsi="宋体" w:cs="宋体"/>
                <w:sz w:val="21"/>
                <w:szCs w:val="21"/>
              </w:rPr>
            </w:pPr>
            <w:r>
              <w:rPr>
                <w:rFonts w:hint="eastAsia" w:ascii="宋体" w:hAnsi="宋体" w:cs="宋体"/>
                <w:sz w:val="21"/>
                <w:szCs w:val="21"/>
              </w:rPr>
              <w:t>6.2由于包装不妥，在送交途中严重损坏的；</w:t>
            </w:r>
          </w:p>
          <w:p w14:paraId="598279D5">
            <w:pPr>
              <w:snapToGrid w:val="0"/>
              <w:spacing w:line="240" w:lineRule="auto"/>
              <w:rPr>
                <w:rFonts w:ascii="宋体" w:hAnsi="宋体" w:cs="宋体"/>
                <w:sz w:val="21"/>
                <w:szCs w:val="21"/>
              </w:rPr>
            </w:pPr>
            <w:r>
              <w:rPr>
                <w:rFonts w:hint="eastAsia" w:ascii="宋体" w:hAnsi="宋体" w:cs="宋体"/>
                <w:sz w:val="21"/>
                <w:szCs w:val="21"/>
              </w:rPr>
              <w:t>6.3超过规定时间送达的。</w:t>
            </w:r>
          </w:p>
        </w:tc>
      </w:tr>
      <w:tr w14:paraId="7DBF5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0" w:hRule="atLeast"/>
          <w:tblCellSpacing w:w="7" w:type="dxa"/>
          <w:jc w:val="center"/>
        </w:trPr>
        <w:tc>
          <w:tcPr>
            <w:tcW w:w="600" w:type="dxa"/>
            <w:shd w:val="clear" w:color="auto" w:fill="E0E0E0"/>
            <w:vAlign w:val="center"/>
          </w:tcPr>
          <w:p w14:paraId="56D61778">
            <w:pPr>
              <w:spacing w:line="360" w:lineRule="auto"/>
              <w:jc w:val="center"/>
              <w:rPr>
                <w:rFonts w:ascii="宋体" w:hAnsi="宋体" w:cs="宋体"/>
                <w:b/>
                <w:sz w:val="21"/>
                <w:szCs w:val="21"/>
              </w:rPr>
            </w:pPr>
            <w:r>
              <w:rPr>
                <w:rFonts w:hint="eastAsia" w:ascii="宋体" w:hAnsi="宋体" w:cs="宋体"/>
                <w:b/>
                <w:sz w:val="21"/>
                <w:szCs w:val="21"/>
              </w:rPr>
              <w:t>15</w:t>
            </w:r>
          </w:p>
        </w:tc>
        <w:tc>
          <w:tcPr>
            <w:tcW w:w="1240" w:type="dxa"/>
            <w:shd w:val="clear" w:color="auto" w:fill="E0E0E0"/>
            <w:vAlign w:val="center"/>
          </w:tcPr>
          <w:p w14:paraId="24E48E60">
            <w:pPr>
              <w:snapToGrid w:val="0"/>
              <w:spacing w:line="240" w:lineRule="auto"/>
              <w:jc w:val="center"/>
              <w:rPr>
                <w:rFonts w:ascii="宋体" w:hAnsi="宋体" w:cs="宋体"/>
                <w:sz w:val="21"/>
                <w:szCs w:val="21"/>
              </w:rPr>
            </w:pPr>
            <w:r>
              <w:rPr>
                <w:rFonts w:hint="eastAsia" w:ascii="宋体" w:hAnsi="宋体" w:cs="宋体"/>
                <w:b/>
                <w:sz w:val="21"/>
                <w:szCs w:val="21"/>
              </w:rPr>
              <w:t>磋商响应文件提交截止时间</w:t>
            </w:r>
          </w:p>
        </w:tc>
        <w:tc>
          <w:tcPr>
            <w:tcW w:w="7534" w:type="dxa"/>
            <w:gridSpan w:val="3"/>
            <w:shd w:val="clear" w:color="auto" w:fill="FFFFFF"/>
            <w:vAlign w:val="center"/>
          </w:tcPr>
          <w:p w14:paraId="5097C9E4">
            <w:pPr>
              <w:snapToGrid w:val="0"/>
              <w:spacing w:line="240" w:lineRule="auto"/>
              <w:rPr>
                <w:rFonts w:ascii="宋体" w:hAnsi="宋体" w:cs="宋体"/>
                <w:sz w:val="21"/>
                <w:szCs w:val="21"/>
              </w:rPr>
            </w:pPr>
            <w:r>
              <w:rPr>
                <w:rFonts w:hint="eastAsia" w:ascii="宋体" w:hAnsi="宋体" w:cs="宋体"/>
                <w:sz w:val="21"/>
                <w:szCs w:val="21"/>
              </w:rPr>
              <w:t>202</w:t>
            </w:r>
            <w:r>
              <w:rPr>
                <w:rFonts w:hint="eastAsia" w:ascii="宋体" w:hAnsi="宋体" w:cs="宋体"/>
                <w:sz w:val="21"/>
                <w:szCs w:val="21"/>
                <w:lang w:val="en-US" w:eastAsia="zh-CN"/>
              </w:rPr>
              <w:t>5</w:t>
            </w:r>
            <w:r>
              <w:rPr>
                <w:rFonts w:hint="eastAsia" w:ascii="宋体" w:hAnsi="宋体" w:cs="宋体"/>
                <w:sz w:val="21"/>
                <w:szCs w:val="21"/>
              </w:rPr>
              <w:t>年</w:t>
            </w:r>
            <w:r>
              <w:rPr>
                <w:rFonts w:hint="eastAsia" w:ascii="宋体" w:hAnsi="宋体" w:cs="宋体"/>
                <w:sz w:val="21"/>
                <w:szCs w:val="21"/>
                <w:lang w:val="en-US" w:eastAsia="zh-CN"/>
              </w:rPr>
              <w:t xml:space="preserve"> </w:t>
            </w:r>
            <w:r>
              <w:rPr>
                <w:rFonts w:hint="eastAsia" w:ascii="宋体" w:hAnsi="宋体" w:cs="宋体"/>
                <w:sz w:val="21"/>
                <w:szCs w:val="21"/>
              </w:rPr>
              <w:t>月</w:t>
            </w:r>
            <w:r>
              <w:rPr>
                <w:rFonts w:hint="eastAsia" w:ascii="宋体" w:hAnsi="宋体" w:cs="宋体"/>
                <w:sz w:val="21"/>
                <w:szCs w:val="21"/>
                <w:lang w:val="en-US" w:eastAsia="zh-CN"/>
              </w:rPr>
              <w:t xml:space="preserve"> </w:t>
            </w:r>
            <w:r>
              <w:rPr>
                <w:rFonts w:hint="eastAsia" w:ascii="宋体" w:hAnsi="宋体" w:cs="宋体"/>
                <w:sz w:val="21"/>
                <w:szCs w:val="21"/>
              </w:rPr>
              <w:t>日</w:t>
            </w:r>
            <w:r>
              <w:rPr>
                <w:rFonts w:hint="eastAsia" w:ascii="宋体" w:hAnsi="宋体" w:cs="宋体"/>
                <w:sz w:val="21"/>
                <w:szCs w:val="21"/>
                <w:lang w:val="en-US" w:eastAsia="zh-CN"/>
              </w:rPr>
              <w:t>09</w:t>
            </w:r>
            <w:r>
              <w:rPr>
                <w:rFonts w:hint="eastAsia" w:ascii="宋体" w:hAnsi="宋体" w:cs="宋体"/>
                <w:sz w:val="21"/>
                <w:szCs w:val="21"/>
              </w:rPr>
              <w:t xml:space="preserve"> 时</w:t>
            </w:r>
            <w:r>
              <w:rPr>
                <w:rFonts w:hint="eastAsia" w:ascii="宋体" w:hAnsi="宋体" w:cs="宋体"/>
                <w:sz w:val="21"/>
                <w:szCs w:val="21"/>
                <w:lang w:val="en-US" w:eastAsia="zh-CN"/>
              </w:rPr>
              <w:t>30</w:t>
            </w:r>
            <w:r>
              <w:rPr>
                <w:rFonts w:hint="eastAsia" w:ascii="宋体" w:hAnsi="宋体" w:cs="宋体"/>
                <w:sz w:val="21"/>
                <w:szCs w:val="21"/>
              </w:rPr>
              <w:t>分</w:t>
            </w:r>
          </w:p>
        </w:tc>
      </w:tr>
      <w:tr w14:paraId="69032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97" w:hRule="atLeast"/>
          <w:tblCellSpacing w:w="7" w:type="dxa"/>
          <w:jc w:val="center"/>
        </w:trPr>
        <w:tc>
          <w:tcPr>
            <w:tcW w:w="600" w:type="dxa"/>
            <w:shd w:val="clear" w:color="auto" w:fill="E0E0E0"/>
            <w:vAlign w:val="center"/>
          </w:tcPr>
          <w:p w14:paraId="25AE74C4">
            <w:pPr>
              <w:spacing w:line="360" w:lineRule="auto"/>
              <w:jc w:val="center"/>
              <w:rPr>
                <w:rFonts w:ascii="宋体" w:hAnsi="宋体" w:cs="宋体"/>
                <w:b/>
                <w:sz w:val="21"/>
                <w:szCs w:val="21"/>
              </w:rPr>
            </w:pPr>
            <w:r>
              <w:rPr>
                <w:rFonts w:hint="eastAsia" w:ascii="宋体" w:hAnsi="宋体" w:cs="宋体"/>
                <w:b/>
                <w:sz w:val="21"/>
                <w:szCs w:val="21"/>
              </w:rPr>
              <w:t>16</w:t>
            </w:r>
          </w:p>
        </w:tc>
        <w:tc>
          <w:tcPr>
            <w:tcW w:w="1240" w:type="dxa"/>
            <w:shd w:val="clear" w:color="auto" w:fill="E0E0E0"/>
            <w:vAlign w:val="center"/>
          </w:tcPr>
          <w:p w14:paraId="7F990B16">
            <w:pPr>
              <w:spacing w:line="240" w:lineRule="auto"/>
              <w:jc w:val="center"/>
              <w:rPr>
                <w:rFonts w:ascii="宋体" w:hAnsi="宋体" w:cs="宋体"/>
                <w:b/>
                <w:sz w:val="21"/>
                <w:szCs w:val="21"/>
              </w:rPr>
            </w:pPr>
            <w:r>
              <w:rPr>
                <w:rFonts w:hint="eastAsia" w:ascii="宋体" w:hAnsi="宋体" w:cs="宋体"/>
                <w:b/>
                <w:sz w:val="21"/>
                <w:szCs w:val="21"/>
              </w:rPr>
              <w:t>供应商注册</w:t>
            </w:r>
          </w:p>
        </w:tc>
        <w:tc>
          <w:tcPr>
            <w:tcW w:w="7534" w:type="dxa"/>
            <w:gridSpan w:val="3"/>
            <w:shd w:val="clear" w:color="auto" w:fill="FFFFFF"/>
            <w:vAlign w:val="center"/>
          </w:tcPr>
          <w:p w14:paraId="53ED4298">
            <w:pPr>
              <w:snapToGrid w:val="0"/>
              <w:spacing w:line="240" w:lineRule="auto"/>
              <w:rPr>
                <w:rFonts w:ascii="宋体" w:hAnsi="宋体" w:cs="宋体"/>
                <w:sz w:val="21"/>
                <w:szCs w:val="21"/>
              </w:rPr>
            </w:pPr>
            <w:r>
              <w:rPr>
                <w:rFonts w:hint="eastAsia" w:ascii="宋体" w:hAnsi="宋体" w:cs="宋体"/>
                <w:sz w:val="21"/>
                <w:szCs w:val="21"/>
              </w:rPr>
              <w:t>各供应商须在投标截止时间前根据浙江省财政厅《关于开展政府采购供应商网上注册登记和诚信管理工作的通知》（浙财采监【2010】8号文）的要求，通过浙江政府采购网申请注册加入政府采购供应商库。以免影响享受相关政策优惠及成交后的款项支付。</w:t>
            </w:r>
          </w:p>
          <w:p w14:paraId="51834FCD">
            <w:pPr>
              <w:snapToGrid w:val="0"/>
              <w:spacing w:line="240" w:lineRule="auto"/>
              <w:rPr>
                <w:rFonts w:ascii="宋体" w:hAnsi="宋体" w:cs="宋体"/>
                <w:sz w:val="21"/>
                <w:szCs w:val="21"/>
              </w:rPr>
            </w:pPr>
            <w:r>
              <w:rPr>
                <w:rFonts w:hint="eastAsia" w:ascii="宋体" w:hAnsi="宋体" w:cs="宋体"/>
                <w:sz w:val="21"/>
                <w:szCs w:val="21"/>
              </w:rPr>
              <w:t>供应商在申请注册前，请认真阅读，学习《中华人民共和国政府采购法》和《浙江省政府采购供应商注册及诚信管理暂行办法》等相关法规规定。</w:t>
            </w:r>
          </w:p>
        </w:tc>
      </w:tr>
      <w:tr w14:paraId="6FA5F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7" w:hRule="atLeast"/>
          <w:tblCellSpacing w:w="7" w:type="dxa"/>
          <w:jc w:val="center"/>
        </w:trPr>
        <w:tc>
          <w:tcPr>
            <w:tcW w:w="600" w:type="dxa"/>
            <w:shd w:val="clear" w:color="auto" w:fill="E0E0E0"/>
            <w:vAlign w:val="center"/>
          </w:tcPr>
          <w:p w14:paraId="453B848E">
            <w:pPr>
              <w:spacing w:line="240" w:lineRule="auto"/>
              <w:jc w:val="center"/>
              <w:rPr>
                <w:rFonts w:ascii="宋体" w:hAnsi="宋体" w:cs="宋体"/>
                <w:b/>
                <w:sz w:val="21"/>
                <w:szCs w:val="21"/>
              </w:rPr>
            </w:pPr>
            <w:r>
              <w:rPr>
                <w:rFonts w:hint="eastAsia" w:ascii="宋体" w:hAnsi="宋体" w:cs="宋体"/>
                <w:b/>
                <w:sz w:val="21"/>
                <w:szCs w:val="21"/>
              </w:rPr>
              <w:t>17</w:t>
            </w:r>
          </w:p>
        </w:tc>
        <w:tc>
          <w:tcPr>
            <w:tcW w:w="1240" w:type="dxa"/>
            <w:shd w:val="clear" w:color="auto" w:fill="E0E0E0"/>
            <w:vAlign w:val="center"/>
          </w:tcPr>
          <w:p w14:paraId="1B93BF1F">
            <w:pPr>
              <w:spacing w:line="240" w:lineRule="auto"/>
              <w:jc w:val="center"/>
              <w:rPr>
                <w:rFonts w:ascii="宋体" w:hAnsi="宋体" w:cs="宋体"/>
                <w:b/>
                <w:sz w:val="21"/>
                <w:szCs w:val="21"/>
              </w:rPr>
            </w:pPr>
            <w:r>
              <w:rPr>
                <w:rFonts w:hint="eastAsia" w:ascii="宋体" w:hAnsi="宋体" w:cs="宋体"/>
                <w:b/>
                <w:sz w:val="21"/>
                <w:szCs w:val="21"/>
              </w:rPr>
              <w:t>质疑与投诉</w:t>
            </w:r>
          </w:p>
        </w:tc>
        <w:tc>
          <w:tcPr>
            <w:tcW w:w="7534" w:type="dxa"/>
            <w:gridSpan w:val="3"/>
            <w:shd w:val="clear" w:color="auto" w:fill="FFFFFF"/>
            <w:vAlign w:val="center"/>
          </w:tcPr>
          <w:p w14:paraId="2BF93E4E">
            <w:pPr>
              <w:snapToGrid w:val="0"/>
              <w:spacing w:line="240" w:lineRule="auto"/>
              <w:rPr>
                <w:rFonts w:ascii="宋体" w:hAnsi="宋体" w:cs="宋体"/>
                <w:sz w:val="21"/>
                <w:szCs w:val="21"/>
              </w:rPr>
            </w:pPr>
            <w:r>
              <w:rPr>
                <w:rFonts w:hint="eastAsia" w:ascii="宋体" w:hAnsi="宋体" w:cs="宋体"/>
                <w:sz w:val="21"/>
                <w:szCs w:val="21"/>
              </w:rPr>
              <w:t>质疑：根据财政部94号令（《政府采购质疑和投诉办法》）的规定，供应商认为竞争性磋商文件、采购过程和中标、成交结果使自己的权益受到损害的，可以在知道或者应知其权益受到损害之日起七个工作日内，以书面形式向招标人、招标代理机构一次性提出针对同一采购程序环节的质疑。</w:t>
            </w:r>
          </w:p>
          <w:p w14:paraId="425F2FE3">
            <w:pPr>
              <w:snapToGrid w:val="0"/>
              <w:spacing w:line="240" w:lineRule="auto"/>
              <w:rPr>
                <w:rFonts w:ascii="宋体" w:hAnsi="宋体" w:cs="宋体"/>
                <w:sz w:val="21"/>
                <w:szCs w:val="21"/>
              </w:rPr>
            </w:pPr>
            <w:r>
              <w:rPr>
                <w:rFonts w:hint="eastAsia" w:ascii="宋体" w:hAnsi="宋体" w:cs="宋体"/>
                <w:sz w:val="21"/>
                <w:szCs w:val="21"/>
              </w:rPr>
              <w:t>质疑起算日期：</w:t>
            </w:r>
          </w:p>
          <w:p w14:paraId="10B50A4A">
            <w:pPr>
              <w:numPr>
                <w:ilvl w:val="0"/>
                <w:numId w:val="4"/>
              </w:numPr>
              <w:snapToGrid w:val="0"/>
              <w:spacing w:line="240" w:lineRule="auto"/>
              <w:rPr>
                <w:rFonts w:ascii="宋体" w:hAnsi="宋体" w:cs="宋体"/>
                <w:sz w:val="21"/>
                <w:szCs w:val="21"/>
              </w:rPr>
            </w:pPr>
            <w:r>
              <w:rPr>
                <w:rFonts w:hint="eastAsia" w:ascii="宋体" w:hAnsi="宋体" w:cs="宋体"/>
                <w:sz w:val="21"/>
                <w:szCs w:val="21"/>
              </w:rPr>
              <w:t>对采购公告信息（含供应商资格条件）提出质疑的，质疑期限自采购公告</w:t>
            </w:r>
            <w:r>
              <w:rPr>
                <w:rFonts w:hint="eastAsia" w:ascii="宋体" w:hAnsi="宋体" w:cs="宋体"/>
                <w:color w:val="000000"/>
                <w:sz w:val="21"/>
                <w:szCs w:val="21"/>
              </w:rPr>
              <w:t>期限届满之日</w:t>
            </w:r>
            <w:r>
              <w:rPr>
                <w:rFonts w:hint="eastAsia" w:ascii="宋体" w:hAnsi="宋体" w:cs="宋体"/>
                <w:sz w:val="21"/>
                <w:szCs w:val="21"/>
              </w:rPr>
              <w:t>起计算。</w:t>
            </w:r>
          </w:p>
          <w:p w14:paraId="0D0097EC">
            <w:pPr>
              <w:numPr>
                <w:ilvl w:val="0"/>
                <w:numId w:val="4"/>
              </w:numPr>
              <w:snapToGrid w:val="0"/>
              <w:spacing w:line="240" w:lineRule="auto"/>
              <w:rPr>
                <w:rFonts w:ascii="宋体" w:hAnsi="宋体" w:cs="宋体"/>
                <w:sz w:val="21"/>
                <w:szCs w:val="21"/>
              </w:rPr>
            </w:pPr>
            <w:r>
              <w:rPr>
                <w:rFonts w:hint="eastAsia" w:ascii="宋体" w:hAnsi="宋体" w:cs="宋体"/>
                <w:sz w:val="21"/>
                <w:szCs w:val="21"/>
              </w:rPr>
              <w:t>对竞争性磋商文件提出质疑的，质疑期限自供应商获得竞争性磋商文件之日起计算。（发售截止日之后报名的供应商，质疑起算日期以发售截止日起计算）</w:t>
            </w:r>
          </w:p>
          <w:p w14:paraId="276D9383">
            <w:pPr>
              <w:numPr>
                <w:ilvl w:val="0"/>
                <w:numId w:val="4"/>
              </w:numPr>
              <w:snapToGrid w:val="0"/>
              <w:spacing w:line="240" w:lineRule="auto"/>
              <w:rPr>
                <w:rFonts w:ascii="宋体" w:hAnsi="宋体" w:cs="宋体"/>
                <w:sz w:val="21"/>
                <w:szCs w:val="21"/>
              </w:rPr>
            </w:pPr>
            <w:r>
              <w:rPr>
                <w:rFonts w:hint="eastAsia" w:ascii="宋体" w:hAnsi="宋体" w:cs="宋体"/>
                <w:sz w:val="21"/>
                <w:szCs w:val="21"/>
              </w:rPr>
              <w:t>对采购过程提出质疑的，为各采购程序环节结束之日。</w:t>
            </w:r>
          </w:p>
          <w:p w14:paraId="5096B497">
            <w:pPr>
              <w:snapToGrid w:val="0"/>
              <w:spacing w:line="240" w:lineRule="auto"/>
              <w:rPr>
                <w:rFonts w:ascii="宋体" w:hAnsi="宋体" w:cs="宋体"/>
                <w:sz w:val="21"/>
                <w:szCs w:val="21"/>
              </w:rPr>
            </w:pPr>
            <w:r>
              <w:rPr>
                <w:rFonts w:hint="eastAsia" w:ascii="宋体" w:hAnsi="宋体" w:cs="宋体"/>
                <w:sz w:val="21"/>
                <w:szCs w:val="21"/>
              </w:rPr>
              <w:t>4、对采购结果提出质疑的，质疑期限自采购结果公告期限届满（包括公示、预公告、结果变更公告等）之日起计算。否则，被质疑人可不予接受。</w:t>
            </w:r>
          </w:p>
          <w:p w14:paraId="4B7F54FF">
            <w:pPr>
              <w:snapToGrid w:val="0"/>
              <w:spacing w:line="240" w:lineRule="auto"/>
              <w:rPr>
                <w:rFonts w:ascii="宋体" w:hAnsi="宋体" w:cs="宋体"/>
                <w:sz w:val="21"/>
                <w:szCs w:val="21"/>
              </w:rPr>
            </w:pPr>
            <w:r>
              <w:rPr>
                <w:rFonts w:hint="eastAsia" w:ascii="宋体" w:hAnsi="宋体" w:cs="宋体"/>
                <w:sz w:val="21"/>
                <w:szCs w:val="21"/>
              </w:rPr>
              <w:t>质疑人可以采取直接递交、传真或邮寄方式提交质疑书。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p w14:paraId="44BDBF6E">
            <w:pPr>
              <w:snapToGrid w:val="0"/>
              <w:spacing w:line="240" w:lineRule="auto"/>
              <w:rPr>
                <w:rFonts w:ascii="宋体" w:hAnsi="宋体" w:cs="宋体"/>
                <w:sz w:val="21"/>
                <w:szCs w:val="21"/>
              </w:rPr>
            </w:pPr>
            <w:r>
              <w:rPr>
                <w:rFonts w:hint="eastAsia" w:ascii="宋体" w:hAnsi="宋体" w:cs="宋体"/>
                <w:sz w:val="21"/>
                <w:szCs w:val="21"/>
              </w:rPr>
              <w:t>投诉：根据《政府采购质疑和投诉办法》的规定，质疑供应商对招标人、招标代理机构的答复不满意或者招标人、招标代理机构未在规定的时间内作出答复的，可以在答复期满后十五个工作日内向同级监督管理部门投诉。</w:t>
            </w:r>
          </w:p>
        </w:tc>
      </w:tr>
      <w:tr w14:paraId="7D21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31" w:hRule="atLeast"/>
          <w:tblCellSpacing w:w="7" w:type="dxa"/>
          <w:jc w:val="center"/>
        </w:trPr>
        <w:tc>
          <w:tcPr>
            <w:tcW w:w="600" w:type="dxa"/>
            <w:shd w:val="clear" w:color="auto" w:fill="E0E0E0"/>
            <w:vAlign w:val="center"/>
          </w:tcPr>
          <w:p w14:paraId="793AFCE0">
            <w:pPr>
              <w:spacing w:line="240" w:lineRule="auto"/>
              <w:jc w:val="center"/>
              <w:rPr>
                <w:rFonts w:ascii="宋体" w:hAnsi="宋体" w:cs="宋体"/>
                <w:b/>
                <w:sz w:val="21"/>
                <w:szCs w:val="21"/>
              </w:rPr>
            </w:pPr>
            <w:r>
              <w:rPr>
                <w:rFonts w:hint="eastAsia" w:ascii="宋体" w:hAnsi="宋体" w:cs="宋体"/>
                <w:b/>
                <w:sz w:val="21"/>
                <w:szCs w:val="21"/>
              </w:rPr>
              <w:t>18</w:t>
            </w:r>
          </w:p>
        </w:tc>
        <w:tc>
          <w:tcPr>
            <w:tcW w:w="1240" w:type="dxa"/>
            <w:shd w:val="clear" w:color="auto" w:fill="E0E0E0"/>
            <w:vAlign w:val="center"/>
          </w:tcPr>
          <w:p w14:paraId="599DAA6E">
            <w:pPr>
              <w:spacing w:line="240" w:lineRule="auto"/>
              <w:jc w:val="center"/>
              <w:rPr>
                <w:rFonts w:ascii="宋体" w:hAnsi="宋体" w:cs="宋体"/>
                <w:b/>
                <w:sz w:val="21"/>
                <w:szCs w:val="21"/>
              </w:rPr>
            </w:pPr>
            <w:r>
              <w:rPr>
                <w:rFonts w:hint="eastAsia" w:ascii="宋体" w:hAnsi="宋体" w:cs="宋体"/>
                <w:b/>
                <w:sz w:val="21"/>
                <w:szCs w:val="21"/>
              </w:rPr>
              <w:t>不良信用记录查询</w:t>
            </w:r>
          </w:p>
        </w:tc>
        <w:tc>
          <w:tcPr>
            <w:tcW w:w="7534" w:type="dxa"/>
            <w:gridSpan w:val="3"/>
            <w:shd w:val="clear" w:color="auto" w:fill="FFFFFF"/>
            <w:vAlign w:val="center"/>
          </w:tcPr>
          <w:p w14:paraId="1D9C8EC8">
            <w:pPr>
              <w:spacing w:line="240" w:lineRule="auto"/>
              <w:ind w:firstLine="420"/>
              <w:jc w:val="left"/>
              <w:rPr>
                <w:rFonts w:ascii="宋体" w:hAnsi="宋体" w:cs="宋体"/>
                <w:sz w:val="21"/>
                <w:szCs w:val="21"/>
              </w:rPr>
            </w:pPr>
            <w:r>
              <w:rPr>
                <w:rFonts w:hint="eastAsia" w:ascii="宋体" w:hAnsi="宋体" w:cs="宋体"/>
                <w:sz w:val="21"/>
                <w:szCs w:val="21"/>
              </w:rPr>
              <w:t>为落实《国务院关于印发社会信用体系建设规划纲要（2014-2020年）的通知》（国发〔2014〕21号）、《国务院关于建立完善守信联合激励和失信联合惩戒制度加快推进社会诚信体系建设的指导意见》（国发〔2016〕33号）以及《国务院办公厅关于运用大数据加强对市场主体服务和监管的若干意见》（国办发〔2015〕51号）等文件的有关要求，采购代理机构将在投标截止时间当日通过“信用中国”（www.creditchina.gov.cn）、“中国政府采购网”（www.ccgp.gov.cn）二个渠道对本项目投标供应商信用记录进行符合查询。被列入失信被执行人、重大税收违法案件当事人名单、政府采购严重违法失信行为记录名单及其他不符合《中华人民共和国政府采购法》第二十二条规定条件的供应商，将被拒绝参与本项目政府采购活动。两个以上的自然人、法人或者其他组织组成一个联合体，以一个供应商的身份共同参加政府采购活动的，若联合体成员存在不良信用记录的，视同联合体存在不良信用记录。</w:t>
            </w:r>
          </w:p>
          <w:p w14:paraId="575A43AE">
            <w:pPr>
              <w:spacing w:line="240" w:lineRule="auto"/>
              <w:ind w:firstLine="420"/>
              <w:rPr>
                <w:rFonts w:ascii="宋体" w:hAnsi="宋体" w:cs="宋体"/>
                <w:sz w:val="21"/>
                <w:szCs w:val="21"/>
              </w:rPr>
            </w:pPr>
            <w:r>
              <w:rPr>
                <w:rFonts w:hint="eastAsia" w:ascii="宋体" w:hAnsi="宋体" w:cs="宋体"/>
                <w:sz w:val="21"/>
                <w:szCs w:val="21"/>
              </w:rPr>
              <w:t>根据财库[2016]125号《关于在政府采购活动中查询及使用信用记录有关问题的通知》要求，采购代理机构会对供应商信用记录进行查询并甄别。</w:t>
            </w:r>
          </w:p>
          <w:p w14:paraId="3FC5B1A5">
            <w:pPr>
              <w:spacing w:line="240" w:lineRule="auto"/>
              <w:ind w:firstLine="420"/>
              <w:rPr>
                <w:rFonts w:ascii="宋体" w:hAnsi="宋体" w:cs="宋体"/>
                <w:sz w:val="21"/>
                <w:szCs w:val="21"/>
              </w:rPr>
            </w:pPr>
            <w:r>
              <w:rPr>
                <w:rFonts w:hint="eastAsia" w:ascii="宋体" w:hAnsi="宋体" w:cs="宋体"/>
                <w:sz w:val="21"/>
                <w:szCs w:val="21"/>
              </w:rPr>
              <w:t>1）信用信息查询的截止时点：投标截止时间当日；</w:t>
            </w:r>
          </w:p>
          <w:p w14:paraId="11FC35BA">
            <w:pPr>
              <w:spacing w:line="240" w:lineRule="auto"/>
              <w:ind w:firstLine="420"/>
              <w:rPr>
                <w:rFonts w:hint="eastAsia" w:ascii="宋体" w:hAnsi="宋体" w:cs="宋体"/>
                <w:sz w:val="21"/>
                <w:szCs w:val="21"/>
              </w:rPr>
            </w:pPr>
            <w:r>
              <w:rPr>
                <w:rFonts w:hint="eastAsia" w:ascii="宋体" w:hAnsi="宋体" w:cs="宋体"/>
                <w:sz w:val="21"/>
                <w:szCs w:val="21"/>
              </w:rPr>
              <w:t>2）查询渠道：“信用中国”（www.creditchina.gov.cn）、“中国政府采购网”（www.ccgp.gov.cn）；</w:t>
            </w:r>
          </w:p>
          <w:p w14:paraId="4D327811">
            <w:pPr>
              <w:spacing w:line="240" w:lineRule="auto"/>
              <w:ind w:firstLine="420"/>
              <w:rPr>
                <w:rFonts w:hint="eastAsia" w:ascii="宋体" w:hAnsi="宋体" w:cs="宋体"/>
                <w:sz w:val="21"/>
                <w:szCs w:val="21"/>
              </w:rPr>
            </w:pPr>
            <w:r>
              <w:rPr>
                <w:rFonts w:hint="eastAsia" w:ascii="宋体" w:hAnsi="宋体" w:cs="宋体"/>
                <w:sz w:val="21"/>
                <w:szCs w:val="21"/>
              </w:rPr>
              <w:t>3）信用信息查询记录和证据留存具体方式：采购代理机构经办人和监督人员将查询网页打印、签字与其他采购文件一并保存；</w:t>
            </w:r>
          </w:p>
          <w:p w14:paraId="28E512ED">
            <w:pPr>
              <w:spacing w:line="240" w:lineRule="auto"/>
              <w:ind w:firstLine="420"/>
              <w:rPr>
                <w:rFonts w:hint="eastAsia" w:ascii="宋体" w:hAnsi="宋体" w:cs="宋体"/>
                <w:sz w:val="21"/>
                <w:szCs w:val="21"/>
              </w:rPr>
            </w:pPr>
            <w:r>
              <w:rPr>
                <w:rFonts w:hint="eastAsia" w:ascii="宋体" w:hAnsi="宋体" w:cs="宋体"/>
                <w:sz w:val="21"/>
                <w:szCs w:val="21"/>
              </w:rPr>
              <w:t>4）信用信息的使用规则：投标人存在不良信用记录的，其投标将被作为无效投标被拒绝。</w:t>
            </w:r>
          </w:p>
          <w:p w14:paraId="2D01C695">
            <w:pPr>
              <w:spacing w:line="240" w:lineRule="auto"/>
              <w:ind w:firstLine="420"/>
              <w:rPr>
                <w:rFonts w:ascii="宋体" w:hAnsi="宋体" w:cs="宋体"/>
                <w:sz w:val="21"/>
                <w:szCs w:val="21"/>
              </w:rPr>
            </w:pPr>
            <w:r>
              <w:rPr>
                <w:rFonts w:hint="eastAsia" w:ascii="宋体" w:hAnsi="宋体" w:cs="宋体"/>
                <w:sz w:val="21"/>
                <w:szCs w:val="21"/>
              </w:rPr>
              <w:t>不良信用记录指：被列入失信被执行人、重大税收违法案件当事人名单、政府采购严重违法失信行为记录名单或浙江政府采购网曝光台中尚在行政处罚期内的。</w:t>
            </w:r>
          </w:p>
        </w:tc>
      </w:tr>
      <w:tr w14:paraId="18DB4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8" w:hRule="atLeast"/>
          <w:tblCellSpacing w:w="7" w:type="dxa"/>
          <w:jc w:val="center"/>
        </w:trPr>
        <w:tc>
          <w:tcPr>
            <w:tcW w:w="600" w:type="dxa"/>
            <w:vMerge w:val="restart"/>
            <w:shd w:val="clear" w:color="auto" w:fill="E0E0E0"/>
            <w:vAlign w:val="center"/>
          </w:tcPr>
          <w:p w14:paraId="483B1427">
            <w:pPr>
              <w:spacing w:line="240" w:lineRule="auto"/>
              <w:jc w:val="center"/>
              <w:rPr>
                <w:rFonts w:ascii="宋体" w:hAnsi="宋体" w:cs="宋体"/>
                <w:b/>
                <w:sz w:val="21"/>
                <w:szCs w:val="21"/>
              </w:rPr>
            </w:pPr>
            <w:r>
              <w:rPr>
                <w:rFonts w:hint="eastAsia" w:ascii="宋体" w:hAnsi="宋体" w:cs="宋体"/>
                <w:b/>
                <w:sz w:val="21"/>
                <w:szCs w:val="21"/>
              </w:rPr>
              <w:t>19</w:t>
            </w:r>
          </w:p>
        </w:tc>
        <w:tc>
          <w:tcPr>
            <w:tcW w:w="1240" w:type="dxa"/>
            <w:vMerge w:val="restart"/>
            <w:shd w:val="clear" w:color="auto" w:fill="E0E0E0"/>
            <w:vAlign w:val="center"/>
          </w:tcPr>
          <w:p w14:paraId="267A43C5">
            <w:pPr>
              <w:spacing w:line="240" w:lineRule="auto"/>
              <w:jc w:val="center"/>
              <w:rPr>
                <w:rFonts w:ascii="宋体" w:hAnsi="宋体" w:cs="宋体"/>
                <w:b/>
                <w:sz w:val="21"/>
                <w:szCs w:val="21"/>
              </w:rPr>
            </w:pPr>
            <w:r>
              <w:rPr>
                <w:rFonts w:hint="eastAsia" w:ascii="宋体" w:hAnsi="宋体" w:eastAsia="宋体" w:cs="宋体"/>
                <w:b/>
                <w:sz w:val="21"/>
                <w:szCs w:val="21"/>
              </w:rPr>
              <w:t>中小企业</w:t>
            </w:r>
            <w:r>
              <w:rPr>
                <w:rFonts w:hint="eastAsia" w:ascii="宋体" w:hAnsi="宋体" w:eastAsia="宋体" w:cs="宋体"/>
                <w:b/>
                <w:sz w:val="21"/>
                <w:szCs w:val="21"/>
                <w:lang w:val="en-US" w:eastAsia="zh-CN"/>
              </w:rPr>
              <w:t>扶持政策</w:t>
            </w:r>
          </w:p>
        </w:tc>
        <w:tc>
          <w:tcPr>
            <w:tcW w:w="7534" w:type="dxa"/>
            <w:gridSpan w:val="3"/>
            <w:shd w:val="clear" w:color="auto" w:fill="auto"/>
            <w:vAlign w:val="center"/>
          </w:tcPr>
          <w:p w14:paraId="4CCF3946">
            <w:pPr>
              <w:spacing w:line="240" w:lineRule="auto"/>
              <w:rPr>
                <w:rFonts w:ascii="宋体" w:hAnsi="宋体" w:cs="宋体"/>
                <w:bCs/>
                <w:snapToGrid w:val="0"/>
                <w:kern w:val="0"/>
                <w:sz w:val="21"/>
                <w:szCs w:val="21"/>
              </w:rPr>
            </w:pPr>
            <w:r>
              <w:rPr>
                <w:rFonts w:hint="eastAsia" w:ascii="宋体" w:hAnsi="宋体" w:cs="宋体"/>
                <w:b/>
                <w:kern w:val="0"/>
                <w:sz w:val="21"/>
                <w:szCs w:val="21"/>
              </w:rPr>
              <w:t>本项目</w:t>
            </w:r>
            <w:r>
              <w:rPr>
                <w:rFonts w:hint="eastAsia" w:ascii="宋体" w:hAnsi="宋体" w:cs="宋体"/>
                <w:b/>
                <w:kern w:val="0"/>
                <w:sz w:val="21"/>
                <w:szCs w:val="21"/>
                <w:lang w:val="en-US" w:eastAsia="zh-CN"/>
              </w:rPr>
              <w:t>非</w:t>
            </w:r>
            <w:r>
              <w:rPr>
                <w:rFonts w:hint="eastAsia" w:ascii="宋体" w:hAnsi="宋体" w:cs="宋体"/>
                <w:b/>
                <w:bCs/>
                <w:sz w:val="21"/>
                <w:szCs w:val="21"/>
              </w:rPr>
              <w:t>专门面向中小企业采购的采购项目。</w:t>
            </w:r>
          </w:p>
        </w:tc>
      </w:tr>
      <w:tr w14:paraId="657CD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90" w:hRule="atLeast"/>
          <w:tblCellSpacing w:w="7" w:type="dxa"/>
          <w:jc w:val="center"/>
        </w:trPr>
        <w:tc>
          <w:tcPr>
            <w:tcW w:w="600" w:type="dxa"/>
            <w:vMerge w:val="continue"/>
            <w:shd w:val="clear" w:color="auto" w:fill="E0E0E0"/>
            <w:vAlign w:val="center"/>
          </w:tcPr>
          <w:p w14:paraId="2B6061ED">
            <w:pPr>
              <w:spacing w:line="240" w:lineRule="auto"/>
              <w:jc w:val="center"/>
              <w:rPr>
                <w:rFonts w:ascii="宋体" w:hAnsi="宋体" w:cs="宋体"/>
                <w:b/>
                <w:sz w:val="21"/>
                <w:szCs w:val="21"/>
              </w:rPr>
            </w:pPr>
          </w:p>
        </w:tc>
        <w:tc>
          <w:tcPr>
            <w:tcW w:w="1240" w:type="dxa"/>
            <w:vMerge w:val="continue"/>
            <w:shd w:val="clear" w:color="auto" w:fill="E0E0E0"/>
            <w:vAlign w:val="center"/>
          </w:tcPr>
          <w:p w14:paraId="40F673AD">
            <w:pPr>
              <w:spacing w:line="240" w:lineRule="auto"/>
              <w:jc w:val="center"/>
              <w:rPr>
                <w:rFonts w:ascii="宋体" w:hAnsi="宋体" w:cs="宋体"/>
                <w:b/>
                <w:sz w:val="21"/>
                <w:szCs w:val="21"/>
              </w:rPr>
            </w:pPr>
          </w:p>
        </w:tc>
        <w:tc>
          <w:tcPr>
            <w:tcW w:w="7534" w:type="dxa"/>
            <w:gridSpan w:val="3"/>
            <w:shd w:val="clear" w:color="auto" w:fill="auto"/>
            <w:vAlign w:val="center"/>
          </w:tcPr>
          <w:p w14:paraId="125F7E29">
            <w:pPr>
              <w:spacing w:line="240" w:lineRule="auto"/>
              <w:rPr>
                <w:rFonts w:ascii="宋体" w:hAnsi="宋体" w:cs="宋体"/>
                <w:bCs/>
                <w:snapToGrid w:val="0"/>
                <w:kern w:val="0"/>
                <w:sz w:val="21"/>
                <w:szCs w:val="21"/>
              </w:rPr>
            </w:pPr>
            <w:r>
              <w:rPr>
                <w:rFonts w:hint="eastAsia" w:ascii="宋体" w:hAnsi="宋体" w:cs="宋体"/>
                <w:b/>
                <w:kern w:val="0"/>
                <w:sz w:val="21"/>
                <w:szCs w:val="21"/>
              </w:rPr>
              <w:t>本项目采购标的对应的中小企业划分标准所属行业：其他未列明行业。</w:t>
            </w:r>
          </w:p>
        </w:tc>
      </w:tr>
      <w:tr w14:paraId="6979B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8" w:hRule="atLeast"/>
          <w:tblCellSpacing w:w="7" w:type="dxa"/>
          <w:jc w:val="center"/>
        </w:trPr>
        <w:tc>
          <w:tcPr>
            <w:tcW w:w="600" w:type="dxa"/>
            <w:vMerge w:val="continue"/>
            <w:shd w:val="clear" w:color="auto" w:fill="E0E0E0"/>
            <w:vAlign w:val="center"/>
          </w:tcPr>
          <w:p w14:paraId="47520D06">
            <w:pPr>
              <w:spacing w:line="240" w:lineRule="auto"/>
              <w:jc w:val="center"/>
              <w:rPr>
                <w:rFonts w:ascii="宋体" w:hAnsi="宋体" w:cs="宋体"/>
                <w:b/>
                <w:sz w:val="21"/>
                <w:szCs w:val="21"/>
              </w:rPr>
            </w:pPr>
          </w:p>
        </w:tc>
        <w:tc>
          <w:tcPr>
            <w:tcW w:w="1240" w:type="dxa"/>
            <w:vMerge w:val="continue"/>
            <w:shd w:val="clear" w:color="auto" w:fill="E0E0E0"/>
            <w:vAlign w:val="center"/>
          </w:tcPr>
          <w:p w14:paraId="365A1A0E">
            <w:pPr>
              <w:spacing w:line="240" w:lineRule="auto"/>
              <w:jc w:val="center"/>
              <w:rPr>
                <w:rFonts w:ascii="宋体" w:hAnsi="宋体" w:cs="宋体"/>
                <w:b/>
                <w:sz w:val="21"/>
                <w:szCs w:val="21"/>
              </w:rPr>
            </w:pPr>
          </w:p>
        </w:tc>
        <w:tc>
          <w:tcPr>
            <w:tcW w:w="7534" w:type="dxa"/>
            <w:gridSpan w:val="3"/>
            <w:shd w:val="clear" w:color="auto" w:fill="auto"/>
            <w:vAlign w:val="center"/>
          </w:tcPr>
          <w:p w14:paraId="31325320">
            <w:pPr>
              <w:spacing w:line="240" w:lineRule="auto"/>
              <w:rPr>
                <w:rFonts w:ascii="宋体" w:hAnsi="宋体" w:cs="宋体"/>
                <w:bCs/>
                <w:snapToGrid w:val="0"/>
                <w:kern w:val="0"/>
                <w:sz w:val="21"/>
                <w:szCs w:val="21"/>
              </w:rPr>
            </w:pPr>
            <w:r>
              <w:rPr>
                <w:rFonts w:hint="eastAsia" w:ascii="宋体" w:hAnsi="宋体" w:cs="宋体"/>
                <w:b/>
                <w:kern w:val="0"/>
                <w:sz w:val="21"/>
                <w:szCs w:val="21"/>
              </w:rPr>
              <w:t>本项目</w:t>
            </w:r>
            <w:r>
              <w:rPr>
                <w:rFonts w:hint="eastAsia" w:ascii="宋体" w:hAnsi="宋体" w:cs="宋体"/>
                <w:b/>
                <w:color w:val="auto"/>
                <w:kern w:val="0"/>
                <w:sz w:val="21"/>
                <w:szCs w:val="21"/>
              </w:rPr>
              <w:t>为服务类采购项目。</w:t>
            </w:r>
          </w:p>
        </w:tc>
      </w:tr>
      <w:tr w14:paraId="78DF3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23" w:hRule="atLeast"/>
          <w:tblCellSpacing w:w="7" w:type="dxa"/>
          <w:jc w:val="center"/>
        </w:trPr>
        <w:tc>
          <w:tcPr>
            <w:tcW w:w="600" w:type="dxa"/>
            <w:vMerge w:val="continue"/>
            <w:shd w:val="clear" w:color="auto" w:fill="E0E0E0"/>
            <w:vAlign w:val="center"/>
          </w:tcPr>
          <w:p w14:paraId="06937B6C">
            <w:pPr>
              <w:spacing w:line="240" w:lineRule="auto"/>
              <w:jc w:val="center"/>
              <w:rPr>
                <w:rFonts w:ascii="宋体" w:hAnsi="宋体" w:cs="宋体"/>
                <w:b/>
                <w:sz w:val="21"/>
                <w:szCs w:val="21"/>
              </w:rPr>
            </w:pPr>
          </w:p>
        </w:tc>
        <w:tc>
          <w:tcPr>
            <w:tcW w:w="1240" w:type="dxa"/>
            <w:vMerge w:val="continue"/>
            <w:shd w:val="clear" w:color="auto" w:fill="E0E0E0"/>
            <w:vAlign w:val="center"/>
          </w:tcPr>
          <w:p w14:paraId="68AF4FDF">
            <w:pPr>
              <w:spacing w:line="240" w:lineRule="auto"/>
              <w:jc w:val="center"/>
              <w:rPr>
                <w:rFonts w:ascii="宋体" w:hAnsi="宋体" w:cs="宋体"/>
                <w:b/>
                <w:sz w:val="21"/>
                <w:szCs w:val="21"/>
              </w:rPr>
            </w:pPr>
          </w:p>
        </w:tc>
        <w:tc>
          <w:tcPr>
            <w:tcW w:w="7534" w:type="dxa"/>
            <w:gridSpan w:val="3"/>
            <w:shd w:val="clear" w:color="auto" w:fill="FFFFFF"/>
            <w:vAlign w:val="center"/>
          </w:tcPr>
          <w:p w14:paraId="41A973AF">
            <w:pPr>
              <w:spacing w:line="240" w:lineRule="auto"/>
              <w:rPr>
                <w:rFonts w:hint="eastAsia" w:ascii="宋体" w:hAnsi="宋体" w:eastAsia="宋体" w:cs="宋体"/>
                <w:sz w:val="21"/>
                <w:szCs w:val="21"/>
              </w:rPr>
            </w:pPr>
            <w:r>
              <w:rPr>
                <w:rFonts w:hint="eastAsia" w:ascii="宋体" w:hAnsi="宋体" w:eastAsia="宋体" w:cs="宋体"/>
                <w:sz w:val="21"/>
                <w:szCs w:val="21"/>
              </w:rPr>
              <w:t>一、根据《政府采购促进中小企业发展管理办法》（财库[2020]46号）规定：</w:t>
            </w:r>
          </w:p>
          <w:p w14:paraId="1F56B890">
            <w:pPr>
              <w:spacing w:line="240" w:lineRule="auto"/>
              <w:rPr>
                <w:rFonts w:hint="eastAsia" w:ascii="宋体" w:hAnsi="宋体" w:eastAsia="宋体" w:cs="宋体"/>
                <w:sz w:val="21"/>
                <w:szCs w:val="21"/>
              </w:rPr>
            </w:pPr>
            <w:r>
              <w:rPr>
                <w:rFonts w:hint="eastAsia" w:ascii="宋体" w:hAnsi="宋体" w:eastAsia="宋体" w:cs="宋体"/>
                <w:sz w:val="21"/>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598E82D4">
            <w:pPr>
              <w:spacing w:line="240" w:lineRule="auto"/>
              <w:rPr>
                <w:rFonts w:hint="eastAsia" w:ascii="宋体" w:hAnsi="宋体" w:eastAsia="宋体" w:cs="宋体"/>
                <w:sz w:val="21"/>
                <w:szCs w:val="21"/>
              </w:rPr>
            </w:pPr>
            <w:r>
              <w:rPr>
                <w:rFonts w:hint="eastAsia" w:ascii="宋体" w:hAnsi="宋体" w:eastAsia="宋体" w:cs="宋体"/>
                <w:sz w:val="21"/>
                <w:szCs w:val="21"/>
              </w:rPr>
              <w:t>符合中小企业划分标准的个体工商户，在政府采购活动中视同中小企业。</w:t>
            </w:r>
          </w:p>
          <w:p w14:paraId="58F2351E">
            <w:pPr>
              <w:spacing w:line="240" w:lineRule="auto"/>
              <w:rPr>
                <w:rFonts w:hint="eastAsia" w:ascii="宋体" w:hAnsi="宋体" w:eastAsia="宋体" w:cs="宋体"/>
                <w:sz w:val="21"/>
                <w:szCs w:val="21"/>
              </w:rPr>
            </w:pPr>
            <w:r>
              <w:rPr>
                <w:rFonts w:hint="eastAsia" w:ascii="宋体" w:hAnsi="宋体" w:eastAsia="宋体" w:cs="宋体"/>
                <w:sz w:val="21"/>
                <w:szCs w:val="21"/>
              </w:rPr>
              <w:t>2.在政府采购活动中，供应商提供的货物、工程或者服务符合下列情形的，享受本办法规定的中小企业扶持政策：</w:t>
            </w:r>
          </w:p>
          <w:p w14:paraId="652C5B0E">
            <w:pPr>
              <w:spacing w:line="240" w:lineRule="auto"/>
              <w:rPr>
                <w:rFonts w:hint="eastAsia" w:ascii="宋体" w:hAnsi="宋体" w:eastAsia="宋体" w:cs="宋体"/>
                <w:sz w:val="21"/>
                <w:szCs w:val="21"/>
              </w:rPr>
            </w:pPr>
            <w:r>
              <w:rPr>
                <w:rFonts w:hint="eastAsia" w:ascii="宋体" w:hAnsi="宋体" w:eastAsia="宋体" w:cs="宋体"/>
                <w:sz w:val="21"/>
                <w:szCs w:val="21"/>
              </w:rPr>
              <w:t xml:space="preserve">（1）在货物采购项目中，货物由中小企业制造，即货物由中小企业生产且使用该中小企业商号或者注册商标； </w:t>
            </w:r>
          </w:p>
          <w:p w14:paraId="488714DC">
            <w:pPr>
              <w:spacing w:line="240" w:lineRule="auto"/>
              <w:rPr>
                <w:rFonts w:hint="eastAsia" w:ascii="宋体" w:hAnsi="宋体" w:eastAsia="宋体" w:cs="宋体"/>
                <w:sz w:val="21"/>
                <w:szCs w:val="21"/>
              </w:rPr>
            </w:pPr>
            <w:r>
              <w:rPr>
                <w:rFonts w:hint="eastAsia" w:ascii="宋体" w:hAnsi="宋体" w:eastAsia="宋体" w:cs="宋体"/>
                <w:sz w:val="21"/>
                <w:szCs w:val="21"/>
              </w:rPr>
              <w:t xml:space="preserve">（2）在工程采购项目中，工程由中小企业承建，即工程施工单位为中小企业； </w:t>
            </w:r>
          </w:p>
          <w:p w14:paraId="461372A1">
            <w:pPr>
              <w:spacing w:line="240" w:lineRule="auto"/>
              <w:rPr>
                <w:rFonts w:hint="eastAsia" w:ascii="宋体" w:hAnsi="宋体" w:eastAsia="宋体" w:cs="宋体"/>
                <w:b/>
                <w:bCs/>
                <w:sz w:val="21"/>
                <w:szCs w:val="21"/>
              </w:rPr>
            </w:pPr>
            <w:r>
              <w:rPr>
                <w:rFonts w:hint="eastAsia" w:ascii="宋体" w:hAnsi="宋体" w:eastAsia="宋体" w:cs="宋体"/>
                <w:b/>
                <w:bCs/>
                <w:sz w:val="21"/>
                <w:szCs w:val="21"/>
              </w:rPr>
              <w:t xml:space="preserve">（3）在服务采购项目中，服务由中小企业承接，即提供服务的人员为中小企业依照《中华人民共和国劳动合同法》订立劳动合同的从业人员。 </w:t>
            </w:r>
          </w:p>
          <w:p w14:paraId="7635DEC7">
            <w:pPr>
              <w:spacing w:line="240" w:lineRule="auto"/>
              <w:rPr>
                <w:rFonts w:hint="eastAsia" w:ascii="宋体" w:hAnsi="宋体" w:eastAsia="宋体" w:cs="宋体"/>
                <w:sz w:val="21"/>
                <w:szCs w:val="21"/>
              </w:rPr>
            </w:pPr>
            <w:r>
              <w:rPr>
                <w:rFonts w:hint="eastAsia" w:ascii="宋体" w:hAnsi="宋体" w:eastAsia="宋体" w:cs="宋体"/>
                <w:sz w:val="21"/>
                <w:szCs w:val="21"/>
              </w:rPr>
              <w:t xml:space="preserve">在货物采购项目中，供应商提供的货物既有中小企业制造货物，也有大型企业制造货物的，不享受本办法规定的中小企业扶持政策。 </w:t>
            </w:r>
          </w:p>
          <w:p w14:paraId="5C92E9F0">
            <w:pPr>
              <w:spacing w:line="240" w:lineRule="auto"/>
              <w:rPr>
                <w:rFonts w:hint="eastAsia" w:ascii="宋体" w:hAnsi="宋体" w:eastAsia="宋体" w:cs="宋体"/>
                <w:sz w:val="21"/>
                <w:szCs w:val="21"/>
              </w:rPr>
            </w:pPr>
            <w:r>
              <w:rPr>
                <w:rFonts w:hint="eastAsia" w:ascii="宋体" w:hAnsi="宋体" w:eastAsia="宋体" w:cs="宋体"/>
                <w:sz w:val="21"/>
                <w:szCs w:val="21"/>
              </w:rPr>
              <w:t>3.在政府采购活动中，监狱企业、残疾人福利性单位视同小型、微型企业，享受本办法规定的中小企业扶持政策；监狱企业、残疾人福利性单位属于小型、微型企业的，不重复享受政策。</w:t>
            </w:r>
          </w:p>
          <w:p w14:paraId="5C8B65E8">
            <w:pPr>
              <w:spacing w:line="240" w:lineRule="auto"/>
              <w:rPr>
                <w:rFonts w:hint="eastAsia" w:ascii="宋体" w:hAnsi="宋体" w:eastAsia="宋体" w:cs="宋体"/>
                <w:sz w:val="21"/>
                <w:szCs w:val="21"/>
              </w:rPr>
            </w:pPr>
            <w:r>
              <w:rPr>
                <w:rFonts w:hint="eastAsia" w:ascii="宋体" w:hAnsi="宋体" w:eastAsia="宋体" w:cs="宋体"/>
                <w:sz w:val="21"/>
                <w:szCs w:val="21"/>
              </w:rPr>
              <w:t>二、本项目中小企业扶持政策：</w:t>
            </w:r>
          </w:p>
          <w:p w14:paraId="2AFE363A">
            <w:pPr>
              <w:spacing w:line="240" w:lineRule="auto"/>
              <w:rPr>
                <w:rFonts w:hint="eastAsia" w:ascii="宋体" w:hAnsi="宋体" w:eastAsia="宋体" w:cs="宋体"/>
                <w:sz w:val="21"/>
                <w:szCs w:val="21"/>
              </w:rPr>
            </w:pPr>
            <w:r>
              <w:rPr>
                <w:rFonts w:hint="eastAsia" w:ascii="宋体" w:hAnsi="宋体" w:eastAsia="宋体" w:cs="宋体"/>
                <w:sz w:val="21"/>
                <w:szCs w:val="21"/>
              </w:rPr>
              <w:t>1.【评审中价格扣除政策】本项目对符合本办法规定的小微企业报价给予10%的扣除，用扣除后的价格参加评审：</w:t>
            </w:r>
          </w:p>
          <w:p w14:paraId="6E0A8F43">
            <w:pPr>
              <w:spacing w:line="240" w:lineRule="auto"/>
              <w:rPr>
                <w:rFonts w:hint="eastAsia" w:ascii="宋体" w:hAnsi="宋体" w:eastAsia="宋体" w:cs="宋体"/>
                <w:sz w:val="21"/>
                <w:szCs w:val="21"/>
              </w:rPr>
            </w:pPr>
            <w:r>
              <w:rPr>
                <w:rFonts w:hint="eastAsia" w:ascii="宋体" w:hAnsi="宋体" w:eastAsia="宋体" w:cs="宋体"/>
                <w:sz w:val="21"/>
                <w:szCs w:val="21"/>
              </w:rPr>
              <w:t>（1）中小企业须提供《中小企业声明函》，附在资格证明文件内，否则不享受预留份额政策；</w:t>
            </w:r>
          </w:p>
          <w:p w14:paraId="7B6ED43E">
            <w:pPr>
              <w:spacing w:line="240" w:lineRule="auto"/>
              <w:rPr>
                <w:rFonts w:hint="eastAsia" w:ascii="宋体" w:hAnsi="宋体" w:eastAsia="宋体" w:cs="宋体"/>
                <w:sz w:val="21"/>
                <w:szCs w:val="21"/>
              </w:rPr>
            </w:pPr>
            <w:r>
              <w:rPr>
                <w:rFonts w:hint="eastAsia" w:ascii="宋体" w:hAnsi="宋体" w:eastAsia="宋体" w:cs="宋体"/>
                <w:sz w:val="21"/>
                <w:szCs w:val="21"/>
              </w:rPr>
              <w:t>（2）监狱企业须提供由省级以上监狱管理局、戒毒管理局（含新疆生产建设兵团）出具的属于监狱企业的证明文件，附在资格证明文件内，否则不享受预留份额政策；</w:t>
            </w:r>
          </w:p>
          <w:p w14:paraId="7ABFD73F">
            <w:pPr>
              <w:pStyle w:val="29"/>
              <w:numPr>
                <w:ilvl w:val="255"/>
                <w:numId w:val="0"/>
              </w:numPr>
              <w:spacing w:line="240" w:lineRule="auto"/>
              <w:rPr>
                <w:rFonts w:ascii="宋体" w:hAnsi="宋体" w:cs="宋体"/>
                <w:sz w:val="21"/>
                <w:szCs w:val="21"/>
              </w:rPr>
            </w:pPr>
            <w:r>
              <w:rPr>
                <w:rFonts w:hint="eastAsia" w:ascii="宋体" w:hAnsi="宋体" w:eastAsia="宋体" w:cs="宋体"/>
                <w:sz w:val="21"/>
                <w:szCs w:val="21"/>
              </w:rPr>
              <w:t xml:space="preserve">（3）残疾人福利性单位须提供《残疾人福利性单位声明函》，附在资格证明文件内，否则不享受预留份额政策。 </w:t>
            </w:r>
          </w:p>
        </w:tc>
      </w:tr>
    </w:tbl>
    <w:p w14:paraId="38B24434">
      <w:pPr>
        <w:pStyle w:val="17"/>
        <w:snapToGrid w:val="0"/>
        <w:spacing w:line="360" w:lineRule="auto"/>
        <w:ind w:firstLine="0"/>
        <w:jc w:val="both"/>
        <w:outlineLvl w:val="1"/>
        <w:rPr>
          <w:rFonts w:hint="eastAsia" w:hAnsi="宋体" w:cs="宋体"/>
          <w:sz w:val="24"/>
          <w:szCs w:val="24"/>
        </w:rPr>
      </w:pPr>
    </w:p>
    <w:p w14:paraId="7F097B9F">
      <w:pPr>
        <w:pStyle w:val="17"/>
        <w:snapToGrid w:val="0"/>
        <w:spacing w:line="240" w:lineRule="auto"/>
        <w:ind w:firstLine="0"/>
        <w:jc w:val="center"/>
        <w:outlineLvl w:val="1"/>
        <w:rPr>
          <w:rFonts w:hint="eastAsia" w:hAnsi="宋体" w:cs="宋体"/>
          <w:sz w:val="24"/>
          <w:szCs w:val="24"/>
        </w:rPr>
      </w:pPr>
    </w:p>
    <w:p w14:paraId="3D1C610C">
      <w:pPr>
        <w:pStyle w:val="17"/>
        <w:snapToGrid w:val="0"/>
        <w:spacing w:line="240" w:lineRule="auto"/>
        <w:ind w:firstLine="0"/>
        <w:jc w:val="center"/>
        <w:outlineLvl w:val="1"/>
        <w:rPr>
          <w:rFonts w:hint="eastAsia" w:hAnsi="宋体" w:cs="宋体"/>
          <w:sz w:val="24"/>
          <w:szCs w:val="24"/>
        </w:rPr>
      </w:pPr>
    </w:p>
    <w:p w14:paraId="418CE34B">
      <w:pPr>
        <w:pStyle w:val="17"/>
        <w:snapToGrid w:val="0"/>
        <w:spacing w:line="240" w:lineRule="auto"/>
        <w:ind w:firstLine="0"/>
        <w:jc w:val="center"/>
        <w:outlineLvl w:val="1"/>
        <w:rPr>
          <w:rFonts w:hint="eastAsia" w:hAnsi="宋体" w:cs="宋体"/>
          <w:sz w:val="24"/>
          <w:szCs w:val="24"/>
        </w:rPr>
      </w:pPr>
    </w:p>
    <w:p w14:paraId="2912CBF9">
      <w:pPr>
        <w:pStyle w:val="17"/>
        <w:snapToGrid w:val="0"/>
        <w:spacing w:line="240" w:lineRule="auto"/>
        <w:ind w:firstLine="0"/>
        <w:jc w:val="center"/>
        <w:outlineLvl w:val="1"/>
        <w:rPr>
          <w:rFonts w:hint="eastAsia" w:hAnsi="宋体" w:cs="宋体"/>
          <w:sz w:val="24"/>
          <w:szCs w:val="24"/>
        </w:rPr>
      </w:pPr>
    </w:p>
    <w:p w14:paraId="1EC1E785">
      <w:pPr>
        <w:pStyle w:val="17"/>
        <w:snapToGrid w:val="0"/>
        <w:spacing w:line="240" w:lineRule="auto"/>
        <w:ind w:firstLine="0"/>
        <w:jc w:val="center"/>
        <w:outlineLvl w:val="1"/>
        <w:rPr>
          <w:rFonts w:hint="eastAsia" w:hAnsi="宋体" w:cs="宋体"/>
          <w:sz w:val="24"/>
          <w:szCs w:val="24"/>
        </w:rPr>
      </w:pPr>
    </w:p>
    <w:p w14:paraId="64E41FFB">
      <w:pPr>
        <w:pStyle w:val="17"/>
        <w:snapToGrid w:val="0"/>
        <w:spacing w:line="240" w:lineRule="auto"/>
        <w:ind w:firstLine="0"/>
        <w:jc w:val="center"/>
        <w:outlineLvl w:val="1"/>
        <w:rPr>
          <w:rFonts w:hint="eastAsia" w:hAnsi="宋体" w:cs="宋体"/>
          <w:sz w:val="24"/>
          <w:szCs w:val="24"/>
        </w:rPr>
      </w:pPr>
    </w:p>
    <w:p w14:paraId="24FB9732">
      <w:pPr>
        <w:pStyle w:val="17"/>
        <w:snapToGrid w:val="0"/>
        <w:spacing w:line="240" w:lineRule="auto"/>
        <w:ind w:firstLine="0"/>
        <w:jc w:val="center"/>
        <w:outlineLvl w:val="1"/>
        <w:rPr>
          <w:rFonts w:hint="eastAsia" w:hAnsi="宋体" w:cs="宋体"/>
          <w:sz w:val="24"/>
          <w:szCs w:val="24"/>
        </w:rPr>
      </w:pPr>
    </w:p>
    <w:p w14:paraId="11F9C1E8">
      <w:pPr>
        <w:pStyle w:val="17"/>
        <w:snapToGrid w:val="0"/>
        <w:spacing w:line="240" w:lineRule="auto"/>
        <w:ind w:firstLine="0"/>
        <w:jc w:val="center"/>
        <w:outlineLvl w:val="1"/>
        <w:rPr>
          <w:rFonts w:hint="eastAsia" w:hAnsi="宋体" w:cs="宋体"/>
          <w:sz w:val="24"/>
          <w:szCs w:val="24"/>
        </w:rPr>
      </w:pPr>
    </w:p>
    <w:p w14:paraId="144FFB4F">
      <w:pPr>
        <w:pStyle w:val="17"/>
        <w:snapToGrid w:val="0"/>
        <w:spacing w:line="240" w:lineRule="auto"/>
        <w:ind w:firstLine="0"/>
        <w:jc w:val="center"/>
        <w:outlineLvl w:val="1"/>
        <w:rPr>
          <w:rFonts w:hint="eastAsia" w:hAnsi="宋体" w:cs="宋体"/>
          <w:sz w:val="24"/>
          <w:szCs w:val="24"/>
        </w:rPr>
      </w:pPr>
    </w:p>
    <w:p w14:paraId="107BDF8A">
      <w:pPr>
        <w:pStyle w:val="17"/>
        <w:snapToGrid w:val="0"/>
        <w:spacing w:line="240" w:lineRule="auto"/>
        <w:ind w:firstLine="0"/>
        <w:jc w:val="center"/>
        <w:outlineLvl w:val="1"/>
        <w:rPr>
          <w:rFonts w:hint="eastAsia" w:hAnsi="宋体" w:cs="宋体"/>
          <w:sz w:val="24"/>
          <w:szCs w:val="24"/>
        </w:rPr>
      </w:pPr>
    </w:p>
    <w:p w14:paraId="72294CEF">
      <w:pPr>
        <w:pStyle w:val="17"/>
        <w:snapToGrid w:val="0"/>
        <w:spacing w:line="240" w:lineRule="auto"/>
        <w:ind w:firstLine="0"/>
        <w:jc w:val="center"/>
        <w:outlineLvl w:val="1"/>
        <w:rPr>
          <w:rFonts w:hint="eastAsia" w:hAnsi="宋体" w:cs="宋体"/>
          <w:sz w:val="24"/>
          <w:szCs w:val="24"/>
        </w:rPr>
      </w:pPr>
    </w:p>
    <w:p w14:paraId="1E3D20A1">
      <w:pPr>
        <w:pStyle w:val="17"/>
        <w:snapToGrid w:val="0"/>
        <w:spacing w:line="240" w:lineRule="auto"/>
        <w:ind w:firstLine="0"/>
        <w:jc w:val="center"/>
        <w:outlineLvl w:val="1"/>
        <w:rPr>
          <w:rFonts w:hint="eastAsia" w:hAnsi="宋体" w:cs="宋体"/>
          <w:sz w:val="24"/>
          <w:szCs w:val="24"/>
        </w:rPr>
      </w:pPr>
    </w:p>
    <w:p w14:paraId="3EC8CB47">
      <w:pPr>
        <w:pStyle w:val="17"/>
        <w:snapToGrid w:val="0"/>
        <w:spacing w:line="240" w:lineRule="auto"/>
        <w:ind w:firstLine="0"/>
        <w:jc w:val="center"/>
        <w:outlineLvl w:val="1"/>
        <w:rPr>
          <w:rFonts w:hint="eastAsia" w:hAnsi="宋体" w:cs="宋体"/>
          <w:sz w:val="24"/>
          <w:szCs w:val="24"/>
        </w:rPr>
      </w:pPr>
    </w:p>
    <w:p w14:paraId="205C79C9">
      <w:pPr>
        <w:pStyle w:val="17"/>
        <w:snapToGrid w:val="0"/>
        <w:spacing w:line="240" w:lineRule="auto"/>
        <w:ind w:firstLine="0"/>
        <w:jc w:val="center"/>
        <w:outlineLvl w:val="1"/>
        <w:rPr>
          <w:rFonts w:hint="eastAsia" w:hAnsi="宋体" w:cs="宋体"/>
          <w:sz w:val="24"/>
          <w:szCs w:val="24"/>
        </w:rPr>
      </w:pPr>
    </w:p>
    <w:p w14:paraId="710FE94E">
      <w:pPr>
        <w:pStyle w:val="17"/>
        <w:snapToGrid w:val="0"/>
        <w:spacing w:line="240" w:lineRule="auto"/>
        <w:ind w:firstLine="0"/>
        <w:jc w:val="center"/>
        <w:outlineLvl w:val="1"/>
        <w:rPr>
          <w:rFonts w:hint="eastAsia" w:hAnsi="宋体" w:cs="宋体"/>
          <w:sz w:val="24"/>
          <w:szCs w:val="24"/>
        </w:rPr>
      </w:pPr>
    </w:p>
    <w:p w14:paraId="347B20FB">
      <w:pPr>
        <w:pStyle w:val="17"/>
        <w:snapToGrid w:val="0"/>
        <w:spacing w:line="240" w:lineRule="auto"/>
        <w:ind w:firstLine="0"/>
        <w:jc w:val="center"/>
        <w:outlineLvl w:val="1"/>
        <w:rPr>
          <w:rFonts w:hint="eastAsia" w:hAnsi="宋体" w:cs="宋体"/>
          <w:sz w:val="24"/>
          <w:szCs w:val="24"/>
        </w:rPr>
      </w:pPr>
    </w:p>
    <w:p w14:paraId="5CF4D699">
      <w:pPr>
        <w:pStyle w:val="17"/>
        <w:snapToGrid w:val="0"/>
        <w:spacing w:line="240" w:lineRule="auto"/>
        <w:ind w:firstLine="0"/>
        <w:jc w:val="center"/>
        <w:outlineLvl w:val="1"/>
        <w:rPr>
          <w:rFonts w:hint="eastAsia" w:hAnsi="宋体" w:cs="宋体"/>
          <w:sz w:val="24"/>
          <w:szCs w:val="24"/>
        </w:rPr>
      </w:pPr>
    </w:p>
    <w:p w14:paraId="78443EFD">
      <w:pPr>
        <w:pStyle w:val="17"/>
        <w:snapToGrid w:val="0"/>
        <w:spacing w:line="240" w:lineRule="auto"/>
        <w:ind w:firstLine="0"/>
        <w:jc w:val="center"/>
        <w:outlineLvl w:val="1"/>
        <w:rPr>
          <w:rFonts w:hint="eastAsia" w:hAnsi="宋体" w:cs="宋体"/>
          <w:sz w:val="24"/>
          <w:szCs w:val="24"/>
        </w:rPr>
      </w:pPr>
    </w:p>
    <w:p w14:paraId="3726174A">
      <w:pPr>
        <w:pStyle w:val="17"/>
        <w:snapToGrid w:val="0"/>
        <w:spacing w:line="240" w:lineRule="auto"/>
        <w:ind w:firstLine="0"/>
        <w:jc w:val="center"/>
        <w:outlineLvl w:val="1"/>
        <w:rPr>
          <w:rFonts w:hint="eastAsia" w:hAnsi="宋体" w:cs="宋体"/>
          <w:sz w:val="24"/>
          <w:szCs w:val="24"/>
        </w:rPr>
      </w:pPr>
    </w:p>
    <w:p w14:paraId="6467285C">
      <w:pPr>
        <w:pStyle w:val="17"/>
        <w:snapToGrid w:val="0"/>
        <w:spacing w:line="240" w:lineRule="auto"/>
        <w:ind w:firstLine="0"/>
        <w:jc w:val="center"/>
        <w:outlineLvl w:val="1"/>
        <w:rPr>
          <w:rFonts w:hint="eastAsia" w:hAnsi="宋体" w:cs="宋体"/>
          <w:sz w:val="24"/>
          <w:szCs w:val="24"/>
        </w:rPr>
      </w:pPr>
    </w:p>
    <w:p w14:paraId="597846B1">
      <w:pPr>
        <w:pStyle w:val="17"/>
        <w:snapToGrid w:val="0"/>
        <w:spacing w:line="240" w:lineRule="auto"/>
        <w:ind w:firstLine="0"/>
        <w:jc w:val="center"/>
        <w:outlineLvl w:val="1"/>
        <w:rPr>
          <w:rFonts w:hint="eastAsia" w:hAnsi="宋体" w:cs="宋体"/>
          <w:sz w:val="24"/>
          <w:szCs w:val="24"/>
        </w:rPr>
      </w:pPr>
    </w:p>
    <w:p w14:paraId="25BEA6BF">
      <w:pPr>
        <w:pStyle w:val="17"/>
        <w:snapToGrid w:val="0"/>
        <w:spacing w:line="240" w:lineRule="auto"/>
        <w:ind w:firstLine="0"/>
        <w:jc w:val="center"/>
        <w:outlineLvl w:val="1"/>
        <w:rPr>
          <w:rFonts w:hint="eastAsia" w:hAnsi="宋体" w:cs="宋体"/>
          <w:sz w:val="24"/>
          <w:szCs w:val="24"/>
        </w:rPr>
      </w:pPr>
    </w:p>
    <w:p w14:paraId="12E8B316">
      <w:pPr>
        <w:pStyle w:val="17"/>
        <w:snapToGrid w:val="0"/>
        <w:spacing w:line="240" w:lineRule="auto"/>
        <w:ind w:firstLine="0"/>
        <w:jc w:val="center"/>
        <w:outlineLvl w:val="1"/>
        <w:rPr>
          <w:rFonts w:hint="eastAsia" w:hAnsi="宋体" w:cs="宋体"/>
          <w:sz w:val="24"/>
          <w:szCs w:val="24"/>
        </w:rPr>
      </w:pPr>
    </w:p>
    <w:p w14:paraId="6B3C8C0E">
      <w:pPr>
        <w:pStyle w:val="17"/>
        <w:snapToGrid w:val="0"/>
        <w:spacing w:line="240" w:lineRule="auto"/>
        <w:ind w:firstLine="0"/>
        <w:jc w:val="both"/>
        <w:outlineLvl w:val="1"/>
        <w:rPr>
          <w:rFonts w:hint="eastAsia" w:hAnsi="宋体" w:cs="宋体"/>
          <w:sz w:val="24"/>
          <w:szCs w:val="24"/>
        </w:rPr>
      </w:pPr>
    </w:p>
    <w:p w14:paraId="06F960C3">
      <w:pPr>
        <w:pStyle w:val="17"/>
        <w:snapToGrid w:val="0"/>
        <w:spacing w:line="240" w:lineRule="auto"/>
        <w:ind w:firstLine="0"/>
        <w:jc w:val="center"/>
        <w:outlineLvl w:val="1"/>
        <w:rPr>
          <w:rFonts w:hAnsi="宋体" w:cs="宋体"/>
          <w:b/>
          <w:sz w:val="24"/>
          <w:szCs w:val="24"/>
        </w:rPr>
      </w:pPr>
      <w:r>
        <w:rPr>
          <w:rFonts w:hint="eastAsia" w:hAnsi="宋体" w:cs="宋体"/>
          <w:sz w:val="24"/>
          <w:szCs w:val="24"/>
        </w:rPr>
        <w:t xml:space="preserve">一  </w:t>
      </w:r>
      <w:r>
        <w:rPr>
          <w:rFonts w:hint="eastAsia" w:hAnsi="宋体" w:cs="宋体"/>
          <w:b/>
          <w:sz w:val="24"/>
          <w:szCs w:val="24"/>
        </w:rPr>
        <w:t>总  则</w:t>
      </w:r>
    </w:p>
    <w:p w14:paraId="5145E6D0">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（一）适用范围</w:t>
      </w:r>
    </w:p>
    <w:p w14:paraId="40D5DC03">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本磋商文件适用于</w:t>
      </w:r>
      <w:r>
        <w:rPr>
          <w:rFonts w:hint="eastAsia" w:ascii="宋体" w:hAnsi="宋体" w:cs="宋体"/>
          <w:sz w:val="21"/>
          <w:szCs w:val="21"/>
          <w:u w:val="single"/>
          <w:lang w:val="en-US" w:eastAsia="zh-CN"/>
        </w:rPr>
        <w:t xml:space="preserve">普陀区海岛“菜篮子”配送服务 </w:t>
      </w:r>
      <w:r>
        <w:rPr>
          <w:rFonts w:hint="eastAsia" w:ascii="宋体" w:hAnsi="宋体" w:cs="宋体"/>
          <w:sz w:val="21"/>
          <w:szCs w:val="21"/>
          <w:u w:val="single"/>
        </w:rPr>
        <w:t xml:space="preserve"> </w:t>
      </w:r>
      <w:r>
        <w:rPr>
          <w:rFonts w:hint="eastAsia" w:ascii="宋体" w:hAnsi="宋体" w:cs="宋体"/>
          <w:sz w:val="21"/>
          <w:szCs w:val="21"/>
        </w:rPr>
        <w:t>的招标、投标、评标、定标、验收、合同履约、付款等行为（法律、法规另有规定的，从其规定）。</w:t>
      </w:r>
    </w:p>
    <w:p w14:paraId="3B0F0F88">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（二）定义</w:t>
      </w:r>
    </w:p>
    <w:p w14:paraId="3A637940">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1.招标采购单位系指组织本次招标的代理机构和采购单位。</w:t>
      </w:r>
    </w:p>
    <w:p w14:paraId="0E812432">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2.“供应商”系指向招标方提交磋商响应文件的单位或个人。</w:t>
      </w:r>
    </w:p>
    <w:p w14:paraId="6EAF6AD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3.“产品”系指供方按竞争性磋商文件规定，须向采购人提供的一切设备、保险、税金、备品备件、工具、手册及其它有关技术资料和材料。</w:t>
      </w:r>
    </w:p>
    <w:p w14:paraId="4C4B8350">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4.“服务”系指竞争性磋商文件规定供应商须承担的安装、调试、技术协助、校准、培训、技术指导以及其他类似的义务。</w:t>
      </w:r>
    </w:p>
    <w:p w14:paraId="70DCCC8F">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5.“项目”系指供应商按竞争性磋商文件规定向采购人提供的产品和服务。</w:t>
      </w:r>
    </w:p>
    <w:p w14:paraId="7B96239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outlineLvl w:val="2"/>
        <w:rPr>
          <w:rFonts w:ascii="宋体" w:hAnsi="宋体" w:cs="宋体"/>
          <w:sz w:val="21"/>
          <w:szCs w:val="21"/>
        </w:rPr>
      </w:pPr>
      <w:r>
        <w:rPr>
          <w:rFonts w:hint="eastAsia" w:ascii="宋体" w:hAnsi="宋体" w:cs="宋体"/>
          <w:sz w:val="21"/>
          <w:szCs w:val="21"/>
        </w:rPr>
        <w:t>6.“书面形式”包括信函、传真、电报、电子文档等。</w:t>
      </w:r>
    </w:p>
    <w:p w14:paraId="0F6E35F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7.“</w:t>
      </w:r>
      <w:r>
        <w:rPr>
          <w:rFonts w:hint="eastAsia" w:ascii="宋体" w:hAnsi="宋体" w:cs="宋体"/>
          <w:b/>
          <w:bCs/>
          <w:color w:val="000000"/>
          <w:sz w:val="21"/>
          <w:szCs w:val="21"/>
        </w:rPr>
        <w:t>★</w:t>
      </w:r>
      <w:r>
        <w:rPr>
          <w:rFonts w:hint="eastAsia" w:ascii="宋体" w:hAnsi="宋体" w:cs="宋体"/>
          <w:sz w:val="21"/>
          <w:szCs w:val="21"/>
        </w:rPr>
        <w:t>”系指实质性要求条款。</w:t>
      </w:r>
    </w:p>
    <w:p w14:paraId="1CBA64CF">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（三）采购方式</w:t>
      </w:r>
    </w:p>
    <w:p w14:paraId="1C3BD78D">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本次采购采用竞争性磋商方式进行。</w:t>
      </w:r>
    </w:p>
    <w:p w14:paraId="5B17F844">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ascii="宋体" w:hAnsi="宋体" w:cs="宋体"/>
          <w:b/>
          <w:bCs/>
          <w:color w:val="000000"/>
          <w:sz w:val="21"/>
          <w:szCs w:val="21"/>
        </w:rPr>
        <w:t>★</w:t>
      </w:r>
      <w:r>
        <w:rPr>
          <w:rFonts w:hint="eastAsia" w:hAnsi="宋体" w:eastAsia="宋体" w:cs="宋体"/>
          <w:b/>
          <w:bCs/>
          <w:sz w:val="21"/>
          <w:szCs w:val="21"/>
        </w:rPr>
        <w:t>（四）采购预算</w:t>
      </w:r>
    </w:p>
    <w:p w14:paraId="55204E29">
      <w:pPr>
        <w:pStyle w:val="15"/>
        <w:pageBreakBefore w:val="0"/>
        <w:widowControl w:val="0"/>
        <w:kinsoku/>
        <w:wordWrap/>
        <w:overflowPunct/>
        <w:topLinePunct w:val="0"/>
        <w:autoSpaceDE/>
        <w:autoSpaceDN/>
        <w:bidi w:val="0"/>
        <w:spacing w:after="0" w:line="360" w:lineRule="auto"/>
        <w:ind w:firstLine="420" w:firstLineChars="200"/>
        <w:textAlignment w:val="auto"/>
        <w:rPr>
          <w:rFonts w:ascii="宋体" w:hAnsi="宋体" w:cs="宋体"/>
          <w:sz w:val="21"/>
          <w:szCs w:val="21"/>
        </w:rPr>
      </w:pPr>
      <w:r>
        <w:rPr>
          <w:rFonts w:hint="eastAsia" w:ascii="宋体" w:hAnsi="宋体" w:cs="宋体"/>
          <w:bCs/>
          <w:sz w:val="21"/>
          <w:szCs w:val="21"/>
          <w:lang w:val="en-US" w:eastAsia="zh-CN"/>
        </w:rPr>
        <w:t>350000</w:t>
      </w:r>
      <w:r>
        <w:rPr>
          <w:rFonts w:hint="eastAsia" w:ascii="宋体" w:hAnsi="宋体" w:cs="宋体"/>
          <w:bCs/>
          <w:sz w:val="21"/>
          <w:szCs w:val="21"/>
        </w:rPr>
        <w:t>元，超过以上限价，均将作无效标处理。</w:t>
      </w:r>
      <w:r>
        <w:rPr>
          <w:rFonts w:hint="eastAsia" w:ascii="宋体" w:hAnsi="宋体" w:cs="宋体"/>
          <w:sz w:val="21"/>
          <w:szCs w:val="21"/>
        </w:rPr>
        <w:t>本次采购以预算价作为上限价。</w:t>
      </w:r>
    </w:p>
    <w:p w14:paraId="4D5DAA7A">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（五）磋商费用</w:t>
      </w:r>
    </w:p>
    <w:p w14:paraId="77D015E6">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不论磋商结果如何，供应商均应自行承担所有与投标有关的全部费用（竞争性磋商文件另有规定除外）。</w:t>
      </w:r>
    </w:p>
    <w:p w14:paraId="6B9656A7">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（六）联合体投标</w:t>
      </w:r>
    </w:p>
    <w:p w14:paraId="170D2238">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本项目不接受联合体投标。</w:t>
      </w:r>
    </w:p>
    <w:p w14:paraId="06EB7FEF">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（七）转包与分包</w:t>
      </w:r>
    </w:p>
    <w:p w14:paraId="65E0DF6F">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本项目不允许转包、分包。</w:t>
      </w:r>
    </w:p>
    <w:p w14:paraId="5A8A457F">
      <w:pPr>
        <w:pStyle w:val="22"/>
        <w:pageBreakBefore w:val="0"/>
        <w:widowControl w:val="0"/>
        <w:kinsoku/>
        <w:wordWrap/>
        <w:overflowPunct/>
        <w:topLinePunct w:val="0"/>
        <w:autoSpaceDE/>
        <w:autoSpaceDN/>
        <w:bidi w:val="0"/>
        <w:snapToGrid w:val="0"/>
        <w:spacing w:line="360" w:lineRule="auto"/>
        <w:ind w:firstLine="422" w:firstLineChars="200"/>
        <w:textAlignment w:val="auto"/>
        <w:outlineLvl w:val="1"/>
        <w:rPr>
          <w:rFonts w:hAnsi="宋体" w:eastAsia="宋体" w:cs="宋体"/>
          <w:b/>
          <w:bCs/>
          <w:sz w:val="21"/>
          <w:szCs w:val="21"/>
        </w:rPr>
      </w:pPr>
      <w:r>
        <w:rPr>
          <w:rFonts w:hint="eastAsia" w:hAnsi="宋体" w:eastAsia="宋体" w:cs="宋体"/>
          <w:b/>
          <w:bCs/>
          <w:sz w:val="21"/>
          <w:szCs w:val="21"/>
        </w:rPr>
        <w:t>（八）特别说明：</w:t>
      </w:r>
    </w:p>
    <w:p w14:paraId="128E0D23">
      <w:pPr>
        <w:pageBreakBefore w:val="0"/>
        <w:widowControl w:val="0"/>
        <w:kinsoku/>
        <w:wordWrap/>
        <w:overflowPunct/>
        <w:topLinePunct w:val="0"/>
        <w:autoSpaceDE/>
        <w:autoSpaceDN/>
        <w:bidi w:val="0"/>
        <w:snapToGrid w:val="0"/>
        <w:spacing w:line="360" w:lineRule="auto"/>
        <w:ind w:right="-506" w:rightChars="-241" w:firstLine="422" w:firstLineChars="200"/>
        <w:jc w:val="left"/>
        <w:textAlignment w:val="auto"/>
        <w:rPr>
          <w:rFonts w:ascii="宋体" w:hAnsi="宋体" w:cs="宋体"/>
          <w:sz w:val="21"/>
          <w:szCs w:val="21"/>
        </w:rPr>
      </w:pPr>
      <w:r>
        <w:rPr>
          <w:rFonts w:hint="eastAsia" w:ascii="宋体" w:hAnsi="宋体" w:cs="宋体"/>
          <w:b/>
          <w:bCs/>
          <w:color w:val="000000"/>
          <w:sz w:val="21"/>
          <w:szCs w:val="21"/>
        </w:rPr>
        <w:t>★</w:t>
      </w:r>
      <w:r>
        <w:rPr>
          <w:rFonts w:hint="eastAsia" w:ascii="宋体" w:hAnsi="宋体" w:cs="宋体"/>
          <w:b/>
          <w:bCs/>
          <w:snapToGrid w:val="0"/>
          <w:kern w:val="0"/>
          <w:sz w:val="21"/>
          <w:szCs w:val="21"/>
        </w:rPr>
        <w:t>1.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r>
        <w:rPr>
          <w:rFonts w:hint="eastAsia" w:ascii="宋体" w:hAnsi="宋体" w:cs="宋体"/>
          <w:sz w:val="21"/>
          <w:szCs w:val="21"/>
        </w:rPr>
        <w:t>。</w:t>
      </w:r>
    </w:p>
    <w:p w14:paraId="518D380B">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2.供应商磋商所使用的资格、信誉、荣誉、业绩与企业认证必须为本法人所拥有。供应商投标所使用的采购项目实施人员必须为本法人员工（或必须为本法人或控股公司正式员工）。</w:t>
      </w:r>
    </w:p>
    <w:p w14:paraId="58CD848F">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3.供应商应仔细阅读竞争性磋商文件的所有内容，按照竞争性磋商文件的要求提交磋商响应文件，并对所提供的全部资料的真实性承担法律责任。</w:t>
      </w:r>
    </w:p>
    <w:p w14:paraId="4E374F06">
      <w:pPr>
        <w:pageBreakBefore w:val="0"/>
        <w:widowControl w:val="0"/>
        <w:kinsoku/>
        <w:wordWrap/>
        <w:overflowPunct/>
        <w:topLinePunct w:val="0"/>
        <w:autoSpaceDE/>
        <w:autoSpaceDN/>
        <w:bidi w:val="0"/>
        <w:snapToGrid w:val="0"/>
        <w:spacing w:line="360" w:lineRule="auto"/>
        <w:ind w:right="-506" w:rightChars="-241" w:firstLine="420" w:firstLineChars="200"/>
        <w:jc w:val="left"/>
        <w:textAlignment w:val="auto"/>
        <w:rPr>
          <w:rFonts w:ascii="宋体" w:hAnsi="宋体" w:cs="宋体"/>
          <w:sz w:val="21"/>
          <w:szCs w:val="21"/>
        </w:rPr>
      </w:pPr>
      <w:r>
        <w:rPr>
          <w:rFonts w:hint="eastAsia" w:ascii="宋体" w:hAnsi="宋体" w:cs="宋体"/>
          <w:sz w:val="21"/>
          <w:szCs w:val="21"/>
        </w:rPr>
        <w:t>4.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0937E9A1">
      <w:pPr>
        <w:pStyle w:val="22"/>
        <w:pageBreakBefore w:val="0"/>
        <w:widowControl w:val="0"/>
        <w:kinsoku/>
        <w:wordWrap/>
        <w:overflowPunct/>
        <w:topLinePunct w:val="0"/>
        <w:autoSpaceDE/>
        <w:autoSpaceDN/>
        <w:bidi w:val="0"/>
        <w:snapToGrid w:val="0"/>
        <w:spacing w:line="360" w:lineRule="auto"/>
        <w:ind w:left="416" w:leftChars="198"/>
        <w:textAlignment w:val="auto"/>
        <w:outlineLvl w:val="1"/>
        <w:rPr>
          <w:rFonts w:hAnsi="宋体" w:eastAsia="宋体" w:cs="宋体"/>
          <w:b/>
          <w:sz w:val="21"/>
          <w:szCs w:val="21"/>
        </w:rPr>
      </w:pPr>
      <w:r>
        <w:rPr>
          <w:rFonts w:hint="eastAsia" w:hAnsi="宋体" w:eastAsia="宋体" w:cs="宋体"/>
          <w:b/>
          <w:sz w:val="21"/>
          <w:szCs w:val="21"/>
        </w:rPr>
        <w:t>（十）质疑和投诉</w:t>
      </w:r>
    </w:p>
    <w:p w14:paraId="38E83307">
      <w:pPr>
        <w:pStyle w:val="22"/>
        <w:pageBreakBefore w:val="0"/>
        <w:widowControl w:val="0"/>
        <w:kinsoku/>
        <w:wordWrap/>
        <w:overflowPunct/>
        <w:topLinePunct w:val="0"/>
        <w:autoSpaceDE/>
        <w:autoSpaceDN/>
        <w:bidi w:val="0"/>
        <w:snapToGrid w:val="0"/>
        <w:spacing w:line="360" w:lineRule="auto"/>
        <w:ind w:firstLine="413" w:firstLineChars="196"/>
        <w:textAlignment w:val="auto"/>
        <w:outlineLvl w:val="2"/>
        <w:rPr>
          <w:rFonts w:hAnsi="宋体" w:eastAsia="宋体" w:cs="宋体"/>
          <w:b/>
          <w:bCs/>
          <w:sz w:val="21"/>
          <w:szCs w:val="21"/>
        </w:rPr>
      </w:pPr>
      <w:r>
        <w:rPr>
          <w:rFonts w:hint="eastAsia" w:hAnsi="宋体" w:eastAsia="宋体" w:cs="宋体"/>
          <w:b/>
          <w:sz w:val="21"/>
          <w:szCs w:val="21"/>
        </w:rPr>
        <w:t>1、</w:t>
      </w:r>
      <w:r>
        <w:rPr>
          <w:rFonts w:hint="eastAsia" w:hAnsi="宋体" w:eastAsia="宋体" w:cs="宋体"/>
          <w:b/>
          <w:bCs/>
          <w:sz w:val="21"/>
          <w:szCs w:val="21"/>
        </w:rPr>
        <w:t>质疑</w:t>
      </w:r>
    </w:p>
    <w:p w14:paraId="7F3F807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1.1</w:t>
      </w:r>
      <w:r>
        <w:rPr>
          <w:rFonts w:hint="eastAsia" w:ascii="宋体" w:hAnsi="宋体" w:cs="宋体"/>
          <w:kern w:val="0"/>
          <w:sz w:val="21"/>
          <w:szCs w:val="21"/>
        </w:rPr>
        <w:t>根据财政部94号令（《政府采购质疑和投诉办法》）的规定，</w:t>
      </w:r>
      <w:r>
        <w:rPr>
          <w:rFonts w:hint="eastAsia" w:ascii="宋体" w:hAnsi="宋体" w:cs="宋体"/>
          <w:sz w:val="21"/>
          <w:szCs w:val="21"/>
        </w:rPr>
        <w:t>投标人认为招标文件、招标过程和中标、成交结果使自己的权益受到损害的，可以在知道或者应知其权益受到损害之日起七个工作日内，以书面形式向招标代理机构提出质疑，供应商在法定质疑期内一次性提出针对同一采购程序环节的质疑。</w:t>
      </w:r>
    </w:p>
    <w:p w14:paraId="1B6AA0D2">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（1）投标人如认为招标公告信息使自身的合法权益受到损害的，应于自招标公告期限届满之日起七个工作日内以书面形式向招标代理机构提出质疑；</w:t>
      </w:r>
    </w:p>
    <w:p w14:paraId="2F60FD31">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（2）投标人如认为招标文件使自身的合法权益受到损害的，应按投标人须知前附表中质疑一栏中规定时间内提出要求；</w:t>
      </w:r>
    </w:p>
    <w:p w14:paraId="6BEB1F0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（3）对采购过程提出质疑的，为各采购程序环节结束之日；</w:t>
      </w:r>
    </w:p>
    <w:p w14:paraId="35DE910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（4）投标人如认为招标过程和中标结果使自身的合法权益受到损害的，应于自预中标结果公告期限届满之日起七个工作日内以书面形式向招标代理机构一次性提出针对同一采购程序环节的质疑。</w:t>
      </w:r>
    </w:p>
    <w:p w14:paraId="4D53CE93">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1.2提出质疑的供应商（以下简称质疑供应商）应当是参与所质疑项目采购活动的供应商。</w:t>
      </w:r>
    </w:p>
    <w:p w14:paraId="19B6117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1.3供应商为自然人的，应当由本人签字；供应商为法人或者其他组织的，应当由法定代表人、主要负责人，或者其授权代表签字或者盖章，并加盖公章。</w:t>
      </w:r>
    </w:p>
    <w:p w14:paraId="6C9C18C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代理人提出质疑和投诉，应当提交供应商签署的授权委托书。</w:t>
      </w:r>
    </w:p>
    <w:p w14:paraId="38CBB54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以联合体形式参加政府采购活动的，其投诉应当由组成联合体的所有供应商共同提出。</w:t>
      </w:r>
    </w:p>
    <w:p w14:paraId="5ADE6AB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1.4投标人提交的质疑书需一式三份，质疑书至少应包括下列主要内容：</w:t>
      </w:r>
    </w:p>
    <w:p w14:paraId="19110646">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（一）供应商的姓名或者名称、地址、邮编、联系人及联系电话；</w:t>
      </w:r>
    </w:p>
    <w:p w14:paraId="1539E00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（二）质疑项目的名称、编号；</w:t>
      </w:r>
    </w:p>
    <w:p w14:paraId="33931ECF">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（三）具体、明确的质疑事项和与质疑事项相关的请求；</w:t>
      </w:r>
    </w:p>
    <w:p w14:paraId="47DBB83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（四）事实依据；</w:t>
      </w:r>
    </w:p>
    <w:p w14:paraId="455A2556">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（五）必要的法律依据；</w:t>
      </w:r>
    </w:p>
    <w:p w14:paraId="5E5A1430">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（六）提出质疑的日期。</w:t>
      </w:r>
    </w:p>
    <w:p w14:paraId="52AC98C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1.5采购人、采购代理机构不得拒收质疑供应商在法定质疑期内发出的质疑函，应当在收到质疑函后7个工作日内作出答复，质疑答复的内容不得涉及商业秘密，并以书面形式通知质疑供应商和其他有关供应商。</w:t>
      </w:r>
    </w:p>
    <w:p w14:paraId="1F3AFDA2">
      <w:pPr>
        <w:pStyle w:val="22"/>
        <w:pageBreakBefore w:val="0"/>
        <w:widowControl w:val="0"/>
        <w:kinsoku/>
        <w:wordWrap/>
        <w:overflowPunct/>
        <w:topLinePunct w:val="0"/>
        <w:autoSpaceDE/>
        <w:autoSpaceDN/>
        <w:bidi w:val="0"/>
        <w:snapToGrid w:val="0"/>
        <w:spacing w:line="360" w:lineRule="auto"/>
        <w:ind w:firstLine="413" w:firstLineChars="196"/>
        <w:textAlignment w:val="auto"/>
        <w:outlineLvl w:val="2"/>
        <w:rPr>
          <w:rFonts w:hAnsi="宋体" w:eastAsia="宋体" w:cs="宋体"/>
          <w:b/>
          <w:bCs/>
          <w:sz w:val="21"/>
          <w:szCs w:val="21"/>
        </w:rPr>
      </w:pPr>
      <w:r>
        <w:rPr>
          <w:rFonts w:hint="eastAsia" w:hAnsi="宋体" w:eastAsia="宋体" w:cs="宋体"/>
          <w:b/>
          <w:bCs/>
          <w:sz w:val="21"/>
          <w:szCs w:val="21"/>
        </w:rPr>
        <w:t>2、投诉</w:t>
      </w:r>
    </w:p>
    <w:p w14:paraId="410703C1">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2.1质疑供应商对采购人、采购代理机构的答复不满意，或者采购人、采购代理机构未在规定时间内作出答复的，可以在答复期满后15个工作日内向《政府采购质疑和投诉办法》第六条规定的财政部门提起投诉。</w:t>
      </w:r>
    </w:p>
    <w:p w14:paraId="63A767FD">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2.2供应商投诉的事项不得超出已质疑事项的范围，但基于质疑答复内容提出的投诉事项除外。</w:t>
      </w:r>
    </w:p>
    <w:p w14:paraId="740E1FB8">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Cs/>
          <w:kern w:val="0"/>
          <w:sz w:val="21"/>
          <w:szCs w:val="21"/>
        </w:rPr>
      </w:pPr>
      <w:r>
        <w:rPr>
          <w:rFonts w:hint="eastAsia" w:ascii="宋体" w:hAnsi="宋体" w:cs="宋体"/>
          <w:bCs/>
          <w:kern w:val="0"/>
          <w:sz w:val="21"/>
          <w:szCs w:val="21"/>
        </w:rPr>
        <w:t>2.3投诉人提起投诉应当符合下列条件：</w:t>
      </w:r>
    </w:p>
    <w:p w14:paraId="37956FB3">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（一）提起投诉前已依法进行质疑；</w:t>
      </w:r>
    </w:p>
    <w:p w14:paraId="730D0631">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（二）投诉书内容符合本办法的规定；</w:t>
      </w:r>
    </w:p>
    <w:p w14:paraId="12BA0CA5">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（三）在投诉有效期限内提起投诉；</w:t>
      </w:r>
    </w:p>
    <w:p w14:paraId="5784B402">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（四）同一投诉事项未经财政部门投诉处理；</w:t>
      </w:r>
    </w:p>
    <w:p w14:paraId="693098BE">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（五）财政部规定的其他条件。</w:t>
      </w:r>
    </w:p>
    <w:p w14:paraId="2568203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2.4投诉人在全国范围12个月内三次以上投诉查无实据的，由财政部门列入不良行为记录名单。</w:t>
      </w:r>
    </w:p>
    <w:p w14:paraId="3E5B187F">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2.5投诉人有下列行为之一的，属于虚假、恶意投诉，由财政部门列入不良行为记录名单，禁止其1至3年内参加政府采购活动：</w:t>
      </w:r>
    </w:p>
    <w:p w14:paraId="1E73A959">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（一）捏造事实；</w:t>
      </w:r>
    </w:p>
    <w:p w14:paraId="31F20207">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（二）提供虚假材料；</w:t>
      </w:r>
    </w:p>
    <w:p w14:paraId="40327FC6">
      <w:pPr>
        <w:pageBreakBefore w:val="0"/>
        <w:widowControl w:val="0"/>
        <w:kinsoku/>
        <w:wordWrap/>
        <w:overflowPunct/>
        <w:topLinePunct w:val="0"/>
        <w:autoSpaceDE/>
        <w:autoSpaceDN/>
        <w:bidi w:val="0"/>
        <w:spacing w:line="360" w:lineRule="auto"/>
        <w:ind w:firstLine="420"/>
        <w:textAlignment w:val="auto"/>
        <w:rPr>
          <w:rFonts w:ascii="宋体" w:hAnsi="宋体" w:cs="宋体"/>
          <w:bCs/>
          <w:kern w:val="0"/>
          <w:sz w:val="21"/>
          <w:szCs w:val="21"/>
        </w:rPr>
      </w:pPr>
      <w:r>
        <w:rPr>
          <w:rFonts w:hint="eastAsia" w:ascii="宋体" w:hAnsi="宋体" w:cs="宋体"/>
          <w:bCs/>
          <w:kern w:val="0"/>
          <w:sz w:val="21"/>
          <w:szCs w:val="21"/>
        </w:rPr>
        <w:t>（三）以非法手段取得证明材料。证据来源的合法性存在明显疑问，投诉人无法证明其取得方式合法的，视为以非法手段取得证明材料。</w:t>
      </w:r>
    </w:p>
    <w:p w14:paraId="0FFB90D3">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Cs/>
          <w:kern w:val="0"/>
          <w:sz w:val="21"/>
          <w:szCs w:val="21"/>
        </w:rPr>
      </w:pPr>
      <w:r>
        <w:rPr>
          <w:rFonts w:hint="eastAsia" w:ascii="宋体" w:hAnsi="宋体" w:cs="宋体"/>
          <w:bCs/>
          <w:kern w:val="0"/>
          <w:sz w:val="21"/>
          <w:szCs w:val="21"/>
        </w:rPr>
        <w:t>2.6政府采购供应商质疑函范本，详见格式。</w:t>
      </w:r>
    </w:p>
    <w:p w14:paraId="53283E97">
      <w:pPr>
        <w:pStyle w:val="17"/>
        <w:pageBreakBefore w:val="0"/>
        <w:widowControl w:val="0"/>
        <w:kinsoku/>
        <w:wordWrap/>
        <w:overflowPunct/>
        <w:topLinePunct w:val="0"/>
        <w:autoSpaceDE/>
        <w:autoSpaceDN/>
        <w:bidi w:val="0"/>
        <w:snapToGrid w:val="0"/>
        <w:spacing w:line="360" w:lineRule="auto"/>
        <w:ind w:firstLine="2513" w:firstLineChars="1239"/>
        <w:textAlignment w:val="auto"/>
        <w:outlineLvl w:val="1"/>
        <w:rPr>
          <w:rFonts w:hAnsi="宋体" w:cs="宋体"/>
          <w:b/>
          <w:sz w:val="21"/>
          <w:szCs w:val="21"/>
        </w:rPr>
      </w:pPr>
      <w:r>
        <w:rPr>
          <w:rFonts w:hint="eastAsia" w:hAnsi="宋体" w:cs="宋体"/>
          <w:b/>
          <w:sz w:val="21"/>
          <w:szCs w:val="21"/>
        </w:rPr>
        <w:t>二  磋商文件</w:t>
      </w:r>
    </w:p>
    <w:p w14:paraId="622E5AB4">
      <w:pPr>
        <w:pageBreakBefore w:val="0"/>
        <w:widowControl w:val="0"/>
        <w:kinsoku/>
        <w:wordWrap/>
        <w:overflowPunct/>
        <w:topLinePunct w:val="0"/>
        <w:autoSpaceDE/>
        <w:autoSpaceDN/>
        <w:bidi w:val="0"/>
        <w:snapToGrid w:val="0"/>
        <w:spacing w:line="360" w:lineRule="auto"/>
        <w:ind w:right="-241"/>
        <w:jc w:val="left"/>
        <w:textAlignment w:val="auto"/>
        <w:outlineLvl w:val="1"/>
        <w:rPr>
          <w:rFonts w:ascii="宋体" w:hAnsi="宋体" w:cs="宋体"/>
          <w:b/>
          <w:sz w:val="21"/>
          <w:szCs w:val="21"/>
        </w:rPr>
      </w:pPr>
      <w:r>
        <w:rPr>
          <w:rFonts w:hint="eastAsia" w:ascii="宋体" w:hAnsi="宋体" w:cs="宋体"/>
          <w:b/>
          <w:sz w:val="21"/>
          <w:szCs w:val="21"/>
        </w:rPr>
        <w:t>（一）竞争性磋商文件的构成。本竞争性磋商文件由以下部份组成：</w:t>
      </w:r>
    </w:p>
    <w:p w14:paraId="54D833C5">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第一章  竞争性磋商公告</w:t>
      </w:r>
    </w:p>
    <w:p w14:paraId="2A2BF9EF">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第二章  采购需求</w:t>
      </w:r>
    </w:p>
    <w:p w14:paraId="44AF6553">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第三章  供应商须知</w:t>
      </w:r>
    </w:p>
    <w:p w14:paraId="00878951">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第四章  磋商办法及标准</w:t>
      </w:r>
    </w:p>
    <w:p w14:paraId="7758A2D7">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第五章  合同主要条款</w:t>
      </w:r>
    </w:p>
    <w:p w14:paraId="27BB3E78">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第六章  磋商响应文件格式</w:t>
      </w:r>
    </w:p>
    <w:p w14:paraId="157DF2D8">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其他有关补充文件</w:t>
      </w:r>
    </w:p>
    <w:p w14:paraId="2BCC2533">
      <w:pPr>
        <w:pageBreakBefore w:val="0"/>
        <w:widowControl w:val="0"/>
        <w:kinsoku/>
        <w:wordWrap/>
        <w:overflowPunct/>
        <w:topLinePunct w:val="0"/>
        <w:autoSpaceDE/>
        <w:autoSpaceDN/>
        <w:bidi w:val="0"/>
        <w:snapToGrid w:val="0"/>
        <w:spacing w:line="360" w:lineRule="auto"/>
        <w:ind w:right="-238"/>
        <w:jc w:val="left"/>
        <w:textAlignment w:val="auto"/>
        <w:outlineLvl w:val="1"/>
        <w:rPr>
          <w:rFonts w:ascii="宋体" w:hAnsi="宋体" w:cs="宋体"/>
          <w:b/>
          <w:sz w:val="21"/>
          <w:szCs w:val="21"/>
        </w:rPr>
      </w:pPr>
      <w:r>
        <w:rPr>
          <w:rFonts w:hint="eastAsia" w:ascii="宋体" w:hAnsi="宋体" w:cs="宋体"/>
          <w:b/>
          <w:sz w:val="21"/>
          <w:szCs w:val="21"/>
        </w:rPr>
        <w:t>（二）供应商的风险</w:t>
      </w:r>
    </w:p>
    <w:p w14:paraId="1E35130C">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供应商没有按照竞争性磋商文件要求提供全部资料，或者供应商没有对竞争性磋商文件在各方面作出实质性响应是供应商的风险，并可能导致其投标被拒绝。</w:t>
      </w:r>
    </w:p>
    <w:p w14:paraId="17AB0CF4">
      <w:pPr>
        <w:pageBreakBefore w:val="0"/>
        <w:widowControl w:val="0"/>
        <w:kinsoku/>
        <w:wordWrap/>
        <w:overflowPunct/>
        <w:topLinePunct w:val="0"/>
        <w:autoSpaceDE/>
        <w:autoSpaceDN/>
        <w:bidi w:val="0"/>
        <w:snapToGrid w:val="0"/>
        <w:spacing w:line="360" w:lineRule="auto"/>
        <w:ind w:right="-238"/>
        <w:jc w:val="left"/>
        <w:textAlignment w:val="auto"/>
        <w:outlineLvl w:val="1"/>
        <w:rPr>
          <w:rFonts w:ascii="宋体" w:hAnsi="宋体" w:cs="宋体"/>
          <w:b/>
          <w:sz w:val="21"/>
          <w:szCs w:val="21"/>
        </w:rPr>
      </w:pPr>
      <w:r>
        <w:rPr>
          <w:rFonts w:hint="eastAsia" w:ascii="宋体" w:hAnsi="宋体" w:cs="宋体"/>
          <w:b/>
          <w:sz w:val="21"/>
          <w:szCs w:val="21"/>
        </w:rPr>
        <w:t xml:space="preserve">（三）竞争性磋商文件的澄清与修改 </w:t>
      </w:r>
    </w:p>
    <w:p w14:paraId="126EA29F">
      <w:pPr>
        <w:pStyle w:val="31"/>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1、供应商应认真阅读本竞争性磋商文件，发现其中有误或有要求不合理的，供应商必须在投标截止前5天内以书面形式要求招标采购单位澄清。招标采购单位对已发出的竞争性磋商文件进行必要澄清、答复、修改或补充的，应当在竞争性磋商文件要求提交磋商响应文件截止时间5天前，在财政部门指定的政府采购信息发布媒体上发布更正公告，并通知所有已报名的潜在供应商。</w:t>
      </w:r>
    </w:p>
    <w:p w14:paraId="17FA99D0">
      <w:pPr>
        <w:pStyle w:val="31"/>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2、竞争性磋商文件的答复、澄清、修改、补充通知实质上改变采购需求相关内容，且自竞争性磋商文件的答复、澄清、修改、补充通知发出之日起至投标截止时间止不足5天的，招标采购单位可视情况推迟投标截止时间和开标时间，按规定在财政部门指定的政府采购信息发布媒体上发布变更公告，并将变更后的时间通知所有已报名的潜在供应商。</w:t>
      </w:r>
    </w:p>
    <w:p w14:paraId="60AD77EC">
      <w:pPr>
        <w:pStyle w:val="31"/>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3、竞争性磋商文件澄清、答复、修改、补充的内容为采购文件的组成部分。当竞争性磋商文件与竞争性磋商文件的答复、澄清、修改、补充通知就同一内容的表述不一致时，以最后发出的变更公告为准。</w:t>
      </w:r>
    </w:p>
    <w:p w14:paraId="0F7F6824">
      <w:pPr>
        <w:pStyle w:val="31"/>
        <w:pageBreakBefore w:val="0"/>
        <w:widowControl w:val="0"/>
        <w:kinsoku/>
        <w:wordWrap/>
        <w:overflowPunct/>
        <w:topLinePunct w:val="0"/>
        <w:autoSpaceDE/>
        <w:autoSpaceDN/>
        <w:bidi w:val="0"/>
        <w:spacing w:line="360" w:lineRule="auto"/>
        <w:ind w:right="-506" w:rightChars="-241"/>
        <w:textAlignment w:val="auto"/>
        <w:rPr>
          <w:rFonts w:ascii="宋体" w:eastAsia="宋体" w:cs="宋体"/>
          <w:color w:val="auto"/>
          <w:sz w:val="21"/>
          <w:szCs w:val="21"/>
        </w:rPr>
      </w:pPr>
      <w:r>
        <w:rPr>
          <w:rFonts w:hint="eastAsia" w:ascii="宋体" w:eastAsia="宋体" w:cs="宋体"/>
          <w:color w:val="auto"/>
          <w:sz w:val="21"/>
          <w:szCs w:val="21"/>
        </w:rPr>
        <w:t>4、竞争性磋商文件的澄清、答复、修改或补充都应该通过本代理机构以法定形式发布。</w:t>
      </w:r>
    </w:p>
    <w:p w14:paraId="020A8137">
      <w:pPr>
        <w:pStyle w:val="17"/>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三、磋商响应文件的编制</w:t>
      </w:r>
    </w:p>
    <w:p w14:paraId="2257B6C4">
      <w:pPr>
        <w:pageBreakBefore w:val="0"/>
        <w:widowControl w:val="0"/>
        <w:numPr>
          <w:ilvl w:val="0"/>
          <w:numId w:val="5"/>
        </w:numPr>
        <w:tabs>
          <w:tab w:val="left" w:pos="0"/>
        </w:tabs>
        <w:kinsoku/>
        <w:wordWrap/>
        <w:overflowPunct/>
        <w:topLinePunct w:val="0"/>
        <w:autoSpaceDE/>
        <w:autoSpaceDN/>
        <w:bidi w:val="0"/>
        <w:spacing w:line="360" w:lineRule="auto"/>
        <w:ind w:firstLine="413" w:firstLineChars="196"/>
        <w:textAlignment w:val="auto"/>
        <w:outlineLvl w:val="1"/>
        <w:rPr>
          <w:rFonts w:ascii="宋体" w:hAnsi="宋体" w:cs="宋体"/>
          <w:b/>
          <w:sz w:val="21"/>
          <w:szCs w:val="21"/>
        </w:rPr>
      </w:pPr>
      <w:r>
        <w:rPr>
          <w:rFonts w:hint="eastAsia" w:ascii="宋体" w:hAnsi="宋体" w:cs="宋体"/>
          <w:b/>
          <w:sz w:val="21"/>
          <w:szCs w:val="21"/>
        </w:rPr>
        <w:t>磋商响应文件的签署</w:t>
      </w:r>
    </w:p>
    <w:p w14:paraId="1C4CF2EB">
      <w:pPr>
        <w:pStyle w:val="15"/>
        <w:pageBreakBefore w:val="0"/>
        <w:widowControl w:val="0"/>
        <w:kinsoku/>
        <w:wordWrap/>
        <w:overflowPunct/>
        <w:topLinePunct w:val="0"/>
        <w:autoSpaceDE/>
        <w:autoSpaceDN/>
        <w:bidi w:val="0"/>
        <w:spacing w:after="0" w:line="360" w:lineRule="auto"/>
        <w:ind w:firstLine="420"/>
        <w:textAlignment w:val="auto"/>
        <w:outlineLvl w:val="2"/>
        <w:rPr>
          <w:rFonts w:ascii="宋体" w:hAnsi="宋体" w:cs="宋体"/>
          <w:b/>
          <w:bCs/>
          <w:sz w:val="21"/>
          <w:szCs w:val="21"/>
        </w:rPr>
      </w:pPr>
      <w:r>
        <w:rPr>
          <w:rFonts w:hint="eastAsia" w:ascii="宋体" w:hAnsi="宋体" w:cs="宋体"/>
          <w:b/>
          <w:bCs/>
          <w:sz w:val="21"/>
          <w:szCs w:val="21"/>
        </w:rPr>
        <w:t>1.1电子投标文件部分：</w:t>
      </w:r>
    </w:p>
    <w:p w14:paraId="5F1A1BC6">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sz w:val="21"/>
          <w:szCs w:val="21"/>
        </w:rPr>
      </w:pPr>
      <w:r>
        <w:rPr>
          <w:rFonts w:hint="eastAsia" w:ascii="宋体" w:hAnsi="宋体" w:cs="宋体"/>
          <w:sz w:val="21"/>
          <w:szCs w:val="21"/>
        </w:rPr>
        <w:t>投标人应根据“政采云供应商项目采购-电子交易操作指南”及本招标文件规定的格式和顺序编制电子投标文件并进行关联定位。</w:t>
      </w:r>
    </w:p>
    <w:p w14:paraId="6ECEF457">
      <w:pPr>
        <w:pStyle w:val="15"/>
        <w:pageBreakBefore w:val="0"/>
        <w:widowControl w:val="0"/>
        <w:kinsoku/>
        <w:wordWrap/>
        <w:overflowPunct/>
        <w:topLinePunct w:val="0"/>
        <w:autoSpaceDE/>
        <w:autoSpaceDN/>
        <w:bidi w:val="0"/>
        <w:spacing w:after="0" w:line="360" w:lineRule="auto"/>
        <w:ind w:firstLine="420"/>
        <w:textAlignment w:val="auto"/>
        <w:outlineLvl w:val="2"/>
        <w:rPr>
          <w:rFonts w:ascii="宋体" w:hAnsi="宋体" w:cs="宋体"/>
          <w:b/>
          <w:bCs/>
          <w:sz w:val="21"/>
          <w:szCs w:val="21"/>
        </w:rPr>
      </w:pPr>
      <w:r>
        <w:rPr>
          <w:rFonts w:hint="eastAsia" w:ascii="宋体" w:hAnsi="宋体" w:cs="宋体"/>
          <w:b/>
          <w:bCs/>
          <w:sz w:val="21"/>
          <w:szCs w:val="21"/>
        </w:rPr>
        <w:t>1.2备份投标文件部分：</w:t>
      </w:r>
    </w:p>
    <w:p w14:paraId="47149EE4">
      <w:pPr>
        <w:pStyle w:val="66"/>
        <w:pageBreakBefore w:val="0"/>
        <w:widowControl w:val="0"/>
        <w:kinsoku/>
        <w:wordWrap/>
        <w:overflowPunct/>
        <w:topLinePunct w:val="0"/>
        <w:autoSpaceDE/>
        <w:autoSpaceDN/>
        <w:bidi w:val="0"/>
        <w:spacing w:line="360" w:lineRule="auto"/>
        <w:ind w:right="-506" w:rightChars="-241" w:firstLine="420" w:firstLineChars="200"/>
        <w:textAlignment w:val="auto"/>
        <w:rPr>
          <w:rFonts w:ascii="宋体" w:cs="宋体"/>
          <w:b/>
          <w:sz w:val="21"/>
          <w:szCs w:val="21"/>
        </w:rPr>
      </w:pPr>
      <w:r>
        <w:rPr>
          <w:rFonts w:hint="eastAsia" w:ascii="宋体" w:cs="宋体"/>
          <w:sz w:val="21"/>
          <w:szCs w:val="21"/>
        </w:rPr>
        <w:t>电子投标文件的备份文件，以DVD光盘或U盘形式存储，并单独密封递交。</w:t>
      </w:r>
    </w:p>
    <w:p w14:paraId="69E050F7">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（二）投标文件的组成</w:t>
      </w:r>
    </w:p>
    <w:p w14:paraId="1169F414">
      <w:pPr>
        <w:pageBreakBefore w:val="0"/>
        <w:widowControl w:val="0"/>
        <w:tabs>
          <w:tab w:val="left" w:pos="0"/>
        </w:tabs>
        <w:kinsoku/>
        <w:wordWrap/>
        <w:overflowPunct/>
        <w:topLinePunct w:val="0"/>
        <w:autoSpaceDE/>
        <w:autoSpaceDN/>
        <w:bidi w:val="0"/>
        <w:spacing w:line="360" w:lineRule="auto"/>
        <w:ind w:firstLine="422" w:firstLineChars="200"/>
        <w:textAlignment w:val="auto"/>
        <w:rPr>
          <w:rFonts w:ascii="宋体" w:hAnsi="宋体" w:cs="宋体"/>
          <w:sz w:val="21"/>
          <w:szCs w:val="21"/>
        </w:rPr>
      </w:pPr>
      <w:r>
        <w:rPr>
          <w:rFonts w:hint="eastAsia" w:ascii="宋体" w:hAnsi="宋体" w:cs="宋体"/>
          <w:b/>
          <w:bCs/>
          <w:sz w:val="21"/>
          <w:szCs w:val="21"/>
        </w:rPr>
        <w:t>投标文件由资格响应文件、商务及技术响应文件、报价文件三</w:t>
      </w:r>
      <w:r>
        <w:rPr>
          <w:rFonts w:hint="eastAsia" w:ascii="宋体" w:hAnsi="宋体" w:cs="宋体"/>
          <w:b/>
          <w:bCs/>
          <w:sz w:val="21"/>
          <w:szCs w:val="21"/>
          <w:lang w:eastAsia="zh-CN"/>
        </w:rPr>
        <w:t>部分</w:t>
      </w:r>
      <w:r>
        <w:rPr>
          <w:rFonts w:hint="eastAsia" w:ascii="宋体" w:hAnsi="宋体" w:cs="宋体"/>
          <w:b/>
          <w:bCs/>
          <w:sz w:val="21"/>
          <w:szCs w:val="21"/>
        </w:rPr>
        <w:t>组成。</w:t>
      </w:r>
      <w:r>
        <w:rPr>
          <w:rFonts w:hint="eastAsia" w:ascii="宋体" w:hAnsi="宋体" w:cs="宋体"/>
          <w:sz w:val="21"/>
          <w:szCs w:val="21"/>
        </w:rPr>
        <w:t>电子投标文件中所须加盖公章部分均采用CA签章。</w:t>
      </w:r>
    </w:p>
    <w:p w14:paraId="0BF140CC">
      <w:pPr>
        <w:pStyle w:val="22"/>
        <w:pageBreakBefore w:val="0"/>
        <w:widowControl w:val="0"/>
        <w:kinsoku/>
        <w:wordWrap/>
        <w:overflowPunct/>
        <w:topLinePunct w:val="0"/>
        <w:autoSpaceDE/>
        <w:autoSpaceDN/>
        <w:bidi w:val="0"/>
        <w:snapToGrid w:val="0"/>
        <w:spacing w:line="360" w:lineRule="auto"/>
        <w:ind w:left="417"/>
        <w:textAlignment w:val="auto"/>
        <w:rPr>
          <w:rFonts w:hAnsi="宋体" w:eastAsia="宋体" w:cs="宋体"/>
          <w:b/>
          <w:sz w:val="21"/>
          <w:szCs w:val="21"/>
        </w:rPr>
      </w:pPr>
      <w:r>
        <w:rPr>
          <w:rFonts w:hint="eastAsia" w:hAnsi="宋体" w:eastAsia="宋体" w:cs="宋体"/>
          <w:b/>
          <w:bCs/>
          <w:color w:val="000000"/>
          <w:sz w:val="21"/>
          <w:szCs w:val="21"/>
        </w:rPr>
        <w:t>★</w:t>
      </w:r>
      <w:r>
        <w:rPr>
          <w:rFonts w:hint="eastAsia" w:hAnsi="宋体" w:eastAsia="宋体" w:cs="宋体"/>
          <w:b/>
          <w:sz w:val="21"/>
          <w:szCs w:val="21"/>
        </w:rPr>
        <w:t>1、资格响应</w:t>
      </w:r>
      <w:r>
        <w:rPr>
          <w:rFonts w:hint="eastAsia" w:hAnsi="宋体" w:eastAsia="宋体" w:cs="宋体"/>
          <w:b/>
          <w:sz w:val="21"/>
          <w:szCs w:val="21"/>
          <w:lang w:eastAsia="zh-CN"/>
        </w:rPr>
        <w:t>部分</w:t>
      </w:r>
      <w:r>
        <w:rPr>
          <w:rFonts w:hint="eastAsia" w:hAnsi="宋体" w:eastAsia="宋体" w:cs="宋体"/>
          <w:b/>
          <w:sz w:val="21"/>
          <w:szCs w:val="21"/>
        </w:rPr>
        <w:t>：</w:t>
      </w:r>
    </w:p>
    <w:p w14:paraId="5EAD95E2">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b/>
          <w:bCs/>
          <w:sz w:val="21"/>
          <w:szCs w:val="21"/>
        </w:rPr>
      </w:pPr>
      <w:r>
        <w:rPr>
          <w:rFonts w:hint="eastAsia" w:ascii="宋体" w:hAnsi="宋体" w:cs="宋体"/>
          <w:b/>
          <w:bCs/>
          <w:sz w:val="21"/>
          <w:szCs w:val="21"/>
        </w:rPr>
        <w:t>1.1电子投标文件部分：</w:t>
      </w:r>
    </w:p>
    <w:p w14:paraId="7EF2DD71">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sz w:val="21"/>
          <w:szCs w:val="21"/>
        </w:rPr>
      </w:pPr>
      <w:r>
        <w:rPr>
          <w:rFonts w:hint="eastAsia" w:ascii="宋体" w:hAnsi="宋体" w:cs="宋体"/>
          <w:sz w:val="21"/>
          <w:szCs w:val="21"/>
        </w:rPr>
        <w:t>投标人应根据“政采云供应商项目采购-电子交易操作指南”及本招标文件规定的格式和顺序编制电子投标文件并进行关联定位。</w:t>
      </w:r>
    </w:p>
    <w:p w14:paraId="0185D5E9">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b/>
          <w:bCs/>
          <w:sz w:val="21"/>
          <w:szCs w:val="21"/>
        </w:rPr>
      </w:pPr>
      <w:r>
        <w:rPr>
          <w:rFonts w:hint="eastAsia" w:ascii="宋体" w:hAnsi="宋体" w:cs="宋体"/>
          <w:b/>
          <w:bCs/>
          <w:sz w:val="21"/>
          <w:szCs w:val="21"/>
        </w:rPr>
        <w:t>1.2备份投标文件部分：</w:t>
      </w:r>
    </w:p>
    <w:p w14:paraId="25636F39">
      <w:pPr>
        <w:pStyle w:val="66"/>
        <w:pageBreakBefore w:val="0"/>
        <w:widowControl w:val="0"/>
        <w:kinsoku/>
        <w:wordWrap/>
        <w:overflowPunct/>
        <w:topLinePunct w:val="0"/>
        <w:autoSpaceDE/>
        <w:autoSpaceDN/>
        <w:bidi w:val="0"/>
        <w:snapToGrid w:val="0"/>
        <w:spacing w:line="360" w:lineRule="auto"/>
        <w:ind w:right="-506" w:firstLine="240"/>
        <w:textAlignment w:val="auto"/>
        <w:rPr>
          <w:rFonts w:ascii="宋体" w:cs="宋体"/>
          <w:b/>
          <w:sz w:val="21"/>
          <w:szCs w:val="21"/>
        </w:rPr>
      </w:pPr>
      <w:r>
        <w:rPr>
          <w:rFonts w:hint="eastAsia" w:ascii="宋体" w:cs="宋体"/>
          <w:sz w:val="21"/>
          <w:szCs w:val="21"/>
        </w:rPr>
        <w:t>电子投标文件的备份文件，以DVD光盘或U盘形式存储，并单独密封递交。</w:t>
      </w:r>
    </w:p>
    <w:p w14:paraId="0FA2AD35">
      <w:pPr>
        <w:pStyle w:val="22"/>
        <w:pageBreakBefore w:val="0"/>
        <w:widowControl w:val="0"/>
        <w:numPr>
          <w:ilvl w:val="0"/>
          <w:numId w:val="0"/>
        </w:numPr>
        <w:kinsoku/>
        <w:wordWrap/>
        <w:overflowPunct/>
        <w:topLinePunct w:val="0"/>
        <w:autoSpaceDE/>
        <w:autoSpaceDN/>
        <w:bidi w:val="0"/>
        <w:snapToGrid w:val="0"/>
        <w:spacing w:line="360" w:lineRule="auto"/>
        <w:ind w:left="417" w:leftChars="0"/>
        <w:textAlignment w:val="auto"/>
        <w:rPr>
          <w:rFonts w:hAnsi="宋体" w:eastAsia="宋体" w:cs="宋体"/>
          <w:b/>
          <w:sz w:val="21"/>
          <w:szCs w:val="21"/>
        </w:rPr>
      </w:pPr>
      <w:r>
        <w:rPr>
          <w:rFonts w:hint="eastAsia" w:hAnsi="宋体" w:eastAsia="宋体" w:cs="宋体"/>
          <w:b/>
          <w:bCs/>
          <w:color w:val="000000"/>
          <w:sz w:val="21"/>
          <w:szCs w:val="21"/>
        </w:rPr>
        <w:t>★</w:t>
      </w:r>
      <w:r>
        <w:rPr>
          <w:rFonts w:hint="eastAsia" w:hAnsi="宋体" w:eastAsia="宋体" w:cs="宋体"/>
          <w:b/>
          <w:bCs/>
          <w:color w:val="000000"/>
          <w:sz w:val="21"/>
          <w:szCs w:val="21"/>
          <w:lang w:val="en-US" w:eastAsia="zh-CN"/>
        </w:rPr>
        <w:t>1、</w:t>
      </w:r>
      <w:r>
        <w:rPr>
          <w:rFonts w:hint="eastAsia" w:hAnsi="宋体" w:eastAsia="宋体" w:cs="宋体"/>
          <w:b/>
          <w:sz w:val="21"/>
          <w:szCs w:val="21"/>
        </w:rPr>
        <w:t>资格</w:t>
      </w:r>
      <w:r>
        <w:rPr>
          <w:rFonts w:hint="eastAsia" w:hAnsi="宋体" w:eastAsia="宋体" w:cs="宋体"/>
          <w:b/>
          <w:sz w:val="21"/>
          <w:szCs w:val="21"/>
          <w:lang w:eastAsia="zh-CN"/>
        </w:rPr>
        <w:t>部分</w:t>
      </w:r>
      <w:r>
        <w:rPr>
          <w:rFonts w:hint="eastAsia" w:hAnsi="宋体" w:eastAsia="宋体" w:cs="宋体"/>
          <w:b/>
          <w:sz w:val="21"/>
          <w:szCs w:val="21"/>
        </w:rPr>
        <w:t>：</w:t>
      </w:r>
    </w:p>
    <w:p w14:paraId="31E5DD8F">
      <w:pPr>
        <w:pageBreakBefore w:val="0"/>
        <w:widowControl w:val="0"/>
        <w:kinsoku/>
        <w:wordWrap/>
        <w:overflowPunct/>
        <w:topLinePunct w:val="0"/>
        <w:autoSpaceDE/>
        <w:autoSpaceDN/>
        <w:bidi w:val="0"/>
        <w:adjustRightInd w:val="0"/>
        <w:snapToGrid w:val="0"/>
        <w:spacing w:line="360" w:lineRule="auto"/>
        <w:ind w:left="417"/>
        <w:jc w:val="left"/>
        <w:textAlignment w:val="auto"/>
        <w:rPr>
          <w:rFonts w:ascii="宋体" w:hAnsi="宋体" w:cs="宋体"/>
          <w:sz w:val="21"/>
          <w:szCs w:val="21"/>
        </w:rPr>
      </w:pPr>
      <w:r>
        <w:rPr>
          <w:rFonts w:hint="eastAsia" w:ascii="宋体" w:hAnsi="宋体" w:cs="宋体"/>
          <w:sz w:val="21"/>
          <w:szCs w:val="21"/>
        </w:rPr>
        <w:t>1.1营业执照复印件；</w:t>
      </w:r>
    </w:p>
    <w:p w14:paraId="7E3FA4D0">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bookmarkStart w:id="0" w:name="OLE_LINK5"/>
      <w:r>
        <w:rPr>
          <w:rFonts w:hint="eastAsia" w:ascii="宋体" w:hAnsi="宋体" w:cs="宋体"/>
          <w:sz w:val="21"/>
          <w:szCs w:val="21"/>
        </w:rPr>
        <w:t>提供在工商部门注册的有效“企业法人营业执照”或“营业执照”</w:t>
      </w:r>
    </w:p>
    <w:p w14:paraId="0610BE7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u w:val="single"/>
        </w:rPr>
      </w:pPr>
      <w:r>
        <w:rPr>
          <w:rFonts w:hint="eastAsia" w:ascii="宋体" w:hAnsi="宋体" w:cs="宋体"/>
          <w:sz w:val="21"/>
          <w:szCs w:val="21"/>
          <w:u w:val="single"/>
        </w:rPr>
        <w:t>1.1.1特定行业（银行、保险、石油石化、电力、电信、移动、联通等行业）供应商为区域性分支机构的提供总公司（总机构）授权书进行投标。如涉及到人员业绩、荣誉、知识产权、项目案例是使用总公司及其下属分公司的，还须在授权书里包含上述内容。（如是）</w:t>
      </w:r>
    </w:p>
    <w:bookmarkEnd w:id="0"/>
    <w:p w14:paraId="651F267E">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1.2《投标函》（格式见附件）；</w:t>
      </w:r>
    </w:p>
    <w:p w14:paraId="01CE8E1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cs="宋体"/>
          <w:sz w:val="21"/>
          <w:szCs w:val="21"/>
        </w:rPr>
      </w:pPr>
      <w:r>
        <w:rPr>
          <w:rFonts w:hint="eastAsia" w:ascii="宋体" w:hAnsi="宋体" w:cs="宋体"/>
          <w:sz w:val="21"/>
          <w:szCs w:val="21"/>
        </w:rPr>
        <w:t>1.3法定代表人身份证复印件；</w:t>
      </w:r>
    </w:p>
    <w:p w14:paraId="3C9C4E66">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1.4法定代表人授权委托书（非法定代表人投标时提供）</w:t>
      </w:r>
    </w:p>
    <w:p w14:paraId="46D4E37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hint="default"/>
          <w:lang w:val="en-US" w:eastAsia="zh-CN"/>
        </w:rPr>
      </w:pPr>
      <w:r>
        <w:rPr>
          <w:rFonts w:hint="eastAsia" w:ascii="宋体" w:hAnsi="宋体" w:eastAsia="宋体" w:cs="宋体"/>
          <w:b w:val="0"/>
          <w:bCs w:val="0"/>
          <w:kern w:val="2"/>
          <w:sz w:val="21"/>
          <w:szCs w:val="21"/>
          <w:lang w:val="en-US" w:eastAsia="zh-CN" w:bidi="ar-SA"/>
        </w:rPr>
        <w:t>1.5授权委托人身份证复印件（非法定代表人投标时提供）</w:t>
      </w:r>
    </w:p>
    <w:p w14:paraId="0F0E4357">
      <w:pPr>
        <w:pageBreakBefore w:val="0"/>
        <w:widowControl w:val="0"/>
        <w:kinsoku/>
        <w:wordWrap/>
        <w:overflowPunct/>
        <w:topLinePunct w:val="0"/>
        <w:autoSpaceDE/>
        <w:autoSpaceDN/>
        <w:bidi w:val="0"/>
        <w:spacing w:line="360" w:lineRule="auto"/>
        <w:ind w:firstLine="422" w:firstLineChars="200"/>
        <w:jc w:val="left"/>
        <w:textAlignment w:val="auto"/>
        <w:outlineLvl w:val="2"/>
        <w:rPr>
          <w:rFonts w:ascii="宋体" w:hAnsi="宋体" w:cs="宋体"/>
          <w:b/>
          <w:sz w:val="21"/>
          <w:szCs w:val="21"/>
        </w:rPr>
      </w:pPr>
      <w:r>
        <w:rPr>
          <w:rFonts w:hint="eastAsia" w:ascii="宋体" w:hAnsi="宋体" w:cs="宋体"/>
          <w:b/>
          <w:sz w:val="21"/>
          <w:szCs w:val="21"/>
        </w:rPr>
        <w:t>2、商务及技术部分：</w:t>
      </w:r>
    </w:p>
    <w:p w14:paraId="27B3E926">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2.1供应商自评表；（格式见附件）</w:t>
      </w:r>
    </w:p>
    <w:p w14:paraId="1E808C1D">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2.2投标人基本情况表；（格式见附件）</w:t>
      </w:r>
    </w:p>
    <w:p w14:paraId="56C1776E">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2.3项目类似业绩表；（格式见附件）</w:t>
      </w:r>
    </w:p>
    <w:p w14:paraId="2655F4F0">
      <w:pPr>
        <w:pageBreakBefore w:val="0"/>
        <w:widowControl w:val="0"/>
        <w:kinsoku/>
        <w:wordWrap/>
        <w:overflowPunct/>
        <w:topLinePunct w:val="0"/>
        <w:autoSpaceDE/>
        <w:autoSpaceDN/>
        <w:bidi w:val="0"/>
        <w:spacing w:line="360" w:lineRule="auto"/>
        <w:ind w:firstLine="422" w:firstLineChars="200"/>
        <w:jc w:val="left"/>
        <w:textAlignment w:val="auto"/>
        <w:rPr>
          <w:rFonts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2.4商务偏离表；（格式见附件）</w:t>
      </w:r>
    </w:p>
    <w:p w14:paraId="013F0844">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2.5本采购文件要求提供的和投标人认为需要提供的其他说明和资料/文件。</w:t>
      </w:r>
    </w:p>
    <w:p w14:paraId="34831D67">
      <w:pPr>
        <w:pStyle w:val="22"/>
        <w:pageBreakBefore w:val="0"/>
        <w:widowControl w:val="0"/>
        <w:kinsoku/>
        <w:wordWrap/>
        <w:overflowPunct/>
        <w:topLinePunct w:val="0"/>
        <w:autoSpaceDE/>
        <w:autoSpaceDN/>
        <w:bidi w:val="0"/>
        <w:spacing w:line="360" w:lineRule="auto"/>
        <w:ind w:right="-506" w:rightChars="-241" w:firstLine="417" w:firstLineChars="198"/>
        <w:textAlignment w:val="auto"/>
        <w:outlineLvl w:val="2"/>
        <w:rPr>
          <w:rFonts w:hAnsi="宋体" w:eastAsia="宋体" w:cs="宋体"/>
          <w:b/>
          <w:bCs/>
          <w:sz w:val="21"/>
          <w:szCs w:val="21"/>
        </w:rPr>
      </w:pPr>
      <w:r>
        <w:rPr>
          <w:rFonts w:hint="eastAsia" w:hAnsi="宋体" w:eastAsia="宋体" w:cs="宋体"/>
          <w:b/>
          <w:bCs/>
          <w:sz w:val="21"/>
          <w:szCs w:val="21"/>
        </w:rPr>
        <w:t>3、报价文件：</w:t>
      </w:r>
    </w:p>
    <w:p w14:paraId="0E0341C4">
      <w:pPr>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rPr>
          <w:rFonts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3.1投标报价一览表（格式见附件）；</w:t>
      </w:r>
    </w:p>
    <w:p w14:paraId="575CDFC3">
      <w:pPr>
        <w:pageBreakBefore w:val="0"/>
        <w:widowControl w:val="0"/>
        <w:kinsoku/>
        <w:wordWrap/>
        <w:overflowPunct/>
        <w:topLinePunct w:val="0"/>
        <w:autoSpaceDE/>
        <w:autoSpaceDN/>
        <w:bidi w:val="0"/>
        <w:adjustRightInd w:val="0"/>
        <w:snapToGrid w:val="0"/>
        <w:spacing w:line="360" w:lineRule="auto"/>
        <w:ind w:firstLine="422" w:firstLineChars="200"/>
        <w:jc w:val="left"/>
        <w:textAlignment w:val="auto"/>
        <w:rPr>
          <w:rFonts w:hint="eastAsia" w:ascii="宋体" w:hAnsi="宋体" w:cs="宋体"/>
          <w:sz w:val="21"/>
          <w:szCs w:val="21"/>
        </w:rPr>
      </w:pPr>
      <w:r>
        <w:rPr>
          <w:rFonts w:hint="eastAsia" w:hAnsi="宋体" w:eastAsia="宋体" w:cs="宋体"/>
          <w:b/>
          <w:bCs/>
          <w:color w:val="000000"/>
          <w:sz w:val="21"/>
          <w:szCs w:val="21"/>
        </w:rPr>
        <w:t>★</w:t>
      </w:r>
      <w:r>
        <w:rPr>
          <w:rFonts w:hint="eastAsia" w:ascii="宋体" w:hAnsi="宋体" w:cs="宋体"/>
          <w:sz w:val="21"/>
          <w:szCs w:val="21"/>
        </w:rPr>
        <w:t>3.2投标报价明细表（格式见附件）；</w:t>
      </w:r>
    </w:p>
    <w:p w14:paraId="54036632">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b/>
          <w:bCs/>
          <w:sz w:val="21"/>
          <w:szCs w:val="21"/>
        </w:rPr>
      </w:pPr>
      <w:r>
        <w:rPr>
          <w:rFonts w:hint="eastAsia" w:ascii="宋体" w:hAnsi="宋体" w:cs="宋体"/>
          <w:sz w:val="21"/>
          <w:szCs w:val="21"/>
          <w:lang w:val="en-US" w:eastAsia="zh-CN"/>
        </w:rPr>
        <w:t>3</w:t>
      </w:r>
      <w:r>
        <w:rPr>
          <w:rFonts w:hint="eastAsia" w:ascii="宋体" w:hAnsi="宋体" w:cs="宋体"/>
          <w:sz w:val="21"/>
          <w:szCs w:val="21"/>
        </w:rPr>
        <w:t>.</w:t>
      </w:r>
      <w:r>
        <w:rPr>
          <w:rFonts w:hint="eastAsia" w:ascii="宋体" w:hAnsi="宋体" w:cs="宋体"/>
          <w:sz w:val="21"/>
          <w:szCs w:val="21"/>
          <w:lang w:val="en-US" w:eastAsia="zh-CN"/>
        </w:rPr>
        <w:t>3</w:t>
      </w:r>
      <w:r>
        <w:rPr>
          <w:rFonts w:hint="eastAsia" w:ascii="宋体" w:hAnsi="宋体" w:cs="宋体"/>
          <w:sz w:val="21"/>
          <w:szCs w:val="21"/>
        </w:rPr>
        <w:t>符合政策相关证明文件</w:t>
      </w:r>
      <w:r>
        <w:rPr>
          <w:rFonts w:hint="eastAsia" w:ascii="宋体" w:hAnsi="宋体" w:cs="宋体"/>
          <w:sz w:val="21"/>
          <w:szCs w:val="21"/>
          <w:lang w:eastAsia="zh-CN"/>
        </w:rPr>
        <w:t>（</w:t>
      </w:r>
      <w:r>
        <w:rPr>
          <w:rFonts w:hint="eastAsia" w:ascii="宋体" w:hAnsi="宋体" w:cs="宋体"/>
          <w:sz w:val="21"/>
          <w:szCs w:val="21"/>
          <w:lang w:val="en-US" w:eastAsia="zh-CN"/>
        </w:rPr>
        <w:t>如有</w:t>
      </w:r>
      <w:r>
        <w:rPr>
          <w:rFonts w:hint="eastAsia" w:ascii="宋体" w:hAnsi="宋体" w:cs="宋体"/>
          <w:sz w:val="21"/>
          <w:szCs w:val="21"/>
          <w:lang w:eastAsia="zh-CN"/>
        </w:rPr>
        <w:t>）</w:t>
      </w:r>
      <w:r>
        <w:rPr>
          <w:rFonts w:hint="eastAsia" w:ascii="宋体" w:hAnsi="宋体" w:cs="宋体"/>
          <w:b/>
          <w:bCs/>
          <w:sz w:val="21"/>
          <w:szCs w:val="21"/>
        </w:rPr>
        <w:t>（符合以下三个子项中的任意一项要求即可）；</w:t>
      </w:r>
    </w:p>
    <w:p w14:paraId="664CDE47">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lang w:val="en-US" w:eastAsia="zh-CN"/>
        </w:rPr>
        <w:t>3.3.1</w:t>
      </w:r>
      <w:r>
        <w:rPr>
          <w:rFonts w:hint="eastAsia" w:ascii="宋体" w:hAnsi="宋体" w:cs="宋体"/>
          <w:sz w:val="21"/>
          <w:szCs w:val="21"/>
        </w:rPr>
        <w:t>中小企业声明函（格式见附件）；</w:t>
      </w:r>
    </w:p>
    <w:p w14:paraId="450ACCD0">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w:t>
      </w:r>
      <w:r>
        <w:rPr>
          <w:rFonts w:hint="eastAsia" w:ascii="宋体" w:hAnsi="宋体" w:cs="宋体"/>
          <w:sz w:val="21"/>
          <w:szCs w:val="21"/>
          <w:lang w:val="en-US" w:eastAsia="zh-CN"/>
        </w:rPr>
        <w:t>3</w:t>
      </w:r>
      <w:r>
        <w:rPr>
          <w:rFonts w:hint="eastAsia" w:ascii="宋体" w:hAnsi="宋体" w:cs="宋体"/>
          <w:sz w:val="21"/>
          <w:szCs w:val="21"/>
        </w:rPr>
        <w:t>.2监狱企业声明函（格式见附件）；</w:t>
      </w:r>
    </w:p>
    <w:p w14:paraId="1F92B5E2">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w:t>
      </w:r>
      <w:r>
        <w:rPr>
          <w:rFonts w:hint="eastAsia" w:ascii="宋体" w:hAnsi="宋体" w:cs="宋体"/>
          <w:sz w:val="21"/>
          <w:szCs w:val="21"/>
          <w:lang w:val="en-US" w:eastAsia="zh-CN"/>
        </w:rPr>
        <w:t>3</w:t>
      </w:r>
      <w:r>
        <w:rPr>
          <w:rFonts w:hint="eastAsia" w:ascii="宋体" w:hAnsi="宋体" w:cs="宋体"/>
          <w:sz w:val="21"/>
          <w:szCs w:val="21"/>
        </w:rPr>
        <w:t>.3残疾人福利性单位声明函（格式见附件）；</w:t>
      </w:r>
    </w:p>
    <w:p w14:paraId="40C3A1CF">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注：证明材料均需加盖签章。</w:t>
      </w:r>
    </w:p>
    <w:p w14:paraId="70AE2FF4">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color w:val="000000"/>
          <w:sz w:val="21"/>
          <w:szCs w:val="21"/>
        </w:rPr>
      </w:pPr>
      <w:r>
        <w:rPr>
          <w:rFonts w:hint="eastAsia" w:ascii="宋体" w:hAnsi="宋体" w:cs="宋体"/>
          <w:sz w:val="21"/>
          <w:szCs w:val="21"/>
        </w:rPr>
        <w:t>3.</w:t>
      </w:r>
      <w:r>
        <w:rPr>
          <w:rFonts w:hint="eastAsia" w:ascii="宋体" w:hAnsi="宋体" w:cs="宋体"/>
          <w:sz w:val="21"/>
          <w:szCs w:val="21"/>
          <w:lang w:val="en-US" w:eastAsia="zh-CN"/>
        </w:rPr>
        <w:t>4</w:t>
      </w:r>
      <w:r>
        <w:rPr>
          <w:rFonts w:hint="eastAsia" w:ascii="宋体" w:hAnsi="宋体" w:cs="宋体"/>
          <w:sz w:val="21"/>
          <w:szCs w:val="21"/>
        </w:rPr>
        <w:t>投标人针对报价需要说明的其他文件和</w:t>
      </w:r>
      <w:r>
        <w:rPr>
          <w:rFonts w:hint="eastAsia" w:ascii="宋体" w:hAnsi="宋体" w:cs="宋体"/>
          <w:color w:val="000000"/>
          <w:sz w:val="21"/>
          <w:szCs w:val="21"/>
        </w:rPr>
        <w:t>说明（如有，格式自拟）。</w:t>
      </w:r>
    </w:p>
    <w:p w14:paraId="16237388">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color w:val="000000"/>
          <w:sz w:val="21"/>
          <w:szCs w:val="21"/>
        </w:rPr>
      </w:pPr>
      <w:r>
        <w:rPr>
          <w:rFonts w:hint="eastAsia" w:ascii="宋体" w:hAnsi="宋体" w:cs="宋体"/>
          <w:b/>
          <w:bCs/>
          <w:color w:val="000000"/>
          <w:sz w:val="21"/>
          <w:szCs w:val="21"/>
          <w:u w:val="single"/>
        </w:rPr>
        <w:t>其他：</w:t>
      </w:r>
      <w:r>
        <w:rPr>
          <w:sz w:val="21"/>
          <w:szCs w:val="21"/>
        </w:rPr>
        <w:fldChar w:fldCharType="begin"/>
      </w:r>
      <w:r>
        <w:rPr>
          <w:sz w:val="21"/>
          <w:szCs w:val="21"/>
        </w:rPr>
        <w:instrText xml:space="preserve"> HYPERLINK "mailto:《政府采购活动现场确认声明书》（本表在开标截止时间后,尽快填写完整发至107460151@qq.com）" </w:instrText>
      </w:r>
      <w:r>
        <w:rPr>
          <w:sz w:val="21"/>
          <w:szCs w:val="21"/>
        </w:rPr>
        <w:fldChar w:fldCharType="separate"/>
      </w:r>
      <w:r>
        <w:rPr>
          <w:rStyle w:val="48"/>
          <w:rFonts w:hint="eastAsia" w:ascii="宋体" w:hAnsi="宋体" w:cs="宋体"/>
          <w:color w:val="000000"/>
          <w:sz w:val="21"/>
          <w:szCs w:val="21"/>
        </w:rPr>
        <w:t>《政府采购活动现场确认声明书》（本表在开标截止时间后,尽快填写完整发至</w:t>
      </w:r>
      <w:r>
        <w:rPr>
          <w:rStyle w:val="48"/>
          <w:rFonts w:hint="eastAsia" w:ascii="宋体" w:hAnsi="宋体" w:cs="宋体"/>
          <w:color w:val="000000"/>
          <w:sz w:val="21"/>
          <w:szCs w:val="21"/>
          <w:lang w:val="en-US" w:eastAsia="zh-CN"/>
        </w:rPr>
        <w:t>1106288494</w:t>
      </w:r>
      <w:r>
        <w:rPr>
          <w:rStyle w:val="48"/>
          <w:rFonts w:hint="eastAsia" w:ascii="宋体" w:hAnsi="宋体" w:cs="宋体"/>
          <w:color w:val="000000"/>
          <w:sz w:val="21"/>
          <w:szCs w:val="21"/>
        </w:rPr>
        <w:t>@qq.com）</w:t>
      </w:r>
      <w:r>
        <w:rPr>
          <w:rStyle w:val="48"/>
          <w:rFonts w:hint="eastAsia" w:ascii="宋体" w:hAnsi="宋体" w:cs="宋体"/>
          <w:color w:val="000000"/>
          <w:sz w:val="21"/>
          <w:szCs w:val="21"/>
        </w:rPr>
        <w:fldChar w:fldCharType="end"/>
      </w:r>
    </w:p>
    <w:p w14:paraId="19BA728C">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（二）磋商响应文件的语言及计量</w:t>
      </w:r>
    </w:p>
    <w:p w14:paraId="5A8CD61E">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1、磋商响应文件以及投标方与招标方就有关投标事宜的所有来往函电，均应以中文汉语书写。除签名、盖章、专用名称等特殊情形外，以中文汉语以外的文字表述的磋商响应文件视同未提供。</w:t>
      </w:r>
    </w:p>
    <w:p w14:paraId="06092E6E">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2、投标计量单位，竞争性磋商文件已有明确规定的，使用竞争性磋商文件规定的计量单位；竞争性磋商文件没有规定的，应采用中华人民共和国法定计量单位（货币单位：人民币元），否则视同未响应。</w:t>
      </w:r>
    </w:p>
    <w:p w14:paraId="294E2D34">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（三）响应报价</w:t>
      </w:r>
    </w:p>
    <w:p w14:paraId="3C70AA00">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1、响应报价应按磋商文件中相关附表格式填写。</w:t>
      </w:r>
    </w:p>
    <w:p w14:paraId="11A769AD">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磋商报价应以人民币报价，是履行合同的最终价格。供应商报价应是本项目范围内全部内容的价格体现，包括运输费、设备设施费、耗材费、安装调试费、技术培训费、人工费及相关税费等，及采购文件中明示或暗示由中标人承担的费用等一切费用，采购人不再另行支付其他费用。</w:t>
      </w:r>
    </w:p>
    <w:p w14:paraId="3037C06E">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、中标人应负责本项目的验收费用。</w:t>
      </w:r>
    </w:p>
    <w:p w14:paraId="3E87F0EB">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lang w:val="en-US" w:eastAsia="zh-CN"/>
        </w:rPr>
        <w:t>4</w:t>
      </w:r>
      <w:r>
        <w:rPr>
          <w:rFonts w:hint="eastAsia" w:ascii="宋体" w:hAnsi="宋体" w:cs="宋体"/>
          <w:sz w:val="21"/>
          <w:szCs w:val="21"/>
        </w:rPr>
        <w:t>、投标人对每种设备的报价必须是唯一的，采购人不接受有任何选择的报价。</w:t>
      </w:r>
    </w:p>
    <w:p w14:paraId="6A28ED16">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（四）磋商响应文件的有效期</w:t>
      </w:r>
    </w:p>
    <w:p w14:paraId="731C5E3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1、自投标截止日起90日历天磋商响应文件应保持有效。有效期不足的磋商响应文件将被拒绝。</w:t>
      </w:r>
    </w:p>
    <w:p w14:paraId="3AA9BC43">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2、在特殊情况下，招标人可与供应商协商延长投标书的有效期，这种要求和答复均以书面形式进行。</w:t>
      </w:r>
    </w:p>
    <w:p w14:paraId="0A0702CB">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3、中标人的磋商响应文件自开标之日起至合同履行完毕止均应保持有效。</w:t>
      </w:r>
    </w:p>
    <w:p w14:paraId="35300B7A">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（五）磋商响应文件的包装、递交、修改和撤回</w:t>
      </w:r>
    </w:p>
    <w:p w14:paraId="27255EBD">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1、投标人应当在截止时间前完成电子版响应文件的传输递交，并可以补充、修改或者撤回响应文件。补充或者修改响应文件的，应当先行撤回原文件，补充、修改后重新传输递交。投标截止时间前未完成传输的，视为撤回响应文件。响应截止时间后送达的响应文件，将被政采云平台拒收。</w:t>
      </w:r>
    </w:p>
    <w:p w14:paraId="2F72DAB4">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2、投标人除按规定时间在政采云系统中上传经加密的电子投标文件外，同时还应按采购文件要求将备份文件送达到指定地点。</w:t>
      </w:r>
    </w:p>
    <w:p w14:paraId="2A3A49F7">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3、响应文件未按时解密，投标人提供了备份响应文件的，以备份响应文件作为依据，否则视为响应文件撤回。响应文件已按时解密的，备份响应文件自动失效。</w:t>
      </w:r>
    </w:p>
    <w:p w14:paraId="06D9714F">
      <w:pPr>
        <w:pageBreakBefore w:val="0"/>
        <w:widowControl w:val="0"/>
        <w:kinsoku/>
        <w:wordWrap/>
        <w:overflowPunct/>
        <w:topLinePunct w:val="0"/>
        <w:autoSpaceDE/>
        <w:autoSpaceDN/>
        <w:bidi w:val="0"/>
        <w:spacing w:line="360" w:lineRule="auto"/>
        <w:ind w:right="-86" w:rightChars="-41" w:firstLine="420" w:firstLineChars="200"/>
        <w:jc w:val="left"/>
        <w:textAlignment w:val="auto"/>
        <w:rPr>
          <w:rFonts w:ascii="宋体" w:hAnsi="宋体" w:cs="宋体"/>
          <w:sz w:val="21"/>
          <w:szCs w:val="21"/>
        </w:rPr>
      </w:pPr>
      <w:r>
        <w:rPr>
          <w:rFonts w:hint="eastAsia" w:ascii="宋体" w:hAnsi="宋体" w:cs="宋体"/>
          <w:sz w:val="21"/>
          <w:szCs w:val="21"/>
        </w:rPr>
        <w:t>4、备份投标文件须密封封装。包装封面上应注明投标人名称，封口处加盖投标人公章。</w:t>
      </w:r>
    </w:p>
    <w:p w14:paraId="745CA8FE">
      <w:pPr>
        <w:pageBreakBefore w:val="0"/>
        <w:widowControl w:val="0"/>
        <w:tabs>
          <w:tab w:val="left" w:pos="0"/>
        </w:tabs>
        <w:kinsoku/>
        <w:wordWrap/>
        <w:overflowPunct/>
        <w:topLinePunct w:val="0"/>
        <w:autoSpaceDE/>
        <w:autoSpaceDN/>
        <w:bidi w:val="0"/>
        <w:spacing w:line="360" w:lineRule="auto"/>
        <w:ind w:firstLine="211" w:firstLineChars="100"/>
        <w:textAlignment w:val="auto"/>
        <w:outlineLvl w:val="1"/>
        <w:rPr>
          <w:rFonts w:ascii="宋体" w:hAnsi="宋体" w:cs="宋体"/>
          <w:b/>
          <w:sz w:val="21"/>
          <w:szCs w:val="21"/>
        </w:rPr>
      </w:pPr>
      <w:r>
        <w:rPr>
          <w:rFonts w:hint="eastAsia" w:ascii="宋体" w:hAnsi="宋体" w:cs="宋体"/>
          <w:b/>
          <w:sz w:val="21"/>
          <w:szCs w:val="21"/>
        </w:rPr>
        <w:t>（六）投标无效的情形</w:t>
      </w:r>
    </w:p>
    <w:p w14:paraId="428C09A8">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实质上没有响应竞争性磋商文件要求的投标将被视为无效投标。供应商不得通过修正或撤消不合要求的偏离或保留从而使其投标成为实质上响应的投标。经磋商小组认定属于供应商疏忽、笔误所造成的差错，应当允许其在评标结束之前进行修改或者补正（可以是复印件、传真件等，原件必须加盖单位公章）。修改或者补正磋商响应文件必须以书面形式进行，并应在中标结果公告之前查核原件。限期内不补正或经补正后仍不符合竞争性磋商文件要求的，应认定其投标无效。供应商修改、补正磋商响应文件后，不影响磋商小组对其磋商响应文件所作的评价和评分结果。</w:t>
      </w:r>
    </w:p>
    <w:p w14:paraId="5840F04C">
      <w:pPr>
        <w:pStyle w:val="22"/>
        <w:pageBreakBefore w:val="0"/>
        <w:widowControl w:val="0"/>
        <w:kinsoku/>
        <w:wordWrap/>
        <w:overflowPunct/>
        <w:topLinePunct w:val="0"/>
        <w:autoSpaceDE/>
        <w:autoSpaceDN/>
        <w:bidi w:val="0"/>
        <w:spacing w:line="360" w:lineRule="auto"/>
        <w:ind w:firstLine="417" w:firstLineChars="198"/>
        <w:textAlignment w:val="auto"/>
        <w:rPr>
          <w:rFonts w:hAnsi="宋体" w:eastAsia="宋体" w:cs="宋体"/>
          <w:sz w:val="21"/>
          <w:szCs w:val="21"/>
        </w:rPr>
      </w:pPr>
      <w:r>
        <w:rPr>
          <w:rFonts w:hint="eastAsia" w:hAnsi="宋体" w:eastAsia="宋体" w:cs="宋体"/>
          <w:b/>
          <w:bCs/>
          <w:sz w:val="21"/>
          <w:szCs w:val="21"/>
        </w:rPr>
        <w:t>1、在资格文件审查和商务评审时，如发现下列情形之一的，磋商响应文件将被视为无效投标：</w:t>
      </w:r>
    </w:p>
    <w:p w14:paraId="172DF9C7">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1.1电子投标文件解密失败的，且未在规定时间内提交有效备份投标文件的；</w:t>
      </w:r>
    </w:p>
    <w:p w14:paraId="6EE70962">
      <w:pPr>
        <w:pStyle w:val="22"/>
        <w:pageBreakBefore w:val="0"/>
        <w:widowControl w:val="0"/>
        <w:kinsoku/>
        <w:wordWrap/>
        <w:overflowPunct/>
        <w:topLinePunct w:val="0"/>
        <w:autoSpaceDE/>
        <w:autoSpaceDN/>
        <w:bidi w:val="0"/>
        <w:spacing w:line="360" w:lineRule="auto"/>
        <w:ind w:firstLine="415" w:firstLineChars="198"/>
        <w:textAlignment w:val="auto"/>
        <w:outlineLvl w:val="2"/>
        <w:rPr>
          <w:rFonts w:hAnsi="宋体" w:eastAsia="宋体" w:cs="宋体"/>
          <w:bCs/>
          <w:sz w:val="21"/>
          <w:szCs w:val="21"/>
        </w:rPr>
      </w:pPr>
      <w:r>
        <w:rPr>
          <w:rFonts w:hint="eastAsia" w:hAnsi="宋体" w:eastAsia="宋体" w:cs="宋体"/>
          <w:bCs/>
          <w:sz w:val="21"/>
          <w:szCs w:val="21"/>
        </w:rPr>
        <w:t>1.2磋商响应文件未按竞争性磋商文件要求签字、盖章的；</w:t>
      </w:r>
    </w:p>
    <w:p w14:paraId="3CB6C639">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1.3资格证明文件不全的，或者不具备竞争性磋商文件中规定的资格要求的；</w:t>
      </w:r>
    </w:p>
    <w:p w14:paraId="18419109">
      <w:pPr>
        <w:pStyle w:val="22"/>
        <w:pageBreakBefore w:val="0"/>
        <w:widowControl w:val="0"/>
        <w:kinsoku/>
        <w:wordWrap/>
        <w:overflowPunct/>
        <w:topLinePunct w:val="0"/>
        <w:autoSpaceDE/>
        <w:autoSpaceDN/>
        <w:bidi w:val="0"/>
        <w:spacing w:line="360" w:lineRule="auto"/>
        <w:ind w:firstLine="415" w:firstLineChars="198"/>
        <w:textAlignment w:val="auto"/>
        <w:outlineLvl w:val="2"/>
        <w:rPr>
          <w:rFonts w:hAnsi="宋体" w:eastAsia="宋体" w:cs="宋体"/>
          <w:bCs/>
          <w:sz w:val="21"/>
          <w:szCs w:val="21"/>
        </w:rPr>
      </w:pPr>
      <w:r>
        <w:rPr>
          <w:rFonts w:hint="eastAsia" w:hAnsi="宋体" w:eastAsia="宋体" w:cs="宋体"/>
          <w:bCs/>
          <w:sz w:val="21"/>
          <w:szCs w:val="21"/>
        </w:rPr>
        <w:t>1.4投标文件组成内容不齐全的；</w:t>
      </w:r>
    </w:p>
    <w:p w14:paraId="45DBDE60">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1.5磋商响应文件的实质性内容未使用中文表述、意思表述不明确、前后矛盾或者使用计量单位不符合竞争性磋商文件要求的；（经磋商小组认定并符合本竞争性磋商文件规定的情形除外）</w:t>
      </w:r>
    </w:p>
    <w:p w14:paraId="3D72499E">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1.6磋商响应文件的关键内容字迹模糊、无法辨认的，或者磋商响应文件中经修正的内容字迹模糊难以辩认或者修改处未按规定签名盖章的；</w:t>
      </w:r>
    </w:p>
    <w:p w14:paraId="05193351">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1.7服务期、投标有效期等商务条款不能满足竞争性磋商文件要求的；</w:t>
      </w:r>
    </w:p>
    <w:p w14:paraId="4927423A">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1.8不响应竞争性磋商文件实质性要求或者磋商响应文件有招标人不能接受的附加条件的；</w:t>
      </w:r>
    </w:p>
    <w:p w14:paraId="3344D114">
      <w:pPr>
        <w:pStyle w:val="22"/>
        <w:pageBreakBefore w:val="0"/>
        <w:widowControl w:val="0"/>
        <w:kinsoku/>
        <w:wordWrap/>
        <w:overflowPunct/>
        <w:topLinePunct w:val="0"/>
        <w:autoSpaceDE/>
        <w:autoSpaceDN/>
        <w:bidi w:val="0"/>
        <w:spacing w:line="360" w:lineRule="auto"/>
        <w:ind w:firstLine="415" w:firstLineChars="198"/>
        <w:textAlignment w:val="auto"/>
        <w:rPr>
          <w:rFonts w:hAnsi="宋体" w:eastAsia="宋体" w:cs="宋体"/>
          <w:bCs/>
          <w:sz w:val="21"/>
          <w:szCs w:val="21"/>
        </w:rPr>
      </w:pPr>
      <w:r>
        <w:rPr>
          <w:rFonts w:hint="eastAsia" w:hAnsi="宋体" w:eastAsia="宋体" w:cs="宋体"/>
          <w:bCs/>
          <w:sz w:val="21"/>
          <w:szCs w:val="21"/>
        </w:rPr>
        <w:t>1.9投标文件没有按采购文件要求响应有标“</w:t>
      </w:r>
      <w:r>
        <w:rPr>
          <w:rFonts w:hint="eastAsia" w:hAnsi="宋体" w:eastAsia="宋体" w:cs="宋体"/>
          <w:b/>
          <w:bCs/>
          <w:color w:val="000000"/>
          <w:sz w:val="21"/>
          <w:szCs w:val="21"/>
        </w:rPr>
        <w:t>★</w:t>
      </w:r>
      <w:r>
        <w:rPr>
          <w:rFonts w:hint="eastAsia" w:hAnsi="宋体" w:eastAsia="宋体" w:cs="宋体"/>
          <w:bCs/>
          <w:sz w:val="21"/>
          <w:szCs w:val="21"/>
        </w:rPr>
        <w:t>”的条款的资料和材料的。</w:t>
      </w:r>
    </w:p>
    <w:p w14:paraId="56269D19">
      <w:pPr>
        <w:pageBreakBefore w:val="0"/>
        <w:widowControl w:val="0"/>
        <w:kinsoku/>
        <w:wordWrap/>
        <w:overflowPunct/>
        <w:topLinePunct w:val="0"/>
        <w:autoSpaceDE/>
        <w:autoSpaceDN/>
        <w:bidi w:val="0"/>
        <w:spacing w:line="360" w:lineRule="auto"/>
        <w:ind w:firstLine="420"/>
        <w:textAlignment w:val="auto"/>
        <w:rPr>
          <w:rFonts w:hint="eastAsia" w:hAnsi="宋体" w:eastAsia="宋体" w:cs="宋体"/>
          <w:bCs/>
          <w:sz w:val="21"/>
          <w:szCs w:val="21"/>
        </w:rPr>
      </w:pPr>
      <w:r>
        <w:rPr>
          <w:rFonts w:hint="eastAsia" w:hAnsi="宋体" w:eastAsia="宋体" w:cs="宋体"/>
          <w:bCs/>
          <w:sz w:val="21"/>
          <w:szCs w:val="21"/>
        </w:rPr>
        <w:t>【除政府采购法律法规规章规定的属于恶意串通、视为串通投标情形外，在不影响公平竞争的前提下，采购人在采购文件中明确规定参与同一个采购包（标段）的供应商存在下列情形之一且无法合理解释的，其投标（响应）文件无效：</w:t>
      </w:r>
    </w:p>
    <w:p w14:paraId="423805A5">
      <w:pPr>
        <w:pageBreakBefore w:val="0"/>
        <w:widowControl w:val="0"/>
        <w:numPr>
          <w:ilvl w:val="0"/>
          <w:numId w:val="6"/>
        </w:numPr>
        <w:kinsoku/>
        <w:wordWrap/>
        <w:overflowPunct/>
        <w:topLinePunct w:val="0"/>
        <w:autoSpaceDE/>
        <w:autoSpaceDN/>
        <w:bidi w:val="0"/>
        <w:spacing w:line="360" w:lineRule="auto"/>
        <w:ind w:firstLine="420"/>
        <w:textAlignment w:val="auto"/>
        <w:rPr>
          <w:rFonts w:hint="eastAsia" w:hAnsi="宋体" w:eastAsia="宋体" w:cs="宋体"/>
          <w:bCs/>
          <w:sz w:val="21"/>
          <w:szCs w:val="21"/>
        </w:rPr>
      </w:pPr>
      <w:r>
        <w:rPr>
          <w:rFonts w:hint="eastAsia" w:hAnsi="宋体" w:eastAsia="宋体" w:cs="宋体"/>
          <w:bCs/>
          <w:sz w:val="21"/>
          <w:szCs w:val="21"/>
        </w:rPr>
        <w:t>不同供应商的电子投标（响应）文件上传计算机的网卡MAC地址或硬盘序列号等硬件信息相同的；</w:t>
      </w:r>
    </w:p>
    <w:p w14:paraId="0D9E1986">
      <w:pPr>
        <w:pageBreakBefore w:val="0"/>
        <w:widowControl w:val="0"/>
        <w:numPr>
          <w:ilvl w:val="0"/>
          <w:numId w:val="6"/>
        </w:numPr>
        <w:kinsoku/>
        <w:wordWrap/>
        <w:overflowPunct/>
        <w:topLinePunct w:val="0"/>
        <w:autoSpaceDE/>
        <w:autoSpaceDN/>
        <w:bidi w:val="0"/>
        <w:spacing w:line="360" w:lineRule="auto"/>
        <w:ind w:firstLine="420"/>
        <w:textAlignment w:val="auto"/>
        <w:rPr>
          <w:rFonts w:hint="eastAsia" w:hAnsi="宋体" w:eastAsia="宋体" w:cs="宋体"/>
          <w:bCs/>
          <w:sz w:val="21"/>
          <w:szCs w:val="21"/>
        </w:rPr>
      </w:pPr>
      <w:r>
        <w:rPr>
          <w:rFonts w:hint="eastAsia" w:hAnsi="宋体" w:eastAsia="宋体" w:cs="宋体"/>
          <w:bCs/>
          <w:sz w:val="21"/>
          <w:szCs w:val="21"/>
        </w:rPr>
        <w:t>上传的电子投标（响应）文件若出现使用本项目其他投标（响应）供应商的数字证书加密的，或者加盖本项目其他投标（响应）供应商的电子印章的；</w:t>
      </w:r>
    </w:p>
    <w:p w14:paraId="74DF7566">
      <w:pPr>
        <w:pageBreakBefore w:val="0"/>
        <w:widowControl w:val="0"/>
        <w:numPr>
          <w:ilvl w:val="0"/>
          <w:numId w:val="6"/>
        </w:numPr>
        <w:kinsoku/>
        <w:wordWrap/>
        <w:overflowPunct/>
        <w:topLinePunct w:val="0"/>
        <w:autoSpaceDE/>
        <w:autoSpaceDN/>
        <w:bidi w:val="0"/>
        <w:spacing w:line="360" w:lineRule="auto"/>
        <w:ind w:firstLine="420"/>
        <w:textAlignment w:val="auto"/>
        <w:rPr>
          <w:rFonts w:hint="eastAsia" w:hAnsi="宋体" w:eastAsia="宋体" w:cs="宋体"/>
          <w:bCs/>
          <w:sz w:val="21"/>
          <w:szCs w:val="21"/>
        </w:rPr>
      </w:pPr>
      <w:r>
        <w:rPr>
          <w:rFonts w:hint="eastAsia" w:hAnsi="宋体" w:eastAsia="宋体" w:cs="宋体"/>
          <w:bCs/>
          <w:sz w:val="21"/>
          <w:szCs w:val="21"/>
        </w:rPr>
        <w:t>不同供应商的投标（响应）文件的内容存在3处（含）以上错误一致的；</w:t>
      </w:r>
    </w:p>
    <w:p w14:paraId="4C9E7C70">
      <w:pPr>
        <w:pageBreakBefore w:val="0"/>
        <w:widowControl w:val="0"/>
        <w:numPr>
          <w:ilvl w:val="0"/>
          <w:numId w:val="6"/>
        </w:numPr>
        <w:kinsoku/>
        <w:wordWrap/>
        <w:overflowPunct/>
        <w:topLinePunct w:val="0"/>
        <w:autoSpaceDE/>
        <w:autoSpaceDN/>
        <w:bidi w:val="0"/>
        <w:spacing w:line="360" w:lineRule="auto"/>
        <w:ind w:firstLine="420"/>
        <w:textAlignment w:val="auto"/>
        <w:rPr>
          <w:rFonts w:hint="eastAsia" w:hAnsi="宋体" w:eastAsia="宋体" w:cs="宋体"/>
          <w:bCs/>
          <w:sz w:val="21"/>
          <w:szCs w:val="21"/>
        </w:rPr>
      </w:pPr>
      <w:r>
        <w:rPr>
          <w:rFonts w:hint="eastAsia" w:hAnsi="宋体" w:eastAsia="宋体" w:cs="宋体"/>
          <w:bCs/>
          <w:sz w:val="21"/>
          <w:szCs w:val="21"/>
        </w:rPr>
        <w:t>不同供应商联系人为同一人或不同联系人的联系电话一致的。】</w:t>
      </w:r>
    </w:p>
    <w:p w14:paraId="1612B964">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b/>
          <w:bCs/>
          <w:sz w:val="21"/>
          <w:szCs w:val="21"/>
        </w:rPr>
        <w:t>2、在技术评审时，如发现下列情形之一的，磋商响应文件将被视为无效响应：</w:t>
      </w:r>
    </w:p>
    <w:p w14:paraId="397A92D4">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bookmarkStart w:id="1" w:name="OLE_LINK6"/>
      <w:r>
        <w:rPr>
          <w:rFonts w:hint="eastAsia" w:ascii="宋体" w:hAnsi="宋体" w:cs="宋体"/>
          <w:sz w:val="21"/>
          <w:szCs w:val="21"/>
        </w:rPr>
        <w:t>2.1响应文件标明的响应或偏离与事实不符或虚假响应的；</w:t>
      </w:r>
    </w:p>
    <w:p w14:paraId="1A441095">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2.2明显不符合</w:t>
      </w:r>
      <w:r>
        <w:rPr>
          <w:rFonts w:hint="eastAsia" w:ascii="宋体" w:hAnsi="宋体" w:cs="宋体"/>
          <w:bCs/>
          <w:sz w:val="21"/>
          <w:szCs w:val="21"/>
        </w:rPr>
        <w:t>竞争性磋商文件</w:t>
      </w:r>
      <w:r>
        <w:rPr>
          <w:rFonts w:hint="eastAsia" w:ascii="宋体" w:hAnsi="宋体" w:cs="宋体"/>
          <w:sz w:val="21"/>
          <w:szCs w:val="21"/>
        </w:rPr>
        <w:t>标明的质量标准</w:t>
      </w:r>
      <w:r>
        <w:rPr>
          <w:rFonts w:hint="eastAsia" w:ascii="宋体" w:hAnsi="宋体" w:cs="宋体"/>
          <w:bCs/>
          <w:sz w:val="21"/>
          <w:szCs w:val="21"/>
        </w:rPr>
        <w:t>，或者竞争性磋商文件中</w:t>
      </w:r>
      <w:r>
        <w:rPr>
          <w:rFonts w:hint="eastAsia" w:ascii="宋体" w:hAnsi="宋体" w:cs="宋体"/>
          <w:sz w:val="21"/>
          <w:szCs w:val="21"/>
        </w:rPr>
        <w:t>“</w:t>
      </w:r>
      <w:r>
        <w:rPr>
          <w:rFonts w:hint="eastAsia" w:ascii="宋体" w:hAnsi="宋体" w:cs="宋体"/>
          <w:b/>
          <w:bCs/>
          <w:color w:val="000000"/>
          <w:sz w:val="21"/>
          <w:szCs w:val="21"/>
        </w:rPr>
        <w:t>★</w:t>
      </w:r>
      <w:r>
        <w:rPr>
          <w:rFonts w:hint="eastAsia" w:ascii="宋体" w:hAnsi="宋体" w:cs="宋体"/>
          <w:sz w:val="21"/>
          <w:szCs w:val="21"/>
        </w:rPr>
        <w:t>”标注</w:t>
      </w:r>
      <w:r>
        <w:rPr>
          <w:rFonts w:hint="eastAsia" w:ascii="宋体" w:hAnsi="宋体" w:cs="宋体"/>
          <w:bCs/>
          <w:sz w:val="21"/>
          <w:szCs w:val="21"/>
        </w:rPr>
        <w:t>的技术参数、条款（如有）发生实质性偏离的</w:t>
      </w:r>
      <w:r>
        <w:rPr>
          <w:rFonts w:hint="eastAsia" w:ascii="宋体" w:hAnsi="宋体" w:cs="宋体"/>
          <w:sz w:val="21"/>
          <w:szCs w:val="21"/>
        </w:rPr>
        <w:t>；</w:t>
      </w:r>
    </w:p>
    <w:p w14:paraId="6D6575CF">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2.3响应文件技术方案不明确，存在一个或一个以上备选（替代）方案。</w:t>
      </w:r>
    </w:p>
    <w:bookmarkEnd w:id="1"/>
    <w:p w14:paraId="376DE207">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b/>
          <w:bCs/>
          <w:sz w:val="21"/>
          <w:szCs w:val="21"/>
        </w:rPr>
        <w:t>3、在报价评审时，如发现下列情形之一的，磋商响应文件将被视为无效响应：</w:t>
      </w:r>
    </w:p>
    <w:p w14:paraId="05C0D5B3">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3.1未采用人民币报价或者未按照招标文件标明的币种报价的；</w:t>
      </w:r>
    </w:p>
    <w:p w14:paraId="7B3D5E3C">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3.2投标报价超过预算金额的，或投标方的投标报价经磋商小组审定认为存在不合理的、恶性的低价竞争的，且投标方又不能提供出有效证明的作无效标处理。</w:t>
      </w:r>
    </w:p>
    <w:p w14:paraId="552D4519">
      <w:pPr>
        <w:pageBreakBefore w:val="0"/>
        <w:widowControl w:val="0"/>
        <w:kinsoku/>
        <w:wordWrap/>
        <w:overflowPunct/>
        <w:topLinePunct w:val="0"/>
        <w:autoSpaceDE/>
        <w:autoSpaceDN/>
        <w:bidi w:val="0"/>
        <w:spacing w:line="360" w:lineRule="auto"/>
        <w:ind w:firstLine="420"/>
        <w:textAlignment w:val="auto"/>
        <w:rPr>
          <w:rFonts w:ascii="宋体" w:hAnsi="宋体" w:cs="宋体"/>
          <w:sz w:val="21"/>
          <w:szCs w:val="21"/>
        </w:rPr>
      </w:pPr>
      <w:r>
        <w:rPr>
          <w:rFonts w:hint="eastAsia" w:ascii="宋体" w:hAnsi="宋体" w:cs="宋体"/>
          <w:sz w:val="21"/>
          <w:szCs w:val="21"/>
        </w:rPr>
        <w:t>3.3投标报价具有选择性，或者开标价格与投标文件承诺的优惠（折扣）价格不一致的。</w:t>
      </w:r>
    </w:p>
    <w:p w14:paraId="716AD11D">
      <w:pPr>
        <w:pageBreakBefore w:val="0"/>
        <w:widowControl w:val="0"/>
        <w:kinsoku/>
        <w:wordWrap/>
        <w:overflowPunct/>
        <w:topLinePunct w:val="0"/>
        <w:autoSpaceDE/>
        <w:autoSpaceDN/>
        <w:bidi w:val="0"/>
        <w:spacing w:line="360" w:lineRule="auto"/>
        <w:ind w:firstLine="420"/>
        <w:textAlignment w:val="auto"/>
        <w:outlineLvl w:val="2"/>
        <w:rPr>
          <w:rFonts w:ascii="宋体" w:hAnsi="宋体" w:cs="宋体"/>
          <w:sz w:val="21"/>
          <w:szCs w:val="21"/>
        </w:rPr>
      </w:pPr>
      <w:r>
        <w:rPr>
          <w:rFonts w:hint="eastAsia" w:ascii="宋体" w:hAnsi="宋体" w:cs="宋体"/>
          <w:sz w:val="21"/>
          <w:szCs w:val="21"/>
        </w:rPr>
        <w:t>3.4 报价文件中缺失报价的。</w:t>
      </w:r>
    </w:p>
    <w:p w14:paraId="32036984">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b/>
          <w:bCs/>
          <w:sz w:val="21"/>
          <w:szCs w:val="21"/>
        </w:rPr>
      </w:pPr>
      <w:r>
        <w:rPr>
          <w:rFonts w:hint="eastAsia" w:ascii="宋体" w:hAnsi="宋体" w:cs="宋体"/>
          <w:b/>
          <w:bCs/>
          <w:sz w:val="21"/>
          <w:szCs w:val="21"/>
        </w:rPr>
        <w:t>4.法律、法规和采购文件规定的其他无效情形。</w:t>
      </w:r>
    </w:p>
    <w:p w14:paraId="1C3D0311">
      <w:pPr>
        <w:pStyle w:val="87"/>
        <w:pageBreakBefore w:val="0"/>
        <w:widowControl w:val="0"/>
        <w:kinsoku/>
        <w:wordWrap/>
        <w:overflowPunct/>
        <w:topLinePunct w:val="0"/>
        <w:autoSpaceDE/>
        <w:autoSpaceDN/>
        <w:bidi w:val="0"/>
        <w:spacing w:line="360" w:lineRule="auto"/>
        <w:ind w:right="-86" w:rightChars="-41" w:firstLine="441" w:firstLineChars="209"/>
        <w:textAlignment w:val="auto"/>
        <w:rPr>
          <w:rFonts w:ascii="宋体" w:hAnsi="宋体" w:cs="宋体"/>
          <w:b/>
          <w:sz w:val="21"/>
          <w:szCs w:val="21"/>
        </w:rPr>
      </w:pPr>
      <w:r>
        <w:rPr>
          <w:rFonts w:hint="eastAsia" w:ascii="宋体" w:hAnsi="宋体" w:cs="宋体"/>
          <w:b/>
          <w:sz w:val="21"/>
          <w:szCs w:val="21"/>
        </w:rPr>
        <w:t>（七）出现以下情形，导致电子交易平台无法正常运行，或者无法保证电子交易的公平、公正和安全时，中止电子交易活动：</w:t>
      </w:r>
    </w:p>
    <w:p w14:paraId="65105843">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（一）电子交易平台发生故障而无法登录访问的；</w:t>
      </w:r>
    </w:p>
    <w:p w14:paraId="0EFBE127">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（二）电子交易平台应用或数据库出现错误，不能进行正常操作的；</w:t>
      </w:r>
    </w:p>
    <w:p w14:paraId="7F619C89">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（三）电子交易平台发现严重安全漏洞，有潜在泄密危险的；</w:t>
      </w:r>
    </w:p>
    <w:p w14:paraId="60D3B810">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（四）病毒发作导致不能进行正常操作的；</w:t>
      </w:r>
    </w:p>
    <w:p w14:paraId="359F82F7">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（五）其他无法保证电子交易的公平、公正和安全的情况。</w:t>
      </w:r>
    </w:p>
    <w:p w14:paraId="1B3816B8">
      <w:pPr>
        <w:pStyle w:val="87"/>
        <w:pageBreakBefore w:val="0"/>
        <w:widowControl w:val="0"/>
        <w:kinsoku/>
        <w:wordWrap/>
        <w:overflowPunct/>
        <w:topLinePunct w:val="0"/>
        <w:autoSpaceDE/>
        <w:autoSpaceDN/>
        <w:bidi w:val="0"/>
        <w:spacing w:line="360" w:lineRule="auto"/>
        <w:ind w:right="-86" w:rightChars="-41" w:firstLine="438" w:firstLineChars="209"/>
        <w:textAlignment w:val="auto"/>
        <w:rPr>
          <w:rFonts w:ascii="宋体" w:hAnsi="宋体" w:cs="宋体"/>
          <w:sz w:val="21"/>
          <w:szCs w:val="21"/>
        </w:rPr>
      </w:pPr>
      <w:r>
        <w:rPr>
          <w:rFonts w:hint="eastAsia" w:ascii="宋体" w:hAnsi="宋体" w:cs="宋体"/>
          <w:sz w:val="21"/>
          <w:szCs w:val="21"/>
        </w:rPr>
        <w:t>出现前款规定情形，不影响采购公平、公正性的，代理机构可以待上述情形消除后继续组织电子交易活动，也可以决定某些环节以纸质形式进行；影响或可能影响采购公平、公正性的，重新采购。</w:t>
      </w:r>
    </w:p>
    <w:p w14:paraId="0834E722">
      <w:pPr>
        <w:pStyle w:val="17"/>
        <w:pageBreakBefore w:val="0"/>
        <w:widowControl w:val="0"/>
        <w:kinsoku/>
        <w:wordWrap/>
        <w:overflowPunct/>
        <w:topLinePunct w:val="0"/>
        <w:autoSpaceDE/>
        <w:autoSpaceDN/>
        <w:bidi w:val="0"/>
        <w:snapToGrid w:val="0"/>
        <w:spacing w:line="360" w:lineRule="auto"/>
        <w:ind w:firstLine="2716" w:firstLineChars="1339"/>
        <w:textAlignment w:val="auto"/>
        <w:outlineLvl w:val="4"/>
        <w:rPr>
          <w:rFonts w:hAnsi="宋体" w:cs="宋体"/>
          <w:b/>
          <w:snapToGrid w:val="0"/>
          <w:sz w:val="21"/>
          <w:szCs w:val="21"/>
        </w:rPr>
      </w:pPr>
      <w:r>
        <w:rPr>
          <w:rFonts w:hint="eastAsia" w:hAnsi="宋体" w:cs="宋体"/>
          <w:b/>
          <w:sz w:val="21"/>
          <w:szCs w:val="21"/>
        </w:rPr>
        <w:t>四、磋商</w:t>
      </w:r>
    </w:p>
    <w:p w14:paraId="715A6820">
      <w:pPr>
        <w:pStyle w:val="15"/>
        <w:pageBreakBefore w:val="0"/>
        <w:widowControl w:val="0"/>
        <w:kinsoku/>
        <w:wordWrap/>
        <w:overflowPunct/>
        <w:topLinePunct w:val="0"/>
        <w:autoSpaceDE/>
        <w:autoSpaceDN/>
        <w:bidi w:val="0"/>
        <w:spacing w:after="0" w:line="360" w:lineRule="auto"/>
        <w:ind w:firstLine="422" w:firstLineChars="200"/>
        <w:jc w:val="left"/>
        <w:textAlignment w:val="auto"/>
        <w:rPr>
          <w:rFonts w:ascii="宋体" w:hAnsi="宋体" w:cs="宋体"/>
          <w:b/>
          <w:sz w:val="21"/>
          <w:szCs w:val="21"/>
        </w:rPr>
      </w:pPr>
      <w:r>
        <w:rPr>
          <w:rFonts w:hint="eastAsia" w:ascii="宋体" w:hAnsi="宋体" w:cs="宋体"/>
          <w:b/>
          <w:sz w:val="21"/>
          <w:szCs w:val="21"/>
        </w:rPr>
        <w:t>电子招投标开标及评审程序</w:t>
      </w:r>
    </w:p>
    <w:p w14:paraId="50DEDC58">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1、采购组织机构按照规定的时间通过政采云系统组织开标、开启响应文件，所有投标人均应当准时在线参加；</w:t>
      </w:r>
    </w:p>
    <w:p w14:paraId="3E692D28">
      <w:pPr>
        <w:pageBreakBefore w:val="0"/>
        <w:widowControl w:val="0"/>
        <w:kinsoku/>
        <w:wordWrap/>
        <w:overflowPunct/>
        <w:topLinePunct w:val="0"/>
        <w:autoSpaceDE/>
        <w:autoSpaceDN/>
        <w:bidi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2、投标截止时间后，投标人登录政采云平台，用“项目采购-开标评标”功能对电子投标文件进行在线解密。在线解密电子投标文件时间为开标时间起半个小时内；</w:t>
      </w:r>
    </w:p>
    <w:p w14:paraId="78CA35B5">
      <w:pPr>
        <w:pStyle w:val="3"/>
        <w:pageBreakBefore w:val="0"/>
        <w:widowControl w:val="0"/>
        <w:kinsoku/>
        <w:wordWrap/>
        <w:overflowPunct/>
        <w:topLinePunct w:val="0"/>
        <w:autoSpaceDE/>
        <w:autoSpaceDN/>
        <w:bidi w:val="0"/>
        <w:spacing w:line="360" w:lineRule="auto"/>
        <w:textAlignment w:val="auto"/>
        <w:rPr>
          <w:rFonts w:ascii="宋体" w:hAnsi="宋体" w:eastAsia="宋体" w:cs="宋体"/>
          <w:sz w:val="21"/>
          <w:szCs w:val="21"/>
        </w:rPr>
      </w:pPr>
      <w:r>
        <w:rPr>
          <w:rFonts w:hint="eastAsia" w:ascii="宋体" w:hAnsi="宋体" w:eastAsia="宋体" w:cs="宋体"/>
          <w:color w:val="000000"/>
          <w:sz w:val="21"/>
          <w:szCs w:val="21"/>
          <w:u w:val="single"/>
          <w:shd w:val="clear" w:color="auto" w:fill="FFFFFF"/>
        </w:rPr>
        <w:t>注：建议使用谷歌浏览器，使用其他浏览器可能发生无法解密等未知情况。</w:t>
      </w:r>
    </w:p>
    <w:p w14:paraId="13453F39">
      <w:pPr>
        <w:pStyle w:val="15"/>
        <w:pageBreakBefore w:val="0"/>
        <w:widowControl w:val="0"/>
        <w:kinsoku/>
        <w:wordWrap/>
        <w:overflowPunct/>
        <w:topLinePunct w:val="0"/>
        <w:autoSpaceDE/>
        <w:autoSpaceDN/>
        <w:bidi w:val="0"/>
        <w:spacing w:after="0" w:line="360" w:lineRule="auto"/>
        <w:ind w:firstLine="420" w:firstLineChars="200"/>
        <w:textAlignment w:val="auto"/>
        <w:rPr>
          <w:rFonts w:ascii="宋体" w:hAnsi="宋体" w:cs="宋体"/>
          <w:kern w:val="2"/>
          <w:sz w:val="21"/>
          <w:szCs w:val="21"/>
        </w:rPr>
      </w:pPr>
      <w:r>
        <w:rPr>
          <w:rFonts w:hint="eastAsia" w:ascii="宋体" w:hAnsi="宋体" w:cs="宋体"/>
          <w:kern w:val="2"/>
          <w:sz w:val="21"/>
          <w:szCs w:val="21"/>
        </w:rPr>
        <w:t>3、各响应人的资格由代理机构负责评审；</w:t>
      </w:r>
    </w:p>
    <w:p w14:paraId="6350A5FF">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4、磋商小组对符合性和商务技术响应文件进行评审；</w:t>
      </w:r>
    </w:p>
    <w:p w14:paraId="04053F8B">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5、磋商小组所有成员集中与单一响应人进行磋商；</w:t>
      </w:r>
    </w:p>
    <w:p w14:paraId="46D4C52F">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6、磋商小组对报价情况进行评审；</w:t>
      </w:r>
    </w:p>
    <w:p w14:paraId="5014EBBA">
      <w:pPr>
        <w:pStyle w:val="15"/>
        <w:pageBreakBefore w:val="0"/>
        <w:widowControl w:val="0"/>
        <w:kinsoku/>
        <w:wordWrap/>
        <w:overflowPunct/>
        <w:topLinePunct w:val="0"/>
        <w:autoSpaceDE/>
        <w:autoSpaceDN/>
        <w:bidi w:val="0"/>
        <w:spacing w:after="0" w:line="360" w:lineRule="auto"/>
        <w:ind w:firstLine="420"/>
        <w:textAlignment w:val="auto"/>
        <w:rPr>
          <w:rFonts w:ascii="宋体" w:hAnsi="宋体" w:cs="宋体"/>
          <w:kern w:val="2"/>
          <w:sz w:val="21"/>
          <w:szCs w:val="21"/>
        </w:rPr>
      </w:pPr>
      <w:r>
        <w:rPr>
          <w:rFonts w:hint="eastAsia" w:ascii="宋体" w:hAnsi="宋体" w:cs="宋体"/>
          <w:kern w:val="2"/>
          <w:sz w:val="21"/>
          <w:szCs w:val="21"/>
        </w:rPr>
        <w:t>7、在系统上公布评审结果。</w:t>
      </w:r>
    </w:p>
    <w:p w14:paraId="4E667BD4">
      <w:pPr>
        <w:pStyle w:val="17"/>
        <w:pageBreakBefore w:val="0"/>
        <w:widowControl w:val="0"/>
        <w:kinsoku/>
        <w:wordWrap/>
        <w:overflowPunct/>
        <w:topLinePunct w:val="0"/>
        <w:autoSpaceDE/>
        <w:autoSpaceDN/>
        <w:bidi w:val="0"/>
        <w:snapToGrid w:val="0"/>
        <w:spacing w:line="360" w:lineRule="auto"/>
        <w:ind w:firstLine="0"/>
        <w:textAlignment w:val="auto"/>
        <w:outlineLvl w:val="1"/>
        <w:rPr>
          <w:rFonts w:hAnsi="宋体" w:cs="宋体"/>
          <w:sz w:val="21"/>
          <w:szCs w:val="21"/>
        </w:rPr>
      </w:pPr>
      <w:r>
        <w:rPr>
          <w:rFonts w:hint="eastAsia" w:hAnsi="宋体" w:cs="宋体"/>
          <w:sz w:val="21"/>
          <w:szCs w:val="21"/>
        </w:rPr>
        <w:t>特别说明：政采云公司如对电子化开标及评审程序有调整的，按调整后的程序操作。</w:t>
      </w:r>
    </w:p>
    <w:p w14:paraId="56070D12">
      <w:pPr>
        <w:pStyle w:val="17"/>
        <w:pageBreakBefore w:val="0"/>
        <w:widowControl w:val="0"/>
        <w:kinsoku/>
        <w:wordWrap/>
        <w:overflowPunct/>
        <w:topLinePunct w:val="0"/>
        <w:autoSpaceDE/>
        <w:autoSpaceDN/>
        <w:bidi w:val="0"/>
        <w:snapToGrid w:val="0"/>
        <w:spacing w:line="360" w:lineRule="auto"/>
        <w:ind w:firstLine="2513" w:firstLineChars="1239"/>
        <w:textAlignment w:val="auto"/>
        <w:outlineLvl w:val="4"/>
        <w:rPr>
          <w:rFonts w:hAnsi="宋体" w:cs="宋体"/>
          <w:b/>
          <w:sz w:val="21"/>
          <w:szCs w:val="21"/>
        </w:rPr>
      </w:pPr>
      <w:r>
        <w:rPr>
          <w:rFonts w:hint="eastAsia" w:hAnsi="宋体" w:cs="宋体"/>
          <w:b/>
          <w:sz w:val="21"/>
          <w:szCs w:val="21"/>
        </w:rPr>
        <w:t>五、响应文件评审</w:t>
      </w:r>
    </w:p>
    <w:p w14:paraId="2786304A">
      <w:pPr>
        <w:pStyle w:val="22"/>
        <w:pageBreakBefore w:val="0"/>
        <w:widowControl w:val="0"/>
        <w:kinsoku/>
        <w:wordWrap/>
        <w:overflowPunct/>
        <w:topLinePunct w:val="0"/>
        <w:autoSpaceDE/>
        <w:autoSpaceDN/>
        <w:bidi w:val="0"/>
        <w:snapToGrid w:val="0"/>
        <w:spacing w:line="360" w:lineRule="auto"/>
        <w:ind w:left="689" w:leftChars="278" w:hanging="105" w:hangingChars="50"/>
        <w:textAlignment w:val="auto"/>
        <w:outlineLvl w:val="1"/>
        <w:rPr>
          <w:rFonts w:hAnsi="宋体" w:eastAsia="宋体" w:cs="宋体"/>
          <w:b/>
          <w:sz w:val="21"/>
          <w:szCs w:val="21"/>
        </w:rPr>
      </w:pPr>
      <w:r>
        <w:rPr>
          <w:rFonts w:hint="eastAsia" w:hAnsi="宋体" w:eastAsia="宋体" w:cs="宋体"/>
          <w:b/>
          <w:sz w:val="21"/>
          <w:szCs w:val="21"/>
        </w:rPr>
        <w:t>（一）组建磋商小组</w:t>
      </w:r>
    </w:p>
    <w:p w14:paraId="3C48082B">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本项目磋商小组由政府采购评审专家</w:t>
      </w:r>
      <w:r>
        <w:rPr>
          <w:rFonts w:hint="eastAsia" w:hAnsi="宋体" w:eastAsia="宋体" w:cs="宋体"/>
          <w:sz w:val="21"/>
          <w:szCs w:val="21"/>
          <w:lang w:val="en-US" w:eastAsia="zh-CN"/>
        </w:rPr>
        <w:t>及采购人代表</w:t>
      </w:r>
      <w:r>
        <w:rPr>
          <w:rFonts w:hint="eastAsia" w:hAnsi="宋体" w:eastAsia="宋体" w:cs="宋体"/>
          <w:sz w:val="21"/>
          <w:szCs w:val="21"/>
        </w:rPr>
        <w:t xml:space="preserve"> 3 人组成。</w:t>
      </w:r>
    </w:p>
    <w:p w14:paraId="7DA3E57E">
      <w:pPr>
        <w:pStyle w:val="22"/>
        <w:pageBreakBefore w:val="0"/>
        <w:widowControl w:val="0"/>
        <w:kinsoku/>
        <w:wordWrap/>
        <w:overflowPunct/>
        <w:topLinePunct w:val="0"/>
        <w:autoSpaceDE/>
        <w:autoSpaceDN/>
        <w:bidi w:val="0"/>
        <w:snapToGrid w:val="0"/>
        <w:spacing w:line="360" w:lineRule="auto"/>
        <w:ind w:left="689" w:leftChars="278" w:hanging="105" w:hangingChars="50"/>
        <w:textAlignment w:val="auto"/>
        <w:outlineLvl w:val="1"/>
        <w:rPr>
          <w:rFonts w:hAnsi="宋体" w:eastAsia="宋体" w:cs="宋体"/>
          <w:b/>
          <w:sz w:val="21"/>
          <w:szCs w:val="21"/>
        </w:rPr>
      </w:pPr>
      <w:r>
        <w:rPr>
          <w:rFonts w:hint="eastAsia" w:hAnsi="宋体" w:eastAsia="宋体" w:cs="宋体"/>
          <w:b/>
          <w:sz w:val="21"/>
          <w:szCs w:val="21"/>
        </w:rPr>
        <w:t>（二）评标程序</w:t>
      </w:r>
    </w:p>
    <w:p w14:paraId="6C5BEEF9">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1、资格审查</w:t>
      </w:r>
    </w:p>
    <w:p w14:paraId="53115269">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采购方代表或代理机构首先对响应文件的有效性、完整性和响应程度进行审查，确定合格响应人。如响应文件资格条件不满足响应文件要求，作为符合性审查未通过判以无效响应，不再进行磋商。审查时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6350186A">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2、磋商顺序</w:t>
      </w:r>
    </w:p>
    <w:p w14:paraId="71DA709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rPr>
          <w:rFonts w:ascii="宋体" w:hAnsi="宋体" w:cs="宋体"/>
          <w:sz w:val="21"/>
          <w:szCs w:val="21"/>
        </w:rPr>
      </w:pPr>
      <w:r>
        <w:rPr>
          <w:rFonts w:hint="eastAsia" w:ascii="宋体" w:hAnsi="宋体" w:cs="宋体"/>
          <w:sz w:val="21"/>
          <w:szCs w:val="21"/>
        </w:rPr>
        <w:t>对通过资格审查的合格响应人按提交响应文件时间的先后顺序磋商。</w:t>
      </w:r>
    </w:p>
    <w:p w14:paraId="0D080B43">
      <w:pPr>
        <w:pageBreakBefore w:val="0"/>
        <w:widowControl w:val="0"/>
        <w:kinsoku/>
        <w:wordWrap/>
        <w:overflowPunct/>
        <w:topLinePunct w:val="0"/>
        <w:autoSpaceDE/>
        <w:autoSpaceDN/>
        <w:bidi w:val="0"/>
        <w:adjustRightInd w:val="0"/>
        <w:snapToGrid w:val="0"/>
        <w:spacing w:line="360" w:lineRule="auto"/>
        <w:ind w:firstLine="420" w:firstLineChars="200"/>
        <w:jc w:val="left"/>
        <w:textAlignment w:val="auto"/>
        <w:outlineLvl w:val="2"/>
        <w:rPr>
          <w:rFonts w:ascii="宋体" w:hAnsi="宋体" w:cs="宋体"/>
          <w:sz w:val="21"/>
          <w:szCs w:val="21"/>
        </w:rPr>
      </w:pPr>
      <w:r>
        <w:rPr>
          <w:rFonts w:hint="eastAsia" w:ascii="宋体" w:hAnsi="宋体" w:cs="宋体"/>
          <w:sz w:val="21"/>
          <w:szCs w:val="21"/>
        </w:rPr>
        <w:t>3、磋商内容及过程</w:t>
      </w:r>
    </w:p>
    <w:p w14:paraId="1698B824">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b/>
          <w:sz w:val="21"/>
          <w:szCs w:val="21"/>
        </w:rPr>
      </w:pPr>
      <w:r>
        <w:rPr>
          <w:rFonts w:hint="eastAsia" w:ascii="宋体" w:hAnsi="宋体" w:cs="宋体"/>
          <w:sz w:val="21"/>
          <w:szCs w:val="21"/>
        </w:rPr>
        <w:t>磋商小组所有成员集中与单一响应人分别就价格、服务、技术等认为需要磋商的内容进行磋商，并给予所有参加磋商的响应人平等的磋商机会。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电子交易平台通知所有参加磋商的响应人。响应人应当按照磋商文件的变动情况和磋商小组的要求重新提交响应文件，并由其法定代表人或授权代表签字或者加盖公章。由授权代表签字的，应当附法定代表人/负责人授权书。</w:t>
      </w:r>
      <w:r>
        <w:rPr>
          <w:rFonts w:hint="eastAsia" w:ascii="宋体" w:hAnsi="宋体" w:cs="宋体"/>
          <w:b/>
          <w:sz w:val="21"/>
          <w:szCs w:val="21"/>
        </w:rPr>
        <w:t>磋商过程中再提供1次报价。（浏览器用谷歌，再次报价时间为30分钟，超过规定时间没有报价的，则按上一轮报价作为最终报价)。</w:t>
      </w:r>
    </w:p>
    <w:p w14:paraId="2E7DBA0C">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4、磋商结束后，在磋商小组进行商务技术评分时，磋商小组应当要求所有实质性响应的响应人在规定时间内提交最后报价。磋商小组认为响应人的磋商报价或者某些分项报价明显不合理或者低于成本，有可能影响服务质量和不能诚信履约的，应当要求其在规定的期限内提供电子文件予以解释说明，并提交相关证明材料；响应人未能提供证明材料，或磋商小组根据响应人提交的资料，认为其报价明显不合理或者低于成本并有可能影响服务质量和不能诚信履约的，可以判以无效响应。</w:t>
      </w:r>
    </w:p>
    <w:p w14:paraId="5BCCDE06">
      <w:pPr>
        <w:pageBreakBefore w:val="0"/>
        <w:widowControl w:val="0"/>
        <w:kinsoku/>
        <w:wordWrap/>
        <w:overflowPunct/>
        <w:topLinePunct w:val="0"/>
        <w:autoSpaceDE/>
        <w:autoSpaceDN/>
        <w:bidi w:val="0"/>
        <w:spacing w:line="360" w:lineRule="auto"/>
        <w:textAlignment w:val="auto"/>
        <w:outlineLvl w:val="1"/>
        <w:rPr>
          <w:rFonts w:ascii="宋体" w:hAnsi="宋体" w:cs="宋体"/>
          <w:b/>
          <w:sz w:val="21"/>
          <w:szCs w:val="21"/>
        </w:rPr>
      </w:pPr>
      <w:r>
        <w:rPr>
          <w:rFonts w:hint="eastAsia" w:ascii="宋体" w:hAnsi="宋体" w:cs="宋体"/>
          <w:sz w:val="21"/>
          <w:szCs w:val="21"/>
        </w:rPr>
        <w:t xml:space="preserve">    （三）</w:t>
      </w:r>
      <w:r>
        <w:rPr>
          <w:rFonts w:hint="eastAsia" w:ascii="宋体" w:hAnsi="宋体" w:cs="宋体"/>
          <w:b/>
          <w:sz w:val="21"/>
          <w:szCs w:val="21"/>
        </w:rPr>
        <w:t>澄清问题的形式</w:t>
      </w:r>
    </w:p>
    <w:p w14:paraId="5B75A00D">
      <w:pPr>
        <w:pageBreakBefore w:val="0"/>
        <w:widowControl w:val="0"/>
        <w:kinsoku/>
        <w:wordWrap/>
        <w:overflowPunct/>
        <w:topLinePunct w:val="0"/>
        <w:autoSpaceDE/>
        <w:autoSpaceDN/>
        <w:bidi w:val="0"/>
        <w:snapToGrid w:val="0"/>
        <w:spacing w:line="360" w:lineRule="auto"/>
        <w:ind w:right="-87"/>
        <w:textAlignment w:val="auto"/>
        <w:rPr>
          <w:rFonts w:ascii="宋体" w:hAnsi="宋体" w:cs="宋体"/>
          <w:sz w:val="21"/>
          <w:szCs w:val="21"/>
        </w:rPr>
      </w:pPr>
      <w:r>
        <w:rPr>
          <w:rFonts w:hint="eastAsia" w:ascii="宋体" w:hAnsi="宋体" w:cs="宋体"/>
          <w:sz w:val="21"/>
          <w:szCs w:val="21"/>
        </w:rPr>
        <w:t xml:space="preserve">    对投标文件中含义不明确、同类问题表述不一致或者有明显文字和计算错误的内容，</w:t>
      </w:r>
    </w:p>
    <w:p w14:paraId="4F8F2178">
      <w:pPr>
        <w:pageBreakBefore w:val="0"/>
        <w:widowControl w:val="0"/>
        <w:kinsoku/>
        <w:wordWrap/>
        <w:overflowPunct/>
        <w:topLinePunct w:val="0"/>
        <w:autoSpaceDE/>
        <w:autoSpaceDN/>
        <w:bidi w:val="0"/>
        <w:snapToGrid w:val="0"/>
        <w:spacing w:line="360" w:lineRule="auto"/>
        <w:ind w:right="-87"/>
        <w:textAlignment w:val="auto"/>
        <w:rPr>
          <w:rFonts w:ascii="宋体" w:hAnsi="宋体" w:cs="宋体"/>
          <w:sz w:val="21"/>
          <w:szCs w:val="21"/>
        </w:rPr>
      </w:pPr>
      <w:r>
        <w:rPr>
          <w:rFonts w:hint="eastAsia" w:ascii="宋体" w:hAnsi="宋体" w:cs="宋体"/>
          <w:sz w:val="21"/>
          <w:szCs w:val="21"/>
        </w:rPr>
        <w:t>评标委员会可要求投标人作出必要的澄清、说明或者纠正。投标人与评审小组通过电子交易平台交换数据电文的形式进行，给予投标人提交澄清说明或补正的时间不少于半个小时，投标人已经明确表示澄清说明或补正完毕的除外。不得超出投标文件的范围或者改变投标文件的实质性内容。</w:t>
      </w:r>
    </w:p>
    <w:p w14:paraId="1E9B8630">
      <w:pPr>
        <w:pageBreakBefore w:val="0"/>
        <w:widowControl w:val="0"/>
        <w:kinsoku/>
        <w:wordWrap/>
        <w:overflowPunct/>
        <w:topLinePunct w:val="0"/>
        <w:autoSpaceDE/>
        <w:autoSpaceDN/>
        <w:bidi w:val="0"/>
        <w:spacing w:line="360" w:lineRule="auto"/>
        <w:ind w:firstLine="422" w:firstLineChars="200"/>
        <w:textAlignment w:val="auto"/>
        <w:outlineLvl w:val="1"/>
        <w:rPr>
          <w:rFonts w:ascii="宋体" w:hAnsi="宋体" w:cs="宋体"/>
          <w:b/>
          <w:sz w:val="21"/>
          <w:szCs w:val="21"/>
        </w:rPr>
      </w:pPr>
      <w:r>
        <w:rPr>
          <w:rFonts w:hint="eastAsia" w:ascii="宋体" w:hAnsi="宋体" w:cs="宋体"/>
          <w:b/>
          <w:sz w:val="21"/>
          <w:szCs w:val="21"/>
        </w:rPr>
        <w:t>（四）错误修正</w:t>
      </w:r>
    </w:p>
    <w:p w14:paraId="2C8BDA2D">
      <w:pPr>
        <w:pStyle w:val="22"/>
        <w:pageBreakBefore w:val="0"/>
        <w:widowControl w:val="0"/>
        <w:kinsoku/>
        <w:wordWrap/>
        <w:overflowPunct/>
        <w:topLinePunct w:val="0"/>
        <w:autoSpaceDE/>
        <w:autoSpaceDN/>
        <w:bidi w:val="0"/>
        <w:snapToGrid w:val="0"/>
        <w:spacing w:line="360" w:lineRule="auto"/>
        <w:ind w:firstLine="420" w:firstLineChars="200"/>
        <w:textAlignment w:val="auto"/>
        <w:rPr>
          <w:rFonts w:hAnsi="宋体" w:eastAsia="宋体" w:cs="宋体"/>
          <w:sz w:val="21"/>
          <w:szCs w:val="21"/>
        </w:rPr>
      </w:pPr>
      <w:r>
        <w:rPr>
          <w:rFonts w:hint="eastAsia" w:hAnsi="宋体" w:eastAsia="宋体" w:cs="宋体"/>
          <w:sz w:val="21"/>
          <w:szCs w:val="21"/>
        </w:rPr>
        <w:t>投标文件如果出现计算或表达上的错误，修正错误的原则如下：</w:t>
      </w:r>
    </w:p>
    <w:p w14:paraId="714131B6">
      <w:pPr>
        <w:pStyle w:val="22"/>
        <w:pageBreakBefore w:val="0"/>
        <w:widowControl w:val="0"/>
        <w:kinsoku/>
        <w:wordWrap/>
        <w:overflowPunct/>
        <w:topLinePunct w:val="0"/>
        <w:autoSpaceDE/>
        <w:autoSpaceDN/>
        <w:bidi w:val="0"/>
        <w:snapToGrid w:val="0"/>
        <w:spacing w:line="360" w:lineRule="auto"/>
        <w:ind w:right="-85" w:firstLine="420" w:firstLineChars="200"/>
        <w:textAlignment w:val="auto"/>
        <w:rPr>
          <w:rFonts w:hAnsi="宋体" w:eastAsia="宋体" w:cs="宋体"/>
          <w:sz w:val="21"/>
          <w:szCs w:val="21"/>
        </w:rPr>
      </w:pPr>
      <w:r>
        <w:rPr>
          <w:rFonts w:hint="eastAsia" w:hAnsi="宋体" w:eastAsia="宋体" w:cs="宋体"/>
          <w:sz w:val="21"/>
          <w:szCs w:val="21"/>
        </w:rPr>
        <w:t>（1）投标文件中开标一览表（报价表）内容与投标文件中相应内容不一致的，以开标一览表（报价表）为准；</w:t>
      </w:r>
    </w:p>
    <w:p w14:paraId="337864B5">
      <w:pPr>
        <w:pStyle w:val="22"/>
        <w:pageBreakBefore w:val="0"/>
        <w:widowControl w:val="0"/>
        <w:kinsoku/>
        <w:wordWrap/>
        <w:overflowPunct/>
        <w:topLinePunct w:val="0"/>
        <w:autoSpaceDE/>
        <w:autoSpaceDN/>
        <w:bidi w:val="0"/>
        <w:snapToGrid w:val="0"/>
        <w:spacing w:line="360" w:lineRule="auto"/>
        <w:ind w:right="-85" w:firstLine="420" w:firstLineChars="200"/>
        <w:textAlignment w:val="auto"/>
        <w:rPr>
          <w:rFonts w:hAnsi="宋体" w:eastAsia="宋体" w:cs="宋体"/>
          <w:sz w:val="21"/>
          <w:szCs w:val="21"/>
        </w:rPr>
      </w:pPr>
      <w:r>
        <w:rPr>
          <w:rFonts w:hint="eastAsia" w:hAnsi="宋体" w:eastAsia="宋体" w:cs="宋体"/>
          <w:sz w:val="21"/>
          <w:szCs w:val="21"/>
        </w:rPr>
        <w:t>（2）大写金额和小写金额不一致的，以大写金额为准；</w:t>
      </w:r>
    </w:p>
    <w:p w14:paraId="40260397">
      <w:pPr>
        <w:pStyle w:val="22"/>
        <w:pageBreakBefore w:val="0"/>
        <w:widowControl w:val="0"/>
        <w:kinsoku/>
        <w:wordWrap/>
        <w:overflowPunct/>
        <w:topLinePunct w:val="0"/>
        <w:autoSpaceDE/>
        <w:autoSpaceDN/>
        <w:bidi w:val="0"/>
        <w:snapToGrid w:val="0"/>
        <w:spacing w:line="360" w:lineRule="auto"/>
        <w:ind w:right="-85"/>
        <w:textAlignment w:val="auto"/>
        <w:rPr>
          <w:rFonts w:hAnsi="宋体" w:eastAsia="宋体" w:cs="宋体"/>
          <w:sz w:val="21"/>
          <w:szCs w:val="21"/>
        </w:rPr>
      </w:pPr>
      <w:r>
        <w:rPr>
          <w:rFonts w:hint="eastAsia" w:hAnsi="宋体" w:eastAsia="宋体" w:cs="宋体"/>
          <w:sz w:val="21"/>
          <w:szCs w:val="21"/>
        </w:rPr>
        <w:t>　　（3）单价金额小数点或者百分比有明显错位的，以开标一览表的总价为准，并修改单价；</w:t>
      </w:r>
    </w:p>
    <w:p w14:paraId="58E45017">
      <w:pPr>
        <w:pStyle w:val="22"/>
        <w:pageBreakBefore w:val="0"/>
        <w:widowControl w:val="0"/>
        <w:numPr>
          <w:ilvl w:val="0"/>
          <w:numId w:val="7"/>
        </w:numPr>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总价金额与按单价汇总金额不一致的，以单价金额计算结果为准。</w:t>
      </w:r>
    </w:p>
    <w:p w14:paraId="294C42C4">
      <w:pPr>
        <w:pStyle w:val="22"/>
        <w:pageBreakBefore w:val="0"/>
        <w:widowControl w:val="0"/>
        <w:numPr>
          <w:ilvl w:val="0"/>
          <w:numId w:val="7"/>
        </w:numPr>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当投标文件中的开标一览表投标总价与政采云系统中的开标一栏标投标总价不一致，以投标文件中的开标一栏表为准。</w:t>
      </w:r>
    </w:p>
    <w:p w14:paraId="09E515BF">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同时出现两种以上不一致的，按照前款规定的顺序修正。</w:t>
      </w:r>
    </w:p>
    <w:p w14:paraId="0F4056BB">
      <w:pPr>
        <w:pStyle w:val="22"/>
        <w:pageBreakBefore w:val="0"/>
        <w:widowControl w:val="0"/>
        <w:kinsoku/>
        <w:wordWrap/>
        <w:overflowPunct/>
        <w:topLinePunct w:val="0"/>
        <w:autoSpaceDE/>
        <w:autoSpaceDN/>
        <w:bidi w:val="0"/>
        <w:snapToGrid w:val="0"/>
        <w:spacing w:line="360" w:lineRule="auto"/>
        <w:ind w:firstLine="417" w:firstLineChars="198"/>
        <w:textAlignment w:val="auto"/>
        <w:rPr>
          <w:rFonts w:hAnsi="宋体" w:eastAsia="宋体" w:cs="宋体"/>
          <w:b/>
          <w:sz w:val="21"/>
          <w:szCs w:val="21"/>
        </w:rPr>
      </w:pPr>
      <w:r>
        <w:rPr>
          <w:rFonts w:hint="eastAsia" w:hAnsi="宋体" w:eastAsia="宋体" w:cs="宋体"/>
          <w:b/>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36946172">
      <w:pPr>
        <w:pStyle w:val="22"/>
        <w:pageBreakBefore w:val="0"/>
        <w:widowControl w:val="0"/>
        <w:kinsoku/>
        <w:wordWrap/>
        <w:overflowPunct/>
        <w:topLinePunct w:val="0"/>
        <w:autoSpaceDE/>
        <w:autoSpaceDN/>
        <w:bidi w:val="0"/>
        <w:snapToGrid w:val="0"/>
        <w:spacing w:line="360" w:lineRule="auto"/>
        <w:ind w:left="228" w:firstLine="413" w:firstLineChars="196"/>
        <w:textAlignment w:val="auto"/>
        <w:outlineLvl w:val="1"/>
        <w:rPr>
          <w:rFonts w:hAnsi="宋体" w:eastAsia="宋体" w:cs="宋体"/>
          <w:b/>
          <w:sz w:val="21"/>
          <w:szCs w:val="21"/>
        </w:rPr>
      </w:pPr>
      <w:r>
        <w:rPr>
          <w:rFonts w:hint="eastAsia" w:hAnsi="宋体" w:eastAsia="宋体" w:cs="宋体"/>
          <w:b/>
          <w:sz w:val="21"/>
          <w:szCs w:val="21"/>
        </w:rPr>
        <w:t>（五）磋商原则和磋商办法</w:t>
      </w:r>
    </w:p>
    <w:p w14:paraId="06882EB6">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1.磋商原则。磋商小组必须公平、公正、客观，不带任何倾向性和启发性；不得向外界透露任何与评标有关的内容；任何单位和个人不得干扰、影响评标的正常进行；磋商小组及有关工作人员不得私下与供应商接触。</w:t>
      </w:r>
    </w:p>
    <w:p w14:paraId="25CC252A">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2.磋商办法。本项目采用综合评分法，具体磋商内容及评分标准等详见《第四章：磋商办法及标准》。</w:t>
      </w:r>
    </w:p>
    <w:p w14:paraId="37D22972">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3、《政府采购货物和服务招标投标管理办法》</w:t>
      </w:r>
    </w:p>
    <w:p w14:paraId="2412AD5C">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第三十一条: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B75E409">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本项目核心产品：/。</w:t>
      </w:r>
    </w:p>
    <w:p w14:paraId="705B8DC6">
      <w:pPr>
        <w:pStyle w:val="22"/>
        <w:pageBreakBefore w:val="0"/>
        <w:widowControl w:val="0"/>
        <w:kinsoku/>
        <w:wordWrap/>
        <w:overflowPunct/>
        <w:topLinePunct w:val="0"/>
        <w:autoSpaceDE/>
        <w:autoSpaceDN/>
        <w:bidi w:val="0"/>
        <w:snapToGrid w:val="0"/>
        <w:spacing w:line="360" w:lineRule="auto"/>
        <w:ind w:left="228" w:firstLine="413" w:firstLineChars="196"/>
        <w:textAlignment w:val="auto"/>
        <w:outlineLvl w:val="1"/>
        <w:rPr>
          <w:rFonts w:hAnsi="宋体" w:eastAsia="宋体" w:cs="宋体"/>
          <w:b/>
          <w:sz w:val="21"/>
          <w:szCs w:val="21"/>
        </w:rPr>
      </w:pPr>
      <w:r>
        <w:rPr>
          <w:rFonts w:hint="eastAsia" w:hAnsi="宋体" w:eastAsia="宋体" w:cs="宋体"/>
          <w:b/>
          <w:sz w:val="21"/>
          <w:szCs w:val="21"/>
        </w:rPr>
        <w:t>（六）评标过程的监控</w:t>
      </w:r>
    </w:p>
    <w:p w14:paraId="05F22916">
      <w:pPr>
        <w:pStyle w:val="22"/>
        <w:pageBreakBefore w:val="0"/>
        <w:widowControl w:val="0"/>
        <w:kinsoku/>
        <w:wordWrap/>
        <w:overflowPunct/>
        <w:topLinePunct w:val="0"/>
        <w:autoSpaceDE/>
        <w:autoSpaceDN/>
        <w:bidi w:val="0"/>
        <w:snapToGrid w:val="0"/>
        <w:spacing w:line="360" w:lineRule="auto"/>
        <w:ind w:left="228" w:firstLine="420" w:firstLineChars="200"/>
        <w:textAlignment w:val="auto"/>
        <w:rPr>
          <w:rFonts w:hAnsi="宋体" w:eastAsia="宋体" w:cs="宋体"/>
          <w:sz w:val="21"/>
          <w:szCs w:val="21"/>
        </w:rPr>
      </w:pPr>
      <w:r>
        <w:rPr>
          <w:rFonts w:hint="eastAsia" w:hAnsi="宋体" w:eastAsia="宋体" w:cs="宋体"/>
          <w:sz w:val="21"/>
          <w:szCs w:val="21"/>
        </w:rPr>
        <w:t>本项目评标过程实行全程录音、录像监控，供应商在评标过程中所进行的试图影响评标结果的不公正活动，可能导致其投标被拒绝。</w:t>
      </w:r>
    </w:p>
    <w:p w14:paraId="13C8BDCF">
      <w:pPr>
        <w:pageBreakBefore w:val="0"/>
        <w:widowControl w:val="0"/>
        <w:kinsoku/>
        <w:wordWrap/>
        <w:overflowPunct/>
        <w:topLinePunct w:val="0"/>
        <w:autoSpaceDE/>
        <w:autoSpaceDN/>
        <w:bidi w:val="0"/>
        <w:snapToGrid w:val="0"/>
        <w:spacing w:line="360" w:lineRule="auto"/>
        <w:jc w:val="center"/>
        <w:textAlignment w:val="auto"/>
        <w:outlineLvl w:val="2"/>
        <w:rPr>
          <w:rFonts w:ascii="宋体" w:hAnsi="宋体" w:cs="宋体"/>
          <w:b/>
          <w:sz w:val="21"/>
          <w:szCs w:val="21"/>
        </w:rPr>
      </w:pPr>
      <w:r>
        <w:rPr>
          <w:rFonts w:hint="eastAsia" w:ascii="宋体" w:hAnsi="宋体" w:cs="宋体"/>
          <w:b/>
          <w:sz w:val="21"/>
          <w:szCs w:val="21"/>
        </w:rPr>
        <w:t>六、废标</w:t>
      </w:r>
    </w:p>
    <w:p w14:paraId="4588EBDF">
      <w:pPr>
        <w:pageBreakBefore w:val="0"/>
        <w:widowControl w:val="0"/>
        <w:kinsoku/>
        <w:wordWrap/>
        <w:overflowPunct/>
        <w:topLinePunct w:val="0"/>
        <w:autoSpaceDE/>
        <w:autoSpaceDN/>
        <w:bidi w:val="0"/>
        <w:snapToGrid w:val="0"/>
        <w:spacing w:line="360" w:lineRule="auto"/>
        <w:ind w:firstLine="520" w:firstLineChars="248"/>
        <w:textAlignment w:val="auto"/>
        <w:outlineLvl w:val="2"/>
        <w:rPr>
          <w:rFonts w:ascii="宋体" w:hAnsi="宋体" w:cs="宋体"/>
          <w:sz w:val="21"/>
          <w:szCs w:val="21"/>
        </w:rPr>
      </w:pPr>
      <w:r>
        <w:rPr>
          <w:rFonts w:hint="eastAsia" w:ascii="宋体" w:hAnsi="宋体" w:cs="宋体"/>
          <w:sz w:val="21"/>
          <w:szCs w:val="21"/>
        </w:rPr>
        <w:t>（一）根据《中华人民共和国政府采购法》第三十六条，出现下列情形之一的，应予以废标：</w:t>
      </w:r>
    </w:p>
    <w:p w14:paraId="75779B63">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1．符合专业条件的供应商或者对招标文件作实质响应的供应商不足三家的；</w:t>
      </w:r>
    </w:p>
    <w:p w14:paraId="5086BA0E">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2．出现影响采购公正的违法、违规行为的；</w:t>
      </w:r>
    </w:p>
    <w:p w14:paraId="296CC354">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3．投标人的报价均超过了采购预算，采购人不能支付的；</w:t>
      </w:r>
    </w:p>
    <w:p w14:paraId="1ADA32EE">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4．因重大变故，采购任务取消的。</w:t>
      </w:r>
    </w:p>
    <w:p w14:paraId="2638F7B9">
      <w:pPr>
        <w:pageBreakBefore w:val="0"/>
        <w:widowControl w:val="0"/>
        <w:kinsoku/>
        <w:wordWrap/>
        <w:overflowPunct/>
        <w:topLinePunct w:val="0"/>
        <w:autoSpaceDE/>
        <w:autoSpaceDN/>
        <w:bidi w:val="0"/>
        <w:snapToGrid w:val="0"/>
        <w:spacing w:line="360" w:lineRule="auto"/>
        <w:ind w:firstLine="520" w:firstLineChars="248"/>
        <w:textAlignment w:val="auto"/>
        <w:rPr>
          <w:rFonts w:ascii="宋体" w:hAnsi="宋体" w:cs="宋体"/>
          <w:sz w:val="21"/>
          <w:szCs w:val="21"/>
        </w:rPr>
      </w:pPr>
      <w:r>
        <w:rPr>
          <w:rFonts w:hint="eastAsia" w:ascii="宋体" w:hAnsi="宋体" w:cs="宋体"/>
          <w:sz w:val="21"/>
          <w:szCs w:val="21"/>
        </w:rPr>
        <w:t>废标后，采购人应当将废标理由通知所有投标人，废标后，除采购任务取消情形外，应当重新组织招标。</w:t>
      </w:r>
    </w:p>
    <w:p w14:paraId="186B0F1D">
      <w:pPr>
        <w:pStyle w:val="22"/>
        <w:pageBreakBefore w:val="0"/>
        <w:widowControl w:val="0"/>
        <w:kinsoku/>
        <w:wordWrap/>
        <w:overflowPunct/>
        <w:topLinePunct w:val="0"/>
        <w:autoSpaceDE/>
        <w:autoSpaceDN/>
        <w:bidi w:val="0"/>
        <w:snapToGrid w:val="0"/>
        <w:spacing w:line="360" w:lineRule="auto"/>
        <w:ind w:firstLine="520" w:firstLineChars="248"/>
        <w:textAlignment w:val="auto"/>
        <w:outlineLvl w:val="2"/>
        <w:rPr>
          <w:rFonts w:hAnsi="宋体" w:eastAsia="宋体" w:cs="宋体"/>
          <w:sz w:val="21"/>
          <w:szCs w:val="21"/>
        </w:rPr>
      </w:pPr>
      <w:r>
        <w:rPr>
          <w:rFonts w:hint="eastAsia" w:hAnsi="宋体" w:eastAsia="宋体" w:cs="宋体"/>
          <w:sz w:val="21"/>
          <w:szCs w:val="21"/>
        </w:rPr>
        <w:t>（二）根据《财政部关于政府采购竞争性磋商采购方式管理暂行办法有关问题的补充通知》：</w:t>
      </w:r>
    </w:p>
    <w:p w14:paraId="3CEFFF1C">
      <w:pPr>
        <w:pStyle w:val="22"/>
        <w:pageBreakBefore w:val="0"/>
        <w:widowControl w:val="0"/>
        <w:kinsoku/>
        <w:wordWrap/>
        <w:overflowPunct/>
        <w:topLinePunct w:val="0"/>
        <w:autoSpaceDE/>
        <w:autoSpaceDN/>
        <w:bidi w:val="0"/>
        <w:snapToGrid w:val="0"/>
        <w:spacing w:line="360" w:lineRule="auto"/>
        <w:ind w:firstLine="520" w:firstLineChars="248"/>
        <w:textAlignment w:val="auto"/>
        <w:rPr>
          <w:rFonts w:hAnsi="宋体" w:eastAsia="宋体" w:cs="宋体"/>
          <w:sz w:val="21"/>
          <w:szCs w:val="21"/>
        </w:rPr>
      </w:pPr>
      <w:r>
        <w:rPr>
          <w:rFonts w:hint="eastAsia" w:hAnsi="宋体" w:eastAsia="宋体" w:cs="宋体"/>
          <w:sz w:val="21"/>
          <w:szCs w:val="21"/>
        </w:rPr>
        <w:t>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22E0828">
      <w:pPr>
        <w:pStyle w:val="17"/>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七、定标</w:t>
      </w:r>
    </w:p>
    <w:p w14:paraId="5F611DEB">
      <w:pPr>
        <w:pStyle w:val="22"/>
        <w:pageBreakBefore w:val="0"/>
        <w:widowControl w:val="0"/>
        <w:kinsoku/>
        <w:wordWrap/>
        <w:overflowPunct/>
        <w:topLinePunct w:val="0"/>
        <w:autoSpaceDE/>
        <w:autoSpaceDN/>
        <w:bidi w:val="0"/>
        <w:snapToGrid w:val="0"/>
        <w:spacing w:line="360" w:lineRule="auto"/>
        <w:ind w:firstLine="411" w:firstLineChars="195"/>
        <w:textAlignment w:val="auto"/>
        <w:outlineLvl w:val="1"/>
        <w:rPr>
          <w:rFonts w:hAnsi="宋体" w:eastAsia="宋体" w:cs="宋体"/>
          <w:b/>
          <w:bCs/>
          <w:sz w:val="21"/>
          <w:szCs w:val="21"/>
        </w:rPr>
      </w:pPr>
      <w:r>
        <w:rPr>
          <w:rFonts w:hint="eastAsia" w:hAnsi="宋体" w:eastAsia="宋体" w:cs="宋体"/>
          <w:b/>
          <w:bCs/>
          <w:sz w:val="21"/>
          <w:szCs w:val="21"/>
        </w:rPr>
        <w:t>（一）确定中标人。本项目由采购人事先授权磋商小组确定中标人。</w:t>
      </w:r>
    </w:p>
    <w:p w14:paraId="23B8B6BA">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1.采购代理机构在评标结束后2个工作日内将评标报告交采购人确认，同时在发布招标公告的网站上对评标结果进行公示。</w:t>
      </w:r>
    </w:p>
    <w:p w14:paraId="06DDE2A2">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pacing w:val="-10"/>
          <w:sz w:val="21"/>
          <w:szCs w:val="21"/>
        </w:rPr>
      </w:pPr>
      <w:r>
        <w:rPr>
          <w:rFonts w:hint="eastAsia" w:ascii="宋体" w:hAnsi="宋体" w:cs="宋体"/>
          <w:sz w:val="21"/>
          <w:szCs w:val="21"/>
        </w:rPr>
        <w:t>2.供应商对评标结果无异议的，采购人应在收到评标报告后5个工作日内对评标结果进行确认。如有供应商对评标结果提出质疑的，采购人可在质疑处理完毕后确定中标人</w:t>
      </w:r>
      <w:r>
        <w:rPr>
          <w:rFonts w:hint="eastAsia" w:ascii="宋体" w:hAnsi="宋体" w:cs="宋体"/>
          <w:spacing w:val="-10"/>
          <w:sz w:val="21"/>
          <w:szCs w:val="21"/>
        </w:rPr>
        <w:t>。</w:t>
      </w:r>
    </w:p>
    <w:p w14:paraId="35E76129">
      <w:pPr>
        <w:pageBreakBefore w:val="0"/>
        <w:widowControl w:val="0"/>
        <w:kinsoku/>
        <w:wordWrap/>
        <w:overflowPunct/>
        <w:topLinePunct w:val="0"/>
        <w:autoSpaceDE/>
        <w:autoSpaceDN/>
        <w:bidi w:val="0"/>
        <w:snapToGrid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3.采购人依法确定中标人后2个工作日内，采购代理机构以书面形式发出《中标通知书》,并同时在相关网站上发布中标公告。</w:t>
      </w:r>
    </w:p>
    <w:p w14:paraId="1EE818B7">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二）中标人因自身原因放弃中标成交或因不可抗力不能履行合同的；经质疑，采购代理机构审查确认因中标人在本次采购活动中存在违法违规行为或其他原因使质疑成立的；采购人可以与排位在中标人之后第一位的中标候选人签订政府采购合同，以此类推。</w:t>
      </w:r>
    </w:p>
    <w:p w14:paraId="170E1B5F">
      <w:pPr>
        <w:pStyle w:val="17"/>
        <w:pageBreakBefore w:val="0"/>
        <w:widowControl w:val="0"/>
        <w:kinsoku/>
        <w:wordWrap/>
        <w:overflowPunct/>
        <w:topLinePunct w:val="0"/>
        <w:autoSpaceDE/>
        <w:autoSpaceDN/>
        <w:bidi w:val="0"/>
        <w:snapToGrid w:val="0"/>
        <w:spacing w:line="360" w:lineRule="auto"/>
        <w:ind w:firstLine="2513" w:firstLineChars="1239"/>
        <w:textAlignment w:val="auto"/>
        <w:outlineLvl w:val="2"/>
        <w:rPr>
          <w:rFonts w:hAnsi="宋体" w:cs="宋体"/>
          <w:b/>
          <w:sz w:val="21"/>
          <w:szCs w:val="21"/>
        </w:rPr>
      </w:pPr>
      <w:r>
        <w:rPr>
          <w:rFonts w:hint="eastAsia" w:hAnsi="宋体" w:cs="宋体"/>
          <w:b/>
          <w:sz w:val="21"/>
          <w:szCs w:val="21"/>
        </w:rPr>
        <w:t>八、合同授予</w:t>
      </w:r>
    </w:p>
    <w:p w14:paraId="5617C6D1">
      <w:pPr>
        <w:pStyle w:val="22"/>
        <w:pageBreakBefore w:val="0"/>
        <w:widowControl w:val="0"/>
        <w:kinsoku/>
        <w:wordWrap/>
        <w:overflowPunct/>
        <w:topLinePunct w:val="0"/>
        <w:autoSpaceDE/>
        <w:autoSpaceDN/>
        <w:bidi w:val="0"/>
        <w:snapToGrid w:val="0"/>
        <w:spacing w:line="360" w:lineRule="auto"/>
        <w:ind w:firstLine="415" w:firstLineChars="198"/>
        <w:textAlignment w:val="auto"/>
        <w:outlineLvl w:val="1"/>
        <w:rPr>
          <w:rFonts w:hAnsi="宋体" w:eastAsia="宋体" w:cs="宋体"/>
          <w:sz w:val="21"/>
          <w:szCs w:val="21"/>
        </w:rPr>
      </w:pPr>
      <w:bookmarkStart w:id="2" w:name="_Toc480187579"/>
      <w:r>
        <w:rPr>
          <w:rFonts w:hint="eastAsia" w:hAnsi="宋体" w:eastAsia="宋体" w:cs="宋体"/>
          <w:sz w:val="21"/>
          <w:szCs w:val="21"/>
        </w:rPr>
        <w:t>（一）签订合同</w:t>
      </w:r>
    </w:p>
    <w:p w14:paraId="1A03D63D">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1、中标人应自接到中标通知书后30日内与采购人签定合同。同时，采购代理机构对合同内容进行审查，如发现与采购结果和投标承诺内容不一致的，应予以纠正。</w:t>
      </w:r>
    </w:p>
    <w:p w14:paraId="31333634">
      <w:pPr>
        <w:pStyle w:val="22"/>
        <w:pageBreakBefore w:val="0"/>
        <w:widowControl w:val="0"/>
        <w:kinsoku/>
        <w:wordWrap/>
        <w:overflowPunct/>
        <w:topLinePunct w:val="0"/>
        <w:autoSpaceDE/>
        <w:autoSpaceDN/>
        <w:bidi w:val="0"/>
        <w:snapToGrid w:val="0"/>
        <w:spacing w:line="360" w:lineRule="auto"/>
        <w:ind w:firstLine="415" w:firstLineChars="198"/>
        <w:textAlignment w:val="auto"/>
        <w:outlineLvl w:val="2"/>
        <w:rPr>
          <w:rFonts w:hAnsi="宋体" w:eastAsia="宋体" w:cs="宋体"/>
          <w:sz w:val="21"/>
          <w:szCs w:val="21"/>
        </w:rPr>
      </w:pPr>
      <w:r>
        <w:rPr>
          <w:rFonts w:hint="eastAsia" w:hAnsi="宋体" w:eastAsia="宋体" w:cs="宋体"/>
          <w:sz w:val="21"/>
          <w:szCs w:val="21"/>
        </w:rPr>
        <w:t>2、中标人拖延、拒签合同的，将上报监管部门并取消中标资格。</w:t>
      </w:r>
    </w:p>
    <w:p w14:paraId="19F60967">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3、中标人和采购人签订合同，按合同规定的供货时间供货并安装调试完毕。</w:t>
      </w:r>
    </w:p>
    <w:p w14:paraId="71A60279">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1D134CE8">
      <w:pPr>
        <w:pStyle w:val="22"/>
        <w:pageBreakBefore w:val="0"/>
        <w:widowControl w:val="0"/>
        <w:kinsoku/>
        <w:wordWrap/>
        <w:overflowPunct/>
        <w:topLinePunct w:val="0"/>
        <w:autoSpaceDE/>
        <w:autoSpaceDN/>
        <w:bidi w:val="0"/>
        <w:snapToGrid w:val="0"/>
        <w:spacing w:line="360" w:lineRule="auto"/>
        <w:ind w:firstLine="415" w:firstLineChars="198"/>
        <w:textAlignment w:val="auto"/>
        <w:outlineLvl w:val="1"/>
        <w:rPr>
          <w:rFonts w:hAnsi="宋体" w:eastAsia="宋体" w:cs="宋体"/>
          <w:sz w:val="21"/>
          <w:szCs w:val="21"/>
        </w:rPr>
      </w:pPr>
      <w:r>
        <w:rPr>
          <w:rFonts w:hint="eastAsia" w:hAnsi="宋体" w:eastAsia="宋体" w:cs="宋体"/>
          <w:sz w:val="21"/>
          <w:szCs w:val="21"/>
        </w:rPr>
        <w:t>（二）合同公告</w:t>
      </w:r>
    </w:p>
    <w:p w14:paraId="7A1A49C0">
      <w:pPr>
        <w:pStyle w:val="22"/>
        <w:pageBreakBefore w:val="0"/>
        <w:widowControl w:val="0"/>
        <w:kinsoku/>
        <w:wordWrap/>
        <w:overflowPunct/>
        <w:topLinePunct w:val="0"/>
        <w:autoSpaceDE/>
        <w:autoSpaceDN/>
        <w:bidi w:val="0"/>
        <w:snapToGrid w:val="0"/>
        <w:spacing w:line="360" w:lineRule="auto"/>
        <w:ind w:firstLine="415" w:firstLineChars="198"/>
        <w:textAlignment w:val="auto"/>
        <w:rPr>
          <w:rFonts w:hAnsi="宋体" w:eastAsia="宋体" w:cs="宋体"/>
          <w:sz w:val="21"/>
          <w:szCs w:val="21"/>
        </w:rPr>
      </w:pPr>
      <w:r>
        <w:rPr>
          <w:rFonts w:hint="eastAsia" w:hAnsi="宋体" w:eastAsia="宋体" w:cs="宋体"/>
          <w:sz w:val="21"/>
          <w:szCs w:val="21"/>
        </w:rPr>
        <w:t>采购人应当自政府采购合同签订之日起2个工作日内，将政府采购合同在省级以上人民政府财政部门指定的媒体上公告，但政府采购合同中涉及国家秘密、商业秘密的内容除外。</w:t>
      </w:r>
    </w:p>
    <w:p w14:paraId="2A2F9431">
      <w:pPr>
        <w:pStyle w:val="22"/>
        <w:pageBreakBefore w:val="0"/>
        <w:widowControl w:val="0"/>
        <w:kinsoku/>
        <w:wordWrap/>
        <w:overflowPunct/>
        <w:topLinePunct w:val="0"/>
        <w:autoSpaceDE/>
        <w:autoSpaceDN/>
        <w:bidi w:val="0"/>
        <w:snapToGrid w:val="0"/>
        <w:spacing w:line="360" w:lineRule="auto"/>
        <w:ind w:right="-506" w:rightChars="-241"/>
        <w:jc w:val="center"/>
        <w:textAlignment w:val="auto"/>
        <w:outlineLvl w:val="2"/>
        <w:rPr>
          <w:rFonts w:hAnsi="宋体" w:eastAsia="宋体" w:cs="宋体"/>
          <w:b/>
          <w:spacing w:val="-4"/>
          <w:sz w:val="21"/>
          <w:szCs w:val="21"/>
        </w:rPr>
      </w:pPr>
      <w:r>
        <w:rPr>
          <w:rFonts w:hint="eastAsia" w:hAnsi="宋体" w:eastAsia="宋体" w:cs="宋体"/>
          <w:b/>
          <w:spacing w:val="-4"/>
          <w:sz w:val="21"/>
          <w:szCs w:val="21"/>
        </w:rPr>
        <w:t>九、解释权</w:t>
      </w:r>
      <w:bookmarkEnd w:id="2"/>
    </w:p>
    <w:p w14:paraId="64DBE3AA">
      <w:pPr>
        <w:pageBreakBefore w:val="0"/>
        <w:widowControl w:val="0"/>
        <w:kinsoku/>
        <w:wordWrap/>
        <w:overflowPunct/>
        <w:topLinePunct w:val="0"/>
        <w:autoSpaceDE/>
        <w:autoSpaceDN/>
        <w:bidi w:val="0"/>
        <w:spacing w:line="360" w:lineRule="auto"/>
        <w:ind w:firstLine="420"/>
        <w:textAlignment w:val="auto"/>
        <w:outlineLvl w:val="3"/>
        <w:rPr>
          <w:rFonts w:ascii="宋体" w:hAnsi="宋体" w:cs="宋体"/>
          <w:sz w:val="21"/>
          <w:szCs w:val="21"/>
        </w:rPr>
      </w:pPr>
      <w:r>
        <w:rPr>
          <w:rFonts w:hint="eastAsia" w:ascii="宋体" w:hAnsi="宋体" w:cs="宋体"/>
          <w:sz w:val="21"/>
          <w:szCs w:val="21"/>
        </w:rPr>
        <w:t>1、解释权</w:t>
      </w:r>
    </w:p>
    <w:p w14:paraId="6AA16CC1">
      <w:pPr>
        <w:pageBreakBefore w:val="0"/>
        <w:widowControl w:val="0"/>
        <w:kinsoku/>
        <w:wordWrap/>
        <w:overflowPunct/>
        <w:topLinePunct w:val="0"/>
        <w:autoSpaceDE/>
        <w:autoSpaceDN/>
        <w:bidi w:val="0"/>
        <w:spacing w:line="360" w:lineRule="auto"/>
        <w:ind w:firstLine="420" w:firstLineChars="200"/>
        <w:textAlignment w:val="auto"/>
        <w:rPr>
          <w:rFonts w:ascii="宋体" w:hAnsi="宋体" w:cs="宋体"/>
          <w:sz w:val="21"/>
          <w:szCs w:val="21"/>
        </w:rPr>
      </w:pPr>
      <w:r>
        <w:rPr>
          <w:rFonts w:hint="eastAsia" w:ascii="宋体" w:hAnsi="宋体" w:cs="宋体"/>
          <w:sz w:val="21"/>
          <w:szCs w:val="21"/>
        </w:rPr>
        <w:t>凡涉及本次招标文件的解释权均属于</w:t>
      </w:r>
      <w:r>
        <w:rPr>
          <w:rFonts w:hint="eastAsia" w:ascii="宋体" w:hAnsi="宋体" w:cs="宋体"/>
          <w:sz w:val="21"/>
          <w:szCs w:val="21"/>
          <w:lang w:eastAsia="zh-CN"/>
        </w:rPr>
        <w:t>浙江卓宏建设项目管理有限公司</w:t>
      </w:r>
      <w:r>
        <w:rPr>
          <w:rFonts w:hint="eastAsia" w:ascii="宋体" w:hAnsi="宋体" w:cs="宋体"/>
          <w:sz w:val="21"/>
          <w:szCs w:val="21"/>
        </w:rPr>
        <w:t>。</w:t>
      </w:r>
    </w:p>
    <w:p w14:paraId="745516F6">
      <w:pPr>
        <w:snapToGrid w:val="0"/>
        <w:spacing w:line="240" w:lineRule="auto"/>
        <w:jc w:val="center"/>
        <w:rPr>
          <w:rFonts w:ascii="宋体" w:hAnsi="宋体" w:cs="宋体"/>
          <w:b/>
          <w:sz w:val="21"/>
          <w:szCs w:val="21"/>
        </w:rPr>
      </w:pPr>
    </w:p>
    <w:p w14:paraId="53390B28">
      <w:pPr>
        <w:pStyle w:val="22"/>
        <w:snapToGrid w:val="0"/>
        <w:spacing w:line="240" w:lineRule="auto"/>
        <w:ind w:right="-506" w:rightChars="-241"/>
        <w:jc w:val="center"/>
        <w:outlineLvl w:val="2"/>
        <w:rPr>
          <w:rFonts w:hAnsi="宋体" w:eastAsia="宋体" w:cs="宋体"/>
          <w:b/>
          <w:spacing w:val="-4"/>
          <w:sz w:val="21"/>
          <w:szCs w:val="21"/>
        </w:rPr>
      </w:pPr>
      <w:r>
        <w:rPr>
          <w:rFonts w:hint="eastAsia" w:hAnsi="宋体" w:eastAsia="宋体" w:cs="宋体"/>
          <w:b/>
          <w:spacing w:val="-4"/>
          <w:sz w:val="21"/>
          <w:szCs w:val="21"/>
          <w:lang w:eastAsia="zh-CN"/>
        </w:rPr>
        <w:t>十、</w:t>
      </w:r>
      <w:r>
        <w:rPr>
          <w:rFonts w:hint="eastAsia" w:hAnsi="宋体" w:eastAsia="宋体" w:cs="宋体"/>
          <w:b/>
          <w:spacing w:val="-4"/>
          <w:sz w:val="21"/>
          <w:szCs w:val="21"/>
        </w:rPr>
        <w:t>信贷政策</w:t>
      </w:r>
    </w:p>
    <w:p w14:paraId="0198FEC3">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outlineLvl w:val="1"/>
        <w:rPr>
          <w:rFonts w:ascii="宋体" w:hAnsi="宋体" w:cs="宋体"/>
          <w:color w:val="000000"/>
          <w:sz w:val="21"/>
          <w:szCs w:val="21"/>
        </w:rPr>
      </w:pPr>
      <w:r>
        <w:rPr>
          <w:rFonts w:hint="eastAsia" w:ascii="宋体" w:hAnsi="宋体" w:cs="宋体"/>
          <w:bCs/>
          <w:sz w:val="21"/>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37"/>
        <w:tblW w:w="9802" w:type="dxa"/>
        <w:tblInd w:w="-1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
        <w:gridCol w:w="1636"/>
        <w:gridCol w:w="3975"/>
        <w:gridCol w:w="2220"/>
        <w:gridCol w:w="1928"/>
        <w:gridCol w:w="23"/>
      </w:tblGrid>
      <w:tr w14:paraId="4B40C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0" w:type="dxa"/>
        </w:trPr>
        <w:tc>
          <w:tcPr>
            <w:tcW w:w="9782" w:type="dxa"/>
            <w:gridSpan w:val="5"/>
            <w:tcBorders>
              <w:top w:val="single" w:color="auto" w:sz="4" w:space="0"/>
              <w:left w:val="single" w:color="auto" w:sz="4" w:space="0"/>
              <w:bottom w:val="single" w:color="auto" w:sz="4" w:space="0"/>
              <w:right w:val="single" w:color="auto" w:sz="4" w:space="0"/>
            </w:tcBorders>
          </w:tcPr>
          <w:p w14:paraId="4C92E918">
            <w:pPr>
              <w:spacing w:line="240" w:lineRule="auto"/>
              <w:ind w:firstLine="555"/>
              <w:rPr>
                <w:rFonts w:ascii="宋体" w:hAnsi="宋体" w:cs="宋体"/>
                <w:bCs/>
                <w:sz w:val="21"/>
                <w:szCs w:val="21"/>
              </w:rPr>
            </w:pPr>
            <w:r>
              <w:rPr>
                <w:rFonts w:hint="eastAsia" w:ascii="宋体" w:hAnsi="宋体" w:cs="宋体"/>
                <w:bCs/>
                <w:sz w:val="21"/>
                <w:szCs w:val="21"/>
              </w:rPr>
              <w:t>舟山市政府采购信用融资合作银行</w:t>
            </w:r>
          </w:p>
        </w:tc>
      </w:tr>
      <w:tr w14:paraId="6F759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525" w:hRule="atLeast"/>
          <w:jc w:val="center"/>
        </w:trPr>
        <w:tc>
          <w:tcPr>
            <w:tcW w:w="1656" w:type="dxa"/>
            <w:gridSpan w:val="2"/>
            <w:vAlign w:val="center"/>
          </w:tcPr>
          <w:p w14:paraId="5559FF0C">
            <w:pPr>
              <w:spacing w:line="240" w:lineRule="auto"/>
              <w:contextualSpacing/>
              <w:jc w:val="center"/>
              <w:rPr>
                <w:rFonts w:ascii="宋体" w:hAnsi="宋体" w:cs="宋体"/>
                <w:bCs/>
                <w:sz w:val="21"/>
                <w:szCs w:val="21"/>
              </w:rPr>
            </w:pPr>
            <w:r>
              <w:rPr>
                <w:rFonts w:hint="eastAsia" w:ascii="宋体" w:hAnsi="宋体" w:cs="宋体"/>
                <w:bCs/>
                <w:sz w:val="21"/>
                <w:szCs w:val="21"/>
              </w:rPr>
              <w:t>银行名称</w:t>
            </w:r>
          </w:p>
        </w:tc>
        <w:tc>
          <w:tcPr>
            <w:tcW w:w="3975" w:type="dxa"/>
            <w:vAlign w:val="center"/>
          </w:tcPr>
          <w:p w14:paraId="64F6C299">
            <w:pPr>
              <w:spacing w:line="240" w:lineRule="auto"/>
              <w:contextualSpacing/>
              <w:jc w:val="center"/>
              <w:rPr>
                <w:rFonts w:ascii="宋体" w:hAnsi="宋体" w:cs="宋体"/>
                <w:bCs/>
                <w:sz w:val="21"/>
                <w:szCs w:val="21"/>
              </w:rPr>
            </w:pPr>
            <w:r>
              <w:rPr>
                <w:rFonts w:hint="eastAsia" w:ascii="宋体" w:hAnsi="宋体" w:cs="宋体"/>
                <w:bCs/>
                <w:sz w:val="21"/>
                <w:szCs w:val="21"/>
              </w:rPr>
              <w:t>各银行介绍的产品特点</w:t>
            </w:r>
          </w:p>
        </w:tc>
        <w:tc>
          <w:tcPr>
            <w:tcW w:w="2220" w:type="dxa"/>
            <w:vAlign w:val="center"/>
          </w:tcPr>
          <w:p w14:paraId="552C91FB">
            <w:pPr>
              <w:spacing w:line="240" w:lineRule="auto"/>
              <w:contextualSpacing/>
              <w:jc w:val="center"/>
              <w:rPr>
                <w:rFonts w:ascii="宋体" w:hAnsi="宋体" w:cs="宋体"/>
                <w:bCs/>
                <w:sz w:val="21"/>
                <w:szCs w:val="21"/>
              </w:rPr>
            </w:pPr>
            <w:r>
              <w:rPr>
                <w:rFonts w:hint="eastAsia" w:ascii="宋体" w:hAnsi="宋体" w:cs="宋体"/>
                <w:bCs/>
                <w:sz w:val="21"/>
                <w:szCs w:val="21"/>
              </w:rPr>
              <w:t>经办人</w:t>
            </w:r>
          </w:p>
        </w:tc>
        <w:tc>
          <w:tcPr>
            <w:tcW w:w="1928" w:type="dxa"/>
            <w:vAlign w:val="center"/>
          </w:tcPr>
          <w:p w14:paraId="0934BD33">
            <w:pPr>
              <w:spacing w:line="240" w:lineRule="auto"/>
              <w:contextualSpacing/>
              <w:jc w:val="center"/>
              <w:rPr>
                <w:rFonts w:ascii="宋体" w:hAnsi="宋体" w:cs="宋体"/>
                <w:bCs/>
                <w:sz w:val="21"/>
                <w:szCs w:val="21"/>
              </w:rPr>
            </w:pPr>
            <w:r>
              <w:rPr>
                <w:rFonts w:hint="eastAsia" w:ascii="宋体" w:hAnsi="宋体" w:cs="宋体"/>
                <w:bCs/>
                <w:sz w:val="21"/>
                <w:szCs w:val="21"/>
              </w:rPr>
              <w:t>联系方式</w:t>
            </w:r>
          </w:p>
        </w:tc>
      </w:tr>
      <w:tr w14:paraId="2818F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74E608A9">
            <w:pPr>
              <w:spacing w:line="240" w:lineRule="auto"/>
              <w:contextualSpacing/>
              <w:rPr>
                <w:rFonts w:ascii="宋体" w:hAnsi="宋体" w:cs="宋体"/>
                <w:bCs/>
                <w:sz w:val="21"/>
                <w:szCs w:val="21"/>
              </w:rPr>
            </w:pPr>
            <w:r>
              <w:rPr>
                <w:rFonts w:hint="eastAsia" w:ascii="宋体" w:hAnsi="宋体" w:cs="宋体"/>
                <w:bCs/>
                <w:sz w:val="21"/>
                <w:szCs w:val="21"/>
              </w:rPr>
              <w:t>中国工商银行股份有限公司舟山分行</w:t>
            </w:r>
          </w:p>
        </w:tc>
        <w:tc>
          <w:tcPr>
            <w:tcW w:w="3975" w:type="dxa"/>
          </w:tcPr>
          <w:p w14:paraId="3790097C">
            <w:pPr>
              <w:numPr>
                <w:ilvl w:val="0"/>
                <w:numId w:val="8"/>
              </w:numPr>
              <w:spacing w:line="240" w:lineRule="auto"/>
              <w:contextualSpacing/>
              <w:rPr>
                <w:rFonts w:ascii="宋体" w:hAnsi="宋体" w:cs="宋体"/>
                <w:bCs/>
                <w:sz w:val="21"/>
                <w:szCs w:val="21"/>
              </w:rPr>
            </w:pPr>
            <w:r>
              <w:rPr>
                <w:rFonts w:hint="eastAsia" w:ascii="宋体" w:hAnsi="宋体" w:cs="宋体"/>
                <w:bCs/>
                <w:sz w:val="21"/>
                <w:szCs w:val="21"/>
              </w:rPr>
              <w:t>融资额度高，融资金额最高可至订单金额70%，线上申请，随借随还。2.融资利率低，最低可至当期LPR利率。</w:t>
            </w:r>
          </w:p>
          <w:p w14:paraId="7D8166EE">
            <w:pPr>
              <w:spacing w:line="240" w:lineRule="auto"/>
              <w:contextualSpacing/>
              <w:rPr>
                <w:rFonts w:ascii="宋体" w:hAnsi="宋体" w:cs="宋体"/>
                <w:bCs/>
                <w:sz w:val="21"/>
                <w:szCs w:val="21"/>
              </w:rPr>
            </w:pPr>
            <w:r>
              <w:rPr>
                <w:rFonts w:hint="eastAsia" w:ascii="宋体" w:hAnsi="宋体" w:cs="宋体"/>
                <w:bCs/>
                <w:sz w:val="21"/>
                <w:szCs w:val="21"/>
              </w:rPr>
              <w:t>3.担保方式灵活，以政府采购合同进行融资，无需另外抵押。</w:t>
            </w:r>
          </w:p>
        </w:tc>
        <w:tc>
          <w:tcPr>
            <w:tcW w:w="2220" w:type="dxa"/>
            <w:vAlign w:val="center"/>
          </w:tcPr>
          <w:p w14:paraId="43D1F056">
            <w:pPr>
              <w:spacing w:line="240" w:lineRule="auto"/>
              <w:contextualSpacing/>
              <w:jc w:val="center"/>
              <w:rPr>
                <w:rFonts w:ascii="宋体" w:hAnsi="宋体" w:cs="宋体"/>
                <w:bCs/>
                <w:sz w:val="21"/>
                <w:szCs w:val="21"/>
              </w:rPr>
            </w:pPr>
            <w:r>
              <w:rPr>
                <w:rFonts w:hint="eastAsia" w:ascii="宋体" w:hAnsi="宋体" w:cs="宋体"/>
                <w:bCs/>
                <w:sz w:val="21"/>
                <w:szCs w:val="21"/>
              </w:rPr>
              <w:t>柳超颖</w:t>
            </w:r>
          </w:p>
        </w:tc>
        <w:tc>
          <w:tcPr>
            <w:tcW w:w="1928" w:type="dxa"/>
            <w:vAlign w:val="center"/>
          </w:tcPr>
          <w:p w14:paraId="00D677E2">
            <w:pPr>
              <w:spacing w:line="240" w:lineRule="auto"/>
              <w:contextualSpacing/>
              <w:rPr>
                <w:rFonts w:ascii="宋体" w:hAnsi="宋体" w:cs="宋体"/>
                <w:bCs/>
                <w:sz w:val="21"/>
                <w:szCs w:val="21"/>
              </w:rPr>
            </w:pPr>
            <w:r>
              <w:rPr>
                <w:rFonts w:hint="eastAsia" w:ascii="宋体" w:hAnsi="宋体" w:cs="宋体"/>
                <w:bCs/>
                <w:sz w:val="21"/>
                <w:szCs w:val="21"/>
              </w:rPr>
              <w:t>0580-2166242, 15858076468</w:t>
            </w:r>
          </w:p>
        </w:tc>
      </w:tr>
      <w:tr w14:paraId="635B3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416" w:hRule="atLeast"/>
          <w:jc w:val="center"/>
        </w:trPr>
        <w:tc>
          <w:tcPr>
            <w:tcW w:w="1656" w:type="dxa"/>
            <w:gridSpan w:val="2"/>
            <w:vAlign w:val="center"/>
          </w:tcPr>
          <w:p w14:paraId="7C4B7006">
            <w:pPr>
              <w:spacing w:line="240" w:lineRule="auto"/>
              <w:contextualSpacing/>
              <w:rPr>
                <w:rFonts w:ascii="宋体" w:hAnsi="宋体" w:cs="宋体"/>
                <w:bCs/>
                <w:sz w:val="21"/>
                <w:szCs w:val="21"/>
              </w:rPr>
            </w:pPr>
            <w:r>
              <w:rPr>
                <w:rFonts w:hint="eastAsia" w:ascii="宋体" w:hAnsi="宋体" w:cs="宋体"/>
                <w:bCs/>
                <w:sz w:val="21"/>
                <w:szCs w:val="21"/>
              </w:rPr>
              <w:t>中国建设银行股份有限公司舟山分行</w:t>
            </w:r>
          </w:p>
        </w:tc>
        <w:tc>
          <w:tcPr>
            <w:tcW w:w="3975" w:type="dxa"/>
          </w:tcPr>
          <w:p w14:paraId="31CA01F3">
            <w:pPr>
              <w:numPr>
                <w:ilvl w:val="0"/>
                <w:numId w:val="9"/>
              </w:numPr>
              <w:spacing w:line="240" w:lineRule="auto"/>
              <w:contextualSpacing/>
              <w:rPr>
                <w:rFonts w:ascii="宋体" w:hAnsi="宋体" w:cs="宋体"/>
                <w:bCs/>
                <w:sz w:val="21"/>
                <w:szCs w:val="21"/>
              </w:rPr>
            </w:pPr>
            <w:r>
              <w:rPr>
                <w:rFonts w:hint="eastAsia" w:ascii="宋体" w:hAnsi="宋体" w:cs="宋体"/>
                <w:bCs/>
                <w:sz w:val="21"/>
                <w:szCs w:val="21"/>
              </w:rPr>
              <w:t>快速便捷：全流程线上操作，通过浙江省政府采购网数据审核信用额度，建行供应链平台快速放款。</w:t>
            </w:r>
          </w:p>
          <w:p w14:paraId="09FB99E8">
            <w:pPr>
              <w:numPr>
                <w:ilvl w:val="0"/>
                <w:numId w:val="9"/>
              </w:numPr>
              <w:spacing w:line="240" w:lineRule="auto"/>
              <w:contextualSpacing/>
              <w:rPr>
                <w:rFonts w:ascii="宋体" w:hAnsi="宋体" w:cs="宋体"/>
                <w:bCs/>
                <w:sz w:val="21"/>
                <w:szCs w:val="21"/>
              </w:rPr>
            </w:pPr>
            <w:r>
              <w:rPr>
                <w:rFonts w:hint="eastAsia" w:ascii="宋体" w:hAnsi="宋体" w:cs="宋体"/>
                <w:bCs/>
                <w:sz w:val="21"/>
                <w:szCs w:val="21"/>
              </w:rPr>
              <w:t>申请额度高：单笔融资额度最高可达政府采购合同金额的90%，单户额度最高可达3000万。</w:t>
            </w:r>
          </w:p>
          <w:p w14:paraId="1AEF8926">
            <w:pPr>
              <w:numPr>
                <w:ilvl w:val="0"/>
                <w:numId w:val="9"/>
              </w:numPr>
              <w:spacing w:line="240" w:lineRule="auto"/>
              <w:contextualSpacing/>
              <w:rPr>
                <w:rFonts w:ascii="宋体" w:hAnsi="宋体" w:cs="宋体"/>
                <w:bCs/>
                <w:sz w:val="21"/>
                <w:szCs w:val="21"/>
              </w:rPr>
            </w:pPr>
            <w:r>
              <w:rPr>
                <w:rFonts w:hint="eastAsia" w:ascii="宋体" w:hAnsi="宋体" w:cs="宋体"/>
                <w:bCs/>
                <w:sz w:val="21"/>
                <w:szCs w:val="21"/>
              </w:rPr>
              <w:t>无需额外抵押：以浙江省政府采购网备案公示的政府采购合同进行融资，无需额外抵押担保。</w:t>
            </w:r>
          </w:p>
          <w:p w14:paraId="0158C95E">
            <w:pPr>
              <w:numPr>
                <w:ilvl w:val="0"/>
                <w:numId w:val="9"/>
              </w:numPr>
              <w:spacing w:line="240" w:lineRule="auto"/>
              <w:contextualSpacing/>
              <w:rPr>
                <w:rFonts w:ascii="宋体" w:hAnsi="宋体" w:cs="宋体"/>
                <w:bCs/>
                <w:sz w:val="21"/>
                <w:szCs w:val="21"/>
              </w:rPr>
            </w:pPr>
            <w:r>
              <w:rPr>
                <w:rFonts w:hint="eastAsia" w:ascii="宋体" w:hAnsi="宋体" w:cs="宋体"/>
                <w:bCs/>
                <w:sz w:val="21"/>
                <w:szCs w:val="21"/>
              </w:rPr>
              <w:t>利率优惠：给予流动资金贷款最优惠利率。</w:t>
            </w:r>
          </w:p>
        </w:tc>
        <w:tc>
          <w:tcPr>
            <w:tcW w:w="2220" w:type="dxa"/>
            <w:vAlign w:val="center"/>
          </w:tcPr>
          <w:p w14:paraId="5C18D6F5">
            <w:pPr>
              <w:spacing w:line="240" w:lineRule="auto"/>
              <w:contextualSpacing/>
              <w:jc w:val="center"/>
              <w:rPr>
                <w:rFonts w:ascii="宋体" w:hAnsi="宋体" w:cs="宋体"/>
                <w:bCs/>
                <w:sz w:val="21"/>
                <w:szCs w:val="21"/>
              </w:rPr>
            </w:pPr>
            <w:r>
              <w:rPr>
                <w:rFonts w:hint="eastAsia" w:ascii="宋体" w:hAnsi="宋体" w:cs="宋体"/>
                <w:bCs/>
                <w:sz w:val="21"/>
                <w:szCs w:val="21"/>
              </w:rPr>
              <w:t>普陀片区：蔡妮妮</w:t>
            </w:r>
          </w:p>
          <w:p w14:paraId="5473BFD7">
            <w:pPr>
              <w:spacing w:line="240" w:lineRule="auto"/>
              <w:contextualSpacing/>
              <w:jc w:val="center"/>
              <w:rPr>
                <w:rFonts w:ascii="宋体" w:hAnsi="宋体" w:cs="宋体"/>
                <w:bCs/>
                <w:sz w:val="21"/>
                <w:szCs w:val="21"/>
              </w:rPr>
            </w:pPr>
            <w:r>
              <w:rPr>
                <w:rFonts w:hint="eastAsia" w:ascii="宋体" w:hAnsi="宋体" w:cs="宋体"/>
                <w:bCs/>
                <w:sz w:val="21"/>
                <w:szCs w:val="21"/>
              </w:rPr>
              <w:t>定海片区：杨莹</w:t>
            </w:r>
          </w:p>
          <w:p w14:paraId="6A3E4F75">
            <w:pPr>
              <w:spacing w:line="240" w:lineRule="auto"/>
              <w:contextualSpacing/>
              <w:jc w:val="center"/>
              <w:rPr>
                <w:rFonts w:ascii="宋体" w:hAnsi="宋体" w:cs="宋体"/>
                <w:bCs/>
                <w:sz w:val="21"/>
                <w:szCs w:val="21"/>
              </w:rPr>
            </w:pPr>
            <w:r>
              <w:rPr>
                <w:rFonts w:hint="eastAsia" w:ascii="宋体" w:hAnsi="宋体" w:cs="宋体"/>
                <w:bCs/>
                <w:sz w:val="21"/>
                <w:szCs w:val="21"/>
              </w:rPr>
              <w:t>自贸区片区：方晓</w:t>
            </w:r>
          </w:p>
        </w:tc>
        <w:tc>
          <w:tcPr>
            <w:tcW w:w="1928" w:type="dxa"/>
            <w:vAlign w:val="center"/>
          </w:tcPr>
          <w:p w14:paraId="552EEB22">
            <w:pPr>
              <w:spacing w:line="240" w:lineRule="auto"/>
              <w:contextualSpacing/>
              <w:rPr>
                <w:rFonts w:ascii="宋体" w:hAnsi="宋体" w:cs="宋体"/>
                <w:bCs/>
                <w:sz w:val="21"/>
                <w:szCs w:val="21"/>
              </w:rPr>
            </w:pPr>
            <w:r>
              <w:rPr>
                <w:rFonts w:hint="eastAsia" w:ascii="宋体" w:hAnsi="宋体" w:cs="宋体"/>
                <w:bCs/>
                <w:sz w:val="21"/>
                <w:szCs w:val="21"/>
              </w:rPr>
              <w:t>普陀片区：13957201791</w:t>
            </w:r>
          </w:p>
          <w:p w14:paraId="0771A2E3">
            <w:pPr>
              <w:spacing w:line="240" w:lineRule="auto"/>
              <w:contextualSpacing/>
              <w:rPr>
                <w:rFonts w:ascii="宋体" w:hAnsi="宋体" w:cs="宋体"/>
                <w:bCs/>
                <w:sz w:val="21"/>
                <w:szCs w:val="21"/>
              </w:rPr>
            </w:pPr>
            <w:r>
              <w:rPr>
                <w:rFonts w:hint="eastAsia" w:ascii="宋体" w:hAnsi="宋体" w:cs="宋体"/>
                <w:bCs/>
                <w:sz w:val="21"/>
                <w:szCs w:val="21"/>
              </w:rPr>
              <w:t>定海片区：13655803997</w:t>
            </w:r>
          </w:p>
          <w:p w14:paraId="26B4E2D8">
            <w:pPr>
              <w:spacing w:line="240" w:lineRule="auto"/>
              <w:contextualSpacing/>
              <w:rPr>
                <w:rFonts w:ascii="宋体" w:hAnsi="宋体" w:cs="宋体"/>
                <w:bCs/>
                <w:sz w:val="21"/>
                <w:szCs w:val="21"/>
              </w:rPr>
            </w:pPr>
            <w:r>
              <w:rPr>
                <w:rFonts w:hint="eastAsia" w:ascii="宋体" w:hAnsi="宋体" w:cs="宋体"/>
                <w:bCs/>
                <w:sz w:val="21"/>
                <w:szCs w:val="21"/>
              </w:rPr>
              <w:t>自贸区片区：13587086324</w:t>
            </w:r>
          </w:p>
        </w:tc>
      </w:tr>
      <w:tr w14:paraId="21E60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23A61907">
            <w:pPr>
              <w:spacing w:line="240" w:lineRule="auto"/>
              <w:contextualSpacing/>
              <w:rPr>
                <w:rFonts w:ascii="宋体" w:hAnsi="宋体" w:cs="宋体"/>
                <w:bCs/>
                <w:sz w:val="21"/>
                <w:szCs w:val="21"/>
              </w:rPr>
            </w:pPr>
            <w:r>
              <w:rPr>
                <w:rFonts w:hint="eastAsia" w:ascii="宋体" w:hAnsi="宋体" w:cs="宋体"/>
                <w:bCs/>
                <w:sz w:val="21"/>
                <w:szCs w:val="21"/>
              </w:rPr>
              <w:t>杭州银行股份有限公司舟山市分行</w:t>
            </w:r>
          </w:p>
        </w:tc>
        <w:tc>
          <w:tcPr>
            <w:tcW w:w="3975" w:type="dxa"/>
          </w:tcPr>
          <w:p w14:paraId="2EA7BFB6">
            <w:pPr>
              <w:spacing w:line="240" w:lineRule="auto"/>
              <w:contextualSpacing/>
              <w:rPr>
                <w:rFonts w:ascii="宋体" w:hAnsi="宋体" w:cs="宋体"/>
                <w:bCs/>
                <w:sz w:val="21"/>
                <w:szCs w:val="21"/>
              </w:rPr>
            </w:pPr>
            <w:r>
              <w:rPr>
                <w:rFonts w:hint="eastAsia" w:ascii="宋体" w:hAnsi="宋体" w:cs="宋体"/>
                <w:bCs/>
                <w:sz w:val="21"/>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4A9ACF6A">
            <w:pPr>
              <w:spacing w:line="240" w:lineRule="auto"/>
              <w:contextualSpacing/>
              <w:jc w:val="center"/>
              <w:rPr>
                <w:rFonts w:ascii="宋体" w:hAnsi="宋体" w:cs="宋体"/>
                <w:bCs/>
                <w:sz w:val="21"/>
                <w:szCs w:val="21"/>
              </w:rPr>
            </w:pPr>
            <w:r>
              <w:rPr>
                <w:rFonts w:hint="eastAsia" w:ascii="宋体" w:hAnsi="宋体" w:cs="宋体"/>
                <w:bCs/>
                <w:sz w:val="21"/>
                <w:szCs w:val="21"/>
              </w:rPr>
              <w:t>方经理</w:t>
            </w:r>
          </w:p>
        </w:tc>
        <w:tc>
          <w:tcPr>
            <w:tcW w:w="1928" w:type="dxa"/>
            <w:vAlign w:val="center"/>
          </w:tcPr>
          <w:p w14:paraId="09AA7D1F">
            <w:pPr>
              <w:spacing w:line="240" w:lineRule="auto"/>
              <w:contextualSpacing/>
              <w:rPr>
                <w:rFonts w:ascii="宋体" w:hAnsi="宋体" w:cs="宋体"/>
                <w:bCs/>
                <w:sz w:val="21"/>
                <w:szCs w:val="21"/>
              </w:rPr>
            </w:pPr>
            <w:r>
              <w:rPr>
                <w:rFonts w:hint="eastAsia" w:ascii="宋体" w:hAnsi="宋体" w:cs="宋体"/>
                <w:bCs/>
                <w:sz w:val="21"/>
                <w:szCs w:val="21"/>
              </w:rPr>
              <w:t>0580-2185201，18205800451</w:t>
            </w:r>
          </w:p>
        </w:tc>
      </w:tr>
      <w:tr w14:paraId="427F1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27430F14">
            <w:pPr>
              <w:spacing w:line="240" w:lineRule="auto"/>
              <w:contextualSpacing/>
              <w:rPr>
                <w:rFonts w:ascii="宋体" w:hAnsi="宋体" w:cs="宋体"/>
                <w:bCs/>
                <w:sz w:val="21"/>
                <w:szCs w:val="21"/>
              </w:rPr>
            </w:pPr>
            <w:r>
              <w:rPr>
                <w:rFonts w:hint="eastAsia" w:ascii="宋体" w:hAnsi="宋体" w:cs="宋体"/>
                <w:bCs/>
                <w:sz w:val="21"/>
                <w:szCs w:val="21"/>
              </w:rPr>
              <w:t>招商银行股份有限公司浙江自贸试验区舟山分行</w:t>
            </w:r>
          </w:p>
        </w:tc>
        <w:tc>
          <w:tcPr>
            <w:tcW w:w="3975" w:type="dxa"/>
          </w:tcPr>
          <w:p w14:paraId="72C74D5B">
            <w:pPr>
              <w:spacing w:line="240" w:lineRule="auto"/>
              <w:rPr>
                <w:rFonts w:ascii="宋体" w:hAnsi="宋体" w:cs="宋体"/>
                <w:bCs/>
                <w:sz w:val="21"/>
                <w:szCs w:val="21"/>
              </w:rPr>
            </w:pPr>
            <w:r>
              <w:rPr>
                <w:rFonts w:hint="eastAsia" w:ascii="宋体" w:hAnsi="宋体" w:cs="宋体"/>
                <w:bCs/>
                <w:sz w:val="2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02842FA">
            <w:pPr>
              <w:spacing w:line="240" w:lineRule="auto"/>
              <w:contextualSpacing/>
              <w:jc w:val="center"/>
              <w:rPr>
                <w:rFonts w:ascii="宋体" w:hAnsi="宋体" w:cs="宋体"/>
                <w:bCs/>
                <w:sz w:val="21"/>
                <w:szCs w:val="21"/>
              </w:rPr>
            </w:pPr>
            <w:r>
              <w:rPr>
                <w:rFonts w:hint="eastAsia" w:ascii="宋体" w:hAnsi="宋体" w:cs="宋体"/>
                <w:bCs/>
                <w:sz w:val="21"/>
                <w:szCs w:val="21"/>
              </w:rPr>
              <w:t>李玲</w:t>
            </w:r>
          </w:p>
        </w:tc>
        <w:tc>
          <w:tcPr>
            <w:tcW w:w="1928" w:type="dxa"/>
            <w:vAlign w:val="center"/>
          </w:tcPr>
          <w:p w14:paraId="6BEDE463">
            <w:pPr>
              <w:spacing w:line="240" w:lineRule="auto"/>
              <w:contextualSpacing/>
              <w:rPr>
                <w:rFonts w:ascii="宋体" w:hAnsi="宋体" w:cs="宋体"/>
                <w:bCs/>
                <w:sz w:val="21"/>
                <w:szCs w:val="21"/>
              </w:rPr>
            </w:pPr>
            <w:r>
              <w:rPr>
                <w:rFonts w:hint="eastAsia" w:ascii="宋体" w:hAnsi="宋体" w:cs="宋体"/>
                <w:bCs/>
                <w:sz w:val="21"/>
                <w:szCs w:val="21"/>
              </w:rPr>
              <w:t>0580-2061710，13957227971</w:t>
            </w:r>
          </w:p>
        </w:tc>
      </w:tr>
      <w:tr w14:paraId="453FA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1248" w:hRule="atLeast"/>
          <w:jc w:val="center"/>
        </w:trPr>
        <w:tc>
          <w:tcPr>
            <w:tcW w:w="1656" w:type="dxa"/>
            <w:gridSpan w:val="2"/>
            <w:vAlign w:val="center"/>
          </w:tcPr>
          <w:p w14:paraId="59C90BF1">
            <w:pPr>
              <w:spacing w:line="240" w:lineRule="auto"/>
              <w:contextualSpacing/>
              <w:rPr>
                <w:rFonts w:ascii="宋体" w:hAnsi="宋体" w:cs="宋体"/>
                <w:bCs/>
                <w:sz w:val="21"/>
                <w:szCs w:val="21"/>
              </w:rPr>
            </w:pPr>
            <w:r>
              <w:rPr>
                <w:rFonts w:hint="eastAsia" w:ascii="宋体" w:hAnsi="宋体" w:cs="宋体"/>
                <w:bCs/>
                <w:sz w:val="21"/>
                <w:szCs w:val="21"/>
              </w:rPr>
              <w:t>温州银行股份有限公司舟山市分行</w:t>
            </w:r>
          </w:p>
        </w:tc>
        <w:tc>
          <w:tcPr>
            <w:tcW w:w="3975" w:type="dxa"/>
          </w:tcPr>
          <w:p w14:paraId="1B0FA6FE">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单户授信敞口最高不超过1000万元，且最高额度核定一般不超过借款人（含实际控制人控制的其他经营实体）最近13个月合计有效中标合同金额的70%。</w:t>
            </w:r>
          </w:p>
          <w:p w14:paraId="4D55AC6A">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41228720">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借款人中标采购人自行采购项目并向我行发起授信申请的，单笔业务授信敞口不超500万元，且不超过借款人中标通知书承载的中标金额或本次申请授信提供的采购合同的80%。</w:t>
            </w:r>
          </w:p>
          <w:p w14:paraId="79429C0D">
            <w:pPr>
              <w:numPr>
                <w:ilvl w:val="0"/>
                <w:numId w:val="10"/>
              </w:numPr>
              <w:spacing w:line="240" w:lineRule="auto"/>
              <w:contextualSpacing/>
              <w:rPr>
                <w:rFonts w:ascii="宋体" w:hAnsi="宋体" w:cs="宋体"/>
                <w:bCs/>
                <w:sz w:val="21"/>
                <w:szCs w:val="21"/>
              </w:rPr>
            </w:pPr>
            <w:r>
              <w:rPr>
                <w:rFonts w:hint="eastAsia" w:ascii="宋体" w:hAnsi="宋体" w:cs="宋体"/>
                <w:bCs/>
                <w:sz w:val="21"/>
                <w:szCs w:val="21"/>
              </w:rPr>
              <w:t>符合我行采购人资质的，且负债率不超75%，配合应收账款质押登记确认的，并可出具确认函，单笔借款额度可按不超过采购合同的90%办理。</w:t>
            </w:r>
          </w:p>
        </w:tc>
        <w:tc>
          <w:tcPr>
            <w:tcW w:w="2220" w:type="dxa"/>
            <w:vAlign w:val="center"/>
          </w:tcPr>
          <w:p w14:paraId="7089C010">
            <w:pPr>
              <w:spacing w:line="240" w:lineRule="auto"/>
              <w:contextualSpacing/>
              <w:jc w:val="center"/>
              <w:rPr>
                <w:rFonts w:ascii="宋体" w:hAnsi="宋体" w:cs="宋体"/>
                <w:bCs/>
                <w:sz w:val="21"/>
                <w:szCs w:val="21"/>
              </w:rPr>
            </w:pPr>
            <w:r>
              <w:rPr>
                <w:rFonts w:hint="eastAsia" w:ascii="宋体" w:hAnsi="宋体" w:cs="宋体"/>
                <w:bCs/>
                <w:sz w:val="21"/>
                <w:szCs w:val="21"/>
              </w:rPr>
              <w:t>郑贤栋</w:t>
            </w:r>
          </w:p>
        </w:tc>
        <w:tc>
          <w:tcPr>
            <w:tcW w:w="1928" w:type="dxa"/>
            <w:vAlign w:val="center"/>
          </w:tcPr>
          <w:p w14:paraId="32205F6A">
            <w:pPr>
              <w:spacing w:line="240" w:lineRule="auto"/>
              <w:contextualSpacing/>
              <w:rPr>
                <w:rFonts w:ascii="宋体" w:hAnsi="宋体" w:cs="宋体"/>
                <w:bCs/>
                <w:sz w:val="21"/>
                <w:szCs w:val="21"/>
              </w:rPr>
            </w:pPr>
            <w:r>
              <w:rPr>
                <w:rFonts w:hint="eastAsia" w:ascii="宋体" w:hAnsi="宋体" w:cs="宋体"/>
                <w:bCs/>
                <w:sz w:val="21"/>
                <w:szCs w:val="21"/>
              </w:rPr>
              <w:t>058—8866086</w:t>
            </w:r>
          </w:p>
        </w:tc>
      </w:tr>
      <w:tr w14:paraId="556A6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jc w:val="center"/>
        </w:trPr>
        <w:tc>
          <w:tcPr>
            <w:tcW w:w="1656" w:type="dxa"/>
            <w:gridSpan w:val="2"/>
            <w:vAlign w:val="center"/>
          </w:tcPr>
          <w:p w14:paraId="647909BE">
            <w:pPr>
              <w:spacing w:line="240" w:lineRule="auto"/>
              <w:contextualSpacing/>
              <w:rPr>
                <w:rFonts w:ascii="宋体" w:hAnsi="宋体" w:cs="宋体"/>
                <w:bCs/>
                <w:sz w:val="21"/>
                <w:szCs w:val="21"/>
              </w:rPr>
            </w:pPr>
            <w:r>
              <w:rPr>
                <w:rFonts w:hint="eastAsia" w:ascii="宋体" w:hAnsi="宋体" w:cs="宋体"/>
                <w:bCs/>
                <w:sz w:val="21"/>
                <w:szCs w:val="21"/>
              </w:rPr>
              <w:t>交通银行股份有限公司舟山分行</w:t>
            </w:r>
          </w:p>
        </w:tc>
        <w:tc>
          <w:tcPr>
            <w:tcW w:w="3975" w:type="dxa"/>
          </w:tcPr>
          <w:p w14:paraId="33D47A6D">
            <w:pPr>
              <w:spacing w:line="240" w:lineRule="auto"/>
              <w:contextualSpacing/>
              <w:rPr>
                <w:rFonts w:ascii="宋体" w:hAnsi="宋体" w:cs="宋体"/>
                <w:bCs/>
                <w:sz w:val="21"/>
                <w:szCs w:val="21"/>
              </w:rPr>
            </w:pPr>
            <w:r>
              <w:rPr>
                <w:rFonts w:hint="eastAsia" w:ascii="宋体" w:hAnsi="宋体" w:cs="宋体"/>
                <w:bCs/>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vAlign w:val="center"/>
          </w:tcPr>
          <w:p w14:paraId="60C1AF89">
            <w:pPr>
              <w:spacing w:line="240" w:lineRule="auto"/>
              <w:contextualSpacing/>
              <w:jc w:val="center"/>
              <w:rPr>
                <w:rFonts w:ascii="宋体" w:hAnsi="宋体" w:cs="宋体"/>
                <w:bCs/>
                <w:sz w:val="21"/>
                <w:szCs w:val="21"/>
              </w:rPr>
            </w:pPr>
            <w:r>
              <w:rPr>
                <w:rFonts w:hint="eastAsia" w:ascii="宋体" w:hAnsi="宋体" w:cs="宋体"/>
                <w:bCs/>
                <w:sz w:val="21"/>
                <w:szCs w:val="21"/>
              </w:rPr>
              <w:t>赵争艳</w:t>
            </w:r>
          </w:p>
        </w:tc>
        <w:tc>
          <w:tcPr>
            <w:tcW w:w="1928" w:type="dxa"/>
            <w:vAlign w:val="center"/>
          </w:tcPr>
          <w:p w14:paraId="06E90961">
            <w:pPr>
              <w:spacing w:line="240" w:lineRule="auto"/>
              <w:contextualSpacing/>
              <w:rPr>
                <w:rFonts w:ascii="宋体" w:hAnsi="宋体" w:cs="宋体"/>
                <w:bCs/>
                <w:sz w:val="21"/>
                <w:szCs w:val="21"/>
              </w:rPr>
            </w:pPr>
            <w:r>
              <w:rPr>
                <w:rFonts w:hint="eastAsia" w:ascii="宋体" w:hAnsi="宋体" w:cs="宋体"/>
                <w:bCs/>
                <w:sz w:val="21"/>
                <w:szCs w:val="21"/>
              </w:rPr>
              <w:t>0580-2260728</w:t>
            </w:r>
          </w:p>
          <w:p w14:paraId="68E04A21">
            <w:pPr>
              <w:spacing w:line="240" w:lineRule="auto"/>
              <w:contextualSpacing/>
              <w:rPr>
                <w:rFonts w:ascii="宋体" w:hAnsi="宋体" w:cs="宋体"/>
                <w:bCs/>
                <w:sz w:val="21"/>
                <w:szCs w:val="21"/>
              </w:rPr>
            </w:pPr>
            <w:r>
              <w:rPr>
                <w:rFonts w:hint="eastAsia" w:ascii="宋体" w:hAnsi="宋体" w:cs="宋体"/>
                <w:bCs/>
                <w:sz w:val="21"/>
                <w:szCs w:val="21"/>
              </w:rPr>
              <w:t>13758007280</w:t>
            </w:r>
          </w:p>
        </w:tc>
      </w:tr>
      <w:tr w14:paraId="5729F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17BA5A3F">
            <w:pPr>
              <w:spacing w:line="240" w:lineRule="auto"/>
              <w:contextualSpacing/>
              <w:rPr>
                <w:rFonts w:ascii="宋体" w:hAnsi="宋体" w:cs="宋体"/>
                <w:bCs/>
                <w:sz w:val="21"/>
                <w:szCs w:val="21"/>
              </w:rPr>
            </w:pPr>
            <w:r>
              <w:rPr>
                <w:rFonts w:hint="eastAsia" w:ascii="宋体" w:hAnsi="宋体" w:cs="宋体"/>
                <w:bCs/>
                <w:sz w:val="21"/>
                <w:szCs w:val="21"/>
              </w:rPr>
              <w:t>中信银行股份有限公司舟山分行</w:t>
            </w:r>
          </w:p>
        </w:tc>
        <w:tc>
          <w:tcPr>
            <w:tcW w:w="3975" w:type="dxa"/>
          </w:tcPr>
          <w:p w14:paraId="5ED2D215">
            <w:pPr>
              <w:spacing w:line="240" w:lineRule="auto"/>
              <w:contextualSpacing/>
              <w:rPr>
                <w:rFonts w:ascii="宋体" w:hAnsi="宋体" w:cs="宋体"/>
                <w:bCs/>
                <w:sz w:val="21"/>
                <w:szCs w:val="21"/>
              </w:rPr>
            </w:pPr>
            <w:r>
              <w:rPr>
                <w:rFonts w:hint="eastAsia" w:ascii="宋体" w:hAnsi="宋体" w:cs="宋体"/>
                <w:bCs/>
                <w:sz w:val="21"/>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577E9548">
            <w:pPr>
              <w:spacing w:line="240" w:lineRule="auto"/>
              <w:contextualSpacing/>
              <w:jc w:val="center"/>
              <w:rPr>
                <w:rFonts w:ascii="宋体" w:hAnsi="宋体" w:cs="宋体"/>
                <w:bCs/>
                <w:sz w:val="21"/>
                <w:szCs w:val="21"/>
              </w:rPr>
            </w:pPr>
            <w:r>
              <w:rPr>
                <w:rFonts w:hint="eastAsia" w:ascii="宋体" w:hAnsi="宋体" w:cs="宋体"/>
                <w:bCs/>
                <w:sz w:val="21"/>
                <w:szCs w:val="21"/>
              </w:rPr>
              <w:t>黄丽</w:t>
            </w:r>
          </w:p>
        </w:tc>
        <w:tc>
          <w:tcPr>
            <w:tcW w:w="1928" w:type="dxa"/>
            <w:vAlign w:val="center"/>
          </w:tcPr>
          <w:p w14:paraId="327FA887">
            <w:pPr>
              <w:spacing w:line="240" w:lineRule="auto"/>
              <w:contextualSpacing/>
              <w:rPr>
                <w:rFonts w:ascii="宋体" w:hAnsi="宋体" w:cs="宋体"/>
                <w:bCs/>
                <w:sz w:val="21"/>
                <w:szCs w:val="21"/>
              </w:rPr>
            </w:pPr>
            <w:r>
              <w:rPr>
                <w:rFonts w:hint="eastAsia" w:ascii="宋体" w:hAnsi="宋体" w:cs="宋体"/>
                <w:bCs/>
                <w:sz w:val="21"/>
                <w:szCs w:val="21"/>
              </w:rPr>
              <w:t>13905808032</w:t>
            </w:r>
          </w:p>
        </w:tc>
      </w:tr>
      <w:tr w14:paraId="0F054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0C1B004D">
            <w:pPr>
              <w:spacing w:line="240" w:lineRule="auto"/>
              <w:contextualSpacing/>
              <w:rPr>
                <w:rFonts w:ascii="宋体" w:hAnsi="宋体" w:cs="宋体"/>
                <w:bCs/>
                <w:sz w:val="21"/>
                <w:szCs w:val="21"/>
              </w:rPr>
            </w:pPr>
            <w:r>
              <w:rPr>
                <w:rFonts w:hint="eastAsia" w:ascii="宋体" w:hAnsi="宋体" w:cs="宋体"/>
                <w:bCs/>
                <w:sz w:val="21"/>
                <w:szCs w:val="21"/>
              </w:rPr>
              <w:t>泰隆银行舟山市分行</w:t>
            </w:r>
          </w:p>
        </w:tc>
        <w:tc>
          <w:tcPr>
            <w:tcW w:w="3975" w:type="dxa"/>
          </w:tcPr>
          <w:p w14:paraId="4A76392F">
            <w:pPr>
              <w:spacing w:line="240" w:lineRule="auto"/>
              <w:contextualSpacing/>
              <w:rPr>
                <w:rFonts w:ascii="宋体" w:hAnsi="宋体" w:cs="宋体"/>
                <w:bCs/>
                <w:sz w:val="21"/>
                <w:szCs w:val="21"/>
              </w:rPr>
            </w:pPr>
            <w:r>
              <w:rPr>
                <w:rFonts w:hint="eastAsia" w:ascii="宋体" w:hAnsi="宋体" w:cs="宋体"/>
                <w:bCs/>
                <w:sz w:val="21"/>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6AF6CB1B">
            <w:pPr>
              <w:spacing w:line="240" w:lineRule="auto"/>
              <w:contextualSpacing/>
              <w:jc w:val="center"/>
              <w:rPr>
                <w:rFonts w:ascii="宋体" w:hAnsi="宋体" w:cs="宋体"/>
                <w:bCs/>
                <w:sz w:val="21"/>
                <w:szCs w:val="21"/>
              </w:rPr>
            </w:pPr>
            <w:r>
              <w:rPr>
                <w:rFonts w:hint="eastAsia" w:ascii="宋体" w:hAnsi="宋体" w:cs="宋体"/>
                <w:bCs/>
                <w:sz w:val="21"/>
                <w:szCs w:val="21"/>
              </w:rPr>
              <w:t>胡亢宇</w:t>
            </w:r>
          </w:p>
        </w:tc>
        <w:tc>
          <w:tcPr>
            <w:tcW w:w="1928" w:type="dxa"/>
            <w:vAlign w:val="center"/>
          </w:tcPr>
          <w:p w14:paraId="5BDAD41F">
            <w:pPr>
              <w:spacing w:line="240" w:lineRule="auto"/>
              <w:contextualSpacing/>
              <w:rPr>
                <w:rFonts w:ascii="宋体" w:hAnsi="宋体" w:cs="宋体"/>
                <w:bCs/>
                <w:sz w:val="21"/>
                <w:szCs w:val="21"/>
              </w:rPr>
            </w:pPr>
            <w:r>
              <w:rPr>
                <w:rFonts w:hint="eastAsia" w:ascii="宋体" w:hAnsi="宋体" w:cs="宋体"/>
                <w:bCs/>
                <w:sz w:val="21"/>
                <w:szCs w:val="21"/>
              </w:rPr>
              <w:t>17605868703</w:t>
            </w:r>
          </w:p>
        </w:tc>
      </w:tr>
      <w:tr w14:paraId="28375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2A79AF6A">
            <w:pPr>
              <w:spacing w:line="240" w:lineRule="auto"/>
              <w:contextualSpacing/>
              <w:rPr>
                <w:rFonts w:ascii="宋体" w:hAnsi="宋体" w:cs="宋体"/>
                <w:bCs/>
                <w:sz w:val="21"/>
                <w:szCs w:val="21"/>
              </w:rPr>
            </w:pPr>
            <w:r>
              <w:rPr>
                <w:rFonts w:hint="eastAsia" w:ascii="宋体" w:hAnsi="宋体" w:cs="宋体"/>
                <w:bCs/>
                <w:sz w:val="21"/>
                <w:szCs w:val="21"/>
              </w:rPr>
              <w:t>中国农业银行股份有限公司舟山分行</w:t>
            </w:r>
          </w:p>
        </w:tc>
        <w:tc>
          <w:tcPr>
            <w:tcW w:w="3975" w:type="dxa"/>
          </w:tcPr>
          <w:p w14:paraId="120EC4D5">
            <w:pPr>
              <w:spacing w:line="240" w:lineRule="auto"/>
              <w:contextualSpacing/>
              <w:rPr>
                <w:rFonts w:ascii="宋体" w:hAnsi="宋体" w:cs="宋体"/>
                <w:bCs/>
                <w:sz w:val="21"/>
                <w:szCs w:val="21"/>
              </w:rPr>
            </w:pPr>
            <w:r>
              <w:rPr>
                <w:rFonts w:hint="eastAsia" w:ascii="宋体" w:hAnsi="宋体" w:cs="宋体"/>
                <w:bCs/>
                <w:sz w:val="21"/>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0D5F04A8">
            <w:pPr>
              <w:spacing w:line="240" w:lineRule="auto"/>
              <w:contextualSpacing/>
              <w:jc w:val="center"/>
              <w:rPr>
                <w:rFonts w:ascii="宋体" w:hAnsi="宋体" w:cs="宋体"/>
                <w:bCs/>
                <w:sz w:val="21"/>
                <w:szCs w:val="21"/>
              </w:rPr>
            </w:pPr>
            <w:r>
              <w:rPr>
                <w:rFonts w:hint="eastAsia" w:ascii="宋体" w:hAnsi="宋体" w:cs="宋体"/>
                <w:bCs/>
                <w:sz w:val="21"/>
                <w:szCs w:val="21"/>
              </w:rPr>
              <w:t>苏华瞻</w:t>
            </w:r>
          </w:p>
        </w:tc>
        <w:tc>
          <w:tcPr>
            <w:tcW w:w="1928" w:type="dxa"/>
            <w:vAlign w:val="center"/>
          </w:tcPr>
          <w:p w14:paraId="56497DB0">
            <w:pPr>
              <w:spacing w:line="240" w:lineRule="auto"/>
              <w:contextualSpacing/>
              <w:jc w:val="center"/>
              <w:rPr>
                <w:rFonts w:ascii="宋体" w:hAnsi="宋体" w:cs="宋体"/>
                <w:bCs/>
                <w:sz w:val="21"/>
                <w:szCs w:val="21"/>
              </w:rPr>
            </w:pPr>
            <w:r>
              <w:rPr>
                <w:rFonts w:hint="eastAsia" w:ascii="宋体" w:hAnsi="宋体" w:cs="宋体"/>
                <w:bCs/>
                <w:sz w:val="21"/>
                <w:szCs w:val="21"/>
              </w:rPr>
              <w:t>13967228926</w:t>
            </w:r>
          </w:p>
        </w:tc>
      </w:tr>
      <w:tr w14:paraId="5381E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329" w:hRule="atLeast"/>
          <w:jc w:val="center"/>
        </w:trPr>
        <w:tc>
          <w:tcPr>
            <w:tcW w:w="1656" w:type="dxa"/>
            <w:gridSpan w:val="2"/>
            <w:vAlign w:val="center"/>
          </w:tcPr>
          <w:p w14:paraId="2FB5CA78">
            <w:pPr>
              <w:spacing w:line="240" w:lineRule="auto"/>
              <w:contextualSpacing/>
              <w:rPr>
                <w:rFonts w:ascii="宋体" w:hAnsi="宋体" w:cs="宋体"/>
                <w:bCs/>
                <w:sz w:val="21"/>
                <w:szCs w:val="21"/>
              </w:rPr>
            </w:pPr>
            <w:r>
              <w:rPr>
                <w:rFonts w:hint="eastAsia" w:ascii="宋体" w:hAnsi="宋体" w:cs="宋体"/>
                <w:bCs/>
                <w:sz w:val="21"/>
                <w:szCs w:val="21"/>
              </w:rPr>
              <w:t>中国邮政储蓄银行股份有限公司舟山市分行</w:t>
            </w:r>
          </w:p>
        </w:tc>
        <w:tc>
          <w:tcPr>
            <w:tcW w:w="3975" w:type="dxa"/>
          </w:tcPr>
          <w:p w14:paraId="03D3FB32">
            <w:pPr>
              <w:tabs>
                <w:tab w:val="left" w:pos="0"/>
              </w:tabs>
              <w:spacing w:line="240" w:lineRule="auto"/>
              <w:rPr>
                <w:rFonts w:ascii="宋体" w:hAnsi="宋体" w:cs="宋体"/>
                <w:bCs/>
                <w:sz w:val="21"/>
                <w:szCs w:val="21"/>
              </w:rPr>
            </w:pPr>
            <w:r>
              <w:rPr>
                <w:rFonts w:hint="eastAsia" w:ascii="宋体" w:hAnsi="宋体" w:cs="宋体"/>
                <w:bCs/>
                <w:sz w:val="21"/>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31F3EE4B">
            <w:pPr>
              <w:spacing w:line="240" w:lineRule="auto"/>
              <w:contextualSpacing/>
              <w:jc w:val="center"/>
              <w:rPr>
                <w:rFonts w:ascii="宋体" w:hAnsi="宋体" w:cs="宋体"/>
                <w:bCs/>
                <w:sz w:val="21"/>
                <w:szCs w:val="21"/>
              </w:rPr>
            </w:pPr>
            <w:r>
              <w:rPr>
                <w:rFonts w:hint="eastAsia" w:ascii="宋体" w:hAnsi="宋体" w:cs="宋体"/>
                <w:bCs/>
                <w:sz w:val="21"/>
                <w:szCs w:val="21"/>
              </w:rPr>
              <w:t>蒋志燕</w:t>
            </w:r>
          </w:p>
        </w:tc>
        <w:tc>
          <w:tcPr>
            <w:tcW w:w="1928" w:type="dxa"/>
            <w:vAlign w:val="center"/>
          </w:tcPr>
          <w:p w14:paraId="1A292423">
            <w:pPr>
              <w:spacing w:line="240" w:lineRule="auto"/>
              <w:contextualSpacing/>
              <w:rPr>
                <w:rFonts w:ascii="宋体" w:hAnsi="宋体" w:cs="宋体"/>
                <w:bCs/>
                <w:sz w:val="21"/>
                <w:szCs w:val="21"/>
              </w:rPr>
            </w:pPr>
            <w:r>
              <w:rPr>
                <w:rFonts w:hint="eastAsia" w:ascii="宋体" w:hAnsi="宋体" w:cs="宋体"/>
                <w:bCs/>
                <w:sz w:val="21"/>
                <w:szCs w:val="21"/>
              </w:rPr>
              <w:t>13732527321</w:t>
            </w:r>
          </w:p>
        </w:tc>
      </w:tr>
    </w:tbl>
    <w:p w14:paraId="1824E364">
      <w:pPr>
        <w:spacing w:line="240" w:lineRule="auto"/>
        <w:ind w:firstLine="555"/>
        <w:rPr>
          <w:rFonts w:ascii="宋体" w:hAnsi="宋体" w:cs="宋体"/>
          <w:sz w:val="21"/>
          <w:szCs w:val="21"/>
        </w:rPr>
      </w:pPr>
      <w:r>
        <w:rPr>
          <w:rFonts w:hint="eastAsia" w:ascii="宋体" w:hAnsi="宋体" w:cs="宋体"/>
          <w:sz w:val="21"/>
          <w:szCs w:val="21"/>
        </w:rPr>
        <w:t>2.一般步骤</w:t>
      </w:r>
    </w:p>
    <w:p w14:paraId="06EFCBA9">
      <w:pPr>
        <w:spacing w:line="240" w:lineRule="auto"/>
        <w:ind w:firstLine="555"/>
        <w:rPr>
          <w:rFonts w:ascii="宋体" w:hAnsi="宋体" w:cs="宋体"/>
          <w:sz w:val="21"/>
          <w:szCs w:val="21"/>
        </w:rPr>
      </w:pPr>
      <w:r>
        <w:rPr>
          <w:rFonts w:hint="eastAsia" w:ascii="宋体" w:hAnsi="宋体" w:cs="宋体"/>
          <w:sz w:val="21"/>
          <w:szCs w:val="21"/>
        </w:rPr>
        <w:t>（1）供应商先与银行对接，办理融资前期手续；</w:t>
      </w:r>
    </w:p>
    <w:p w14:paraId="79252927">
      <w:pPr>
        <w:spacing w:line="240" w:lineRule="auto"/>
        <w:ind w:firstLine="555"/>
        <w:rPr>
          <w:rFonts w:ascii="宋体" w:hAnsi="宋体" w:cs="宋体"/>
          <w:sz w:val="21"/>
          <w:szCs w:val="21"/>
        </w:rPr>
      </w:pPr>
      <w:r>
        <w:rPr>
          <w:rFonts w:hint="eastAsia" w:ascii="宋体" w:hAnsi="宋体" w:cs="宋体"/>
          <w:sz w:val="21"/>
          <w:szCs w:val="21"/>
        </w:rPr>
        <w:t>（2）供应商中标后，凭中标通知书等材料，向相关合作银行发出融资申请；</w:t>
      </w:r>
    </w:p>
    <w:p w14:paraId="66F565E7">
      <w:pPr>
        <w:spacing w:line="240" w:lineRule="auto"/>
        <w:ind w:firstLine="555"/>
        <w:rPr>
          <w:rFonts w:ascii="宋体" w:hAnsi="宋体" w:cs="宋体"/>
          <w:sz w:val="21"/>
          <w:szCs w:val="21"/>
        </w:rPr>
      </w:pPr>
      <w:r>
        <w:rPr>
          <w:rFonts w:hint="eastAsia" w:ascii="宋体" w:hAnsi="宋体" w:cs="宋体"/>
          <w:sz w:val="21"/>
          <w:szCs w:val="21"/>
        </w:rPr>
        <w:t>（3）银行、供应商线上办理审批、放贷事宜。</w:t>
      </w:r>
    </w:p>
    <w:p w14:paraId="4C2A820B">
      <w:pPr>
        <w:spacing w:line="240" w:lineRule="auto"/>
        <w:ind w:firstLine="555"/>
        <w:rPr>
          <w:rFonts w:ascii="宋体" w:hAnsi="宋体" w:cs="宋体"/>
          <w:sz w:val="21"/>
          <w:szCs w:val="21"/>
        </w:rPr>
      </w:pPr>
      <w:r>
        <w:rPr>
          <w:rFonts w:hint="eastAsia" w:ascii="宋体" w:hAnsi="宋体" w:cs="宋体"/>
          <w:sz w:val="21"/>
          <w:szCs w:val="21"/>
        </w:rPr>
        <w:t>3.注意事项</w:t>
      </w:r>
    </w:p>
    <w:p w14:paraId="4B8FD929">
      <w:pPr>
        <w:spacing w:line="240" w:lineRule="auto"/>
        <w:ind w:firstLine="555"/>
        <w:rPr>
          <w:rFonts w:ascii="宋体" w:hAnsi="宋体" w:cs="宋体"/>
          <w:sz w:val="21"/>
          <w:szCs w:val="21"/>
        </w:rPr>
      </w:pPr>
      <w:r>
        <w:rPr>
          <w:rFonts w:hint="eastAsia" w:ascii="宋体" w:hAnsi="宋体" w:cs="宋体"/>
          <w:sz w:val="21"/>
          <w:szCs w:val="21"/>
        </w:rPr>
        <w:t>（1）中标供应商需确保政府采购合同的收款账户与融资银行开户账户一致。</w:t>
      </w:r>
    </w:p>
    <w:p w14:paraId="43AB4C6C">
      <w:pPr>
        <w:spacing w:line="240" w:lineRule="auto"/>
        <w:ind w:firstLine="555"/>
        <w:rPr>
          <w:rFonts w:ascii="宋体" w:hAnsi="宋体" w:cs="宋体"/>
          <w:sz w:val="21"/>
          <w:szCs w:val="21"/>
        </w:rPr>
      </w:pPr>
      <w:r>
        <w:rPr>
          <w:rFonts w:hint="eastAsia" w:ascii="宋体" w:hAnsi="宋体" w:cs="宋体"/>
          <w:sz w:val="21"/>
          <w:szCs w:val="21"/>
        </w:rPr>
        <w:t>（2）用于政府采购信用融资的政府采购合同，应当包含如下条款：“第   条：政府采购合同贷款</w:t>
      </w:r>
    </w:p>
    <w:p w14:paraId="2A74C4B5">
      <w:pPr>
        <w:spacing w:line="240" w:lineRule="auto"/>
        <w:ind w:firstLine="555"/>
        <w:rPr>
          <w:rFonts w:ascii="宋体" w:hAnsi="宋体" w:cs="宋体"/>
          <w:sz w:val="21"/>
          <w:szCs w:val="21"/>
        </w:rPr>
      </w:pPr>
      <w:r>
        <w:rPr>
          <w:rFonts w:hint="eastAsia" w:ascii="宋体" w:hAnsi="宋体" w:cs="宋体"/>
          <w:sz w:val="21"/>
          <w:szCs w:val="21"/>
        </w:rPr>
        <w:t>本合同同时用于乙方向      银行（金融机构）申请政府采购信用贷款。</w:t>
      </w:r>
    </w:p>
    <w:p w14:paraId="16BD5539">
      <w:pPr>
        <w:spacing w:line="240" w:lineRule="auto"/>
        <w:ind w:firstLine="555"/>
        <w:rPr>
          <w:rFonts w:ascii="宋体" w:hAnsi="宋体" w:cs="宋体"/>
          <w:sz w:val="21"/>
          <w:szCs w:val="21"/>
        </w:rPr>
      </w:pPr>
      <w:r>
        <w:rPr>
          <w:rFonts w:hint="eastAsia" w:ascii="宋体" w:hAnsi="宋体" w:cs="宋体"/>
          <w:sz w:val="21"/>
          <w:szCs w:val="21"/>
        </w:rPr>
        <w:t>本合同一经签订，原则上不得更改乙方收款账户信息。确须更改的，乙方应取得原合同收款账户开户银行书面同意，否则修改后的合同不予备案，采购资金不予支付。”</w:t>
      </w:r>
    </w:p>
    <w:p w14:paraId="07CC3D83">
      <w:pPr>
        <w:pStyle w:val="66"/>
        <w:snapToGrid w:val="0"/>
        <w:spacing w:before="120" w:after="120" w:line="240" w:lineRule="auto"/>
        <w:ind w:right="-87" w:firstLine="240"/>
        <w:jc w:val="center"/>
        <w:rPr>
          <w:rFonts w:ascii="宋体" w:cs="宋体"/>
          <w:sz w:val="21"/>
          <w:szCs w:val="21"/>
        </w:rPr>
      </w:pPr>
    </w:p>
    <w:p w14:paraId="1B27EE18">
      <w:pPr>
        <w:pStyle w:val="22"/>
        <w:snapToGrid w:val="0"/>
        <w:spacing w:before="120" w:after="120" w:line="240" w:lineRule="auto"/>
        <w:ind w:firstLine="422" w:firstLineChars="200"/>
        <w:jc w:val="center"/>
        <w:outlineLvl w:val="0"/>
        <w:rPr>
          <w:rFonts w:hAnsi="宋体" w:eastAsia="宋体" w:cs="宋体"/>
          <w:b/>
          <w:sz w:val="24"/>
          <w:szCs w:val="24"/>
        </w:rPr>
      </w:pPr>
      <w:r>
        <w:rPr>
          <w:rFonts w:hint="eastAsia" w:hAnsi="宋体" w:eastAsia="宋体" w:cs="宋体"/>
          <w:b/>
          <w:sz w:val="21"/>
          <w:szCs w:val="21"/>
        </w:rPr>
        <w:br w:type="page"/>
      </w:r>
      <w:r>
        <w:rPr>
          <w:rFonts w:hint="eastAsia" w:hAnsi="宋体" w:eastAsia="宋体" w:cs="宋体"/>
          <w:b/>
          <w:sz w:val="24"/>
          <w:szCs w:val="24"/>
        </w:rPr>
        <w:t>第四章  磋商办法及标准</w:t>
      </w:r>
    </w:p>
    <w:p w14:paraId="7F7F3386">
      <w:pPr>
        <w:keepNext w:val="0"/>
        <w:keepLines w:val="0"/>
        <w:pageBreakBefore w:val="0"/>
        <w:widowControl w:val="0"/>
        <w:kinsoku/>
        <w:wordWrap/>
        <w:overflowPunct/>
        <w:topLinePunct w:val="0"/>
        <w:bidi w:val="0"/>
        <w:snapToGrid/>
        <w:spacing w:line="360" w:lineRule="auto"/>
        <w:ind w:firstLine="420" w:firstLineChars="200"/>
        <w:textAlignment w:val="auto"/>
        <w:rPr>
          <w:rFonts w:hint="eastAsia" w:ascii="宋体" w:hAnsi="宋体" w:cs="宋体"/>
          <w:sz w:val="21"/>
          <w:szCs w:val="21"/>
        </w:rPr>
      </w:pPr>
      <w:r>
        <w:rPr>
          <w:rFonts w:hint="eastAsia" w:ascii="宋体" w:hAnsi="宋体" w:cs="宋体"/>
          <w:sz w:val="21"/>
          <w:szCs w:val="21"/>
        </w:rPr>
        <w:t>为公正、公平、科学地选择成交人，根据《中华人民共和国政府采购法》等有关法律法规的规定，并结合本项目的实际，制定本办法，本办法适用本项目的评标。</w:t>
      </w:r>
    </w:p>
    <w:p w14:paraId="2D3098E8">
      <w:pPr>
        <w:autoSpaceDE w:val="0"/>
        <w:autoSpaceDN w:val="0"/>
        <w:adjustRightInd w:val="0"/>
        <w:spacing w:line="360" w:lineRule="auto"/>
        <w:rPr>
          <w:rFonts w:hint="eastAsia" w:ascii="宋体" w:hAnsi="宋体" w:cs="宋体"/>
          <w:b/>
          <w:szCs w:val="21"/>
        </w:rPr>
      </w:pPr>
      <w:r>
        <w:rPr>
          <w:rFonts w:hint="eastAsia" w:ascii="宋体" w:hAnsi="宋体" w:cs="宋体"/>
          <w:b/>
          <w:szCs w:val="21"/>
        </w:rPr>
        <w:t>一、资格审查</w:t>
      </w:r>
    </w:p>
    <w:p w14:paraId="59A30EBE">
      <w:pPr>
        <w:autoSpaceDE w:val="0"/>
        <w:autoSpaceDN w:val="0"/>
        <w:adjustRightIn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1、由招标代理机构对投标人的资格进行审查。</w:t>
      </w:r>
    </w:p>
    <w:p w14:paraId="1842CCB2">
      <w:pPr>
        <w:autoSpaceDE w:val="0"/>
        <w:autoSpaceDN w:val="0"/>
        <w:adjustRightInd w:val="0"/>
        <w:spacing w:line="360" w:lineRule="auto"/>
        <w:ind w:firstLine="420" w:firstLineChars="200"/>
        <w:rPr>
          <w:rFonts w:hint="eastAsia" w:ascii="宋体" w:hAnsi="宋体" w:cs="宋体"/>
          <w:szCs w:val="21"/>
          <w:lang w:val="zh-CN"/>
        </w:rPr>
      </w:pPr>
      <w:r>
        <w:rPr>
          <w:rFonts w:hint="eastAsia" w:ascii="宋体" w:hAnsi="宋体" w:cs="宋体"/>
          <w:szCs w:val="21"/>
          <w:lang w:val="zh-CN"/>
        </w:rPr>
        <w:t>2、按以下内容审核投标文件是否符合招标文件的资格文件要求。</w:t>
      </w:r>
    </w:p>
    <w:tbl>
      <w:tblPr>
        <w:tblStyle w:val="37"/>
        <w:tblpPr w:leftFromText="180" w:rightFromText="180" w:vertAnchor="text" w:tblpXSpec="center" w:tblpY="1"/>
        <w:tblOverlap w:val="never"/>
        <w:tblW w:w="93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5486"/>
        <w:gridCol w:w="2983"/>
      </w:tblGrid>
      <w:tr w14:paraId="4A4F4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912" w:type="dxa"/>
            <w:noWrap w:val="0"/>
            <w:vAlign w:val="center"/>
          </w:tcPr>
          <w:p w14:paraId="16892E58">
            <w:pPr>
              <w:spacing w:line="360" w:lineRule="auto"/>
              <w:jc w:val="center"/>
              <w:rPr>
                <w:rFonts w:ascii="宋体" w:hAnsi="宋体" w:cs="宋体"/>
                <w:b/>
                <w:szCs w:val="21"/>
              </w:rPr>
            </w:pPr>
            <w:r>
              <w:rPr>
                <w:rFonts w:hint="eastAsia" w:ascii="宋体" w:hAnsi="宋体" w:cs="宋体"/>
                <w:b/>
                <w:szCs w:val="21"/>
              </w:rPr>
              <w:t>序号</w:t>
            </w:r>
          </w:p>
        </w:tc>
        <w:tc>
          <w:tcPr>
            <w:tcW w:w="5486" w:type="dxa"/>
            <w:tcBorders>
              <w:tl2br w:val="single" w:color="auto" w:sz="4" w:space="0"/>
            </w:tcBorders>
            <w:noWrap w:val="0"/>
            <w:vAlign w:val="top"/>
          </w:tcPr>
          <w:p w14:paraId="1BE4D1D6">
            <w:pPr>
              <w:spacing w:line="360" w:lineRule="auto"/>
              <w:jc w:val="right"/>
              <w:rPr>
                <w:rFonts w:ascii="宋体" w:hAnsi="宋体" w:cs="宋体"/>
                <w:b/>
                <w:szCs w:val="21"/>
              </w:rPr>
            </w:pPr>
            <w:r>
              <w:rPr>
                <w:rFonts w:hint="eastAsia" w:ascii="宋体" w:hAnsi="宋体" w:cs="宋体"/>
                <w:b/>
                <w:szCs w:val="21"/>
              </w:rPr>
              <w:t>响应人</w:t>
            </w:r>
          </w:p>
          <w:p w14:paraId="1338E0C7">
            <w:pPr>
              <w:spacing w:line="360" w:lineRule="auto"/>
              <w:rPr>
                <w:rFonts w:ascii="宋体" w:hAnsi="宋体" w:cs="宋体"/>
                <w:b/>
                <w:szCs w:val="21"/>
              </w:rPr>
            </w:pPr>
            <w:r>
              <w:rPr>
                <w:rFonts w:hint="eastAsia" w:ascii="宋体" w:hAnsi="宋体" w:cs="宋体"/>
                <w:b/>
                <w:szCs w:val="21"/>
              </w:rPr>
              <w:t>内容</w:t>
            </w:r>
          </w:p>
        </w:tc>
        <w:tc>
          <w:tcPr>
            <w:tcW w:w="2983" w:type="dxa"/>
            <w:noWrap w:val="0"/>
            <w:vAlign w:val="center"/>
          </w:tcPr>
          <w:p w14:paraId="051332E8">
            <w:pPr>
              <w:spacing w:line="360" w:lineRule="auto"/>
              <w:jc w:val="center"/>
              <w:rPr>
                <w:rFonts w:ascii="宋体" w:hAnsi="宋体" w:cs="宋体"/>
                <w:b/>
                <w:szCs w:val="21"/>
              </w:rPr>
            </w:pPr>
            <w:r>
              <w:rPr>
                <w:rFonts w:hint="eastAsia" w:ascii="宋体" w:hAnsi="宋体" w:cs="宋体"/>
                <w:b/>
                <w:szCs w:val="21"/>
              </w:rPr>
              <w:t>审核标准</w:t>
            </w:r>
          </w:p>
        </w:tc>
      </w:tr>
      <w:tr w14:paraId="40C16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912" w:type="dxa"/>
            <w:noWrap w:val="0"/>
            <w:vAlign w:val="center"/>
          </w:tcPr>
          <w:p w14:paraId="6058498D">
            <w:pPr>
              <w:spacing w:line="360" w:lineRule="auto"/>
              <w:jc w:val="center"/>
              <w:rPr>
                <w:rFonts w:hint="eastAsia" w:ascii="宋体" w:hAnsi="宋体" w:cs="宋体"/>
                <w:szCs w:val="21"/>
              </w:rPr>
            </w:pPr>
            <w:r>
              <w:rPr>
                <w:rFonts w:hint="eastAsia" w:ascii="宋体" w:hAnsi="宋体" w:cs="宋体"/>
                <w:szCs w:val="21"/>
              </w:rPr>
              <w:t>1</w:t>
            </w:r>
          </w:p>
        </w:tc>
        <w:tc>
          <w:tcPr>
            <w:tcW w:w="5486" w:type="dxa"/>
            <w:noWrap w:val="0"/>
            <w:vAlign w:val="center"/>
          </w:tcPr>
          <w:p w14:paraId="37FF2320">
            <w:pPr>
              <w:spacing w:line="360" w:lineRule="auto"/>
              <w:jc w:val="center"/>
              <w:rPr>
                <w:rFonts w:hint="eastAsia" w:ascii="宋体" w:hAnsi="宋体" w:cs="宋体"/>
                <w:szCs w:val="21"/>
              </w:rPr>
            </w:pPr>
            <w:r>
              <w:rPr>
                <w:rFonts w:hint="eastAsia" w:ascii="宋体" w:hAnsi="宋体" w:cs="宋体"/>
                <w:szCs w:val="21"/>
              </w:rPr>
              <w:t>具有独立承担民事责任的能力</w:t>
            </w:r>
          </w:p>
        </w:tc>
        <w:tc>
          <w:tcPr>
            <w:tcW w:w="2983" w:type="dxa"/>
            <w:noWrap w:val="0"/>
            <w:vAlign w:val="center"/>
          </w:tcPr>
          <w:p w14:paraId="4F4DDF1A">
            <w:pPr>
              <w:spacing w:line="360" w:lineRule="auto"/>
              <w:jc w:val="center"/>
              <w:rPr>
                <w:rFonts w:ascii="宋体" w:hAnsi="宋体" w:cs="宋体"/>
                <w:szCs w:val="21"/>
              </w:rPr>
            </w:pPr>
            <w:bookmarkStart w:id="3" w:name="OLE_LINK9"/>
            <w:r>
              <w:rPr>
                <w:rFonts w:hint="eastAsia" w:ascii="宋体" w:hAnsi="宋体" w:cs="宋体"/>
                <w:szCs w:val="21"/>
              </w:rPr>
              <w:t>提供</w:t>
            </w:r>
            <w:bookmarkEnd w:id="3"/>
            <w:r>
              <w:rPr>
                <w:rFonts w:hint="eastAsia" w:ascii="宋体" w:hAnsi="宋体" w:cs="宋体"/>
                <w:szCs w:val="21"/>
              </w:rPr>
              <w:t>营业执照</w:t>
            </w:r>
          </w:p>
        </w:tc>
      </w:tr>
      <w:tr w14:paraId="0C50D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912" w:type="dxa"/>
            <w:noWrap w:val="0"/>
            <w:vAlign w:val="center"/>
          </w:tcPr>
          <w:p w14:paraId="0B894924">
            <w:pPr>
              <w:spacing w:line="360" w:lineRule="auto"/>
              <w:jc w:val="center"/>
              <w:rPr>
                <w:rFonts w:ascii="宋体" w:hAnsi="宋体" w:cs="宋体"/>
                <w:szCs w:val="21"/>
              </w:rPr>
            </w:pPr>
            <w:r>
              <w:rPr>
                <w:rFonts w:hint="eastAsia" w:ascii="宋体" w:hAnsi="宋体" w:cs="宋体"/>
                <w:szCs w:val="21"/>
              </w:rPr>
              <w:t>2</w:t>
            </w:r>
          </w:p>
        </w:tc>
        <w:tc>
          <w:tcPr>
            <w:tcW w:w="5486" w:type="dxa"/>
            <w:noWrap w:val="0"/>
            <w:vAlign w:val="center"/>
          </w:tcPr>
          <w:p w14:paraId="1EC79C3B">
            <w:pPr>
              <w:spacing w:line="360" w:lineRule="auto"/>
              <w:jc w:val="center"/>
              <w:rPr>
                <w:rFonts w:hint="eastAsia" w:ascii="宋体" w:hAnsi="宋体" w:eastAsia="宋体" w:cs="宋体"/>
                <w:szCs w:val="21"/>
                <w:lang w:val="en-US" w:eastAsia="zh-CN"/>
              </w:rPr>
            </w:pPr>
            <w:r>
              <w:rPr>
                <w:rFonts w:hint="eastAsia" w:ascii="宋体" w:hAnsi="宋体" w:cs="宋体"/>
                <w:szCs w:val="21"/>
                <w:lang w:val="en-US" w:eastAsia="zh-CN"/>
              </w:rPr>
              <w:t>投标函</w:t>
            </w:r>
          </w:p>
        </w:tc>
        <w:tc>
          <w:tcPr>
            <w:tcW w:w="2983" w:type="dxa"/>
            <w:noWrap w:val="0"/>
            <w:vAlign w:val="center"/>
          </w:tcPr>
          <w:p w14:paraId="10D558A7">
            <w:pPr>
              <w:spacing w:line="360" w:lineRule="auto"/>
              <w:jc w:val="center"/>
              <w:rPr>
                <w:rFonts w:ascii="宋体" w:hAnsi="宋体" w:cs="宋体"/>
                <w:szCs w:val="21"/>
              </w:rPr>
            </w:pPr>
            <w:r>
              <w:rPr>
                <w:rFonts w:hint="eastAsia" w:ascii="宋体" w:hAnsi="宋体" w:cs="宋体"/>
                <w:szCs w:val="21"/>
              </w:rPr>
              <w:t>提供</w:t>
            </w:r>
            <w:r>
              <w:rPr>
                <w:rFonts w:hint="eastAsia" w:ascii="宋体" w:hAnsi="宋体" w:cs="宋体"/>
                <w:szCs w:val="21"/>
                <w:lang w:val="en-US" w:eastAsia="zh-CN"/>
              </w:rPr>
              <w:t>投标函</w:t>
            </w:r>
          </w:p>
        </w:tc>
      </w:tr>
      <w:tr w14:paraId="278FD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912" w:type="dxa"/>
            <w:noWrap w:val="0"/>
            <w:vAlign w:val="center"/>
          </w:tcPr>
          <w:p w14:paraId="19C9CE61">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3</w:t>
            </w:r>
          </w:p>
        </w:tc>
        <w:tc>
          <w:tcPr>
            <w:tcW w:w="5486" w:type="dxa"/>
            <w:noWrap w:val="0"/>
            <w:vAlign w:val="center"/>
          </w:tcPr>
          <w:p w14:paraId="57A482D5">
            <w:pPr>
              <w:spacing w:line="360" w:lineRule="auto"/>
              <w:jc w:val="center"/>
              <w:rPr>
                <w:rFonts w:hint="eastAsia" w:ascii="宋体" w:hAnsi="宋体" w:cs="宋体"/>
                <w:szCs w:val="21"/>
              </w:rPr>
            </w:pPr>
            <w:r>
              <w:rPr>
                <w:rFonts w:hint="eastAsia" w:ascii="宋体" w:hAnsi="宋体" w:cs="宋体"/>
                <w:szCs w:val="21"/>
              </w:rPr>
              <w:t>法定代表人身份证复印件或《法定代表人授权函》原件，非法定代表人参加投标时用；</w:t>
            </w:r>
          </w:p>
        </w:tc>
        <w:tc>
          <w:tcPr>
            <w:tcW w:w="2983" w:type="dxa"/>
            <w:noWrap w:val="0"/>
            <w:vAlign w:val="center"/>
          </w:tcPr>
          <w:p w14:paraId="07AF9195">
            <w:pPr>
              <w:spacing w:line="360" w:lineRule="auto"/>
              <w:jc w:val="center"/>
              <w:rPr>
                <w:rFonts w:ascii="宋体" w:hAnsi="宋体" w:cs="宋体"/>
                <w:szCs w:val="21"/>
              </w:rPr>
            </w:pPr>
          </w:p>
        </w:tc>
      </w:tr>
      <w:tr w14:paraId="6DAA9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912" w:type="dxa"/>
            <w:noWrap w:val="0"/>
            <w:vAlign w:val="center"/>
          </w:tcPr>
          <w:p w14:paraId="219FEC96">
            <w:pPr>
              <w:spacing w:line="360" w:lineRule="auto"/>
              <w:jc w:val="center"/>
              <w:rPr>
                <w:rFonts w:hint="eastAsia" w:ascii="宋体" w:hAnsi="宋体" w:eastAsia="宋体" w:cs="宋体"/>
                <w:szCs w:val="21"/>
                <w:lang w:eastAsia="zh-CN"/>
              </w:rPr>
            </w:pPr>
            <w:r>
              <w:rPr>
                <w:rFonts w:hint="eastAsia" w:ascii="宋体" w:hAnsi="宋体" w:cs="宋体"/>
                <w:szCs w:val="21"/>
                <w:lang w:val="en-US" w:eastAsia="zh-CN"/>
              </w:rPr>
              <w:t>4</w:t>
            </w:r>
          </w:p>
        </w:tc>
        <w:tc>
          <w:tcPr>
            <w:tcW w:w="5486" w:type="dxa"/>
            <w:noWrap w:val="0"/>
            <w:vAlign w:val="center"/>
          </w:tcPr>
          <w:p w14:paraId="31AD5109">
            <w:pPr>
              <w:pStyle w:val="22"/>
              <w:snapToGrid w:val="0"/>
              <w:rPr>
                <w:rFonts w:hint="eastAsia" w:hAnsi="宋体" w:eastAsia="宋体" w:cs="宋体"/>
                <w:kern w:val="2"/>
                <w:sz w:val="21"/>
                <w:szCs w:val="21"/>
                <w:lang w:val="en-US" w:eastAsia="zh-CN"/>
              </w:rPr>
            </w:pPr>
            <w:r>
              <w:rPr>
                <w:rFonts w:hint="eastAsia" w:hAnsi="宋体" w:eastAsia="宋体" w:cs="宋体"/>
                <w:kern w:val="2"/>
                <w:sz w:val="21"/>
                <w:szCs w:val="21"/>
                <w:lang w:val="en-US" w:eastAsia="zh-CN"/>
              </w:rPr>
              <w:t>授权代表身份证复印件，非法定代表人参加投标时用；</w:t>
            </w:r>
          </w:p>
        </w:tc>
        <w:tc>
          <w:tcPr>
            <w:tcW w:w="2983" w:type="dxa"/>
            <w:noWrap w:val="0"/>
            <w:vAlign w:val="center"/>
          </w:tcPr>
          <w:p w14:paraId="6ACCCE08">
            <w:pPr>
              <w:spacing w:line="360" w:lineRule="auto"/>
              <w:jc w:val="center"/>
              <w:rPr>
                <w:rFonts w:ascii="宋体" w:hAnsi="宋体" w:cs="宋体"/>
                <w:szCs w:val="21"/>
              </w:rPr>
            </w:pPr>
          </w:p>
        </w:tc>
      </w:tr>
      <w:tr w14:paraId="72E6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6398" w:type="dxa"/>
            <w:gridSpan w:val="2"/>
            <w:noWrap w:val="0"/>
            <w:vAlign w:val="top"/>
          </w:tcPr>
          <w:p w14:paraId="48738625">
            <w:pPr>
              <w:pStyle w:val="25"/>
              <w:spacing w:line="360" w:lineRule="auto"/>
              <w:ind w:firstLine="0" w:firstLineChars="0"/>
              <w:jc w:val="center"/>
              <w:rPr>
                <w:rFonts w:ascii="宋体" w:hAnsi="宋体" w:cs="宋体"/>
                <w:b/>
                <w:sz w:val="21"/>
                <w:szCs w:val="21"/>
                <w:lang w:val="en-US" w:eastAsia="zh-CN"/>
              </w:rPr>
            </w:pPr>
            <w:r>
              <w:rPr>
                <w:rFonts w:hint="eastAsia" w:ascii="宋体" w:hAnsi="宋体" w:cs="宋体"/>
                <w:b/>
                <w:sz w:val="21"/>
                <w:szCs w:val="21"/>
                <w:lang w:val="en-US" w:eastAsia="zh-CN"/>
              </w:rPr>
              <w:t>结   论</w:t>
            </w:r>
          </w:p>
        </w:tc>
        <w:tc>
          <w:tcPr>
            <w:tcW w:w="2983" w:type="dxa"/>
            <w:noWrap w:val="0"/>
            <w:vAlign w:val="center"/>
          </w:tcPr>
          <w:p w14:paraId="311659E9">
            <w:pPr>
              <w:spacing w:line="360" w:lineRule="auto"/>
              <w:jc w:val="center"/>
              <w:rPr>
                <w:rFonts w:ascii="宋体" w:hAnsi="宋体" w:cs="宋体"/>
                <w:b/>
                <w:szCs w:val="21"/>
              </w:rPr>
            </w:pPr>
          </w:p>
        </w:tc>
      </w:tr>
    </w:tbl>
    <w:p w14:paraId="12502C9F">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二</w:t>
      </w:r>
      <w:r>
        <w:rPr>
          <w:rFonts w:hint="eastAsia" w:ascii="宋体" w:hAnsi="宋体" w:cs="宋体"/>
          <w:b/>
          <w:sz w:val="21"/>
          <w:szCs w:val="21"/>
        </w:rPr>
        <w:t>、中标候选人的选取</w:t>
      </w:r>
    </w:p>
    <w:p w14:paraId="53A8214F">
      <w:pPr>
        <w:keepNext w:val="0"/>
        <w:keepLines w:val="0"/>
        <w:pageBreakBefore w:val="0"/>
        <w:widowControl w:val="0"/>
        <w:kinsoku/>
        <w:wordWrap/>
        <w:overflowPunct/>
        <w:topLinePunct w:val="0"/>
        <w:bidi w:val="0"/>
        <w:snapToGrid/>
        <w:spacing w:line="360" w:lineRule="auto"/>
        <w:ind w:firstLine="420" w:firstLineChars="200"/>
        <w:textAlignment w:val="auto"/>
        <w:rPr>
          <w:rFonts w:ascii="宋体" w:hAnsi="宋体" w:cs="宋体"/>
          <w:b/>
          <w:sz w:val="21"/>
          <w:szCs w:val="21"/>
          <w:lang w:val="zh-CN"/>
        </w:rPr>
      </w:pPr>
      <w:r>
        <w:rPr>
          <w:rFonts w:hint="eastAsia" w:ascii="宋体" w:hAnsi="宋体" w:cs="宋体"/>
          <w:sz w:val="21"/>
          <w:szCs w:val="21"/>
        </w:rPr>
        <w:t>将综合评估分从高到低排序，得出有效响应人名次,按照综合评估分名次推荐中标候选人。得分相同时，按磋商报价由低到高顺序排列，得分且磋商报价相同的，则按技术得分从高到低顺序推荐成交候选人，如果报价和技术部分得分都相同，则由采购人抽签确定。</w:t>
      </w:r>
    </w:p>
    <w:p w14:paraId="19BCA7F8">
      <w:pPr>
        <w:keepNext w:val="0"/>
        <w:keepLines w:val="0"/>
        <w:pageBreakBefore w:val="0"/>
        <w:widowControl w:val="0"/>
        <w:kinsoku/>
        <w:wordWrap/>
        <w:overflowPunct/>
        <w:topLinePunct w:val="0"/>
        <w:bidi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三</w:t>
      </w:r>
      <w:r>
        <w:rPr>
          <w:rFonts w:hint="eastAsia" w:ascii="宋体" w:hAnsi="宋体" w:cs="宋体"/>
          <w:b/>
          <w:sz w:val="21"/>
          <w:szCs w:val="21"/>
        </w:rPr>
        <w:t>、成交人选取依据</w:t>
      </w:r>
    </w:p>
    <w:p w14:paraId="42C19ACC">
      <w:pPr>
        <w:keepNext w:val="0"/>
        <w:keepLines w:val="0"/>
        <w:pageBreakBefore w:val="0"/>
        <w:widowControl w:val="0"/>
        <w:kinsoku/>
        <w:wordWrap/>
        <w:overflowPunct/>
        <w:topLinePunct w:val="0"/>
        <w:bidi w:val="0"/>
        <w:snapToGrid/>
        <w:spacing w:line="360" w:lineRule="auto"/>
        <w:ind w:firstLine="420" w:firstLineChars="200"/>
        <w:textAlignment w:val="auto"/>
        <w:rPr>
          <w:rFonts w:ascii="宋体" w:hAnsi="宋体" w:cs="宋体"/>
          <w:sz w:val="21"/>
          <w:szCs w:val="21"/>
        </w:rPr>
      </w:pPr>
      <w:r>
        <w:rPr>
          <w:rFonts w:hint="eastAsia" w:ascii="宋体" w:hAnsi="宋体" w:cs="宋体"/>
          <w:sz w:val="21"/>
          <w:szCs w:val="21"/>
        </w:rPr>
        <w:t>评审小组根据综合评估分得分排序，推荐第一名中标候选人为成交人，经采购人确认后，确定项目成交人，同时发出成交通知书并发布采购结果公告。</w:t>
      </w:r>
    </w:p>
    <w:p w14:paraId="7AC34B64">
      <w:pPr>
        <w:keepNext w:val="0"/>
        <w:keepLines w:val="0"/>
        <w:pageBreakBefore w:val="0"/>
        <w:widowControl w:val="0"/>
        <w:kinsoku/>
        <w:wordWrap/>
        <w:overflowPunct/>
        <w:topLinePunct w:val="0"/>
        <w:bidi w:val="0"/>
        <w:snapToGrid/>
        <w:spacing w:line="360" w:lineRule="auto"/>
        <w:textAlignment w:val="auto"/>
        <w:outlineLvl w:val="1"/>
        <w:rPr>
          <w:rFonts w:ascii="宋体" w:hAnsi="宋体" w:cs="宋体"/>
          <w:b/>
          <w:sz w:val="21"/>
          <w:szCs w:val="21"/>
        </w:rPr>
      </w:pPr>
      <w:r>
        <w:rPr>
          <w:rFonts w:hint="eastAsia" w:ascii="宋体" w:hAnsi="宋体" w:cs="宋体"/>
          <w:b/>
          <w:sz w:val="21"/>
          <w:szCs w:val="21"/>
          <w:lang w:val="en-US" w:eastAsia="zh-CN"/>
        </w:rPr>
        <w:t>四</w:t>
      </w:r>
      <w:r>
        <w:rPr>
          <w:rFonts w:hint="eastAsia" w:ascii="宋体" w:hAnsi="宋体" w:cs="宋体"/>
          <w:b/>
          <w:sz w:val="21"/>
          <w:szCs w:val="21"/>
        </w:rPr>
        <w:t>、综合评估分计分方法</w:t>
      </w:r>
    </w:p>
    <w:p w14:paraId="3838174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ascii="宋体" w:hAnsi="宋体" w:cs="宋体"/>
          <w:sz w:val="21"/>
          <w:szCs w:val="21"/>
          <w:lang w:val="zh-CN"/>
        </w:rPr>
      </w:pPr>
      <w:r>
        <w:rPr>
          <w:rFonts w:hint="eastAsia" w:ascii="宋体" w:hAnsi="宋体" w:eastAsia="宋体" w:cs="宋体"/>
          <w:sz w:val="21"/>
          <w:szCs w:val="21"/>
        </w:rPr>
        <w:t>本项目对符合本办法规定的小微企业报价给予10%的扣除，用扣除后的价格参加评审</w:t>
      </w:r>
      <w:r>
        <w:rPr>
          <w:rFonts w:hint="eastAsia" w:ascii="宋体" w:hAnsi="宋体" w:eastAsia="宋体" w:cs="宋体"/>
          <w:sz w:val="21"/>
          <w:szCs w:val="21"/>
          <w:lang w:eastAsia="zh-CN"/>
        </w:rPr>
        <w:t>。</w:t>
      </w:r>
      <w:r>
        <w:rPr>
          <w:rFonts w:hint="eastAsia" w:ascii="宋体" w:hAnsi="宋体" w:cs="宋体"/>
          <w:sz w:val="21"/>
          <w:szCs w:val="21"/>
          <w:lang w:val="zh-CN"/>
        </w:rPr>
        <w:t>满足磋商文件要求且响应价格最低的最终报价为评标基准价，其价格分为满分，其他响应人的价格分按下列公式计算：报价得分＝（评标基准价/响应人报价）×价格权重×100。</w:t>
      </w:r>
    </w:p>
    <w:p w14:paraId="2FC258B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textAlignment w:val="auto"/>
        <w:rPr>
          <w:rFonts w:ascii="宋体" w:hAnsi="宋体" w:cs="宋体"/>
          <w:sz w:val="21"/>
          <w:szCs w:val="21"/>
        </w:rPr>
      </w:pPr>
      <w:r>
        <w:rPr>
          <w:rFonts w:hint="eastAsia" w:ascii="宋体" w:hAnsi="宋体" w:cs="宋体"/>
          <w:sz w:val="21"/>
          <w:szCs w:val="21"/>
        </w:rPr>
        <w:t>在评分时，各响应人报价得分保留小数点后二位，第三位四舍五入。评审专家打分准确到小数点后一位，综合评估分=商务技术部分得分＋报价得分，商务技术部分得分为所有评委评分的算术平均值，得分保留小数点后二位。</w:t>
      </w:r>
    </w:p>
    <w:p w14:paraId="4F6D0B1B">
      <w:pPr>
        <w:pStyle w:val="22"/>
        <w:numPr>
          <w:ilvl w:val="0"/>
          <w:numId w:val="11"/>
        </w:numPr>
        <w:snapToGrid w:val="0"/>
        <w:spacing w:line="240" w:lineRule="auto"/>
        <w:outlineLvl w:val="1"/>
        <w:rPr>
          <w:rFonts w:hint="eastAsia" w:hAnsi="宋体" w:eastAsia="宋体" w:cs="宋体"/>
          <w:b/>
          <w:sz w:val="21"/>
          <w:szCs w:val="21"/>
        </w:rPr>
      </w:pPr>
      <w:r>
        <w:rPr>
          <w:rFonts w:hint="eastAsia" w:hAnsi="宋体" w:eastAsia="宋体" w:cs="宋体"/>
          <w:b/>
          <w:sz w:val="21"/>
          <w:szCs w:val="21"/>
        </w:rPr>
        <w:t>评标内容及标准</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87"/>
        <w:gridCol w:w="2257"/>
        <w:gridCol w:w="3182"/>
        <w:gridCol w:w="1336"/>
      </w:tblGrid>
      <w:tr w14:paraId="457DF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487" w:type="dxa"/>
            <w:noWrap/>
            <w:vAlign w:val="center"/>
          </w:tcPr>
          <w:p w14:paraId="44512579">
            <w:pPr>
              <w:jc w:val="center"/>
              <w:rPr>
                <w:rFonts w:ascii="宋体" w:hAnsi="宋体" w:cs="宋体"/>
                <w:szCs w:val="21"/>
              </w:rPr>
            </w:pPr>
            <w:r>
              <w:rPr>
                <w:rFonts w:hint="eastAsia" w:ascii="宋体" w:hAnsi="宋体" w:cs="宋体"/>
                <w:szCs w:val="21"/>
              </w:rPr>
              <w:t>评标指标</w:t>
            </w:r>
          </w:p>
        </w:tc>
        <w:tc>
          <w:tcPr>
            <w:tcW w:w="2257" w:type="dxa"/>
            <w:noWrap/>
            <w:vAlign w:val="center"/>
          </w:tcPr>
          <w:p w14:paraId="7A5DBFEB">
            <w:pPr>
              <w:jc w:val="center"/>
              <w:rPr>
                <w:rFonts w:ascii="宋体" w:hAnsi="宋体" w:cs="宋体"/>
                <w:szCs w:val="21"/>
              </w:rPr>
            </w:pPr>
            <w:r>
              <w:rPr>
                <w:rFonts w:hint="eastAsia" w:ascii="宋体" w:hAnsi="宋体" w:cs="宋体"/>
                <w:szCs w:val="21"/>
              </w:rPr>
              <w:t>投标报价</w:t>
            </w:r>
          </w:p>
        </w:tc>
        <w:tc>
          <w:tcPr>
            <w:tcW w:w="3182" w:type="dxa"/>
            <w:noWrap/>
            <w:vAlign w:val="center"/>
          </w:tcPr>
          <w:p w14:paraId="490C60D7">
            <w:pPr>
              <w:jc w:val="center"/>
              <w:rPr>
                <w:rFonts w:ascii="宋体" w:hAnsi="宋体" w:cs="宋体"/>
                <w:szCs w:val="21"/>
              </w:rPr>
            </w:pPr>
            <w:r>
              <w:rPr>
                <w:rFonts w:hint="eastAsia" w:ascii="宋体" w:hAnsi="宋体" w:cs="宋体"/>
                <w:szCs w:val="21"/>
              </w:rPr>
              <w:t>商务技术部分</w:t>
            </w:r>
          </w:p>
        </w:tc>
        <w:tc>
          <w:tcPr>
            <w:tcW w:w="1336" w:type="dxa"/>
            <w:noWrap/>
            <w:vAlign w:val="center"/>
          </w:tcPr>
          <w:p w14:paraId="76A09F16">
            <w:pPr>
              <w:jc w:val="center"/>
              <w:rPr>
                <w:rFonts w:ascii="宋体" w:hAnsi="宋体" w:cs="宋体"/>
                <w:szCs w:val="21"/>
              </w:rPr>
            </w:pPr>
            <w:r>
              <w:rPr>
                <w:rFonts w:hint="eastAsia" w:ascii="宋体" w:hAnsi="宋体" w:cs="宋体"/>
                <w:szCs w:val="21"/>
              </w:rPr>
              <w:t>合计</w:t>
            </w:r>
          </w:p>
        </w:tc>
      </w:tr>
      <w:tr w14:paraId="23F87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487" w:type="dxa"/>
            <w:noWrap/>
            <w:vAlign w:val="center"/>
          </w:tcPr>
          <w:p w14:paraId="4765CA01">
            <w:pPr>
              <w:jc w:val="center"/>
              <w:rPr>
                <w:rFonts w:ascii="宋体" w:hAnsi="宋体" w:cs="宋体"/>
                <w:szCs w:val="21"/>
              </w:rPr>
            </w:pPr>
            <w:r>
              <w:rPr>
                <w:rFonts w:hint="eastAsia" w:ascii="宋体" w:hAnsi="宋体" w:cs="宋体"/>
                <w:szCs w:val="21"/>
              </w:rPr>
              <w:t>权重（%）</w:t>
            </w:r>
          </w:p>
        </w:tc>
        <w:tc>
          <w:tcPr>
            <w:tcW w:w="2257" w:type="dxa"/>
            <w:noWrap/>
            <w:vAlign w:val="center"/>
          </w:tcPr>
          <w:p w14:paraId="0131AA4E">
            <w:pPr>
              <w:jc w:val="center"/>
              <w:rPr>
                <w:rFonts w:hint="default" w:ascii="宋体" w:hAnsi="宋体" w:eastAsia="宋体" w:cs="宋体"/>
                <w:szCs w:val="21"/>
                <w:lang w:val="en-US" w:eastAsia="zh-CN"/>
              </w:rPr>
            </w:pPr>
            <w:r>
              <w:rPr>
                <w:rFonts w:hint="eastAsia" w:ascii="宋体" w:hAnsi="宋体" w:cs="宋体"/>
                <w:szCs w:val="21"/>
                <w:lang w:val="en-US" w:eastAsia="zh-CN"/>
              </w:rPr>
              <w:t>20</w:t>
            </w:r>
          </w:p>
        </w:tc>
        <w:tc>
          <w:tcPr>
            <w:tcW w:w="3182" w:type="dxa"/>
            <w:noWrap/>
            <w:vAlign w:val="center"/>
          </w:tcPr>
          <w:p w14:paraId="2E723D61">
            <w:pPr>
              <w:jc w:val="center"/>
              <w:rPr>
                <w:rFonts w:hint="default" w:ascii="宋体" w:hAnsi="宋体" w:eastAsia="宋体" w:cs="宋体"/>
                <w:szCs w:val="21"/>
                <w:lang w:val="en-US" w:eastAsia="zh-CN"/>
              </w:rPr>
            </w:pPr>
            <w:r>
              <w:rPr>
                <w:rFonts w:hint="eastAsia" w:ascii="宋体" w:hAnsi="宋体" w:cs="宋体"/>
                <w:szCs w:val="21"/>
                <w:lang w:val="en-US" w:eastAsia="zh-CN"/>
              </w:rPr>
              <w:t>80</w:t>
            </w:r>
          </w:p>
        </w:tc>
        <w:tc>
          <w:tcPr>
            <w:tcW w:w="1336" w:type="dxa"/>
            <w:noWrap/>
            <w:vAlign w:val="center"/>
          </w:tcPr>
          <w:p w14:paraId="647D02B5">
            <w:pPr>
              <w:jc w:val="center"/>
              <w:rPr>
                <w:rFonts w:ascii="宋体" w:hAnsi="宋体" w:cs="宋体"/>
                <w:szCs w:val="21"/>
              </w:rPr>
            </w:pPr>
            <w:r>
              <w:rPr>
                <w:rFonts w:hint="eastAsia" w:ascii="宋体" w:hAnsi="宋体" w:cs="宋体"/>
                <w:szCs w:val="21"/>
              </w:rPr>
              <w:t>100</w:t>
            </w:r>
          </w:p>
        </w:tc>
      </w:tr>
    </w:tbl>
    <w:p w14:paraId="444F6491">
      <w:pPr>
        <w:pStyle w:val="23"/>
        <w:numPr>
          <w:ilvl w:val="0"/>
          <w:numId w:val="0"/>
        </w:numPr>
      </w:pPr>
    </w:p>
    <w:tbl>
      <w:tblPr>
        <w:tblStyle w:val="37"/>
        <w:tblW w:w="9443" w:type="dxa"/>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1563"/>
        <w:gridCol w:w="6235"/>
        <w:gridCol w:w="1117"/>
      </w:tblGrid>
      <w:tr w14:paraId="51315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5971C189">
            <w:pPr>
              <w:spacing w:line="360" w:lineRule="auto"/>
              <w:jc w:val="center"/>
              <w:rPr>
                <w:rFonts w:hint="eastAsia" w:ascii="宋体" w:hAnsi="宋体" w:cs="宋体"/>
                <w:szCs w:val="21"/>
              </w:rPr>
            </w:pPr>
            <w:r>
              <w:rPr>
                <w:rFonts w:hint="eastAsia" w:ascii="宋体" w:hAnsi="宋体" w:cs="宋体"/>
                <w:szCs w:val="21"/>
              </w:rPr>
              <w:t>序号</w:t>
            </w:r>
          </w:p>
        </w:tc>
        <w:tc>
          <w:tcPr>
            <w:tcW w:w="1563" w:type="dxa"/>
            <w:noWrap w:val="0"/>
            <w:vAlign w:val="center"/>
          </w:tcPr>
          <w:p w14:paraId="2791150D">
            <w:pPr>
              <w:spacing w:line="360" w:lineRule="auto"/>
              <w:jc w:val="center"/>
              <w:rPr>
                <w:rFonts w:hint="eastAsia" w:ascii="宋体" w:hAnsi="宋体" w:cs="宋体"/>
                <w:b/>
                <w:szCs w:val="21"/>
              </w:rPr>
            </w:pPr>
            <w:r>
              <w:rPr>
                <w:rFonts w:hint="eastAsia" w:ascii="宋体" w:hAnsi="宋体" w:cs="宋体"/>
                <w:b/>
                <w:szCs w:val="21"/>
              </w:rPr>
              <w:t>评审因素</w:t>
            </w:r>
          </w:p>
        </w:tc>
        <w:tc>
          <w:tcPr>
            <w:tcW w:w="6235" w:type="dxa"/>
            <w:noWrap w:val="0"/>
            <w:vAlign w:val="center"/>
          </w:tcPr>
          <w:p w14:paraId="0BC082D7">
            <w:pPr>
              <w:spacing w:line="360" w:lineRule="auto"/>
              <w:jc w:val="center"/>
              <w:rPr>
                <w:rFonts w:hint="eastAsia" w:ascii="宋体" w:hAnsi="宋体" w:cs="宋体"/>
                <w:b/>
                <w:szCs w:val="21"/>
              </w:rPr>
            </w:pPr>
            <w:r>
              <w:rPr>
                <w:rFonts w:hint="eastAsia" w:ascii="宋体" w:hAnsi="宋体" w:cs="宋体"/>
                <w:b/>
                <w:szCs w:val="21"/>
              </w:rPr>
              <w:t>评审标准</w:t>
            </w:r>
          </w:p>
        </w:tc>
        <w:tc>
          <w:tcPr>
            <w:tcW w:w="1117" w:type="dxa"/>
            <w:noWrap w:val="0"/>
            <w:vAlign w:val="center"/>
          </w:tcPr>
          <w:p w14:paraId="3FAB7662">
            <w:pPr>
              <w:spacing w:line="360" w:lineRule="auto"/>
              <w:jc w:val="center"/>
              <w:rPr>
                <w:rFonts w:hint="eastAsia" w:ascii="宋体" w:hAnsi="宋体" w:cs="宋体"/>
                <w:b/>
                <w:szCs w:val="21"/>
              </w:rPr>
            </w:pPr>
            <w:r>
              <w:rPr>
                <w:rFonts w:hint="eastAsia" w:ascii="宋体" w:hAnsi="宋体" w:cs="宋体"/>
                <w:b/>
                <w:szCs w:val="21"/>
              </w:rPr>
              <w:t>分值</w:t>
            </w:r>
          </w:p>
        </w:tc>
      </w:tr>
      <w:tr w14:paraId="6BEE7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33171B68">
            <w:pPr>
              <w:spacing w:line="360" w:lineRule="auto"/>
              <w:jc w:val="center"/>
              <w:rPr>
                <w:rFonts w:hint="default" w:ascii="宋体" w:hAnsi="宋体" w:eastAsia="宋体" w:cs="宋体"/>
                <w:szCs w:val="21"/>
                <w:lang w:val="en-US" w:eastAsia="zh-CN"/>
              </w:rPr>
            </w:pPr>
            <w:r>
              <w:rPr>
                <w:rFonts w:hint="eastAsia" w:ascii="宋体" w:hAnsi="宋体" w:eastAsia="宋体" w:cs="宋体"/>
                <w:szCs w:val="21"/>
                <w:lang w:val="en-US" w:eastAsia="zh-CN"/>
              </w:rPr>
              <w:t>1</w:t>
            </w:r>
          </w:p>
        </w:tc>
        <w:tc>
          <w:tcPr>
            <w:tcW w:w="1563" w:type="dxa"/>
            <w:noWrap w:val="0"/>
            <w:vAlign w:val="center"/>
          </w:tcPr>
          <w:p w14:paraId="7A617300">
            <w:pPr>
              <w:spacing w:line="360" w:lineRule="auto"/>
              <w:jc w:val="center"/>
              <w:rPr>
                <w:rFonts w:hint="eastAsia" w:ascii="宋体" w:hAnsi="宋体" w:cs="宋体"/>
                <w:color w:val="000000"/>
                <w:szCs w:val="21"/>
              </w:rPr>
            </w:pPr>
            <w:r>
              <w:rPr>
                <w:rFonts w:hint="eastAsia" w:ascii="宋体" w:hAnsi="宋体" w:cs="宋体"/>
                <w:color w:val="000000"/>
                <w:szCs w:val="21"/>
              </w:rPr>
              <w:t>业绩证明</w:t>
            </w:r>
          </w:p>
        </w:tc>
        <w:tc>
          <w:tcPr>
            <w:tcW w:w="6235" w:type="dxa"/>
            <w:noWrap w:val="0"/>
            <w:vAlign w:val="center"/>
          </w:tcPr>
          <w:p w14:paraId="49CCFFD1">
            <w:pPr>
              <w:spacing w:line="300" w:lineRule="exact"/>
              <w:rPr>
                <w:rFonts w:hint="eastAsia" w:ascii="宋体" w:hAnsi="宋体" w:cs="宋体"/>
                <w:color w:val="000000"/>
                <w:szCs w:val="21"/>
              </w:rPr>
            </w:pPr>
            <w:r>
              <w:rPr>
                <w:rFonts w:hint="eastAsia" w:ascii="宋体" w:hAnsi="宋体" w:cs="宋体"/>
                <w:color w:val="000000"/>
                <w:szCs w:val="21"/>
              </w:rPr>
              <w:t>20</w:t>
            </w:r>
            <w:r>
              <w:rPr>
                <w:rFonts w:ascii="宋体" w:hAnsi="宋体" w:cs="宋体"/>
                <w:color w:val="000000"/>
                <w:szCs w:val="21"/>
              </w:rPr>
              <w:t>2</w:t>
            </w:r>
            <w:r>
              <w:rPr>
                <w:rFonts w:hint="eastAsia" w:ascii="宋体" w:hAnsi="宋体" w:cs="宋体"/>
                <w:color w:val="000000"/>
                <w:szCs w:val="21"/>
                <w:lang w:val="en-US" w:eastAsia="zh-CN"/>
              </w:rPr>
              <w:t>2</w:t>
            </w:r>
            <w:r>
              <w:rPr>
                <w:rFonts w:hint="eastAsia" w:ascii="宋体" w:hAnsi="宋体" w:cs="宋体"/>
                <w:color w:val="000000"/>
                <w:szCs w:val="21"/>
              </w:rPr>
              <w:t>年1月1日至</w:t>
            </w:r>
            <w:r>
              <w:rPr>
                <w:rFonts w:ascii="宋体" w:hAnsi="宋体" w:cs="宋体"/>
                <w:color w:val="000000"/>
                <w:szCs w:val="21"/>
              </w:rPr>
              <w:t>今（时间以合同签订时间为准）</w:t>
            </w:r>
            <w:r>
              <w:rPr>
                <w:rFonts w:hint="eastAsia" w:ascii="宋体" w:hAnsi="宋体" w:cs="宋体"/>
                <w:color w:val="000000"/>
                <w:szCs w:val="21"/>
              </w:rPr>
              <w:t>投标人完成类似</w:t>
            </w:r>
            <w:r>
              <w:rPr>
                <w:rFonts w:hint="eastAsia" w:ascii="宋体" w:hAnsi="宋体" w:cs="宋体"/>
                <w:color w:val="000000"/>
                <w:szCs w:val="21"/>
                <w:lang w:val="en-US" w:eastAsia="zh-CN"/>
              </w:rPr>
              <w:t>供应配送</w:t>
            </w:r>
            <w:r>
              <w:rPr>
                <w:rFonts w:hint="eastAsia" w:ascii="宋体" w:hAnsi="宋体" w:cs="宋体"/>
                <w:color w:val="000000"/>
                <w:szCs w:val="21"/>
              </w:rPr>
              <w:t>的成功案例，需提供合同复印件。</w:t>
            </w:r>
          </w:p>
          <w:p w14:paraId="01ED6507">
            <w:pPr>
              <w:spacing w:line="300" w:lineRule="exact"/>
              <w:rPr>
                <w:rFonts w:ascii="宋体" w:hAnsi="宋体" w:cs="宋体"/>
                <w:color w:val="000000"/>
                <w:szCs w:val="21"/>
              </w:rPr>
            </w:pPr>
            <w:r>
              <w:rPr>
                <w:rFonts w:hint="eastAsia" w:ascii="宋体" w:hAnsi="宋体" w:cs="宋体"/>
                <w:color w:val="000000"/>
                <w:szCs w:val="21"/>
              </w:rPr>
              <w:t>所供企业1家得</w:t>
            </w:r>
            <w:r>
              <w:rPr>
                <w:rFonts w:ascii="宋体" w:hAnsi="宋体" w:cs="宋体"/>
                <w:color w:val="000000"/>
                <w:szCs w:val="21"/>
              </w:rPr>
              <w:t>1</w:t>
            </w:r>
            <w:r>
              <w:rPr>
                <w:rFonts w:hint="eastAsia" w:ascii="宋体" w:hAnsi="宋体" w:cs="宋体"/>
                <w:color w:val="000000"/>
                <w:szCs w:val="21"/>
              </w:rPr>
              <w:t>分，最高得</w:t>
            </w:r>
            <w:r>
              <w:rPr>
                <w:rFonts w:hint="eastAsia" w:ascii="宋体" w:hAnsi="宋体" w:cs="宋体"/>
                <w:color w:val="000000"/>
                <w:szCs w:val="21"/>
                <w:lang w:val="en-US" w:eastAsia="zh-CN"/>
              </w:rPr>
              <w:t>2</w:t>
            </w:r>
            <w:r>
              <w:rPr>
                <w:rFonts w:hint="eastAsia" w:ascii="宋体" w:hAnsi="宋体" w:cs="宋体"/>
                <w:color w:val="000000"/>
                <w:szCs w:val="21"/>
              </w:rPr>
              <w:t>分。</w:t>
            </w:r>
          </w:p>
          <w:p w14:paraId="06A9B1A6">
            <w:pPr>
              <w:spacing w:line="300" w:lineRule="exact"/>
              <w:rPr>
                <w:rFonts w:hint="eastAsia" w:ascii="宋体" w:hAnsi="宋体" w:cs="宋体"/>
                <w:color w:val="000000"/>
                <w:szCs w:val="21"/>
              </w:rPr>
            </w:pPr>
            <w:r>
              <w:rPr>
                <w:rFonts w:hint="eastAsia" w:ascii="宋体" w:hAnsi="宋体"/>
                <w:bCs/>
                <w:szCs w:val="21"/>
              </w:rPr>
              <w:t>（注</w:t>
            </w:r>
            <w:r>
              <w:rPr>
                <w:rFonts w:ascii="宋体" w:hAnsi="宋体"/>
                <w:bCs/>
                <w:szCs w:val="21"/>
              </w:rPr>
              <w:t>：</w:t>
            </w:r>
            <w:r>
              <w:rPr>
                <w:rFonts w:hint="eastAsia" w:ascii="宋体" w:hAnsi="宋体"/>
                <w:bCs/>
                <w:szCs w:val="21"/>
              </w:rPr>
              <w:t>同一个项目不同年份的合同只可计分一次）</w:t>
            </w:r>
          </w:p>
        </w:tc>
        <w:tc>
          <w:tcPr>
            <w:tcW w:w="1117" w:type="dxa"/>
            <w:noWrap w:val="0"/>
            <w:vAlign w:val="center"/>
          </w:tcPr>
          <w:p w14:paraId="70037B57">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2</w:t>
            </w:r>
          </w:p>
        </w:tc>
      </w:tr>
      <w:tr w14:paraId="67FE0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34E623C0">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2</w:t>
            </w:r>
          </w:p>
        </w:tc>
        <w:tc>
          <w:tcPr>
            <w:tcW w:w="1563" w:type="dxa"/>
            <w:noWrap w:val="0"/>
            <w:vAlign w:val="center"/>
          </w:tcPr>
          <w:p w14:paraId="7157DFC6">
            <w:pPr>
              <w:spacing w:line="360" w:lineRule="auto"/>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企业荣誉</w:t>
            </w:r>
          </w:p>
        </w:tc>
        <w:tc>
          <w:tcPr>
            <w:tcW w:w="6235" w:type="dxa"/>
            <w:noWrap w:val="0"/>
            <w:vAlign w:val="center"/>
          </w:tcPr>
          <w:p w14:paraId="799DF54F">
            <w:pPr>
              <w:spacing w:line="300" w:lineRule="exact"/>
              <w:rPr>
                <w:rFonts w:hint="default" w:ascii="宋体" w:hAnsi="宋体" w:eastAsia="宋体"/>
                <w:bCs/>
                <w:szCs w:val="21"/>
                <w:lang w:val="en-US" w:eastAsia="zh-CN"/>
              </w:rPr>
            </w:pPr>
            <w:r>
              <w:rPr>
                <w:rFonts w:hint="eastAsia" w:ascii="宋体" w:hAnsi="宋体"/>
                <w:bCs/>
                <w:szCs w:val="21"/>
                <w:lang w:val="en-US" w:eastAsia="zh-CN"/>
              </w:rPr>
              <w:t>投标人自开标截止之日三年内获得过区级以上政府部门颁发的食品或配送类荣誉的得3分。（提供证书复印件并加盖投标人公章）</w:t>
            </w:r>
          </w:p>
        </w:tc>
        <w:tc>
          <w:tcPr>
            <w:tcW w:w="1117" w:type="dxa"/>
            <w:noWrap w:val="0"/>
            <w:vAlign w:val="center"/>
          </w:tcPr>
          <w:p w14:paraId="3674A25C">
            <w:pPr>
              <w:spacing w:line="360" w:lineRule="auto"/>
              <w:ind w:firstLine="315" w:firstLineChars="150"/>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0-3</w:t>
            </w:r>
          </w:p>
        </w:tc>
      </w:tr>
      <w:tr w14:paraId="0AB11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1298CE0A">
            <w:pPr>
              <w:spacing w:line="360" w:lineRule="auto"/>
              <w:jc w:val="center"/>
              <w:rPr>
                <w:rFonts w:hint="default" w:ascii="宋体" w:hAnsi="宋体" w:cs="宋体"/>
                <w:szCs w:val="21"/>
                <w:lang w:val="en-US" w:eastAsia="zh-CN"/>
              </w:rPr>
            </w:pPr>
            <w:r>
              <w:rPr>
                <w:rFonts w:hint="eastAsia" w:ascii="宋体" w:hAnsi="宋体" w:cs="宋体"/>
                <w:szCs w:val="21"/>
                <w:lang w:val="en-US" w:eastAsia="zh-CN"/>
              </w:rPr>
              <w:t>3</w:t>
            </w:r>
          </w:p>
        </w:tc>
        <w:tc>
          <w:tcPr>
            <w:tcW w:w="1563" w:type="dxa"/>
            <w:noWrap w:val="0"/>
            <w:vAlign w:val="center"/>
          </w:tcPr>
          <w:p w14:paraId="5871C59C">
            <w:pPr>
              <w:spacing w:line="360" w:lineRule="auto"/>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企业资质</w:t>
            </w:r>
          </w:p>
        </w:tc>
        <w:tc>
          <w:tcPr>
            <w:tcW w:w="6235" w:type="dxa"/>
            <w:noWrap w:val="0"/>
            <w:vAlign w:val="center"/>
          </w:tcPr>
          <w:p w14:paraId="0D42FA39">
            <w:pPr>
              <w:spacing w:before="167" w:line="220" w:lineRule="auto"/>
              <w:ind w:left="120"/>
              <w:rPr>
                <w:rFonts w:hint="eastAsia" w:ascii="宋体" w:hAnsi="宋体" w:eastAsia="宋体" w:cs="宋体"/>
                <w:sz w:val="20"/>
                <w:szCs w:val="20"/>
                <w:lang w:val="en-US" w:eastAsia="zh-CN"/>
              </w:rPr>
            </w:pPr>
            <w:r>
              <w:rPr>
                <w:rFonts w:hint="eastAsia" w:ascii="宋体" w:hAnsi="宋体"/>
                <w:bCs/>
                <w:szCs w:val="21"/>
                <w:lang w:val="en-US" w:eastAsia="zh-CN"/>
              </w:rPr>
              <w:t>投标人具有有效期内的</w:t>
            </w:r>
            <w:r>
              <w:rPr>
                <w:rFonts w:ascii="宋体" w:hAnsi="宋体" w:eastAsia="宋体" w:cs="宋体"/>
                <w:spacing w:val="-2"/>
                <w:sz w:val="20"/>
                <w:szCs w:val="20"/>
              </w:rPr>
              <w:t>质量管理体系认</w:t>
            </w:r>
            <w:r>
              <w:rPr>
                <w:rFonts w:ascii="宋体" w:hAnsi="宋体" w:eastAsia="宋体" w:cs="宋体"/>
                <w:spacing w:val="4"/>
                <w:sz w:val="20"/>
                <w:szCs w:val="20"/>
              </w:rPr>
              <w:t>证证书</w:t>
            </w:r>
            <w:r>
              <w:rPr>
                <w:rFonts w:hint="eastAsia" w:ascii="宋体" w:hAnsi="宋体" w:eastAsia="宋体" w:cs="宋体"/>
                <w:spacing w:val="4"/>
                <w:sz w:val="20"/>
                <w:szCs w:val="20"/>
                <w:lang w:eastAsia="zh-CN"/>
              </w:rPr>
              <w:t>、</w:t>
            </w:r>
            <w:r>
              <w:rPr>
                <w:rFonts w:ascii="宋体" w:hAnsi="宋体" w:eastAsia="宋体" w:cs="宋体"/>
                <w:spacing w:val="-2"/>
                <w:sz w:val="20"/>
                <w:szCs w:val="20"/>
              </w:rPr>
              <w:t>环境管理体系认</w:t>
            </w:r>
            <w:r>
              <w:rPr>
                <w:rFonts w:ascii="宋体" w:hAnsi="宋体" w:eastAsia="宋体" w:cs="宋体"/>
                <w:spacing w:val="4"/>
                <w:sz w:val="20"/>
                <w:szCs w:val="20"/>
              </w:rPr>
              <w:t>证证书</w:t>
            </w:r>
            <w:r>
              <w:rPr>
                <w:rFonts w:hint="eastAsia" w:ascii="宋体" w:hAnsi="宋体" w:eastAsia="宋体" w:cs="宋体"/>
                <w:spacing w:val="4"/>
                <w:sz w:val="20"/>
                <w:szCs w:val="20"/>
                <w:lang w:eastAsia="zh-CN"/>
              </w:rPr>
              <w:t>、</w:t>
            </w:r>
            <w:r>
              <w:rPr>
                <w:rFonts w:ascii="宋体" w:hAnsi="宋体" w:eastAsia="宋体" w:cs="宋体"/>
                <w:spacing w:val="-2"/>
                <w:sz w:val="20"/>
                <w:szCs w:val="20"/>
              </w:rPr>
              <w:t>职业健康安全管</w:t>
            </w:r>
            <w:r>
              <w:rPr>
                <w:rFonts w:ascii="宋体" w:hAnsi="宋体" w:eastAsia="宋体" w:cs="宋体"/>
                <w:spacing w:val="1"/>
                <w:sz w:val="20"/>
                <w:szCs w:val="20"/>
              </w:rPr>
              <w:t>理体系认证证书</w:t>
            </w:r>
            <w:r>
              <w:rPr>
                <w:rFonts w:hint="eastAsia" w:ascii="宋体" w:hAnsi="宋体" w:eastAsia="宋体" w:cs="宋体"/>
                <w:spacing w:val="1"/>
                <w:sz w:val="20"/>
                <w:szCs w:val="20"/>
                <w:lang w:eastAsia="zh-CN"/>
              </w:rPr>
              <w:t>、</w:t>
            </w:r>
            <w:r>
              <w:rPr>
                <w:rFonts w:ascii="宋体" w:hAnsi="宋体" w:eastAsia="宋体" w:cs="宋体"/>
                <w:spacing w:val="-2"/>
                <w:sz w:val="20"/>
                <w:szCs w:val="20"/>
              </w:rPr>
              <w:t>食品安全管理体</w:t>
            </w:r>
            <w:r>
              <w:rPr>
                <w:rFonts w:ascii="宋体" w:hAnsi="宋体" w:eastAsia="宋体" w:cs="宋体"/>
                <w:spacing w:val="2"/>
                <w:sz w:val="20"/>
                <w:szCs w:val="20"/>
              </w:rPr>
              <w:t>系认证证书</w:t>
            </w:r>
            <w:r>
              <w:rPr>
                <w:rFonts w:hint="eastAsia" w:ascii="宋体" w:hAnsi="宋体" w:eastAsia="宋体" w:cs="宋体"/>
                <w:spacing w:val="2"/>
                <w:sz w:val="20"/>
                <w:szCs w:val="20"/>
                <w:lang w:eastAsia="zh-CN"/>
              </w:rPr>
              <w:t>、</w:t>
            </w:r>
            <w:r>
              <w:rPr>
                <w:rFonts w:ascii="宋体" w:hAnsi="宋体" w:eastAsia="宋体" w:cs="宋体"/>
                <w:spacing w:val="-2"/>
                <w:sz w:val="20"/>
                <w:szCs w:val="20"/>
              </w:rPr>
              <w:t>危害分析与关键</w:t>
            </w:r>
            <w:r>
              <w:rPr>
                <w:rFonts w:ascii="宋体" w:hAnsi="宋体" w:eastAsia="宋体" w:cs="宋体"/>
                <w:spacing w:val="8"/>
                <w:sz w:val="20"/>
                <w:szCs w:val="20"/>
              </w:rPr>
              <w:t>控制点(</w:t>
            </w:r>
            <w:r>
              <w:rPr>
                <w:rFonts w:ascii="宋体" w:hAnsi="宋体" w:eastAsia="宋体" w:cs="宋体"/>
                <w:sz w:val="20"/>
                <w:szCs w:val="20"/>
              </w:rPr>
              <w:t>HACCP</w:t>
            </w:r>
            <w:r>
              <w:rPr>
                <w:rFonts w:ascii="宋体" w:hAnsi="宋体" w:eastAsia="宋体" w:cs="宋体"/>
                <w:spacing w:val="8"/>
                <w:sz w:val="20"/>
                <w:szCs w:val="20"/>
              </w:rPr>
              <w:t>)</w:t>
            </w:r>
            <w:r>
              <w:rPr>
                <w:rFonts w:ascii="宋体" w:hAnsi="宋体" w:eastAsia="宋体" w:cs="宋体"/>
                <w:spacing w:val="2"/>
                <w:sz w:val="20"/>
                <w:szCs w:val="20"/>
              </w:rPr>
              <w:t>体系认证证书</w:t>
            </w:r>
            <w:r>
              <w:rPr>
                <w:rFonts w:hint="eastAsia" w:ascii="宋体" w:hAnsi="宋体" w:eastAsia="宋体" w:cs="宋体"/>
                <w:spacing w:val="2"/>
                <w:sz w:val="20"/>
                <w:szCs w:val="20"/>
                <w:lang w:eastAsia="zh-CN"/>
              </w:rPr>
              <w:t>（</w:t>
            </w:r>
            <w:r>
              <w:rPr>
                <w:rFonts w:hint="eastAsia" w:ascii="宋体" w:hAnsi="宋体" w:eastAsia="宋体" w:cs="宋体"/>
                <w:spacing w:val="2"/>
                <w:sz w:val="20"/>
                <w:szCs w:val="20"/>
                <w:lang w:val="en-US" w:eastAsia="zh-CN"/>
              </w:rPr>
              <w:t>证书范围包含</w:t>
            </w:r>
            <w:r>
              <w:rPr>
                <w:rFonts w:ascii="宋体" w:hAnsi="宋体" w:eastAsia="宋体" w:cs="宋体"/>
                <w:spacing w:val="-3"/>
                <w:sz w:val="20"/>
                <w:szCs w:val="20"/>
              </w:rPr>
              <w:t>初级食用农产品水果、蔬菜、畜禽肉、</w:t>
            </w:r>
            <w:r>
              <w:rPr>
                <w:rFonts w:ascii="宋体" w:hAnsi="宋体" w:eastAsia="宋体" w:cs="宋体"/>
                <w:spacing w:val="5"/>
                <w:sz w:val="20"/>
                <w:szCs w:val="20"/>
              </w:rPr>
              <w:t xml:space="preserve"> </w:t>
            </w:r>
            <w:r>
              <w:rPr>
                <w:rFonts w:ascii="宋体" w:hAnsi="宋体" w:eastAsia="宋体" w:cs="宋体"/>
                <w:spacing w:val="-3"/>
                <w:sz w:val="20"/>
                <w:szCs w:val="20"/>
              </w:rPr>
              <w:t>禽蛋、水产品、预包装食品含冷藏冷</w:t>
            </w:r>
            <w:r>
              <w:rPr>
                <w:rFonts w:ascii="宋体" w:hAnsi="宋体" w:eastAsia="宋体" w:cs="宋体"/>
                <w:sz w:val="20"/>
                <w:szCs w:val="20"/>
              </w:rPr>
              <w:t>冻食品、散装食品含冷藏冷冻食品</w:t>
            </w: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每提供一项得一分，最高得</w:t>
            </w:r>
            <w:r>
              <w:rPr>
                <w:rFonts w:hint="eastAsia" w:ascii="宋体" w:hAnsi="宋体" w:cs="宋体"/>
                <w:sz w:val="20"/>
                <w:szCs w:val="20"/>
                <w:lang w:val="en-US" w:eastAsia="zh-CN"/>
              </w:rPr>
              <w:t>5</w:t>
            </w:r>
            <w:r>
              <w:rPr>
                <w:rFonts w:hint="eastAsia" w:ascii="宋体" w:hAnsi="宋体" w:eastAsia="宋体" w:cs="宋体"/>
                <w:sz w:val="20"/>
                <w:szCs w:val="20"/>
                <w:lang w:val="en-US" w:eastAsia="zh-CN"/>
              </w:rPr>
              <w:t>分。</w:t>
            </w:r>
          </w:p>
          <w:p w14:paraId="599CF43C">
            <w:pPr>
              <w:spacing w:before="167" w:line="220" w:lineRule="auto"/>
              <w:ind w:left="120"/>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注：投标人需提供证书复印件加盖公章并提供网站查询截图，未提供不得分。</w:t>
            </w:r>
          </w:p>
        </w:tc>
        <w:tc>
          <w:tcPr>
            <w:tcW w:w="1117" w:type="dxa"/>
            <w:noWrap w:val="0"/>
            <w:vAlign w:val="center"/>
          </w:tcPr>
          <w:p w14:paraId="4ED96DE4">
            <w:pPr>
              <w:spacing w:line="360" w:lineRule="auto"/>
              <w:ind w:firstLine="315" w:firstLineChars="150"/>
              <w:rPr>
                <w:rFonts w:hint="default" w:ascii="宋体" w:hAnsi="宋体" w:cs="宋体"/>
                <w:color w:val="000000"/>
                <w:szCs w:val="21"/>
                <w:lang w:val="en-US" w:eastAsia="zh-CN"/>
              </w:rPr>
            </w:pPr>
            <w:r>
              <w:rPr>
                <w:rFonts w:hint="eastAsia" w:ascii="宋体" w:hAnsi="宋体" w:cs="宋体"/>
                <w:color w:val="000000"/>
                <w:szCs w:val="21"/>
                <w:lang w:val="en-US" w:eastAsia="zh-CN"/>
              </w:rPr>
              <w:t>0-5分</w:t>
            </w:r>
          </w:p>
        </w:tc>
      </w:tr>
      <w:tr w14:paraId="610E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tcBorders>
              <w:bottom w:val="single" w:color="auto" w:sz="4" w:space="0"/>
            </w:tcBorders>
            <w:noWrap w:val="0"/>
            <w:vAlign w:val="center"/>
          </w:tcPr>
          <w:p w14:paraId="3670E0A6">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4</w:t>
            </w:r>
          </w:p>
        </w:tc>
        <w:tc>
          <w:tcPr>
            <w:tcW w:w="1563" w:type="dxa"/>
            <w:tcBorders>
              <w:bottom w:val="single" w:color="auto" w:sz="4" w:space="0"/>
            </w:tcBorders>
            <w:noWrap w:val="0"/>
            <w:vAlign w:val="center"/>
          </w:tcPr>
          <w:p w14:paraId="092E9B07">
            <w:pPr>
              <w:widowControl/>
              <w:autoSpaceDE w:val="0"/>
              <w:autoSpaceDN w:val="0"/>
              <w:adjustRightInd w:val="0"/>
              <w:spacing w:line="400" w:lineRule="exact"/>
              <w:ind w:firstLine="210" w:firstLineChars="100"/>
              <w:rPr>
                <w:rFonts w:hint="eastAsia" w:ascii="宋体" w:hAnsi="宋体" w:cs="宋体"/>
                <w:szCs w:val="21"/>
              </w:rPr>
            </w:pPr>
            <w:r>
              <w:rPr>
                <w:rFonts w:hint="eastAsia" w:ascii="宋体" w:hAnsi="宋体" w:cs="宋体"/>
                <w:color w:val="000000"/>
                <w:szCs w:val="21"/>
              </w:rPr>
              <w:t>经营场所</w:t>
            </w:r>
          </w:p>
        </w:tc>
        <w:tc>
          <w:tcPr>
            <w:tcW w:w="6235" w:type="dxa"/>
            <w:tcBorders>
              <w:bottom w:val="single" w:color="auto" w:sz="4" w:space="0"/>
            </w:tcBorders>
            <w:noWrap w:val="0"/>
            <w:vAlign w:val="center"/>
          </w:tcPr>
          <w:p w14:paraId="35C904FC">
            <w:pPr>
              <w:widowControl/>
              <w:autoSpaceDE w:val="0"/>
              <w:autoSpaceDN w:val="0"/>
              <w:adjustRightInd w:val="0"/>
              <w:spacing w:line="400" w:lineRule="exact"/>
              <w:rPr>
                <w:rFonts w:hint="eastAsia" w:ascii="宋体" w:hAnsi="宋体" w:cs="宋体"/>
                <w:color w:val="000000"/>
                <w:szCs w:val="21"/>
              </w:rPr>
            </w:pPr>
            <w:r>
              <w:rPr>
                <w:rFonts w:hint="eastAsia" w:ascii="宋体" w:hAnsi="宋体" w:cs="宋体"/>
                <w:color w:val="000000"/>
                <w:szCs w:val="21"/>
              </w:rPr>
              <w:t>投标人或其分支机构拥有自有或租赁的固定经营场所（含仓储、配送场地）。具备冷藏库、冷冻库正常使用的体积，各功能分区提供能体现功能的场所、设备等清晰能辨的照片及相关文字说明。自有的提供房产证复印件，租赁的提供房屋租赁协议（租赁协议签订日期须在本项目招标公告发布之日前）进行综合评议，酌情给分。（0-</w:t>
            </w:r>
            <w:r>
              <w:rPr>
                <w:rFonts w:hint="eastAsia" w:ascii="宋体" w:hAnsi="宋体" w:cs="宋体"/>
                <w:color w:val="000000"/>
                <w:szCs w:val="21"/>
                <w:lang w:val="en-US" w:eastAsia="zh-CN"/>
              </w:rPr>
              <w:t>9</w:t>
            </w:r>
            <w:r>
              <w:rPr>
                <w:rFonts w:hint="eastAsia" w:ascii="宋体" w:hAnsi="宋体" w:cs="宋体"/>
                <w:color w:val="000000"/>
                <w:szCs w:val="21"/>
              </w:rPr>
              <w:t>）</w:t>
            </w:r>
          </w:p>
          <w:p w14:paraId="20A7A553">
            <w:pPr>
              <w:widowControl/>
              <w:autoSpaceDE w:val="0"/>
              <w:autoSpaceDN w:val="0"/>
              <w:adjustRightInd w:val="0"/>
              <w:spacing w:line="400" w:lineRule="exact"/>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面积大且功能区分布清晰</w:t>
            </w:r>
            <w:r>
              <w:rPr>
                <w:rFonts w:hint="eastAsia" w:ascii="宋体" w:hAnsi="宋体" w:cs="宋体"/>
              </w:rPr>
              <w:t>合理、可行的得</w:t>
            </w:r>
            <w:r>
              <w:rPr>
                <w:rFonts w:hint="eastAsia" w:ascii="宋体" w:hAnsi="宋体" w:cs="宋体"/>
                <w:lang w:val="en-US" w:eastAsia="zh-CN"/>
              </w:rPr>
              <w:t>9</w:t>
            </w:r>
            <w:r>
              <w:rPr>
                <w:rFonts w:hint="eastAsia" w:ascii="宋体" w:hAnsi="宋体" w:cs="宋体"/>
                <w:color w:val="000000"/>
                <w:szCs w:val="21"/>
              </w:rPr>
              <w:t>分；</w:t>
            </w:r>
          </w:p>
          <w:p w14:paraId="5B470AE2">
            <w:pPr>
              <w:widowControl/>
              <w:autoSpaceDE w:val="0"/>
              <w:autoSpaceDN w:val="0"/>
              <w:adjustRightInd w:val="0"/>
              <w:spacing w:line="400" w:lineRule="exact"/>
              <w:rPr>
                <w:rFonts w:hint="eastAsia" w:ascii="宋体" w:hAnsi="宋体" w:cs="宋体"/>
                <w:color w:val="000000"/>
                <w:szCs w:val="21"/>
              </w:rPr>
            </w:pPr>
            <w:r>
              <w:rPr>
                <w:rFonts w:hint="eastAsia" w:ascii="宋体" w:hAnsi="宋体" w:cs="宋体"/>
                <w:lang w:val="en-US" w:eastAsia="zh-CN"/>
              </w:rPr>
              <w:t>2、面积较大基本满足本项目需求</w:t>
            </w:r>
            <w:r>
              <w:rPr>
                <w:rFonts w:hint="eastAsia" w:ascii="宋体" w:hAnsi="宋体" w:cs="宋体"/>
              </w:rPr>
              <w:t>的得</w:t>
            </w:r>
            <w:r>
              <w:rPr>
                <w:rFonts w:hint="eastAsia" w:ascii="宋体" w:hAnsi="宋体" w:cs="宋体"/>
                <w:lang w:val="en-US" w:eastAsia="zh-CN"/>
              </w:rPr>
              <w:t>5</w:t>
            </w:r>
            <w:r>
              <w:rPr>
                <w:rFonts w:hint="eastAsia" w:ascii="宋体" w:hAnsi="宋体" w:cs="宋体"/>
                <w:color w:val="000000"/>
                <w:szCs w:val="21"/>
              </w:rPr>
              <w:t>分；</w:t>
            </w:r>
          </w:p>
          <w:p w14:paraId="098C8060">
            <w:pPr>
              <w:widowControl/>
              <w:autoSpaceDE w:val="0"/>
              <w:autoSpaceDN w:val="0"/>
              <w:adjustRightInd w:val="0"/>
              <w:spacing w:line="400" w:lineRule="exact"/>
              <w:rPr>
                <w:rFonts w:hint="eastAsia" w:ascii="宋体" w:hAnsi="宋体" w:cs="宋体"/>
                <w:szCs w:val="21"/>
              </w:rPr>
            </w:pPr>
            <w:r>
              <w:rPr>
                <w:rFonts w:hint="eastAsia" w:ascii="宋体" w:hAnsi="宋体" w:cs="宋体"/>
                <w:lang w:val="en-US" w:eastAsia="zh-CN"/>
              </w:rPr>
              <w:t>3、仓储场地及经营场所对满足本项目需求存在风险</w:t>
            </w:r>
            <w:r>
              <w:rPr>
                <w:rFonts w:hint="eastAsia" w:ascii="宋体" w:hAnsi="宋体" w:cs="宋体"/>
              </w:rPr>
              <w:t>得</w:t>
            </w:r>
            <w:r>
              <w:rPr>
                <w:rFonts w:hint="eastAsia" w:ascii="宋体" w:hAnsi="宋体" w:cs="宋体"/>
                <w:lang w:val="en-US" w:eastAsia="zh-CN"/>
              </w:rPr>
              <w:t>3</w:t>
            </w:r>
            <w:r>
              <w:rPr>
                <w:rFonts w:hint="eastAsia" w:ascii="宋体" w:hAnsi="宋体" w:cs="宋体"/>
              </w:rPr>
              <w:t>分</w:t>
            </w:r>
            <w:r>
              <w:rPr>
                <w:rFonts w:hint="eastAsia" w:ascii="宋体" w:hAnsi="宋体" w:cs="宋体"/>
                <w:szCs w:val="21"/>
              </w:rPr>
              <w:t>；</w:t>
            </w:r>
          </w:p>
          <w:p w14:paraId="685F8FFE">
            <w:pPr>
              <w:widowControl/>
              <w:autoSpaceDE w:val="0"/>
              <w:autoSpaceDN w:val="0"/>
              <w:adjustRightInd w:val="0"/>
              <w:spacing w:line="400" w:lineRule="exact"/>
              <w:rPr>
                <w:rFonts w:hint="eastAsia" w:ascii="宋体" w:hAnsi="宋体" w:cs="宋体"/>
                <w:szCs w:val="21"/>
              </w:rPr>
            </w:pPr>
            <w:r>
              <w:rPr>
                <w:rFonts w:hint="eastAsia" w:ascii="宋体" w:hAnsi="宋体" w:cs="宋体"/>
                <w:color w:val="000000"/>
                <w:szCs w:val="21"/>
              </w:rPr>
              <w:t>未提供不得分。</w:t>
            </w:r>
          </w:p>
        </w:tc>
        <w:tc>
          <w:tcPr>
            <w:tcW w:w="1117" w:type="dxa"/>
            <w:tcBorders>
              <w:bottom w:val="single" w:color="auto" w:sz="4" w:space="0"/>
            </w:tcBorders>
            <w:noWrap w:val="0"/>
            <w:vAlign w:val="center"/>
          </w:tcPr>
          <w:p w14:paraId="3F71F984">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5A4F9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528" w:type="dxa"/>
            <w:tcBorders>
              <w:top w:val="single" w:color="auto" w:sz="4" w:space="0"/>
              <w:left w:val="single" w:color="auto" w:sz="4" w:space="0"/>
              <w:bottom w:val="single" w:color="auto" w:sz="4" w:space="0"/>
            </w:tcBorders>
            <w:noWrap w:val="0"/>
            <w:vAlign w:val="center"/>
          </w:tcPr>
          <w:p w14:paraId="7C9E8972">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5</w:t>
            </w:r>
          </w:p>
        </w:tc>
        <w:tc>
          <w:tcPr>
            <w:tcW w:w="1563" w:type="dxa"/>
            <w:tcBorders>
              <w:top w:val="single" w:color="auto" w:sz="4" w:space="0"/>
              <w:right w:val="single" w:color="auto" w:sz="4" w:space="0"/>
            </w:tcBorders>
            <w:noWrap w:val="0"/>
            <w:vAlign w:val="center"/>
          </w:tcPr>
          <w:p w14:paraId="1171FCEF">
            <w:pPr>
              <w:spacing w:line="400" w:lineRule="exact"/>
              <w:contextualSpacing/>
              <w:rPr>
                <w:rFonts w:hint="eastAsia" w:ascii="宋体" w:hAnsi="宋体" w:cs="宋体"/>
              </w:rPr>
            </w:pPr>
          </w:p>
          <w:p w14:paraId="0CBF8EEC">
            <w:pPr>
              <w:spacing w:line="400" w:lineRule="exact"/>
              <w:contextualSpacing/>
              <w:jc w:val="center"/>
              <w:rPr>
                <w:rFonts w:hint="eastAsia" w:ascii="宋体" w:hAnsi="宋体" w:cs="宋体"/>
              </w:rPr>
            </w:pPr>
            <w:r>
              <w:rPr>
                <w:rFonts w:hint="eastAsia" w:ascii="宋体" w:hAnsi="宋体" w:cs="宋体"/>
              </w:rPr>
              <w:t>人员配置</w:t>
            </w:r>
          </w:p>
          <w:p w14:paraId="0D819915">
            <w:pPr>
              <w:spacing w:line="400" w:lineRule="exact"/>
              <w:contextualSpacing/>
              <w:jc w:val="center"/>
              <w:rPr>
                <w:rFonts w:hint="eastAsia" w:ascii="宋体" w:hAnsi="宋体" w:cs="宋体"/>
              </w:rPr>
            </w:pPr>
            <w:r>
              <w:rPr>
                <w:rFonts w:hint="eastAsia" w:ascii="宋体" w:hAnsi="宋体" w:cs="宋体"/>
              </w:rPr>
              <w:t>方案</w:t>
            </w:r>
          </w:p>
        </w:tc>
        <w:tc>
          <w:tcPr>
            <w:tcW w:w="6235" w:type="dxa"/>
            <w:tcBorders>
              <w:top w:val="single" w:color="auto" w:sz="4" w:space="0"/>
              <w:left w:val="single" w:color="auto" w:sz="4" w:space="0"/>
              <w:bottom w:val="single" w:color="auto" w:sz="4" w:space="0"/>
              <w:right w:val="single" w:color="auto" w:sz="4" w:space="0"/>
            </w:tcBorders>
            <w:noWrap w:val="0"/>
            <w:vAlign w:val="center"/>
          </w:tcPr>
          <w:p w14:paraId="583CEDF3">
            <w:pPr>
              <w:widowControl/>
              <w:spacing w:line="400" w:lineRule="exact"/>
              <w:jc w:val="left"/>
              <w:rPr>
                <w:rFonts w:hint="eastAsia" w:ascii="宋体" w:hAnsi="宋体" w:cs="宋体"/>
                <w:color w:val="000000"/>
                <w:szCs w:val="21"/>
              </w:rPr>
            </w:pPr>
            <w:r>
              <w:rPr>
                <w:rFonts w:hint="eastAsia" w:ascii="宋体" w:hAnsi="宋体" w:cs="宋体"/>
                <w:snapToGrid w:val="0"/>
                <w:spacing w:val="-4"/>
                <w:szCs w:val="21"/>
              </w:rPr>
              <w:t>根据投标人提供的针对本项目的管理人员、采购人员、检测人员、搬运人员及驾驶人员的人员配备情况、经验能力</w:t>
            </w:r>
            <w:r>
              <w:rPr>
                <w:rFonts w:hint="eastAsia" w:ascii="宋体" w:hAnsi="宋体" w:cs="宋体"/>
                <w:color w:val="000000"/>
                <w:szCs w:val="21"/>
              </w:rPr>
              <w:t>进行综合评议，酌情给分。（0-</w:t>
            </w:r>
            <w:r>
              <w:rPr>
                <w:rFonts w:hint="eastAsia" w:ascii="宋体" w:hAnsi="宋体" w:cs="宋体"/>
                <w:color w:val="000000"/>
                <w:szCs w:val="21"/>
                <w:lang w:val="en-US" w:eastAsia="zh-CN"/>
              </w:rPr>
              <w:t>9</w:t>
            </w:r>
            <w:r>
              <w:rPr>
                <w:rFonts w:hint="eastAsia" w:ascii="宋体" w:hAnsi="宋体" w:cs="宋体"/>
                <w:color w:val="000000"/>
                <w:szCs w:val="21"/>
              </w:rPr>
              <w:t>）</w:t>
            </w:r>
          </w:p>
          <w:p w14:paraId="21E0C6F5">
            <w:pPr>
              <w:widowControl/>
              <w:spacing w:line="400" w:lineRule="exact"/>
              <w:jc w:val="left"/>
              <w:rPr>
                <w:rFonts w:hint="eastAsia" w:ascii="宋体" w:hAnsi="宋体" w:cs="宋体"/>
                <w:snapToGrid w:val="0"/>
                <w:spacing w:val="-4"/>
                <w:szCs w:val="21"/>
              </w:rPr>
            </w:pPr>
            <w:r>
              <w:rPr>
                <w:rFonts w:hint="eastAsia" w:ascii="宋体" w:hAnsi="宋体" w:cs="宋体"/>
                <w:color w:val="000000"/>
                <w:szCs w:val="21"/>
                <w:lang w:val="en-US" w:eastAsia="zh-CN"/>
              </w:rPr>
              <w:t>1、</w:t>
            </w:r>
            <w:r>
              <w:rPr>
                <w:rFonts w:hint="eastAsia" w:ascii="宋体" w:hAnsi="宋体" w:cs="宋体"/>
                <w:snapToGrid w:val="0"/>
                <w:spacing w:val="-4"/>
                <w:szCs w:val="21"/>
              </w:rPr>
              <w:t>人员配备齐全、经验丰富的得</w:t>
            </w:r>
            <w:r>
              <w:rPr>
                <w:rFonts w:hint="eastAsia" w:ascii="宋体" w:hAnsi="宋体" w:cs="宋体"/>
                <w:snapToGrid w:val="0"/>
                <w:spacing w:val="-4"/>
                <w:szCs w:val="21"/>
                <w:lang w:val="en-US" w:eastAsia="zh-CN"/>
              </w:rPr>
              <w:t>9</w:t>
            </w:r>
            <w:r>
              <w:rPr>
                <w:rFonts w:hint="eastAsia" w:ascii="宋体" w:hAnsi="宋体" w:cs="宋体"/>
                <w:snapToGrid w:val="0"/>
                <w:spacing w:val="-4"/>
                <w:szCs w:val="21"/>
              </w:rPr>
              <w:t>分；</w:t>
            </w:r>
          </w:p>
          <w:p w14:paraId="01A4CC45">
            <w:pPr>
              <w:widowControl/>
              <w:spacing w:line="400" w:lineRule="exact"/>
              <w:jc w:val="left"/>
              <w:rPr>
                <w:rFonts w:hint="eastAsia" w:ascii="宋体" w:hAnsi="宋体" w:cs="宋体"/>
                <w:snapToGrid w:val="0"/>
                <w:spacing w:val="-4"/>
                <w:szCs w:val="21"/>
              </w:rPr>
            </w:pPr>
            <w:r>
              <w:rPr>
                <w:rFonts w:hint="eastAsia" w:ascii="宋体" w:hAnsi="宋体" w:cs="宋体"/>
                <w:snapToGrid w:val="0"/>
                <w:spacing w:val="-4"/>
                <w:szCs w:val="21"/>
                <w:lang w:val="en-US" w:eastAsia="zh-CN"/>
              </w:rPr>
              <w:t>2、</w:t>
            </w:r>
            <w:r>
              <w:rPr>
                <w:rFonts w:hint="eastAsia" w:ascii="宋体" w:hAnsi="宋体" w:cs="宋体"/>
                <w:snapToGrid w:val="0"/>
                <w:spacing w:val="-4"/>
                <w:szCs w:val="21"/>
              </w:rPr>
              <w:t>人员配备欠齐全、经验欠丰富的</w:t>
            </w:r>
            <w:r>
              <w:rPr>
                <w:rFonts w:hint="eastAsia" w:ascii="宋体" w:hAnsi="宋体" w:cs="宋体"/>
                <w:snapToGrid w:val="0"/>
                <w:spacing w:val="-4"/>
                <w:szCs w:val="21"/>
                <w:lang w:val="en-US" w:eastAsia="zh-CN"/>
              </w:rPr>
              <w:t>5</w:t>
            </w:r>
            <w:r>
              <w:rPr>
                <w:rFonts w:hint="eastAsia" w:ascii="宋体" w:hAnsi="宋体" w:cs="宋体"/>
                <w:snapToGrid w:val="0"/>
                <w:spacing w:val="-4"/>
                <w:szCs w:val="21"/>
              </w:rPr>
              <w:t>分；</w:t>
            </w:r>
          </w:p>
          <w:p w14:paraId="19FA5C11">
            <w:pPr>
              <w:widowControl/>
              <w:spacing w:line="400" w:lineRule="exact"/>
              <w:jc w:val="left"/>
              <w:rPr>
                <w:rFonts w:hint="eastAsia" w:ascii="宋体" w:hAnsi="宋体" w:cs="宋体"/>
                <w:snapToGrid w:val="0"/>
                <w:spacing w:val="-4"/>
                <w:szCs w:val="21"/>
              </w:rPr>
            </w:pPr>
            <w:r>
              <w:rPr>
                <w:rFonts w:hint="eastAsia" w:ascii="宋体" w:hAnsi="宋体" w:cs="宋体"/>
                <w:snapToGrid w:val="0"/>
                <w:spacing w:val="-4"/>
                <w:szCs w:val="21"/>
                <w:lang w:val="en-US" w:eastAsia="zh-CN"/>
              </w:rPr>
              <w:t>3、</w:t>
            </w:r>
            <w:r>
              <w:rPr>
                <w:rFonts w:hint="eastAsia" w:ascii="宋体" w:hAnsi="宋体" w:cs="宋体"/>
                <w:snapToGrid w:val="0"/>
                <w:spacing w:val="-4"/>
                <w:szCs w:val="21"/>
              </w:rPr>
              <w:t>人员配备不齐全、经验不丰富的得</w:t>
            </w:r>
            <w:r>
              <w:rPr>
                <w:rFonts w:hint="eastAsia" w:ascii="宋体" w:hAnsi="宋体" w:cs="宋体"/>
                <w:snapToGrid w:val="0"/>
                <w:spacing w:val="-4"/>
                <w:szCs w:val="21"/>
                <w:lang w:val="en-US" w:eastAsia="zh-CN"/>
              </w:rPr>
              <w:t>2</w:t>
            </w:r>
            <w:r>
              <w:rPr>
                <w:rFonts w:hint="eastAsia" w:ascii="宋体" w:hAnsi="宋体" w:cs="宋体"/>
                <w:snapToGrid w:val="0"/>
                <w:spacing w:val="-4"/>
                <w:szCs w:val="21"/>
              </w:rPr>
              <w:t>分；</w:t>
            </w:r>
          </w:p>
          <w:p w14:paraId="650641A3">
            <w:pPr>
              <w:widowControl/>
              <w:spacing w:line="400" w:lineRule="exact"/>
              <w:jc w:val="left"/>
              <w:rPr>
                <w:rFonts w:hint="eastAsia" w:ascii="宋体" w:hAnsi="宋体" w:cs="宋体"/>
                <w:szCs w:val="21"/>
              </w:rPr>
            </w:pPr>
            <w:r>
              <w:rPr>
                <w:rFonts w:hint="eastAsia" w:ascii="宋体" w:hAnsi="宋体" w:cs="宋体"/>
                <w:color w:val="000000"/>
                <w:szCs w:val="21"/>
              </w:rPr>
              <w:t>未提供不得分。</w:t>
            </w:r>
          </w:p>
        </w:tc>
        <w:tc>
          <w:tcPr>
            <w:tcW w:w="1117" w:type="dxa"/>
            <w:tcBorders>
              <w:top w:val="single" w:color="auto" w:sz="4" w:space="0"/>
              <w:left w:val="single" w:color="auto" w:sz="4" w:space="0"/>
              <w:bottom w:val="single" w:color="auto" w:sz="4" w:space="0"/>
              <w:right w:val="single" w:color="auto" w:sz="4" w:space="0"/>
            </w:tcBorders>
            <w:noWrap w:val="0"/>
            <w:vAlign w:val="center"/>
          </w:tcPr>
          <w:p w14:paraId="324A08CB">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6B8D7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528" w:type="dxa"/>
            <w:tcBorders>
              <w:top w:val="single" w:color="auto" w:sz="4" w:space="0"/>
              <w:left w:val="single" w:color="auto" w:sz="4" w:space="0"/>
              <w:bottom w:val="single" w:color="auto" w:sz="4" w:space="0"/>
            </w:tcBorders>
            <w:noWrap w:val="0"/>
            <w:vAlign w:val="center"/>
          </w:tcPr>
          <w:p w14:paraId="6FB00173">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6</w:t>
            </w:r>
          </w:p>
        </w:tc>
        <w:tc>
          <w:tcPr>
            <w:tcW w:w="1563" w:type="dxa"/>
            <w:tcBorders>
              <w:top w:val="single" w:color="auto" w:sz="4" w:space="0"/>
              <w:right w:val="single" w:color="auto" w:sz="4" w:space="0"/>
            </w:tcBorders>
            <w:noWrap w:val="0"/>
            <w:vAlign w:val="center"/>
          </w:tcPr>
          <w:p w14:paraId="653A9B58">
            <w:pPr>
              <w:spacing w:line="400" w:lineRule="exact"/>
              <w:contextualSpacing/>
              <w:jc w:val="center"/>
              <w:rPr>
                <w:rFonts w:hint="eastAsia" w:ascii="宋体" w:hAnsi="宋体" w:cs="宋体"/>
                <w:szCs w:val="21"/>
              </w:rPr>
            </w:pPr>
            <w:r>
              <w:rPr>
                <w:rFonts w:hint="eastAsia" w:ascii="宋体" w:hAnsi="宋体" w:cs="宋体"/>
                <w:szCs w:val="21"/>
              </w:rPr>
              <w:t>运输管理</w:t>
            </w:r>
          </w:p>
          <w:p w14:paraId="441A64BF">
            <w:pPr>
              <w:spacing w:line="400" w:lineRule="exact"/>
              <w:contextualSpacing/>
              <w:jc w:val="center"/>
              <w:rPr>
                <w:rFonts w:hint="eastAsia" w:ascii="宋体" w:hAnsi="宋体" w:cs="宋体"/>
              </w:rPr>
            </w:pPr>
            <w:r>
              <w:rPr>
                <w:rFonts w:hint="eastAsia" w:ascii="宋体" w:hAnsi="宋体" w:cs="宋体"/>
                <w:szCs w:val="21"/>
              </w:rPr>
              <w:t>方案</w:t>
            </w:r>
          </w:p>
        </w:tc>
        <w:tc>
          <w:tcPr>
            <w:tcW w:w="6235" w:type="dxa"/>
            <w:tcBorders>
              <w:top w:val="single" w:color="auto" w:sz="4" w:space="0"/>
              <w:left w:val="single" w:color="auto" w:sz="4" w:space="0"/>
              <w:bottom w:val="single" w:color="auto" w:sz="4" w:space="0"/>
              <w:right w:val="single" w:color="auto" w:sz="4" w:space="0"/>
            </w:tcBorders>
            <w:noWrap w:val="0"/>
            <w:vAlign w:val="center"/>
          </w:tcPr>
          <w:p w14:paraId="370843B2">
            <w:pPr>
              <w:widowControl/>
              <w:spacing w:line="400" w:lineRule="exact"/>
              <w:jc w:val="left"/>
              <w:rPr>
                <w:rFonts w:hint="eastAsia" w:ascii="宋体" w:hAnsi="宋体" w:cs="宋体"/>
                <w:snapToGrid w:val="0"/>
                <w:spacing w:val="-4"/>
                <w:szCs w:val="21"/>
              </w:rPr>
            </w:pPr>
            <w:r>
              <w:rPr>
                <w:rFonts w:hint="eastAsia" w:ascii="宋体" w:hAnsi="宋体" w:cs="宋体"/>
                <w:szCs w:val="21"/>
              </w:rPr>
              <w:t>根据投标人提供的针对本项目的运输管理方案（包括车辆环境卫生要求、装车要求、堆放要求、安全要求）</w:t>
            </w:r>
            <w:r>
              <w:rPr>
                <w:rFonts w:hint="eastAsia" w:ascii="宋体" w:hAnsi="宋体" w:cs="宋体"/>
                <w:color w:val="000000"/>
                <w:szCs w:val="21"/>
              </w:rPr>
              <w:t>进行综合评议，酌情给分。（0-</w:t>
            </w:r>
            <w:r>
              <w:rPr>
                <w:rFonts w:hint="eastAsia" w:ascii="宋体" w:hAnsi="宋体" w:cs="宋体"/>
                <w:color w:val="000000"/>
                <w:szCs w:val="21"/>
                <w:lang w:val="en-US" w:eastAsia="zh-CN"/>
              </w:rPr>
              <w:t>9</w:t>
            </w:r>
            <w:r>
              <w:rPr>
                <w:rFonts w:hint="eastAsia" w:ascii="宋体" w:hAnsi="宋体" w:cs="宋体"/>
                <w:color w:val="000000"/>
                <w:szCs w:val="21"/>
              </w:rPr>
              <w:t>）</w:t>
            </w:r>
          </w:p>
          <w:p w14:paraId="6D0B2F42">
            <w:pPr>
              <w:widowControl/>
              <w:numPr>
                <w:ilvl w:val="0"/>
                <w:numId w:val="12"/>
              </w:numPr>
              <w:spacing w:line="400" w:lineRule="exact"/>
              <w:jc w:val="left"/>
              <w:rPr>
                <w:rFonts w:hint="eastAsia" w:ascii="宋体" w:hAnsi="宋体" w:cs="宋体"/>
                <w:szCs w:val="21"/>
              </w:rPr>
            </w:pPr>
            <w:r>
              <w:rPr>
                <w:rFonts w:hint="eastAsia" w:ascii="宋体" w:hAnsi="宋体" w:cs="宋体"/>
                <w:szCs w:val="21"/>
                <w:lang w:val="en-US" w:eastAsia="zh-CN"/>
              </w:rPr>
              <w:t>投标人提供的运输管理方案</w:t>
            </w:r>
            <w:r>
              <w:rPr>
                <w:rFonts w:hint="eastAsia" w:ascii="宋体" w:hAnsi="宋体" w:cs="宋体"/>
                <w:szCs w:val="21"/>
              </w:rPr>
              <w:t>全面、完善，要求严格的得</w:t>
            </w:r>
            <w:r>
              <w:rPr>
                <w:rFonts w:hint="eastAsia" w:ascii="宋体" w:hAnsi="宋体" w:cs="宋体"/>
                <w:szCs w:val="21"/>
                <w:lang w:val="en-US" w:eastAsia="zh-CN"/>
              </w:rPr>
              <w:t>9</w:t>
            </w:r>
            <w:r>
              <w:rPr>
                <w:rFonts w:hint="eastAsia" w:ascii="宋体" w:hAnsi="宋体" w:cs="宋体"/>
                <w:szCs w:val="21"/>
              </w:rPr>
              <w:t>分；</w:t>
            </w:r>
          </w:p>
          <w:p w14:paraId="3CA70350">
            <w:pPr>
              <w:widowControl/>
              <w:numPr>
                <w:ilvl w:val="0"/>
                <w:numId w:val="0"/>
              </w:numPr>
              <w:spacing w:line="400" w:lineRule="exact"/>
              <w:jc w:val="left"/>
              <w:rPr>
                <w:rFonts w:hint="eastAsia" w:ascii="宋体" w:hAnsi="宋体" w:cs="宋体"/>
                <w:szCs w:val="21"/>
              </w:rPr>
            </w:pPr>
            <w:r>
              <w:rPr>
                <w:rFonts w:hint="eastAsia" w:ascii="宋体" w:hAnsi="宋体" w:cs="宋体"/>
                <w:szCs w:val="21"/>
                <w:lang w:val="en-US" w:eastAsia="zh-CN"/>
              </w:rPr>
              <w:t>2、投标人提供的运输管理</w:t>
            </w:r>
            <w:r>
              <w:rPr>
                <w:rFonts w:hint="eastAsia" w:ascii="宋体" w:hAnsi="宋体" w:cs="宋体"/>
                <w:szCs w:val="21"/>
              </w:rPr>
              <w:t>方案欠全面、欠完善，要求欠严格的得</w:t>
            </w:r>
            <w:r>
              <w:rPr>
                <w:rFonts w:hint="eastAsia" w:ascii="宋体" w:hAnsi="宋体" w:cs="宋体"/>
                <w:szCs w:val="21"/>
                <w:lang w:val="en-US" w:eastAsia="zh-CN"/>
              </w:rPr>
              <w:t>5</w:t>
            </w:r>
            <w:r>
              <w:rPr>
                <w:rFonts w:hint="eastAsia" w:ascii="宋体" w:hAnsi="宋体" w:cs="宋体"/>
                <w:szCs w:val="21"/>
              </w:rPr>
              <w:t>分；</w:t>
            </w:r>
          </w:p>
          <w:p w14:paraId="12BE5395">
            <w:pPr>
              <w:widowControl/>
              <w:spacing w:line="400" w:lineRule="exact"/>
              <w:jc w:val="left"/>
              <w:rPr>
                <w:rFonts w:hint="eastAsia" w:ascii="宋体" w:hAnsi="宋体" w:cs="宋体"/>
                <w:szCs w:val="21"/>
              </w:rPr>
            </w:pPr>
            <w:r>
              <w:rPr>
                <w:rFonts w:hint="eastAsia" w:ascii="宋体" w:hAnsi="宋体" w:cs="宋体"/>
                <w:szCs w:val="21"/>
                <w:lang w:val="en-US" w:eastAsia="zh-CN"/>
              </w:rPr>
              <w:t>3、</w:t>
            </w:r>
            <w:r>
              <w:rPr>
                <w:rFonts w:hint="eastAsia" w:ascii="宋体" w:hAnsi="宋体" w:cs="宋体"/>
                <w:szCs w:val="21"/>
              </w:rPr>
              <w:t>方案不全面、不完善，要求低的得</w:t>
            </w:r>
            <w:r>
              <w:rPr>
                <w:rFonts w:hint="eastAsia" w:ascii="宋体" w:hAnsi="宋体" w:cs="宋体"/>
                <w:szCs w:val="21"/>
                <w:lang w:val="en-US" w:eastAsia="zh-CN"/>
              </w:rPr>
              <w:t>3</w:t>
            </w:r>
            <w:r>
              <w:rPr>
                <w:rFonts w:hint="eastAsia" w:ascii="宋体" w:hAnsi="宋体" w:cs="宋体"/>
                <w:szCs w:val="21"/>
              </w:rPr>
              <w:t>分；</w:t>
            </w:r>
          </w:p>
          <w:p w14:paraId="504F94A5">
            <w:pPr>
              <w:widowControl/>
              <w:spacing w:line="400" w:lineRule="exact"/>
              <w:jc w:val="left"/>
              <w:rPr>
                <w:rFonts w:hint="eastAsia" w:ascii="宋体" w:hAnsi="宋体" w:cs="宋体"/>
                <w:snapToGrid w:val="0"/>
                <w:spacing w:val="-4"/>
                <w:szCs w:val="21"/>
              </w:rPr>
            </w:pPr>
            <w:r>
              <w:rPr>
                <w:rFonts w:hint="eastAsia" w:ascii="宋体" w:hAnsi="宋体" w:cs="宋体"/>
                <w:color w:val="000000"/>
                <w:szCs w:val="21"/>
              </w:rPr>
              <w:t>未提供不得分。</w:t>
            </w:r>
          </w:p>
        </w:tc>
        <w:tc>
          <w:tcPr>
            <w:tcW w:w="1117" w:type="dxa"/>
            <w:tcBorders>
              <w:top w:val="single" w:color="auto" w:sz="4" w:space="0"/>
              <w:left w:val="single" w:color="auto" w:sz="4" w:space="0"/>
              <w:bottom w:val="single" w:color="auto" w:sz="4" w:space="0"/>
              <w:right w:val="single" w:color="auto" w:sz="4" w:space="0"/>
            </w:tcBorders>
            <w:noWrap w:val="0"/>
            <w:vAlign w:val="center"/>
          </w:tcPr>
          <w:p w14:paraId="379B8AE0">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27D33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trPr>
        <w:tc>
          <w:tcPr>
            <w:tcW w:w="528" w:type="dxa"/>
            <w:tcBorders>
              <w:top w:val="single" w:color="auto" w:sz="4" w:space="0"/>
              <w:left w:val="single" w:color="auto" w:sz="4" w:space="0"/>
              <w:bottom w:val="single" w:color="auto" w:sz="4" w:space="0"/>
            </w:tcBorders>
            <w:noWrap w:val="0"/>
            <w:vAlign w:val="center"/>
          </w:tcPr>
          <w:p w14:paraId="155C62EA">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7</w:t>
            </w:r>
          </w:p>
        </w:tc>
        <w:tc>
          <w:tcPr>
            <w:tcW w:w="1563" w:type="dxa"/>
            <w:tcBorders>
              <w:top w:val="single" w:color="auto" w:sz="4" w:space="0"/>
              <w:right w:val="single" w:color="auto" w:sz="4" w:space="0"/>
            </w:tcBorders>
            <w:noWrap w:val="0"/>
            <w:vAlign w:val="center"/>
          </w:tcPr>
          <w:p w14:paraId="77044FAD">
            <w:pPr>
              <w:spacing w:line="400" w:lineRule="exact"/>
              <w:contextualSpacing/>
              <w:jc w:val="center"/>
              <w:rPr>
                <w:rFonts w:hint="eastAsia" w:ascii="宋体" w:hAnsi="宋体" w:cs="宋体"/>
                <w:szCs w:val="21"/>
              </w:rPr>
            </w:pPr>
            <w:r>
              <w:rPr>
                <w:rFonts w:hint="eastAsia" w:ascii="宋体" w:hAnsi="宋体" w:cs="宋体"/>
              </w:rPr>
              <w:t>供货方案</w:t>
            </w:r>
          </w:p>
        </w:tc>
        <w:tc>
          <w:tcPr>
            <w:tcW w:w="6235" w:type="dxa"/>
            <w:tcBorders>
              <w:top w:val="single" w:color="auto" w:sz="4" w:space="0"/>
              <w:left w:val="single" w:color="auto" w:sz="4" w:space="0"/>
              <w:bottom w:val="single" w:color="auto" w:sz="4" w:space="0"/>
              <w:right w:val="single" w:color="auto" w:sz="4" w:space="0"/>
            </w:tcBorders>
            <w:noWrap w:val="0"/>
            <w:vAlign w:val="center"/>
          </w:tcPr>
          <w:p w14:paraId="6112F800">
            <w:pPr>
              <w:widowControl/>
              <w:spacing w:line="400" w:lineRule="exact"/>
              <w:jc w:val="left"/>
              <w:rPr>
                <w:rFonts w:hint="eastAsia" w:ascii="宋体" w:hAnsi="宋体" w:cs="宋体"/>
                <w:snapToGrid w:val="0"/>
                <w:spacing w:val="-4"/>
                <w:szCs w:val="21"/>
              </w:rPr>
            </w:pPr>
            <w:r>
              <w:rPr>
                <w:rFonts w:hint="eastAsia" w:ascii="宋体" w:hAnsi="宋体" w:cs="宋体"/>
                <w:szCs w:val="21"/>
              </w:rPr>
              <w:t>根据投标人提供的针对本项目</w:t>
            </w:r>
            <w:r>
              <w:rPr>
                <w:rFonts w:hint="eastAsia" w:ascii="宋体" w:hAnsi="宋体" w:cs="宋体"/>
              </w:rPr>
              <w:t>的供货方案（原材料配送时间包括日常配送、临时性配送等）</w:t>
            </w:r>
            <w:r>
              <w:rPr>
                <w:rFonts w:hint="eastAsia" w:ascii="宋体" w:hAnsi="宋体" w:cs="宋体"/>
                <w:color w:val="000000"/>
                <w:szCs w:val="21"/>
              </w:rPr>
              <w:t>进行综合评议，酌情给分。（0-</w:t>
            </w:r>
            <w:r>
              <w:rPr>
                <w:rFonts w:hint="eastAsia" w:ascii="宋体" w:hAnsi="宋体" w:cs="宋体"/>
                <w:color w:val="000000"/>
                <w:szCs w:val="21"/>
                <w:lang w:val="en-US" w:eastAsia="zh-CN"/>
              </w:rPr>
              <w:t>9</w:t>
            </w:r>
            <w:r>
              <w:rPr>
                <w:rFonts w:hint="eastAsia" w:ascii="宋体" w:hAnsi="宋体" w:cs="宋体"/>
                <w:color w:val="000000"/>
                <w:szCs w:val="21"/>
              </w:rPr>
              <w:t>）</w:t>
            </w:r>
          </w:p>
          <w:p w14:paraId="5A503459">
            <w:pPr>
              <w:widowControl/>
              <w:spacing w:line="400" w:lineRule="exact"/>
              <w:jc w:val="left"/>
              <w:rPr>
                <w:rFonts w:hint="eastAsia" w:ascii="宋体" w:hAnsi="宋体" w:cs="宋体"/>
              </w:rPr>
            </w:pPr>
            <w:r>
              <w:rPr>
                <w:rFonts w:hint="eastAsia" w:ascii="宋体" w:hAnsi="宋体" w:cs="宋体"/>
                <w:lang w:val="en-US" w:eastAsia="zh-CN"/>
              </w:rPr>
              <w:t>1、投标人提供的供货</w:t>
            </w:r>
            <w:r>
              <w:rPr>
                <w:rFonts w:hint="eastAsia" w:ascii="宋体" w:hAnsi="宋体" w:cs="宋体"/>
              </w:rPr>
              <w:t>方案全面、完善、合理、可行的得</w:t>
            </w:r>
            <w:r>
              <w:rPr>
                <w:rFonts w:hint="eastAsia" w:ascii="宋体" w:hAnsi="宋体" w:cs="宋体"/>
                <w:lang w:val="en-US" w:eastAsia="zh-CN"/>
              </w:rPr>
              <w:t>9</w:t>
            </w:r>
            <w:r>
              <w:rPr>
                <w:rFonts w:hint="eastAsia" w:ascii="宋体" w:hAnsi="宋体" w:cs="宋体"/>
              </w:rPr>
              <w:t>分；</w:t>
            </w:r>
          </w:p>
          <w:p w14:paraId="4C2F7A65">
            <w:pPr>
              <w:widowControl/>
              <w:spacing w:line="400" w:lineRule="exact"/>
              <w:jc w:val="left"/>
              <w:rPr>
                <w:rFonts w:hint="eastAsia" w:ascii="宋体" w:hAnsi="宋体" w:eastAsia="宋体" w:cs="宋体"/>
                <w:lang w:eastAsia="zh-CN"/>
              </w:rPr>
            </w:pPr>
            <w:r>
              <w:rPr>
                <w:rFonts w:hint="eastAsia" w:ascii="宋体" w:hAnsi="宋体" w:cs="宋体"/>
                <w:lang w:val="en-US" w:eastAsia="zh-CN"/>
              </w:rPr>
              <w:t>2、投标人提供的供货</w:t>
            </w:r>
            <w:r>
              <w:rPr>
                <w:rFonts w:hint="eastAsia" w:ascii="宋体" w:hAnsi="宋体" w:cs="宋体"/>
              </w:rPr>
              <w:t>方案欠全面、欠完善、欠合理、欠可行的得</w:t>
            </w:r>
            <w:r>
              <w:rPr>
                <w:rFonts w:hint="eastAsia" w:ascii="宋体" w:hAnsi="宋体" w:cs="宋体"/>
                <w:lang w:val="en-US" w:eastAsia="zh-CN"/>
              </w:rPr>
              <w:t>5</w:t>
            </w:r>
            <w:r>
              <w:rPr>
                <w:rFonts w:hint="eastAsia" w:ascii="宋体" w:hAnsi="宋体" w:cs="宋体"/>
              </w:rPr>
              <w:t>分</w:t>
            </w:r>
            <w:r>
              <w:rPr>
                <w:rFonts w:hint="eastAsia" w:ascii="宋体" w:hAnsi="宋体" w:cs="宋体"/>
                <w:lang w:eastAsia="zh-CN"/>
              </w:rPr>
              <w:t>；</w:t>
            </w:r>
          </w:p>
          <w:p w14:paraId="043CE0DA">
            <w:pPr>
              <w:widowControl/>
              <w:spacing w:line="400" w:lineRule="exact"/>
              <w:jc w:val="left"/>
              <w:rPr>
                <w:rFonts w:hint="eastAsia" w:ascii="宋体" w:hAnsi="宋体" w:cs="宋体"/>
                <w:szCs w:val="21"/>
              </w:rPr>
            </w:pPr>
            <w:r>
              <w:rPr>
                <w:rFonts w:hint="eastAsia" w:ascii="宋体" w:hAnsi="宋体" w:cs="宋体"/>
                <w:lang w:val="en-US" w:eastAsia="zh-CN"/>
              </w:rPr>
              <w:t>3、投标人提供的供货</w:t>
            </w:r>
            <w:r>
              <w:rPr>
                <w:rFonts w:hint="eastAsia" w:ascii="宋体" w:hAnsi="宋体" w:cs="宋体"/>
              </w:rPr>
              <w:t>方案不全面、不完善、不合理、不可行的得</w:t>
            </w:r>
            <w:r>
              <w:rPr>
                <w:rFonts w:hint="eastAsia" w:ascii="宋体" w:hAnsi="宋体" w:cs="宋体"/>
                <w:lang w:val="en-US" w:eastAsia="zh-CN"/>
              </w:rPr>
              <w:t>3</w:t>
            </w:r>
            <w:r>
              <w:rPr>
                <w:rFonts w:hint="eastAsia" w:ascii="宋体" w:hAnsi="宋体" w:cs="宋体"/>
              </w:rPr>
              <w:t>分</w:t>
            </w:r>
            <w:r>
              <w:rPr>
                <w:rFonts w:hint="eastAsia" w:ascii="宋体" w:hAnsi="宋体" w:cs="宋体"/>
                <w:szCs w:val="21"/>
              </w:rPr>
              <w:t>；</w:t>
            </w:r>
          </w:p>
          <w:p w14:paraId="2ED320FD">
            <w:pPr>
              <w:widowControl/>
              <w:spacing w:line="400" w:lineRule="exact"/>
              <w:jc w:val="left"/>
              <w:rPr>
                <w:rFonts w:hint="eastAsia" w:ascii="宋体" w:hAnsi="宋体" w:cs="宋体"/>
                <w:szCs w:val="21"/>
              </w:rPr>
            </w:pPr>
            <w:r>
              <w:rPr>
                <w:rFonts w:hint="eastAsia" w:ascii="宋体" w:hAnsi="宋体" w:cs="宋体"/>
                <w:color w:val="000000"/>
                <w:szCs w:val="21"/>
              </w:rPr>
              <w:t>未提供不得分。</w:t>
            </w:r>
          </w:p>
        </w:tc>
        <w:tc>
          <w:tcPr>
            <w:tcW w:w="1117" w:type="dxa"/>
            <w:tcBorders>
              <w:top w:val="single" w:color="auto" w:sz="4" w:space="0"/>
              <w:left w:val="single" w:color="auto" w:sz="4" w:space="0"/>
              <w:bottom w:val="single" w:color="auto" w:sz="4" w:space="0"/>
              <w:right w:val="single" w:color="auto" w:sz="4" w:space="0"/>
            </w:tcBorders>
            <w:noWrap w:val="0"/>
            <w:vAlign w:val="center"/>
          </w:tcPr>
          <w:p w14:paraId="1DE70483">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47801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528" w:type="dxa"/>
            <w:noWrap w:val="0"/>
            <w:vAlign w:val="center"/>
          </w:tcPr>
          <w:p w14:paraId="4AB41BE6">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8</w:t>
            </w:r>
          </w:p>
        </w:tc>
        <w:tc>
          <w:tcPr>
            <w:tcW w:w="1563" w:type="dxa"/>
            <w:noWrap w:val="0"/>
            <w:vAlign w:val="center"/>
          </w:tcPr>
          <w:p w14:paraId="53C9686F">
            <w:pPr>
              <w:spacing w:line="360" w:lineRule="auto"/>
              <w:jc w:val="center"/>
              <w:rPr>
                <w:rFonts w:hint="eastAsia" w:ascii="宋体" w:hAnsi="宋体" w:cs="宋体"/>
              </w:rPr>
            </w:pPr>
            <w:r>
              <w:rPr>
                <w:rFonts w:hint="eastAsia" w:ascii="宋体" w:hAnsi="宋体" w:cs="宋体"/>
              </w:rPr>
              <w:t>应急保障</w:t>
            </w:r>
          </w:p>
          <w:p w14:paraId="465A8167">
            <w:pPr>
              <w:spacing w:line="360" w:lineRule="auto"/>
              <w:jc w:val="center"/>
              <w:rPr>
                <w:rFonts w:hint="eastAsia" w:ascii="宋体" w:hAnsi="宋体" w:cs="宋体"/>
                <w:color w:val="000000"/>
                <w:szCs w:val="21"/>
              </w:rPr>
            </w:pPr>
            <w:r>
              <w:rPr>
                <w:rFonts w:hint="eastAsia" w:ascii="宋体" w:hAnsi="宋体" w:cs="宋体"/>
              </w:rPr>
              <w:t>服务方案</w:t>
            </w:r>
          </w:p>
        </w:tc>
        <w:tc>
          <w:tcPr>
            <w:tcW w:w="6235" w:type="dxa"/>
            <w:noWrap w:val="0"/>
            <w:vAlign w:val="center"/>
          </w:tcPr>
          <w:p w14:paraId="66B3E023">
            <w:pPr>
              <w:widowControl/>
              <w:spacing w:line="400" w:lineRule="exact"/>
              <w:jc w:val="left"/>
              <w:rPr>
                <w:rFonts w:hint="eastAsia" w:ascii="宋体" w:hAnsi="宋体" w:cs="宋体"/>
                <w:snapToGrid w:val="0"/>
                <w:spacing w:val="-4"/>
                <w:szCs w:val="21"/>
              </w:rPr>
            </w:pPr>
            <w:r>
              <w:rPr>
                <w:rFonts w:hint="eastAsia" w:ascii="宋体" w:hAnsi="宋体" w:cs="宋体"/>
                <w:szCs w:val="21"/>
              </w:rPr>
              <w:t>根据投标人提供的针对本项目的</w:t>
            </w:r>
            <w:r>
              <w:rPr>
                <w:rFonts w:hint="eastAsia" w:ascii="宋体" w:hAnsi="宋体" w:cs="宋体"/>
              </w:rPr>
              <w:t>应急保障服务方案（包括台风、暴雨、冰雪等灾害性天气及其他突发事件）的应急预案及相应的措施</w:t>
            </w:r>
            <w:r>
              <w:rPr>
                <w:rFonts w:hint="eastAsia" w:ascii="宋体" w:hAnsi="宋体" w:cs="宋体"/>
                <w:color w:val="000000"/>
                <w:szCs w:val="21"/>
              </w:rPr>
              <w:t>进行综合评议，酌情给分。（0-</w:t>
            </w:r>
            <w:r>
              <w:rPr>
                <w:rFonts w:hint="eastAsia" w:ascii="宋体" w:hAnsi="宋体" w:cs="宋体"/>
                <w:color w:val="000000"/>
                <w:szCs w:val="21"/>
                <w:lang w:val="en-US" w:eastAsia="zh-CN"/>
              </w:rPr>
              <w:t>9</w:t>
            </w:r>
            <w:r>
              <w:rPr>
                <w:rFonts w:hint="eastAsia" w:ascii="宋体" w:hAnsi="宋体" w:cs="宋体"/>
                <w:color w:val="000000"/>
                <w:szCs w:val="21"/>
              </w:rPr>
              <w:t>）</w:t>
            </w:r>
          </w:p>
          <w:p w14:paraId="1A812BD5">
            <w:pPr>
              <w:rPr>
                <w:rFonts w:hint="eastAsia" w:ascii="宋体" w:hAnsi="宋体" w:cs="宋体"/>
              </w:rPr>
            </w:pPr>
            <w:r>
              <w:rPr>
                <w:rFonts w:hint="eastAsia" w:ascii="宋体" w:hAnsi="宋体" w:cs="宋体"/>
                <w:lang w:val="en-US" w:eastAsia="zh-CN"/>
              </w:rPr>
              <w:t>1、投标人提供的应急</w:t>
            </w:r>
            <w:r>
              <w:rPr>
                <w:rFonts w:hint="eastAsia" w:ascii="宋体" w:hAnsi="宋体" w:cs="宋体"/>
              </w:rPr>
              <w:t>方案全面、完善，措施有效、可行的得</w:t>
            </w:r>
            <w:r>
              <w:rPr>
                <w:rFonts w:hint="eastAsia" w:ascii="宋体" w:hAnsi="宋体" w:cs="宋体"/>
                <w:lang w:val="en-US" w:eastAsia="zh-CN"/>
              </w:rPr>
              <w:t>9</w:t>
            </w:r>
            <w:r>
              <w:rPr>
                <w:rFonts w:hint="eastAsia" w:ascii="宋体" w:hAnsi="宋体" w:cs="宋体"/>
              </w:rPr>
              <w:t>分；</w:t>
            </w:r>
          </w:p>
          <w:p w14:paraId="6E25190F">
            <w:pPr>
              <w:rPr>
                <w:rFonts w:hint="eastAsia" w:ascii="宋体" w:hAnsi="宋体" w:cs="宋体"/>
              </w:rPr>
            </w:pPr>
            <w:r>
              <w:rPr>
                <w:rFonts w:hint="eastAsia" w:ascii="宋体" w:hAnsi="宋体" w:cs="宋体"/>
                <w:lang w:val="en-US" w:eastAsia="zh-CN"/>
              </w:rPr>
              <w:t>2、投标人提供的应急</w:t>
            </w:r>
            <w:r>
              <w:rPr>
                <w:rFonts w:hint="eastAsia" w:ascii="宋体" w:hAnsi="宋体" w:cs="宋体"/>
              </w:rPr>
              <w:t>方案欠全面、欠完善，措施欠有效、欠可行的得</w:t>
            </w:r>
            <w:r>
              <w:rPr>
                <w:rFonts w:hint="eastAsia" w:ascii="宋体" w:hAnsi="宋体" w:cs="宋体"/>
                <w:lang w:val="en-US" w:eastAsia="zh-CN"/>
              </w:rPr>
              <w:t>5</w:t>
            </w:r>
            <w:r>
              <w:rPr>
                <w:rFonts w:hint="eastAsia" w:ascii="宋体" w:hAnsi="宋体" w:cs="宋体"/>
              </w:rPr>
              <w:t>分；</w:t>
            </w:r>
          </w:p>
          <w:p w14:paraId="3162B45F">
            <w:pPr>
              <w:rPr>
                <w:rFonts w:hint="eastAsia" w:ascii="宋体" w:hAnsi="宋体" w:cs="宋体"/>
              </w:rPr>
            </w:pPr>
            <w:r>
              <w:rPr>
                <w:rFonts w:hint="eastAsia" w:ascii="宋体" w:hAnsi="宋体" w:cs="宋体"/>
                <w:lang w:val="en-US" w:eastAsia="zh-CN"/>
              </w:rPr>
              <w:t>3投标人提供的应急</w:t>
            </w:r>
            <w:r>
              <w:rPr>
                <w:rFonts w:hint="eastAsia" w:ascii="宋体" w:hAnsi="宋体" w:cs="宋体"/>
              </w:rPr>
              <w:t>方案不全面、不完善，措施有效性差、不可行的得</w:t>
            </w:r>
            <w:r>
              <w:rPr>
                <w:rFonts w:hint="eastAsia" w:ascii="宋体" w:hAnsi="宋体" w:cs="宋体"/>
                <w:lang w:val="en-US" w:eastAsia="zh-CN"/>
              </w:rPr>
              <w:t>3</w:t>
            </w:r>
            <w:r>
              <w:rPr>
                <w:rFonts w:hint="eastAsia" w:ascii="宋体" w:hAnsi="宋体" w:cs="宋体"/>
              </w:rPr>
              <w:t>分；</w:t>
            </w:r>
          </w:p>
          <w:p w14:paraId="62317913">
            <w:pPr>
              <w:rPr>
                <w:rFonts w:hint="eastAsia" w:ascii="宋体" w:hAnsi="宋体" w:cs="宋体"/>
                <w:color w:val="000000"/>
                <w:szCs w:val="21"/>
              </w:rPr>
            </w:pPr>
            <w:r>
              <w:rPr>
                <w:rFonts w:hint="eastAsia" w:ascii="宋体" w:hAnsi="宋体" w:cs="宋体"/>
                <w:color w:val="000000"/>
                <w:szCs w:val="21"/>
              </w:rPr>
              <w:t>未提供不得分</w:t>
            </w:r>
            <w:r>
              <w:rPr>
                <w:rFonts w:hint="eastAsia" w:ascii="宋体" w:hAnsi="宋体" w:cs="宋体"/>
              </w:rPr>
              <w:t>。</w:t>
            </w:r>
          </w:p>
        </w:tc>
        <w:tc>
          <w:tcPr>
            <w:tcW w:w="1117" w:type="dxa"/>
            <w:noWrap w:val="0"/>
            <w:vAlign w:val="center"/>
          </w:tcPr>
          <w:p w14:paraId="4333DC41">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6B58D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01251BD9">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9</w:t>
            </w:r>
          </w:p>
        </w:tc>
        <w:tc>
          <w:tcPr>
            <w:tcW w:w="1563" w:type="dxa"/>
            <w:noWrap w:val="0"/>
            <w:vAlign w:val="center"/>
          </w:tcPr>
          <w:p w14:paraId="1B304011">
            <w:pPr>
              <w:spacing w:line="360" w:lineRule="auto"/>
              <w:jc w:val="center"/>
              <w:rPr>
                <w:rFonts w:hint="eastAsia" w:ascii="宋体" w:hAnsi="宋体" w:cs="宋体"/>
                <w:color w:val="000000"/>
                <w:szCs w:val="21"/>
              </w:rPr>
            </w:pPr>
            <w:r>
              <w:rPr>
                <w:rFonts w:hint="eastAsia" w:ascii="宋体" w:hAnsi="宋体" w:cs="宋体"/>
                <w:color w:val="000000"/>
                <w:szCs w:val="21"/>
              </w:rPr>
              <w:t>产品</w:t>
            </w:r>
            <w:r>
              <w:rPr>
                <w:rFonts w:ascii="宋体" w:hAnsi="宋体" w:cs="宋体"/>
                <w:color w:val="000000"/>
                <w:szCs w:val="21"/>
              </w:rPr>
              <w:t>质量</w:t>
            </w:r>
          </w:p>
          <w:p w14:paraId="515530B9">
            <w:pPr>
              <w:spacing w:line="360" w:lineRule="auto"/>
              <w:jc w:val="center"/>
              <w:rPr>
                <w:rFonts w:ascii="宋体" w:hAnsi="宋体" w:cs="宋体"/>
                <w:color w:val="000000"/>
                <w:szCs w:val="21"/>
              </w:rPr>
            </w:pPr>
            <w:r>
              <w:rPr>
                <w:rFonts w:ascii="宋体" w:hAnsi="宋体" w:cs="宋体"/>
                <w:color w:val="000000"/>
                <w:szCs w:val="21"/>
              </w:rPr>
              <w:t>退</w:t>
            </w:r>
            <w:r>
              <w:rPr>
                <w:rFonts w:hint="eastAsia" w:ascii="宋体" w:hAnsi="宋体" w:cs="宋体"/>
                <w:color w:val="000000"/>
                <w:szCs w:val="21"/>
              </w:rPr>
              <w:t>换方案</w:t>
            </w:r>
          </w:p>
        </w:tc>
        <w:tc>
          <w:tcPr>
            <w:tcW w:w="6235" w:type="dxa"/>
            <w:noWrap w:val="0"/>
            <w:vAlign w:val="center"/>
          </w:tcPr>
          <w:p w14:paraId="2A7725ED">
            <w:pPr>
              <w:widowControl/>
              <w:spacing w:line="400" w:lineRule="exact"/>
              <w:jc w:val="left"/>
              <w:rPr>
                <w:rFonts w:hint="eastAsia" w:ascii="宋体" w:hAnsi="宋体" w:cs="宋体"/>
              </w:rPr>
            </w:pPr>
            <w:r>
              <w:rPr>
                <w:rFonts w:hint="eastAsia" w:ascii="宋体" w:hAnsi="宋体" w:cs="宋体"/>
              </w:rPr>
              <w:t>根据投标人提供的针对本项目的退换货服务方案（包括但不限于退换货时间、流程、人员安排）进行综合评议，酌情给分。（0-</w:t>
            </w:r>
            <w:r>
              <w:rPr>
                <w:rFonts w:hint="eastAsia" w:ascii="宋体" w:hAnsi="宋体" w:cs="宋体"/>
                <w:lang w:val="en-US" w:eastAsia="zh-CN"/>
              </w:rPr>
              <w:t>9</w:t>
            </w:r>
            <w:r>
              <w:rPr>
                <w:rFonts w:hint="eastAsia" w:ascii="宋体" w:hAnsi="宋体" w:cs="宋体"/>
              </w:rPr>
              <w:t>）</w:t>
            </w:r>
          </w:p>
          <w:p w14:paraId="42F8C30D">
            <w:pPr>
              <w:rPr>
                <w:rFonts w:hint="eastAsia" w:ascii="宋体" w:hAnsi="宋体" w:cs="宋体"/>
              </w:rPr>
            </w:pPr>
            <w:r>
              <w:rPr>
                <w:rFonts w:hint="eastAsia" w:ascii="宋体" w:hAnsi="宋体" w:cs="宋体"/>
              </w:rPr>
              <w:t>方案可操作性强、完整、合理可行的得</w:t>
            </w:r>
            <w:r>
              <w:rPr>
                <w:rFonts w:hint="eastAsia" w:ascii="宋体" w:hAnsi="宋体" w:cs="宋体"/>
                <w:lang w:val="en-US" w:eastAsia="zh-CN"/>
              </w:rPr>
              <w:t>9</w:t>
            </w:r>
            <w:r>
              <w:rPr>
                <w:rFonts w:hint="eastAsia" w:ascii="宋体" w:hAnsi="宋体" w:cs="宋体"/>
              </w:rPr>
              <w:t>分；</w:t>
            </w:r>
          </w:p>
          <w:p w14:paraId="44EC34F0">
            <w:pPr>
              <w:rPr>
                <w:rFonts w:hint="eastAsia" w:ascii="宋体" w:hAnsi="宋体" w:cs="宋体"/>
              </w:rPr>
            </w:pPr>
            <w:r>
              <w:rPr>
                <w:rFonts w:hint="eastAsia" w:ascii="宋体" w:hAnsi="宋体" w:cs="宋体"/>
              </w:rPr>
              <w:t>方案可操作性欠强、欠完整、欠合理可行的得</w:t>
            </w:r>
            <w:r>
              <w:rPr>
                <w:rFonts w:hint="eastAsia" w:ascii="宋体" w:hAnsi="宋体" w:cs="宋体"/>
                <w:lang w:val="en-US" w:eastAsia="zh-CN"/>
              </w:rPr>
              <w:t>5</w:t>
            </w:r>
            <w:r>
              <w:rPr>
                <w:rFonts w:hint="eastAsia" w:ascii="宋体" w:hAnsi="宋体" w:cs="宋体"/>
              </w:rPr>
              <w:t>分；</w:t>
            </w:r>
          </w:p>
          <w:p w14:paraId="26796685">
            <w:pPr>
              <w:rPr>
                <w:rFonts w:hint="eastAsia" w:ascii="宋体" w:hAnsi="宋体" w:cs="宋体"/>
              </w:rPr>
            </w:pPr>
            <w:r>
              <w:rPr>
                <w:rFonts w:hint="eastAsia" w:ascii="宋体" w:hAnsi="宋体" w:cs="宋体"/>
              </w:rPr>
              <w:t>方案可操作性一般、不完整、不合理可行的得</w:t>
            </w:r>
            <w:r>
              <w:rPr>
                <w:rFonts w:hint="eastAsia" w:ascii="宋体" w:hAnsi="宋体" w:cs="宋体"/>
                <w:lang w:val="en-US" w:eastAsia="zh-CN"/>
              </w:rPr>
              <w:t>3</w:t>
            </w:r>
            <w:bookmarkStart w:id="5" w:name="_GoBack"/>
            <w:bookmarkEnd w:id="5"/>
            <w:r>
              <w:rPr>
                <w:rFonts w:hint="eastAsia" w:ascii="宋体" w:hAnsi="宋体" w:cs="宋体"/>
              </w:rPr>
              <w:t>分；</w:t>
            </w:r>
          </w:p>
          <w:p w14:paraId="77129DCC">
            <w:pPr>
              <w:rPr>
                <w:rFonts w:hint="eastAsia" w:ascii="宋体" w:hAnsi="宋体" w:cs="宋体"/>
                <w:color w:val="000000"/>
                <w:szCs w:val="21"/>
              </w:rPr>
            </w:pPr>
            <w:r>
              <w:rPr>
                <w:rFonts w:hint="eastAsia" w:ascii="宋体" w:hAnsi="宋体" w:cs="宋体"/>
                <w:color w:val="000000"/>
                <w:szCs w:val="21"/>
              </w:rPr>
              <w:t>未提供不得分</w:t>
            </w:r>
            <w:r>
              <w:rPr>
                <w:rFonts w:hint="eastAsia" w:ascii="宋体" w:hAnsi="宋体" w:cs="宋体"/>
              </w:rPr>
              <w:t>。</w:t>
            </w:r>
          </w:p>
        </w:tc>
        <w:tc>
          <w:tcPr>
            <w:tcW w:w="1117" w:type="dxa"/>
            <w:noWrap w:val="0"/>
            <w:vAlign w:val="center"/>
          </w:tcPr>
          <w:p w14:paraId="545F7A07">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9</w:t>
            </w:r>
          </w:p>
        </w:tc>
      </w:tr>
      <w:tr w14:paraId="78160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0255B9AE">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10</w:t>
            </w:r>
          </w:p>
        </w:tc>
        <w:tc>
          <w:tcPr>
            <w:tcW w:w="1563" w:type="dxa"/>
            <w:noWrap w:val="0"/>
            <w:vAlign w:val="center"/>
          </w:tcPr>
          <w:p w14:paraId="637BB21C">
            <w:pPr>
              <w:spacing w:line="360" w:lineRule="auto"/>
              <w:jc w:val="center"/>
              <w:rPr>
                <w:rFonts w:hint="eastAsia" w:ascii="宋体" w:hAnsi="宋体" w:cs="宋体"/>
                <w:color w:val="000000"/>
                <w:szCs w:val="21"/>
              </w:rPr>
            </w:pPr>
            <w:r>
              <w:rPr>
                <w:rFonts w:hint="eastAsia" w:ascii="宋体" w:hAnsi="宋体" w:cs="宋体"/>
                <w:color w:val="000000"/>
                <w:spacing w:val="-2"/>
                <w:szCs w:val="21"/>
              </w:rPr>
              <w:t>供货</w:t>
            </w:r>
            <w:r>
              <w:rPr>
                <w:rFonts w:ascii="宋体" w:hAnsi="宋体" w:cs="宋体"/>
                <w:color w:val="000000"/>
                <w:spacing w:val="-1"/>
                <w:szCs w:val="21"/>
              </w:rPr>
              <w:t>保障</w:t>
            </w:r>
            <w:r>
              <w:rPr>
                <w:rFonts w:hint="eastAsia" w:ascii="宋体" w:hAnsi="宋体" w:cs="宋体"/>
                <w:color w:val="000000"/>
                <w:szCs w:val="21"/>
              </w:rPr>
              <w:t>方案</w:t>
            </w:r>
          </w:p>
        </w:tc>
        <w:tc>
          <w:tcPr>
            <w:tcW w:w="6235" w:type="dxa"/>
            <w:noWrap w:val="0"/>
            <w:vAlign w:val="center"/>
          </w:tcPr>
          <w:p w14:paraId="697C70E0">
            <w:pPr>
              <w:rPr>
                <w:rFonts w:hint="eastAsia" w:ascii="宋体" w:hAnsi="宋体" w:cs="宋体"/>
                <w:color w:val="000000"/>
                <w:szCs w:val="21"/>
              </w:rPr>
            </w:pPr>
            <w:r>
              <w:rPr>
                <w:rFonts w:hint="eastAsia" w:ascii="宋体" w:hAnsi="宋体" w:cs="宋体"/>
                <w:color w:val="000000"/>
                <w:szCs w:val="21"/>
              </w:rPr>
              <w:t>根据投标人提供的针对本项目的进货渠道及合作商的实力、合作范围进行评议,</w:t>
            </w:r>
            <w:r>
              <w:rPr>
                <w:rFonts w:hint="eastAsia" w:ascii="宋体" w:hAnsi="宋体" w:cs="宋体"/>
                <w:color w:val="000000"/>
              </w:rPr>
              <w:t>酌情给分。（0-</w:t>
            </w:r>
            <w:r>
              <w:rPr>
                <w:rFonts w:hint="eastAsia" w:ascii="宋体" w:hAnsi="宋体" w:cs="宋体"/>
                <w:color w:val="000000"/>
                <w:lang w:val="en-US" w:eastAsia="zh-CN"/>
              </w:rPr>
              <w:t>8</w:t>
            </w:r>
            <w:r>
              <w:rPr>
                <w:rFonts w:hint="eastAsia" w:ascii="宋体" w:hAnsi="宋体" w:cs="宋体"/>
                <w:color w:val="000000"/>
              </w:rPr>
              <w:t>）</w:t>
            </w:r>
          </w:p>
          <w:p w14:paraId="2978442B">
            <w:pPr>
              <w:rPr>
                <w:rFonts w:hint="eastAsia" w:ascii="宋体" w:hAnsi="宋体" w:cs="宋体"/>
                <w:color w:val="000000"/>
                <w:szCs w:val="21"/>
              </w:rPr>
            </w:pPr>
            <w:r>
              <w:rPr>
                <w:rFonts w:hint="eastAsia" w:ascii="宋体" w:hAnsi="宋体" w:cs="宋体"/>
                <w:color w:val="000000"/>
                <w:szCs w:val="21"/>
                <w:lang w:val="en-US" w:eastAsia="zh-CN"/>
              </w:rPr>
              <w:t>1、</w:t>
            </w:r>
            <w:r>
              <w:rPr>
                <w:rFonts w:hint="eastAsia" w:ascii="宋体" w:hAnsi="宋体" w:cs="宋体"/>
                <w:color w:val="000000"/>
                <w:szCs w:val="21"/>
              </w:rPr>
              <w:t>进货渠道正规、合作商实力强、合作范围广的得</w:t>
            </w:r>
            <w:r>
              <w:rPr>
                <w:rFonts w:hint="eastAsia" w:ascii="宋体" w:hAnsi="宋体" w:cs="宋体"/>
                <w:color w:val="000000"/>
                <w:szCs w:val="21"/>
                <w:lang w:val="en-US" w:eastAsia="zh-CN"/>
              </w:rPr>
              <w:t>8</w:t>
            </w:r>
            <w:r>
              <w:rPr>
                <w:rFonts w:hint="eastAsia" w:ascii="宋体" w:hAnsi="宋体" w:cs="宋体"/>
                <w:color w:val="000000"/>
                <w:szCs w:val="21"/>
              </w:rPr>
              <w:t>分；</w:t>
            </w:r>
          </w:p>
          <w:p w14:paraId="1AC26F89">
            <w:pPr>
              <w:rPr>
                <w:rFonts w:hint="eastAsia" w:ascii="宋体" w:hAnsi="宋体" w:cs="宋体"/>
                <w:color w:val="000000"/>
                <w:szCs w:val="21"/>
              </w:rPr>
            </w:pPr>
            <w:r>
              <w:rPr>
                <w:rFonts w:hint="eastAsia" w:ascii="宋体" w:hAnsi="宋体" w:cs="宋体"/>
                <w:color w:val="000000"/>
                <w:szCs w:val="21"/>
                <w:lang w:val="en-US" w:eastAsia="zh-CN"/>
              </w:rPr>
              <w:t>2、</w:t>
            </w:r>
            <w:r>
              <w:rPr>
                <w:rFonts w:hint="eastAsia" w:ascii="宋体" w:hAnsi="宋体" w:cs="宋体"/>
                <w:color w:val="000000"/>
                <w:szCs w:val="21"/>
              </w:rPr>
              <w:t>进货渠道欠正规、合作商实力欠强、合作范围欠广的得</w:t>
            </w:r>
            <w:r>
              <w:rPr>
                <w:rFonts w:hint="eastAsia" w:ascii="宋体" w:hAnsi="宋体" w:cs="宋体"/>
                <w:color w:val="000000"/>
                <w:szCs w:val="21"/>
                <w:lang w:val="en-US" w:eastAsia="zh-CN"/>
              </w:rPr>
              <w:t>5</w:t>
            </w:r>
            <w:r>
              <w:rPr>
                <w:rFonts w:hint="eastAsia" w:ascii="宋体" w:hAnsi="宋体" w:cs="宋体"/>
                <w:color w:val="000000"/>
                <w:szCs w:val="21"/>
              </w:rPr>
              <w:t>分；</w:t>
            </w:r>
          </w:p>
          <w:p w14:paraId="6136BBE0">
            <w:pPr>
              <w:rPr>
                <w:rFonts w:hint="eastAsia" w:ascii="宋体" w:hAnsi="宋体" w:cs="宋体"/>
                <w:color w:val="000000"/>
                <w:szCs w:val="21"/>
              </w:rPr>
            </w:pPr>
            <w:r>
              <w:rPr>
                <w:rFonts w:hint="eastAsia" w:ascii="宋体" w:hAnsi="宋体" w:cs="宋体"/>
                <w:color w:val="000000"/>
                <w:szCs w:val="21"/>
                <w:lang w:val="en-US" w:eastAsia="zh-CN"/>
              </w:rPr>
              <w:t>3、</w:t>
            </w:r>
            <w:r>
              <w:rPr>
                <w:rFonts w:hint="eastAsia" w:ascii="宋体" w:hAnsi="宋体" w:cs="宋体"/>
                <w:color w:val="000000"/>
                <w:szCs w:val="21"/>
              </w:rPr>
              <w:t>进货渠道不正规、合作商实力一般、合作范围窄的得</w:t>
            </w:r>
            <w:r>
              <w:rPr>
                <w:rFonts w:hint="eastAsia" w:ascii="宋体" w:hAnsi="宋体" w:cs="宋体"/>
                <w:color w:val="000000"/>
                <w:szCs w:val="21"/>
                <w:lang w:val="en-US" w:eastAsia="zh-CN"/>
              </w:rPr>
              <w:t>2</w:t>
            </w:r>
            <w:r>
              <w:rPr>
                <w:rFonts w:hint="eastAsia" w:ascii="宋体" w:hAnsi="宋体" w:cs="宋体"/>
                <w:color w:val="000000"/>
                <w:szCs w:val="21"/>
              </w:rPr>
              <w:t>分。</w:t>
            </w:r>
          </w:p>
          <w:p w14:paraId="24FC6DE0">
            <w:r>
              <w:rPr>
                <w:rFonts w:hint="eastAsia" w:ascii="宋体" w:hAnsi="宋体" w:eastAsia="宋体" w:cs="宋体"/>
              </w:rPr>
              <w:t>未提供不得分。</w:t>
            </w:r>
          </w:p>
        </w:tc>
        <w:tc>
          <w:tcPr>
            <w:tcW w:w="1117" w:type="dxa"/>
            <w:noWrap w:val="0"/>
            <w:vAlign w:val="center"/>
          </w:tcPr>
          <w:p w14:paraId="5A0E22EF">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8</w:t>
            </w:r>
          </w:p>
        </w:tc>
      </w:tr>
      <w:tr w14:paraId="4FD5C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dxa"/>
            <w:noWrap w:val="0"/>
            <w:vAlign w:val="center"/>
          </w:tcPr>
          <w:p w14:paraId="5CA7E229">
            <w:pPr>
              <w:spacing w:line="360" w:lineRule="auto"/>
              <w:jc w:val="center"/>
              <w:rPr>
                <w:rFonts w:hint="default" w:ascii="宋体" w:hAnsi="宋体" w:eastAsia="宋体" w:cs="宋体"/>
                <w:szCs w:val="21"/>
                <w:lang w:val="en-US" w:eastAsia="zh-CN"/>
              </w:rPr>
            </w:pPr>
            <w:r>
              <w:rPr>
                <w:rFonts w:hint="eastAsia" w:ascii="宋体" w:hAnsi="宋体" w:cs="宋体"/>
                <w:szCs w:val="21"/>
                <w:lang w:val="en-US" w:eastAsia="zh-CN"/>
              </w:rPr>
              <w:t>11</w:t>
            </w:r>
          </w:p>
        </w:tc>
        <w:tc>
          <w:tcPr>
            <w:tcW w:w="1563" w:type="dxa"/>
            <w:noWrap w:val="0"/>
            <w:vAlign w:val="center"/>
          </w:tcPr>
          <w:p w14:paraId="53435F5F">
            <w:pPr>
              <w:spacing w:line="360" w:lineRule="auto"/>
              <w:jc w:val="center"/>
              <w:rPr>
                <w:rFonts w:ascii="宋体" w:hAnsi="宋体" w:cs="宋体"/>
                <w:spacing w:val="-2"/>
                <w:szCs w:val="21"/>
              </w:rPr>
            </w:pPr>
            <w:r>
              <w:rPr>
                <w:rFonts w:hint="eastAsia" w:ascii="宋体" w:hAnsi="宋体" w:cs="宋体"/>
              </w:rPr>
              <w:t>售后服务方案</w:t>
            </w:r>
          </w:p>
        </w:tc>
        <w:tc>
          <w:tcPr>
            <w:tcW w:w="6235" w:type="dxa"/>
            <w:noWrap w:val="0"/>
            <w:vAlign w:val="center"/>
          </w:tcPr>
          <w:p w14:paraId="2B9E1D04">
            <w:pPr>
              <w:rPr>
                <w:rFonts w:hint="eastAsia" w:ascii="宋体" w:hAnsi="宋体" w:cs="宋体"/>
              </w:rPr>
            </w:pPr>
            <w:r>
              <w:rPr>
                <w:rFonts w:hint="eastAsia" w:ascii="宋体" w:hAnsi="宋体" w:cs="宋体"/>
                <w:szCs w:val="21"/>
              </w:rPr>
              <w:t>根据投标人提供的针对本项目</w:t>
            </w:r>
            <w:r>
              <w:rPr>
                <w:rFonts w:hint="eastAsia" w:ascii="宋体" w:hAnsi="宋体" w:cs="宋体"/>
              </w:rPr>
              <w:t>的售后服务方案（售后服务机构、服务</w:t>
            </w:r>
            <w:r>
              <w:rPr>
                <w:rFonts w:hint="eastAsia" w:ascii="宋体" w:hAnsi="宋体" w:cs="宋体"/>
                <w:lang w:eastAsia="zh-CN"/>
              </w:rPr>
              <w:t>投标</w:t>
            </w:r>
            <w:r>
              <w:rPr>
                <w:rFonts w:hint="eastAsia" w:ascii="宋体" w:hAnsi="宋体" w:cs="宋体"/>
              </w:rPr>
              <w:t>及售后服务承诺）进行综合评议，酌情给分。（0-</w:t>
            </w:r>
            <w:r>
              <w:rPr>
                <w:rFonts w:hint="eastAsia" w:ascii="宋体" w:hAnsi="宋体" w:cs="宋体"/>
                <w:lang w:val="en-US" w:eastAsia="zh-CN"/>
              </w:rPr>
              <w:t>8</w:t>
            </w:r>
            <w:r>
              <w:rPr>
                <w:rFonts w:hint="eastAsia" w:ascii="宋体" w:hAnsi="宋体" w:cs="宋体"/>
              </w:rPr>
              <w:t>）</w:t>
            </w:r>
          </w:p>
          <w:p w14:paraId="0F4C0B53">
            <w:pPr>
              <w:rPr>
                <w:rFonts w:hint="eastAsia" w:ascii="宋体" w:hAnsi="宋体" w:cs="宋体"/>
              </w:rPr>
            </w:pPr>
            <w:r>
              <w:rPr>
                <w:rFonts w:hint="eastAsia" w:ascii="宋体" w:hAnsi="宋体" w:cs="宋体"/>
                <w:lang w:val="en-US" w:eastAsia="zh-CN"/>
              </w:rPr>
              <w:t>1.投标人提供的售后</w:t>
            </w:r>
            <w:r>
              <w:rPr>
                <w:rFonts w:hint="eastAsia" w:ascii="宋体" w:hAnsi="宋体" w:cs="宋体"/>
              </w:rPr>
              <w:t>方案全面、合理、有效的得</w:t>
            </w:r>
            <w:r>
              <w:rPr>
                <w:rFonts w:hint="eastAsia" w:ascii="宋体" w:hAnsi="宋体" w:cs="宋体"/>
                <w:lang w:val="en-US" w:eastAsia="zh-CN"/>
              </w:rPr>
              <w:t>8</w:t>
            </w:r>
            <w:r>
              <w:rPr>
                <w:rFonts w:hint="eastAsia" w:ascii="宋体" w:hAnsi="宋体" w:cs="宋体"/>
              </w:rPr>
              <w:t>分；</w:t>
            </w:r>
          </w:p>
          <w:p w14:paraId="0C088E4C">
            <w:pPr>
              <w:rPr>
                <w:rFonts w:hint="eastAsia" w:ascii="宋体" w:hAnsi="宋体" w:cs="宋体"/>
              </w:rPr>
            </w:pPr>
            <w:r>
              <w:rPr>
                <w:rFonts w:hint="eastAsia" w:ascii="宋体" w:hAnsi="宋体" w:cs="宋体"/>
                <w:lang w:val="en-US" w:eastAsia="zh-CN"/>
              </w:rPr>
              <w:t>2、投标人提供的售后</w:t>
            </w:r>
            <w:r>
              <w:rPr>
                <w:rFonts w:hint="eastAsia" w:ascii="宋体" w:hAnsi="宋体" w:cs="宋体"/>
              </w:rPr>
              <w:t>方案欠全面、欠合理、欠有效的得</w:t>
            </w:r>
            <w:r>
              <w:rPr>
                <w:rFonts w:hint="eastAsia" w:ascii="宋体" w:hAnsi="宋体" w:cs="宋体"/>
                <w:lang w:val="en-US" w:eastAsia="zh-CN"/>
              </w:rPr>
              <w:t>5</w:t>
            </w:r>
            <w:r>
              <w:rPr>
                <w:rFonts w:hint="eastAsia" w:ascii="宋体" w:hAnsi="宋体" w:cs="宋体"/>
              </w:rPr>
              <w:t>分；</w:t>
            </w:r>
          </w:p>
          <w:p w14:paraId="06B6CEB6">
            <w:pPr>
              <w:rPr>
                <w:rFonts w:hint="eastAsia" w:ascii="宋体" w:hAnsi="宋体" w:cs="宋体"/>
              </w:rPr>
            </w:pPr>
            <w:r>
              <w:rPr>
                <w:rFonts w:hint="eastAsia" w:ascii="宋体" w:hAnsi="宋体" w:cs="宋体"/>
                <w:lang w:val="en-US" w:eastAsia="zh-CN"/>
              </w:rPr>
              <w:t>3、</w:t>
            </w:r>
            <w:r>
              <w:rPr>
                <w:rFonts w:hint="eastAsia" w:ascii="宋体" w:hAnsi="宋体" w:cs="宋体"/>
              </w:rPr>
              <w:t>方案不全面、不合理、有效性差的得</w:t>
            </w:r>
            <w:r>
              <w:rPr>
                <w:rFonts w:hint="eastAsia" w:ascii="宋体" w:hAnsi="宋体" w:cs="宋体"/>
                <w:lang w:val="en-US" w:eastAsia="zh-CN"/>
              </w:rPr>
              <w:t>3</w:t>
            </w:r>
            <w:r>
              <w:rPr>
                <w:rFonts w:hint="eastAsia" w:ascii="宋体" w:hAnsi="宋体" w:cs="宋体"/>
              </w:rPr>
              <w:t>分；</w:t>
            </w:r>
          </w:p>
          <w:p w14:paraId="6295832C">
            <w:pPr>
              <w:rPr>
                <w:rFonts w:hint="eastAsia" w:ascii="宋体" w:hAnsi="宋体" w:cs="宋体"/>
                <w:szCs w:val="21"/>
              </w:rPr>
            </w:pPr>
            <w:r>
              <w:rPr>
                <w:rFonts w:hint="eastAsia" w:ascii="宋体" w:hAnsi="宋体" w:cs="宋体"/>
                <w:color w:val="000000"/>
                <w:szCs w:val="21"/>
              </w:rPr>
              <w:t>未提供不得分</w:t>
            </w:r>
            <w:r>
              <w:rPr>
                <w:rFonts w:hint="eastAsia" w:ascii="宋体" w:hAnsi="宋体" w:cs="宋体"/>
              </w:rPr>
              <w:t>。</w:t>
            </w:r>
          </w:p>
        </w:tc>
        <w:tc>
          <w:tcPr>
            <w:tcW w:w="1117" w:type="dxa"/>
            <w:noWrap w:val="0"/>
            <w:vAlign w:val="center"/>
          </w:tcPr>
          <w:p w14:paraId="1A626F20">
            <w:pPr>
              <w:spacing w:line="360" w:lineRule="auto"/>
              <w:ind w:firstLine="315" w:firstLineChars="150"/>
              <w:rPr>
                <w:rFonts w:hint="eastAsia" w:ascii="宋体" w:hAnsi="宋体" w:eastAsia="宋体" w:cs="宋体"/>
                <w:color w:val="000000"/>
                <w:szCs w:val="21"/>
                <w:lang w:val="en-US" w:eastAsia="zh-CN"/>
              </w:rPr>
            </w:pPr>
            <w:r>
              <w:rPr>
                <w:rFonts w:hint="eastAsia" w:ascii="宋体" w:hAnsi="宋体" w:cs="宋体"/>
                <w:color w:val="000000"/>
                <w:szCs w:val="21"/>
              </w:rPr>
              <w:t>0-</w:t>
            </w:r>
            <w:r>
              <w:rPr>
                <w:rFonts w:hint="eastAsia" w:ascii="宋体" w:hAnsi="宋体" w:cs="宋体"/>
                <w:color w:val="000000"/>
                <w:szCs w:val="21"/>
                <w:lang w:val="en-US" w:eastAsia="zh-CN"/>
              </w:rPr>
              <w:t>8</w:t>
            </w:r>
          </w:p>
        </w:tc>
      </w:tr>
    </w:tbl>
    <w:p w14:paraId="6BF48ED8">
      <w:pPr>
        <w:pStyle w:val="35"/>
        <w:jc w:val="both"/>
        <w:rPr>
          <w:rFonts w:hint="eastAsia" w:ascii="宋体" w:hAnsi="宋体" w:cs="宋体"/>
          <w:sz w:val="21"/>
          <w:szCs w:val="21"/>
        </w:rPr>
      </w:pPr>
      <w:r>
        <w:rPr>
          <w:rFonts w:hint="eastAsia" w:ascii="宋体" w:hAnsi="宋体" w:cs="宋体"/>
          <w:b/>
          <w:bCs/>
          <w:sz w:val="21"/>
          <w:szCs w:val="21"/>
        </w:rPr>
        <w:t>注：以上评分过程和结果均按“四舍五入”保留到小数点后2位，相关证明、证书复印件需盖公章，原件投标时由授权代表随身携带，必要时供评标备查。</w:t>
      </w:r>
    </w:p>
    <w:p w14:paraId="0EE1BDC5">
      <w:pPr>
        <w:pStyle w:val="3"/>
        <w:rPr>
          <w:rFonts w:hint="eastAsia"/>
        </w:rPr>
      </w:pPr>
    </w:p>
    <w:p w14:paraId="7892B2CF">
      <w:pPr>
        <w:pStyle w:val="35"/>
        <w:rPr>
          <w:rFonts w:ascii="宋体" w:hAnsi="宋体" w:cs="宋体"/>
          <w:sz w:val="24"/>
          <w:szCs w:val="24"/>
        </w:rPr>
      </w:pPr>
      <w:r>
        <w:rPr>
          <w:rFonts w:hint="eastAsia" w:ascii="宋体" w:hAnsi="宋体" w:cs="宋体"/>
          <w:sz w:val="24"/>
          <w:szCs w:val="24"/>
          <w:lang w:val="en-US" w:eastAsia="zh-CN"/>
        </w:rPr>
        <w:t>第</w:t>
      </w:r>
      <w:r>
        <w:rPr>
          <w:rFonts w:hint="eastAsia" w:ascii="宋体" w:hAnsi="宋体" w:cs="宋体"/>
          <w:sz w:val="24"/>
          <w:szCs w:val="24"/>
        </w:rPr>
        <w:t>五章  合同主要条款</w:t>
      </w:r>
    </w:p>
    <w:p w14:paraId="2F593AEF">
      <w:pPr>
        <w:snapToGrid w:val="0"/>
        <w:spacing w:beforeLines="50" w:afterLines="50" w:line="360" w:lineRule="auto"/>
        <w:ind w:firstLine="2168" w:firstLineChars="900"/>
        <w:jc w:val="both"/>
        <w:rPr>
          <w:rFonts w:ascii="宋体" w:hAnsi="宋体" w:cs="宋体"/>
          <w:b/>
          <w:sz w:val="24"/>
          <w:szCs w:val="24"/>
        </w:rPr>
      </w:pPr>
      <w:r>
        <w:rPr>
          <w:rFonts w:hint="eastAsia" w:ascii="宋体" w:hAnsi="宋体" w:cs="宋体"/>
          <w:b/>
          <w:sz w:val="24"/>
          <w:szCs w:val="24"/>
        </w:rPr>
        <w:t>（具体条款以甲方为主协商确定）</w:t>
      </w:r>
      <w:r>
        <w:rPr>
          <w:rFonts w:hint="eastAsia" w:ascii="宋体" w:hAnsi="宋体" w:cs="宋体"/>
          <w:b/>
          <w:sz w:val="24"/>
          <w:szCs w:val="24"/>
          <w:lang w:val="en-US" w:eastAsia="zh-CN"/>
        </w:rPr>
        <w:t xml:space="preserve">  </w:t>
      </w:r>
    </w:p>
    <w:p w14:paraId="47E9D3CE">
      <w:pPr>
        <w:snapToGrid w:val="0"/>
        <w:spacing w:line="360" w:lineRule="auto"/>
        <w:rPr>
          <w:rFonts w:hint="eastAsia" w:ascii="宋体" w:hAnsi="宋体" w:cs="宋体"/>
          <w:szCs w:val="21"/>
        </w:rPr>
      </w:pPr>
      <w:r>
        <w:rPr>
          <w:rFonts w:hint="eastAsia" w:ascii="宋体" w:hAnsi="宋体" w:cs="宋体"/>
          <w:szCs w:val="21"/>
        </w:rPr>
        <w:t xml:space="preserve">项目名称： </w:t>
      </w:r>
    </w:p>
    <w:p w14:paraId="3510B765">
      <w:pPr>
        <w:snapToGrid w:val="0"/>
        <w:spacing w:line="360" w:lineRule="auto"/>
        <w:rPr>
          <w:rFonts w:hint="eastAsia" w:ascii="宋体" w:hAnsi="宋体" w:cs="宋体"/>
          <w:szCs w:val="21"/>
        </w:rPr>
      </w:pPr>
      <w:r>
        <w:rPr>
          <w:rFonts w:hint="eastAsia" w:ascii="宋体" w:hAnsi="宋体" w:cs="宋体"/>
          <w:szCs w:val="21"/>
        </w:rPr>
        <w:t>项目编号（合同号）：</w:t>
      </w:r>
    </w:p>
    <w:p w14:paraId="614AA1D2">
      <w:pPr>
        <w:snapToGrid w:val="0"/>
        <w:spacing w:line="360" w:lineRule="auto"/>
        <w:rPr>
          <w:rFonts w:hint="default" w:ascii="宋体" w:hAnsi="宋体" w:cs="宋体"/>
          <w:szCs w:val="21"/>
          <w:lang w:val="en-US"/>
        </w:rPr>
      </w:pPr>
      <w:r>
        <w:rPr>
          <w:rFonts w:hint="eastAsia" w:ascii="宋体" w:hAnsi="宋体" w:cs="宋体"/>
          <w:szCs w:val="21"/>
        </w:rPr>
        <w:t>甲方（买方）：</w:t>
      </w:r>
      <w:r>
        <w:rPr>
          <w:rFonts w:hint="eastAsia" w:ascii="宋体" w:hAnsi="宋体" w:cs="宋体"/>
          <w:szCs w:val="21"/>
          <w:lang w:val="en-US" w:eastAsia="zh-CN"/>
        </w:rPr>
        <w:t>舟山市普陀区商务局</w:t>
      </w:r>
    </w:p>
    <w:p w14:paraId="600DEA0D">
      <w:pPr>
        <w:snapToGrid w:val="0"/>
        <w:spacing w:line="360" w:lineRule="auto"/>
        <w:rPr>
          <w:rFonts w:hint="eastAsia" w:ascii="宋体" w:hAnsi="宋体" w:cs="宋体"/>
          <w:szCs w:val="21"/>
        </w:rPr>
      </w:pPr>
      <w:r>
        <w:rPr>
          <w:rFonts w:hint="eastAsia" w:ascii="宋体" w:hAnsi="宋体" w:cs="宋体"/>
          <w:szCs w:val="21"/>
        </w:rPr>
        <w:t>乙方（卖方）：</w:t>
      </w:r>
    </w:p>
    <w:p w14:paraId="760DE1B0">
      <w:pPr>
        <w:tabs>
          <w:tab w:val="left" w:pos="0"/>
        </w:tabs>
        <w:spacing w:line="360" w:lineRule="auto"/>
        <w:ind w:firstLine="420"/>
        <w:rPr>
          <w:rFonts w:ascii="宋体" w:hAnsi="宋体" w:cs="宋体"/>
          <w:szCs w:val="21"/>
        </w:rPr>
      </w:pPr>
      <w:r>
        <w:rPr>
          <w:rFonts w:ascii="宋体" w:hAnsi="宋体" w:cs="宋体"/>
          <w:szCs w:val="21"/>
        </w:rPr>
        <w:t>甲乙双方</w:t>
      </w:r>
      <w:r>
        <w:rPr>
          <w:rFonts w:hint="eastAsia" w:ascii="宋体" w:hAnsi="宋体" w:cs="宋体"/>
          <w:szCs w:val="21"/>
        </w:rPr>
        <w:t>根据的招标结果，乙方被确定为</w:t>
      </w:r>
      <w:r>
        <w:rPr>
          <w:rFonts w:hint="eastAsia" w:ascii="宋体" w:hAnsi="宋体" w:cs="宋体"/>
          <w:szCs w:val="21"/>
          <w:u w:val="single"/>
          <w:lang w:val="en-US" w:eastAsia="zh-CN"/>
        </w:rPr>
        <w:t xml:space="preserve">             </w:t>
      </w:r>
      <w:r>
        <w:rPr>
          <w:rFonts w:hint="eastAsia" w:ascii="宋体" w:hAnsi="宋体" w:cs="宋体"/>
          <w:szCs w:val="21"/>
          <w:lang w:eastAsia="zh-CN"/>
        </w:rPr>
        <w:t>项目</w:t>
      </w:r>
      <w:r>
        <w:rPr>
          <w:rFonts w:hint="eastAsia" w:ascii="宋体" w:hAnsi="宋体" w:cs="宋体"/>
          <w:szCs w:val="21"/>
          <w:lang w:val="en-US" w:eastAsia="zh-CN"/>
        </w:rPr>
        <w:t>中标人</w:t>
      </w:r>
      <w:r>
        <w:rPr>
          <w:rFonts w:ascii="宋体" w:hAnsi="宋体" w:cs="宋体"/>
          <w:szCs w:val="21"/>
        </w:rPr>
        <w:t>（本</w:t>
      </w:r>
      <w:r>
        <w:rPr>
          <w:rFonts w:hint="eastAsia" w:ascii="宋体" w:hAnsi="宋体" w:cs="宋体"/>
          <w:szCs w:val="21"/>
        </w:rPr>
        <w:t>协议</w:t>
      </w:r>
      <w:r>
        <w:rPr>
          <w:rFonts w:ascii="宋体" w:hAnsi="宋体" w:cs="宋体"/>
          <w:szCs w:val="21"/>
        </w:rPr>
        <w:t>有效期：自</w:t>
      </w:r>
      <w:r>
        <w:rPr>
          <w:rFonts w:hint="eastAsia" w:ascii="宋体" w:hAnsi="宋体" w:cs="宋体"/>
          <w:szCs w:val="21"/>
        </w:rPr>
        <w:t xml:space="preserve">  年月日</w:t>
      </w:r>
      <w:r>
        <w:rPr>
          <w:rFonts w:ascii="宋体" w:hAnsi="宋体" w:cs="宋体"/>
          <w:szCs w:val="21"/>
        </w:rPr>
        <w:t>至</w:t>
      </w:r>
      <w:r>
        <w:rPr>
          <w:rFonts w:hint="eastAsia" w:ascii="宋体" w:hAnsi="宋体" w:cs="宋体"/>
          <w:szCs w:val="21"/>
        </w:rPr>
        <w:t xml:space="preserve">  年月日</w:t>
      </w:r>
      <w:r>
        <w:rPr>
          <w:rFonts w:ascii="宋体" w:hAnsi="宋体" w:cs="宋体"/>
          <w:szCs w:val="21"/>
        </w:rPr>
        <w:t>）</w:t>
      </w:r>
      <w:r>
        <w:rPr>
          <w:rFonts w:hint="eastAsia" w:ascii="宋体" w:hAnsi="宋体" w:cs="宋体"/>
          <w:szCs w:val="21"/>
        </w:rPr>
        <w:t>。现就</w:t>
      </w:r>
      <w:r>
        <w:rPr>
          <w:rFonts w:ascii="宋体" w:hAnsi="宋体" w:cs="宋体"/>
          <w:szCs w:val="21"/>
        </w:rPr>
        <w:t>有</w:t>
      </w:r>
      <w:r>
        <w:rPr>
          <w:rFonts w:ascii="宋体" w:hAnsi="宋体" w:eastAsia="宋体" w:cs="宋体"/>
          <w:szCs w:val="21"/>
        </w:rPr>
        <w:t>关</w:t>
      </w:r>
      <w:r>
        <w:rPr>
          <w:rFonts w:hint="eastAsia" w:ascii="宋体" w:hAnsi="宋体" w:eastAsia="宋体" w:cs="宋体"/>
          <w:szCs w:val="21"/>
          <w:lang w:val="en-US" w:eastAsia="zh-CN"/>
        </w:rPr>
        <w:t xml:space="preserve">普陀区海岛“菜篮子” </w:t>
      </w:r>
      <w:r>
        <w:rPr>
          <w:rFonts w:hint="eastAsia" w:ascii="宋体" w:hAnsi="宋体" w:eastAsia="宋体" w:cs="宋体"/>
          <w:szCs w:val="21"/>
        </w:rPr>
        <w:t>配送</w:t>
      </w:r>
      <w:r>
        <w:rPr>
          <w:rFonts w:hint="eastAsia" w:ascii="宋体" w:hAnsi="宋体" w:cs="宋体"/>
          <w:szCs w:val="21"/>
        </w:rPr>
        <w:t>服务</w:t>
      </w:r>
      <w:r>
        <w:rPr>
          <w:rFonts w:ascii="宋体" w:hAnsi="宋体" w:cs="宋体"/>
          <w:szCs w:val="21"/>
        </w:rPr>
        <w:t>达成如下合作事项：</w:t>
      </w:r>
    </w:p>
    <w:p w14:paraId="00907294">
      <w:pPr>
        <w:tabs>
          <w:tab w:val="left" w:pos="0"/>
        </w:tabs>
        <w:spacing w:line="360" w:lineRule="auto"/>
        <w:rPr>
          <w:rFonts w:ascii="宋体" w:hAnsi="宋体" w:cs="宋体"/>
          <w:szCs w:val="21"/>
        </w:rPr>
      </w:pPr>
      <w:r>
        <w:rPr>
          <w:rFonts w:hint="eastAsia" w:ascii="宋体" w:hAnsi="宋体" w:cs="宋体"/>
          <w:szCs w:val="21"/>
        </w:rPr>
        <w:t>一、</w:t>
      </w:r>
      <w:r>
        <w:rPr>
          <w:rFonts w:ascii="宋体" w:hAnsi="宋体" w:cs="宋体"/>
          <w:szCs w:val="21"/>
        </w:rPr>
        <w:t>乙方承诺：</w:t>
      </w:r>
    </w:p>
    <w:p w14:paraId="48F0BAB1">
      <w:pPr>
        <w:pStyle w:val="15"/>
        <w:keepNext w:val="0"/>
        <w:keepLines w:val="0"/>
        <w:pageBreakBefore w:val="0"/>
        <w:kinsoku/>
        <w:wordWrap/>
        <w:overflowPunct/>
        <w:topLinePunct w:val="0"/>
        <w:bidi w:val="0"/>
        <w:adjustRightInd w:val="0"/>
        <w:snapToGrid/>
        <w:spacing w:line="560" w:lineRule="exact"/>
        <w:ind w:firstLine="420" w:firstLineChars="20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1）蔬菜农残必须符合《食品安全国家标准食品中农药最大残留限量》（GB 2763-2021）；</w:t>
      </w:r>
    </w:p>
    <w:p w14:paraId="38B5D192">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2）豆制品必须符合《食品安全国家标准 豆制品》（GB 2712-2014），并提供食品生产许可证编号。豆制品应采取保温措施以确保保鲜，剩余保质期应不低于其保质期限的一半； </w:t>
      </w:r>
    </w:p>
    <w:p w14:paraId="56721D3A">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3）蔬菜等新鲜农产品必须具有相应的检测报告或食品检验合格证；</w:t>
      </w:r>
    </w:p>
    <w:p w14:paraId="2E1A9AAE">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4）采购文件中未提到但厨房中的其他必需品，必须满足相关规定；</w:t>
      </w:r>
    </w:p>
    <w:p w14:paraId="7DFFC52A">
      <w:pPr>
        <w:keepNext w:val="0"/>
        <w:keepLines w:val="0"/>
        <w:pageBreakBefore w:val="0"/>
        <w:widowControl/>
        <w:kinsoku/>
        <w:wordWrap/>
        <w:overflowPunct/>
        <w:topLinePunct w:val="0"/>
        <w:bidi w:val="0"/>
        <w:snapToGrid/>
        <w:spacing w:line="540" w:lineRule="exact"/>
        <w:ind w:firstLine="420" w:firstLineChars="20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5）所供蔬菜必须为新鲜非冷冻蔬菜，采用冷冻方式的，须经采购人备案同意，未经允许私自采用冷冻类产品的，采购人有权提前终止合同，并将追究供应商相关责任。</w:t>
      </w:r>
    </w:p>
    <w:p w14:paraId="1C7F3C98">
      <w:pPr>
        <w:tabs>
          <w:tab w:val="left" w:pos="0"/>
        </w:tabs>
        <w:spacing w:line="360" w:lineRule="auto"/>
        <w:rPr>
          <w:rFonts w:ascii="宋体" w:hAnsi="宋体" w:cs="宋体"/>
          <w:szCs w:val="21"/>
        </w:rPr>
      </w:pPr>
      <w:r>
        <w:rPr>
          <w:rFonts w:hint="eastAsia" w:ascii="宋体" w:hAnsi="宋体" w:cs="宋体"/>
          <w:szCs w:val="21"/>
          <w:lang w:val="en-US" w:eastAsia="zh-CN"/>
        </w:rPr>
        <w:t>二</w:t>
      </w:r>
      <w:r>
        <w:rPr>
          <w:rFonts w:ascii="宋体" w:hAnsi="宋体" w:cs="宋体"/>
          <w:szCs w:val="21"/>
        </w:rPr>
        <w:t>、供货时间：接</w:t>
      </w:r>
      <w:r>
        <w:rPr>
          <w:rFonts w:hint="eastAsia" w:ascii="宋体" w:hAnsi="宋体" w:cs="宋体"/>
          <w:szCs w:val="21"/>
          <w:lang w:val="en-US" w:eastAsia="zh-CN"/>
        </w:rPr>
        <w:t>采购人</w:t>
      </w:r>
      <w:r>
        <w:rPr>
          <w:rFonts w:ascii="宋体" w:hAnsi="宋体" w:cs="宋体"/>
          <w:szCs w:val="21"/>
        </w:rPr>
        <w:t>订购要求，将订购商品送达指定地点</w:t>
      </w:r>
      <w:r>
        <w:rPr>
          <w:rFonts w:hint="eastAsia" w:ascii="宋体" w:hAnsi="宋体" w:cs="宋体"/>
          <w:szCs w:val="21"/>
        </w:rPr>
        <w:t>。</w:t>
      </w:r>
    </w:p>
    <w:p w14:paraId="0F2982CF">
      <w:pPr>
        <w:spacing w:line="360" w:lineRule="auto"/>
        <w:rPr>
          <w:rFonts w:ascii="宋体" w:hAnsi="宋体" w:cs="宋体"/>
          <w:szCs w:val="21"/>
        </w:rPr>
      </w:pPr>
      <w:r>
        <w:rPr>
          <w:rFonts w:hint="eastAsia" w:ascii="宋体" w:hAnsi="宋体" w:cs="宋体"/>
          <w:szCs w:val="21"/>
          <w:lang w:val="en-US" w:eastAsia="zh-CN"/>
        </w:rPr>
        <w:t>三</w:t>
      </w:r>
      <w:r>
        <w:rPr>
          <w:rFonts w:ascii="宋体" w:hAnsi="宋体" w:cs="宋体"/>
          <w:szCs w:val="21"/>
        </w:rPr>
        <w:t>、</w:t>
      </w:r>
      <w:r>
        <w:rPr>
          <w:rFonts w:hint="eastAsia" w:ascii="宋体" w:hAnsi="宋体" w:cs="宋体"/>
          <w:szCs w:val="21"/>
        </w:rPr>
        <w:t>每次供货商必须向招标方提供该批次货物的品质检验合格证、配送商品的检测报告、供货清单等国家强制认证证明。</w:t>
      </w:r>
    </w:p>
    <w:p w14:paraId="07BED561">
      <w:pPr>
        <w:tabs>
          <w:tab w:val="left" w:pos="0"/>
        </w:tabs>
        <w:spacing w:line="360" w:lineRule="auto"/>
        <w:rPr>
          <w:rFonts w:ascii="宋体" w:hAnsi="宋体" w:cs="宋体"/>
          <w:szCs w:val="21"/>
        </w:rPr>
      </w:pPr>
      <w:r>
        <w:rPr>
          <w:rFonts w:hint="eastAsia" w:ascii="宋体" w:hAnsi="宋体" w:cs="宋体"/>
          <w:szCs w:val="21"/>
          <w:lang w:val="en-US" w:eastAsia="zh-CN"/>
        </w:rPr>
        <w:t>四</w:t>
      </w:r>
      <w:r>
        <w:rPr>
          <w:rFonts w:ascii="宋体" w:hAnsi="宋体" w:cs="宋体"/>
          <w:szCs w:val="21"/>
        </w:rPr>
        <w:t>、</w:t>
      </w:r>
      <w:r>
        <w:rPr>
          <w:rFonts w:hint="eastAsia" w:ascii="宋体" w:hAnsi="宋体" w:cs="宋体"/>
          <w:szCs w:val="21"/>
        </w:rPr>
        <w:t>在规定时间内签订合同（合同必须经甲方鉴证后生效），</w:t>
      </w:r>
      <w:r>
        <w:rPr>
          <w:rFonts w:ascii="宋体" w:hAnsi="宋体" w:cs="宋体"/>
          <w:szCs w:val="21"/>
        </w:rPr>
        <w:t>自觉遵守相关规章制度，服从</w:t>
      </w:r>
      <w:r>
        <w:rPr>
          <w:rFonts w:hint="eastAsia" w:ascii="宋体" w:hAnsi="宋体" w:cs="宋体"/>
          <w:szCs w:val="21"/>
          <w:lang w:val="en-US" w:eastAsia="zh-CN"/>
        </w:rPr>
        <w:t>采购人</w:t>
      </w:r>
      <w:r>
        <w:rPr>
          <w:rFonts w:ascii="宋体" w:hAnsi="宋体" w:cs="宋体"/>
          <w:szCs w:val="21"/>
        </w:rPr>
        <w:t>管理。</w:t>
      </w:r>
    </w:p>
    <w:p w14:paraId="75546CCF">
      <w:pPr>
        <w:tabs>
          <w:tab w:val="left" w:pos="0"/>
        </w:tabs>
        <w:spacing w:line="360" w:lineRule="auto"/>
        <w:rPr>
          <w:rFonts w:ascii="宋体" w:hAnsi="宋体" w:cs="宋体"/>
          <w:szCs w:val="21"/>
        </w:rPr>
      </w:pPr>
      <w:r>
        <w:rPr>
          <w:rFonts w:hint="eastAsia" w:ascii="宋体" w:hAnsi="宋体" w:cs="宋体"/>
          <w:szCs w:val="21"/>
          <w:lang w:val="en-US" w:eastAsia="zh-CN"/>
        </w:rPr>
        <w:t>五</w:t>
      </w:r>
      <w:r>
        <w:rPr>
          <w:rFonts w:ascii="宋体" w:hAnsi="宋体" w:cs="宋体"/>
          <w:szCs w:val="21"/>
        </w:rPr>
        <w:t>、严格遵守《食品安全法》等相关规定，如发现供应以下食品，除全部退货外，</w:t>
      </w:r>
      <w:r>
        <w:rPr>
          <w:rFonts w:hint="eastAsia" w:ascii="宋体" w:hAnsi="宋体" w:cs="宋体"/>
          <w:szCs w:val="21"/>
        </w:rPr>
        <w:t>将取消乙方的供货资格，</w:t>
      </w:r>
      <w:r>
        <w:rPr>
          <w:rFonts w:ascii="宋体" w:hAnsi="宋体" w:cs="宋体"/>
          <w:szCs w:val="21"/>
        </w:rPr>
        <w:t>将</w:t>
      </w:r>
      <w:r>
        <w:rPr>
          <w:rFonts w:hint="eastAsia" w:ascii="宋体" w:hAnsi="宋体" w:cs="宋体"/>
          <w:szCs w:val="21"/>
        </w:rPr>
        <w:t>没收</w:t>
      </w:r>
      <w:r>
        <w:rPr>
          <w:rFonts w:ascii="宋体" w:hAnsi="宋体" w:cs="宋体"/>
          <w:szCs w:val="21"/>
        </w:rPr>
        <w:t>全部履约保证金，并承担由此造成的经济责任和法律责任</w:t>
      </w:r>
      <w:r>
        <w:rPr>
          <w:rFonts w:hint="eastAsia" w:ascii="宋体" w:hAnsi="宋体" w:cs="宋体"/>
          <w:szCs w:val="21"/>
        </w:rPr>
        <w:t>：</w:t>
      </w:r>
    </w:p>
    <w:p w14:paraId="6274AB91">
      <w:pPr>
        <w:tabs>
          <w:tab w:val="left" w:pos="0"/>
        </w:tabs>
        <w:spacing w:line="360" w:lineRule="auto"/>
        <w:ind w:firstLine="420"/>
        <w:rPr>
          <w:rFonts w:ascii="宋体" w:hAnsi="宋体" w:cs="宋体"/>
          <w:szCs w:val="21"/>
        </w:rPr>
      </w:pPr>
      <w:r>
        <w:rPr>
          <w:rFonts w:ascii="宋体" w:hAnsi="宋体" w:cs="宋体"/>
          <w:szCs w:val="21"/>
        </w:rPr>
        <w:t>（1）腐败变质、油脂酸败、霉变、生虫、污秽不洁、混有异物或者其他感官性状异常，对人体健康有害的；</w:t>
      </w:r>
    </w:p>
    <w:p w14:paraId="4BAD5873">
      <w:pPr>
        <w:tabs>
          <w:tab w:val="left" w:pos="0"/>
        </w:tabs>
        <w:spacing w:line="360" w:lineRule="auto"/>
        <w:ind w:firstLine="420"/>
        <w:rPr>
          <w:rFonts w:ascii="宋体" w:hAnsi="宋体" w:cs="宋体"/>
          <w:szCs w:val="21"/>
        </w:rPr>
      </w:pPr>
      <w:r>
        <w:rPr>
          <w:rFonts w:ascii="宋体" w:hAnsi="宋体" w:cs="宋体"/>
          <w:szCs w:val="21"/>
        </w:rPr>
        <w:t>（2）含有毒、有害物质或者被有害物质污染，对人体健康有害的；</w:t>
      </w:r>
    </w:p>
    <w:p w14:paraId="4C2F99AF">
      <w:pPr>
        <w:tabs>
          <w:tab w:val="left" w:pos="0"/>
        </w:tabs>
        <w:spacing w:line="360" w:lineRule="auto"/>
        <w:ind w:firstLine="420"/>
        <w:rPr>
          <w:rFonts w:ascii="宋体" w:hAnsi="宋体" w:cs="宋体"/>
          <w:szCs w:val="21"/>
        </w:rPr>
      </w:pPr>
      <w:r>
        <w:rPr>
          <w:rFonts w:ascii="宋体" w:hAnsi="宋体" w:cs="宋体"/>
          <w:szCs w:val="21"/>
        </w:rPr>
        <w:t>（3）含有致病性寄生虫、微生物或微生物含量超过国家限定标准的；</w:t>
      </w:r>
    </w:p>
    <w:p w14:paraId="4A472E07">
      <w:pPr>
        <w:tabs>
          <w:tab w:val="left" w:pos="0"/>
        </w:tabs>
        <w:spacing w:line="360" w:lineRule="auto"/>
        <w:ind w:firstLine="420"/>
        <w:rPr>
          <w:rFonts w:ascii="宋体" w:hAnsi="宋体" w:cs="宋体"/>
          <w:szCs w:val="21"/>
        </w:rPr>
      </w:pPr>
      <w:r>
        <w:rPr>
          <w:rFonts w:ascii="宋体" w:hAnsi="宋体" w:cs="宋体"/>
          <w:szCs w:val="21"/>
        </w:rPr>
        <w:t>（4）掺假、掺杂、伪造，影响营养、卫生的；</w:t>
      </w:r>
    </w:p>
    <w:p w14:paraId="0493CBBC">
      <w:pPr>
        <w:tabs>
          <w:tab w:val="left" w:pos="0"/>
        </w:tabs>
        <w:spacing w:line="360" w:lineRule="auto"/>
        <w:ind w:firstLine="420"/>
        <w:rPr>
          <w:rFonts w:ascii="宋体" w:hAnsi="宋体" w:cs="宋体"/>
          <w:szCs w:val="21"/>
        </w:rPr>
      </w:pPr>
      <w:r>
        <w:rPr>
          <w:rFonts w:ascii="宋体" w:hAnsi="宋体" w:cs="宋体"/>
          <w:szCs w:val="21"/>
        </w:rPr>
        <w:t>（5）用非食品原料加工的，加入非食品用化学物质或者将非食品当作食品的；</w:t>
      </w:r>
    </w:p>
    <w:p w14:paraId="0B12C67B">
      <w:pPr>
        <w:tabs>
          <w:tab w:val="left" w:pos="0"/>
        </w:tabs>
        <w:spacing w:line="360" w:lineRule="auto"/>
        <w:ind w:firstLine="420"/>
        <w:rPr>
          <w:rFonts w:ascii="宋体" w:hAnsi="宋体" w:cs="宋体"/>
          <w:szCs w:val="21"/>
        </w:rPr>
      </w:pPr>
      <w:r>
        <w:rPr>
          <w:rFonts w:ascii="宋体" w:hAnsi="宋体" w:cs="宋体"/>
          <w:szCs w:val="21"/>
        </w:rPr>
        <w:t>（6）超过保质期限的；</w:t>
      </w:r>
    </w:p>
    <w:p w14:paraId="2922D704">
      <w:pPr>
        <w:spacing w:line="360" w:lineRule="auto"/>
        <w:ind w:firstLine="344" w:firstLineChars="164"/>
        <w:rPr>
          <w:rFonts w:ascii="宋体" w:hAnsi="宋体" w:cs="宋体"/>
          <w:szCs w:val="21"/>
        </w:rPr>
      </w:pPr>
      <w:r>
        <w:rPr>
          <w:rFonts w:hint="eastAsia" w:ascii="宋体" w:hAnsi="宋体" w:cs="宋体"/>
          <w:szCs w:val="21"/>
        </w:rPr>
        <w:t>6、甲方与乙方在投标及履行合同过程中，必须遵守《中华人民共和国反不正当竞争法》、《中华人民共和国消费者权益保护法》、《中华人民共和国合同法》及相关的国家法律、法规，如有违法行为，按法律法规相关规定予以处罚。</w:t>
      </w:r>
    </w:p>
    <w:p w14:paraId="4D922280">
      <w:pPr>
        <w:spacing w:line="520" w:lineRule="exact"/>
        <w:ind w:firstLine="210" w:firstLineChars="100"/>
        <w:rPr>
          <w:rFonts w:ascii="宋体" w:hAnsi="宋体" w:cs="宋体"/>
          <w:szCs w:val="21"/>
        </w:rPr>
      </w:pPr>
      <w:r>
        <w:rPr>
          <w:rFonts w:hint="eastAsia" w:ascii="宋体" w:hAnsi="宋体" w:cs="宋体"/>
          <w:szCs w:val="21"/>
        </w:rPr>
        <w:t>7、乙方须随时无条件接受舟山市有关监督部门对定点供货产品质量，价格等的抽查和检查，如因食材质量安全问题被政府有关部门或媒体曝光，甲方有权提前解除本合同，同时保留追究乙方责任的权利。</w:t>
      </w:r>
    </w:p>
    <w:p w14:paraId="451ACA41">
      <w:pPr>
        <w:spacing w:line="360" w:lineRule="auto"/>
        <w:ind w:firstLine="344" w:firstLineChars="164"/>
        <w:rPr>
          <w:rFonts w:ascii="宋体" w:hAnsi="宋体" w:cs="宋体"/>
          <w:szCs w:val="21"/>
        </w:rPr>
      </w:pPr>
      <w:r>
        <w:rPr>
          <w:rFonts w:hint="eastAsia" w:ascii="宋体" w:hAnsi="宋体" w:cs="宋体"/>
          <w:szCs w:val="21"/>
        </w:rPr>
        <w:t>8、在合同履行过程中，如乙方可以提供更优的服务解决方案，则以乙方的方案为准。</w:t>
      </w:r>
    </w:p>
    <w:p w14:paraId="36C078D1">
      <w:pPr>
        <w:spacing w:line="360" w:lineRule="auto"/>
        <w:ind w:firstLine="344" w:firstLineChars="164"/>
        <w:rPr>
          <w:rFonts w:ascii="宋体" w:hAnsi="宋体" w:cs="宋体"/>
          <w:szCs w:val="21"/>
        </w:rPr>
      </w:pPr>
      <w:r>
        <w:rPr>
          <w:rFonts w:hint="eastAsia" w:ascii="宋体" w:hAnsi="宋体" w:cs="宋体"/>
          <w:szCs w:val="21"/>
        </w:rPr>
        <w:t>9、乙方要有立足于为甲方服务的良好思想，对食品生产经营管理有总体设想和措施，有健全的规章制度。如：人事管理工作、安全防患、卫生保障、文明服务、食品来源安全追溯等制度。</w:t>
      </w:r>
    </w:p>
    <w:p w14:paraId="5EB99D0D">
      <w:pPr>
        <w:spacing w:line="360" w:lineRule="auto"/>
        <w:ind w:firstLine="344" w:firstLineChars="164"/>
        <w:rPr>
          <w:rFonts w:ascii="宋体" w:hAnsi="宋体" w:cs="宋体"/>
          <w:szCs w:val="21"/>
        </w:rPr>
      </w:pPr>
      <w:r>
        <w:rPr>
          <w:rFonts w:hint="eastAsia" w:ascii="宋体" w:hAnsi="宋体" w:cs="宋体"/>
          <w:szCs w:val="21"/>
        </w:rPr>
        <w:t>10、乙方必须建立并严格执行各项食品安全管理制度，如食品卫生安全承诺、食品准入质量查验、食品进货检查验收、食品准入台帐登记、从业人员健康管理、消费投诉处理以及不合格食品下柜、召回、销毁等，参与食品配送的工作人员必须持健康证上岗。</w:t>
      </w:r>
    </w:p>
    <w:p w14:paraId="293853FB">
      <w:pPr>
        <w:spacing w:line="360" w:lineRule="auto"/>
        <w:ind w:firstLine="344" w:firstLineChars="164"/>
        <w:rPr>
          <w:rFonts w:ascii="宋体" w:hAnsi="宋体" w:cs="宋体"/>
          <w:szCs w:val="21"/>
        </w:rPr>
      </w:pPr>
      <w:r>
        <w:rPr>
          <w:rFonts w:hint="eastAsia" w:ascii="宋体" w:hAnsi="宋体" w:cs="宋体"/>
          <w:szCs w:val="21"/>
        </w:rPr>
        <w:t>11、乙方必须按规定索取所经销食品的生产企业（或供货商）的营业执照、食品经营许可证、食品质量安全有效检验报告、食品包装上所明示的各类荣誉证书等其他有效证明，索证率达100%，建立食品来源安全追溯制度。</w:t>
      </w:r>
    </w:p>
    <w:p w14:paraId="1658EA4D">
      <w:pPr>
        <w:spacing w:line="360" w:lineRule="auto"/>
        <w:ind w:firstLine="344" w:firstLineChars="164"/>
        <w:rPr>
          <w:rFonts w:ascii="宋体" w:hAnsi="宋体" w:cs="宋体"/>
          <w:szCs w:val="21"/>
        </w:rPr>
      </w:pPr>
      <w:r>
        <w:rPr>
          <w:rFonts w:hint="eastAsia" w:ascii="宋体" w:hAnsi="宋体" w:cs="宋体"/>
          <w:szCs w:val="21"/>
        </w:rPr>
        <w:t>12、乙方必须保证配送的食品从正规渠道采购，具有工商、质监及卫生部门认可的检验合格证书或检测报告；严禁销售“三无”食品、有毒有害、过期变质、假冒伪劣等不合格食品。</w:t>
      </w:r>
    </w:p>
    <w:p w14:paraId="5E009901">
      <w:pPr>
        <w:spacing w:line="360" w:lineRule="auto"/>
        <w:ind w:firstLine="344" w:firstLineChars="164"/>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3</w:t>
      </w:r>
      <w:r>
        <w:rPr>
          <w:rFonts w:hint="eastAsia" w:ascii="宋体" w:hAnsi="宋体" w:cs="宋体"/>
          <w:szCs w:val="21"/>
        </w:rPr>
        <w:t>、乙方要加强自律、诚实守信、依法经营，并自觉接受各有关职能部门的监督检查。</w:t>
      </w:r>
    </w:p>
    <w:p w14:paraId="421ED94B">
      <w:pPr>
        <w:spacing w:line="360" w:lineRule="auto"/>
        <w:ind w:firstLine="344" w:firstLineChars="164"/>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4</w:t>
      </w:r>
      <w:r>
        <w:rPr>
          <w:rFonts w:hint="eastAsia" w:ascii="宋体" w:hAnsi="宋体" w:cs="宋体"/>
          <w:szCs w:val="21"/>
        </w:rPr>
        <w:t>、乙方应当按照合同约定履行义务，完成中标项目。</w:t>
      </w:r>
    </w:p>
    <w:p w14:paraId="724F4C32">
      <w:pPr>
        <w:spacing w:line="360" w:lineRule="auto"/>
        <w:ind w:firstLine="344" w:firstLineChars="164"/>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5</w:t>
      </w:r>
      <w:r>
        <w:rPr>
          <w:rFonts w:hint="eastAsia" w:ascii="宋体" w:hAnsi="宋体" w:cs="宋体"/>
          <w:szCs w:val="21"/>
        </w:rPr>
        <w:t>、实行配送单位退出制度。凡有下列情况之一的，甲方可无条件取消乙方统一配送资格：</w:t>
      </w:r>
    </w:p>
    <w:p w14:paraId="04B22F05">
      <w:pPr>
        <w:widowControl/>
        <w:adjustRightInd w:val="0"/>
        <w:snapToGrid w:val="0"/>
        <w:spacing w:line="360" w:lineRule="auto"/>
        <w:ind w:firstLine="464" w:firstLineChars="221"/>
        <w:jc w:val="left"/>
        <w:rPr>
          <w:rFonts w:ascii="宋体" w:hAnsi="宋体" w:cs="宋体"/>
          <w:szCs w:val="21"/>
        </w:rPr>
      </w:pPr>
      <w:r>
        <w:rPr>
          <w:rFonts w:hint="eastAsia" w:ascii="宋体" w:hAnsi="宋体" w:cs="宋体"/>
          <w:szCs w:val="21"/>
        </w:rPr>
        <w:t>（</w:t>
      </w:r>
      <w:r>
        <w:rPr>
          <w:rFonts w:ascii="宋体" w:hAnsi="宋体" w:cs="宋体"/>
          <w:szCs w:val="21"/>
        </w:rPr>
        <w:t>1</w:t>
      </w:r>
      <w:r>
        <w:rPr>
          <w:rFonts w:hint="eastAsia" w:ascii="宋体" w:hAnsi="宋体" w:cs="宋体"/>
          <w:szCs w:val="21"/>
        </w:rPr>
        <w:t>）因配送食品质量问题引发重大食品安全事故；</w:t>
      </w:r>
    </w:p>
    <w:p w14:paraId="31D0688D">
      <w:pPr>
        <w:widowControl/>
        <w:adjustRightInd w:val="0"/>
        <w:snapToGrid w:val="0"/>
        <w:spacing w:line="360" w:lineRule="auto"/>
        <w:ind w:firstLine="464" w:firstLineChars="221"/>
        <w:jc w:val="left"/>
        <w:rPr>
          <w:rFonts w:ascii="宋体" w:hAnsi="宋体" w:cs="宋体"/>
          <w:szCs w:val="21"/>
        </w:rPr>
      </w:pPr>
      <w:r>
        <w:rPr>
          <w:rFonts w:hint="eastAsia" w:ascii="宋体" w:hAnsi="宋体" w:cs="宋体"/>
          <w:szCs w:val="21"/>
        </w:rPr>
        <w:t>（2）配送单位存在严重安全隐患整改不到位；</w:t>
      </w:r>
    </w:p>
    <w:p w14:paraId="2EDE98A5">
      <w:pPr>
        <w:widowControl/>
        <w:adjustRightInd w:val="0"/>
        <w:snapToGrid w:val="0"/>
        <w:spacing w:line="360" w:lineRule="auto"/>
        <w:ind w:firstLine="464" w:firstLineChars="221"/>
        <w:jc w:val="left"/>
        <w:rPr>
          <w:rFonts w:ascii="宋体" w:hAnsi="宋体" w:cs="宋体"/>
          <w:szCs w:val="21"/>
        </w:rPr>
      </w:pPr>
      <w:r>
        <w:rPr>
          <w:rFonts w:hint="eastAsia" w:ascii="宋体" w:hAnsi="宋体" w:cs="宋体"/>
          <w:szCs w:val="21"/>
        </w:rPr>
        <w:t>（3）因配送单位主观原因配送假冒伪劣食品行为两次以上</w:t>
      </w:r>
      <w:r>
        <w:rPr>
          <w:rFonts w:ascii="宋体" w:hAnsi="宋体" w:cs="宋体"/>
          <w:szCs w:val="21"/>
        </w:rPr>
        <w:t>(</w:t>
      </w:r>
      <w:r>
        <w:rPr>
          <w:rFonts w:hint="eastAsia" w:ascii="宋体" w:hAnsi="宋体" w:cs="宋体"/>
          <w:szCs w:val="21"/>
        </w:rPr>
        <w:t>含两次</w:t>
      </w:r>
      <w:r>
        <w:rPr>
          <w:rFonts w:ascii="宋体" w:hAnsi="宋体" w:cs="宋体"/>
          <w:szCs w:val="21"/>
        </w:rPr>
        <w:t>)</w:t>
      </w:r>
      <w:r>
        <w:rPr>
          <w:rFonts w:hint="eastAsia" w:ascii="宋体" w:hAnsi="宋体" w:cs="宋体"/>
          <w:szCs w:val="21"/>
        </w:rPr>
        <w:t>的；</w:t>
      </w:r>
    </w:p>
    <w:p w14:paraId="102A465F">
      <w:pPr>
        <w:widowControl/>
        <w:adjustRightInd w:val="0"/>
        <w:snapToGrid w:val="0"/>
        <w:spacing w:line="360" w:lineRule="auto"/>
        <w:ind w:firstLine="464" w:firstLineChars="221"/>
        <w:jc w:val="left"/>
        <w:rPr>
          <w:rFonts w:ascii="宋体" w:hAnsi="宋体" w:cs="宋体"/>
          <w:szCs w:val="21"/>
        </w:rPr>
      </w:pPr>
      <w:r>
        <w:rPr>
          <w:rFonts w:hint="eastAsia" w:ascii="宋体" w:hAnsi="宋体" w:cs="宋体"/>
          <w:szCs w:val="21"/>
        </w:rPr>
        <w:t>（4）因存在不廉洁行为等造成不良社会影响的。</w:t>
      </w:r>
    </w:p>
    <w:p w14:paraId="56A93C83">
      <w:pPr>
        <w:spacing w:line="360" w:lineRule="auto"/>
        <w:ind w:firstLine="344" w:firstLineChars="164"/>
        <w:rPr>
          <w:rFonts w:hint="eastAsia" w:ascii="宋体" w:hAnsi="宋体" w:cs="宋体"/>
          <w:szCs w:val="21"/>
        </w:rPr>
      </w:pPr>
      <w:r>
        <w:rPr>
          <w:rFonts w:hint="eastAsia" w:ascii="宋体" w:hAnsi="宋体" w:cs="宋体"/>
          <w:szCs w:val="21"/>
          <w:lang w:val="en-US" w:eastAsia="zh-CN"/>
        </w:rPr>
        <w:t>16</w:t>
      </w:r>
      <w:r>
        <w:rPr>
          <w:rFonts w:hint="eastAsia" w:ascii="宋体" w:hAnsi="宋体" w:cs="宋体"/>
          <w:szCs w:val="21"/>
        </w:rPr>
        <w:t>、甲方不保证乙方的销量或营业额。</w:t>
      </w:r>
    </w:p>
    <w:p w14:paraId="36631F81">
      <w:pPr>
        <w:tabs>
          <w:tab w:val="left" w:pos="0"/>
        </w:tabs>
        <w:spacing w:line="360" w:lineRule="auto"/>
        <w:ind w:firstLine="420"/>
        <w:rPr>
          <w:rFonts w:ascii="宋体" w:hAnsi="宋体" w:cs="宋体"/>
          <w:szCs w:val="21"/>
        </w:rPr>
      </w:pPr>
      <w:r>
        <w:rPr>
          <w:rFonts w:hint="eastAsia" w:ascii="宋体" w:hAnsi="宋体" w:cs="宋体"/>
          <w:szCs w:val="21"/>
          <w:lang w:val="en-US" w:eastAsia="zh-CN"/>
        </w:rPr>
        <w:t>六</w:t>
      </w:r>
      <w:r>
        <w:rPr>
          <w:rFonts w:ascii="宋体" w:hAnsi="宋体" w:cs="宋体"/>
          <w:szCs w:val="21"/>
        </w:rPr>
        <w:t>、</w:t>
      </w:r>
      <w:r>
        <w:rPr>
          <w:rFonts w:hint="eastAsia" w:ascii="宋体" w:hAnsi="宋体" w:cs="宋体"/>
          <w:szCs w:val="21"/>
        </w:rPr>
        <w:t>结算货款及方式</w:t>
      </w:r>
      <w:r>
        <w:rPr>
          <w:rFonts w:ascii="宋体" w:hAnsi="宋体" w:cs="宋体"/>
          <w:szCs w:val="21"/>
        </w:rPr>
        <w:t>：</w:t>
      </w:r>
    </w:p>
    <w:p w14:paraId="7394BFEB">
      <w:pPr>
        <w:tabs>
          <w:tab w:val="left" w:pos="0"/>
        </w:tabs>
        <w:spacing w:line="360" w:lineRule="auto"/>
        <w:ind w:firstLine="420"/>
        <w:rPr>
          <w:rFonts w:hint="eastAsia" w:ascii="宋体" w:hAnsi="宋体" w:cs="宋体"/>
          <w:szCs w:val="21"/>
        </w:rPr>
      </w:pPr>
      <w:r>
        <w:rPr>
          <w:rFonts w:hint="eastAsia" w:ascii="宋体" w:hAnsi="宋体" w:cs="宋体"/>
          <w:szCs w:val="21"/>
        </w:rPr>
        <w:t>中标单位在合同签履约合格后，每年3月、10月提交相关佐证资料，发包单位委托第三方审计机构进行审计，依据审计报告结果补贴各项费用，主要补贴项目为海岛户籍居民（含申请备案的政府机构、国有企业）下单的配送费、打包费、物料费等，具体事项合同内注明。</w:t>
      </w:r>
    </w:p>
    <w:p w14:paraId="5FE8CA60">
      <w:pPr>
        <w:tabs>
          <w:tab w:val="left" w:pos="0"/>
        </w:tabs>
        <w:spacing w:line="360" w:lineRule="auto"/>
        <w:ind w:firstLine="420"/>
        <w:rPr>
          <w:rFonts w:ascii="宋体" w:hAnsi="宋体" w:cs="宋体"/>
          <w:szCs w:val="21"/>
        </w:rPr>
      </w:pPr>
      <w:r>
        <w:rPr>
          <w:rFonts w:hint="eastAsia" w:ascii="宋体" w:hAnsi="宋体" w:cs="宋体"/>
          <w:szCs w:val="21"/>
        </w:rPr>
        <w:t>注：付款前中标人须提供正式税务发票。如由于中标人未能及时提供发票导致采购人未按时付款的，由中标人承担责任。以上款项在财政资金到位后支付。</w:t>
      </w:r>
    </w:p>
    <w:p w14:paraId="6546C88E">
      <w:pPr>
        <w:spacing w:line="360" w:lineRule="auto"/>
        <w:ind w:firstLine="392" w:firstLineChars="187"/>
        <w:rPr>
          <w:rFonts w:ascii="宋体" w:hAnsi="宋体" w:cs="宋体"/>
          <w:szCs w:val="21"/>
        </w:rPr>
      </w:pPr>
      <w:r>
        <w:rPr>
          <w:rFonts w:hint="eastAsia" w:ascii="宋体" w:hAnsi="宋体" w:cs="宋体"/>
          <w:szCs w:val="21"/>
          <w:lang w:val="en-US" w:eastAsia="zh-CN"/>
        </w:rPr>
        <w:t>七、</w:t>
      </w:r>
      <w:r>
        <w:rPr>
          <w:rFonts w:ascii="宋体" w:hAnsi="宋体" w:cs="宋体"/>
          <w:szCs w:val="21"/>
        </w:rPr>
        <w:t>违约责任：</w:t>
      </w:r>
    </w:p>
    <w:p w14:paraId="4965A298">
      <w:pPr>
        <w:spacing w:line="360" w:lineRule="auto"/>
        <w:ind w:firstLine="420" w:firstLineChars="200"/>
        <w:rPr>
          <w:rFonts w:hint="eastAsia" w:ascii="宋体" w:hAnsi="宋体" w:cs="宋体"/>
          <w:szCs w:val="21"/>
          <w:lang w:eastAsia="zh-CN"/>
        </w:rPr>
      </w:pPr>
      <w:r>
        <w:rPr>
          <w:rFonts w:hint="eastAsia" w:ascii="宋体" w:hAnsi="宋体" w:cs="宋体"/>
          <w:szCs w:val="21"/>
          <w:lang w:val="en-US" w:eastAsia="zh-CN"/>
        </w:rPr>
        <w:t>1</w:t>
      </w:r>
      <w:r>
        <w:rPr>
          <w:rFonts w:hint="eastAsia" w:ascii="宋体" w:hAnsi="宋体" w:cs="宋体"/>
          <w:szCs w:val="21"/>
        </w:rPr>
        <w:t>.质量违约：若所供食材出现以次充好、变质等问题时，应要求乙方及时予以更换。如乙方存在主观故意、不予更换的，第一次扣除当日货款的5%；第二次扣除本周货款的5%；第三次扣除当月货款的5%，并立即解除合同，如因食材质量不达标引起的食物中毒，给甲方造成的一切损失均由乙方负全责，并追究其法律责任</w:t>
      </w:r>
      <w:r>
        <w:rPr>
          <w:rFonts w:hint="eastAsia" w:ascii="宋体" w:hAnsi="宋体" w:cs="宋体"/>
          <w:szCs w:val="21"/>
          <w:lang w:eastAsia="zh-CN"/>
        </w:rPr>
        <w:t>。</w:t>
      </w:r>
    </w:p>
    <w:p w14:paraId="7F732AEE">
      <w:pPr>
        <w:spacing w:line="360" w:lineRule="auto"/>
        <w:ind w:firstLine="420" w:firstLineChars="200"/>
        <w:rPr>
          <w:rFonts w:hint="eastAsia" w:ascii="宋体" w:hAnsi="宋体" w:cs="宋体"/>
          <w:szCs w:val="21"/>
        </w:rPr>
      </w:pPr>
      <w:r>
        <w:rPr>
          <w:rFonts w:hint="eastAsia" w:ascii="宋体" w:hAnsi="宋体" w:cs="宋体"/>
          <w:szCs w:val="21"/>
          <w:lang w:val="en-US" w:eastAsia="zh-CN"/>
        </w:rPr>
        <w:t>2</w:t>
      </w:r>
      <w:r>
        <w:rPr>
          <w:rFonts w:hint="eastAsia" w:ascii="宋体" w:hAnsi="宋体" w:cs="宋体"/>
          <w:szCs w:val="21"/>
        </w:rPr>
        <w:t>.服务违约：若甲方未按时送达指定地点，影响伙食保障工作正常开展，则扣除当月货款的5%，并立即解除合同。</w:t>
      </w:r>
    </w:p>
    <w:p w14:paraId="56BDF575">
      <w:pPr>
        <w:tabs>
          <w:tab w:val="left" w:pos="0"/>
        </w:tabs>
        <w:spacing w:line="360" w:lineRule="auto"/>
        <w:ind w:firstLine="420"/>
        <w:rPr>
          <w:rFonts w:ascii="宋体" w:hAnsi="宋体" w:cs="宋体"/>
          <w:szCs w:val="21"/>
        </w:rPr>
      </w:pPr>
      <w:r>
        <w:rPr>
          <w:rFonts w:hint="eastAsia" w:ascii="宋体" w:hAnsi="宋体" w:cs="宋体"/>
          <w:szCs w:val="21"/>
          <w:lang w:val="en-US" w:eastAsia="zh-CN"/>
        </w:rPr>
        <w:t>八</w:t>
      </w:r>
      <w:r>
        <w:rPr>
          <w:rFonts w:ascii="宋体" w:hAnsi="宋体" w:cs="宋体"/>
          <w:szCs w:val="21"/>
        </w:rPr>
        <w:t>、</w:t>
      </w:r>
      <w:r>
        <w:rPr>
          <w:rFonts w:hint="eastAsia" w:ascii="宋体" w:hAnsi="宋体" w:cs="宋体"/>
          <w:szCs w:val="21"/>
        </w:rPr>
        <w:t>本合同未尽事宜《中华人民共和国</w:t>
      </w:r>
      <w:r>
        <w:rPr>
          <w:rFonts w:hint="eastAsia" w:ascii="宋体" w:hAnsi="宋体" w:cs="宋体"/>
          <w:szCs w:val="21"/>
          <w:lang w:val="en-US" w:eastAsia="zh-CN"/>
        </w:rPr>
        <w:t>民法典</w:t>
      </w:r>
      <w:r>
        <w:rPr>
          <w:rFonts w:hint="eastAsia" w:ascii="宋体" w:hAnsi="宋体" w:cs="宋体"/>
          <w:szCs w:val="21"/>
        </w:rPr>
        <w:t>》和相关规定办理。</w:t>
      </w:r>
    </w:p>
    <w:p w14:paraId="5C55B85A">
      <w:pPr>
        <w:tabs>
          <w:tab w:val="left" w:pos="0"/>
        </w:tabs>
        <w:spacing w:line="360" w:lineRule="auto"/>
        <w:ind w:firstLine="420"/>
        <w:rPr>
          <w:rFonts w:ascii="宋体" w:hAnsi="宋体" w:cs="宋体"/>
          <w:szCs w:val="21"/>
        </w:rPr>
      </w:pPr>
      <w:r>
        <w:rPr>
          <w:rFonts w:hint="eastAsia" w:ascii="宋体" w:hAnsi="宋体" w:cs="宋体"/>
          <w:szCs w:val="21"/>
          <w:lang w:val="en-US" w:eastAsia="zh-CN"/>
        </w:rPr>
        <w:t>九</w:t>
      </w:r>
      <w:r>
        <w:rPr>
          <w:rFonts w:hint="eastAsia" w:ascii="宋体" w:hAnsi="宋体" w:cs="宋体"/>
          <w:szCs w:val="21"/>
        </w:rPr>
        <w:t>、本协议一式肆份、双</w:t>
      </w:r>
      <w:r>
        <w:rPr>
          <w:rFonts w:ascii="宋体" w:hAnsi="宋体" w:cs="宋体"/>
          <w:szCs w:val="21"/>
        </w:rPr>
        <w:t>方各执二份</w:t>
      </w:r>
      <w:r>
        <w:rPr>
          <w:rFonts w:hint="eastAsia" w:ascii="宋体" w:hAnsi="宋体" w:cs="宋体"/>
          <w:szCs w:val="21"/>
        </w:rPr>
        <w:t>，</w:t>
      </w:r>
      <w:r>
        <w:rPr>
          <w:rFonts w:ascii="宋体" w:hAnsi="宋体" w:cs="宋体"/>
          <w:szCs w:val="21"/>
        </w:rPr>
        <w:t>签字盖章后生效。</w:t>
      </w:r>
    </w:p>
    <w:p w14:paraId="5283F840">
      <w:pPr>
        <w:tabs>
          <w:tab w:val="left" w:pos="7740"/>
        </w:tabs>
        <w:spacing w:line="360" w:lineRule="auto"/>
        <w:jc w:val="left"/>
        <w:rPr>
          <w:rFonts w:hint="eastAsia" w:ascii="宋体" w:hAnsi="宋体" w:cs="宋体"/>
          <w:szCs w:val="21"/>
        </w:rPr>
      </w:pPr>
    </w:p>
    <w:p w14:paraId="7149EA1E">
      <w:pPr>
        <w:tabs>
          <w:tab w:val="left" w:pos="7740"/>
        </w:tabs>
        <w:spacing w:line="360" w:lineRule="auto"/>
        <w:jc w:val="left"/>
        <w:rPr>
          <w:rFonts w:hint="eastAsia" w:ascii="宋体" w:hAnsi="宋体" w:cs="宋体"/>
          <w:szCs w:val="21"/>
        </w:rPr>
      </w:pPr>
    </w:p>
    <w:p w14:paraId="603AEFF0">
      <w:pPr>
        <w:tabs>
          <w:tab w:val="left" w:pos="7740"/>
        </w:tabs>
        <w:spacing w:line="360" w:lineRule="auto"/>
        <w:jc w:val="left"/>
        <w:rPr>
          <w:rFonts w:hint="eastAsia" w:ascii="宋体" w:hAnsi="宋体" w:cs="宋体"/>
          <w:szCs w:val="21"/>
        </w:rPr>
      </w:pPr>
    </w:p>
    <w:p w14:paraId="10406B4E">
      <w:pPr>
        <w:snapToGrid w:val="0"/>
        <w:spacing w:line="360" w:lineRule="auto"/>
        <w:rPr>
          <w:rFonts w:hint="eastAsia" w:ascii="宋体" w:hAnsi="宋体" w:cs="宋体"/>
          <w:szCs w:val="21"/>
        </w:rPr>
      </w:pPr>
      <w:r>
        <w:rPr>
          <w:rFonts w:hint="eastAsia" w:ascii="宋体" w:hAnsi="宋体" w:cs="宋体"/>
          <w:szCs w:val="21"/>
        </w:rPr>
        <w:t xml:space="preserve">甲方：                                         乙方： </w:t>
      </w:r>
    </w:p>
    <w:p w14:paraId="5C186947">
      <w:pPr>
        <w:snapToGrid w:val="0"/>
        <w:spacing w:line="360" w:lineRule="auto"/>
        <w:rPr>
          <w:rFonts w:hint="eastAsia" w:ascii="宋体" w:hAnsi="宋体" w:cs="宋体"/>
          <w:szCs w:val="21"/>
        </w:rPr>
      </w:pPr>
      <w:r>
        <w:rPr>
          <w:rFonts w:hint="eastAsia" w:ascii="宋体" w:hAnsi="宋体" w:cs="宋体"/>
          <w:szCs w:val="21"/>
        </w:rPr>
        <w:t xml:space="preserve">地址：                                         地址： </w:t>
      </w:r>
    </w:p>
    <w:p w14:paraId="6EAA1621">
      <w:pPr>
        <w:snapToGrid w:val="0"/>
        <w:spacing w:line="360" w:lineRule="auto"/>
        <w:rPr>
          <w:rFonts w:hint="eastAsia" w:ascii="宋体" w:hAnsi="宋体" w:cs="宋体"/>
          <w:szCs w:val="21"/>
        </w:rPr>
      </w:pPr>
      <w:r>
        <w:rPr>
          <w:rFonts w:hint="eastAsia" w:ascii="宋体" w:hAnsi="宋体" w:cs="宋体"/>
          <w:szCs w:val="21"/>
        </w:rPr>
        <w:t>法定（授权）代表人：                           法定（授权）代表人：</w:t>
      </w:r>
    </w:p>
    <w:p w14:paraId="078445FC">
      <w:pPr>
        <w:snapToGrid w:val="0"/>
        <w:spacing w:line="360" w:lineRule="auto"/>
        <w:rPr>
          <w:rFonts w:hint="eastAsia" w:ascii="宋体" w:hAnsi="宋体" w:cs="宋体"/>
          <w:szCs w:val="21"/>
        </w:rPr>
      </w:pPr>
      <w:r>
        <w:rPr>
          <w:rFonts w:hint="eastAsia" w:ascii="宋体" w:hAnsi="宋体" w:cs="宋体"/>
          <w:szCs w:val="21"/>
        </w:rPr>
        <w:t>签字日期：      年  月  日                     签字日期：      年  月  日</w:t>
      </w:r>
    </w:p>
    <w:p w14:paraId="31E1D026">
      <w:pPr>
        <w:snapToGrid w:val="0"/>
        <w:spacing w:line="360" w:lineRule="auto"/>
        <w:rPr>
          <w:rFonts w:hint="eastAsia" w:ascii="宋体" w:hAnsi="宋体" w:cs="宋体"/>
          <w:szCs w:val="21"/>
        </w:rPr>
      </w:pPr>
      <w:r>
        <w:rPr>
          <w:rFonts w:hint="eastAsia" w:ascii="宋体" w:hAnsi="宋体" w:cs="宋体"/>
          <w:szCs w:val="21"/>
        </w:rPr>
        <w:t xml:space="preserve">电    话：                                     电    话： </w:t>
      </w:r>
    </w:p>
    <w:p w14:paraId="2F89D596">
      <w:pPr>
        <w:snapToGrid w:val="0"/>
        <w:spacing w:line="360" w:lineRule="auto"/>
        <w:rPr>
          <w:rFonts w:hint="eastAsia" w:ascii="宋体" w:hAnsi="宋体" w:cs="宋体"/>
          <w:szCs w:val="21"/>
        </w:rPr>
      </w:pPr>
      <w:r>
        <w:rPr>
          <w:rFonts w:hint="eastAsia" w:ascii="宋体" w:hAnsi="宋体" w:cs="宋体"/>
          <w:szCs w:val="21"/>
        </w:rPr>
        <w:t>传    真：                                     传    真：</w:t>
      </w:r>
    </w:p>
    <w:p w14:paraId="2735069B">
      <w:pPr>
        <w:snapToGrid w:val="0"/>
        <w:spacing w:line="360" w:lineRule="auto"/>
        <w:rPr>
          <w:rFonts w:hint="eastAsia" w:ascii="宋体" w:hAnsi="宋体" w:cs="宋体"/>
          <w:szCs w:val="21"/>
        </w:rPr>
      </w:pPr>
      <w:r>
        <w:rPr>
          <w:rFonts w:hint="eastAsia" w:ascii="宋体" w:hAnsi="宋体" w:cs="宋体"/>
          <w:szCs w:val="21"/>
        </w:rPr>
        <w:t xml:space="preserve">开户银行：                                     开户银行：       </w:t>
      </w:r>
    </w:p>
    <w:p w14:paraId="178A6313">
      <w:pPr>
        <w:snapToGrid w:val="0"/>
        <w:spacing w:line="360" w:lineRule="auto"/>
        <w:rPr>
          <w:rFonts w:hint="eastAsia" w:ascii="宋体" w:hAnsi="宋体" w:cs="宋体"/>
          <w:szCs w:val="21"/>
        </w:rPr>
      </w:pPr>
      <w:r>
        <w:rPr>
          <w:rFonts w:hint="eastAsia" w:ascii="宋体" w:hAnsi="宋体" w:cs="宋体"/>
          <w:szCs w:val="21"/>
        </w:rPr>
        <w:t>账    号：                                     账    号：</w:t>
      </w:r>
    </w:p>
    <w:p w14:paraId="7D4DDEB7">
      <w:pPr>
        <w:spacing w:line="360" w:lineRule="auto"/>
        <w:jc w:val="center"/>
        <w:rPr>
          <w:rFonts w:hint="eastAsia" w:ascii="宋体" w:hAnsi="宋体" w:cs="宋体"/>
          <w:b/>
          <w:kern w:val="0"/>
          <w:sz w:val="24"/>
        </w:rPr>
      </w:pPr>
    </w:p>
    <w:p w14:paraId="67D71874">
      <w:pPr>
        <w:rPr>
          <w:rFonts w:ascii="宋体" w:hAnsi="宋体" w:cs="宋体"/>
          <w:sz w:val="24"/>
        </w:rPr>
      </w:pPr>
    </w:p>
    <w:p w14:paraId="073885AA">
      <w:pPr>
        <w:rPr>
          <w:rFonts w:ascii="宋体" w:hAnsi="宋体" w:cs="宋体"/>
          <w:sz w:val="24"/>
        </w:rPr>
      </w:pPr>
    </w:p>
    <w:p w14:paraId="351BC081">
      <w:pPr>
        <w:pStyle w:val="22"/>
        <w:snapToGrid w:val="0"/>
        <w:spacing w:before="120" w:after="120" w:line="360" w:lineRule="auto"/>
        <w:ind w:firstLine="602" w:firstLineChars="200"/>
        <w:jc w:val="center"/>
        <w:outlineLvl w:val="0"/>
        <w:rPr>
          <w:rFonts w:hint="eastAsia" w:hAnsi="宋体" w:eastAsia="宋体" w:cs="宋体"/>
          <w:b/>
          <w:szCs w:val="30"/>
        </w:rPr>
      </w:pPr>
    </w:p>
    <w:p w14:paraId="5D34F275">
      <w:pPr>
        <w:pStyle w:val="22"/>
        <w:snapToGrid w:val="0"/>
        <w:spacing w:before="120" w:after="120" w:line="360" w:lineRule="auto"/>
        <w:ind w:firstLine="602" w:firstLineChars="200"/>
        <w:jc w:val="center"/>
        <w:outlineLvl w:val="0"/>
        <w:rPr>
          <w:rFonts w:hint="eastAsia" w:hAnsi="宋体" w:eastAsia="宋体" w:cs="宋体"/>
          <w:b/>
          <w:szCs w:val="30"/>
        </w:rPr>
      </w:pPr>
    </w:p>
    <w:p w14:paraId="6504A7E5">
      <w:pPr>
        <w:pStyle w:val="22"/>
        <w:snapToGrid w:val="0"/>
        <w:spacing w:before="120" w:after="120" w:line="360" w:lineRule="auto"/>
        <w:ind w:firstLine="602" w:firstLineChars="200"/>
        <w:jc w:val="center"/>
        <w:outlineLvl w:val="0"/>
        <w:rPr>
          <w:rFonts w:hint="eastAsia" w:hAnsi="宋体" w:eastAsia="宋体" w:cs="宋体"/>
          <w:b/>
          <w:szCs w:val="30"/>
        </w:rPr>
      </w:pPr>
    </w:p>
    <w:p w14:paraId="76B5E23F">
      <w:pPr>
        <w:pStyle w:val="22"/>
        <w:snapToGrid w:val="0"/>
        <w:spacing w:before="120" w:after="120" w:line="360" w:lineRule="auto"/>
        <w:ind w:firstLine="602" w:firstLineChars="200"/>
        <w:jc w:val="center"/>
        <w:outlineLvl w:val="0"/>
        <w:rPr>
          <w:rFonts w:hint="eastAsia" w:hAnsi="宋体" w:eastAsia="宋体" w:cs="宋体"/>
          <w:b/>
          <w:szCs w:val="30"/>
        </w:rPr>
      </w:pPr>
    </w:p>
    <w:p w14:paraId="74017257">
      <w:pPr>
        <w:rPr>
          <w:rFonts w:hint="eastAsia" w:hAnsi="宋体" w:eastAsia="宋体" w:cs="宋体"/>
          <w:b/>
          <w:szCs w:val="30"/>
        </w:rPr>
      </w:pPr>
    </w:p>
    <w:p w14:paraId="2764C691">
      <w:pPr>
        <w:pStyle w:val="2"/>
        <w:rPr>
          <w:rFonts w:hint="eastAsia" w:hAnsi="宋体" w:eastAsia="宋体" w:cs="宋体"/>
          <w:b/>
          <w:szCs w:val="30"/>
        </w:rPr>
      </w:pPr>
    </w:p>
    <w:p w14:paraId="31711936">
      <w:pPr>
        <w:rPr>
          <w:rFonts w:hint="eastAsia" w:hAnsi="宋体" w:eastAsia="宋体" w:cs="宋体"/>
          <w:b/>
          <w:szCs w:val="30"/>
        </w:rPr>
      </w:pPr>
    </w:p>
    <w:p w14:paraId="1A7B25C4">
      <w:pPr>
        <w:rPr>
          <w:rFonts w:hint="eastAsia"/>
        </w:rPr>
      </w:pPr>
    </w:p>
    <w:p w14:paraId="02B1B78D">
      <w:pPr>
        <w:pStyle w:val="22"/>
        <w:snapToGrid w:val="0"/>
        <w:spacing w:before="120" w:after="120" w:line="360" w:lineRule="auto"/>
        <w:ind w:firstLine="602" w:firstLineChars="200"/>
        <w:jc w:val="center"/>
        <w:outlineLvl w:val="0"/>
        <w:rPr>
          <w:rFonts w:hAnsi="宋体" w:eastAsia="宋体" w:cs="宋体"/>
          <w:b/>
          <w:szCs w:val="30"/>
        </w:rPr>
      </w:pPr>
      <w:r>
        <w:rPr>
          <w:rFonts w:hint="eastAsia" w:hAnsi="宋体" w:eastAsia="宋体" w:cs="宋体"/>
          <w:b/>
          <w:szCs w:val="30"/>
        </w:rPr>
        <w:t>第六章　磋商响应文件格式</w:t>
      </w:r>
    </w:p>
    <w:p w14:paraId="2D330456">
      <w:pPr>
        <w:pStyle w:val="22"/>
        <w:spacing w:line="360" w:lineRule="auto"/>
        <w:outlineLvl w:val="1"/>
        <w:rPr>
          <w:rFonts w:hAnsi="宋体" w:eastAsia="宋体" w:cs="宋体"/>
          <w:sz w:val="24"/>
        </w:rPr>
      </w:pPr>
      <w:r>
        <w:rPr>
          <w:rFonts w:hint="eastAsia" w:hAnsi="宋体" w:eastAsia="宋体" w:cs="宋体"/>
          <w:sz w:val="24"/>
        </w:rPr>
        <w:t>说明：</w:t>
      </w:r>
    </w:p>
    <w:p w14:paraId="3BF79E67">
      <w:pPr>
        <w:pStyle w:val="22"/>
        <w:spacing w:line="360" w:lineRule="auto"/>
        <w:outlineLvl w:val="1"/>
        <w:rPr>
          <w:rFonts w:hAnsi="宋体" w:eastAsia="宋体" w:cs="宋体"/>
          <w:sz w:val="24"/>
        </w:rPr>
      </w:pPr>
      <w:r>
        <w:rPr>
          <w:rFonts w:hint="eastAsia" w:hAnsi="宋体" w:eastAsia="宋体" w:cs="宋体"/>
          <w:sz w:val="24"/>
        </w:rPr>
        <w:t>1．磋商响应文件由供应商根据磋商文件要求参照附件格式编制。</w:t>
      </w:r>
    </w:p>
    <w:p w14:paraId="411220B7">
      <w:pPr>
        <w:pStyle w:val="22"/>
        <w:spacing w:line="360" w:lineRule="auto"/>
        <w:outlineLvl w:val="1"/>
        <w:rPr>
          <w:rFonts w:hAnsi="宋体" w:eastAsia="宋体" w:cs="宋体"/>
          <w:sz w:val="24"/>
        </w:rPr>
      </w:pPr>
      <w:r>
        <w:rPr>
          <w:rFonts w:hint="eastAsia" w:hAnsi="宋体" w:eastAsia="宋体" w:cs="宋体"/>
          <w:sz w:val="24"/>
        </w:rPr>
        <w:t>2．供应商根据实际情况填写。</w:t>
      </w:r>
    </w:p>
    <w:p w14:paraId="12E7678C">
      <w:pPr>
        <w:pStyle w:val="22"/>
        <w:snapToGrid w:val="0"/>
        <w:spacing w:before="120" w:after="120" w:line="360" w:lineRule="auto"/>
        <w:outlineLvl w:val="1"/>
        <w:rPr>
          <w:rFonts w:hAnsi="宋体" w:eastAsia="宋体" w:cs="宋体"/>
          <w:sz w:val="24"/>
        </w:rPr>
      </w:pPr>
      <w:r>
        <w:rPr>
          <w:rFonts w:hint="eastAsia" w:hAnsi="宋体" w:eastAsia="宋体" w:cs="宋体"/>
          <w:sz w:val="24"/>
        </w:rPr>
        <w:t>3．磋商文件中没有参考格式的，供应商自行编制。</w:t>
      </w:r>
    </w:p>
    <w:p w14:paraId="0AA1CFA2">
      <w:pPr>
        <w:spacing w:line="360" w:lineRule="auto"/>
        <w:outlineLvl w:val="2"/>
        <w:rPr>
          <w:rFonts w:ascii="宋体" w:hAnsi="宋体" w:cs="宋体"/>
          <w:sz w:val="24"/>
        </w:rPr>
      </w:pPr>
      <w:r>
        <w:rPr>
          <w:rFonts w:hint="eastAsia" w:ascii="宋体" w:hAnsi="宋体" w:cs="宋体"/>
          <w:sz w:val="24"/>
        </w:rPr>
        <w:br w:type="page"/>
      </w:r>
    </w:p>
    <w:p w14:paraId="399AD1E1">
      <w:pPr>
        <w:spacing w:line="360" w:lineRule="auto"/>
        <w:outlineLvl w:val="2"/>
        <w:rPr>
          <w:rFonts w:ascii="宋体" w:hAnsi="宋体" w:cs="宋体"/>
          <w:sz w:val="24"/>
        </w:rPr>
      </w:pPr>
    </w:p>
    <w:p w14:paraId="3585E544">
      <w:pPr>
        <w:spacing w:line="360" w:lineRule="auto"/>
        <w:outlineLvl w:val="2"/>
        <w:rPr>
          <w:rFonts w:ascii="宋体" w:hAnsi="宋体" w:cs="宋体"/>
          <w:sz w:val="24"/>
        </w:rPr>
      </w:pPr>
    </w:p>
    <w:p w14:paraId="0EC988F8">
      <w:pPr>
        <w:spacing w:line="360" w:lineRule="auto"/>
        <w:outlineLvl w:val="2"/>
        <w:rPr>
          <w:rFonts w:ascii="宋体" w:hAnsi="宋体" w:cs="宋体"/>
          <w:b/>
          <w:sz w:val="24"/>
        </w:rPr>
      </w:pPr>
      <w:r>
        <w:rPr>
          <w:rFonts w:hint="eastAsia" w:ascii="宋体" w:hAnsi="宋体" w:cs="宋体"/>
          <w:b/>
          <w:sz w:val="24"/>
        </w:rPr>
        <w:t>一、备份电子投标文件包装封面（格式供参考）</w:t>
      </w:r>
    </w:p>
    <w:p w14:paraId="7457527A">
      <w:pPr>
        <w:autoSpaceDE w:val="0"/>
        <w:autoSpaceDN w:val="0"/>
        <w:adjustRightInd w:val="0"/>
        <w:spacing w:line="360" w:lineRule="auto"/>
        <w:jc w:val="center"/>
        <w:rPr>
          <w:rFonts w:ascii="宋体" w:hAnsi="宋体" w:cs="宋体"/>
          <w:b/>
          <w:sz w:val="24"/>
        </w:rPr>
      </w:pPr>
      <w:bookmarkStart w:id="4" w:name="_Toc297472068"/>
    </w:p>
    <w:p w14:paraId="381B55FE">
      <w:pPr>
        <w:pStyle w:val="15"/>
        <w:rPr>
          <w:rFonts w:ascii="宋体" w:hAnsi="宋体" w:cs="宋体"/>
        </w:rPr>
      </w:pPr>
    </w:p>
    <w:p w14:paraId="5046CC5D">
      <w:pPr>
        <w:pStyle w:val="15"/>
        <w:jc w:val="center"/>
        <w:outlineLvl w:val="3"/>
        <w:rPr>
          <w:rFonts w:ascii="宋体" w:hAnsi="宋体" w:cs="宋体"/>
          <w:b/>
        </w:rPr>
      </w:pPr>
      <w:r>
        <w:rPr>
          <w:rFonts w:hint="eastAsia" w:ascii="宋体" w:hAnsi="宋体" w:cs="宋体"/>
          <w:b/>
        </w:rPr>
        <w:t>项目名称</w:t>
      </w:r>
    </w:p>
    <w:p w14:paraId="277C5808">
      <w:pPr>
        <w:pStyle w:val="15"/>
        <w:rPr>
          <w:rFonts w:ascii="宋体" w:hAnsi="宋体" w:cs="宋体"/>
          <w:b/>
        </w:rPr>
      </w:pPr>
    </w:p>
    <w:p w14:paraId="28087DB6">
      <w:pPr>
        <w:spacing w:line="360" w:lineRule="auto"/>
        <w:jc w:val="center"/>
        <w:outlineLvl w:val="1"/>
        <w:rPr>
          <w:rFonts w:ascii="宋体" w:hAnsi="宋体" w:cs="宋体"/>
          <w:spacing w:val="40"/>
          <w:w w:val="90"/>
          <w:sz w:val="24"/>
        </w:rPr>
      </w:pPr>
      <w:r>
        <w:rPr>
          <w:rFonts w:hint="eastAsia" w:ascii="宋体" w:hAnsi="宋体" w:cs="宋体"/>
          <w:spacing w:val="40"/>
          <w:w w:val="90"/>
          <w:sz w:val="24"/>
        </w:rPr>
        <w:t>备份投标文件</w:t>
      </w:r>
    </w:p>
    <w:p w14:paraId="7CB9AD6E">
      <w:pPr>
        <w:autoSpaceDE w:val="0"/>
        <w:autoSpaceDN w:val="0"/>
        <w:adjustRightInd w:val="0"/>
        <w:spacing w:line="360" w:lineRule="auto"/>
        <w:rPr>
          <w:rFonts w:ascii="宋体" w:hAnsi="宋体" w:cs="宋体"/>
          <w:b/>
          <w:sz w:val="24"/>
        </w:rPr>
      </w:pPr>
    </w:p>
    <w:p w14:paraId="329371B5">
      <w:pPr>
        <w:autoSpaceDE w:val="0"/>
        <w:autoSpaceDN w:val="0"/>
        <w:adjustRightInd w:val="0"/>
        <w:spacing w:line="360" w:lineRule="auto"/>
        <w:rPr>
          <w:rFonts w:ascii="宋体" w:hAnsi="宋体" w:cs="宋体"/>
          <w:b/>
          <w:sz w:val="24"/>
        </w:rPr>
      </w:pPr>
    </w:p>
    <w:p w14:paraId="5DAD002B">
      <w:pPr>
        <w:autoSpaceDE w:val="0"/>
        <w:autoSpaceDN w:val="0"/>
        <w:adjustRightInd w:val="0"/>
        <w:spacing w:line="360" w:lineRule="auto"/>
        <w:rPr>
          <w:rFonts w:ascii="宋体" w:hAnsi="宋体" w:cs="宋体"/>
          <w:b/>
          <w:sz w:val="24"/>
        </w:rPr>
      </w:pPr>
    </w:p>
    <w:p w14:paraId="724C4892">
      <w:pPr>
        <w:pStyle w:val="89"/>
        <w:spacing w:line="360" w:lineRule="auto"/>
        <w:ind w:left="0" w:right="-252"/>
        <w:outlineLvl w:val="1"/>
        <w:rPr>
          <w:rFonts w:ascii="宋体" w:hAnsi="宋体" w:cs="宋体"/>
          <w:sz w:val="24"/>
          <w:szCs w:val="24"/>
          <w:u w:val="single"/>
        </w:rPr>
      </w:pPr>
      <w:r>
        <w:rPr>
          <w:rFonts w:hint="eastAsia" w:ascii="宋体" w:hAnsi="宋体" w:cs="宋体"/>
          <w:sz w:val="24"/>
          <w:szCs w:val="24"/>
        </w:rPr>
        <w:t>投标人名称：                           （公章）</w:t>
      </w:r>
    </w:p>
    <w:p w14:paraId="032DF387">
      <w:pPr>
        <w:autoSpaceDE w:val="0"/>
        <w:autoSpaceDN w:val="0"/>
        <w:adjustRightInd w:val="0"/>
        <w:spacing w:line="360" w:lineRule="auto"/>
        <w:rPr>
          <w:rFonts w:ascii="宋体" w:hAnsi="宋体" w:cs="宋体"/>
          <w:b/>
          <w:sz w:val="24"/>
        </w:rPr>
      </w:pPr>
    </w:p>
    <w:p w14:paraId="771308D4">
      <w:pPr>
        <w:autoSpaceDE w:val="0"/>
        <w:autoSpaceDN w:val="0"/>
        <w:adjustRightInd w:val="0"/>
        <w:spacing w:line="360" w:lineRule="auto"/>
        <w:rPr>
          <w:rFonts w:ascii="宋体" w:hAnsi="宋体" w:cs="宋体"/>
          <w:b/>
          <w:sz w:val="24"/>
        </w:rPr>
      </w:pPr>
    </w:p>
    <w:p w14:paraId="5DB13F33">
      <w:pPr>
        <w:pStyle w:val="15"/>
        <w:rPr>
          <w:rFonts w:ascii="宋体" w:hAnsi="宋体" w:cs="宋体"/>
          <w:b/>
        </w:rPr>
      </w:pPr>
    </w:p>
    <w:p w14:paraId="7468A7B3">
      <w:pPr>
        <w:pStyle w:val="15"/>
        <w:rPr>
          <w:rFonts w:ascii="宋体" w:hAnsi="宋体" w:cs="宋体"/>
          <w:b/>
        </w:rPr>
      </w:pPr>
    </w:p>
    <w:p w14:paraId="74A5A417">
      <w:pPr>
        <w:pStyle w:val="15"/>
        <w:rPr>
          <w:rFonts w:ascii="宋体" w:hAnsi="宋体" w:cs="宋体"/>
          <w:b/>
        </w:rPr>
      </w:pPr>
    </w:p>
    <w:p w14:paraId="1B7CE5D0">
      <w:pPr>
        <w:spacing w:line="360" w:lineRule="auto"/>
        <w:jc w:val="center"/>
        <w:outlineLvl w:val="1"/>
        <w:rPr>
          <w:rFonts w:ascii="宋体" w:hAnsi="宋体" w:cs="宋体"/>
          <w:b/>
          <w:sz w:val="24"/>
        </w:rPr>
      </w:pPr>
      <w:r>
        <w:rPr>
          <w:rFonts w:hint="eastAsia" w:ascii="宋体" w:hAnsi="宋体" w:cs="宋体"/>
          <w:b/>
          <w:sz w:val="24"/>
        </w:rPr>
        <w:t>在  年  月  日 之前不得启封</w:t>
      </w:r>
      <w:bookmarkEnd w:id="4"/>
    </w:p>
    <w:p w14:paraId="00FB479E">
      <w:pPr>
        <w:spacing w:line="360" w:lineRule="auto"/>
        <w:outlineLvl w:val="2"/>
        <w:rPr>
          <w:rFonts w:ascii="宋体" w:hAnsi="宋体" w:cs="宋体"/>
          <w:b/>
          <w:sz w:val="24"/>
        </w:rPr>
      </w:pPr>
      <w:r>
        <w:rPr>
          <w:rFonts w:hint="eastAsia" w:ascii="宋体" w:hAnsi="宋体" w:cs="宋体"/>
          <w:b/>
          <w:sz w:val="24"/>
        </w:rPr>
        <w:br w:type="page"/>
      </w:r>
      <w:r>
        <w:rPr>
          <w:rFonts w:hint="eastAsia" w:ascii="宋体" w:hAnsi="宋体" w:cs="宋体"/>
          <w:b/>
          <w:sz w:val="24"/>
        </w:rPr>
        <w:t>二、报价一览表格式:</w:t>
      </w:r>
    </w:p>
    <w:p w14:paraId="348D21D7">
      <w:pPr>
        <w:spacing w:line="360" w:lineRule="auto"/>
        <w:jc w:val="center"/>
        <w:rPr>
          <w:rFonts w:ascii="宋体" w:hAnsi="宋体" w:cs="宋体"/>
          <w:b/>
          <w:kern w:val="10"/>
          <w:sz w:val="24"/>
        </w:rPr>
      </w:pPr>
      <w:r>
        <w:rPr>
          <w:rFonts w:hint="eastAsia" w:ascii="宋体" w:hAnsi="宋体" w:cs="宋体"/>
          <w:b/>
          <w:kern w:val="10"/>
          <w:sz w:val="24"/>
        </w:rPr>
        <w:t xml:space="preserve"> </w:t>
      </w:r>
      <w:r>
        <w:rPr>
          <w:rFonts w:hint="eastAsia" w:ascii="宋体" w:hAnsi="宋体" w:cs="宋体"/>
          <w:b/>
          <w:kern w:val="10"/>
          <w:sz w:val="24"/>
          <w:lang w:val="en-US" w:eastAsia="zh-CN"/>
        </w:rPr>
        <w:t>投标</w:t>
      </w:r>
      <w:r>
        <w:rPr>
          <w:rFonts w:hint="eastAsia" w:ascii="宋体" w:hAnsi="宋体" w:cs="宋体"/>
          <w:b/>
          <w:kern w:val="10"/>
          <w:sz w:val="24"/>
        </w:rPr>
        <w:t>报价一览表</w:t>
      </w:r>
    </w:p>
    <w:p w14:paraId="64668816">
      <w:pPr>
        <w:pStyle w:val="15"/>
        <w:rPr>
          <w:rFonts w:ascii="宋体" w:hAnsi="宋体" w:cs="宋体"/>
        </w:rPr>
      </w:pPr>
    </w:p>
    <w:tbl>
      <w:tblPr>
        <w:tblStyle w:val="37"/>
        <w:tblW w:w="93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7632"/>
      </w:tblGrid>
      <w:tr w14:paraId="77405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728" w:type="dxa"/>
            <w:tcBorders>
              <w:bottom w:val="single" w:color="auto" w:sz="4" w:space="0"/>
            </w:tcBorders>
            <w:vAlign w:val="center"/>
          </w:tcPr>
          <w:p w14:paraId="5B9ED252">
            <w:pPr>
              <w:jc w:val="center"/>
              <w:rPr>
                <w:rFonts w:ascii="宋体" w:hAnsi="宋体" w:cs="宋体"/>
                <w:bCs/>
                <w:sz w:val="24"/>
              </w:rPr>
            </w:pPr>
            <w:r>
              <w:rPr>
                <w:rFonts w:hint="eastAsia" w:ascii="宋体" w:hAnsi="宋体" w:cs="宋体"/>
                <w:sz w:val="24"/>
              </w:rPr>
              <w:t>项目名称</w:t>
            </w:r>
          </w:p>
        </w:tc>
        <w:tc>
          <w:tcPr>
            <w:tcW w:w="7632" w:type="dxa"/>
            <w:tcBorders>
              <w:bottom w:val="single" w:color="auto" w:sz="4" w:space="0"/>
            </w:tcBorders>
            <w:vAlign w:val="center"/>
          </w:tcPr>
          <w:p w14:paraId="0059AD29">
            <w:pPr>
              <w:jc w:val="center"/>
              <w:rPr>
                <w:rFonts w:ascii="宋体" w:hAnsi="宋体" w:cs="宋体"/>
                <w:bCs/>
                <w:sz w:val="24"/>
              </w:rPr>
            </w:pPr>
          </w:p>
        </w:tc>
      </w:tr>
      <w:tr w14:paraId="380D7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trPr>
        <w:tc>
          <w:tcPr>
            <w:tcW w:w="1728" w:type="dxa"/>
            <w:vAlign w:val="center"/>
          </w:tcPr>
          <w:p w14:paraId="4D0068BD">
            <w:pPr>
              <w:jc w:val="center"/>
              <w:rPr>
                <w:rFonts w:ascii="宋体" w:hAnsi="宋体" w:cs="宋体"/>
                <w:sz w:val="24"/>
              </w:rPr>
            </w:pPr>
            <w:r>
              <w:rPr>
                <w:rFonts w:hint="eastAsia" w:ascii="宋体" w:hAnsi="宋体" w:cs="宋体"/>
                <w:sz w:val="24"/>
              </w:rPr>
              <w:t>项目编号</w:t>
            </w:r>
          </w:p>
        </w:tc>
        <w:tc>
          <w:tcPr>
            <w:tcW w:w="7632" w:type="dxa"/>
            <w:vAlign w:val="center"/>
          </w:tcPr>
          <w:p w14:paraId="29AE82AA">
            <w:pPr>
              <w:pStyle w:val="90"/>
              <w:widowControl w:val="0"/>
              <w:pBdr>
                <w:bottom w:val="none" w:color="auto" w:sz="0" w:space="0"/>
                <w:right w:val="none" w:color="auto" w:sz="0" w:space="0"/>
              </w:pBdr>
              <w:spacing w:before="0" w:beforeAutospacing="0" w:after="0" w:afterAutospacing="0" w:line="360" w:lineRule="auto"/>
              <w:rPr>
                <w:rFonts w:cs="宋体"/>
                <w:bCs/>
                <w:kern w:val="2"/>
                <w:sz w:val="24"/>
                <w:szCs w:val="24"/>
              </w:rPr>
            </w:pPr>
          </w:p>
        </w:tc>
      </w:tr>
      <w:tr w14:paraId="0A878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21" w:hRule="atLeast"/>
        </w:trPr>
        <w:tc>
          <w:tcPr>
            <w:tcW w:w="1728" w:type="dxa"/>
            <w:vAlign w:val="center"/>
          </w:tcPr>
          <w:p w14:paraId="6D780638">
            <w:pPr>
              <w:jc w:val="center"/>
              <w:rPr>
                <w:rFonts w:ascii="宋体" w:hAnsi="宋体" w:cs="宋体"/>
                <w:sz w:val="24"/>
              </w:rPr>
            </w:pPr>
            <w:r>
              <w:rPr>
                <w:rFonts w:hint="eastAsia" w:ascii="宋体" w:hAnsi="宋体" w:cs="宋体"/>
                <w:sz w:val="24"/>
              </w:rPr>
              <w:t>投标报价</w:t>
            </w:r>
          </w:p>
        </w:tc>
        <w:tc>
          <w:tcPr>
            <w:tcW w:w="7632" w:type="dxa"/>
            <w:vAlign w:val="center"/>
          </w:tcPr>
          <w:p w14:paraId="0D1D21D6">
            <w:pPr>
              <w:spacing w:line="360" w:lineRule="auto"/>
              <w:jc w:val="left"/>
              <w:rPr>
                <w:rFonts w:ascii="宋体" w:hAnsi="宋体" w:cs="宋体"/>
                <w:bCs/>
                <w:sz w:val="24"/>
              </w:rPr>
            </w:pPr>
            <w:r>
              <w:rPr>
                <w:rFonts w:hint="eastAsia" w:ascii="宋体" w:hAnsi="宋体" w:cs="宋体"/>
                <w:bCs/>
                <w:sz w:val="24"/>
              </w:rPr>
              <w:t>（小写）人民币元</w:t>
            </w:r>
          </w:p>
          <w:p w14:paraId="315F7D43">
            <w:pPr>
              <w:spacing w:line="360" w:lineRule="auto"/>
              <w:jc w:val="left"/>
              <w:rPr>
                <w:rFonts w:ascii="宋体" w:hAnsi="宋体" w:cs="宋体"/>
                <w:bCs/>
                <w:sz w:val="24"/>
                <w:u w:val="single"/>
              </w:rPr>
            </w:pPr>
            <w:r>
              <w:rPr>
                <w:rFonts w:hint="eastAsia" w:ascii="宋体" w:hAnsi="宋体" w:cs="宋体"/>
                <w:bCs/>
                <w:sz w:val="24"/>
              </w:rPr>
              <w:t>（大写）人民币元</w:t>
            </w:r>
          </w:p>
        </w:tc>
      </w:tr>
      <w:tr w14:paraId="347F7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4" w:hRule="atLeast"/>
        </w:trPr>
        <w:tc>
          <w:tcPr>
            <w:tcW w:w="9360" w:type="dxa"/>
            <w:gridSpan w:val="2"/>
            <w:vAlign w:val="center"/>
          </w:tcPr>
          <w:p w14:paraId="0F92D092">
            <w:pPr>
              <w:spacing w:line="400" w:lineRule="atLeast"/>
              <w:rPr>
                <w:rFonts w:ascii="宋体" w:hAnsi="宋体" w:cs="宋体"/>
                <w:sz w:val="24"/>
              </w:rPr>
            </w:pPr>
            <w:r>
              <w:rPr>
                <w:rFonts w:hint="eastAsia" w:ascii="宋体" w:hAnsi="宋体" w:cs="宋体"/>
                <w:sz w:val="24"/>
              </w:rPr>
              <w:t>备注：</w:t>
            </w:r>
          </w:p>
        </w:tc>
      </w:tr>
    </w:tbl>
    <w:p w14:paraId="3F52E41D">
      <w:pPr>
        <w:spacing w:line="360" w:lineRule="auto"/>
        <w:rPr>
          <w:rFonts w:ascii="宋体" w:hAnsi="宋体" w:cs="宋体"/>
          <w:sz w:val="24"/>
        </w:rPr>
      </w:pPr>
      <w:r>
        <w:rPr>
          <w:rFonts w:hint="eastAsia" w:ascii="宋体" w:hAnsi="宋体" w:cs="宋体"/>
          <w:sz w:val="24"/>
        </w:rPr>
        <w:t>注：1. 供应商须按要求填写所有信息，不得随意更改本表格式。</w:t>
      </w:r>
    </w:p>
    <w:p w14:paraId="2E5D1743">
      <w:pPr>
        <w:spacing w:line="360" w:lineRule="auto"/>
        <w:ind w:firstLine="480" w:firstLineChars="200"/>
        <w:outlineLvl w:val="1"/>
        <w:rPr>
          <w:rFonts w:ascii="宋体" w:hAnsi="宋体" w:cs="宋体"/>
          <w:sz w:val="24"/>
        </w:rPr>
      </w:pPr>
      <w:r>
        <w:rPr>
          <w:rFonts w:hint="eastAsia" w:ascii="宋体" w:hAnsi="宋体" w:cs="宋体"/>
          <w:sz w:val="24"/>
        </w:rPr>
        <w:t>2. 所有价格均应予人民币报价，金额单位为元。</w:t>
      </w:r>
    </w:p>
    <w:p w14:paraId="2C7955AE">
      <w:pPr>
        <w:spacing w:line="360" w:lineRule="auto"/>
        <w:ind w:left="839" w:leftChars="228" w:hanging="360" w:hangingChars="150"/>
        <w:rPr>
          <w:rFonts w:ascii="宋体" w:hAnsi="宋体" w:cs="宋体"/>
          <w:sz w:val="24"/>
        </w:rPr>
      </w:pPr>
    </w:p>
    <w:p w14:paraId="1EDC1C7E">
      <w:pPr>
        <w:adjustRightInd w:val="0"/>
        <w:snapToGrid w:val="0"/>
        <w:spacing w:line="360" w:lineRule="auto"/>
        <w:rPr>
          <w:rFonts w:ascii="宋体" w:hAnsi="宋体" w:cs="宋体"/>
          <w:sz w:val="24"/>
        </w:rPr>
      </w:pPr>
    </w:p>
    <w:p w14:paraId="59A5F823">
      <w:pPr>
        <w:spacing w:line="360" w:lineRule="auto"/>
        <w:rPr>
          <w:rFonts w:ascii="宋体" w:hAnsi="宋体" w:cs="宋体"/>
          <w:sz w:val="24"/>
          <w:u w:val="single"/>
        </w:rPr>
      </w:pPr>
      <w:r>
        <w:rPr>
          <w:rFonts w:hint="eastAsia" w:ascii="宋体" w:hAnsi="宋体" w:cs="宋体"/>
          <w:sz w:val="24"/>
        </w:rPr>
        <w:t xml:space="preserve">投标人名称：（加盖公章）  </w:t>
      </w:r>
    </w:p>
    <w:p w14:paraId="32158783">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7A50915D">
      <w:pPr>
        <w:spacing w:line="360" w:lineRule="auto"/>
        <w:rPr>
          <w:rFonts w:ascii="宋体" w:hAnsi="宋体" w:cs="宋体"/>
          <w:spacing w:val="20"/>
          <w:sz w:val="24"/>
        </w:rPr>
      </w:pPr>
      <w:r>
        <w:rPr>
          <w:rFonts w:hint="eastAsia" w:ascii="宋体" w:hAnsi="宋体" w:cs="宋体"/>
          <w:spacing w:val="20"/>
          <w:sz w:val="24"/>
        </w:rPr>
        <w:t>日期：年月日</w:t>
      </w:r>
    </w:p>
    <w:p w14:paraId="79D3AAA0">
      <w:pPr>
        <w:snapToGrid w:val="0"/>
        <w:spacing w:beforeLines="50" w:after="50"/>
        <w:rPr>
          <w:rFonts w:ascii="宋体" w:hAnsi="宋体" w:cs="宋体"/>
          <w:sz w:val="24"/>
        </w:rPr>
      </w:pPr>
    </w:p>
    <w:p w14:paraId="7AC1F2CB">
      <w:pPr>
        <w:snapToGrid w:val="0"/>
        <w:spacing w:beforeLines="50" w:after="50"/>
        <w:rPr>
          <w:rFonts w:ascii="宋体" w:hAnsi="宋体" w:cs="宋体"/>
          <w:sz w:val="24"/>
        </w:rPr>
      </w:pPr>
    </w:p>
    <w:p w14:paraId="250611E4">
      <w:pPr>
        <w:spacing w:line="360" w:lineRule="auto"/>
        <w:rPr>
          <w:rFonts w:ascii="宋体" w:hAnsi="宋体" w:cs="宋体"/>
          <w:sz w:val="24"/>
          <w:szCs w:val="24"/>
          <w:lang w:val="en-US" w:eastAsia="zh-CN"/>
        </w:rPr>
      </w:pPr>
    </w:p>
    <w:p w14:paraId="1EA78D04">
      <w:pPr>
        <w:spacing w:line="360" w:lineRule="auto"/>
        <w:rPr>
          <w:rFonts w:ascii="宋体" w:hAnsi="宋体" w:cs="宋体"/>
          <w:sz w:val="24"/>
          <w:szCs w:val="24"/>
          <w:lang w:val="en-US" w:eastAsia="zh-CN"/>
        </w:rPr>
      </w:pPr>
    </w:p>
    <w:p w14:paraId="1E17CD8B">
      <w:pPr>
        <w:spacing w:line="360" w:lineRule="auto"/>
        <w:rPr>
          <w:rFonts w:ascii="宋体" w:hAnsi="宋体" w:cs="宋体"/>
          <w:sz w:val="24"/>
          <w:szCs w:val="24"/>
          <w:lang w:val="en-US" w:eastAsia="zh-CN"/>
        </w:rPr>
      </w:pPr>
    </w:p>
    <w:p w14:paraId="7B6A187B">
      <w:pPr>
        <w:spacing w:line="360" w:lineRule="auto"/>
        <w:outlineLvl w:val="2"/>
        <w:rPr>
          <w:rFonts w:hint="eastAsia" w:ascii="宋体" w:hAnsi="宋体" w:cs="宋体"/>
          <w:b/>
          <w:sz w:val="24"/>
        </w:rPr>
      </w:pPr>
    </w:p>
    <w:p w14:paraId="5C61F1CA">
      <w:pPr>
        <w:spacing w:line="360" w:lineRule="auto"/>
        <w:outlineLvl w:val="2"/>
        <w:rPr>
          <w:rFonts w:ascii="宋体" w:hAnsi="宋体" w:cs="宋体"/>
          <w:sz w:val="24"/>
        </w:rPr>
      </w:pPr>
      <w:r>
        <w:rPr>
          <w:rFonts w:hint="eastAsia" w:ascii="宋体" w:hAnsi="宋体" w:cs="宋体"/>
          <w:b/>
          <w:sz w:val="24"/>
          <w:lang w:val="en-US" w:eastAsia="zh-CN"/>
        </w:rPr>
        <w:t>三</w:t>
      </w:r>
      <w:r>
        <w:rPr>
          <w:rFonts w:hint="eastAsia" w:ascii="宋体" w:hAnsi="宋体" w:cs="宋体"/>
          <w:b/>
          <w:sz w:val="24"/>
        </w:rPr>
        <w:t>、中小企业声明函</w:t>
      </w:r>
    </w:p>
    <w:p w14:paraId="34554019">
      <w:pPr>
        <w:spacing w:line="588" w:lineRule="exact"/>
        <w:jc w:val="center"/>
        <w:rPr>
          <w:rFonts w:ascii="宋体" w:hAnsi="宋体" w:cs="宋体"/>
          <w:sz w:val="21"/>
          <w:szCs w:val="21"/>
        </w:rPr>
      </w:pPr>
      <w:r>
        <w:rPr>
          <w:rFonts w:hint="eastAsia" w:ascii="宋体" w:hAnsi="宋体" w:cs="宋体"/>
          <w:b/>
          <w:spacing w:val="6"/>
          <w:sz w:val="24"/>
        </w:rPr>
        <w:t>中小企业声明函（服务）</w:t>
      </w:r>
    </w:p>
    <w:p w14:paraId="7D49DCFE">
      <w:pPr>
        <w:spacing w:line="360" w:lineRule="auto"/>
        <w:ind w:firstLine="420" w:firstLineChars="200"/>
        <w:rPr>
          <w:rFonts w:ascii="宋体" w:hAnsi="宋体" w:cs="宋体"/>
          <w:sz w:val="21"/>
          <w:szCs w:val="21"/>
        </w:rPr>
      </w:pPr>
      <w:r>
        <w:rPr>
          <w:rFonts w:hint="eastAsia" w:ascii="宋体" w:hAnsi="宋体" w:cs="宋体"/>
          <w:sz w:val="21"/>
          <w:szCs w:val="21"/>
        </w:rPr>
        <w:t>本公司郑重声明，根据《政府采购促进中小企业发展管理办法》（财库﹝2020﹞46 号）的规定，本公司参加（单位名称）的（项目名称）采购活动，提供的服务全部由符合政策要求的中小企业承接。相关企业（含联合协议或者签订分包意向协议的中小企业）的具体情况如下：</w:t>
      </w:r>
    </w:p>
    <w:p w14:paraId="1A6CB66F">
      <w:pPr>
        <w:spacing w:line="360" w:lineRule="auto"/>
        <w:ind w:firstLine="420" w:firstLineChars="200"/>
        <w:rPr>
          <w:rFonts w:ascii="宋体" w:hAnsi="宋体" w:cs="宋体"/>
          <w:sz w:val="21"/>
          <w:szCs w:val="21"/>
        </w:rPr>
      </w:pPr>
      <w:r>
        <w:rPr>
          <w:rFonts w:hint="eastAsia" w:ascii="宋体" w:hAnsi="宋体" w:cs="宋体"/>
          <w:sz w:val="21"/>
          <w:szCs w:val="21"/>
        </w:rPr>
        <w:t xml:space="preserve">1. </w:t>
      </w:r>
      <w:r>
        <w:rPr>
          <w:rFonts w:hint="eastAsia" w:ascii="宋体" w:hAnsi="宋体" w:cs="宋体"/>
          <w:sz w:val="21"/>
          <w:szCs w:val="21"/>
          <w:u w:val="single"/>
        </w:rPr>
        <w:t>（标的名称）</w:t>
      </w:r>
      <w:r>
        <w:rPr>
          <w:rFonts w:hint="eastAsia" w:ascii="宋体" w:hAnsi="宋体" w:cs="宋体"/>
          <w:sz w:val="21"/>
          <w:szCs w:val="21"/>
        </w:rPr>
        <w:t>，属于</w:t>
      </w:r>
      <w:r>
        <w:rPr>
          <w:rFonts w:hint="eastAsia" w:ascii="宋体" w:hAnsi="宋体" w:cs="宋体"/>
          <w:sz w:val="21"/>
          <w:szCs w:val="21"/>
          <w:u w:val="single"/>
        </w:rPr>
        <w:t>（采购文件中明确的所属行业）</w:t>
      </w:r>
      <w:r>
        <w:rPr>
          <w:rFonts w:hint="eastAsia" w:ascii="宋体" w:hAnsi="宋体" w:cs="宋体"/>
          <w:sz w:val="21"/>
          <w:szCs w:val="21"/>
        </w:rPr>
        <w:t>行业；承接企业为</w:t>
      </w:r>
      <w:r>
        <w:rPr>
          <w:rFonts w:hint="eastAsia" w:ascii="宋体" w:hAnsi="宋体" w:cs="宋体"/>
          <w:sz w:val="21"/>
          <w:szCs w:val="21"/>
          <w:u w:val="single"/>
        </w:rPr>
        <w:t>（企业名称）</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万元，属于（中型企业、小型企业、微型企业）；</w:t>
      </w:r>
    </w:p>
    <w:p w14:paraId="5832D28E">
      <w:pPr>
        <w:spacing w:line="360" w:lineRule="auto"/>
        <w:ind w:firstLine="420" w:firstLineChars="200"/>
        <w:rPr>
          <w:rFonts w:ascii="宋体" w:hAnsi="宋体" w:cs="宋体"/>
          <w:sz w:val="21"/>
          <w:szCs w:val="21"/>
        </w:rPr>
      </w:pPr>
      <w:r>
        <w:rPr>
          <w:rFonts w:hint="eastAsia" w:ascii="宋体" w:hAnsi="宋体" w:cs="宋体"/>
          <w:sz w:val="21"/>
          <w:szCs w:val="21"/>
        </w:rPr>
        <w:t xml:space="preserve">2. </w:t>
      </w:r>
      <w:r>
        <w:rPr>
          <w:rFonts w:hint="eastAsia" w:ascii="宋体" w:hAnsi="宋体" w:cs="宋体"/>
          <w:sz w:val="21"/>
          <w:szCs w:val="21"/>
          <w:u w:val="single"/>
        </w:rPr>
        <w:t>（标的名称）</w:t>
      </w:r>
      <w:r>
        <w:rPr>
          <w:rFonts w:hint="eastAsia" w:ascii="宋体" w:hAnsi="宋体" w:cs="宋体"/>
          <w:sz w:val="21"/>
          <w:szCs w:val="21"/>
        </w:rPr>
        <w:t>，属于</w:t>
      </w:r>
      <w:r>
        <w:rPr>
          <w:rFonts w:hint="eastAsia" w:ascii="宋体" w:hAnsi="宋体" w:cs="宋体"/>
          <w:sz w:val="21"/>
          <w:szCs w:val="21"/>
          <w:u w:val="single"/>
        </w:rPr>
        <w:t>（采购文件中明确的所属行业）</w:t>
      </w:r>
      <w:r>
        <w:rPr>
          <w:rFonts w:hint="eastAsia" w:ascii="宋体" w:hAnsi="宋体" w:cs="宋体"/>
          <w:sz w:val="21"/>
          <w:szCs w:val="21"/>
        </w:rPr>
        <w:t>行业；承接企业为</w:t>
      </w:r>
      <w:r>
        <w:rPr>
          <w:rFonts w:hint="eastAsia" w:ascii="宋体" w:hAnsi="宋体" w:cs="宋体"/>
          <w:sz w:val="21"/>
          <w:szCs w:val="21"/>
          <w:u w:val="single"/>
        </w:rPr>
        <w:t>（企业名称）</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万元，属于（中型企业、小型企业、微型企业）；</w:t>
      </w:r>
    </w:p>
    <w:p w14:paraId="2551F9FD">
      <w:pPr>
        <w:spacing w:line="360" w:lineRule="auto"/>
        <w:rPr>
          <w:rFonts w:ascii="宋体" w:hAnsi="宋体" w:cs="宋体"/>
          <w:sz w:val="21"/>
          <w:szCs w:val="21"/>
        </w:rPr>
      </w:pPr>
      <w:r>
        <w:rPr>
          <w:rFonts w:hint="eastAsia" w:ascii="宋体" w:hAnsi="宋体" w:cs="宋体"/>
          <w:sz w:val="21"/>
          <w:szCs w:val="21"/>
        </w:rPr>
        <w:t>……</w:t>
      </w:r>
    </w:p>
    <w:p w14:paraId="72629730">
      <w:pPr>
        <w:spacing w:line="360" w:lineRule="auto"/>
        <w:ind w:firstLine="735" w:firstLineChars="350"/>
        <w:rPr>
          <w:rFonts w:ascii="宋体" w:hAnsi="宋体" w:cs="宋体"/>
          <w:sz w:val="21"/>
          <w:szCs w:val="21"/>
        </w:rPr>
      </w:pPr>
      <w:r>
        <w:rPr>
          <w:rFonts w:hint="eastAsia" w:ascii="宋体" w:hAnsi="宋体" w:cs="宋体"/>
          <w:sz w:val="21"/>
          <w:szCs w:val="21"/>
        </w:rPr>
        <w:t>以上企业，不属于大企业的分支机构，不存在控股股东为大企业的情形，也不存在与大企业的负责人为同一人的情形。</w:t>
      </w:r>
    </w:p>
    <w:p w14:paraId="6D76FFE1">
      <w:pPr>
        <w:spacing w:line="360" w:lineRule="auto"/>
        <w:ind w:firstLine="420" w:firstLineChars="200"/>
        <w:rPr>
          <w:rFonts w:ascii="宋体" w:hAnsi="宋体" w:cs="宋体"/>
          <w:sz w:val="21"/>
          <w:szCs w:val="21"/>
        </w:rPr>
      </w:pPr>
      <w:r>
        <w:rPr>
          <w:rFonts w:hint="eastAsia" w:ascii="宋体" w:hAnsi="宋体" w:cs="宋体"/>
          <w:sz w:val="21"/>
          <w:szCs w:val="21"/>
        </w:rPr>
        <w:t>本企业对上述声明内容的真实性负责。如有虚假，将依法承担相应责任。</w:t>
      </w:r>
    </w:p>
    <w:p w14:paraId="2BE330DD">
      <w:pPr>
        <w:snapToGrid w:val="0"/>
        <w:spacing w:line="360" w:lineRule="auto"/>
        <w:rPr>
          <w:rFonts w:hint="eastAsia" w:ascii="新宋体" w:hAnsi="新宋体" w:eastAsia="新宋体"/>
          <w:b/>
          <w:sz w:val="21"/>
          <w:szCs w:val="21"/>
        </w:rPr>
      </w:pPr>
      <w:r>
        <w:rPr>
          <w:rFonts w:hint="eastAsia" w:ascii="新宋体" w:hAnsi="新宋体" w:eastAsia="新宋体"/>
          <w:b/>
          <w:sz w:val="21"/>
          <w:szCs w:val="21"/>
        </w:rPr>
        <w:t>备注说明：</w:t>
      </w:r>
    </w:p>
    <w:p w14:paraId="70B140BD">
      <w:pPr>
        <w:spacing w:line="360" w:lineRule="auto"/>
        <w:ind w:firstLine="420" w:firstLineChars="200"/>
        <w:rPr>
          <w:rFonts w:hint="eastAsia"/>
          <w:sz w:val="21"/>
          <w:szCs w:val="21"/>
        </w:rPr>
      </w:pPr>
      <w:r>
        <w:rPr>
          <w:rFonts w:hint="eastAsia" w:ascii="新宋体" w:hAnsi="新宋体" w:eastAsia="新宋体"/>
          <w:sz w:val="21"/>
          <w:szCs w:val="21"/>
        </w:rPr>
        <w:t>1.从业人员、营业收入、资产总额填报上一年度数据，无上一年度数据的新成立企业可不填报。</w:t>
      </w:r>
    </w:p>
    <w:p w14:paraId="4557FE91">
      <w:pPr>
        <w:spacing w:line="360" w:lineRule="auto"/>
        <w:ind w:firstLine="420" w:firstLineChars="200"/>
        <w:rPr>
          <w:sz w:val="21"/>
          <w:szCs w:val="21"/>
          <w:u w:val="single"/>
        </w:rPr>
      </w:pPr>
      <w:r>
        <w:rPr>
          <w:rFonts w:hint="eastAsia" w:ascii="新宋体" w:hAnsi="新宋体" w:eastAsia="新宋体"/>
          <w:sz w:val="21"/>
          <w:szCs w:val="21"/>
        </w:rPr>
        <w:t>2.本项目采购标的所属行业:</w:t>
      </w:r>
      <w:r>
        <w:rPr>
          <w:rFonts w:hint="eastAsia" w:ascii="新宋体" w:hAnsi="新宋体" w:eastAsia="新宋体" w:cs="新宋体"/>
          <w:sz w:val="21"/>
          <w:szCs w:val="21"/>
          <w:u w:val="single"/>
        </w:rPr>
        <w:t>其他未列明行业</w:t>
      </w:r>
    </w:p>
    <w:p w14:paraId="641761CB">
      <w:pPr>
        <w:pStyle w:val="22"/>
        <w:snapToGrid w:val="0"/>
        <w:spacing w:before="120" w:after="120" w:line="360" w:lineRule="auto"/>
        <w:ind w:firstLine="420" w:firstLineChars="200"/>
        <w:jc w:val="left"/>
        <w:rPr>
          <w:rFonts w:hint="eastAsia" w:hAnsi="宋体" w:eastAsia="宋体" w:cs="宋体"/>
          <w:b/>
          <w:bCs/>
          <w:sz w:val="21"/>
          <w:szCs w:val="21"/>
          <w:u w:val="single"/>
          <w:shd w:val="pct10" w:color="auto" w:fill="FFFFFF"/>
        </w:rPr>
      </w:pPr>
      <w:r>
        <w:rPr>
          <w:rFonts w:hint="eastAsia" w:hAnsi="宋体" w:eastAsia="宋体" w:cs="宋体"/>
          <w:sz w:val="21"/>
          <w:szCs w:val="21"/>
          <w:lang w:val="en-US" w:eastAsia="zh-CN"/>
        </w:rPr>
        <w:t>3、</w:t>
      </w:r>
      <w:r>
        <w:rPr>
          <w:rFonts w:hint="eastAsia" w:hAnsi="宋体" w:eastAsia="宋体" w:cs="宋体"/>
          <w:sz w:val="21"/>
          <w:szCs w:val="21"/>
        </w:rPr>
        <w:t>如</w:t>
      </w:r>
      <w:r>
        <w:rPr>
          <w:rFonts w:hint="eastAsia" w:hAnsi="宋体" w:eastAsia="宋体" w:cs="宋体"/>
          <w:sz w:val="21"/>
          <w:szCs w:val="21"/>
          <w:lang w:eastAsia="zh-CN"/>
        </w:rPr>
        <w:t>中标供应商</w:t>
      </w:r>
      <w:r>
        <w:rPr>
          <w:rFonts w:hint="eastAsia" w:hAnsi="宋体" w:eastAsia="宋体" w:cs="宋体"/>
          <w:sz w:val="21"/>
          <w:szCs w:val="21"/>
        </w:rPr>
        <w:t>声明为小微企业，本声明函将随中标结果同时公告，接受社会监督。</w:t>
      </w:r>
    </w:p>
    <w:p w14:paraId="45A855EE">
      <w:pPr>
        <w:spacing w:line="360" w:lineRule="auto"/>
        <w:rPr>
          <w:rFonts w:hint="default" w:ascii="宋体" w:hAnsi="宋体" w:eastAsia="宋体" w:cs="宋体"/>
          <w:sz w:val="21"/>
          <w:szCs w:val="21"/>
          <w:lang w:val="en-US" w:eastAsia="zh-CN"/>
        </w:rPr>
      </w:pPr>
    </w:p>
    <w:p w14:paraId="356FB632">
      <w:pPr>
        <w:spacing w:line="360" w:lineRule="auto"/>
        <w:ind w:firstLine="630" w:firstLineChars="300"/>
        <w:rPr>
          <w:rFonts w:ascii="宋体" w:hAnsi="宋体" w:cs="宋体"/>
          <w:sz w:val="21"/>
          <w:szCs w:val="21"/>
        </w:rPr>
      </w:pPr>
      <w:r>
        <w:rPr>
          <w:rFonts w:hint="eastAsia" w:ascii="宋体" w:hAnsi="宋体" w:cs="宋体"/>
          <w:sz w:val="21"/>
          <w:szCs w:val="21"/>
        </w:rPr>
        <w:t>投标人名称（盖章）：</w:t>
      </w:r>
    </w:p>
    <w:p w14:paraId="15AD931B">
      <w:pPr>
        <w:spacing w:line="360" w:lineRule="auto"/>
        <w:ind w:firstLine="630" w:firstLineChars="300"/>
        <w:jc w:val="left"/>
        <w:rPr>
          <w:rFonts w:ascii="宋体" w:hAnsi="宋体" w:cs="宋体"/>
          <w:b/>
          <w:sz w:val="21"/>
          <w:szCs w:val="21"/>
        </w:rPr>
      </w:pPr>
      <w:r>
        <w:rPr>
          <w:rFonts w:hint="eastAsia" w:ascii="宋体" w:hAnsi="宋体" w:cs="宋体"/>
          <w:sz w:val="21"/>
          <w:szCs w:val="21"/>
        </w:rPr>
        <w:t>日期：</w:t>
      </w:r>
    </w:p>
    <w:p w14:paraId="655D2F6A">
      <w:pPr>
        <w:pStyle w:val="16"/>
        <w:ind w:left="0" w:leftChars="0" w:firstLine="0" w:firstLineChars="0"/>
        <w:rPr>
          <w:rFonts w:ascii="宋体" w:hAnsi="宋体" w:cs="宋体"/>
          <w:sz w:val="24"/>
          <w:szCs w:val="24"/>
        </w:rPr>
      </w:pPr>
    </w:p>
    <w:p w14:paraId="4C8FF1A2">
      <w:pPr>
        <w:rPr>
          <w:rFonts w:ascii="宋体" w:hAnsi="宋体" w:cs="宋体"/>
          <w:sz w:val="24"/>
        </w:rPr>
      </w:pPr>
    </w:p>
    <w:p w14:paraId="51309D4A">
      <w:pPr>
        <w:autoSpaceDE w:val="0"/>
        <w:autoSpaceDN w:val="0"/>
        <w:adjustRightInd w:val="0"/>
        <w:spacing w:line="360" w:lineRule="auto"/>
        <w:jc w:val="left"/>
        <w:outlineLvl w:val="2"/>
        <w:rPr>
          <w:rFonts w:ascii="宋体" w:hAnsi="宋体" w:cs="宋体"/>
          <w:b/>
          <w:sz w:val="21"/>
          <w:szCs w:val="21"/>
        </w:rPr>
      </w:pPr>
      <w:r>
        <w:rPr>
          <w:rFonts w:hint="eastAsia" w:ascii="宋体" w:hAnsi="宋体" w:cs="宋体"/>
          <w:b/>
          <w:sz w:val="24"/>
          <w:lang w:val="en-US" w:eastAsia="zh-CN"/>
        </w:rPr>
        <w:t>四</w:t>
      </w:r>
      <w:r>
        <w:rPr>
          <w:rFonts w:hint="eastAsia" w:ascii="宋体" w:hAnsi="宋体" w:cs="宋体"/>
          <w:b/>
          <w:sz w:val="24"/>
        </w:rPr>
        <w:t>、监狱企业声明函</w:t>
      </w:r>
    </w:p>
    <w:p w14:paraId="1ADD89FB">
      <w:pPr>
        <w:ind w:firstLine="2951" w:firstLineChars="1400"/>
        <w:rPr>
          <w:rFonts w:ascii="宋体" w:hAnsi="宋体" w:cs="宋体"/>
          <w:b/>
          <w:sz w:val="21"/>
          <w:szCs w:val="21"/>
        </w:rPr>
      </w:pPr>
      <w:r>
        <w:rPr>
          <w:rFonts w:hint="eastAsia" w:ascii="宋体" w:hAnsi="宋体" w:cs="宋体"/>
          <w:b/>
          <w:sz w:val="21"/>
          <w:szCs w:val="21"/>
        </w:rPr>
        <w:t>监狱企业声明函</w:t>
      </w:r>
    </w:p>
    <w:p w14:paraId="0CDC3B8A">
      <w:pPr>
        <w:jc w:val="center"/>
        <w:rPr>
          <w:rFonts w:ascii="宋体" w:hAnsi="宋体" w:cs="宋体"/>
          <w:sz w:val="21"/>
          <w:szCs w:val="21"/>
        </w:rPr>
      </w:pPr>
      <w:r>
        <w:rPr>
          <w:rFonts w:hint="eastAsia" w:ascii="宋体" w:hAnsi="宋体" w:cs="宋体"/>
          <w:sz w:val="21"/>
          <w:szCs w:val="21"/>
        </w:rPr>
        <w:t>【非监狱企业不用提供】</w:t>
      </w:r>
    </w:p>
    <w:p w14:paraId="28ED0DB4">
      <w:pPr>
        <w:ind w:firstLine="480"/>
        <w:rPr>
          <w:rFonts w:ascii="宋体" w:hAnsi="宋体" w:cs="宋体"/>
          <w:sz w:val="21"/>
          <w:szCs w:val="21"/>
        </w:rPr>
      </w:pPr>
    </w:p>
    <w:p w14:paraId="5600781C">
      <w:pPr>
        <w:spacing w:line="360" w:lineRule="auto"/>
        <w:ind w:firstLine="525" w:firstLineChars="250"/>
        <w:rPr>
          <w:rFonts w:ascii="宋体" w:hAnsi="宋体" w:cs="宋体"/>
          <w:sz w:val="21"/>
          <w:szCs w:val="21"/>
        </w:rPr>
      </w:pPr>
    </w:p>
    <w:p w14:paraId="293E3477">
      <w:pPr>
        <w:spacing w:line="360" w:lineRule="auto"/>
        <w:ind w:firstLine="525" w:firstLineChars="250"/>
        <w:rPr>
          <w:rFonts w:ascii="宋体" w:hAnsi="宋体" w:cs="宋体"/>
          <w:sz w:val="21"/>
          <w:szCs w:val="21"/>
        </w:rPr>
      </w:pPr>
      <w:r>
        <w:rPr>
          <w:rFonts w:hint="eastAsia" w:ascii="宋体" w:hAnsi="宋体" w:cs="宋体"/>
          <w:sz w:val="21"/>
          <w:szCs w:val="21"/>
        </w:rPr>
        <w:t>监狱企业参加政府采购活动时，应当提供由省级以上监狱管理本企业郑重声明，根据《关于政府采购支持监狱企业发展有关问题的通知》（财库[2014]68号）的规定，本企业为监狱企业。</w:t>
      </w:r>
    </w:p>
    <w:p w14:paraId="7DE58DBB">
      <w:pPr>
        <w:spacing w:line="360" w:lineRule="auto"/>
        <w:ind w:firstLine="480"/>
        <w:rPr>
          <w:rFonts w:ascii="宋体" w:hAnsi="宋体" w:cs="宋体"/>
          <w:sz w:val="21"/>
          <w:szCs w:val="21"/>
        </w:rPr>
      </w:pPr>
      <w:r>
        <w:rPr>
          <w:rFonts w:hint="eastAsia" w:ascii="宋体" w:hAnsi="宋体" w:cs="宋体"/>
          <w:sz w:val="21"/>
          <w:szCs w:val="21"/>
        </w:rPr>
        <w:t>根据上述标准，我企业属于监狱企业的理由为：。</w:t>
      </w:r>
    </w:p>
    <w:p w14:paraId="07B2675D">
      <w:pPr>
        <w:spacing w:line="360" w:lineRule="auto"/>
        <w:ind w:firstLine="480"/>
        <w:rPr>
          <w:rFonts w:ascii="宋体" w:hAnsi="宋体" w:cs="宋体"/>
          <w:sz w:val="21"/>
          <w:szCs w:val="21"/>
        </w:rPr>
      </w:pPr>
      <w:r>
        <w:rPr>
          <w:rFonts w:hint="eastAsia" w:ascii="宋体" w:hAnsi="宋体" w:cs="宋体"/>
          <w:sz w:val="21"/>
          <w:szCs w:val="21"/>
        </w:rPr>
        <w:t>本企业为参加（项目名称：）（项目编号：）采购活动提供本企业的产品。</w:t>
      </w:r>
    </w:p>
    <w:p w14:paraId="767A63B0">
      <w:pPr>
        <w:spacing w:line="360" w:lineRule="auto"/>
        <w:ind w:firstLine="480"/>
        <w:rPr>
          <w:rFonts w:ascii="宋体" w:hAnsi="宋体" w:cs="宋体"/>
          <w:sz w:val="21"/>
          <w:szCs w:val="21"/>
        </w:rPr>
      </w:pPr>
      <w:r>
        <w:rPr>
          <w:rFonts w:hint="eastAsia" w:ascii="宋体" w:hAnsi="宋体" w:cs="宋体"/>
          <w:sz w:val="21"/>
          <w:szCs w:val="21"/>
        </w:rPr>
        <w:t>本企业对上述声明的真实性负责。如有虚假，将依法承担相应责任。</w:t>
      </w:r>
    </w:p>
    <w:p w14:paraId="6EC033D9">
      <w:pPr>
        <w:spacing w:line="360" w:lineRule="auto"/>
        <w:ind w:firstLine="480"/>
        <w:rPr>
          <w:rFonts w:ascii="宋体" w:hAnsi="宋体" w:cs="宋体"/>
          <w:sz w:val="21"/>
          <w:szCs w:val="21"/>
        </w:rPr>
      </w:pPr>
    </w:p>
    <w:p w14:paraId="05E9676A">
      <w:pPr>
        <w:spacing w:line="360" w:lineRule="auto"/>
        <w:ind w:firstLine="480"/>
        <w:jc w:val="right"/>
        <w:rPr>
          <w:rFonts w:ascii="宋体" w:hAnsi="宋体" w:cs="宋体"/>
          <w:sz w:val="21"/>
          <w:szCs w:val="21"/>
        </w:rPr>
      </w:pPr>
      <w:r>
        <w:rPr>
          <w:rFonts w:hint="eastAsia" w:ascii="宋体" w:hAnsi="宋体" w:cs="宋体"/>
          <w:sz w:val="21"/>
          <w:szCs w:val="21"/>
        </w:rPr>
        <w:t>投标人名称（盖章）：</w:t>
      </w:r>
    </w:p>
    <w:p w14:paraId="66016008">
      <w:pPr>
        <w:spacing w:line="360" w:lineRule="auto"/>
        <w:ind w:firstLine="480"/>
        <w:jc w:val="right"/>
        <w:rPr>
          <w:rFonts w:ascii="宋体" w:hAnsi="宋体" w:cs="宋体"/>
          <w:sz w:val="21"/>
          <w:szCs w:val="21"/>
        </w:rPr>
      </w:pPr>
      <w:r>
        <w:rPr>
          <w:rFonts w:hint="eastAsia" w:ascii="宋体" w:hAnsi="宋体" w:cs="宋体"/>
          <w:sz w:val="21"/>
          <w:szCs w:val="21"/>
        </w:rPr>
        <w:t>日期：年月日</w:t>
      </w:r>
    </w:p>
    <w:p w14:paraId="0044C230">
      <w:pPr>
        <w:spacing w:line="360" w:lineRule="auto"/>
        <w:ind w:firstLine="480"/>
        <w:rPr>
          <w:rFonts w:ascii="宋体" w:hAnsi="宋体" w:cs="宋体"/>
          <w:sz w:val="21"/>
          <w:szCs w:val="21"/>
        </w:rPr>
      </w:pPr>
    </w:p>
    <w:p w14:paraId="220BDD54">
      <w:pPr>
        <w:spacing w:line="360" w:lineRule="auto"/>
        <w:ind w:firstLine="480"/>
        <w:rPr>
          <w:rFonts w:ascii="宋体" w:hAnsi="宋体" w:cs="宋体"/>
          <w:sz w:val="21"/>
          <w:szCs w:val="21"/>
        </w:rPr>
      </w:pPr>
    </w:p>
    <w:p w14:paraId="1F8D7E49">
      <w:pPr>
        <w:spacing w:line="360" w:lineRule="auto"/>
        <w:ind w:firstLine="480"/>
        <w:rPr>
          <w:rFonts w:ascii="宋体" w:hAnsi="宋体" w:cs="宋体"/>
          <w:sz w:val="21"/>
          <w:szCs w:val="21"/>
        </w:rPr>
      </w:pPr>
      <w:r>
        <w:rPr>
          <w:rFonts w:hint="eastAsia" w:ascii="宋体" w:hAnsi="宋体" w:cs="宋体"/>
          <w:sz w:val="21"/>
          <w:szCs w:val="21"/>
        </w:rPr>
        <w:t>投标人为监狱企业的提供此函。</w:t>
      </w:r>
    </w:p>
    <w:p w14:paraId="623497BA">
      <w:pPr>
        <w:spacing w:line="360" w:lineRule="auto"/>
        <w:ind w:firstLine="480"/>
        <w:rPr>
          <w:rFonts w:ascii="宋体" w:hAnsi="宋体" w:cs="宋体"/>
          <w:sz w:val="21"/>
          <w:szCs w:val="21"/>
        </w:rPr>
      </w:pPr>
      <w:r>
        <w:rPr>
          <w:rFonts w:hint="eastAsia" w:ascii="宋体" w:hAnsi="宋体" w:cs="宋体"/>
          <w:sz w:val="21"/>
          <w:szCs w:val="21"/>
        </w:rPr>
        <w:t>局、戒毒管理局（含新疆生产建设兵团）出具的属于监狱企业的证明文件。</w:t>
      </w:r>
    </w:p>
    <w:p w14:paraId="5D2A4C34">
      <w:pPr>
        <w:spacing w:line="360" w:lineRule="auto"/>
        <w:ind w:firstLine="480"/>
        <w:rPr>
          <w:rFonts w:ascii="宋体" w:hAnsi="宋体" w:cs="宋体"/>
          <w:sz w:val="21"/>
          <w:szCs w:val="21"/>
        </w:rPr>
      </w:pPr>
      <w:r>
        <w:rPr>
          <w:rFonts w:hint="eastAsia" w:ascii="宋体" w:hAnsi="宋体" w:cs="宋体"/>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1AA1B26">
      <w:pPr>
        <w:spacing w:line="360" w:lineRule="auto"/>
        <w:ind w:firstLine="480"/>
        <w:rPr>
          <w:rFonts w:ascii="宋体" w:hAnsi="宋体" w:cs="宋体"/>
          <w:sz w:val="21"/>
          <w:szCs w:val="21"/>
        </w:rPr>
      </w:pPr>
    </w:p>
    <w:p w14:paraId="1D8E0064">
      <w:pPr>
        <w:autoSpaceDN w:val="0"/>
        <w:spacing w:line="360" w:lineRule="auto"/>
        <w:rPr>
          <w:rFonts w:ascii="宋体" w:hAnsi="宋体" w:cs="宋体"/>
          <w:b/>
          <w:bCs/>
          <w:sz w:val="21"/>
          <w:szCs w:val="21"/>
        </w:rPr>
      </w:pPr>
    </w:p>
    <w:p w14:paraId="41C4E1F9">
      <w:pPr>
        <w:jc w:val="left"/>
        <w:outlineLvl w:val="2"/>
        <w:rPr>
          <w:rFonts w:ascii="宋体" w:hAnsi="宋体" w:cs="宋体"/>
          <w:b/>
          <w:sz w:val="21"/>
          <w:szCs w:val="21"/>
        </w:rPr>
      </w:pPr>
      <w:r>
        <w:rPr>
          <w:rFonts w:hint="eastAsia" w:ascii="宋体" w:hAnsi="宋体" w:cs="宋体"/>
          <w:b/>
          <w:sz w:val="21"/>
          <w:szCs w:val="21"/>
          <w:lang w:val="en-US" w:eastAsia="zh-CN"/>
        </w:rPr>
        <w:t>五</w:t>
      </w:r>
      <w:r>
        <w:rPr>
          <w:rFonts w:hint="eastAsia" w:ascii="宋体" w:hAnsi="宋体" w:cs="宋体"/>
          <w:b/>
          <w:sz w:val="21"/>
          <w:szCs w:val="21"/>
        </w:rPr>
        <w:t>、残疾人福利性单位声明函</w:t>
      </w:r>
    </w:p>
    <w:p w14:paraId="31CF5949">
      <w:pPr>
        <w:jc w:val="left"/>
        <w:rPr>
          <w:rFonts w:ascii="宋体" w:hAnsi="宋体" w:cs="宋体"/>
          <w:sz w:val="21"/>
          <w:szCs w:val="21"/>
        </w:rPr>
      </w:pPr>
    </w:p>
    <w:p w14:paraId="58569F30">
      <w:pPr>
        <w:jc w:val="center"/>
        <w:rPr>
          <w:rFonts w:ascii="宋体" w:hAnsi="宋体" w:cs="宋体"/>
          <w:sz w:val="21"/>
          <w:szCs w:val="21"/>
        </w:rPr>
      </w:pPr>
    </w:p>
    <w:p w14:paraId="1F8F227E">
      <w:pPr>
        <w:jc w:val="center"/>
        <w:outlineLvl w:val="3"/>
        <w:rPr>
          <w:rFonts w:ascii="宋体" w:hAnsi="宋体" w:cs="宋体"/>
          <w:b/>
          <w:sz w:val="21"/>
          <w:szCs w:val="21"/>
        </w:rPr>
      </w:pPr>
      <w:r>
        <w:rPr>
          <w:rFonts w:hint="eastAsia" w:ascii="宋体" w:hAnsi="宋体" w:cs="宋体"/>
          <w:b/>
          <w:sz w:val="21"/>
          <w:szCs w:val="21"/>
        </w:rPr>
        <w:t>残疾人福利性单位声明函</w:t>
      </w:r>
    </w:p>
    <w:p w14:paraId="5754BDAF">
      <w:pPr>
        <w:pStyle w:val="15"/>
        <w:jc w:val="center"/>
        <w:rPr>
          <w:rFonts w:ascii="宋体" w:hAnsi="宋体" w:cs="宋体"/>
          <w:sz w:val="21"/>
          <w:szCs w:val="21"/>
        </w:rPr>
      </w:pPr>
      <w:r>
        <w:rPr>
          <w:rFonts w:hint="eastAsia" w:ascii="宋体" w:hAnsi="宋体" w:cs="宋体"/>
          <w:sz w:val="21"/>
          <w:szCs w:val="21"/>
        </w:rPr>
        <w:t>【非残疾人福利性单位不用提供】</w:t>
      </w:r>
    </w:p>
    <w:p w14:paraId="260F5988">
      <w:pPr>
        <w:spacing w:line="588" w:lineRule="exact"/>
        <w:rPr>
          <w:rFonts w:ascii="宋体" w:hAnsi="宋体" w:cs="宋体"/>
          <w:b/>
          <w:spacing w:val="6"/>
          <w:sz w:val="21"/>
          <w:szCs w:val="21"/>
        </w:rPr>
      </w:pPr>
    </w:p>
    <w:p w14:paraId="34A861C0">
      <w:pPr>
        <w:snapToGrid w:val="0"/>
        <w:spacing w:line="360" w:lineRule="auto"/>
        <w:ind w:firstLine="420" w:firstLineChars="200"/>
        <w:rPr>
          <w:rFonts w:ascii="宋体" w:hAnsi="宋体" w:cs="宋体"/>
          <w:sz w:val="21"/>
          <w:szCs w:val="21"/>
        </w:rPr>
      </w:pPr>
      <w:r>
        <w:rPr>
          <w:rFonts w:hint="eastAsia" w:ascii="宋体" w:hAnsi="宋体" w:cs="宋体"/>
          <w:sz w:val="21"/>
          <w:szCs w:val="21"/>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AC734B">
      <w:pPr>
        <w:snapToGrid w:val="0"/>
        <w:spacing w:line="360" w:lineRule="auto"/>
        <w:ind w:firstLine="420" w:firstLineChars="200"/>
        <w:rPr>
          <w:rFonts w:ascii="宋体" w:hAnsi="宋体" w:cs="宋体"/>
          <w:sz w:val="21"/>
          <w:szCs w:val="21"/>
        </w:rPr>
      </w:pPr>
      <w:r>
        <w:rPr>
          <w:rFonts w:hint="eastAsia" w:ascii="宋体" w:hAnsi="宋体" w:cs="宋体"/>
          <w:sz w:val="21"/>
          <w:szCs w:val="21"/>
        </w:rPr>
        <w:t>本单位对上述声明的真实性负责。如有虚假，将依法承担相应责任。</w:t>
      </w:r>
    </w:p>
    <w:p w14:paraId="6E5CF9AE">
      <w:pPr>
        <w:snapToGrid w:val="0"/>
        <w:spacing w:line="360" w:lineRule="auto"/>
        <w:ind w:firstLine="420" w:firstLineChars="200"/>
        <w:rPr>
          <w:rFonts w:ascii="宋体" w:hAnsi="宋体" w:cs="宋体"/>
          <w:sz w:val="21"/>
          <w:szCs w:val="21"/>
        </w:rPr>
      </w:pPr>
    </w:p>
    <w:p w14:paraId="20948217">
      <w:pPr>
        <w:snapToGrid w:val="0"/>
        <w:spacing w:line="360" w:lineRule="auto"/>
        <w:ind w:firstLine="420" w:firstLineChars="200"/>
        <w:rPr>
          <w:rFonts w:ascii="宋体" w:hAnsi="宋体" w:cs="宋体"/>
          <w:sz w:val="21"/>
          <w:szCs w:val="21"/>
        </w:rPr>
      </w:pPr>
    </w:p>
    <w:p w14:paraId="464F0841">
      <w:pPr>
        <w:snapToGrid w:val="0"/>
        <w:spacing w:line="360" w:lineRule="auto"/>
        <w:ind w:firstLine="420" w:firstLineChars="200"/>
        <w:jc w:val="right"/>
        <w:rPr>
          <w:rFonts w:ascii="宋体" w:hAnsi="宋体" w:cs="宋体"/>
          <w:sz w:val="21"/>
          <w:szCs w:val="21"/>
        </w:rPr>
      </w:pPr>
      <w:r>
        <w:rPr>
          <w:rFonts w:hint="eastAsia" w:ascii="宋体" w:hAnsi="宋体" w:cs="宋体"/>
          <w:sz w:val="21"/>
          <w:szCs w:val="21"/>
        </w:rPr>
        <w:t>投标人名称：</w:t>
      </w:r>
    </w:p>
    <w:p w14:paraId="23A604C9">
      <w:pPr>
        <w:snapToGrid w:val="0"/>
        <w:spacing w:line="360" w:lineRule="auto"/>
        <w:ind w:firstLine="420" w:firstLineChars="200"/>
        <w:jc w:val="right"/>
        <w:rPr>
          <w:rFonts w:ascii="宋体" w:hAnsi="宋体" w:cs="宋体"/>
          <w:sz w:val="21"/>
          <w:szCs w:val="21"/>
        </w:rPr>
      </w:pPr>
    </w:p>
    <w:p w14:paraId="69FA536D">
      <w:pPr>
        <w:snapToGrid w:val="0"/>
        <w:spacing w:line="360" w:lineRule="auto"/>
        <w:ind w:firstLine="420" w:firstLineChars="200"/>
        <w:jc w:val="right"/>
        <w:rPr>
          <w:rFonts w:ascii="宋体" w:hAnsi="宋体" w:cs="宋体"/>
          <w:sz w:val="21"/>
          <w:szCs w:val="21"/>
        </w:rPr>
      </w:pPr>
      <w:r>
        <w:rPr>
          <w:rFonts w:hint="eastAsia" w:ascii="宋体" w:hAnsi="宋体" w:cs="宋体"/>
          <w:sz w:val="21"/>
          <w:szCs w:val="21"/>
        </w:rPr>
        <w:t>日期：年月日</w:t>
      </w:r>
    </w:p>
    <w:p w14:paraId="30142184">
      <w:pPr>
        <w:snapToGrid w:val="0"/>
        <w:spacing w:line="360" w:lineRule="auto"/>
        <w:ind w:firstLine="422" w:firstLineChars="200"/>
        <w:rPr>
          <w:rFonts w:ascii="宋体" w:hAnsi="宋体" w:cs="宋体"/>
          <w:b/>
          <w:sz w:val="21"/>
          <w:szCs w:val="21"/>
        </w:rPr>
      </w:pPr>
      <w:r>
        <w:rPr>
          <w:rFonts w:hint="eastAsia" w:ascii="宋体" w:hAnsi="宋体" w:cs="宋体"/>
          <w:b/>
          <w:sz w:val="21"/>
          <w:szCs w:val="21"/>
        </w:rPr>
        <w:t>注：中标投标人为残疾人福利性单位的，将随中标结果同时公告其《残疾人福利性单位声明函》，接受社会监督。</w:t>
      </w:r>
    </w:p>
    <w:p w14:paraId="49ACE175">
      <w:pPr>
        <w:autoSpaceDE w:val="0"/>
        <w:autoSpaceDN w:val="0"/>
        <w:adjustRightInd w:val="0"/>
        <w:spacing w:line="360" w:lineRule="auto"/>
        <w:ind w:right="-341" w:firstLine="480" w:firstLineChars="200"/>
        <w:jc w:val="left"/>
        <w:rPr>
          <w:rFonts w:ascii="宋体" w:hAnsi="宋体" w:cs="宋体"/>
          <w:kern w:val="0"/>
          <w:sz w:val="24"/>
        </w:rPr>
      </w:pPr>
    </w:p>
    <w:p w14:paraId="72C40B48">
      <w:pPr>
        <w:pStyle w:val="95"/>
        <w:spacing w:line="360" w:lineRule="auto"/>
        <w:ind w:firstLine="0"/>
        <w:jc w:val="left"/>
        <w:rPr>
          <w:rFonts w:hAnsi="宋体" w:cs="宋体"/>
          <w:b/>
          <w:bCs/>
          <w:kern w:val="2"/>
          <w:sz w:val="24"/>
        </w:rPr>
      </w:pPr>
    </w:p>
    <w:p w14:paraId="27E80A4E">
      <w:pPr>
        <w:pStyle w:val="95"/>
        <w:spacing w:line="360" w:lineRule="auto"/>
        <w:ind w:firstLine="0"/>
        <w:jc w:val="left"/>
        <w:rPr>
          <w:rFonts w:hAnsi="宋体" w:cs="宋体"/>
          <w:b/>
          <w:bCs/>
          <w:kern w:val="2"/>
          <w:sz w:val="24"/>
        </w:rPr>
      </w:pPr>
    </w:p>
    <w:p w14:paraId="77EDF723">
      <w:pPr>
        <w:jc w:val="right"/>
        <w:rPr>
          <w:rFonts w:ascii="宋体" w:hAnsi="宋体" w:cs="宋体"/>
          <w:sz w:val="24"/>
        </w:rPr>
      </w:pPr>
    </w:p>
    <w:p w14:paraId="1D8C27F8">
      <w:pPr>
        <w:pStyle w:val="22"/>
        <w:spacing w:line="420" w:lineRule="exact"/>
        <w:jc w:val="left"/>
        <w:outlineLvl w:val="2"/>
        <w:rPr>
          <w:rFonts w:hAnsi="宋体" w:eastAsia="宋体" w:cs="宋体"/>
          <w:b/>
          <w:sz w:val="24"/>
        </w:rPr>
      </w:pPr>
      <w:r>
        <w:rPr>
          <w:rFonts w:hint="eastAsia" w:hAnsi="宋体" w:eastAsia="宋体" w:cs="宋体"/>
          <w:b/>
          <w:spacing w:val="-4"/>
          <w:sz w:val="24"/>
        </w:rPr>
        <w:br w:type="page"/>
      </w:r>
      <w:r>
        <w:rPr>
          <w:rFonts w:hint="eastAsia" w:hAnsi="宋体" w:eastAsia="宋体" w:cs="宋体"/>
          <w:b/>
          <w:spacing w:val="-4"/>
          <w:sz w:val="24"/>
          <w:lang w:val="en-US" w:eastAsia="zh-CN"/>
        </w:rPr>
        <w:t>六</w:t>
      </w:r>
      <w:r>
        <w:rPr>
          <w:rFonts w:hint="eastAsia" w:hAnsi="宋体" w:eastAsia="宋体" w:cs="宋体"/>
          <w:b/>
          <w:sz w:val="24"/>
        </w:rPr>
        <w:t>、投标函格式:</w:t>
      </w:r>
    </w:p>
    <w:p w14:paraId="668924DD">
      <w:pPr>
        <w:snapToGrid w:val="0"/>
        <w:spacing w:beforeLines="50" w:after="50"/>
        <w:jc w:val="center"/>
        <w:rPr>
          <w:rFonts w:ascii="宋体" w:hAnsi="宋体" w:cs="宋体"/>
          <w:b/>
          <w:sz w:val="24"/>
        </w:rPr>
      </w:pPr>
      <w:r>
        <w:rPr>
          <w:rFonts w:hint="eastAsia" w:ascii="宋体" w:hAnsi="宋体" w:cs="宋体"/>
          <w:b/>
          <w:sz w:val="24"/>
        </w:rPr>
        <w:t>投标函</w:t>
      </w:r>
    </w:p>
    <w:p w14:paraId="79078B75">
      <w:pPr>
        <w:snapToGrid w:val="0"/>
        <w:spacing w:line="360" w:lineRule="auto"/>
        <w:rPr>
          <w:rFonts w:ascii="宋体" w:hAnsi="宋体" w:cs="宋体"/>
          <w:szCs w:val="21"/>
        </w:rPr>
      </w:pPr>
      <w:r>
        <w:rPr>
          <w:rFonts w:hint="eastAsia" w:ascii="宋体" w:hAnsi="宋体" w:cs="宋体"/>
          <w:szCs w:val="21"/>
        </w:rPr>
        <w:t>致：</w:t>
      </w:r>
      <w:r>
        <w:rPr>
          <w:rFonts w:hint="eastAsia" w:ascii="宋体" w:hAnsi="宋体" w:cs="宋体"/>
          <w:szCs w:val="21"/>
          <w:u w:val="single"/>
        </w:rPr>
        <w:t>（采购人）</w:t>
      </w:r>
      <w:r>
        <w:rPr>
          <w:rFonts w:hint="eastAsia" w:ascii="宋体" w:hAnsi="宋体" w:cs="宋体"/>
          <w:szCs w:val="21"/>
        </w:rPr>
        <w:t>：</w:t>
      </w:r>
    </w:p>
    <w:p w14:paraId="312A5E9F">
      <w:pPr>
        <w:pStyle w:val="139"/>
        <w:spacing w:line="360" w:lineRule="auto"/>
        <w:ind w:right="-91" w:firstLine="404" w:firstLineChars="200"/>
        <w:rPr>
          <w:rFonts w:hAnsi="宋体" w:cs="宋体"/>
          <w:sz w:val="21"/>
          <w:szCs w:val="21"/>
        </w:rPr>
      </w:pPr>
      <w:r>
        <w:rPr>
          <w:rFonts w:hint="eastAsia" w:hAnsi="宋体" w:cs="宋体"/>
          <w:sz w:val="21"/>
          <w:szCs w:val="21"/>
        </w:rPr>
        <w:t>我方</w:t>
      </w:r>
      <w:r>
        <w:rPr>
          <w:rFonts w:hint="eastAsia" w:hAnsi="宋体" w:cs="宋体"/>
          <w:b/>
          <w:sz w:val="21"/>
          <w:szCs w:val="21"/>
          <w:u w:val="single"/>
        </w:rPr>
        <w:t>（</w:t>
      </w:r>
      <w:r>
        <w:rPr>
          <w:rFonts w:hint="eastAsia" w:hAnsi="宋体" w:cs="宋体"/>
          <w:sz w:val="21"/>
          <w:szCs w:val="21"/>
          <w:u w:val="single"/>
        </w:rPr>
        <w:t>响应人名称）</w:t>
      </w:r>
      <w:r>
        <w:rPr>
          <w:rFonts w:hint="eastAsia" w:hAnsi="宋体" w:cs="宋体"/>
          <w:sz w:val="21"/>
          <w:szCs w:val="21"/>
        </w:rPr>
        <w:t>已详细审查了贵方采购编号为</w:t>
      </w:r>
      <w:r>
        <w:rPr>
          <w:rFonts w:hint="eastAsia" w:hAnsi="宋体" w:cs="宋体"/>
          <w:b/>
          <w:spacing w:val="20"/>
          <w:sz w:val="21"/>
          <w:szCs w:val="21"/>
          <w:u w:val="single"/>
        </w:rPr>
        <w:t>（</w:t>
      </w:r>
      <w:r>
        <w:rPr>
          <w:rFonts w:hint="eastAsia" w:hAnsi="宋体" w:cs="宋体"/>
          <w:b/>
          <w:sz w:val="21"/>
          <w:szCs w:val="21"/>
          <w:u w:val="single"/>
        </w:rPr>
        <w:t>采购编号）</w:t>
      </w:r>
      <w:r>
        <w:rPr>
          <w:rFonts w:hint="eastAsia" w:hAnsi="宋体" w:cs="宋体"/>
          <w:sz w:val="21"/>
          <w:szCs w:val="21"/>
        </w:rPr>
        <w:t>的</w:t>
      </w:r>
      <w:r>
        <w:rPr>
          <w:rFonts w:hint="eastAsia" w:hAnsi="宋体" w:cs="宋体"/>
          <w:b/>
          <w:sz w:val="21"/>
          <w:szCs w:val="21"/>
          <w:u w:val="single"/>
        </w:rPr>
        <w:t>（项目名称）</w:t>
      </w:r>
      <w:r>
        <w:rPr>
          <w:rFonts w:hint="eastAsia" w:hAnsi="宋体" w:cs="宋体"/>
          <w:sz w:val="21"/>
          <w:szCs w:val="21"/>
        </w:rPr>
        <w:t>采购项目的采购文件及其相关补充文件</w:t>
      </w:r>
      <w:r>
        <w:rPr>
          <w:rFonts w:hint="eastAsia" w:hAnsi="宋体" w:cs="宋体"/>
          <w:b/>
          <w:sz w:val="21"/>
          <w:szCs w:val="21"/>
        </w:rPr>
        <w:t>（若有）</w:t>
      </w:r>
      <w:r>
        <w:rPr>
          <w:rFonts w:hint="eastAsia" w:hAnsi="宋体" w:cs="宋体"/>
          <w:sz w:val="21"/>
          <w:szCs w:val="21"/>
        </w:rPr>
        <w:t>，现就有关事项向采购代理机构郑重承诺如下：</w:t>
      </w:r>
    </w:p>
    <w:p w14:paraId="0D5F2808">
      <w:pPr>
        <w:pStyle w:val="139"/>
        <w:spacing w:line="360" w:lineRule="auto"/>
        <w:ind w:right="-91" w:firstLine="404" w:firstLineChars="200"/>
        <w:rPr>
          <w:rFonts w:hAnsi="宋体" w:cs="宋体"/>
          <w:sz w:val="21"/>
          <w:szCs w:val="21"/>
        </w:rPr>
      </w:pPr>
      <w:r>
        <w:rPr>
          <w:rFonts w:hint="eastAsia" w:hAnsi="宋体" w:cs="宋体"/>
          <w:sz w:val="21"/>
          <w:szCs w:val="21"/>
        </w:rPr>
        <w:t>一、具备《中华人民共和国政府采购法》第二十二条第一款规定的条件：</w:t>
      </w:r>
    </w:p>
    <w:p w14:paraId="7FEF6A51">
      <w:pPr>
        <w:pStyle w:val="139"/>
        <w:spacing w:line="360" w:lineRule="auto"/>
        <w:ind w:right="-91" w:firstLine="404" w:firstLineChars="200"/>
        <w:rPr>
          <w:rFonts w:hAnsi="宋体" w:cs="宋体"/>
          <w:sz w:val="21"/>
          <w:szCs w:val="21"/>
        </w:rPr>
      </w:pPr>
      <w:r>
        <w:rPr>
          <w:rFonts w:hint="eastAsia" w:hAnsi="宋体" w:cs="宋体"/>
          <w:sz w:val="21"/>
          <w:szCs w:val="21"/>
        </w:rPr>
        <w:t>1、具有独立承担民事责任的能力；</w:t>
      </w:r>
    </w:p>
    <w:p w14:paraId="374F4351">
      <w:pPr>
        <w:pStyle w:val="139"/>
        <w:spacing w:line="360" w:lineRule="auto"/>
        <w:ind w:right="-91" w:firstLine="404" w:firstLineChars="200"/>
        <w:rPr>
          <w:rFonts w:hAnsi="宋体" w:cs="宋体"/>
          <w:sz w:val="21"/>
          <w:szCs w:val="21"/>
        </w:rPr>
      </w:pPr>
      <w:r>
        <w:rPr>
          <w:rFonts w:hint="eastAsia" w:hAnsi="宋体" w:cs="宋体"/>
          <w:sz w:val="21"/>
          <w:szCs w:val="21"/>
        </w:rPr>
        <w:t>2、具有良好的商业信誉和健全的财务会计制度；</w:t>
      </w:r>
    </w:p>
    <w:p w14:paraId="074361FC">
      <w:pPr>
        <w:pStyle w:val="139"/>
        <w:spacing w:line="360" w:lineRule="auto"/>
        <w:ind w:right="-91" w:firstLine="404" w:firstLineChars="200"/>
        <w:rPr>
          <w:rFonts w:hAnsi="宋体" w:cs="宋体"/>
          <w:sz w:val="21"/>
          <w:szCs w:val="21"/>
        </w:rPr>
      </w:pPr>
      <w:r>
        <w:rPr>
          <w:rFonts w:hint="eastAsia" w:hAnsi="宋体" w:cs="宋体"/>
          <w:sz w:val="21"/>
          <w:szCs w:val="21"/>
        </w:rPr>
        <w:t>3、具有履行合同所必需的设备和专业技术能力；</w:t>
      </w:r>
    </w:p>
    <w:p w14:paraId="4FADE7EE">
      <w:pPr>
        <w:pStyle w:val="139"/>
        <w:spacing w:line="360" w:lineRule="auto"/>
        <w:ind w:right="-91" w:firstLine="404" w:firstLineChars="200"/>
        <w:rPr>
          <w:rFonts w:hAnsi="宋体" w:cs="宋体"/>
          <w:sz w:val="21"/>
          <w:szCs w:val="21"/>
        </w:rPr>
      </w:pPr>
      <w:r>
        <w:rPr>
          <w:rFonts w:hint="eastAsia" w:hAnsi="宋体" w:cs="宋体"/>
          <w:sz w:val="21"/>
          <w:szCs w:val="21"/>
        </w:rPr>
        <w:t>4、有依法缴纳税收和社会保障资金的良好记录；</w:t>
      </w:r>
    </w:p>
    <w:p w14:paraId="621AA222">
      <w:pPr>
        <w:pStyle w:val="139"/>
        <w:spacing w:line="360" w:lineRule="auto"/>
        <w:ind w:right="-91" w:firstLine="404" w:firstLineChars="200"/>
        <w:rPr>
          <w:rFonts w:hAnsi="宋体" w:cs="宋体"/>
          <w:sz w:val="21"/>
          <w:szCs w:val="21"/>
        </w:rPr>
      </w:pPr>
      <w:r>
        <w:rPr>
          <w:rFonts w:hint="eastAsia" w:hAnsi="宋体" w:cs="宋体"/>
          <w:sz w:val="21"/>
          <w:szCs w:val="21"/>
        </w:rPr>
        <w:t>5、参加政府采购活动前三年内，在经营活动中没有重大违法记录；</w:t>
      </w:r>
    </w:p>
    <w:p w14:paraId="68D5EFE1">
      <w:pPr>
        <w:pStyle w:val="139"/>
        <w:spacing w:line="360" w:lineRule="auto"/>
        <w:ind w:right="-91" w:firstLine="404" w:firstLineChars="200"/>
        <w:rPr>
          <w:rFonts w:hAnsi="宋体" w:cs="宋体"/>
          <w:sz w:val="21"/>
          <w:szCs w:val="21"/>
        </w:rPr>
      </w:pPr>
      <w:r>
        <w:rPr>
          <w:rFonts w:hint="eastAsia" w:hAnsi="宋体" w:cs="宋体"/>
          <w:sz w:val="21"/>
          <w:szCs w:val="21"/>
        </w:rPr>
        <w:t>6、法律、行政法规规定的其他条件</w:t>
      </w:r>
    </w:p>
    <w:p w14:paraId="53FC07F1">
      <w:pPr>
        <w:pStyle w:val="139"/>
        <w:spacing w:line="360" w:lineRule="auto"/>
        <w:ind w:right="-91" w:firstLine="404" w:firstLineChars="200"/>
        <w:rPr>
          <w:rFonts w:hAnsi="宋体" w:cs="宋体"/>
          <w:sz w:val="21"/>
          <w:szCs w:val="21"/>
        </w:rPr>
      </w:pPr>
      <w:r>
        <w:rPr>
          <w:rFonts w:hint="eastAsia" w:hAnsi="宋体" w:cs="宋体"/>
          <w:sz w:val="21"/>
          <w:szCs w:val="21"/>
        </w:rPr>
        <w:t>二、未被“信用中国”（www.creditchina.gov.cn）、“中国政府采购网”（www.ccgp.gov.cn）列入失信被执行人、重大税收违法案件当事人名单、政府采购严重违法失信行为记录名单。</w:t>
      </w:r>
    </w:p>
    <w:p w14:paraId="6C2D84CE">
      <w:pPr>
        <w:pStyle w:val="139"/>
        <w:spacing w:line="360" w:lineRule="auto"/>
        <w:ind w:right="-91" w:firstLine="404" w:firstLineChars="200"/>
        <w:rPr>
          <w:rFonts w:hAnsi="宋体" w:cs="宋体"/>
          <w:sz w:val="21"/>
          <w:szCs w:val="21"/>
        </w:rPr>
      </w:pPr>
      <w:r>
        <w:rPr>
          <w:rFonts w:hint="eastAsia" w:hAnsi="宋体" w:cs="宋体"/>
          <w:sz w:val="21"/>
          <w:szCs w:val="21"/>
        </w:rPr>
        <w:t>三、其他</w:t>
      </w:r>
    </w:p>
    <w:p w14:paraId="044266E2">
      <w:pPr>
        <w:spacing w:line="360" w:lineRule="auto"/>
        <w:ind w:firstLine="420" w:firstLineChars="200"/>
        <w:jc w:val="left"/>
        <w:rPr>
          <w:rFonts w:ascii="宋体" w:hAnsi="宋体" w:cs="宋体"/>
          <w:szCs w:val="21"/>
        </w:rPr>
      </w:pPr>
      <w:r>
        <w:rPr>
          <w:rFonts w:hint="eastAsia" w:ascii="宋体" w:hAnsi="宋体" w:cs="宋体"/>
          <w:szCs w:val="21"/>
        </w:rPr>
        <w:t>1、我方已详细审查了采购文件的全部内容及其相关补充文件（若有），并完全清晰理解全部内容及相关的补充文件（若有），不存在任何误解之处，同意放弃提出异议和质疑的权利。</w:t>
      </w:r>
    </w:p>
    <w:p w14:paraId="090BB16E">
      <w:pPr>
        <w:spacing w:line="360" w:lineRule="auto"/>
        <w:ind w:firstLine="420" w:firstLineChars="200"/>
        <w:jc w:val="left"/>
        <w:rPr>
          <w:rFonts w:ascii="宋体" w:hAnsi="宋体" w:cs="宋体"/>
          <w:szCs w:val="21"/>
        </w:rPr>
      </w:pPr>
      <w:r>
        <w:rPr>
          <w:rFonts w:hint="eastAsia" w:ascii="宋体" w:hAnsi="宋体" w:cs="宋体"/>
          <w:szCs w:val="21"/>
        </w:rPr>
        <w:t>2、我方遵守《中华人民共和国政府采购法》及相关法律法规的规定。同意采购文件中所提到的无效标条款。否则，同意被废除投标资格。</w:t>
      </w:r>
    </w:p>
    <w:p w14:paraId="238F798D">
      <w:pPr>
        <w:spacing w:line="360" w:lineRule="auto"/>
        <w:ind w:firstLine="420" w:firstLineChars="200"/>
        <w:jc w:val="left"/>
        <w:rPr>
          <w:rFonts w:ascii="宋体" w:hAnsi="宋体" w:cs="宋体"/>
          <w:szCs w:val="21"/>
        </w:rPr>
      </w:pPr>
      <w:r>
        <w:rPr>
          <w:rFonts w:hint="eastAsia" w:ascii="宋体" w:hAnsi="宋体" w:cs="宋体"/>
          <w:szCs w:val="21"/>
        </w:rPr>
        <w:t>3、投标有效期为自开标之日起90天内，如在投标有效期内撤回投标，我方同意被废除投标资格。</w:t>
      </w:r>
    </w:p>
    <w:p w14:paraId="1D5A396B">
      <w:pPr>
        <w:spacing w:line="360" w:lineRule="auto"/>
        <w:ind w:firstLine="420" w:firstLineChars="200"/>
        <w:jc w:val="left"/>
        <w:rPr>
          <w:rFonts w:ascii="宋体" w:hAnsi="宋体" w:cs="宋体"/>
          <w:szCs w:val="21"/>
        </w:rPr>
      </w:pPr>
      <w:r>
        <w:rPr>
          <w:rFonts w:hint="eastAsia" w:ascii="宋体" w:hAnsi="宋体" w:cs="宋体"/>
          <w:szCs w:val="21"/>
        </w:rPr>
        <w:t>4、我方承诺具备本项目履行合同所必需的设备和专业技术能力。</w:t>
      </w:r>
    </w:p>
    <w:p w14:paraId="0D2F8DAF">
      <w:pPr>
        <w:spacing w:line="360" w:lineRule="auto"/>
        <w:ind w:firstLine="420" w:firstLineChars="200"/>
        <w:jc w:val="left"/>
        <w:rPr>
          <w:rFonts w:ascii="宋体" w:hAnsi="宋体" w:cs="宋体"/>
          <w:szCs w:val="21"/>
        </w:rPr>
      </w:pPr>
      <w:r>
        <w:rPr>
          <w:rFonts w:hint="eastAsia" w:ascii="宋体" w:hAnsi="宋体" w:cs="宋体"/>
          <w:szCs w:val="21"/>
        </w:rPr>
        <w:t>5、我方承诺所提供的一切投标文件已认真严格审核，内容均为全面真实、准确有效且毫无保留，绝无任何遗漏、虚假、伪造和夸大的成分，若出现违背诚实信用和无如实告知之处，同意被废除投标资格和相关的处罚。</w:t>
      </w:r>
    </w:p>
    <w:p w14:paraId="2349196B">
      <w:pPr>
        <w:pStyle w:val="15"/>
        <w:ind w:firstLine="480"/>
        <w:jc w:val="right"/>
        <w:rPr>
          <w:rFonts w:ascii="宋体" w:hAnsi="宋体" w:cs="宋体"/>
          <w:sz w:val="21"/>
          <w:szCs w:val="21"/>
        </w:rPr>
      </w:pPr>
    </w:p>
    <w:p w14:paraId="3F929CC3">
      <w:pPr>
        <w:snapToGrid w:val="0"/>
        <w:spacing w:line="360" w:lineRule="auto"/>
        <w:jc w:val="right"/>
        <w:rPr>
          <w:rFonts w:ascii="宋体" w:hAnsi="宋体" w:cs="宋体"/>
          <w:szCs w:val="21"/>
        </w:rPr>
      </w:pPr>
      <w:r>
        <w:rPr>
          <w:rFonts w:hint="eastAsia" w:ascii="宋体" w:hAnsi="宋体" w:cs="宋体"/>
          <w:szCs w:val="21"/>
        </w:rPr>
        <w:t>投标人名称（公章）:___________________</w:t>
      </w:r>
    </w:p>
    <w:p w14:paraId="1CDDCE18">
      <w:pPr>
        <w:snapToGrid w:val="0"/>
        <w:spacing w:line="360" w:lineRule="auto"/>
        <w:jc w:val="right"/>
        <w:rPr>
          <w:rFonts w:ascii="宋体" w:hAnsi="宋体" w:cs="宋体"/>
          <w:szCs w:val="21"/>
        </w:rPr>
      </w:pPr>
      <w:r>
        <w:rPr>
          <w:rFonts w:hint="eastAsia" w:ascii="宋体" w:hAnsi="宋体" w:cs="宋体"/>
          <w:color w:val="000000"/>
          <w:szCs w:val="21"/>
        </w:rPr>
        <w:t>法</w:t>
      </w:r>
      <w:r>
        <w:rPr>
          <w:rFonts w:hint="eastAsia" w:ascii="宋体" w:hAnsi="宋体" w:cs="宋体"/>
          <w:szCs w:val="21"/>
        </w:rPr>
        <w:t xml:space="preserve">定代表人（签字或盖章）：___________             </w:t>
      </w:r>
    </w:p>
    <w:p w14:paraId="3A685AAC">
      <w:pPr>
        <w:snapToGrid w:val="0"/>
        <w:spacing w:line="360" w:lineRule="auto"/>
        <w:jc w:val="right"/>
        <w:rPr>
          <w:rFonts w:ascii="宋体" w:hAnsi="宋体" w:cs="宋体"/>
          <w:szCs w:val="21"/>
        </w:rPr>
      </w:pPr>
      <w:r>
        <w:rPr>
          <w:rFonts w:hint="eastAsia" w:ascii="宋体" w:hAnsi="宋体" w:cs="宋体"/>
          <w:szCs w:val="21"/>
        </w:rPr>
        <w:t>日期：_____年___月___日</w:t>
      </w:r>
    </w:p>
    <w:p w14:paraId="764707F0">
      <w:pPr>
        <w:pStyle w:val="87"/>
        <w:spacing w:line="360" w:lineRule="auto"/>
        <w:ind w:firstLine="0"/>
        <w:jc w:val="left"/>
        <w:rPr>
          <w:rFonts w:ascii="宋体" w:hAnsi="宋体" w:cs="宋体"/>
          <w:b/>
          <w:sz w:val="24"/>
          <w:szCs w:val="24"/>
        </w:rPr>
      </w:pPr>
    </w:p>
    <w:p w14:paraId="368DC499">
      <w:pPr>
        <w:snapToGrid w:val="0"/>
        <w:spacing w:beforeLines="50" w:after="50"/>
        <w:outlineLvl w:val="2"/>
        <w:rPr>
          <w:rFonts w:ascii="宋体" w:hAnsi="宋体" w:cs="宋体"/>
          <w:b/>
          <w:sz w:val="24"/>
        </w:rPr>
      </w:pPr>
      <w:r>
        <w:rPr>
          <w:rFonts w:hint="eastAsia" w:ascii="宋体" w:hAnsi="宋体" w:cs="宋体"/>
          <w:b/>
          <w:sz w:val="24"/>
          <w:lang w:val="en-US" w:eastAsia="zh-CN"/>
        </w:rPr>
        <w:t>七</w:t>
      </w:r>
      <w:r>
        <w:rPr>
          <w:rFonts w:hint="eastAsia" w:ascii="宋体" w:hAnsi="宋体" w:cs="宋体"/>
          <w:b/>
          <w:sz w:val="24"/>
        </w:rPr>
        <w:t>、投标人基本情况表（如有）</w:t>
      </w:r>
    </w:p>
    <w:p w14:paraId="54D81B1D">
      <w:pPr>
        <w:pStyle w:val="15"/>
        <w:spacing w:line="360" w:lineRule="auto"/>
        <w:ind w:firstLine="360" w:firstLineChars="150"/>
        <w:rPr>
          <w:rFonts w:ascii="宋体" w:hAnsi="宋体" w:cs="宋体"/>
        </w:rPr>
      </w:pPr>
    </w:p>
    <w:p w14:paraId="143A3810">
      <w:pPr>
        <w:pStyle w:val="93"/>
        <w:snapToGrid w:val="0"/>
        <w:spacing w:before="156" w:after="156" w:line="360" w:lineRule="auto"/>
        <w:outlineLvl w:val="2"/>
        <w:rPr>
          <w:rFonts w:hAnsi="宋体" w:cs="宋体"/>
          <w:b/>
          <w:bCs/>
          <w:sz w:val="24"/>
          <w:szCs w:val="24"/>
          <w:lang w:val="zh-CN"/>
        </w:rPr>
      </w:pPr>
      <w:r>
        <w:rPr>
          <w:rFonts w:hint="eastAsia" w:hAnsi="宋体" w:cs="宋体"/>
          <w:sz w:val="24"/>
          <w:szCs w:val="24"/>
        </w:rPr>
        <w:br w:type="page"/>
      </w:r>
      <w:r>
        <w:rPr>
          <w:rFonts w:hint="eastAsia" w:hAnsi="宋体" w:cs="宋体"/>
          <w:sz w:val="24"/>
          <w:szCs w:val="24"/>
          <w:lang w:val="en-US" w:eastAsia="zh-CN"/>
        </w:rPr>
        <w:t>八</w:t>
      </w:r>
      <w:r>
        <w:rPr>
          <w:rFonts w:hint="eastAsia" w:hAnsi="宋体" w:cs="宋体"/>
          <w:b/>
          <w:sz w:val="24"/>
          <w:szCs w:val="24"/>
        </w:rPr>
        <w:t>、</w:t>
      </w:r>
      <w:r>
        <w:rPr>
          <w:rFonts w:hint="eastAsia" w:hAnsi="宋体" w:cs="宋体"/>
          <w:b/>
          <w:bCs/>
          <w:sz w:val="24"/>
          <w:szCs w:val="24"/>
        </w:rPr>
        <w:t>供应商自评表</w:t>
      </w:r>
    </w:p>
    <w:p w14:paraId="0C320569">
      <w:pPr>
        <w:pStyle w:val="15"/>
        <w:rPr>
          <w:rFonts w:ascii="宋体" w:hAnsi="宋体" w:cs="宋体"/>
          <w:b/>
          <w:bCs/>
        </w:rPr>
      </w:pPr>
    </w:p>
    <w:tbl>
      <w:tblPr>
        <w:tblStyle w:val="37"/>
        <w:tblW w:w="9024" w:type="dxa"/>
        <w:jc w:val="center"/>
        <w:tblLayout w:type="fixed"/>
        <w:tblCellMar>
          <w:top w:w="0" w:type="dxa"/>
          <w:left w:w="108" w:type="dxa"/>
          <w:bottom w:w="0" w:type="dxa"/>
          <w:right w:w="108" w:type="dxa"/>
        </w:tblCellMar>
      </w:tblPr>
      <w:tblGrid>
        <w:gridCol w:w="708"/>
        <w:gridCol w:w="1609"/>
        <w:gridCol w:w="5012"/>
        <w:gridCol w:w="795"/>
        <w:gridCol w:w="900"/>
      </w:tblGrid>
      <w:tr w14:paraId="2E7535EC">
        <w:tblPrEx>
          <w:tblCellMar>
            <w:top w:w="0" w:type="dxa"/>
            <w:left w:w="108" w:type="dxa"/>
            <w:bottom w:w="0" w:type="dxa"/>
            <w:right w:w="108" w:type="dxa"/>
          </w:tblCellMar>
        </w:tblPrEx>
        <w:trPr>
          <w:trHeight w:val="270" w:hRule="atLeast"/>
          <w:jc w:val="center"/>
        </w:trPr>
        <w:tc>
          <w:tcPr>
            <w:tcW w:w="708" w:type="dxa"/>
            <w:tcBorders>
              <w:top w:val="single" w:color="auto" w:sz="8" w:space="0"/>
              <w:left w:val="single" w:color="auto" w:sz="8" w:space="0"/>
              <w:bottom w:val="nil"/>
              <w:right w:val="single" w:color="auto" w:sz="8" w:space="0"/>
            </w:tcBorders>
            <w:shd w:val="clear" w:color="000000" w:fill="FFFFFF"/>
            <w:vAlign w:val="center"/>
          </w:tcPr>
          <w:p w14:paraId="23125C62">
            <w:pPr>
              <w:jc w:val="center"/>
              <w:rPr>
                <w:rFonts w:ascii="宋体" w:hAnsi="宋体" w:cs="宋体"/>
                <w:kern w:val="0"/>
                <w:sz w:val="24"/>
              </w:rPr>
            </w:pPr>
            <w:r>
              <w:rPr>
                <w:rFonts w:hint="eastAsia" w:ascii="宋体" w:hAnsi="宋体" w:cs="宋体"/>
                <w:kern w:val="0"/>
                <w:sz w:val="24"/>
              </w:rPr>
              <w:t>序号</w:t>
            </w:r>
          </w:p>
        </w:tc>
        <w:tc>
          <w:tcPr>
            <w:tcW w:w="1609" w:type="dxa"/>
            <w:tcBorders>
              <w:top w:val="single" w:color="auto" w:sz="8" w:space="0"/>
              <w:left w:val="nil"/>
              <w:bottom w:val="nil"/>
              <w:right w:val="single" w:color="auto" w:sz="8" w:space="0"/>
            </w:tcBorders>
            <w:shd w:val="clear" w:color="000000" w:fill="FFFFFF"/>
            <w:vAlign w:val="center"/>
          </w:tcPr>
          <w:p w14:paraId="2D7E9725">
            <w:pPr>
              <w:jc w:val="center"/>
              <w:rPr>
                <w:rFonts w:ascii="宋体" w:hAnsi="宋体" w:cs="宋体"/>
                <w:kern w:val="0"/>
                <w:sz w:val="24"/>
              </w:rPr>
            </w:pPr>
            <w:r>
              <w:rPr>
                <w:rFonts w:hint="eastAsia" w:ascii="宋体" w:hAnsi="宋体" w:cs="宋体"/>
                <w:kern w:val="0"/>
                <w:sz w:val="24"/>
              </w:rPr>
              <w:t>评分</w:t>
            </w:r>
          </w:p>
          <w:p w14:paraId="031E6B1C">
            <w:pPr>
              <w:jc w:val="center"/>
              <w:rPr>
                <w:rFonts w:ascii="宋体" w:hAnsi="宋体" w:cs="宋体"/>
                <w:kern w:val="0"/>
                <w:sz w:val="24"/>
              </w:rPr>
            </w:pPr>
            <w:r>
              <w:rPr>
                <w:rFonts w:hint="eastAsia" w:ascii="宋体" w:hAnsi="宋体" w:cs="宋体"/>
                <w:kern w:val="0"/>
                <w:sz w:val="24"/>
              </w:rPr>
              <w:t>内容</w:t>
            </w:r>
          </w:p>
        </w:tc>
        <w:tc>
          <w:tcPr>
            <w:tcW w:w="5012" w:type="dxa"/>
            <w:tcBorders>
              <w:top w:val="single" w:color="auto" w:sz="8" w:space="0"/>
              <w:left w:val="nil"/>
              <w:bottom w:val="nil"/>
              <w:right w:val="single" w:color="auto" w:sz="4" w:space="0"/>
            </w:tcBorders>
            <w:shd w:val="clear" w:color="000000" w:fill="FFFFFF"/>
            <w:vAlign w:val="center"/>
          </w:tcPr>
          <w:p w14:paraId="11E5B82A">
            <w:pPr>
              <w:jc w:val="center"/>
              <w:rPr>
                <w:rFonts w:ascii="宋体" w:hAnsi="宋体" w:cs="宋体"/>
                <w:kern w:val="0"/>
                <w:sz w:val="24"/>
              </w:rPr>
            </w:pPr>
            <w:r>
              <w:rPr>
                <w:rFonts w:hint="eastAsia" w:ascii="宋体" w:hAnsi="宋体" w:cs="宋体"/>
                <w:kern w:val="0"/>
                <w:sz w:val="24"/>
              </w:rPr>
              <w:t>评分原则</w:t>
            </w:r>
          </w:p>
        </w:tc>
        <w:tc>
          <w:tcPr>
            <w:tcW w:w="795" w:type="dxa"/>
            <w:tcBorders>
              <w:top w:val="single" w:color="auto" w:sz="4" w:space="0"/>
              <w:left w:val="single" w:color="auto" w:sz="4" w:space="0"/>
              <w:bottom w:val="single" w:color="auto" w:sz="4" w:space="0"/>
              <w:right w:val="single" w:color="auto" w:sz="4" w:space="0"/>
            </w:tcBorders>
            <w:shd w:val="clear" w:color="000000" w:fill="FFFFFF"/>
            <w:vAlign w:val="center"/>
          </w:tcPr>
          <w:p w14:paraId="694AF2B3">
            <w:pPr>
              <w:jc w:val="center"/>
              <w:rPr>
                <w:rFonts w:ascii="宋体" w:hAnsi="宋体" w:cs="宋体"/>
                <w:kern w:val="0"/>
                <w:sz w:val="24"/>
              </w:rPr>
            </w:pPr>
            <w:r>
              <w:rPr>
                <w:rFonts w:hint="eastAsia" w:ascii="宋体" w:hAnsi="宋体" w:cs="宋体"/>
                <w:kern w:val="0"/>
                <w:sz w:val="24"/>
              </w:rPr>
              <w:t>自评分</w:t>
            </w: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11945196">
            <w:pPr>
              <w:jc w:val="center"/>
              <w:rPr>
                <w:rFonts w:ascii="宋体" w:hAnsi="宋体" w:cs="宋体"/>
                <w:kern w:val="0"/>
                <w:sz w:val="24"/>
              </w:rPr>
            </w:pPr>
            <w:r>
              <w:rPr>
                <w:rFonts w:hint="eastAsia" w:ascii="宋体" w:hAnsi="宋体" w:cs="宋体"/>
                <w:kern w:val="0"/>
                <w:sz w:val="24"/>
              </w:rPr>
              <w:t>投标文件页码</w:t>
            </w:r>
          </w:p>
        </w:tc>
      </w:tr>
      <w:tr w14:paraId="7F33D6A1">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vAlign w:val="center"/>
          </w:tcPr>
          <w:p w14:paraId="59C28418">
            <w:pPr>
              <w:jc w:val="center"/>
              <w:rPr>
                <w:rFonts w:ascii="宋体" w:hAnsi="宋体" w:cs="宋体"/>
                <w:kern w:val="0"/>
                <w:sz w:val="24"/>
              </w:rPr>
            </w:pPr>
            <w:r>
              <w:rPr>
                <w:rFonts w:hint="eastAsia" w:ascii="宋体" w:hAnsi="宋体" w:cs="宋体"/>
                <w:kern w:val="0"/>
                <w:sz w:val="24"/>
              </w:rPr>
              <w:t>1</w:t>
            </w:r>
          </w:p>
        </w:tc>
        <w:tc>
          <w:tcPr>
            <w:tcW w:w="1609" w:type="dxa"/>
            <w:vMerge w:val="restart"/>
            <w:tcBorders>
              <w:top w:val="single" w:color="auto" w:sz="4" w:space="0"/>
              <w:left w:val="single" w:color="auto" w:sz="4" w:space="0"/>
              <w:right w:val="single" w:color="auto" w:sz="4" w:space="0"/>
            </w:tcBorders>
            <w:shd w:val="clear" w:color="000000" w:fill="FFFFFF"/>
            <w:vAlign w:val="center"/>
          </w:tcPr>
          <w:p w14:paraId="1A89C1ED">
            <w:pPr>
              <w:jc w:val="center"/>
              <w:rPr>
                <w:rFonts w:ascii="宋体" w:hAnsi="宋体" w:cs="宋体"/>
                <w:kern w:val="0"/>
                <w:sz w:val="24"/>
              </w:rPr>
            </w:pPr>
            <w:r>
              <w:rPr>
                <w:rFonts w:hint="eastAsia" w:ascii="宋体" w:hAnsi="宋体" w:cs="宋体"/>
                <w:kern w:val="0"/>
                <w:sz w:val="24"/>
              </w:rPr>
              <w:t>商务分</w:t>
            </w:r>
          </w:p>
        </w:tc>
        <w:tc>
          <w:tcPr>
            <w:tcW w:w="5012" w:type="dxa"/>
            <w:tcBorders>
              <w:top w:val="single" w:color="auto" w:sz="4" w:space="0"/>
              <w:left w:val="nil"/>
              <w:bottom w:val="single" w:color="auto" w:sz="4" w:space="0"/>
              <w:right w:val="single" w:color="auto" w:sz="4" w:space="0"/>
            </w:tcBorders>
            <w:shd w:val="clear" w:color="000000" w:fill="FFFFFF"/>
            <w:vAlign w:val="center"/>
          </w:tcPr>
          <w:p w14:paraId="4AB1FC01">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475449FC">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7FDECFA0">
            <w:pPr>
              <w:jc w:val="center"/>
              <w:rPr>
                <w:rFonts w:ascii="宋体" w:hAnsi="宋体" w:cs="宋体"/>
                <w:kern w:val="0"/>
                <w:sz w:val="24"/>
              </w:rPr>
            </w:pPr>
          </w:p>
        </w:tc>
      </w:tr>
      <w:tr w14:paraId="77CF0EA6">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shd w:val="clear" w:color="000000" w:fill="FFFFFF"/>
            <w:vAlign w:val="center"/>
          </w:tcPr>
          <w:p w14:paraId="1D022C22">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67BCF546">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78690AA">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2418AA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0EA0CCD3">
            <w:pPr>
              <w:jc w:val="center"/>
              <w:rPr>
                <w:rFonts w:ascii="宋体" w:hAnsi="宋体" w:cs="宋体"/>
                <w:kern w:val="0"/>
                <w:sz w:val="24"/>
              </w:rPr>
            </w:pPr>
          </w:p>
        </w:tc>
      </w:tr>
      <w:tr w14:paraId="6FA950CE">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000000" w:fill="FFFFFF"/>
            <w:vAlign w:val="center"/>
          </w:tcPr>
          <w:p w14:paraId="36BADE62">
            <w:pPr>
              <w:jc w:val="center"/>
              <w:rPr>
                <w:rFonts w:ascii="宋体" w:hAnsi="宋体" w:cs="宋体"/>
                <w:kern w:val="0"/>
                <w:sz w:val="24"/>
              </w:rPr>
            </w:pPr>
          </w:p>
        </w:tc>
        <w:tc>
          <w:tcPr>
            <w:tcW w:w="1609" w:type="dxa"/>
            <w:vMerge w:val="continue"/>
            <w:tcBorders>
              <w:left w:val="single" w:color="auto" w:sz="4" w:space="0"/>
              <w:bottom w:val="single" w:color="auto" w:sz="4" w:space="0"/>
              <w:right w:val="single" w:color="auto" w:sz="4" w:space="0"/>
            </w:tcBorders>
            <w:shd w:val="clear" w:color="000000" w:fill="FFFFFF"/>
            <w:vAlign w:val="center"/>
          </w:tcPr>
          <w:p w14:paraId="66665CA5">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CE2C7A7">
            <w:pPr>
              <w:spacing w:line="400" w:lineRule="exact"/>
              <w:rPr>
                <w:rFonts w:ascii="宋体" w:hAnsi="宋体" w:cs="宋体"/>
                <w:kern w:val="0"/>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6FEB88C8">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025C15FA">
            <w:pPr>
              <w:jc w:val="center"/>
              <w:rPr>
                <w:rFonts w:ascii="宋体" w:hAnsi="宋体" w:cs="宋体"/>
                <w:kern w:val="0"/>
                <w:sz w:val="24"/>
              </w:rPr>
            </w:pPr>
          </w:p>
        </w:tc>
      </w:tr>
      <w:tr w14:paraId="3FB4E88C">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vAlign w:val="center"/>
          </w:tcPr>
          <w:p w14:paraId="4952CC35">
            <w:pPr>
              <w:jc w:val="center"/>
              <w:rPr>
                <w:rFonts w:ascii="宋体" w:hAnsi="宋体" w:cs="宋体"/>
                <w:kern w:val="0"/>
                <w:sz w:val="24"/>
              </w:rPr>
            </w:pPr>
            <w:r>
              <w:rPr>
                <w:rFonts w:hint="eastAsia" w:ascii="宋体" w:hAnsi="宋体" w:cs="宋体"/>
                <w:kern w:val="0"/>
                <w:sz w:val="24"/>
              </w:rPr>
              <w:t>2</w:t>
            </w:r>
          </w:p>
        </w:tc>
        <w:tc>
          <w:tcPr>
            <w:tcW w:w="1609" w:type="dxa"/>
            <w:vMerge w:val="restart"/>
            <w:tcBorders>
              <w:top w:val="single" w:color="auto" w:sz="4" w:space="0"/>
              <w:left w:val="single" w:color="auto" w:sz="4" w:space="0"/>
              <w:right w:val="single" w:color="auto" w:sz="4" w:space="0"/>
            </w:tcBorders>
            <w:shd w:val="clear" w:color="000000" w:fill="FFFFFF"/>
            <w:vAlign w:val="center"/>
          </w:tcPr>
          <w:p w14:paraId="2C4EED72">
            <w:pPr>
              <w:jc w:val="center"/>
              <w:rPr>
                <w:rFonts w:ascii="宋体" w:hAnsi="宋体" w:cs="宋体"/>
                <w:kern w:val="0"/>
                <w:sz w:val="24"/>
              </w:rPr>
            </w:pPr>
            <w:r>
              <w:rPr>
                <w:rFonts w:hint="eastAsia" w:ascii="宋体" w:hAnsi="宋体" w:cs="宋体"/>
                <w:kern w:val="0"/>
                <w:sz w:val="24"/>
              </w:rPr>
              <w:t>技术分</w:t>
            </w:r>
          </w:p>
          <w:p w14:paraId="2E98901E">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F47155A">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425FA6B6">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4F4109E3">
            <w:pPr>
              <w:jc w:val="center"/>
              <w:rPr>
                <w:rFonts w:ascii="宋体" w:hAnsi="宋体" w:cs="宋体"/>
                <w:kern w:val="0"/>
                <w:sz w:val="24"/>
              </w:rPr>
            </w:pPr>
          </w:p>
        </w:tc>
      </w:tr>
      <w:tr w14:paraId="03F1B871">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7F6CD04B">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4DBDFA5E">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67C701B1">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1DE5BFA0">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7D418E28">
            <w:pPr>
              <w:jc w:val="center"/>
              <w:rPr>
                <w:rFonts w:ascii="宋体" w:hAnsi="宋体" w:cs="宋体"/>
                <w:kern w:val="0"/>
                <w:sz w:val="24"/>
              </w:rPr>
            </w:pPr>
          </w:p>
        </w:tc>
      </w:tr>
      <w:tr w14:paraId="654EA852">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19EE7385">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3F378E19">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7182F46C">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65174995">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1035A7C1">
            <w:pPr>
              <w:jc w:val="center"/>
              <w:rPr>
                <w:rFonts w:ascii="宋体" w:hAnsi="宋体" w:cs="宋体"/>
                <w:kern w:val="0"/>
                <w:sz w:val="24"/>
              </w:rPr>
            </w:pPr>
          </w:p>
        </w:tc>
      </w:tr>
      <w:tr w14:paraId="05B7BC0F">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5595392E">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3A039740">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61461FA3">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D3721B4">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3FA2C524">
            <w:pPr>
              <w:jc w:val="center"/>
              <w:rPr>
                <w:rFonts w:ascii="宋体" w:hAnsi="宋体" w:cs="宋体"/>
                <w:kern w:val="0"/>
                <w:sz w:val="24"/>
              </w:rPr>
            </w:pPr>
          </w:p>
        </w:tc>
      </w:tr>
      <w:tr w14:paraId="38B3FE7C">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6230A764">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55C9CF7F">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E7E5CC5">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3595D18B">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54B6F7E0">
            <w:pPr>
              <w:jc w:val="center"/>
              <w:rPr>
                <w:rFonts w:ascii="宋体" w:hAnsi="宋体" w:cs="宋体"/>
                <w:kern w:val="0"/>
                <w:sz w:val="24"/>
              </w:rPr>
            </w:pPr>
          </w:p>
        </w:tc>
      </w:tr>
      <w:tr w14:paraId="0DA7A30F">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vAlign w:val="center"/>
          </w:tcPr>
          <w:p w14:paraId="0A62F6ED">
            <w:pPr>
              <w:jc w:val="center"/>
              <w:rPr>
                <w:rFonts w:ascii="宋体" w:hAnsi="宋体" w:cs="宋体"/>
                <w:kern w:val="0"/>
                <w:sz w:val="24"/>
              </w:rPr>
            </w:pPr>
          </w:p>
        </w:tc>
        <w:tc>
          <w:tcPr>
            <w:tcW w:w="1609" w:type="dxa"/>
            <w:vMerge w:val="continue"/>
            <w:tcBorders>
              <w:left w:val="single" w:color="auto" w:sz="4" w:space="0"/>
              <w:right w:val="single" w:color="auto" w:sz="4" w:space="0"/>
            </w:tcBorders>
            <w:shd w:val="clear" w:color="000000" w:fill="FFFFFF"/>
            <w:vAlign w:val="center"/>
          </w:tcPr>
          <w:p w14:paraId="272552B0">
            <w:pPr>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18010C93">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772606B7">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32190FDF">
            <w:pPr>
              <w:jc w:val="center"/>
              <w:rPr>
                <w:rFonts w:ascii="宋体" w:hAnsi="宋体" w:cs="宋体"/>
                <w:kern w:val="0"/>
                <w:sz w:val="24"/>
              </w:rPr>
            </w:pPr>
          </w:p>
        </w:tc>
      </w:tr>
      <w:tr w14:paraId="46D26055">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vAlign w:val="center"/>
          </w:tcPr>
          <w:p w14:paraId="29C21AD4">
            <w:pPr>
              <w:jc w:val="center"/>
              <w:rPr>
                <w:rFonts w:ascii="宋体" w:hAnsi="宋体" w:cs="宋体"/>
                <w:kern w:val="0"/>
                <w:sz w:val="24"/>
              </w:rPr>
            </w:pPr>
          </w:p>
        </w:tc>
        <w:tc>
          <w:tcPr>
            <w:tcW w:w="1609" w:type="dxa"/>
            <w:vMerge w:val="continue"/>
            <w:tcBorders>
              <w:left w:val="single" w:color="auto" w:sz="4" w:space="0"/>
              <w:right w:val="single" w:color="auto" w:sz="4" w:space="0"/>
            </w:tcBorders>
            <w:vAlign w:val="center"/>
          </w:tcPr>
          <w:p w14:paraId="37D4D40E">
            <w:pPr>
              <w:spacing w:line="300" w:lineRule="exact"/>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5DFD7601">
            <w:pPr>
              <w:spacing w:line="400" w:lineRule="exac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2DADB7A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21A6892E">
            <w:pPr>
              <w:jc w:val="center"/>
              <w:rPr>
                <w:rFonts w:ascii="宋体" w:hAnsi="宋体" w:cs="宋体"/>
                <w:kern w:val="0"/>
                <w:sz w:val="24"/>
              </w:rPr>
            </w:pPr>
          </w:p>
        </w:tc>
      </w:tr>
      <w:tr w14:paraId="0D92878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vAlign w:val="center"/>
          </w:tcPr>
          <w:p w14:paraId="7910D1D0">
            <w:pPr>
              <w:jc w:val="center"/>
              <w:rPr>
                <w:rFonts w:ascii="宋体" w:hAnsi="宋体" w:cs="宋体"/>
                <w:kern w:val="0"/>
                <w:sz w:val="24"/>
              </w:rPr>
            </w:pPr>
          </w:p>
        </w:tc>
        <w:tc>
          <w:tcPr>
            <w:tcW w:w="1609" w:type="dxa"/>
            <w:vMerge w:val="continue"/>
            <w:tcBorders>
              <w:left w:val="single" w:color="auto" w:sz="4" w:space="0"/>
              <w:bottom w:val="single" w:color="auto" w:sz="4" w:space="0"/>
              <w:right w:val="single" w:color="auto" w:sz="4" w:space="0"/>
            </w:tcBorders>
            <w:vAlign w:val="center"/>
          </w:tcPr>
          <w:p w14:paraId="76FDA436">
            <w:pPr>
              <w:autoSpaceDE w:val="0"/>
              <w:autoSpaceDN w:val="0"/>
              <w:adjustRightInd w:val="0"/>
              <w:snapToGrid w:val="0"/>
              <w:spacing w:line="300" w:lineRule="exact"/>
              <w:jc w:val="center"/>
              <w:rPr>
                <w:rFonts w:ascii="宋体" w:hAnsi="宋体" w:cs="宋体"/>
                <w:kern w:val="0"/>
                <w:sz w:val="24"/>
              </w:rPr>
            </w:pPr>
          </w:p>
        </w:tc>
        <w:tc>
          <w:tcPr>
            <w:tcW w:w="5012" w:type="dxa"/>
            <w:tcBorders>
              <w:top w:val="single" w:color="auto" w:sz="4" w:space="0"/>
              <w:left w:val="nil"/>
              <w:bottom w:val="single" w:color="auto" w:sz="4" w:space="0"/>
              <w:right w:val="single" w:color="auto" w:sz="4" w:space="0"/>
            </w:tcBorders>
            <w:shd w:val="clear" w:color="000000" w:fill="FFFFFF"/>
            <w:vAlign w:val="center"/>
          </w:tcPr>
          <w:p w14:paraId="20D9BBBC">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400" w:lineRule="exact"/>
              <w:ind w:right="25"/>
              <w:jc w:val="left"/>
              <w:rPr>
                <w:rFonts w:ascii="宋体" w:hAnsi="宋体" w:cs="宋体"/>
                <w:sz w:val="24"/>
              </w:rPr>
            </w:pPr>
          </w:p>
        </w:tc>
        <w:tc>
          <w:tcPr>
            <w:tcW w:w="795" w:type="dxa"/>
            <w:tcBorders>
              <w:top w:val="single" w:color="auto" w:sz="4" w:space="0"/>
              <w:left w:val="nil"/>
              <w:bottom w:val="single" w:color="auto" w:sz="4" w:space="0"/>
              <w:right w:val="single" w:color="auto" w:sz="4" w:space="0"/>
            </w:tcBorders>
            <w:shd w:val="clear" w:color="000000" w:fill="FFFFFF"/>
            <w:vAlign w:val="center"/>
          </w:tcPr>
          <w:p w14:paraId="7DD01BD1">
            <w:pPr>
              <w:jc w:val="center"/>
              <w:rPr>
                <w:rFonts w:ascii="宋体" w:hAnsi="宋体" w:cs="宋体"/>
                <w:kern w:val="0"/>
                <w:sz w:val="24"/>
              </w:rPr>
            </w:pPr>
          </w:p>
        </w:tc>
        <w:tc>
          <w:tcPr>
            <w:tcW w:w="900" w:type="dxa"/>
            <w:tcBorders>
              <w:top w:val="single" w:color="auto" w:sz="4" w:space="0"/>
              <w:left w:val="single" w:color="auto" w:sz="4" w:space="0"/>
              <w:bottom w:val="single" w:color="auto" w:sz="4" w:space="0"/>
              <w:right w:val="single" w:color="auto" w:sz="4" w:space="0"/>
            </w:tcBorders>
            <w:shd w:val="clear" w:color="000000" w:fill="FFFFFF"/>
            <w:vAlign w:val="center"/>
          </w:tcPr>
          <w:p w14:paraId="57D9F0E8">
            <w:pPr>
              <w:jc w:val="center"/>
              <w:rPr>
                <w:rFonts w:ascii="宋体" w:hAnsi="宋体" w:cs="宋体"/>
                <w:kern w:val="0"/>
                <w:sz w:val="24"/>
              </w:rPr>
            </w:pPr>
          </w:p>
        </w:tc>
      </w:tr>
    </w:tbl>
    <w:p w14:paraId="045AEA37">
      <w:pPr>
        <w:pStyle w:val="15"/>
        <w:rPr>
          <w:rFonts w:ascii="宋体" w:hAnsi="宋体" w:cs="宋体"/>
          <w:b/>
          <w:bCs/>
          <w:lang w:val="zh-CN"/>
        </w:rPr>
      </w:pPr>
    </w:p>
    <w:p w14:paraId="7B218477">
      <w:pPr>
        <w:pStyle w:val="15"/>
        <w:rPr>
          <w:rFonts w:ascii="宋体" w:hAnsi="宋体" w:cs="宋体"/>
          <w:b/>
        </w:rPr>
      </w:pPr>
    </w:p>
    <w:p w14:paraId="4BAA7558">
      <w:pPr>
        <w:spacing w:line="360" w:lineRule="auto"/>
        <w:rPr>
          <w:rFonts w:ascii="宋体" w:hAnsi="宋体" w:cs="宋体"/>
          <w:b/>
          <w:sz w:val="24"/>
        </w:rPr>
      </w:pPr>
      <w:r>
        <w:rPr>
          <w:rFonts w:hint="eastAsia" w:ascii="宋体" w:hAnsi="宋体" w:cs="宋体"/>
          <w:b/>
          <w:sz w:val="24"/>
        </w:rPr>
        <w:t>注：根据评标办法制作本表格，评分标准为客观分的投标人需填写得分情况以及证明材料所在页码。为主观分的填写“专家自主评分”。</w:t>
      </w:r>
    </w:p>
    <w:p w14:paraId="2DA961CD">
      <w:pPr>
        <w:spacing w:line="360" w:lineRule="auto"/>
        <w:rPr>
          <w:rFonts w:ascii="宋体" w:hAnsi="宋体" w:cs="宋体"/>
          <w:b/>
          <w:sz w:val="24"/>
        </w:rPr>
      </w:pPr>
    </w:p>
    <w:p w14:paraId="39208614">
      <w:pPr>
        <w:snapToGrid w:val="0"/>
        <w:spacing w:before="100" w:beforeAutospacing="1" w:after="100" w:afterAutospacing="1" w:line="360" w:lineRule="exact"/>
        <w:jc w:val="left"/>
        <w:rPr>
          <w:rFonts w:ascii="宋体" w:hAnsi="宋体" w:cs="宋体"/>
          <w:b/>
          <w:bCs/>
          <w:sz w:val="24"/>
        </w:rPr>
      </w:pPr>
    </w:p>
    <w:p w14:paraId="4CB17CF6">
      <w:pPr>
        <w:snapToGrid w:val="0"/>
        <w:jc w:val="left"/>
        <w:rPr>
          <w:rFonts w:ascii="宋体" w:hAnsi="宋体" w:cs="宋体"/>
          <w:b/>
          <w:sz w:val="24"/>
        </w:rPr>
      </w:pPr>
    </w:p>
    <w:p w14:paraId="037E6459">
      <w:pPr>
        <w:pStyle w:val="15"/>
        <w:rPr>
          <w:rFonts w:ascii="宋体" w:hAnsi="宋体" w:cs="宋体"/>
          <w:b/>
        </w:rPr>
      </w:pPr>
    </w:p>
    <w:p w14:paraId="52CC946A">
      <w:pPr>
        <w:pStyle w:val="15"/>
        <w:rPr>
          <w:rFonts w:ascii="宋体" w:hAnsi="宋体" w:cs="宋体"/>
          <w:b/>
        </w:rPr>
      </w:pPr>
    </w:p>
    <w:p w14:paraId="33225644">
      <w:pPr>
        <w:snapToGrid w:val="0"/>
        <w:jc w:val="left"/>
        <w:outlineLvl w:val="2"/>
        <w:rPr>
          <w:rFonts w:ascii="宋体" w:hAnsi="宋体" w:cs="宋体"/>
          <w:b/>
          <w:sz w:val="24"/>
        </w:rPr>
      </w:pPr>
      <w:r>
        <w:rPr>
          <w:rFonts w:hint="eastAsia" w:ascii="宋体" w:hAnsi="宋体" w:cs="宋体"/>
          <w:b/>
          <w:sz w:val="24"/>
          <w:lang w:val="en-US" w:eastAsia="zh-CN"/>
        </w:rPr>
        <w:t>九</w:t>
      </w:r>
      <w:r>
        <w:rPr>
          <w:rFonts w:hint="eastAsia" w:ascii="宋体" w:hAnsi="宋体" w:cs="宋体"/>
          <w:b/>
          <w:sz w:val="24"/>
        </w:rPr>
        <w:t>、类似业绩一览表格式</w:t>
      </w:r>
    </w:p>
    <w:p w14:paraId="4A2DCE02">
      <w:pPr>
        <w:pStyle w:val="15"/>
        <w:jc w:val="center"/>
        <w:rPr>
          <w:rFonts w:ascii="宋体" w:hAnsi="宋体" w:cs="宋体"/>
          <w:b/>
        </w:rPr>
      </w:pPr>
    </w:p>
    <w:p w14:paraId="1352D57C">
      <w:pPr>
        <w:pStyle w:val="15"/>
        <w:jc w:val="center"/>
        <w:rPr>
          <w:rFonts w:ascii="宋体" w:hAnsi="宋体" w:cs="宋体"/>
        </w:rPr>
      </w:pPr>
      <w:r>
        <w:rPr>
          <w:rFonts w:hint="eastAsia" w:ascii="宋体" w:hAnsi="宋体" w:cs="宋体"/>
          <w:b/>
        </w:rPr>
        <w:t>类似业绩一览表</w:t>
      </w:r>
    </w:p>
    <w:p w14:paraId="128571B7">
      <w:pPr>
        <w:snapToGrid w:val="0"/>
        <w:jc w:val="left"/>
        <w:rPr>
          <w:rFonts w:ascii="宋体" w:hAnsi="宋体" w:cs="宋体"/>
          <w:sz w:val="24"/>
        </w:rPr>
      </w:pPr>
    </w:p>
    <w:tbl>
      <w:tblPr>
        <w:tblStyle w:val="37"/>
        <w:tblW w:w="8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59"/>
        <w:gridCol w:w="2361"/>
        <w:gridCol w:w="1526"/>
        <w:gridCol w:w="2070"/>
      </w:tblGrid>
      <w:tr w14:paraId="0F018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00BCF13F">
            <w:pPr>
              <w:spacing w:line="360" w:lineRule="auto"/>
              <w:jc w:val="center"/>
              <w:rPr>
                <w:rFonts w:ascii="宋体" w:hAnsi="宋体" w:cs="宋体"/>
                <w:b/>
                <w:sz w:val="24"/>
              </w:rPr>
            </w:pPr>
            <w:r>
              <w:rPr>
                <w:rFonts w:hint="eastAsia" w:ascii="宋体" w:hAnsi="宋体" w:cs="宋体"/>
                <w:b/>
                <w:sz w:val="24"/>
              </w:rPr>
              <w:t>序号</w:t>
            </w:r>
          </w:p>
        </w:tc>
        <w:tc>
          <w:tcPr>
            <w:tcW w:w="1559" w:type="dxa"/>
            <w:vAlign w:val="center"/>
          </w:tcPr>
          <w:p w14:paraId="36F19ECD">
            <w:pPr>
              <w:spacing w:line="360" w:lineRule="auto"/>
              <w:jc w:val="center"/>
              <w:rPr>
                <w:rFonts w:ascii="宋体" w:hAnsi="宋体" w:cs="宋体"/>
                <w:b/>
                <w:sz w:val="24"/>
              </w:rPr>
            </w:pPr>
            <w:r>
              <w:rPr>
                <w:rFonts w:hint="eastAsia" w:ascii="宋体" w:hAnsi="宋体" w:cs="宋体"/>
                <w:b/>
                <w:sz w:val="24"/>
              </w:rPr>
              <w:t>业主名称</w:t>
            </w:r>
          </w:p>
        </w:tc>
        <w:tc>
          <w:tcPr>
            <w:tcW w:w="2361" w:type="dxa"/>
            <w:vAlign w:val="center"/>
          </w:tcPr>
          <w:p w14:paraId="4AC9B10C">
            <w:pPr>
              <w:spacing w:line="360" w:lineRule="auto"/>
              <w:jc w:val="center"/>
              <w:rPr>
                <w:rFonts w:ascii="宋体" w:hAnsi="宋体" w:cs="宋体"/>
                <w:b/>
                <w:sz w:val="24"/>
              </w:rPr>
            </w:pPr>
            <w:r>
              <w:rPr>
                <w:rFonts w:hint="eastAsia" w:ascii="宋体" w:hAnsi="宋体" w:cs="宋体"/>
                <w:b/>
                <w:sz w:val="24"/>
              </w:rPr>
              <w:t>项目名称</w:t>
            </w:r>
          </w:p>
        </w:tc>
        <w:tc>
          <w:tcPr>
            <w:tcW w:w="1526" w:type="dxa"/>
            <w:vAlign w:val="center"/>
          </w:tcPr>
          <w:p w14:paraId="39907E3F">
            <w:pPr>
              <w:spacing w:line="360" w:lineRule="auto"/>
              <w:jc w:val="center"/>
              <w:rPr>
                <w:rFonts w:ascii="宋体" w:hAnsi="宋体" w:cs="宋体"/>
                <w:b/>
                <w:sz w:val="24"/>
              </w:rPr>
            </w:pPr>
            <w:r>
              <w:rPr>
                <w:rFonts w:hint="eastAsia" w:ascii="宋体" w:hAnsi="宋体" w:cs="宋体"/>
                <w:b/>
                <w:sz w:val="24"/>
              </w:rPr>
              <w:t>合同（委托函）时间</w:t>
            </w:r>
          </w:p>
        </w:tc>
        <w:tc>
          <w:tcPr>
            <w:tcW w:w="2070" w:type="dxa"/>
            <w:vAlign w:val="center"/>
          </w:tcPr>
          <w:p w14:paraId="63567B64">
            <w:pPr>
              <w:spacing w:line="360" w:lineRule="auto"/>
              <w:jc w:val="center"/>
              <w:rPr>
                <w:rFonts w:ascii="宋体" w:hAnsi="宋体" w:cs="宋体"/>
                <w:b/>
                <w:sz w:val="24"/>
              </w:rPr>
            </w:pPr>
            <w:r>
              <w:rPr>
                <w:rFonts w:hint="eastAsia" w:ascii="宋体" w:hAnsi="宋体" w:cs="宋体"/>
                <w:b/>
                <w:sz w:val="24"/>
              </w:rPr>
              <w:t>业主联系人及联系方式</w:t>
            </w:r>
          </w:p>
        </w:tc>
      </w:tr>
      <w:tr w14:paraId="03DA4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378DDAB1">
            <w:pPr>
              <w:spacing w:line="360" w:lineRule="auto"/>
              <w:rPr>
                <w:rFonts w:ascii="宋体" w:hAnsi="宋体" w:cs="宋体"/>
                <w:b/>
                <w:sz w:val="24"/>
              </w:rPr>
            </w:pPr>
          </w:p>
        </w:tc>
        <w:tc>
          <w:tcPr>
            <w:tcW w:w="1559" w:type="dxa"/>
          </w:tcPr>
          <w:p w14:paraId="582CB541">
            <w:pPr>
              <w:spacing w:line="360" w:lineRule="auto"/>
              <w:rPr>
                <w:rFonts w:ascii="宋体" w:hAnsi="宋体" w:cs="宋体"/>
                <w:b/>
                <w:sz w:val="24"/>
              </w:rPr>
            </w:pPr>
          </w:p>
        </w:tc>
        <w:tc>
          <w:tcPr>
            <w:tcW w:w="2361" w:type="dxa"/>
          </w:tcPr>
          <w:p w14:paraId="5AC8E237">
            <w:pPr>
              <w:spacing w:line="360" w:lineRule="auto"/>
              <w:rPr>
                <w:rFonts w:ascii="宋体" w:hAnsi="宋体" w:cs="宋体"/>
                <w:b/>
                <w:sz w:val="24"/>
              </w:rPr>
            </w:pPr>
          </w:p>
        </w:tc>
        <w:tc>
          <w:tcPr>
            <w:tcW w:w="1526" w:type="dxa"/>
          </w:tcPr>
          <w:p w14:paraId="6F685DA8">
            <w:pPr>
              <w:spacing w:line="360" w:lineRule="auto"/>
              <w:rPr>
                <w:rFonts w:ascii="宋体" w:hAnsi="宋体" w:cs="宋体"/>
                <w:b/>
                <w:sz w:val="24"/>
              </w:rPr>
            </w:pPr>
          </w:p>
        </w:tc>
        <w:tc>
          <w:tcPr>
            <w:tcW w:w="2070" w:type="dxa"/>
          </w:tcPr>
          <w:p w14:paraId="300BA185">
            <w:pPr>
              <w:spacing w:line="360" w:lineRule="auto"/>
              <w:rPr>
                <w:rFonts w:ascii="宋体" w:hAnsi="宋体" w:cs="宋体"/>
                <w:b/>
                <w:sz w:val="24"/>
              </w:rPr>
            </w:pPr>
          </w:p>
        </w:tc>
      </w:tr>
      <w:tr w14:paraId="28EE4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1E9F4AF">
            <w:pPr>
              <w:spacing w:line="360" w:lineRule="auto"/>
              <w:rPr>
                <w:rFonts w:ascii="宋体" w:hAnsi="宋体" w:cs="宋体"/>
                <w:b/>
                <w:sz w:val="24"/>
              </w:rPr>
            </w:pPr>
          </w:p>
        </w:tc>
        <w:tc>
          <w:tcPr>
            <w:tcW w:w="1559" w:type="dxa"/>
          </w:tcPr>
          <w:p w14:paraId="5C634B9B">
            <w:pPr>
              <w:spacing w:line="360" w:lineRule="auto"/>
              <w:rPr>
                <w:rFonts w:ascii="宋体" w:hAnsi="宋体" w:cs="宋体"/>
                <w:b/>
                <w:sz w:val="24"/>
              </w:rPr>
            </w:pPr>
          </w:p>
        </w:tc>
        <w:tc>
          <w:tcPr>
            <w:tcW w:w="2361" w:type="dxa"/>
          </w:tcPr>
          <w:p w14:paraId="651FACF5">
            <w:pPr>
              <w:spacing w:line="360" w:lineRule="auto"/>
              <w:rPr>
                <w:rFonts w:ascii="宋体" w:hAnsi="宋体" w:cs="宋体"/>
                <w:b/>
                <w:sz w:val="24"/>
              </w:rPr>
            </w:pPr>
          </w:p>
        </w:tc>
        <w:tc>
          <w:tcPr>
            <w:tcW w:w="1526" w:type="dxa"/>
          </w:tcPr>
          <w:p w14:paraId="22A26BBC">
            <w:pPr>
              <w:spacing w:line="360" w:lineRule="auto"/>
              <w:rPr>
                <w:rFonts w:ascii="宋体" w:hAnsi="宋体" w:cs="宋体"/>
                <w:b/>
                <w:sz w:val="24"/>
              </w:rPr>
            </w:pPr>
          </w:p>
        </w:tc>
        <w:tc>
          <w:tcPr>
            <w:tcW w:w="2070" w:type="dxa"/>
          </w:tcPr>
          <w:p w14:paraId="37235542">
            <w:pPr>
              <w:spacing w:line="360" w:lineRule="auto"/>
              <w:rPr>
                <w:rFonts w:ascii="宋体" w:hAnsi="宋体" w:cs="宋体"/>
                <w:b/>
                <w:sz w:val="24"/>
              </w:rPr>
            </w:pPr>
          </w:p>
        </w:tc>
      </w:tr>
      <w:tr w14:paraId="42737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095AD020">
            <w:pPr>
              <w:spacing w:line="360" w:lineRule="auto"/>
              <w:rPr>
                <w:rFonts w:ascii="宋体" w:hAnsi="宋体" w:cs="宋体"/>
                <w:b/>
                <w:sz w:val="24"/>
              </w:rPr>
            </w:pPr>
          </w:p>
        </w:tc>
        <w:tc>
          <w:tcPr>
            <w:tcW w:w="1559" w:type="dxa"/>
          </w:tcPr>
          <w:p w14:paraId="1119A522">
            <w:pPr>
              <w:spacing w:line="360" w:lineRule="auto"/>
              <w:rPr>
                <w:rFonts w:ascii="宋体" w:hAnsi="宋体" w:cs="宋体"/>
                <w:b/>
                <w:sz w:val="24"/>
              </w:rPr>
            </w:pPr>
          </w:p>
        </w:tc>
        <w:tc>
          <w:tcPr>
            <w:tcW w:w="2361" w:type="dxa"/>
          </w:tcPr>
          <w:p w14:paraId="5D139911">
            <w:pPr>
              <w:spacing w:line="360" w:lineRule="auto"/>
              <w:rPr>
                <w:rFonts w:ascii="宋体" w:hAnsi="宋体" w:cs="宋体"/>
                <w:b/>
                <w:sz w:val="24"/>
              </w:rPr>
            </w:pPr>
          </w:p>
        </w:tc>
        <w:tc>
          <w:tcPr>
            <w:tcW w:w="1526" w:type="dxa"/>
          </w:tcPr>
          <w:p w14:paraId="532FAAC3">
            <w:pPr>
              <w:spacing w:line="360" w:lineRule="auto"/>
              <w:rPr>
                <w:rFonts w:ascii="宋体" w:hAnsi="宋体" w:cs="宋体"/>
                <w:b/>
                <w:sz w:val="24"/>
              </w:rPr>
            </w:pPr>
          </w:p>
        </w:tc>
        <w:tc>
          <w:tcPr>
            <w:tcW w:w="2070" w:type="dxa"/>
          </w:tcPr>
          <w:p w14:paraId="555B5F2A">
            <w:pPr>
              <w:spacing w:line="360" w:lineRule="auto"/>
              <w:rPr>
                <w:rFonts w:ascii="宋体" w:hAnsi="宋体" w:cs="宋体"/>
                <w:b/>
                <w:sz w:val="24"/>
              </w:rPr>
            </w:pPr>
          </w:p>
        </w:tc>
      </w:tr>
      <w:tr w14:paraId="5EA45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4633C06">
            <w:pPr>
              <w:spacing w:line="360" w:lineRule="auto"/>
              <w:rPr>
                <w:rFonts w:ascii="宋体" w:hAnsi="宋体" w:cs="宋体"/>
                <w:b/>
                <w:sz w:val="24"/>
              </w:rPr>
            </w:pPr>
          </w:p>
        </w:tc>
        <w:tc>
          <w:tcPr>
            <w:tcW w:w="1559" w:type="dxa"/>
          </w:tcPr>
          <w:p w14:paraId="113661C0">
            <w:pPr>
              <w:spacing w:line="360" w:lineRule="auto"/>
              <w:rPr>
                <w:rFonts w:ascii="宋体" w:hAnsi="宋体" w:cs="宋体"/>
                <w:b/>
                <w:sz w:val="24"/>
              </w:rPr>
            </w:pPr>
          </w:p>
        </w:tc>
        <w:tc>
          <w:tcPr>
            <w:tcW w:w="2361" w:type="dxa"/>
          </w:tcPr>
          <w:p w14:paraId="039E1191">
            <w:pPr>
              <w:spacing w:line="360" w:lineRule="auto"/>
              <w:rPr>
                <w:rFonts w:ascii="宋体" w:hAnsi="宋体" w:cs="宋体"/>
                <w:b/>
                <w:sz w:val="24"/>
              </w:rPr>
            </w:pPr>
          </w:p>
        </w:tc>
        <w:tc>
          <w:tcPr>
            <w:tcW w:w="1526" w:type="dxa"/>
          </w:tcPr>
          <w:p w14:paraId="61C16242">
            <w:pPr>
              <w:spacing w:line="360" w:lineRule="auto"/>
              <w:rPr>
                <w:rFonts w:ascii="宋体" w:hAnsi="宋体" w:cs="宋体"/>
                <w:b/>
                <w:sz w:val="24"/>
              </w:rPr>
            </w:pPr>
          </w:p>
        </w:tc>
        <w:tc>
          <w:tcPr>
            <w:tcW w:w="2070" w:type="dxa"/>
          </w:tcPr>
          <w:p w14:paraId="575E9F06">
            <w:pPr>
              <w:spacing w:line="360" w:lineRule="auto"/>
              <w:rPr>
                <w:rFonts w:ascii="宋体" w:hAnsi="宋体" w:cs="宋体"/>
                <w:b/>
                <w:sz w:val="24"/>
              </w:rPr>
            </w:pPr>
          </w:p>
        </w:tc>
      </w:tr>
      <w:tr w14:paraId="098E3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27EFFAD3">
            <w:pPr>
              <w:spacing w:line="360" w:lineRule="auto"/>
              <w:rPr>
                <w:rFonts w:ascii="宋体" w:hAnsi="宋体" w:cs="宋体"/>
                <w:b/>
                <w:sz w:val="24"/>
              </w:rPr>
            </w:pPr>
          </w:p>
        </w:tc>
        <w:tc>
          <w:tcPr>
            <w:tcW w:w="1559" w:type="dxa"/>
          </w:tcPr>
          <w:p w14:paraId="112A4DD0">
            <w:pPr>
              <w:spacing w:line="360" w:lineRule="auto"/>
              <w:rPr>
                <w:rFonts w:ascii="宋体" w:hAnsi="宋体" w:cs="宋体"/>
                <w:b/>
                <w:sz w:val="24"/>
              </w:rPr>
            </w:pPr>
          </w:p>
        </w:tc>
        <w:tc>
          <w:tcPr>
            <w:tcW w:w="2361" w:type="dxa"/>
          </w:tcPr>
          <w:p w14:paraId="23E2B4A7">
            <w:pPr>
              <w:spacing w:line="360" w:lineRule="auto"/>
              <w:rPr>
                <w:rFonts w:ascii="宋体" w:hAnsi="宋体" w:cs="宋体"/>
                <w:b/>
                <w:sz w:val="24"/>
              </w:rPr>
            </w:pPr>
          </w:p>
        </w:tc>
        <w:tc>
          <w:tcPr>
            <w:tcW w:w="1526" w:type="dxa"/>
          </w:tcPr>
          <w:p w14:paraId="0DBAD082">
            <w:pPr>
              <w:spacing w:line="360" w:lineRule="auto"/>
              <w:rPr>
                <w:rFonts w:ascii="宋体" w:hAnsi="宋体" w:cs="宋体"/>
                <w:b/>
                <w:sz w:val="24"/>
              </w:rPr>
            </w:pPr>
          </w:p>
        </w:tc>
        <w:tc>
          <w:tcPr>
            <w:tcW w:w="2070" w:type="dxa"/>
          </w:tcPr>
          <w:p w14:paraId="5A83CB42">
            <w:pPr>
              <w:spacing w:line="360" w:lineRule="auto"/>
              <w:rPr>
                <w:rFonts w:ascii="宋体" w:hAnsi="宋体" w:cs="宋体"/>
                <w:b/>
                <w:sz w:val="24"/>
              </w:rPr>
            </w:pPr>
          </w:p>
        </w:tc>
      </w:tr>
      <w:tr w14:paraId="021CD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3A5D338">
            <w:pPr>
              <w:spacing w:line="360" w:lineRule="auto"/>
              <w:rPr>
                <w:rFonts w:ascii="宋体" w:hAnsi="宋体" w:cs="宋体"/>
                <w:b/>
                <w:sz w:val="24"/>
              </w:rPr>
            </w:pPr>
          </w:p>
        </w:tc>
        <w:tc>
          <w:tcPr>
            <w:tcW w:w="1559" w:type="dxa"/>
          </w:tcPr>
          <w:p w14:paraId="1E7A1905">
            <w:pPr>
              <w:spacing w:line="360" w:lineRule="auto"/>
              <w:rPr>
                <w:rFonts w:ascii="宋体" w:hAnsi="宋体" w:cs="宋体"/>
                <w:b/>
                <w:sz w:val="24"/>
              </w:rPr>
            </w:pPr>
          </w:p>
        </w:tc>
        <w:tc>
          <w:tcPr>
            <w:tcW w:w="2361" w:type="dxa"/>
          </w:tcPr>
          <w:p w14:paraId="0734EB29">
            <w:pPr>
              <w:spacing w:line="360" w:lineRule="auto"/>
              <w:rPr>
                <w:rFonts w:ascii="宋体" w:hAnsi="宋体" w:cs="宋体"/>
                <w:b/>
                <w:sz w:val="24"/>
              </w:rPr>
            </w:pPr>
          </w:p>
        </w:tc>
        <w:tc>
          <w:tcPr>
            <w:tcW w:w="1526" w:type="dxa"/>
          </w:tcPr>
          <w:p w14:paraId="04537C49">
            <w:pPr>
              <w:spacing w:line="360" w:lineRule="auto"/>
              <w:rPr>
                <w:rFonts w:ascii="宋体" w:hAnsi="宋体" w:cs="宋体"/>
                <w:b/>
                <w:sz w:val="24"/>
              </w:rPr>
            </w:pPr>
          </w:p>
        </w:tc>
        <w:tc>
          <w:tcPr>
            <w:tcW w:w="2070" w:type="dxa"/>
          </w:tcPr>
          <w:p w14:paraId="23F1E978">
            <w:pPr>
              <w:spacing w:line="360" w:lineRule="auto"/>
              <w:rPr>
                <w:rFonts w:ascii="宋体" w:hAnsi="宋体" w:cs="宋体"/>
                <w:b/>
                <w:sz w:val="24"/>
              </w:rPr>
            </w:pPr>
          </w:p>
        </w:tc>
      </w:tr>
    </w:tbl>
    <w:p w14:paraId="7B416B5E">
      <w:pPr>
        <w:pStyle w:val="15"/>
        <w:spacing w:line="360" w:lineRule="auto"/>
        <w:ind w:left="-359" w:leftChars="-171" w:firstLine="240" w:firstLineChars="100"/>
        <w:rPr>
          <w:rFonts w:ascii="宋体" w:hAnsi="宋体" w:cs="宋体"/>
        </w:rPr>
      </w:pPr>
      <w:r>
        <w:rPr>
          <w:rFonts w:hint="eastAsia" w:ascii="宋体" w:hAnsi="宋体" w:cs="宋体"/>
        </w:rPr>
        <w:t>注：附合同原件扫描件。</w:t>
      </w:r>
    </w:p>
    <w:p w14:paraId="263A6CCB">
      <w:pPr>
        <w:rPr>
          <w:rFonts w:ascii="宋体" w:hAnsi="宋体" w:cs="宋体"/>
          <w:sz w:val="24"/>
        </w:rPr>
      </w:pPr>
    </w:p>
    <w:p w14:paraId="418F4D3E">
      <w:pPr>
        <w:spacing w:line="360" w:lineRule="auto"/>
        <w:rPr>
          <w:rFonts w:ascii="宋体" w:hAnsi="宋体" w:cs="宋体"/>
          <w:b/>
          <w:spacing w:val="20"/>
          <w:sz w:val="24"/>
        </w:rPr>
      </w:pPr>
    </w:p>
    <w:p w14:paraId="7738E778">
      <w:pPr>
        <w:spacing w:line="360" w:lineRule="auto"/>
        <w:rPr>
          <w:rFonts w:ascii="宋体" w:hAnsi="宋体" w:cs="宋体"/>
          <w:sz w:val="24"/>
          <w:u w:val="single"/>
        </w:rPr>
      </w:pPr>
      <w:r>
        <w:rPr>
          <w:rFonts w:hint="eastAsia" w:ascii="宋体" w:hAnsi="宋体" w:cs="宋体"/>
          <w:sz w:val="24"/>
        </w:rPr>
        <w:t xml:space="preserve">投标人名称：（加盖公章）  </w:t>
      </w:r>
    </w:p>
    <w:p w14:paraId="16224BA3">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281E10E3">
      <w:pPr>
        <w:spacing w:line="360" w:lineRule="auto"/>
        <w:rPr>
          <w:rFonts w:ascii="宋体" w:hAnsi="宋体" w:cs="宋体"/>
          <w:spacing w:val="20"/>
          <w:sz w:val="24"/>
        </w:rPr>
      </w:pPr>
      <w:r>
        <w:rPr>
          <w:rFonts w:hint="eastAsia" w:ascii="宋体" w:hAnsi="宋体" w:cs="宋体"/>
          <w:spacing w:val="20"/>
          <w:sz w:val="24"/>
        </w:rPr>
        <w:t>日期：年月日</w:t>
      </w:r>
    </w:p>
    <w:p w14:paraId="30EF1BC2">
      <w:pPr>
        <w:spacing w:line="380" w:lineRule="exact"/>
        <w:jc w:val="left"/>
        <w:outlineLvl w:val="2"/>
        <w:rPr>
          <w:rFonts w:ascii="宋体" w:hAnsi="宋体" w:cs="宋体"/>
          <w:b/>
          <w:kern w:val="0"/>
          <w:sz w:val="24"/>
        </w:rPr>
      </w:pPr>
      <w:r>
        <w:rPr>
          <w:rFonts w:hint="eastAsia" w:ascii="宋体" w:hAnsi="宋体" w:cs="宋体"/>
          <w:sz w:val="24"/>
        </w:rPr>
        <w:br w:type="page"/>
      </w:r>
      <w:r>
        <w:rPr>
          <w:rFonts w:hint="eastAsia" w:ascii="宋体" w:hAnsi="宋体" w:cs="宋体"/>
          <w:b/>
          <w:sz w:val="24"/>
          <w:lang w:val="zh-CN"/>
        </w:rPr>
        <w:t>十、拟派本项目配备的团队</w:t>
      </w:r>
    </w:p>
    <w:tbl>
      <w:tblPr>
        <w:tblStyle w:val="37"/>
        <w:tblpPr w:leftFromText="180" w:rightFromText="180" w:vertAnchor="text" w:horzAnchor="page" w:tblpX="1417" w:tblpY="288"/>
        <w:tblOverlap w:val="never"/>
        <w:tblW w:w="92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468"/>
        <w:gridCol w:w="900"/>
        <w:gridCol w:w="928"/>
        <w:gridCol w:w="1232"/>
        <w:gridCol w:w="1800"/>
        <w:gridCol w:w="1260"/>
        <w:gridCol w:w="1056"/>
      </w:tblGrid>
      <w:tr w14:paraId="4FF0D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640" w:type="dxa"/>
            <w:tcBorders>
              <w:top w:val="single" w:color="auto" w:sz="4" w:space="0"/>
              <w:left w:val="single" w:color="auto" w:sz="4" w:space="0"/>
              <w:bottom w:val="single" w:color="auto" w:sz="4" w:space="0"/>
              <w:right w:val="single" w:color="auto" w:sz="4" w:space="0"/>
            </w:tcBorders>
            <w:vAlign w:val="center"/>
          </w:tcPr>
          <w:p w14:paraId="05F36902">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序号</w:t>
            </w:r>
          </w:p>
        </w:tc>
        <w:tc>
          <w:tcPr>
            <w:tcW w:w="1468" w:type="dxa"/>
            <w:tcBorders>
              <w:top w:val="single" w:color="auto" w:sz="4" w:space="0"/>
              <w:left w:val="single" w:color="auto" w:sz="4" w:space="0"/>
              <w:bottom w:val="single" w:color="auto" w:sz="4" w:space="0"/>
              <w:right w:val="single" w:color="auto" w:sz="4" w:space="0"/>
            </w:tcBorders>
            <w:vAlign w:val="center"/>
          </w:tcPr>
          <w:p w14:paraId="4551B62F">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本项目岗位负责情况</w:t>
            </w:r>
          </w:p>
        </w:tc>
        <w:tc>
          <w:tcPr>
            <w:tcW w:w="900" w:type="dxa"/>
            <w:tcBorders>
              <w:top w:val="single" w:color="auto" w:sz="4" w:space="0"/>
              <w:left w:val="single" w:color="auto" w:sz="4" w:space="0"/>
              <w:bottom w:val="single" w:color="auto" w:sz="4" w:space="0"/>
              <w:right w:val="single" w:color="auto" w:sz="4" w:space="0"/>
            </w:tcBorders>
            <w:vAlign w:val="center"/>
          </w:tcPr>
          <w:p w14:paraId="3C9B1DD8">
            <w:pPr>
              <w:tabs>
                <w:tab w:val="left" w:pos="2322"/>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姓名</w:t>
            </w:r>
          </w:p>
        </w:tc>
        <w:tc>
          <w:tcPr>
            <w:tcW w:w="928" w:type="dxa"/>
            <w:tcBorders>
              <w:top w:val="single" w:color="auto" w:sz="4" w:space="0"/>
              <w:left w:val="single" w:color="auto" w:sz="4" w:space="0"/>
              <w:bottom w:val="single" w:color="auto" w:sz="4" w:space="0"/>
              <w:right w:val="single" w:color="auto" w:sz="4" w:space="0"/>
            </w:tcBorders>
            <w:vAlign w:val="center"/>
          </w:tcPr>
          <w:p w14:paraId="5F694A4B">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学历/职称</w:t>
            </w:r>
          </w:p>
        </w:tc>
        <w:tc>
          <w:tcPr>
            <w:tcW w:w="1232" w:type="dxa"/>
            <w:tcBorders>
              <w:top w:val="single" w:color="auto" w:sz="4" w:space="0"/>
              <w:left w:val="single" w:color="auto" w:sz="4" w:space="0"/>
              <w:bottom w:val="single" w:color="auto" w:sz="4" w:space="0"/>
              <w:right w:val="single" w:color="auto" w:sz="4" w:space="0"/>
            </w:tcBorders>
            <w:vAlign w:val="center"/>
          </w:tcPr>
          <w:p w14:paraId="3CE24BD9">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身份证号码</w:t>
            </w:r>
          </w:p>
        </w:tc>
        <w:tc>
          <w:tcPr>
            <w:tcW w:w="1800" w:type="dxa"/>
            <w:tcBorders>
              <w:top w:val="single" w:color="auto" w:sz="4" w:space="0"/>
              <w:left w:val="single" w:color="auto" w:sz="4" w:space="0"/>
              <w:bottom w:val="single" w:color="auto" w:sz="4" w:space="0"/>
              <w:right w:val="single" w:color="auto" w:sz="4" w:space="0"/>
            </w:tcBorders>
            <w:vAlign w:val="center"/>
          </w:tcPr>
          <w:p w14:paraId="75C74B5B">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从事该工作年限</w:t>
            </w:r>
          </w:p>
        </w:tc>
        <w:tc>
          <w:tcPr>
            <w:tcW w:w="1260" w:type="dxa"/>
            <w:tcBorders>
              <w:top w:val="single" w:color="auto" w:sz="4" w:space="0"/>
              <w:left w:val="single" w:color="auto" w:sz="4" w:space="0"/>
              <w:bottom w:val="single" w:color="auto" w:sz="4" w:space="0"/>
              <w:right w:val="single" w:color="auto" w:sz="4" w:space="0"/>
            </w:tcBorders>
            <w:vAlign w:val="center"/>
          </w:tcPr>
          <w:p w14:paraId="220F11F1">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联系方式</w:t>
            </w:r>
          </w:p>
        </w:tc>
        <w:tc>
          <w:tcPr>
            <w:tcW w:w="1056" w:type="dxa"/>
            <w:tcBorders>
              <w:top w:val="single" w:color="auto" w:sz="4" w:space="0"/>
              <w:left w:val="single" w:color="auto" w:sz="4" w:space="0"/>
              <w:bottom w:val="single" w:color="auto" w:sz="4" w:space="0"/>
              <w:right w:val="single" w:color="auto" w:sz="4" w:space="0"/>
            </w:tcBorders>
            <w:vAlign w:val="center"/>
          </w:tcPr>
          <w:p w14:paraId="449B4EEE">
            <w:pPr>
              <w:tabs>
                <w:tab w:val="left" w:pos="2340"/>
                <w:tab w:val="left" w:pos="2520"/>
                <w:tab w:val="left" w:pos="2700"/>
                <w:tab w:val="left" w:pos="3060"/>
              </w:tabs>
              <w:spacing w:line="360" w:lineRule="auto"/>
              <w:jc w:val="center"/>
              <w:rPr>
                <w:rFonts w:ascii="宋体" w:hAnsi="宋体" w:cs="宋体"/>
                <w:b/>
                <w:sz w:val="24"/>
              </w:rPr>
            </w:pPr>
            <w:r>
              <w:rPr>
                <w:rFonts w:hint="eastAsia" w:ascii="宋体" w:hAnsi="宋体" w:cs="宋体"/>
                <w:b/>
                <w:sz w:val="24"/>
              </w:rPr>
              <w:t>备注</w:t>
            </w:r>
          </w:p>
        </w:tc>
      </w:tr>
      <w:tr w14:paraId="7E1DE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640" w:type="dxa"/>
            <w:tcBorders>
              <w:top w:val="single" w:color="auto" w:sz="4" w:space="0"/>
              <w:left w:val="single" w:color="auto" w:sz="4" w:space="0"/>
              <w:bottom w:val="single" w:color="auto" w:sz="4" w:space="0"/>
              <w:right w:val="single" w:color="auto" w:sz="4" w:space="0"/>
            </w:tcBorders>
            <w:vAlign w:val="center"/>
          </w:tcPr>
          <w:p w14:paraId="7EC2F0D6">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1</w:t>
            </w:r>
          </w:p>
        </w:tc>
        <w:tc>
          <w:tcPr>
            <w:tcW w:w="1468" w:type="dxa"/>
            <w:tcBorders>
              <w:top w:val="single" w:color="auto" w:sz="4" w:space="0"/>
              <w:left w:val="single" w:color="auto" w:sz="4" w:space="0"/>
              <w:bottom w:val="single" w:color="auto" w:sz="4" w:space="0"/>
              <w:right w:val="single" w:color="auto" w:sz="4" w:space="0"/>
            </w:tcBorders>
            <w:vAlign w:val="center"/>
          </w:tcPr>
          <w:p w14:paraId="07DEA41F">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项目负责人</w:t>
            </w:r>
          </w:p>
        </w:tc>
        <w:tc>
          <w:tcPr>
            <w:tcW w:w="900" w:type="dxa"/>
            <w:tcBorders>
              <w:top w:val="single" w:color="auto" w:sz="4" w:space="0"/>
              <w:left w:val="single" w:color="auto" w:sz="4" w:space="0"/>
              <w:bottom w:val="single" w:color="auto" w:sz="4" w:space="0"/>
              <w:right w:val="single" w:color="auto" w:sz="4" w:space="0"/>
            </w:tcBorders>
            <w:vAlign w:val="center"/>
          </w:tcPr>
          <w:p w14:paraId="4ED7DC37">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2E8AED8">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2C650C4B">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04A7CAB7">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58BB852">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666895BB">
            <w:pPr>
              <w:tabs>
                <w:tab w:val="left" w:pos="2340"/>
                <w:tab w:val="left" w:pos="2520"/>
                <w:tab w:val="left" w:pos="2700"/>
                <w:tab w:val="left" w:pos="3060"/>
              </w:tabs>
              <w:spacing w:line="360" w:lineRule="auto"/>
              <w:jc w:val="center"/>
              <w:rPr>
                <w:rFonts w:ascii="宋体" w:hAnsi="宋体" w:cs="宋体"/>
                <w:b/>
                <w:sz w:val="24"/>
              </w:rPr>
            </w:pPr>
          </w:p>
        </w:tc>
      </w:tr>
      <w:tr w14:paraId="3FA02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trPr>
        <w:tc>
          <w:tcPr>
            <w:tcW w:w="640" w:type="dxa"/>
            <w:tcBorders>
              <w:top w:val="single" w:color="auto" w:sz="4" w:space="0"/>
              <w:left w:val="single" w:color="auto" w:sz="4" w:space="0"/>
              <w:bottom w:val="single" w:color="auto" w:sz="4" w:space="0"/>
              <w:right w:val="single" w:color="auto" w:sz="4" w:space="0"/>
            </w:tcBorders>
            <w:vAlign w:val="center"/>
          </w:tcPr>
          <w:p w14:paraId="14191E86">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2</w:t>
            </w:r>
          </w:p>
        </w:tc>
        <w:tc>
          <w:tcPr>
            <w:tcW w:w="1468" w:type="dxa"/>
            <w:tcBorders>
              <w:top w:val="single" w:color="auto" w:sz="4" w:space="0"/>
              <w:left w:val="single" w:color="auto" w:sz="4" w:space="0"/>
              <w:bottom w:val="single" w:color="auto" w:sz="4" w:space="0"/>
              <w:right w:val="single" w:color="auto" w:sz="4" w:space="0"/>
            </w:tcBorders>
            <w:vAlign w:val="center"/>
          </w:tcPr>
          <w:p w14:paraId="4751764D">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w:t>
            </w:r>
          </w:p>
        </w:tc>
        <w:tc>
          <w:tcPr>
            <w:tcW w:w="900" w:type="dxa"/>
            <w:tcBorders>
              <w:top w:val="single" w:color="auto" w:sz="4" w:space="0"/>
              <w:left w:val="single" w:color="auto" w:sz="4" w:space="0"/>
              <w:bottom w:val="single" w:color="auto" w:sz="4" w:space="0"/>
              <w:right w:val="single" w:color="auto" w:sz="4" w:space="0"/>
            </w:tcBorders>
            <w:vAlign w:val="center"/>
          </w:tcPr>
          <w:p w14:paraId="0B1D701C">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275214D6">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63F272CE">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458733EB">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ED9B733">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740B1F87">
            <w:pPr>
              <w:tabs>
                <w:tab w:val="left" w:pos="2340"/>
                <w:tab w:val="left" w:pos="2520"/>
                <w:tab w:val="left" w:pos="2700"/>
                <w:tab w:val="left" w:pos="3060"/>
              </w:tabs>
              <w:spacing w:line="360" w:lineRule="auto"/>
              <w:jc w:val="center"/>
              <w:rPr>
                <w:rFonts w:ascii="宋体" w:hAnsi="宋体" w:cs="宋体"/>
                <w:b/>
                <w:sz w:val="24"/>
              </w:rPr>
            </w:pPr>
          </w:p>
        </w:tc>
      </w:tr>
      <w:tr w14:paraId="5E179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5442F716">
            <w:pPr>
              <w:tabs>
                <w:tab w:val="left" w:pos="2340"/>
                <w:tab w:val="left" w:pos="2520"/>
                <w:tab w:val="left" w:pos="2700"/>
                <w:tab w:val="left" w:pos="3060"/>
              </w:tabs>
              <w:spacing w:line="360" w:lineRule="auto"/>
              <w:jc w:val="center"/>
              <w:rPr>
                <w:rFonts w:ascii="宋体" w:hAnsi="宋体" w:cs="宋体"/>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50DEEC63">
            <w:pPr>
              <w:tabs>
                <w:tab w:val="left" w:pos="2340"/>
                <w:tab w:val="left" w:pos="2520"/>
                <w:tab w:val="left" w:pos="2700"/>
                <w:tab w:val="left" w:pos="3060"/>
              </w:tabs>
              <w:spacing w:line="360" w:lineRule="auto"/>
              <w:jc w:val="center"/>
              <w:rPr>
                <w:rFonts w:ascii="宋体" w:hAnsi="宋体" w:cs="宋体"/>
                <w:sz w:val="24"/>
              </w:rPr>
            </w:pPr>
            <w:r>
              <w:rPr>
                <w:rFonts w:hint="eastAsia" w:ascii="宋体" w:hAnsi="宋体" w:cs="宋体"/>
                <w:sz w:val="24"/>
              </w:rPr>
              <w:t>…</w:t>
            </w:r>
          </w:p>
        </w:tc>
        <w:tc>
          <w:tcPr>
            <w:tcW w:w="900" w:type="dxa"/>
            <w:tcBorders>
              <w:top w:val="single" w:color="auto" w:sz="4" w:space="0"/>
              <w:left w:val="single" w:color="auto" w:sz="4" w:space="0"/>
              <w:bottom w:val="single" w:color="auto" w:sz="4" w:space="0"/>
              <w:right w:val="single" w:color="auto" w:sz="4" w:space="0"/>
            </w:tcBorders>
            <w:vAlign w:val="center"/>
          </w:tcPr>
          <w:p w14:paraId="0C76DD75">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4F5919B">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7C19BD7A">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0246E05D">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8C89966">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2C6C34F7">
            <w:pPr>
              <w:tabs>
                <w:tab w:val="left" w:pos="2340"/>
                <w:tab w:val="left" w:pos="2520"/>
                <w:tab w:val="left" w:pos="2700"/>
                <w:tab w:val="left" w:pos="3060"/>
              </w:tabs>
              <w:spacing w:line="360" w:lineRule="auto"/>
              <w:jc w:val="center"/>
              <w:rPr>
                <w:rFonts w:ascii="宋体" w:hAnsi="宋体" w:cs="宋体"/>
                <w:b/>
                <w:sz w:val="24"/>
              </w:rPr>
            </w:pPr>
          </w:p>
        </w:tc>
      </w:tr>
      <w:tr w14:paraId="7D96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523DF3F2">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06DEEF1B">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380F62E2">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0E93543A">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76483D77">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112A11E3">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B9B028A">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3A2AE94E">
            <w:pPr>
              <w:tabs>
                <w:tab w:val="left" w:pos="2340"/>
                <w:tab w:val="left" w:pos="2520"/>
                <w:tab w:val="left" w:pos="2700"/>
                <w:tab w:val="left" w:pos="3060"/>
              </w:tabs>
              <w:spacing w:line="360" w:lineRule="auto"/>
              <w:jc w:val="center"/>
              <w:rPr>
                <w:rFonts w:ascii="宋体" w:hAnsi="宋体" w:cs="宋体"/>
                <w:b/>
                <w:sz w:val="24"/>
              </w:rPr>
            </w:pPr>
          </w:p>
        </w:tc>
      </w:tr>
      <w:tr w14:paraId="71F0E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79BD8130">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2819A86D">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1A66FAA6">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3FCFC583">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13D93377">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3077ECB0">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9BF8BAC">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11479661">
            <w:pPr>
              <w:tabs>
                <w:tab w:val="left" w:pos="2340"/>
                <w:tab w:val="left" w:pos="2520"/>
                <w:tab w:val="left" w:pos="2700"/>
                <w:tab w:val="left" w:pos="3060"/>
              </w:tabs>
              <w:spacing w:line="360" w:lineRule="auto"/>
              <w:jc w:val="center"/>
              <w:rPr>
                <w:rFonts w:ascii="宋体" w:hAnsi="宋体" w:cs="宋体"/>
                <w:b/>
                <w:sz w:val="24"/>
              </w:rPr>
            </w:pPr>
          </w:p>
        </w:tc>
      </w:tr>
      <w:tr w14:paraId="5B0B7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40" w:type="dxa"/>
            <w:tcBorders>
              <w:top w:val="single" w:color="auto" w:sz="4" w:space="0"/>
              <w:left w:val="single" w:color="auto" w:sz="4" w:space="0"/>
              <w:bottom w:val="single" w:color="auto" w:sz="4" w:space="0"/>
              <w:right w:val="single" w:color="auto" w:sz="4" w:space="0"/>
            </w:tcBorders>
            <w:vAlign w:val="center"/>
          </w:tcPr>
          <w:p w14:paraId="314FCB39">
            <w:pPr>
              <w:tabs>
                <w:tab w:val="left" w:pos="2340"/>
                <w:tab w:val="left" w:pos="2520"/>
                <w:tab w:val="left" w:pos="2700"/>
                <w:tab w:val="left" w:pos="3060"/>
              </w:tabs>
              <w:spacing w:line="360" w:lineRule="auto"/>
              <w:jc w:val="center"/>
              <w:rPr>
                <w:rFonts w:ascii="宋体" w:hAnsi="宋体" w:cs="宋体"/>
                <w:b/>
                <w:sz w:val="24"/>
              </w:rPr>
            </w:pPr>
          </w:p>
        </w:tc>
        <w:tc>
          <w:tcPr>
            <w:tcW w:w="1468" w:type="dxa"/>
            <w:tcBorders>
              <w:top w:val="single" w:color="auto" w:sz="4" w:space="0"/>
              <w:left w:val="single" w:color="auto" w:sz="4" w:space="0"/>
              <w:bottom w:val="single" w:color="auto" w:sz="4" w:space="0"/>
              <w:right w:val="single" w:color="auto" w:sz="4" w:space="0"/>
            </w:tcBorders>
            <w:vAlign w:val="center"/>
          </w:tcPr>
          <w:p w14:paraId="0C009B6D">
            <w:pPr>
              <w:tabs>
                <w:tab w:val="left" w:pos="2340"/>
                <w:tab w:val="left" w:pos="2520"/>
                <w:tab w:val="left" w:pos="2700"/>
                <w:tab w:val="left" w:pos="3060"/>
              </w:tabs>
              <w:spacing w:line="360" w:lineRule="auto"/>
              <w:jc w:val="center"/>
              <w:rPr>
                <w:rFonts w:ascii="宋体" w:hAnsi="宋体" w:cs="宋体"/>
                <w:b/>
                <w:sz w:val="24"/>
              </w:rPr>
            </w:pPr>
          </w:p>
        </w:tc>
        <w:tc>
          <w:tcPr>
            <w:tcW w:w="900" w:type="dxa"/>
            <w:tcBorders>
              <w:top w:val="single" w:color="auto" w:sz="4" w:space="0"/>
              <w:left w:val="single" w:color="auto" w:sz="4" w:space="0"/>
              <w:bottom w:val="single" w:color="auto" w:sz="4" w:space="0"/>
              <w:right w:val="single" w:color="auto" w:sz="4" w:space="0"/>
            </w:tcBorders>
            <w:vAlign w:val="center"/>
          </w:tcPr>
          <w:p w14:paraId="0A26FAB7">
            <w:pPr>
              <w:tabs>
                <w:tab w:val="left" w:pos="2340"/>
                <w:tab w:val="left" w:pos="2520"/>
                <w:tab w:val="left" w:pos="2700"/>
                <w:tab w:val="left" w:pos="3060"/>
              </w:tabs>
              <w:spacing w:line="360" w:lineRule="auto"/>
              <w:jc w:val="center"/>
              <w:rPr>
                <w:rFonts w:ascii="宋体" w:hAnsi="宋体" w:cs="宋体"/>
                <w:b/>
                <w:sz w:val="24"/>
              </w:rPr>
            </w:pPr>
          </w:p>
        </w:tc>
        <w:tc>
          <w:tcPr>
            <w:tcW w:w="928" w:type="dxa"/>
            <w:tcBorders>
              <w:top w:val="single" w:color="auto" w:sz="4" w:space="0"/>
              <w:left w:val="single" w:color="auto" w:sz="4" w:space="0"/>
              <w:bottom w:val="single" w:color="auto" w:sz="4" w:space="0"/>
              <w:right w:val="single" w:color="auto" w:sz="4" w:space="0"/>
            </w:tcBorders>
            <w:vAlign w:val="center"/>
          </w:tcPr>
          <w:p w14:paraId="67F833AA">
            <w:pPr>
              <w:tabs>
                <w:tab w:val="left" w:pos="2340"/>
                <w:tab w:val="left" w:pos="2520"/>
                <w:tab w:val="left" w:pos="2700"/>
                <w:tab w:val="left" w:pos="3060"/>
              </w:tabs>
              <w:spacing w:line="360" w:lineRule="auto"/>
              <w:jc w:val="center"/>
              <w:rPr>
                <w:rFonts w:ascii="宋体" w:hAnsi="宋体" w:cs="宋体"/>
                <w:b/>
                <w:sz w:val="24"/>
              </w:rPr>
            </w:pPr>
          </w:p>
        </w:tc>
        <w:tc>
          <w:tcPr>
            <w:tcW w:w="1232" w:type="dxa"/>
            <w:tcBorders>
              <w:top w:val="single" w:color="auto" w:sz="4" w:space="0"/>
              <w:left w:val="single" w:color="auto" w:sz="4" w:space="0"/>
              <w:bottom w:val="single" w:color="auto" w:sz="4" w:space="0"/>
              <w:right w:val="single" w:color="auto" w:sz="4" w:space="0"/>
            </w:tcBorders>
            <w:vAlign w:val="center"/>
          </w:tcPr>
          <w:p w14:paraId="33F89D9E">
            <w:pPr>
              <w:tabs>
                <w:tab w:val="left" w:pos="2340"/>
                <w:tab w:val="left" w:pos="2520"/>
                <w:tab w:val="left" w:pos="2700"/>
                <w:tab w:val="left" w:pos="3060"/>
              </w:tabs>
              <w:spacing w:line="360" w:lineRule="auto"/>
              <w:jc w:val="center"/>
              <w:rPr>
                <w:rFonts w:ascii="宋体" w:hAnsi="宋体" w:cs="宋体"/>
                <w:b/>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1A7F6A7B">
            <w:pPr>
              <w:tabs>
                <w:tab w:val="left" w:pos="2340"/>
                <w:tab w:val="left" w:pos="2520"/>
                <w:tab w:val="left" w:pos="2700"/>
                <w:tab w:val="left" w:pos="3060"/>
              </w:tabs>
              <w:spacing w:line="360" w:lineRule="auto"/>
              <w:jc w:val="center"/>
              <w:rPr>
                <w:rFonts w:ascii="宋体" w:hAnsi="宋体" w:cs="宋体"/>
                <w:b/>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ED2E489">
            <w:pPr>
              <w:tabs>
                <w:tab w:val="left" w:pos="2340"/>
                <w:tab w:val="left" w:pos="2520"/>
                <w:tab w:val="left" w:pos="2700"/>
                <w:tab w:val="left" w:pos="3060"/>
              </w:tabs>
              <w:spacing w:line="360" w:lineRule="auto"/>
              <w:jc w:val="center"/>
              <w:rPr>
                <w:rFonts w:ascii="宋体" w:hAnsi="宋体" w:cs="宋体"/>
                <w:b/>
                <w:sz w:val="24"/>
              </w:rPr>
            </w:pPr>
          </w:p>
        </w:tc>
        <w:tc>
          <w:tcPr>
            <w:tcW w:w="1056" w:type="dxa"/>
            <w:tcBorders>
              <w:top w:val="single" w:color="auto" w:sz="4" w:space="0"/>
              <w:left w:val="single" w:color="auto" w:sz="4" w:space="0"/>
              <w:bottom w:val="single" w:color="auto" w:sz="4" w:space="0"/>
              <w:right w:val="single" w:color="auto" w:sz="4" w:space="0"/>
            </w:tcBorders>
            <w:vAlign w:val="center"/>
          </w:tcPr>
          <w:p w14:paraId="548390A0">
            <w:pPr>
              <w:tabs>
                <w:tab w:val="left" w:pos="2340"/>
                <w:tab w:val="left" w:pos="2520"/>
                <w:tab w:val="left" w:pos="2700"/>
                <w:tab w:val="left" w:pos="3060"/>
              </w:tabs>
              <w:spacing w:line="360" w:lineRule="auto"/>
              <w:jc w:val="center"/>
              <w:rPr>
                <w:rFonts w:ascii="宋体" w:hAnsi="宋体" w:cs="宋体"/>
                <w:b/>
                <w:sz w:val="24"/>
              </w:rPr>
            </w:pPr>
          </w:p>
        </w:tc>
      </w:tr>
    </w:tbl>
    <w:p w14:paraId="66C5EC54">
      <w:pPr>
        <w:ind w:left="-899" w:leftChars="-428" w:firstLine="360" w:firstLineChars="150"/>
        <w:rPr>
          <w:rFonts w:ascii="宋体" w:hAnsi="宋体" w:cs="宋体"/>
          <w:sz w:val="24"/>
        </w:rPr>
      </w:pPr>
      <w:r>
        <w:rPr>
          <w:rFonts w:hint="eastAsia" w:ascii="宋体" w:hAnsi="宋体" w:cs="宋体"/>
          <w:sz w:val="24"/>
        </w:rPr>
        <w:t>注：表后附人员有效证件/证书、社保证明等。</w:t>
      </w:r>
    </w:p>
    <w:p w14:paraId="2A0ABCBD">
      <w:pPr>
        <w:spacing w:line="360" w:lineRule="auto"/>
        <w:ind w:firstLine="484" w:firstLineChars="202"/>
        <w:rPr>
          <w:rFonts w:ascii="宋体" w:hAnsi="宋体" w:cs="宋体"/>
          <w:sz w:val="24"/>
        </w:rPr>
      </w:pPr>
    </w:p>
    <w:p w14:paraId="6E6C7432">
      <w:pPr>
        <w:spacing w:line="360" w:lineRule="auto"/>
        <w:rPr>
          <w:rFonts w:ascii="宋体" w:hAnsi="宋体" w:cs="宋体"/>
          <w:sz w:val="24"/>
        </w:rPr>
      </w:pPr>
    </w:p>
    <w:p w14:paraId="450A39E2">
      <w:pPr>
        <w:spacing w:line="360" w:lineRule="auto"/>
        <w:rPr>
          <w:rFonts w:ascii="宋体" w:hAnsi="宋体" w:cs="宋体"/>
          <w:sz w:val="24"/>
          <w:u w:val="single"/>
        </w:rPr>
      </w:pPr>
      <w:r>
        <w:rPr>
          <w:rFonts w:hint="eastAsia" w:ascii="宋体" w:hAnsi="宋体" w:cs="宋体"/>
          <w:sz w:val="24"/>
        </w:rPr>
        <w:t xml:space="preserve">投标人名称：（加盖公章）  </w:t>
      </w:r>
    </w:p>
    <w:p w14:paraId="4C6448E5">
      <w:pPr>
        <w:spacing w:line="360" w:lineRule="auto"/>
        <w:rPr>
          <w:rFonts w:ascii="宋体" w:hAnsi="宋体" w:cs="宋体"/>
          <w:sz w:val="24"/>
        </w:rPr>
      </w:pPr>
      <w:r>
        <w:rPr>
          <w:rFonts w:hint="eastAsia" w:ascii="宋体" w:hAnsi="宋体" w:cs="宋体"/>
          <w:spacing w:val="-4"/>
          <w:sz w:val="24"/>
        </w:rPr>
        <w:t>法定代表人</w:t>
      </w:r>
      <w:r>
        <w:rPr>
          <w:rFonts w:hint="eastAsia" w:ascii="宋体" w:hAnsi="宋体" w:cs="宋体"/>
          <w:sz w:val="24"/>
        </w:rPr>
        <w:t>：（签字或盖章）</w:t>
      </w:r>
    </w:p>
    <w:p w14:paraId="0F713336">
      <w:pPr>
        <w:spacing w:line="360" w:lineRule="auto"/>
        <w:rPr>
          <w:rFonts w:ascii="宋体" w:hAnsi="宋体" w:cs="宋体"/>
          <w:spacing w:val="20"/>
          <w:sz w:val="24"/>
        </w:rPr>
      </w:pPr>
      <w:r>
        <w:rPr>
          <w:rFonts w:hint="eastAsia" w:ascii="宋体" w:hAnsi="宋体" w:cs="宋体"/>
          <w:spacing w:val="20"/>
          <w:sz w:val="24"/>
        </w:rPr>
        <w:t>日期：年月日</w:t>
      </w:r>
    </w:p>
    <w:p w14:paraId="5366E590">
      <w:pPr>
        <w:rPr>
          <w:rFonts w:ascii="宋体" w:hAnsi="宋体" w:cs="宋体"/>
          <w:sz w:val="24"/>
        </w:rPr>
      </w:pPr>
      <w:r>
        <w:rPr>
          <w:rFonts w:hint="eastAsia" w:ascii="宋体" w:hAnsi="宋体" w:cs="宋体"/>
          <w:spacing w:val="20"/>
          <w:sz w:val="24"/>
        </w:rPr>
        <w:br w:type="page"/>
      </w:r>
    </w:p>
    <w:p w14:paraId="10C42BD5">
      <w:pPr>
        <w:spacing w:line="380" w:lineRule="exact"/>
        <w:jc w:val="left"/>
        <w:outlineLvl w:val="2"/>
        <w:rPr>
          <w:rFonts w:ascii="宋体" w:hAnsi="宋体" w:cs="宋体"/>
          <w:b/>
          <w:sz w:val="24"/>
          <w:lang w:val="zh-CN"/>
        </w:rPr>
      </w:pPr>
      <w:r>
        <w:rPr>
          <w:rFonts w:hint="eastAsia" w:ascii="宋体" w:hAnsi="宋体" w:cs="宋体"/>
          <w:b/>
          <w:sz w:val="24"/>
          <w:lang w:val="zh-CN"/>
        </w:rPr>
        <w:t>十</w:t>
      </w:r>
      <w:r>
        <w:rPr>
          <w:rFonts w:hint="eastAsia" w:ascii="宋体" w:hAnsi="宋体" w:cs="宋体"/>
          <w:b/>
          <w:sz w:val="24"/>
          <w:lang w:val="en-US" w:eastAsia="zh-CN"/>
        </w:rPr>
        <w:t>一</w:t>
      </w:r>
      <w:r>
        <w:rPr>
          <w:rFonts w:hint="eastAsia" w:ascii="宋体" w:hAnsi="宋体" w:cs="宋体"/>
          <w:b/>
          <w:sz w:val="24"/>
          <w:lang w:val="zh-CN"/>
        </w:rPr>
        <w:t>、商务偏离表</w:t>
      </w:r>
    </w:p>
    <w:p w14:paraId="1D391CB3">
      <w:pPr>
        <w:snapToGrid w:val="0"/>
        <w:spacing w:before="50"/>
        <w:jc w:val="center"/>
        <w:rPr>
          <w:rFonts w:ascii="宋体" w:hAnsi="宋体" w:cs="宋体"/>
          <w:b/>
          <w:bCs/>
          <w:sz w:val="24"/>
        </w:rPr>
      </w:pPr>
      <w:r>
        <w:rPr>
          <w:rFonts w:hint="eastAsia" w:ascii="宋体" w:hAnsi="宋体" w:cs="宋体"/>
          <w:b/>
          <w:bCs/>
          <w:sz w:val="24"/>
        </w:rPr>
        <w:t>商务条款响应表</w:t>
      </w:r>
    </w:p>
    <w:p w14:paraId="5FF9CF1B">
      <w:pPr>
        <w:snapToGrid w:val="0"/>
        <w:spacing w:before="50" w:after="50"/>
        <w:rPr>
          <w:rFonts w:ascii="宋体" w:hAnsi="宋体" w:cs="宋体"/>
          <w:sz w:val="24"/>
        </w:rPr>
      </w:pPr>
    </w:p>
    <w:p w14:paraId="16BEE9A0">
      <w:pPr>
        <w:spacing w:line="560" w:lineRule="exact"/>
        <w:rPr>
          <w:rFonts w:ascii="宋体" w:hAnsi="宋体" w:cs="宋体"/>
          <w:bCs/>
          <w:sz w:val="24"/>
        </w:rPr>
      </w:pPr>
      <w:r>
        <w:rPr>
          <w:rFonts w:hint="eastAsia" w:ascii="宋体" w:hAnsi="宋体" w:cs="宋体"/>
          <w:sz w:val="24"/>
        </w:rPr>
        <w:t>招标编号：</w:t>
      </w:r>
      <w:r>
        <w:rPr>
          <w:rFonts w:hint="eastAsia" w:ascii="宋体" w:hAnsi="宋体" w:cs="宋体"/>
          <w:bCs/>
          <w:sz w:val="24"/>
        </w:rPr>
        <w:t xml:space="preserve">项目名称： </w:t>
      </w:r>
    </w:p>
    <w:tbl>
      <w:tblPr>
        <w:tblStyle w:val="37"/>
        <w:tblW w:w="9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9"/>
        <w:gridCol w:w="2581"/>
        <w:gridCol w:w="1672"/>
        <w:gridCol w:w="1976"/>
        <w:gridCol w:w="1680"/>
      </w:tblGrid>
      <w:tr w14:paraId="2653E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1229" w:type="dxa"/>
            <w:vAlign w:val="center"/>
          </w:tcPr>
          <w:p w14:paraId="11E76AF1">
            <w:pPr>
              <w:jc w:val="center"/>
              <w:rPr>
                <w:rFonts w:ascii="宋体" w:hAnsi="宋体" w:cs="宋体"/>
                <w:bCs/>
                <w:sz w:val="24"/>
              </w:rPr>
            </w:pPr>
            <w:r>
              <w:rPr>
                <w:rFonts w:hint="eastAsia" w:ascii="宋体" w:hAnsi="宋体" w:cs="宋体"/>
                <w:bCs/>
                <w:sz w:val="24"/>
              </w:rPr>
              <w:t>内   容</w:t>
            </w:r>
          </w:p>
        </w:tc>
        <w:tc>
          <w:tcPr>
            <w:tcW w:w="2581" w:type="dxa"/>
            <w:vAlign w:val="center"/>
          </w:tcPr>
          <w:p w14:paraId="6E7FBD62">
            <w:pPr>
              <w:jc w:val="center"/>
              <w:rPr>
                <w:rFonts w:ascii="宋体" w:hAnsi="宋体" w:cs="宋体"/>
                <w:bCs/>
                <w:sz w:val="24"/>
              </w:rPr>
            </w:pPr>
            <w:r>
              <w:rPr>
                <w:rFonts w:hint="eastAsia" w:ascii="宋体" w:hAnsi="宋体" w:cs="宋体"/>
                <w:bCs/>
                <w:sz w:val="24"/>
              </w:rPr>
              <w:t>采购要求</w:t>
            </w:r>
          </w:p>
        </w:tc>
        <w:tc>
          <w:tcPr>
            <w:tcW w:w="1672" w:type="dxa"/>
            <w:vAlign w:val="center"/>
          </w:tcPr>
          <w:p w14:paraId="090CB9EE">
            <w:pPr>
              <w:jc w:val="center"/>
              <w:rPr>
                <w:rFonts w:ascii="宋体" w:hAnsi="宋体" w:cs="宋体"/>
                <w:bCs/>
                <w:sz w:val="24"/>
              </w:rPr>
            </w:pPr>
            <w:r>
              <w:rPr>
                <w:rFonts w:hint="eastAsia" w:ascii="宋体" w:hAnsi="宋体" w:cs="宋体"/>
                <w:bCs/>
                <w:sz w:val="24"/>
              </w:rPr>
              <w:t>投标响应</w:t>
            </w:r>
          </w:p>
        </w:tc>
        <w:tc>
          <w:tcPr>
            <w:tcW w:w="1976" w:type="dxa"/>
            <w:vAlign w:val="center"/>
          </w:tcPr>
          <w:p w14:paraId="37A34F1E">
            <w:pPr>
              <w:jc w:val="center"/>
              <w:rPr>
                <w:rFonts w:ascii="宋体" w:hAnsi="宋体" w:cs="宋体"/>
                <w:bCs/>
                <w:sz w:val="24"/>
              </w:rPr>
            </w:pPr>
            <w:r>
              <w:rPr>
                <w:rFonts w:hint="eastAsia" w:ascii="宋体" w:hAnsi="宋体" w:cs="宋体"/>
                <w:bCs/>
                <w:sz w:val="24"/>
              </w:rPr>
              <w:t>偏离</w:t>
            </w:r>
          </w:p>
        </w:tc>
        <w:tc>
          <w:tcPr>
            <w:tcW w:w="1680" w:type="dxa"/>
            <w:vAlign w:val="center"/>
          </w:tcPr>
          <w:p w14:paraId="0C500FE4">
            <w:pPr>
              <w:jc w:val="center"/>
              <w:rPr>
                <w:rFonts w:ascii="宋体" w:hAnsi="宋体" w:cs="宋体"/>
                <w:bCs/>
                <w:sz w:val="24"/>
              </w:rPr>
            </w:pPr>
            <w:r>
              <w:rPr>
                <w:rFonts w:hint="eastAsia" w:ascii="宋体" w:hAnsi="宋体" w:cs="宋体"/>
                <w:bCs/>
                <w:sz w:val="24"/>
              </w:rPr>
              <w:t>说   明</w:t>
            </w:r>
          </w:p>
        </w:tc>
      </w:tr>
      <w:tr w14:paraId="0B3BB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1229" w:type="dxa"/>
            <w:vMerge w:val="restart"/>
            <w:vAlign w:val="center"/>
          </w:tcPr>
          <w:p w14:paraId="32D07AA1">
            <w:pPr>
              <w:rPr>
                <w:rFonts w:ascii="宋体" w:hAnsi="宋体" w:cs="宋体"/>
                <w:bCs/>
                <w:sz w:val="24"/>
              </w:rPr>
            </w:pPr>
            <w:r>
              <w:rPr>
                <w:rFonts w:hint="eastAsia" w:ascii="宋体" w:hAnsi="宋体" w:cs="宋体"/>
                <w:bCs/>
                <w:sz w:val="24"/>
              </w:rPr>
              <w:t>商务条款</w:t>
            </w:r>
          </w:p>
        </w:tc>
        <w:tc>
          <w:tcPr>
            <w:tcW w:w="2581" w:type="dxa"/>
          </w:tcPr>
          <w:p w14:paraId="06067733">
            <w:pPr>
              <w:snapToGrid w:val="0"/>
              <w:spacing w:beforeLines="50"/>
              <w:ind w:firstLine="120" w:firstLineChars="50"/>
              <w:jc w:val="left"/>
              <w:rPr>
                <w:rFonts w:ascii="宋体" w:hAnsi="宋体" w:cs="宋体"/>
                <w:bCs/>
                <w:sz w:val="24"/>
              </w:rPr>
            </w:pPr>
          </w:p>
        </w:tc>
        <w:tc>
          <w:tcPr>
            <w:tcW w:w="1672" w:type="dxa"/>
            <w:vAlign w:val="center"/>
          </w:tcPr>
          <w:p w14:paraId="1E9E9E84">
            <w:pPr>
              <w:jc w:val="center"/>
              <w:rPr>
                <w:rFonts w:ascii="宋体" w:hAnsi="宋体" w:cs="宋体"/>
                <w:bCs/>
                <w:sz w:val="24"/>
              </w:rPr>
            </w:pPr>
          </w:p>
        </w:tc>
        <w:tc>
          <w:tcPr>
            <w:tcW w:w="1976" w:type="dxa"/>
            <w:vAlign w:val="center"/>
          </w:tcPr>
          <w:p w14:paraId="619C17F4">
            <w:pPr>
              <w:jc w:val="center"/>
              <w:rPr>
                <w:rFonts w:ascii="宋体" w:hAnsi="宋体" w:cs="宋体"/>
                <w:bCs/>
                <w:sz w:val="24"/>
              </w:rPr>
            </w:pPr>
          </w:p>
        </w:tc>
        <w:tc>
          <w:tcPr>
            <w:tcW w:w="1680" w:type="dxa"/>
            <w:vAlign w:val="center"/>
          </w:tcPr>
          <w:p w14:paraId="55062492">
            <w:pPr>
              <w:jc w:val="center"/>
              <w:rPr>
                <w:rFonts w:ascii="宋体" w:hAnsi="宋体" w:cs="宋体"/>
                <w:bCs/>
                <w:sz w:val="24"/>
              </w:rPr>
            </w:pPr>
          </w:p>
        </w:tc>
      </w:tr>
      <w:tr w14:paraId="7E984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66FECAFF">
            <w:pPr>
              <w:jc w:val="center"/>
              <w:rPr>
                <w:rFonts w:ascii="宋体" w:hAnsi="宋体" w:cs="宋体"/>
                <w:bCs/>
                <w:sz w:val="24"/>
              </w:rPr>
            </w:pPr>
          </w:p>
        </w:tc>
        <w:tc>
          <w:tcPr>
            <w:tcW w:w="2581" w:type="dxa"/>
            <w:vAlign w:val="center"/>
          </w:tcPr>
          <w:p w14:paraId="66A641EC">
            <w:pPr>
              <w:pStyle w:val="102"/>
              <w:widowControl/>
              <w:tabs>
                <w:tab w:val="clear" w:pos="1418"/>
              </w:tabs>
              <w:overflowPunct w:val="0"/>
              <w:autoSpaceDE w:val="0"/>
              <w:autoSpaceDN w:val="0"/>
              <w:adjustRightInd w:val="0"/>
              <w:snapToGrid w:val="0"/>
              <w:spacing w:line="360" w:lineRule="exact"/>
              <w:jc w:val="left"/>
              <w:textAlignment w:val="baseline"/>
              <w:rPr>
                <w:rFonts w:ascii="宋体" w:hAnsi="宋体" w:eastAsia="宋体" w:cs="宋体"/>
                <w:bCs/>
              </w:rPr>
            </w:pPr>
          </w:p>
        </w:tc>
        <w:tc>
          <w:tcPr>
            <w:tcW w:w="1672" w:type="dxa"/>
            <w:vAlign w:val="center"/>
          </w:tcPr>
          <w:p w14:paraId="0634E708">
            <w:pPr>
              <w:jc w:val="center"/>
              <w:rPr>
                <w:rFonts w:ascii="宋体" w:hAnsi="宋体" w:cs="宋体"/>
                <w:bCs/>
                <w:sz w:val="24"/>
              </w:rPr>
            </w:pPr>
          </w:p>
        </w:tc>
        <w:tc>
          <w:tcPr>
            <w:tcW w:w="1976" w:type="dxa"/>
            <w:vAlign w:val="center"/>
          </w:tcPr>
          <w:p w14:paraId="4D80F953">
            <w:pPr>
              <w:jc w:val="center"/>
              <w:rPr>
                <w:rFonts w:ascii="宋体" w:hAnsi="宋体" w:cs="宋体"/>
                <w:bCs/>
                <w:sz w:val="24"/>
              </w:rPr>
            </w:pPr>
          </w:p>
        </w:tc>
        <w:tc>
          <w:tcPr>
            <w:tcW w:w="1680" w:type="dxa"/>
            <w:vAlign w:val="center"/>
          </w:tcPr>
          <w:p w14:paraId="615E58C8">
            <w:pPr>
              <w:jc w:val="center"/>
              <w:rPr>
                <w:rFonts w:ascii="宋体" w:hAnsi="宋体" w:cs="宋体"/>
                <w:bCs/>
                <w:sz w:val="24"/>
              </w:rPr>
            </w:pPr>
          </w:p>
        </w:tc>
      </w:tr>
      <w:tr w14:paraId="22D68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6D9BA289">
            <w:pPr>
              <w:jc w:val="center"/>
              <w:rPr>
                <w:rFonts w:ascii="宋体" w:hAnsi="宋体" w:cs="宋体"/>
                <w:bCs/>
                <w:sz w:val="24"/>
              </w:rPr>
            </w:pPr>
          </w:p>
        </w:tc>
        <w:tc>
          <w:tcPr>
            <w:tcW w:w="2581" w:type="dxa"/>
            <w:vAlign w:val="center"/>
          </w:tcPr>
          <w:p w14:paraId="01AD99AB">
            <w:pPr>
              <w:snapToGrid w:val="0"/>
              <w:spacing w:line="360" w:lineRule="exact"/>
              <w:jc w:val="left"/>
              <w:rPr>
                <w:rFonts w:ascii="宋体" w:hAnsi="宋体" w:cs="宋体"/>
                <w:bCs/>
                <w:sz w:val="24"/>
              </w:rPr>
            </w:pPr>
          </w:p>
        </w:tc>
        <w:tc>
          <w:tcPr>
            <w:tcW w:w="1672" w:type="dxa"/>
            <w:vAlign w:val="center"/>
          </w:tcPr>
          <w:p w14:paraId="5FECE9A2">
            <w:pPr>
              <w:jc w:val="center"/>
              <w:rPr>
                <w:rFonts w:ascii="宋体" w:hAnsi="宋体" w:cs="宋体"/>
                <w:bCs/>
                <w:sz w:val="24"/>
              </w:rPr>
            </w:pPr>
          </w:p>
        </w:tc>
        <w:tc>
          <w:tcPr>
            <w:tcW w:w="1976" w:type="dxa"/>
            <w:vAlign w:val="center"/>
          </w:tcPr>
          <w:p w14:paraId="6280AB47">
            <w:pPr>
              <w:jc w:val="center"/>
              <w:rPr>
                <w:rFonts w:ascii="宋体" w:hAnsi="宋体" w:cs="宋体"/>
                <w:bCs/>
                <w:sz w:val="24"/>
              </w:rPr>
            </w:pPr>
          </w:p>
        </w:tc>
        <w:tc>
          <w:tcPr>
            <w:tcW w:w="1680" w:type="dxa"/>
            <w:vAlign w:val="center"/>
          </w:tcPr>
          <w:p w14:paraId="4ED263E3">
            <w:pPr>
              <w:jc w:val="center"/>
              <w:rPr>
                <w:rFonts w:ascii="宋体" w:hAnsi="宋体" w:cs="宋体"/>
                <w:bCs/>
                <w:sz w:val="24"/>
              </w:rPr>
            </w:pPr>
          </w:p>
        </w:tc>
      </w:tr>
      <w:tr w14:paraId="58AB6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5BC4B681">
            <w:pPr>
              <w:jc w:val="center"/>
              <w:rPr>
                <w:rFonts w:ascii="宋体" w:hAnsi="宋体" w:cs="宋体"/>
                <w:bCs/>
                <w:sz w:val="24"/>
              </w:rPr>
            </w:pPr>
          </w:p>
        </w:tc>
        <w:tc>
          <w:tcPr>
            <w:tcW w:w="2581" w:type="dxa"/>
            <w:vAlign w:val="center"/>
          </w:tcPr>
          <w:p w14:paraId="1EFAB6A7">
            <w:pPr>
              <w:snapToGrid w:val="0"/>
              <w:spacing w:line="360" w:lineRule="exact"/>
              <w:jc w:val="left"/>
              <w:rPr>
                <w:rFonts w:ascii="宋体" w:hAnsi="宋体" w:cs="宋体"/>
                <w:bCs/>
                <w:sz w:val="24"/>
              </w:rPr>
            </w:pPr>
          </w:p>
        </w:tc>
        <w:tc>
          <w:tcPr>
            <w:tcW w:w="1672" w:type="dxa"/>
            <w:vAlign w:val="center"/>
          </w:tcPr>
          <w:p w14:paraId="00A85A28">
            <w:pPr>
              <w:jc w:val="center"/>
              <w:rPr>
                <w:rFonts w:ascii="宋体" w:hAnsi="宋体" w:cs="宋体"/>
                <w:bCs/>
                <w:sz w:val="24"/>
              </w:rPr>
            </w:pPr>
          </w:p>
        </w:tc>
        <w:tc>
          <w:tcPr>
            <w:tcW w:w="1976" w:type="dxa"/>
            <w:vAlign w:val="center"/>
          </w:tcPr>
          <w:p w14:paraId="2BECA99C">
            <w:pPr>
              <w:jc w:val="center"/>
              <w:rPr>
                <w:rFonts w:ascii="宋体" w:hAnsi="宋体" w:cs="宋体"/>
                <w:bCs/>
                <w:sz w:val="24"/>
              </w:rPr>
            </w:pPr>
          </w:p>
        </w:tc>
        <w:tc>
          <w:tcPr>
            <w:tcW w:w="1680" w:type="dxa"/>
            <w:vAlign w:val="center"/>
          </w:tcPr>
          <w:p w14:paraId="5FD2CBAF">
            <w:pPr>
              <w:jc w:val="center"/>
              <w:rPr>
                <w:rFonts w:ascii="宋体" w:hAnsi="宋体" w:cs="宋体"/>
                <w:bCs/>
                <w:sz w:val="24"/>
              </w:rPr>
            </w:pPr>
          </w:p>
        </w:tc>
      </w:tr>
      <w:tr w14:paraId="01ECE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2361DC57">
            <w:pPr>
              <w:jc w:val="center"/>
              <w:rPr>
                <w:rFonts w:ascii="宋体" w:hAnsi="宋体" w:cs="宋体"/>
                <w:bCs/>
                <w:sz w:val="24"/>
              </w:rPr>
            </w:pPr>
          </w:p>
        </w:tc>
        <w:tc>
          <w:tcPr>
            <w:tcW w:w="2581" w:type="dxa"/>
          </w:tcPr>
          <w:p w14:paraId="05934503">
            <w:pPr>
              <w:snapToGrid w:val="0"/>
              <w:spacing w:beforeLines="50"/>
              <w:jc w:val="left"/>
              <w:rPr>
                <w:rFonts w:ascii="宋体" w:hAnsi="宋体" w:cs="宋体"/>
                <w:bCs/>
                <w:sz w:val="24"/>
              </w:rPr>
            </w:pPr>
          </w:p>
        </w:tc>
        <w:tc>
          <w:tcPr>
            <w:tcW w:w="1672" w:type="dxa"/>
            <w:vAlign w:val="center"/>
          </w:tcPr>
          <w:p w14:paraId="787A9D72">
            <w:pPr>
              <w:jc w:val="center"/>
              <w:rPr>
                <w:rFonts w:ascii="宋体" w:hAnsi="宋体" w:cs="宋体"/>
                <w:bCs/>
                <w:sz w:val="24"/>
              </w:rPr>
            </w:pPr>
          </w:p>
        </w:tc>
        <w:tc>
          <w:tcPr>
            <w:tcW w:w="1976" w:type="dxa"/>
            <w:vAlign w:val="center"/>
          </w:tcPr>
          <w:p w14:paraId="6C8FC112">
            <w:pPr>
              <w:jc w:val="center"/>
              <w:rPr>
                <w:rFonts w:ascii="宋体" w:hAnsi="宋体" w:cs="宋体"/>
                <w:bCs/>
                <w:sz w:val="24"/>
              </w:rPr>
            </w:pPr>
          </w:p>
        </w:tc>
        <w:tc>
          <w:tcPr>
            <w:tcW w:w="1680" w:type="dxa"/>
            <w:vAlign w:val="center"/>
          </w:tcPr>
          <w:p w14:paraId="2F29E268">
            <w:pPr>
              <w:jc w:val="center"/>
              <w:rPr>
                <w:rFonts w:ascii="宋体" w:hAnsi="宋体" w:cs="宋体"/>
                <w:bCs/>
                <w:sz w:val="24"/>
              </w:rPr>
            </w:pPr>
          </w:p>
        </w:tc>
      </w:tr>
      <w:tr w14:paraId="671D8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34BD3D35">
            <w:pPr>
              <w:jc w:val="center"/>
              <w:rPr>
                <w:rFonts w:ascii="宋体" w:hAnsi="宋体" w:cs="宋体"/>
                <w:bCs/>
                <w:sz w:val="24"/>
              </w:rPr>
            </w:pPr>
          </w:p>
        </w:tc>
        <w:tc>
          <w:tcPr>
            <w:tcW w:w="2581" w:type="dxa"/>
          </w:tcPr>
          <w:p w14:paraId="7ED93679">
            <w:pPr>
              <w:snapToGrid w:val="0"/>
              <w:spacing w:beforeLines="50"/>
              <w:ind w:firstLine="120" w:firstLineChars="50"/>
              <w:jc w:val="left"/>
              <w:rPr>
                <w:rFonts w:ascii="宋体" w:hAnsi="宋体" w:cs="宋体"/>
                <w:bCs/>
                <w:sz w:val="24"/>
              </w:rPr>
            </w:pPr>
          </w:p>
        </w:tc>
        <w:tc>
          <w:tcPr>
            <w:tcW w:w="1672" w:type="dxa"/>
            <w:vAlign w:val="center"/>
          </w:tcPr>
          <w:p w14:paraId="31542518">
            <w:pPr>
              <w:jc w:val="center"/>
              <w:rPr>
                <w:rFonts w:ascii="宋体" w:hAnsi="宋体" w:cs="宋体"/>
                <w:bCs/>
                <w:sz w:val="24"/>
              </w:rPr>
            </w:pPr>
          </w:p>
        </w:tc>
        <w:tc>
          <w:tcPr>
            <w:tcW w:w="1976" w:type="dxa"/>
            <w:vAlign w:val="center"/>
          </w:tcPr>
          <w:p w14:paraId="57CF85C0">
            <w:pPr>
              <w:jc w:val="center"/>
              <w:rPr>
                <w:rFonts w:ascii="宋体" w:hAnsi="宋体" w:cs="宋体"/>
                <w:bCs/>
                <w:sz w:val="24"/>
              </w:rPr>
            </w:pPr>
          </w:p>
        </w:tc>
        <w:tc>
          <w:tcPr>
            <w:tcW w:w="1680" w:type="dxa"/>
            <w:vAlign w:val="center"/>
          </w:tcPr>
          <w:p w14:paraId="39B18A3B">
            <w:pPr>
              <w:jc w:val="center"/>
              <w:rPr>
                <w:rFonts w:ascii="宋体" w:hAnsi="宋体" w:cs="宋体"/>
                <w:bCs/>
                <w:sz w:val="24"/>
              </w:rPr>
            </w:pPr>
          </w:p>
        </w:tc>
      </w:tr>
      <w:tr w14:paraId="6EC71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jc w:val="center"/>
        </w:trPr>
        <w:tc>
          <w:tcPr>
            <w:tcW w:w="1229" w:type="dxa"/>
            <w:vMerge w:val="continue"/>
            <w:vAlign w:val="center"/>
          </w:tcPr>
          <w:p w14:paraId="4247DAFB">
            <w:pPr>
              <w:jc w:val="center"/>
              <w:rPr>
                <w:rFonts w:ascii="宋体" w:hAnsi="宋体" w:cs="宋体"/>
                <w:bCs/>
                <w:sz w:val="24"/>
              </w:rPr>
            </w:pPr>
          </w:p>
        </w:tc>
        <w:tc>
          <w:tcPr>
            <w:tcW w:w="2581" w:type="dxa"/>
            <w:vAlign w:val="center"/>
          </w:tcPr>
          <w:p w14:paraId="0EA79884">
            <w:pPr>
              <w:pStyle w:val="102"/>
              <w:widowControl/>
              <w:tabs>
                <w:tab w:val="clear" w:pos="1418"/>
              </w:tabs>
              <w:overflowPunct w:val="0"/>
              <w:autoSpaceDE w:val="0"/>
              <w:autoSpaceDN w:val="0"/>
              <w:adjustRightInd w:val="0"/>
              <w:snapToGrid w:val="0"/>
              <w:spacing w:line="360" w:lineRule="exact"/>
              <w:textAlignment w:val="baseline"/>
              <w:rPr>
                <w:rFonts w:ascii="宋体" w:hAnsi="宋体" w:eastAsia="宋体" w:cs="宋体"/>
                <w:bCs/>
              </w:rPr>
            </w:pPr>
          </w:p>
        </w:tc>
        <w:tc>
          <w:tcPr>
            <w:tcW w:w="1672" w:type="dxa"/>
            <w:vAlign w:val="center"/>
          </w:tcPr>
          <w:p w14:paraId="53E3DC38">
            <w:pPr>
              <w:jc w:val="center"/>
              <w:rPr>
                <w:rFonts w:ascii="宋体" w:hAnsi="宋体" w:cs="宋体"/>
                <w:bCs/>
                <w:sz w:val="24"/>
              </w:rPr>
            </w:pPr>
          </w:p>
        </w:tc>
        <w:tc>
          <w:tcPr>
            <w:tcW w:w="1976" w:type="dxa"/>
            <w:vAlign w:val="center"/>
          </w:tcPr>
          <w:p w14:paraId="6CFBEAA0">
            <w:pPr>
              <w:jc w:val="center"/>
              <w:rPr>
                <w:rFonts w:ascii="宋体" w:hAnsi="宋体" w:cs="宋体"/>
                <w:bCs/>
                <w:sz w:val="24"/>
              </w:rPr>
            </w:pPr>
          </w:p>
        </w:tc>
        <w:tc>
          <w:tcPr>
            <w:tcW w:w="1680" w:type="dxa"/>
            <w:vAlign w:val="center"/>
          </w:tcPr>
          <w:p w14:paraId="2D3C277B">
            <w:pPr>
              <w:jc w:val="center"/>
              <w:rPr>
                <w:rFonts w:ascii="宋体" w:hAnsi="宋体" w:cs="宋体"/>
                <w:bCs/>
                <w:sz w:val="24"/>
              </w:rPr>
            </w:pPr>
          </w:p>
        </w:tc>
      </w:tr>
    </w:tbl>
    <w:p w14:paraId="5DD56442">
      <w:pPr>
        <w:pStyle w:val="96"/>
        <w:spacing w:line="400" w:lineRule="atLeast"/>
        <w:ind w:left="585" w:hanging="585" w:hangingChars="243"/>
        <w:rPr>
          <w:rFonts w:hAnsi="宋体" w:eastAsia="宋体" w:cs="宋体"/>
          <w:b/>
          <w:sz w:val="24"/>
        </w:rPr>
      </w:pPr>
      <w:r>
        <w:rPr>
          <w:rFonts w:hint="eastAsia" w:hAnsi="宋体" w:eastAsia="宋体" w:cs="宋体"/>
          <w:b/>
          <w:sz w:val="24"/>
        </w:rPr>
        <w:t>注： 如有偏离，必须在偏离表中进行详细对比说明并注明正偏离（负偏离），如此表不填或填写为无偏离或不说明偏离情况，视为完全响应招标文件要求。</w:t>
      </w:r>
    </w:p>
    <w:p w14:paraId="290B191E">
      <w:pPr>
        <w:autoSpaceDE w:val="0"/>
        <w:autoSpaceDN w:val="0"/>
        <w:adjustRightInd w:val="0"/>
        <w:spacing w:line="360" w:lineRule="auto"/>
        <w:jc w:val="center"/>
        <w:rPr>
          <w:rFonts w:ascii="宋体" w:hAnsi="宋体" w:cs="宋体"/>
          <w:sz w:val="24"/>
        </w:rPr>
      </w:pPr>
    </w:p>
    <w:p w14:paraId="714762C2">
      <w:pPr>
        <w:autoSpaceDE w:val="0"/>
        <w:autoSpaceDN w:val="0"/>
        <w:adjustRightInd w:val="0"/>
        <w:spacing w:line="360" w:lineRule="auto"/>
        <w:jc w:val="center"/>
        <w:rPr>
          <w:rFonts w:ascii="宋体" w:hAnsi="宋体" w:cs="宋体"/>
          <w:sz w:val="24"/>
          <w:lang w:val="zh-CN"/>
        </w:rPr>
      </w:pPr>
      <w:r>
        <w:rPr>
          <w:rFonts w:hint="eastAsia" w:ascii="宋体" w:hAnsi="宋体" w:cs="宋体"/>
          <w:sz w:val="24"/>
          <w:lang w:val="zh-CN"/>
        </w:rPr>
        <w:t xml:space="preserve">                                     投标人（公章）：</w:t>
      </w:r>
    </w:p>
    <w:p w14:paraId="560BD1C4">
      <w:pPr>
        <w:autoSpaceDE w:val="0"/>
        <w:autoSpaceDN w:val="0"/>
        <w:adjustRightInd w:val="0"/>
        <w:spacing w:line="360" w:lineRule="auto"/>
        <w:jc w:val="right"/>
        <w:rPr>
          <w:rFonts w:ascii="宋体" w:hAnsi="宋体" w:cs="宋体"/>
          <w:sz w:val="24"/>
          <w:lang w:val="zh-CN"/>
        </w:rPr>
      </w:pPr>
      <w:r>
        <w:rPr>
          <w:rFonts w:hint="eastAsia" w:ascii="宋体" w:hAnsi="宋体" w:cs="宋体"/>
          <w:sz w:val="24"/>
          <w:lang w:val="zh-CN"/>
        </w:rPr>
        <w:t>法定代表（签字或盖章）：</w:t>
      </w:r>
    </w:p>
    <w:p w14:paraId="5CA8353D">
      <w:pPr>
        <w:autoSpaceDE w:val="0"/>
        <w:autoSpaceDN w:val="0"/>
        <w:adjustRightInd w:val="0"/>
        <w:spacing w:line="360" w:lineRule="auto"/>
        <w:jc w:val="right"/>
        <w:rPr>
          <w:rFonts w:ascii="宋体" w:hAnsi="宋体" w:cs="宋体"/>
          <w:sz w:val="24"/>
          <w:lang w:val="zh-CN"/>
        </w:rPr>
      </w:pPr>
      <w:r>
        <w:rPr>
          <w:rFonts w:hint="eastAsia" w:ascii="宋体" w:hAnsi="宋体" w:cs="宋体"/>
          <w:sz w:val="24"/>
          <w:lang w:val="zh-CN"/>
        </w:rPr>
        <w:t>年月日</w:t>
      </w:r>
    </w:p>
    <w:p w14:paraId="7B80683C">
      <w:pPr>
        <w:spacing w:line="380" w:lineRule="exact"/>
        <w:jc w:val="left"/>
        <w:rPr>
          <w:rFonts w:ascii="宋体" w:hAnsi="宋体" w:cs="宋体"/>
          <w:b/>
          <w:sz w:val="24"/>
          <w:lang w:val="zh-CN"/>
        </w:rPr>
      </w:pPr>
    </w:p>
    <w:p w14:paraId="633B441E">
      <w:pPr>
        <w:spacing w:line="380" w:lineRule="exact"/>
        <w:jc w:val="left"/>
        <w:rPr>
          <w:rFonts w:ascii="宋体" w:hAnsi="宋体" w:cs="宋体"/>
          <w:b/>
          <w:sz w:val="24"/>
          <w:lang w:val="zh-CN"/>
        </w:rPr>
      </w:pPr>
    </w:p>
    <w:p w14:paraId="2185FB69">
      <w:pPr>
        <w:pStyle w:val="16"/>
        <w:ind w:left="0" w:leftChars="0" w:firstLine="0" w:firstLineChars="0"/>
        <w:rPr>
          <w:rFonts w:ascii="宋体" w:hAnsi="宋体" w:cs="宋体"/>
          <w:sz w:val="24"/>
          <w:szCs w:val="24"/>
        </w:rPr>
      </w:pPr>
    </w:p>
    <w:p w14:paraId="4FFBC606">
      <w:pPr>
        <w:rPr>
          <w:rFonts w:ascii="宋体" w:hAnsi="宋体" w:cs="宋体"/>
          <w:sz w:val="24"/>
        </w:rPr>
      </w:pPr>
    </w:p>
    <w:p w14:paraId="433E1726">
      <w:pPr>
        <w:pStyle w:val="57"/>
        <w:rPr>
          <w:rFonts w:hAnsi="宋体" w:eastAsia="宋体" w:cs="宋体"/>
          <w:szCs w:val="24"/>
        </w:rPr>
      </w:pPr>
    </w:p>
    <w:p w14:paraId="31F3AEB1">
      <w:pPr>
        <w:snapToGrid w:val="0"/>
        <w:spacing w:line="360" w:lineRule="auto"/>
        <w:outlineLvl w:val="2"/>
        <w:rPr>
          <w:rFonts w:ascii="宋体" w:hAnsi="宋体" w:cs="宋体"/>
          <w:b/>
          <w:bCs/>
          <w:sz w:val="24"/>
          <w:lang w:val="zh-CN"/>
        </w:rPr>
      </w:pPr>
      <w:r>
        <w:rPr>
          <w:rFonts w:hint="eastAsia" w:ascii="宋体" w:hAnsi="宋体" w:cs="宋体"/>
          <w:b/>
          <w:bCs/>
          <w:sz w:val="24"/>
        </w:rPr>
        <w:t>十</w:t>
      </w:r>
      <w:r>
        <w:rPr>
          <w:rFonts w:hint="eastAsia" w:ascii="宋体" w:hAnsi="宋体" w:cs="宋体"/>
          <w:b/>
          <w:bCs/>
          <w:sz w:val="24"/>
          <w:lang w:val="en-US" w:eastAsia="zh-CN"/>
        </w:rPr>
        <w:t>二</w:t>
      </w:r>
      <w:r>
        <w:rPr>
          <w:rFonts w:hint="eastAsia" w:ascii="宋体" w:hAnsi="宋体" w:cs="宋体"/>
          <w:b/>
          <w:bCs/>
          <w:sz w:val="24"/>
          <w:lang w:val="zh-CN"/>
        </w:rPr>
        <w:t>、法定代表人授权函</w:t>
      </w:r>
    </w:p>
    <w:p w14:paraId="390E5608">
      <w:pPr>
        <w:snapToGrid w:val="0"/>
        <w:spacing w:line="360" w:lineRule="auto"/>
        <w:ind w:firstLine="2884" w:firstLineChars="1197"/>
        <w:rPr>
          <w:rFonts w:ascii="宋体" w:hAnsi="宋体" w:cs="宋体"/>
          <w:sz w:val="24"/>
        </w:rPr>
      </w:pPr>
      <w:r>
        <w:rPr>
          <w:rFonts w:hint="eastAsia" w:ascii="宋体" w:hAnsi="宋体" w:cs="宋体"/>
          <w:b/>
          <w:bCs/>
          <w:sz w:val="24"/>
          <w:lang w:val="zh-CN"/>
        </w:rPr>
        <w:t>法定代表人授权函</w:t>
      </w:r>
    </w:p>
    <w:p w14:paraId="37EEEA2A">
      <w:pPr>
        <w:snapToGrid w:val="0"/>
        <w:spacing w:line="360" w:lineRule="auto"/>
        <w:rPr>
          <w:rFonts w:ascii="宋体" w:hAnsi="宋体" w:cs="宋体"/>
          <w:kern w:val="0"/>
          <w:sz w:val="24"/>
        </w:rPr>
      </w:pPr>
      <w:r>
        <w:rPr>
          <w:rFonts w:hint="eastAsia" w:ascii="宋体" w:hAnsi="宋体" w:cs="宋体"/>
          <w:sz w:val="24"/>
          <w:lang w:eastAsia="zh-CN"/>
        </w:rPr>
        <w:t>浙江卓宏建设项目管理有限公司</w:t>
      </w:r>
      <w:r>
        <w:rPr>
          <w:rFonts w:hint="eastAsia" w:ascii="宋体" w:hAnsi="宋体" w:cs="宋体"/>
          <w:kern w:val="0"/>
          <w:sz w:val="24"/>
          <w:lang w:val="zh-CN"/>
        </w:rPr>
        <w:t>：</w:t>
      </w:r>
    </w:p>
    <w:p w14:paraId="7075D491">
      <w:pPr>
        <w:snapToGrid w:val="0"/>
        <w:spacing w:line="360" w:lineRule="auto"/>
        <w:ind w:firstLine="576"/>
        <w:rPr>
          <w:rFonts w:ascii="宋体" w:hAnsi="宋体" w:cs="宋体"/>
          <w:kern w:val="0"/>
          <w:sz w:val="24"/>
        </w:rPr>
      </w:pPr>
      <w:r>
        <w:rPr>
          <w:rFonts w:hint="eastAsia" w:ascii="宋体" w:hAnsi="宋体" w:cs="宋体"/>
          <w:kern w:val="0"/>
          <w:sz w:val="24"/>
          <w:lang w:val="zh-CN"/>
        </w:rPr>
        <w:t>兹委派我公司</w:t>
      </w:r>
      <w:r>
        <w:rPr>
          <w:rFonts w:hint="eastAsia" w:ascii="宋体" w:hAnsi="宋体" w:cs="宋体"/>
          <w:kern w:val="0"/>
          <w:sz w:val="24"/>
          <w:u w:val="single"/>
        </w:rPr>
        <w:t xml:space="preserve">           </w:t>
      </w:r>
      <w:r>
        <w:rPr>
          <w:rFonts w:hint="eastAsia" w:ascii="宋体" w:hAnsi="宋体" w:cs="宋体"/>
          <w:kern w:val="0"/>
          <w:sz w:val="24"/>
          <w:lang w:val="zh-CN"/>
        </w:rPr>
        <w:t>先生/女士(其在本公司的职务是： ，联系电话：手机：传真：)，代表我公司全权处理</w:t>
      </w:r>
      <w:r>
        <w:rPr>
          <w:rFonts w:hint="eastAsia" w:ascii="宋体" w:hAnsi="宋体" w:cs="宋体"/>
          <w:sz w:val="24"/>
          <w:u w:val="single"/>
        </w:rPr>
        <w:t xml:space="preserve">                  【项目编号：         】</w:t>
      </w:r>
      <w:r>
        <w:rPr>
          <w:rFonts w:hint="eastAsia" w:ascii="宋体" w:hAnsi="宋体" w:cs="宋体"/>
          <w:kern w:val="0"/>
          <w:sz w:val="24"/>
          <w:lang w:val="zh-CN"/>
        </w:rPr>
        <w:t>政府采购投标的一切事项，若中标则全权代表本公司签订相关合同，并负责处理合同履行等事宜。</w:t>
      </w:r>
    </w:p>
    <w:p w14:paraId="28384FC5">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本授权书有效期：自   年 月  日起至  年  月  日止。</w:t>
      </w:r>
    </w:p>
    <w:p w14:paraId="6F192BF1">
      <w:pPr>
        <w:snapToGrid w:val="0"/>
        <w:spacing w:line="360" w:lineRule="auto"/>
        <w:rPr>
          <w:rFonts w:ascii="宋体" w:hAnsi="宋体" w:cs="宋体"/>
          <w:kern w:val="0"/>
          <w:sz w:val="24"/>
        </w:rPr>
      </w:pPr>
      <w:r>
        <w:rPr>
          <w:rFonts w:hint="eastAsia" w:ascii="宋体" w:hAnsi="宋体" w:cs="宋体"/>
          <w:kern w:val="0"/>
          <w:sz w:val="24"/>
          <w:lang w:val="zh-CN"/>
        </w:rPr>
        <w:t xml:space="preserve">    特此告知。</w:t>
      </w:r>
    </w:p>
    <w:p w14:paraId="69FFDF6F">
      <w:pPr>
        <w:snapToGrid w:val="0"/>
        <w:spacing w:line="360" w:lineRule="auto"/>
        <w:ind w:firstLine="5760" w:firstLineChars="2400"/>
        <w:rPr>
          <w:rFonts w:ascii="宋体" w:hAnsi="宋体" w:cs="宋体"/>
          <w:kern w:val="0"/>
          <w:sz w:val="24"/>
        </w:rPr>
      </w:pPr>
      <w:r>
        <w:rPr>
          <w:rFonts w:hint="eastAsia" w:ascii="宋体" w:hAnsi="宋体" w:cs="宋体"/>
          <w:kern w:val="0"/>
          <w:sz w:val="24"/>
          <w:lang w:val="zh-CN"/>
        </w:rPr>
        <w:t>投标人名称(公章)：</w:t>
      </w:r>
    </w:p>
    <w:p w14:paraId="098A3872">
      <w:pPr>
        <w:snapToGrid w:val="0"/>
        <w:spacing w:line="360" w:lineRule="auto"/>
        <w:rPr>
          <w:rFonts w:ascii="宋体" w:hAnsi="宋体" w:cs="宋体"/>
          <w:kern w:val="0"/>
          <w:sz w:val="24"/>
        </w:rPr>
      </w:pPr>
      <w:r>
        <w:rPr>
          <w:rFonts w:hint="eastAsia" w:ascii="宋体" w:hAnsi="宋体" w:cs="宋体"/>
          <w:kern w:val="0"/>
          <w:sz w:val="24"/>
          <w:lang w:val="zh-CN"/>
        </w:rPr>
        <w:t xml:space="preserve">                                              法定代表人(签字或盖章)：</w:t>
      </w:r>
    </w:p>
    <w:p w14:paraId="6F038967">
      <w:pPr>
        <w:spacing w:line="360" w:lineRule="auto"/>
        <w:jc w:val="center"/>
        <w:rPr>
          <w:rFonts w:ascii="宋体" w:hAnsi="宋体" w:cs="宋体"/>
          <w:kern w:val="0"/>
          <w:sz w:val="24"/>
          <w:lang w:val="zh-CN"/>
        </w:rPr>
      </w:pPr>
      <w:r>
        <w:rPr>
          <w:rFonts w:hint="eastAsia" w:ascii="宋体" w:hAnsi="宋体" w:cs="宋体"/>
          <w:kern w:val="0"/>
          <w:sz w:val="24"/>
          <w:lang w:val="zh-CN"/>
        </w:rPr>
        <w:t>日期：  年  月   日</w:t>
      </w:r>
    </w:p>
    <w:p w14:paraId="79093858">
      <w:pPr>
        <w:spacing w:line="360" w:lineRule="auto"/>
        <w:jc w:val="center"/>
        <w:rPr>
          <w:rFonts w:ascii="宋体" w:hAnsi="宋体" w:cs="宋体"/>
          <w:kern w:val="0"/>
          <w:sz w:val="24"/>
          <w:lang w:val="zh-CN"/>
        </w:rPr>
      </w:pPr>
    </w:p>
    <w:p w14:paraId="4630A06A">
      <w:pPr>
        <w:spacing w:line="480" w:lineRule="auto"/>
        <w:ind w:firstLine="460" w:firstLineChars="192"/>
        <w:outlineLvl w:val="0"/>
        <w:rPr>
          <w:rFonts w:ascii="宋体" w:hAnsi="宋体" w:cs="宋体"/>
          <w:sz w:val="24"/>
        </w:rPr>
      </w:pPr>
      <w:r>
        <w:rPr>
          <w:rFonts w:hint="eastAsia" w:ascii="宋体" w:hAnsi="宋体" w:cs="宋体"/>
          <w:sz w:val="24"/>
        </w:rPr>
        <w:t>附法人及</w:t>
      </w:r>
      <w:r>
        <w:rPr>
          <w:rFonts w:hint="eastAsia" w:ascii="宋体" w:hAnsi="宋体" w:cs="宋体"/>
          <w:sz w:val="24"/>
          <w:lang w:val="zh-CN"/>
        </w:rPr>
        <w:t>授权委托人身份证</w:t>
      </w:r>
      <w:r>
        <w:rPr>
          <w:rFonts w:hint="eastAsia" w:ascii="宋体" w:hAnsi="宋体" w:cs="宋体"/>
          <w:sz w:val="24"/>
        </w:rPr>
        <w:t>（复印件）</w:t>
      </w:r>
    </w:p>
    <w:p w14:paraId="16191697">
      <w:pPr>
        <w:snapToGrid w:val="0"/>
        <w:spacing w:before="100" w:beforeAutospacing="1" w:after="100" w:afterAutospacing="1" w:line="276" w:lineRule="auto"/>
        <w:ind w:firstLine="480" w:firstLineChars="200"/>
        <w:rPr>
          <w:rFonts w:ascii="宋体" w:hAnsi="宋体" w:cs="宋体"/>
          <w:sz w:val="24"/>
        </w:rPr>
      </w:pPr>
    </w:p>
    <w:p w14:paraId="496ECFBC">
      <w:pPr>
        <w:pStyle w:val="93"/>
        <w:snapToGrid w:val="0"/>
        <w:spacing w:before="156" w:after="156" w:line="360" w:lineRule="auto"/>
        <w:rPr>
          <w:rFonts w:hAnsi="宋体" w:cs="宋体"/>
          <w:sz w:val="24"/>
          <w:szCs w:val="24"/>
        </w:rPr>
      </w:pPr>
    </w:p>
    <w:p w14:paraId="32E84781">
      <w:pPr>
        <w:pStyle w:val="93"/>
        <w:snapToGrid w:val="0"/>
        <w:spacing w:before="156" w:after="156" w:line="360" w:lineRule="auto"/>
        <w:rPr>
          <w:rFonts w:hAnsi="宋体" w:cs="宋体"/>
          <w:sz w:val="24"/>
          <w:szCs w:val="24"/>
        </w:rPr>
      </w:pPr>
    </w:p>
    <w:p w14:paraId="18B5FAC8">
      <w:pPr>
        <w:pStyle w:val="93"/>
        <w:snapToGrid w:val="0"/>
        <w:spacing w:before="156" w:after="156" w:line="360" w:lineRule="auto"/>
        <w:rPr>
          <w:rFonts w:hAnsi="宋体" w:cs="宋体"/>
          <w:sz w:val="24"/>
          <w:szCs w:val="24"/>
        </w:rPr>
      </w:pPr>
    </w:p>
    <w:p w14:paraId="086B812D">
      <w:pPr>
        <w:pStyle w:val="93"/>
        <w:snapToGrid w:val="0"/>
        <w:spacing w:before="156" w:after="156" w:line="360" w:lineRule="auto"/>
        <w:rPr>
          <w:rFonts w:hAnsi="宋体" w:cs="宋体"/>
          <w:sz w:val="24"/>
          <w:szCs w:val="24"/>
        </w:rPr>
      </w:pPr>
    </w:p>
    <w:p w14:paraId="04DAC8BF">
      <w:pPr>
        <w:pStyle w:val="93"/>
        <w:snapToGrid w:val="0"/>
        <w:spacing w:before="156" w:after="156" w:line="360" w:lineRule="auto"/>
        <w:rPr>
          <w:rFonts w:hAnsi="宋体" w:cs="宋体"/>
          <w:sz w:val="24"/>
          <w:szCs w:val="24"/>
        </w:rPr>
      </w:pPr>
    </w:p>
    <w:p w14:paraId="58EA1408">
      <w:pPr>
        <w:pStyle w:val="93"/>
        <w:snapToGrid w:val="0"/>
        <w:spacing w:before="156" w:after="156" w:line="360" w:lineRule="auto"/>
        <w:rPr>
          <w:rFonts w:hAnsi="宋体" w:cs="宋体"/>
          <w:sz w:val="24"/>
          <w:szCs w:val="24"/>
        </w:rPr>
      </w:pPr>
    </w:p>
    <w:p w14:paraId="16D7FA93">
      <w:pPr>
        <w:pStyle w:val="15"/>
        <w:autoSpaceDE w:val="0"/>
        <w:autoSpaceDN w:val="0"/>
        <w:adjustRightInd w:val="0"/>
        <w:spacing w:line="360" w:lineRule="auto"/>
        <w:jc w:val="left"/>
        <w:rPr>
          <w:rFonts w:ascii="宋体" w:hAnsi="宋体" w:cs="宋体"/>
          <w:u w:val="single"/>
        </w:rPr>
      </w:pPr>
      <w:r>
        <w:rPr>
          <w:rFonts w:hint="eastAsia" w:ascii="宋体" w:hAnsi="宋体" w:cs="宋体"/>
          <w:b/>
          <w:bCs/>
        </w:rPr>
        <w:t>十</w:t>
      </w:r>
      <w:r>
        <w:rPr>
          <w:rFonts w:hint="eastAsia" w:ascii="宋体" w:hAnsi="宋体" w:cs="宋体"/>
          <w:b/>
          <w:bCs/>
          <w:lang w:val="en-US" w:eastAsia="zh-CN"/>
        </w:rPr>
        <w:t>三</w:t>
      </w:r>
      <w:r>
        <w:rPr>
          <w:rFonts w:hint="eastAsia" w:ascii="宋体" w:hAnsi="宋体" w:cs="宋体"/>
          <w:b/>
          <w:bCs/>
          <w:lang w:val="zh-CN"/>
        </w:rPr>
        <w:t>、</w:t>
      </w:r>
      <w:r>
        <w:rPr>
          <w:rFonts w:hint="eastAsia" w:ascii="宋体" w:hAnsi="宋体" w:cs="宋体"/>
          <w:b/>
          <w:bCs/>
          <w:spacing w:val="-4"/>
        </w:rPr>
        <w:t>政府采购活动现场确认声明书</w:t>
      </w:r>
    </w:p>
    <w:p w14:paraId="0F86A7D8">
      <w:pPr>
        <w:pStyle w:val="66"/>
        <w:snapToGrid w:val="0"/>
        <w:spacing w:before="120" w:after="120" w:line="440" w:lineRule="exact"/>
        <w:ind w:firstLine="252"/>
        <w:rPr>
          <w:rFonts w:ascii="宋体" w:cs="宋体"/>
          <w:color w:val="000000"/>
          <w:spacing w:val="6"/>
          <w:sz w:val="21"/>
          <w:szCs w:val="21"/>
        </w:rPr>
      </w:pPr>
      <w:r>
        <w:rPr>
          <w:rFonts w:hint="eastAsia" w:ascii="宋体" w:cs="宋体"/>
          <w:color w:val="000000"/>
          <w:spacing w:val="6"/>
          <w:sz w:val="21"/>
          <w:szCs w:val="21"/>
          <w:lang w:eastAsia="zh-CN"/>
        </w:rPr>
        <w:t>浙江卓宏建设项目管理有限公司</w:t>
      </w:r>
      <w:r>
        <w:rPr>
          <w:rFonts w:hint="eastAsia" w:ascii="宋体" w:cs="宋体"/>
          <w:color w:val="000000"/>
          <w:spacing w:val="6"/>
          <w:sz w:val="21"/>
          <w:szCs w:val="21"/>
        </w:rPr>
        <w:t>：</w:t>
      </w:r>
    </w:p>
    <w:p w14:paraId="4AFCE559">
      <w:pPr>
        <w:pStyle w:val="67"/>
        <w:widowControl/>
        <w:numPr>
          <w:ilvl w:val="0"/>
          <w:numId w:val="13"/>
        </w:numPr>
        <w:snapToGrid w:val="0"/>
        <w:spacing w:line="440" w:lineRule="exact"/>
        <w:ind w:firstLine="419" w:firstLineChars="189"/>
        <w:rPr>
          <w:rFonts w:ascii="宋体" w:hAnsi="宋体" w:cs="宋体"/>
          <w:color w:val="000000"/>
          <w:kern w:val="0"/>
          <w:sz w:val="21"/>
          <w:szCs w:val="21"/>
        </w:rPr>
      </w:pPr>
      <w:r>
        <w:rPr>
          <w:rFonts w:hint="eastAsia" w:ascii="宋体" w:hAnsi="宋体" w:cs="宋体"/>
          <w:color w:val="000000"/>
          <w:spacing w:val="6"/>
          <w:sz w:val="21"/>
          <w:szCs w:val="21"/>
        </w:rPr>
        <w:t>本人</w:t>
      </w:r>
      <w:r>
        <w:rPr>
          <w:rFonts w:hint="eastAsia" w:ascii="宋体" w:hAnsi="宋体" w:cs="宋体"/>
          <w:color w:val="000000"/>
          <w:spacing w:val="6"/>
          <w:sz w:val="21"/>
          <w:szCs w:val="21"/>
          <w:u w:val="single"/>
        </w:rPr>
        <w:t xml:space="preserve">          </w:t>
      </w:r>
      <w:r>
        <w:rPr>
          <w:rFonts w:hint="eastAsia" w:ascii="宋体" w:hAnsi="宋体" w:cs="宋体"/>
          <w:color w:val="000000"/>
          <w:spacing w:val="6"/>
          <w:sz w:val="21"/>
          <w:szCs w:val="21"/>
        </w:rPr>
        <w:t>（法定代表人姓名），参加</w:t>
      </w:r>
      <w:r>
        <w:rPr>
          <w:rFonts w:hint="eastAsia" w:ascii="宋体" w:hAnsi="宋体" w:cs="宋体"/>
          <w:color w:val="000000"/>
          <w:sz w:val="21"/>
          <w:szCs w:val="21"/>
          <w:u w:val="single"/>
        </w:rPr>
        <w:t>《                》</w:t>
      </w:r>
      <w:r>
        <w:rPr>
          <w:rFonts w:hint="eastAsia" w:ascii="宋体" w:hAnsi="宋体" w:cs="宋体"/>
          <w:color w:val="000000"/>
          <w:spacing w:val="6"/>
          <w:sz w:val="21"/>
          <w:szCs w:val="21"/>
          <w:u w:val="single"/>
        </w:rPr>
        <w:t>（编号：   ）</w:t>
      </w:r>
      <w:r>
        <w:rPr>
          <w:rFonts w:hint="eastAsia" w:ascii="宋体" w:hAnsi="宋体" w:cs="宋体"/>
          <w:color w:val="000000"/>
          <w:spacing w:val="6"/>
          <w:sz w:val="21"/>
          <w:szCs w:val="21"/>
        </w:rPr>
        <w:t>政府采购活动，经确认，现就有关公平竞争事项郑重声明如下：</w:t>
      </w:r>
      <w:r>
        <w:rPr>
          <w:rFonts w:hint="eastAsia" w:ascii="宋体" w:hAnsi="宋体" w:cs="宋体"/>
          <w:color w:val="000000"/>
          <w:kern w:val="0"/>
          <w:sz w:val="21"/>
          <w:szCs w:val="21"/>
        </w:rPr>
        <w:t>本单位与采购人之间 □不存在利害关系 □存在下列利害关系</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4525C9F9">
      <w:pPr>
        <w:pStyle w:val="67"/>
        <w:widowControl/>
        <w:snapToGrid w:val="0"/>
        <w:spacing w:line="440" w:lineRule="exact"/>
        <w:rPr>
          <w:rFonts w:ascii="宋体" w:hAnsi="宋体" w:cs="宋体"/>
          <w:color w:val="000000"/>
          <w:kern w:val="0"/>
          <w:sz w:val="21"/>
          <w:szCs w:val="21"/>
        </w:rPr>
      </w:pPr>
      <w:r>
        <w:rPr>
          <w:rFonts w:hint="eastAsia" w:ascii="宋体" w:hAnsi="宋体" w:cs="宋体"/>
          <w:color w:val="000000"/>
          <w:kern w:val="0"/>
          <w:sz w:val="21"/>
          <w:szCs w:val="21"/>
        </w:rPr>
        <w:t xml:space="preserve">  A.投资关系    B.行政隶属关系    C.业务指导关系</w:t>
      </w:r>
    </w:p>
    <w:p w14:paraId="6D09B89B">
      <w:pPr>
        <w:pStyle w:val="67"/>
        <w:widowControl/>
        <w:snapToGrid w:val="0"/>
        <w:spacing w:line="440" w:lineRule="exact"/>
        <w:rPr>
          <w:rFonts w:ascii="宋体" w:hAnsi="宋体" w:cs="宋体"/>
          <w:color w:val="000000"/>
          <w:kern w:val="0"/>
          <w:sz w:val="21"/>
          <w:szCs w:val="21"/>
        </w:rPr>
      </w:pPr>
      <w:r>
        <w:rPr>
          <w:rFonts w:hint="eastAsia" w:ascii="宋体" w:hAnsi="宋体" w:cs="宋体"/>
          <w:color w:val="000000"/>
          <w:kern w:val="0"/>
          <w:sz w:val="21"/>
          <w:szCs w:val="21"/>
        </w:rPr>
        <w:t xml:space="preserve">  D.其他可能</w:t>
      </w:r>
      <w:r>
        <w:rPr>
          <w:rFonts w:hint="eastAsia" w:ascii="宋体" w:hAnsi="宋体" w:cs="宋体"/>
          <w:color w:val="000000"/>
          <w:sz w:val="21"/>
          <w:szCs w:val="21"/>
        </w:rPr>
        <w:t>影响采购公正的</w:t>
      </w:r>
      <w:r>
        <w:rPr>
          <w:rFonts w:hint="eastAsia" w:ascii="宋体" w:hAnsi="宋体" w:cs="宋体"/>
          <w:color w:val="000000"/>
          <w:kern w:val="0"/>
          <w:sz w:val="21"/>
          <w:szCs w:val="21"/>
        </w:rPr>
        <w:t xml:space="preserve">利害关系（如有，请如实说明） </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40138E1F">
      <w:pPr>
        <w:pStyle w:val="67"/>
        <w:widowControl/>
        <w:numPr>
          <w:ilvl w:val="0"/>
          <w:numId w:val="13"/>
        </w:numPr>
        <w:snapToGrid w:val="0"/>
        <w:spacing w:line="440" w:lineRule="exact"/>
        <w:ind w:firstLine="396" w:firstLineChars="189"/>
        <w:rPr>
          <w:rFonts w:ascii="宋体" w:hAnsi="宋体" w:cs="宋体"/>
          <w:color w:val="000000"/>
          <w:kern w:val="0"/>
          <w:sz w:val="21"/>
          <w:szCs w:val="21"/>
        </w:rPr>
      </w:pPr>
      <w:r>
        <w:rPr>
          <w:rFonts w:hint="eastAsia" w:ascii="宋体" w:hAnsi="宋体" w:cs="宋体"/>
          <w:color w:val="000000"/>
          <w:kern w:val="0"/>
          <w:sz w:val="21"/>
          <w:szCs w:val="21"/>
        </w:rPr>
        <w:t xml:space="preserve">现已清楚知道参加本项目采购活动的其他所有供应商名称，本单位 □与其他所有供应商之间均不存在利害关系 □与 </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（供应商名称）之间存在下列利害关系</w:t>
      </w:r>
      <w:r>
        <w:rPr>
          <w:rFonts w:hint="eastAsia" w:ascii="宋体" w:hAnsi="宋体" w:cs="宋体"/>
          <w:color w:val="000000"/>
          <w:kern w:val="0"/>
          <w:sz w:val="21"/>
          <w:szCs w:val="21"/>
          <w:u w:val="single"/>
        </w:rPr>
        <w:t xml:space="preserve">               </w:t>
      </w:r>
      <w:r>
        <w:rPr>
          <w:rFonts w:hint="eastAsia" w:ascii="宋体" w:hAnsi="宋体" w:cs="宋体"/>
          <w:color w:val="000000"/>
          <w:kern w:val="0"/>
          <w:sz w:val="21"/>
          <w:szCs w:val="21"/>
        </w:rPr>
        <w:t>：</w:t>
      </w:r>
    </w:p>
    <w:p w14:paraId="63A476FF">
      <w:pPr>
        <w:pStyle w:val="66"/>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A.法定代表人或负责人或实际控制人是同一人</w:t>
      </w:r>
    </w:p>
    <w:p w14:paraId="1A051357">
      <w:pPr>
        <w:pStyle w:val="66"/>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B.法定代表人或负责人或实际控制人是夫妻关系</w:t>
      </w:r>
    </w:p>
    <w:p w14:paraId="60A0243B">
      <w:pPr>
        <w:pStyle w:val="66"/>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C.法定代表人或负责人或实际控制人是直系血亲关系</w:t>
      </w:r>
    </w:p>
    <w:p w14:paraId="14CEC100">
      <w:pPr>
        <w:pStyle w:val="66"/>
        <w:snapToGrid w:val="0"/>
        <w:spacing w:before="120" w:after="120" w:line="360" w:lineRule="exact"/>
        <w:ind w:firstLine="240"/>
        <w:rPr>
          <w:rFonts w:ascii="宋体" w:cs="宋体"/>
          <w:color w:val="000000"/>
          <w:spacing w:val="6"/>
          <w:sz w:val="21"/>
          <w:szCs w:val="21"/>
        </w:rPr>
      </w:pPr>
      <w:r>
        <w:rPr>
          <w:rFonts w:hint="eastAsia" w:ascii="宋体" w:cs="宋体"/>
          <w:color w:val="000000"/>
          <w:kern w:val="0"/>
          <w:sz w:val="21"/>
          <w:szCs w:val="21"/>
        </w:rPr>
        <w:t xml:space="preserve">  D.法定代表人或负责人或实际控制人存在三代以内旁系血亲关系</w:t>
      </w:r>
    </w:p>
    <w:p w14:paraId="00717CF3">
      <w:pPr>
        <w:pStyle w:val="66"/>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E.法定代表人或负责人或实际控制人存在近姻亲关系</w:t>
      </w:r>
    </w:p>
    <w:p w14:paraId="02098874">
      <w:pPr>
        <w:pStyle w:val="66"/>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F.法定代表人或负责人或实际控制人存在股份控制或实际控制关系</w:t>
      </w:r>
    </w:p>
    <w:p w14:paraId="2FBC09CE">
      <w:pPr>
        <w:pStyle w:val="66"/>
        <w:snapToGrid w:val="0"/>
        <w:spacing w:before="120" w:after="120" w:line="360" w:lineRule="exact"/>
        <w:ind w:firstLine="240"/>
        <w:rPr>
          <w:rFonts w:ascii="宋体" w:cs="宋体"/>
          <w:color w:val="000000"/>
          <w:kern w:val="0"/>
          <w:sz w:val="21"/>
          <w:szCs w:val="21"/>
        </w:rPr>
      </w:pPr>
      <w:r>
        <w:rPr>
          <w:rFonts w:hint="eastAsia" w:ascii="宋体" w:cs="宋体"/>
          <w:color w:val="000000"/>
          <w:kern w:val="0"/>
          <w:sz w:val="21"/>
          <w:szCs w:val="21"/>
        </w:rPr>
        <w:t xml:space="preserve">  G.存在共同直接或间接投资设立子公司、联营企业和合营企业情况</w:t>
      </w:r>
    </w:p>
    <w:p w14:paraId="7B3EE11B">
      <w:pPr>
        <w:pStyle w:val="66"/>
        <w:snapToGrid w:val="0"/>
        <w:spacing w:before="120" w:after="120" w:line="360" w:lineRule="exact"/>
        <w:ind w:firstLine="240"/>
        <w:rPr>
          <w:rFonts w:ascii="宋体" w:cs="宋体"/>
          <w:color w:val="000000"/>
          <w:sz w:val="21"/>
          <w:szCs w:val="21"/>
        </w:rPr>
      </w:pPr>
      <w:r>
        <w:rPr>
          <w:rFonts w:hint="eastAsia" w:ascii="宋体" w:cs="宋体"/>
          <w:color w:val="000000"/>
          <w:kern w:val="0"/>
          <w:sz w:val="21"/>
          <w:szCs w:val="21"/>
        </w:rPr>
        <w:t xml:space="preserve">  H.存在分级代理或代销关系、同一生产制造商关系、</w:t>
      </w:r>
      <w:r>
        <w:rPr>
          <w:rFonts w:hint="eastAsia" w:ascii="宋体" w:cs="宋体"/>
          <w:color w:val="000000"/>
          <w:sz w:val="21"/>
          <w:szCs w:val="21"/>
        </w:rPr>
        <w:t>管理关系、重要业务（占主营业务收入50%以上）或重要财务往来关系（如融资）等其他实质性控制关系</w:t>
      </w:r>
    </w:p>
    <w:p w14:paraId="6AA36B0C">
      <w:pPr>
        <w:pStyle w:val="66"/>
        <w:snapToGrid w:val="0"/>
        <w:spacing w:before="120" w:after="120" w:line="440" w:lineRule="exact"/>
        <w:ind w:firstLine="240"/>
        <w:rPr>
          <w:rFonts w:ascii="宋体" w:cs="宋体"/>
          <w:color w:val="000000"/>
          <w:spacing w:val="6"/>
          <w:sz w:val="21"/>
          <w:szCs w:val="21"/>
        </w:rPr>
      </w:pPr>
      <w:r>
        <w:rPr>
          <w:rFonts w:hint="eastAsia" w:ascii="宋体" w:cs="宋体"/>
          <w:color w:val="000000"/>
          <w:sz w:val="21"/>
          <w:szCs w:val="21"/>
        </w:rPr>
        <w:t xml:space="preserve">  I</w:t>
      </w:r>
      <w:r>
        <w:rPr>
          <w:rFonts w:hint="eastAsia" w:ascii="宋体" w:cs="宋体"/>
          <w:color w:val="000000"/>
          <w:kern w:val="0"/>
          <w:sz w:val="21"/>
          <w:szCs w:val="21"/>
        </w:rPr>
        <w:t>.</w:t>
      </w:r>
      <w:r>
        <w:rPr>
          <w:rFonts w:hint="eastAsia" w:ascii="宋体" w:cs="宋体"/>
          <w:color w:val="000000"/>
          <w:sz w:val="21"/>
          <w:szCs w:val="21"/>
        </w:rPr>
        <w:t>其他利害关系情况</w:t>
      </w:r>
      <w:r>
        <w:rPr>
          <w:rFonts w:hint="eastAsia" w:ascii="宋体" w:cs="宋体"/>
          <w:color w:val="000000"/>
          <w:sz w:val="21"/>
          <w:szCs w:val="21"/>
          <w:u w:val="single"/>
        </w:rPr>
        <w:t xml:space="preserve">                              </w:t>
      </w:r>
      <w:r>
        <w:rPr>
          <w:rFonts w:hint="eastAsia" w:ascii="宋体" w:cs="宋体"/>
          <w:color w:val="000000"/>
          <w:kern w:val="0"/>
          <w:sz w:val="21"/>
          <w:szCs w:val="21"/>
        </w:rPr>
        <w:t>。</w:t>
      </w:r>
    </w:p>
    <w:p w14:paraId="00F16848">
      <w:pPr>
        <w:pStyle w:val="67"/>
        <w:widowControl/>
        <w:numPr>
          <w:ilvl w:val="0"/>
          <w:numId w:val="14"/>
        </w:numPr>
        <w:snapToGrid w:val="0"/>
        <w:spacing w:line="440" w:lineRule="exact"/>
        <w:ind w:firstLine="396" w:firstLineChars="189"/>
        <w:rPr>
          <w:rFonts w:ascii="宋体" w:hAnsi="宋体" w:cs="宋体"/>
          <w:kern w:val="0"/>
          <w:sz w:val="21"/>
          <w:szCs w:val="21"/>
        </w:rPr>
      </w:pPr>
      <w:r>
        <w:rPr>
          <w:rFonts w:hint="eastAsia" w:ascii="宋体" w:hAnsi="宋体" w:cs="宋体"/>
          <w:sz w:val="21"/>
          <w:szCs w:val="21"/>
        </w:rPr>
        <w:t>现已清楚知道并</w:t>
      </w:r>
      <w:r>
        <w:rPr>
          <w:rFonts w:hint="eastAsia" w:ascii="宋体" w:hAnsi="宋体" w:cs="宋体"/>
          <w:kern w:val="0"/>
          <w:sz w:val="21"/>
          <w:szCs w:val="21"/>
        </w:rPr>
        <w:t>严格遵守政府采购法律法规和现场纪律。</w:t>
      </w:r>
    </w:p>
    <w:p w14:paraId="4A87E61D">
      <w:pPr>
        <w:pStyle w:val="67"/>
        <w:widowControl/>
        <w:numPr>
          <w:ilvl w:val="0"/>
          <w:numId w:val="14"/>
        </w:numPr>
        <w:snapToGrid w:val="0"/>
        <w:spacing w:line="440" w:lineRule="exact"/>
        <w:ind w:firstLine="396" w:firstLineChars="189"/>
        <w:rPr>
          <w:rFonts w:ascii="宋体" w:hAnsi="宋体" w:cs="宋体"/>
          <w:kern w:val="0"/>
          <w:sz w:val="21"/>
          <w:szCs w:val="21"/>
        </w:rPr>
      </w:pPr>
      <w:r>
        <w:rPr>
          <w:rFonts w:hint="eastAsia" w:ascii="宋体" w:hAnsi="宋体" w:cs="宋体"/>
          <w:kern w:val="0"/>
          <w:sz w:val="21"/>
          <w:szCs w:val="21"/>
        </w:rPr>
        <w:t>我发现供应商</w:t>
      </w:r>
      <w:r>
        <w:rPr>
          <w:rFonts w:hint="eastAsia" w:ascii="宋体" w:hAnsi="宋体" w:cs="宋体"/>
          <w:kern w:val="0"/>
          <w:sz w:val="21"/>
          <w:szCs w:val="21"/>
          <w:u w:val="single"/>
        </w:rPr>
        <w:t xml:space="preserve">     </w:t>
      </w:r>
      <w:r>
        <w:rPr>
          <w:rFonts w:hint="eastAsia" w:ascii="宋体" w:hAnsi="宋体" w:cs="宋体"/>
          <w:kern w:val="0"/>
          <w:sz w:val="21"/>
          <w:szCs w:val="21"/>
        </w:rPr>
        <w:t>之间存在或可能存在上述第二条第</w:t>
      </w:r>
      <w:r>
        <w:rPr>
          <w:rFonts w:hint="eastAsia" w:ascii="宋体" w:hAnsi="宋体" w:cs="宋体"/>
          <w:kern w:val="0"/>
          <w:sz w:val="21"/>
          <w:szCs w:val="21"/>
          <w:u w:val="single"/>
        </w:rPr>
        <w:t xml:space="preserve">      </w:t>
      </w:r>
      <w:r>
        <w:rPr>
          <w:rFonts w:hint="eastAsia" w:ascii="宋体" w:hAnsi="宋体" w:cs="宋体"/>
          <w:kern w:val="0"/>
          <w:sz w:val="21"/>
          <w:szCs w:val="21"/>
        </w:rPr>
        <w:t xml:space="preserve">项利害关系。   </w:t>
      </w:r>
    </w:p>
    <w:p w14:paraId="54C056BF">
      <w:pPr>
        <w:pStyle w:val="67"/>
        <w:widowControl/>
        <w:snapToGrid w:val="0"/>
        <w:spacing w:line="440" w:lineRule="exact"/>
        <w:rPr>
          <w:rFonts w:ascii="宋体" w:hAnsi="宋体" w:cs="宋体"/>
          <w:kern w:val="0"/>
          <w:sz w:val="21"/>
          <w:szCs w:val="21"/>
        </w:rPr>
      </w:pPr>
    </w:p>
    <w:p w14:paraId="08429365">
      <w:pPr>
        <w:pStyle w:val="67"/>
        <w:widowControl/>
        <w:snapToGrid w:val="0"/>
        <w:spacing w:line="440" w:lineRule="exact"/>
        <w:rPr>
          <w:rFonts w:ascii="宋体" w:hAnsi="宋体" w:cs="宋体"/>
          <w:kern w:val="0"/>
          <w:sz w:val="21"/>
          <w:szCs w:val="21"/>
        </w:rPr>
      </w:pPr>
    </w:p>
    <w:p w14:paraId="5485A7B3">
      <w:pPr>
        <w:pStyle w:val="67"/>
        <w:widowControl/>
        <w:snapToGrid w:val="0"/>
        <w:spacing w:line="440" w:lineRule="exact"/>
        <w:jc w:val="right"/>
        <w:rPr>
          <w:rFonts w:ascii="宋体" w:hAnsi="宋体" w:cs="宋体"/>
          <w:kern w:val="0"/>
          <w:sz w:val="21"/>
          <w:szCs w:val="21"/>
        </w:rPr>
      </w:pPr>
      <w:r>
        <w:rPr>
          <w:rFonts w:hint="eastAsia" w:ascii="宋体" w:hAnsi="宋体" w:cs="宋体"/>
          <w:kern w:val="0"/>
          <w:sz w:val="21"/>
          <w:szCs w:val="21"/>
        </w:rPr>
        <w:t>供应商：（盖章)</w:t>
      </w:r>
    </w:p>
    <w:p w14:paraId="4DFEBD3E">
      <w:pPr>
        <w:pStyle w:val="66"/>
        <w:snapToGrid w:val="0"/>
        <w:spacing w:before="120" w:after="120" w:line="440" w:lineRule="exact"/>
        <w:ind w:firstLine="420" w:firstLineChars="200"/>
        <w:jc w:val="right"/>
        <w:rPr>
          <w:rFonts w:ascii="宋体" w:cs="宋体"/>
          <w:sz w:val="21"/>
          <w:szCs w:val="21"/>
        </w:rPr>
      </w:pPr>
      <w:r>
        <w:rPr>
          <w:rFonts w:hint="eastAsia" w:ascii="宋体" w:cs="宋体"/>
          <w:kern w:val="0"/>
          <w:sz w:val="21"/>
          <w:szCs w:val="21"/>
        </w:rPr>
        <w:t xml:space="preserve">     年   月   日</w:t>
      </w:r>
    </w:p>
    <w:p w14:paraId="1AC55A12">
      <w:pPr>
        <w:jc w:val="left"/>
        <w:outlineLvl w:val="0"/>
        <w:rPr>
          <w:rFonts w:ascii="宋体" w:hAnsi="宋体" w:cs="宋体"/>
          <w:b/>
          <w:bCs/>
          <w:sz w:val="24"/>
          <w:shd w:val="clear" w:color="auto" w:fill="FFFFFF"/>
        </w:rPr>
      </w:pPr>
      <w:r>
        <w:rPr>
          <w:rFonts w:hint="eastAsia" w:ascii="宋体" w:hAnsi="宋体" w:cs="宋体"/>
          <w:b/>
          <w:bCs/>
          <w:sz w:val="24"/>
        </w:rPr>
        <w:t>十</w:t>
      </w:r>
      <w:r>
        <w:rPr>
          <w:rFonts w:hint="eastAsia" w:ascii="宋体" w:hAnsi="宋体" w:cs="宋体"/>
          <w:b/>
          <w:bCs/>
          <w:sz w:val="24"/>
          <w:lang w:val="en-US" w:eastAsia="zh-CN"/>
        </w:rPr>
        <w:t>四</w:t>
      </w:r>
      <w:r>
        <w:rPr>
          <w:rFonts w:hint="eastAsia" w:ascii="宋体" w:hAnsi="宋体" w:cs="宋体"/>
          <w:b/>
          <w:bCs/>
          <w:sz w:val="24"/>
        </w:rPr>
        <w:t>：政府采购供应商质疑函范本</w:t>
      </w:r>
    </w:p>
    <w:tbl>
      <w:tblPr>
        <w:tblStyle w:val="37"/>
        <w:tblW w:w="9299" w:type="dxa"/>
        <w:jc w:val="center"/>
        <w:tblCellSpacing w:w="0" w:type="dxa"/>
        <w:tblLayout w:type="fixed"/>
        <w:tblCellMar>
          <w:top w:w="0" w:type="dxa"/>
          <w:left w:w="0" w:type="dxa"/>
          <w:bottom w:w="0" w:type="dxa"/>
          <w:right w:w="0" w:type="dxa"/>
        </w:tblCellMar>
      </w:tblPr>
      <w:tblGrid>
        <w:gridCol w:w="9299"/>
      </w:tblGrid>
      <w:tr w14:paraId="58AA8578">
        <w:tblPrEx>
          <w:tblCellMar>
            <w:top w:w="0" w:type="dxa"/>
            <w:left w:w="0" w:type="dxa"/>
            <w:bottom w:w="0" w:type="dxa"/>
            <w:right w:w="0" w:type="dxa"/>
          </w:tblCellMar>
        </w:tblPrEx>
        <w:trPr>
          <w:tblCellSpacing w:w="0" w:type="dxa"/>
          <w:jc w:val="center"/>
        </w:trPr>
        <w:tc>
          <w:tcPr>
            <w:tcW w:w="9299" w:type="dxa"/>
            <w:vAlign w:val="center"/>
          </w:tcPr>
          <w:tbl>
            <w:tblPr>
              <w:tblStyle w:val="37"/>
              <w:tblW w:w="9299" w:type="dxa"/>
              <w:tblCellSpacing w:w="0" w:type="dxa"/>
              <w:tblInd w:w="0" w:type="dxa"/>
              <w:shd w:val="clear" w:color="auto" w:fill="FFFFFF"/>
              <w:tblLayout w:type="fixed"/>
              <w:tblCellMar>
                <w:top w:w="0" w:type="dxa"/>
                <w:left w:w="0" w:type="dxa"/>
                <w:bottom w:w="0" w:type="dxa"/>
                <w:right w:w="0" w:type="dxa"/>
              </w:tblCellMar>
            </w:tblPr>
            <w:tblGrid>
              <w:gridCol w:w="9299"/>
            </w:tblGrid>
            <w:tr w14:paraId="72F4856A">
              <w:tblPrEx>
                <w:tblCellMar>
                  <w:top w:w="0" w:type="dxa"/>
                  <w:left w:w="0" w:type="dxa"/>
                  <w:bottom w:w="0" w:type="dxa"/>
                  <w:right w:w="0" w:type="dxa"/>
                </w:tblCellMar>
              </w:tblPrEx>
              <w:trPr>
                <w:trHeight w:val="1140" w:hRule="atLeast"/>
                <w:tblCellSpacing w:w="0" w:type="dxa"/>
              </w:trPr>
              <w:tc>
                <w:tcPr>
                  <w:tcW w:w="9299" w:type="dxa"/>
                  <w:shd w:val="clear" w:color="auto" w:fill="FFFFFF"/>
                </w:tcPr>
                <w:tbl>
                  <w:tblPr>
                    <w:tblStyle w:val="37"/>
                    <w:tblW w:w="7904" w:type="dxa"/>
                    <w:jc w:val="center"/>
                    <w:tblCellSpacing w:w="0" w:type="dxa"/>
                    <w:tblLayout w:type="fixed"/>
                    <w:tblCellMar>
                      <w:top w:w="0" w:type="dxa"/>
                      <w:left w:w="0" w:type="dxa"/>
                      <w:bottom w:w="0" w:type="dxa"/>
                      <w:right w:w="0" w:type="dxa"/>
                    </w:tblCellMar>
                  </w:tblPr>
                  <w:tblGrid>
                    <w:gridCol w:w="7904"/>
                  </w:tblGrid>
                  <w:tr w14:paraId="7571B93B">
                    <w:tblPrEx>
                      <w:tblCellMar>
                        <w:top w:w="0" w:type="dxa"/>
                        <w:left w:w="0" w:type="dxa"/>
                        <w:bottom w:w="0" w:type="dxa"/>
                        <w:right w:w="0" w:type="dxa"/>
                      </w:tblCellMar>
                    </w:tblPrEx>
                    <w:trPr>
                      <w:tblCellSpacing w:w="0" w:type="dxa"/>
                      <w:jc w:val="center"/>
                    </w:trPr>
                    <w:tc>
                      <w:tcPr>
                        <w:tcW w:w="7904" w:type="dxa"/>
                        <w:vAlign w:val="center"/>
                      </w:tcPr>
                      <w:p w14:paraId="42F545DA">
                        <w:pPr>
                          <w:widowControl/>
                          <w:spacing w:beforeAutospacing="1" w:afterAutospacing="1"/>
                          <w:ind w:firstLine="422"/>
                          <w:jc w:val="center"/>
                          <w:rPr>
                            <w:rFonts w:ascii="宋体" w:hAnsi="宋体" w:cs="宋体"/>
                            <w:sz w:val="21"/>
                            <w:szCs w:val="21"/>
                          </w:rPr>
                        </w:pPr>
                        <w:r>
                          <w:rPr>
                            <w:rFonts w:hint="eastAsia" w:ascii="宋体" w:hAnsi="宋体" w:cs="宋体"/>
                            <w:b/>
                            <w:kern w:val="0"/>
                            <w:sz w:val="21"/>
                            <w:szCs w:val="21"/>
                          </w:rPr>
                          <w:t>质疑函范本</w:t>
                        </w:r>
                      </w:p>
                      <w:p w14:paraId="21378C6A">
                        <w:pPr>
                          <w:widowControl/>
                          <w:adjustRightInd w:val="0"/>
                          <w:snapToGrid w:val="0"/>
                          <w:spacing w:beforeLines="100" w:afterAutospacing="1" w:line="240" w:lineRule="auto"/>
                          <w:ind w:firstLine="420"/>
                          <w:jc w:val="left"/>
                          <w:rPr>
                            <w:rFonts w:ascii="宋体" w:hAnsi="宋体" w:cs="宋体"/>
                            <w:sz w:val="21"/>
                            <w:szCs w:val="21"/>
                          </w:rPr>
                        </w:pPr>
                        <w:r>
                          <w:rPr>
                            <w:rFonts w:hint="eastAsia" w:ascii="宋体" w:hAnsi="宋体" w:cs="宋体"/>
                            <w:bCs/>
                            <w:kern w:val="0"/>
                            <w:sz w:val="21"/>
                            <w:szCs w:val="21"/>
                          </w:rPr>
                          <w:t>一、质疑投标人基本信息</w:t>
                        </w:r>
                      </w:p>
                      <w:p w14:paraId="50F5ACA9">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质疑投标人：</w:t>
                        </w:r>
                      </w:p>
                      <w:p w14:paraId="50F039A5">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地址：邮编：</w:t>
                        </w:r>
                      </w:p>
                      <w:p w14:paraId="5EA194FD">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联系人：联系电话：</w:t>
                        </w:r>
                      </w:p>
                      <w:p w14:paraId="3AF3915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授权代表：联系电话：</w:t>
                        </w:r>
                      </w:p>
                      <w:p w14:paraId="534E31C1">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地址： 邮编：</w:t>
                        </w:r>
                      </w:p>
                      <w:p w14:paraId="6F545A1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二、质疑项目基本情况</w:t>
                        </w:r>
                      </w:p>
                      <w:p w14:paraId="13D8B947">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质疑项目的名称：</w:t>
                        </w:r>
                      </w:p>
                      <w:p w14:paraId="5C03F67F">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质疑项目的编号：包号：</w:t>
                        </w:r>
                      </w:p>
                      <w:p w14:paraId="1BE9E50E">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采购人名称：</w:t>
                        </w:r>
                      </w:p>
                      <w:p w14:paraId="3165F1C9">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采购文件获取日期：</w:t>
                        </w:r>
                      </w:p>
                      <w:p w14:paraId="502D9783">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三、质疑事项具体内容</w:t>
                        </w:r>
                      </w:p>
                      <w:p w14:paraId="68001E9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质疑事项1：</w:t>
                        </w:r>
                      </w:p>
                      <w:p w14:paraId="3DC97BE7">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事实依据：</w:t>
                        </w:r>
                      </w:p>
                      <w:p w14:paraId="075130BD">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法律依据：</w:t>
                        </w:r>
                      </w:p>
                      <w:p w14:paraId="59B5A95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质疑事项2</w:t>
                        </w:r>
                      </w:p>
                      <w:p w14:paraId="35CBEB2B">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w:t>
                        </w:r>
                      </w:p>
                      <w:p w14:paraId="6A64DB20">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bCs/>
                            <w:kern w:val="0"/>
                            <w:sz w:val="21"/>
                            <w:szCs w:val="21"/>
                          </w:rPr>
                          <w:t>四、与质疑事项相关的质疑请求</w:t>
                        </w:r>
                      </w:p>
                      <w:p w14:paraId="4AA0013C">
                        <w:pPr>
                          <w:widowControl/>
                          <w:adjustRightInd w:val="0"/>
                          <w:snapToGrid w:val="0"/>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请求：</w:t>
                        </w:r>
                      </w:p>
                      <w:p w14:paraId="587F438E">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 xml:space="preserve">签字(签章)：                   公章：                      </w:t>
                        </w:r>
                      </w:p>
                      <w:p w14:paraId="0BFB206D">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 xml:space="preserve">日期：   </w:t>
                        </w:r>
                      </w:p>
                      <w:p w14:paraId="6AD9F018">
                        <w:pPr>
                          <w:widowControl/>
                          <w:spacing w:beforeAutospacing="1" w:afterAutospacing="1" w:line="240" w:lineRule="auto"/>
                          <w:ind w:firstLine="422"/>
                          <w:jc w:val="left"/>
                          <w:rPr>
                            <w:rFonts w:ascii="宋体" w:hAnsi="宋体" w:cs="宋体"/>
                            <w:sz w:val="21"/>
                            <w:szCs w:val="21"/>
                          </w:rPr>
                        </w:pPr>
                        <w:r>
                          <w:rPr>
                            <w:rFonts w:hint="eastAsia" w:ascii="宋体" w:hAnsi="宋体" w:cs="宋体"/>
                            <w:b/>
                            <w:kern w:val="0"/>
                            <w:sz w:val="21"/>
                            <w:szCs w:val="21"/>
                          </w:rPr>
                          <w:t>质疑函制作说明：</w:t>
                        </w:r>
                      </w:p>
                      <w:p w14:paraId="3DF8A121">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1.投标人提出质疑时，应提交质疑函和必要的证明材料。</w:t>
                        </w:r>
                      </w:p>
                      <w:p w14:paraId="49D0DC00">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2.质疑投标人若委托代理人进行质疑的，质疑函应按要求列明“授权代表”的有关内容，并在附件中提交由质疑投标人签署的授权委托书。授权委托书应载明代理人的姓名或者名称、代理事项、具体权限、期限和相关事项。</w:t>
                        </w:r>
                      </w:p>
                      <w:p w14:paraId="64D2AF43">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3.质疑投标人若对项目的某一分包进行质疑，质疑函中应列明具体分包号。</w:t>
                        </w:r>
                      </w:p>
                      <w:p w14:paraId="14B340A3">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4.质疑函的质疑事项应具体、明确，并有必要的事实依据和法律依据。</w:t>
                        </w:r>
                      </w:p>
                      <w:p w14:paraId="0FCF0226">
                        <w:pPr>
                          <w:widowControl/>
                          <w:spacing w:beforeAutospacing="1" w:afterAutospacing="1" w:line="240" w:lineRule="auto"/>
                          <w:ind w:firstLine="420"/>
                          <w:jc w:val="left"/>
                          <w:rPr>
                            <w:rFonts w:ascii="宋体" w:hAnsi="宋体" w:cs="宋体"/>
                            <w:sz w:val="21"/>
                            <w:szCs w:val="21"/>
                          </w:rPr>
                        </w:pPr>
                        <w:r>
                          <w:rPr>
                            <w:rFonts w:hint="eastAsia" w:ascii="宋体" w:hAnsi="宋体" w:cs="宋体"/>
                            <w:kern w:val="0"/>
                            <w:sz w:val="21"/>
                            <w:szCs w:val="21"/>
                          </w:rPr>
                          <w:t>5.质疑函的质疑请求应与质疑事项相关。</w:t>
                        </w:r>
                      </w:p>
                      <w:p w14:paraId="490C1D7F">
                        <w:pPr>
                          <w:widowControl/>
                          <w:spacing w:before="100" w:beforeAutospacing="1" w:after="100" w:afterAutospacing="1" w:line="240" w:lineRule="auto"/>
                          <w:ind w:firstLine="420"/>
                          <w:jc w:val="left"/>
                          <w:rPr>
                            <w:rFonts w:ascii="宋体" w:hAnsi="宋体" w:cs="宋体"/>
                            <w:sz w:val="24"/>
                          </w:rPr>
                        </w:pPr>
                        <w:r>
                          <w:rPr>
                            <w:rFonts w:hint="eastAsia" w:ascii="宋体" w:hAnsi="宋体" w:cs="宋体"/>
                            <w:kern w:val="0"/>
                            <w:sz w:val="21"/>
                            <w:szCs w:val="21"/>
                          </w:rPr>
                          <w:t>6.质疑投标人为自然人的，质疑函应由本人签字；质疑投标人为法人或者其他组织的，质疑函应由法定代表人、主要负责人，或者其授权代表签字或者盖章，并加盖公章。</w:t>
                        </w:r>
                      </w:p>
                    </w:tc>
                  </w:tr>
                </w:tbl>
                <w:p w14:paraId="6E19811B">
                  <w:pPr>
                    <w:ind w:firstLine="360"/>
                    <w:jc w:val="center"/>
                    <w:rPr>
                      <w:rFonts w:ascii="宋体" w:hAnsi="宋体" w:cs="宋体"/>
                      <w:sz w:val="24"/>
                    </w:rPr>
                  </w:pPr>
                </w:p>
              </w:tc>
            </w:tr>
          </w:tbl>
          <w:p w14:paraId="2235A5B0">
            <w:pPr>
              <w:spacing w:line="432" w:lineRule="auto"/>
              <w:ind w:firstLine="360"/>
              <w:jc w:val="center"/>
              <w:rPr>
                <w:rFonts w:ascii="宋体" w:hAnsi="宋体" w:cs="宋体"/>
                <w:sz w:val="24"/>
              </w:rPr>
            </w:pPr>
          </w:p>
        </w:tc>
      </w:tr>
    </w:tbl>
    <w:p w14:paraId="4E0C1346">
      <w:pPr>
        <w:rPr>
          <w:rFonts w:ascii="宋体" w:hAnsi="宋体" w:cs="宋体"/>
          <w:sz w:val="24"/>
        </w:rPr>
      </w:pPr>
    </w:p>
    <w:p w14:paraId="0C18A3BC">
      <w:pPr>
        <w:rPr>
          <w:rFonts w:ascii="宋体" w:hAnsi="宋体" w:cs="宋体"/>
          <w:sz w:val="24"/>
        </w:rPr>
      </w:pPr>
    </w:p>
    <w:p w14:paraId="226C0BA2">
      <w:pPr>
        <w:rPr>
          <w:rFonts w:ascii="宋体" w:hAnsi="宋体" w:cs="宋体"/>
          <w:sz w:val="24"/>
        </w:rPr>
      </w:pPr>
    </w:p>
    <w:p w14:paraId="01B88610">
      <w:pPr>
        <w:rPr>
          <w:rFonts w:ascii="宋体" w:hAnsi="宋体" w:cs="宋体"/>
          <w:sz w:val="24"/>
        </w:rPr>
      </w:pPr>
    </w:p>
    <w:p w14:paraId="784CE6FA">
      <w:pPr>
        <w:rPr>
          <w:rFonts w:ascii="宋体" w:hAnsi="宋体" w:cs="宋体"/>
          <w:sz w:val="24"/>
        </w:rPr>
      </w:pPr>
    </w:p>
    <w:p w14:paraId="76AA0918">
      <w:pPr>
        <w:rPr>
          <w:rFonts w:ascii="宋体" w:hAnsi="宋体" w:cs="宋体"/>
          <w:sz w:val="24"/>
        </w:rPr>
      </w:pPr>
    </w:p>
    <w:p w14:paraId="0E436ADA">
      <w:pPr>
        <w:rPr>
          <w:rFonts w:ascii="宋体" w:hAnsi="宋体" w:cs="宋体"/>
          <w:sz w:val="24"/>
        </w:rPr>
      </w:pPr>
    </w:p>
    <w:p w14:paraId="36DF564F">
      <w:pPr>
        <w:rPr>
          <w:rFonts w:ascii="宋体" w:hAnsi="宋体" w:cs="宋体"/>
          <w:sz w:val="24"/>
        </w:rPr>
      </w:pPr>
    </w:p>
    <w:p w14:paraId="6AA43D87">
      <w:pPr>
        <w:rPr>
          <w:rFonts w:ascii="宋体" w:hAnsi="宋体" w:cs="宋体"/>
          <w:sz w:val="24"/>
        </w:rPr>
      </w:pPr>
    </w:p>
    <w:p w14:paraId="236FDAE1">
      <w:pPr>
        <w:rPr>
          <w:rFonts w:ascii="宋体" w:hAnsi="宋体" w:cs="宋体"/>
          <w:sz w:val="24"/>
        </w:rPr>
      </w:pPr>
    </w:p>
    <w:p w14:paraId="10142943">
      <w:pPr>
        <w:pStyle w:val="2"/>
        <w:rPr>
          <w:rFonts w:ascii="宋体" w:hAnsi="宋体" w:cs="宋体"/>
          <w:sz w:val="24"/>
        </w:rPr>
      </w:pPr>
    </w:p>
    <w:p w14:paraId="7CF6BB19"/>
    <w:p w14:paraId="08011C35">
      <w:pPr>
        <w:rPr>
          <w:rFonts w:ascii="宋体" w:hAnsi="宋体" w:cs="宋体"/>
          <w:sz w:val="24"/>
        </w:rPr>
      </w:pPr>
    </w:p>
    <w:p w14:paraId="7DE90E90">
      <w:pPr>
        <w:rPr>
          <w:rFonts w:ascii="宋体" w:hAnsi="宋体" w:cs="宋体"/>
          <w:sz w:val="24"/>
        </w:rPr>
      </w:pPr>
    </w:p>
    <w:p w14:paraId="7C47A992">
      <w:pPr>
        <w:rPr>
          <w:rFonts w:ascii="宋体" w:hAnsi="宋体" w:cs="宋体"/>
          <w:sz w:val="24"/>
        </w:rPr>
      </w:pPr>
    </w:p>
    <w:p w14:paraId="64C172D6">
      <w:pPr>
        <w:pStyle w:val="20"/>
        <w:ind w:left="0" w:leftChars="0" w:firstLine="0" w:firstLineChars="0"/>
        <w:rPr>
          <w:rFonts w:ascii="宋体" w:hAnsi="宋体" w:cs="宋体"/>
          <w:sz w:val="24"/>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Futura Lt BT">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58C1F">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62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w="6350">
                        <a:noFill/>
                      </a:ln>
                      <a:effectLst/>
                    </wps:spPr>
                    <wps:txbx>
                      <w:txbxContent>
                        <w:p w14:paraId="25FC2818">
                          <w:pPr>
                            <w:pStyle w:val="27"/>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pt;width:9.15pt;mso-position-horizontal:center;mso-position-horizontal-relative:margin;mso-wrap-style:none;z-index:251659264;mso-width-relative:page;mso-height-relative:page;" filled="f" stroked="f" coordsize="21600,21600" o:gfxdata="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4BeJKNIAAAADAQAADwAAAAAAAAABACAAAAAiAAAAZHJzL2Rvd25yZXYueG1s&#10;UEsBAhQAFAAAAAgAh07iQEqVnsU3AgAAYQQAAA4AAAAAAAAAAQAgAAAAIQEAAGRycy9lMm9Eb2Mu&#10;eG1sUEsFBgAAAAAGAAYAWQEAAMoFAAAAAA==&#10;">
              <v:fill on="f" focussize="0,0"/>
              <v:stroke on="f" weight="0.5pt"/>
              <v:imagedata o:title=""/>
              <o:lock v:ext="edit" aspectratio="f"/>
              <v:textbox inset="0mm,0mm,0mm,0mm" style="mso-fit-shape-to-text:t;">
                <w:txbxContent>
                  <w:p w14:paraId="25FC2818">
                    <w:pPr>
                      <w:pStyle w:val="27"/>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6DC63"/>
    <w:multiLevelType w:val="singleLevel"/>
    <w:tmpl w:val="8C96DC63"/>
    <w:lvl w:ilvl="0" w:tentative="0">
      <w:start w:val="1"/>
      <w:numFmt w:val="chineseCounting"/>
      <w:suff w:val="nothing"/>
      <w:lvlText w:val="（%1）"/>
      <w:lvlJc w:val="left"/>
      <w:rPr>
        <w:rFonts w:hint="eastAsia"/>
      </w:rPr>
    </w:lvl>
  </w:abstractNum>
  <w:abstractNum w:abstractNumId="1">
    <w:nsid w:val="0C34DE15"/>
    <w:multiLevelType w:val="singleLevel"/>
    <w:tmpl w:val="0C34DE15"/>
    <w:lvl w:ilvl="0" w:tentative="0">
      <w:start w:val="1"/>
      <w:numFmt w:val="decimal"/>
      <w:lvlText w:val="%1."/>
      <w:lvlJc w:val="left"/>
      <w:pPr>
        <w:tabs>
          <w:tab w:val="left" w:pos="312"/>
        </w:tabs>
      </w:pPr>
    </w:lvl>
  </w:abstractNum>
  <w:abstractNum w:abstractNumId="2">
    <w:nsid w:val="106300BB"/>
    <w:multiLevelType w:val="multilevel"/>
    <w:tmpl w:val="106300BB"/>
    <w:lvl w:ilvl="0" w:tentative="0">
      <w:start w:val="1"/>
      <w:numFmt w:val="chineseCountingThousand"/>
      <w:suff w:val="space"/>
      <w:lvlText w:val="第%1章"/>
      <w:lvlJc w:val="left"/>
      <w:pPr>
        <w:ind w:left="0" w:firstLine="0"/>
      </w:pPr>
      <w:rPr>
        <w:rFonts w:hint="eastAsia"/>
      </w:rPr>
    </w:lvl>
    <w:lvl w:ilvl="1" w:tentative="0">
      <w:start w:val="1"/>
      <w:numFmt w:val="decimal"/>
      <w:isLgl/>
      <w:suff w:val="space"/>
      <w:lvlText w:val="%1.%2"/>
      <w:lvlJc w:val="left"/>
      <w:pPr>
        <w:ind w:left="240" w:firstLine="0"/>
      </w:pPr>
      <w:rPr>
        <w:rFonts w:hint="eastAsia"/>
      </w:rPr>
    </w:lvl>
    <w:lvl w:ilvl="2" w:tentative="0">
      <w:start w:val="1"/>
      <w:numFmt w:val="decimal"/>
      <w:isLgl/>
      <w:suff w:val="space"/>
      <w:lvlText w:val="%1.%2.%3"/>
      <w:lvlJc w:val="left"/>
      <w:pPr>
        <w:ind w:left="0" w:firstLine="0"/>
      </w:pPr>
      <w:rPr>
        <w:rFonts w:hint="eastAsia" w:ascii="宋体" w:hAnsi="宋体" w:eastAsia="宋体"/>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ascii="宋体" w:hAnsi="宋体" w:eastAsia="宋体"/>
      </w:rPr>
    </w:lvl>
    <w:lvl w:ilvl="5" w:tentative="0">
      <w:start w:val="1"/>
      <w:numFmt w:val="decimal"/>
      <w:pStyle w:val="7"/>
      <w:isLgl/>
      <w:suff w:val="space"/>
      <w:lvlText w:val="%1.%2.%3.%4.%5.%6"/>
      <w:lvlJc w:val="left"/>
      <w:pPr>
        <w:ind w:left="0" w:firstLine="0"/>
      </w:pPr>
      <w:rPr>
        <w:rFonts w:hint="eastAsia" w:ascii="宋体" w:hAnsi="宋体" w:eastAsia="宋体"/>
      </w:rPr>
    </w:lvl>
    <w:lvl w:ilvl="6" w:tentative="0">
      <w:start w:val="1"/>
      <w:numFmt w:val="decimal"/>
      <w:isLgl/>
      <w:suff w:val="space"/>
      <w:lvlText w:val="%1.%2.%3.%4.%5.%6.%7"/>
      <w:lvlJc w:val="left"/>
      <w:pPr>
        <w:ind w:left="0" w:firstLine="0"/>
      </w:pPr>
      <w:rPr>
        <w:rFonts w:hint="eastAsia" w:ascii="宋体" w:hAnsi="宋体" w:eastAsia="宋体"/>
      </w:rPr>
    </w:lvl>
    <w:lvl w:ilvl="7" w:tentative="0">
      <w:start w:val="1"/>
      <w:numFmt w:val="decimal"/>
      <w:isLgl/>
      <w:lvlText w:val="%1.%2.%3.%4.%5.%6.%7.%8"/>
      <w:lvlJc w:val="left"/>
      <w:pPr>
        <w:ind w:left="0" w:firstLine="0"/>
      </w:pPr>
      <w:rPr>
        <w:rFonts w:hint="eastAsia" w:ascii="宋体" w:hAnsi="宋体" w:eastAsia="宋体" w:cs="宋体"/>
      </w:rPr>
    </w:lvl>
    <w:lvl w:ilvl="8" w:tentative="0">
      <w:start w:val="1"/>
      <w:numFmt w:val="decimal"/>
      <w:isLgl/>
      <w:lvlText w:val="%1.%2.%3.%4.%5.%6.%7.%8.%9"/>
      <w:lvlJc w:val="left"/>
      <w:pPr>
        <w:ind w:left="5102" w:hanging="1700"/>
      </w:pPr>
      <w:rPr>
        <w:rFonts w:hint="eastAsia" w:ascii="宋体" w:hAnsi="宋体" w:eastAsia="宋体" w:cs="宋体"/>
      </w:rPr>
    </w:lvl>
  </w:abstractNum>
  <w:abstractNum w:abstractNumId="3">
    <w:nsid w:val="225A8346"/>
    <w:multiLevelType w:val="singleLevel"/>
    <w:tmpl w:val="225A8346"/>
    <w:lvl w:ilvl="0" w:tentative="0">
      <w:start w:val="1"/>
      <w:numFmt w:val="decimal"/>
      <w:lvlText w:val="%1."/>
      <w:lvlJc w:val="left"/>
      <w:pPr>
        <w:tabs>
          <w:tab w:val="left" w:pos="312"/>
        </w:tabs>
      </w:pPr>
    </w:lvl>
  </w:abstractNum>
  <w:abstractNum w:abstractNumId="4">
    <w:nsid w:val="32BB0B20"/>
    <w:multiLevelType w:val="singleLevel"/>
    <w:tmpl w:val="32BB0B20"/>
    <w:lvl w:ilvl="0" w:tentative="0">
      <w:start w:val="5"/>
      <w:numFmt w:val="chineseCounting"/>
      <w:suff w:val="nothing"/>
      <w:lvlText w:val="%1、"/>
      <w:lvlJc w:val="left"/>
      <w:rPr>
        <w:rFonts w:hint="eastAsia"/>
      </w:rPr>
    </w:lvl>
  </w:abstractNum>
  <w:abstractNum w:abstractNumId="5">
    <w:nsid w:val="3C9E2F31"/>
    <w:multiLevelType w:val="multilevel"/>
    <w:tmpl w:val="3C9E2F31"/>
    <w:lvl w:ilvl="0" w:tentative="0">
      <w:start w:val="1"/>
      <w:numFmt w:val="chineseCountingThousand"/>
      <w:suff w:val="space"/>
      <w:lvlText w:val="第%1章"/>
      <w:lvlJc w:val="left"/>
      <w:pPr>
        <w:ind w:left="0" w:firstLine="0"/>
      </w:pPr>
      <w:rPr>
        <w:rFonts w:hint="eastAsia"/>
      </w:rPr>
    </w:lvl>
    <w:lvl w:ilvl="1" w:tentative="0">
      <w:start w:val="1"/>
      <w:numFmt w:val="decimal"/>
      <w:isLgl/>
      <w:suff w:val="space"/>
      <w:lvlText w:val="%1.%2"/>
      <w:lvlJc w:val="left"/>
      <w:pPr>
        <w:ind w:left="240" w:firstLine="0"/>
      </w:pPr>
      <w:rPr>
        <w:rFonts w:hint="eastAsia"/>
      </w:rPr>
    </w:lvl>
    <w:lvl w:ilvl="2" w:tentative="0">
      <w:start w:val="1"/>
      <w:numFmt w:val="decimal"/>
      <w:isLgl/>
      <w:suff w:val="space"/>
      <w:lvlText w:val="%1.%2.%3"/>
      <w:lvlJc w:val="left"/>
      <w:pPr>
        <w:ind w:left="0" w:firstLine="0"/>
      </w:pPr>
      <w:rPr>
        <w:rFonts w:hint="eastAsia" w:ascii="宋体" w:hAnsi="宋体" w:eastAsia="宋体"/>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ascii="宋体" w:hAnsi="宋体" w:eastAsia="宋体"/>
      </w:rPr>
    </w:lvl>
    <w:lvl w:ilvl="5" w:tentative="0">
      <w:start w:val="1"/>
      <w:numFmt w:val="decimal"/>
      <w:isLgl/>
      <w:suff w:val="space"/>
      <w:lvlText w:val="%1.%2.%3.%4.%5.%6"/>
      <w:lvlJc w:val="left"/>
      <w:pPr>
        <w:ind w:left="0" w:firstLine="0"/>
      </w:pPr>
      <w:rPr>
        <w:rFonts w:hint="eastAsia" w:ascii="宋体" w:hAnsi="宋体" w:eastAsia="宋体"/>
      </w:rPr>
    </w:lvl>
    <w:lvl w:ilvl="6" w:tentative="0">
      <w:start w:val="1"/>
      <w:numFmt w:val="decimal"/>
      <w:pStyle w:val="8"/>
      <w:isLgl/>
      <w:suff w:val="space"/>
      <w:lvlText w:val="%1.%2.%3.%4.%5.%6.%7"/>
      <w:lvlJc w:val="left"/>
      <w:pPr>
        <w:ind w:left="0" w:firstLine="0"/>
      </w:pPr>
      <w:rPr>
        <w:rFonts w:hint="eastAsia" w:ascii="宋体" w:hAnsi="宋体" w:eastAsia="宋体"/>
      </w:rPr>
    </w:lvl>
    <w:lvl w:ilvl="7" w:tentative="0">
      <w:start w:val="1"/>
      <w:numFmt w:val="decimal"/>
      <w:isLgl/>
      <w:lvlText w:val="%1.%2.%3.%4.%5.%6.%7.%8"/>
      <w:lvlJc w:val="left"/>
      <w:pPr>
        <w:ind w:left="0" w:firstLine="0"/>
      </w:pPr>
      <w:rPr>
        <w:rFonts w:hint="eastAsia" w:ascii="宋体" w:hAnsi="宋体" w:eastAsia="宋体" w:cs="宋体"/>
      </w:rPr>
    </w:lvl>
    <w:lvl w:ilvl="8" w:tentative="0">
      <w:start w:val="1"/>
      <w:numFmt w:val="decimal"/>
      <w:isLgl/>
      <w:lvlText w:val="%1.%2.%3.%4.%5.%6.%7.%8.%9"/>
      <w:lvlJc w:val="left"/>
      <w:pPr>
        <w:ind w:left="5102" w:hanging="1700"/>
      </w:pPr>
      <w:rPr>
        <w:rFonts w:hint="eastAsia" w:ascii="宋体" w:hAnsi="宋体" w:eastAsia="宋体" w:cs="宋体"/>
      </w:r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52E087A6"/>
    <w:multiLevelType w:val="singleLevel"/>
    <w:tmpl w:val="52E087A6"/>
    <w:lvl w:ilvl="0" w:tentative="0">
      <w:start w:val="1"/>
      <w:numFmt w:val="decimal"/>
      <w:suff w:val="nothing"/>
      <w:lvlText w:val="%1、"/>
      <w:lvlJc w:val="left"/>
    </w:lvl>
  </w:abstractNum>
  <w:abstractNum w:abstractNumId="8">
    <w:nsid w:val="54F403B5"/>
    <w:multiLevelType w:val="singleLevel"/>
    <w:tmpl w:val="54F403B5"/>
    <w:lvl w:ilvl="0" w:tentative="0">
      <w:start w:val="1"/>
      <w:numFmt w:val="chineseCounting"/>
      <w:suff w:val="nothing"/>
      <w:lvlText w:val="%1、"/>
      <w:lvlJc w:val="left"/>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5F02D658"/>
    <w:multiLevelType w:val="singleLevel"/>
    <w:tmpl w:val="5F02D658"/>
    <w:lvl w:ilvl="0" w:tentative="0">
      <w:start w:val="4"/>
      <w:numFmt w:val="decimal"/>
      <w:suff w:val="nothing"/>
      <w:lvlText w:val="（%1）"/>
      <w:lvlJc w:val="left"/>
    </w:lvl>
  </w:abstractNum>
  <w:abstractNum w:abstractNumId="11">
    <w:nsid w:val="5F705630"/>
    <w:multiLevelType w:val="singleLevel"/>
    <w:tmpl w:val="5F705630"/>
    <w:lvl w:ilvl="0" w:tentative="0">
      <w:start w:val="1"/>
      <w:numFmt w:val="decimal"/>
      <w:suff w:val="nothing"/>
      <w:lvlText w:val="%1、"/>
      <w:lvlJc w:val="left"/>
    </w:lvl>
  </w:abstractNum>
  <w:abstractNum w:abstractNumId="12">
    <w:nsid w:val="6DBF17BD"/>
    <w:multiLevelType w:val="singleLevel"/>
    <w:tmpl w:val="6DBF17BD"/>
    <w:lvl w:ilvl="0" w:tentative="0">
      <w:start w:val="1"/>
      <w:numFmt w:val="decimal"/>
      <w:pStyle w:val="10"/>
      <w:lvlText w:val="%1."/>
      <w:lvlJc w:val="left"/>
      <w:pPr>
        <w:tabs>
          <w:tab w:val="left" w:pos="360"/>
        </w:tabs>
        <w:ind w:left="360" w:hanging="360"/>
      </w:pPr>
    </w:lvl>
  </w:abstractNum>
  <w:abstractNum w:abstractNumId="13">
    <w:nsid w:val="7D73A479"/>
    <w:multiLevelType w:val="singleLevel"/>
    <w:tmpl w:val="7D73A479"/>
    <w:lvl w:ilvl="0" w:tentative="0">
      <w:start w:val="1"/>
      <w:numFmt w:val="decimal"/>
      <w:suff w:val="nothing"/>
      <w:lvlText w:val="（%1）"/>
      <w:lvlJc w:val="left"/>
    </w:lvl>
  </w:abstractNum>
  <w:num w:numId="1">
    <w:abstractNumId w:val="2"/>
  </w:num>
  <w:num w:numId="2">
    <w:abstractNumId w:val="5"/>
  </w:num>
  <w:num w:numId="3">
    <w:abstractNumId w:val="12"/>
  </w:num>
  <w:num w:numId="4">
    <w:abstractNumId w:val="11"/>
  </w:num>
  <w:num w:numId="5">
    <w:abstractNumId w:val="0"/>
  </w:num>
  <w:num w:numId="6">
    <w:abstractNumId w:val="13"/>
  </w:num>
  <w:num w:numId="7">
    <w:abstractNumId w:val="10"/>
  </w:num>
  <w:num w:numId="8">
    <w:abstractNumId w:val="3"/>
  </w:num>
  <w:num w:numId="9">
    <w:abstractNumId w:val="6"/>
  </w:num>
  <w:num w:numId="10">
    <w:abstractNumId w:val="1"/>
  </w:num>
  <w:num w:numId="11">
    <w:abstractNumId w:val="4"/>
  </w:num>
  <w:num w:numId="12">
    <w:abstractNumId w:val="7"/>
  </w:num>
  <w:num w:numId="13">
    <w:abstractNumId w:val="8"/>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hideGrammaticalErrors/>
  <w:documentProtection w:enforcement="0"/>
  <w:defaultTabStop w:val="420"/>
  <w:drawingGridHorizontalSpacing w:val="210"/>
  <w:drawingGridVerticalSpacing w:val="162"/>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iNzhmMDk0MWU1ODgyYThmOTU2NDczNmIxMTFjYzQifQ=="/>
  </w:docVars>
  <w:rsids>
    <w:rsidRoot w:val="00C60D78"/>
    <w:rsid w:val="00001BED"/>
    <w:rsid w:val="00002BD9"/>
    <w:rsid w:val="00006C6F"/>
    <w:rsid w:val="0000749F"/>
    <w:rsid w:val="00012FC3"/>
    <w:rsid w:val="0001369E"/>
    <w:rsid w:val="00020C29"/>
    <w:rsid w:val="00023D6C"/>
    <w:rsid w:val="000318B6"/>
    <w:rsid w:val="000347B2"/>
    <w:rsid w:val="000406B6"/>
    <w:rsid w:val="000412DB"/>
    <w:rsid w:val="00052B11"/>
    <w:rsid w:val="0006027B"/>
    <w:rsid w:val="00060EA4"/>
    <w:rsid w:val="0006371E"/>
    <w:rsid w:val="00066581"/>
    <w:rsid w:val="00067285"/>
    <w:rsid w:val="00074EE9"/>
    <w:rsid w:val="0007639A"/>
    <w:rsid w:val="00093CDB"/>
    <w:rsid w:val="000B39C9"/>
    <w:rsid w:val="000C1728"/>
    <w:rsid w:val="000C19C6"/>
    <w:rsid w:val="000C5398"/>
    <w:rsid w:val="000D6DAE"/>
    <w:rsid w:val="000F1FE6"/>
    <w:rsid w:val="00107C44"/>
    <w:rsid w:val="00113EA6"/>
    <w:rsid w:val="00114652"/>
    <w:rsid w:val="00114E58"/>
    <w:rsid w:val="00120165"/>
    <w:rsid w:val="001408E8"/>
    <w:rsid w:val="00143DC2"/>
    <w:rsid w:val="00144B97"/>
    <w:rsid w:val="001479AB"/>
    <w:rsid w:val="00151680"/>
    <w:rsid w:val="001535AA"/>
    <w:rsid w:val="0016426B"/>
    <w:rsid w:val="0016449F"/>
    <w:rsid w:val="00167EC6"/>
    <w:rsid w:val="00176427"/>
    <w:rsid w:val="00182B01"/>
    <w:rsid w:val="00196D03"/>
    <w:rsid w:val="001A2ED6"/>
    <w:rsid w:val="001A534B"/>
    <w:rsid w:val="001B42DD"/>
    <w:rsid w:val="001B70BD"/>
    <w:rsid w:val="001C616B"/>
    <w:rsid w:val="001D09C9"/>
    <w:rsid w:val="001D4370"/>
    <w:rsid w:val="001D687C"/>
    <w:rsid w:val="001E04D3"/>
    <w:rsid w:val="001E332A"/>
    <w:rsid w:val="001E3FF5"/>
    <w:rsid w:val="001E65F3"/>
    <w:rsid w:val="001E6F6F"/>
    <w:rsid w:val="001F36E1"/>
    <w:rsid w:val="001F6752"/>
    <w:rsid w:val="00204548"/>
    <w:rsid w:val="00225594"/>
    <w:rsid w:val="00231F0E"/>
    <w:rsid w:val="002378B9"/>
    <w:rsid w:val="002464AE"/>
    <w:rsid w:val="002502CE"/>
    <w:rsid w:val="00251738"/>
    <w:rsid w:val="00270C57"/>
    <w:rsid w:val="00282E7F"/>
    <w:rsid w:val="00283FB0"/>
    <w:rsid w:val="00291A46"/>
    <w:rsid w:val="00295D80"/>
    <w:rsid w:val="002A0DF3"/>
    <w:rsid w:val="002A13E2"/>
    <w:rsid w:val="002A7970"/>
    <w:rsid w:val="002C1A9E"/>
    <w:rsid w:val="002F3967"/>
    <w:rsid w:val="00307736"/>
    <w:rsid w:val="003120C7"/>
    <w:rsid w:val="003166F5"/>
    <w:rsid w:val="00321532"/>
    <w:rsid w:val="00324A49"/>
    <w:rsid w:val="00324F4F"/>
    <w:rsid w:val="00327853"/>
    <w:rsid w:val="003341E2"/>
    <w:rsid w:val="003351EE"/>
    <w:rsid w:val="003352A2"/>
    <w:rsid w:val="00336FB9"/>
    <w:rsid w:val="00340C84"/>
    <w:rsid w:val="00353414"/>
    <w:rsid w:val="0035479C"/>
    <w:rsid w:val="00364D3E"/>
    <w:rsid w:val="00370B37"/>
    <w:rsid w:val="00375DB1"/>
    <w:rsid w:val="00384DD1"/>
    <w:rsid w:val="003855FA"/>
    <w:rsid w:val="00396BD0"/>
    <w:rsid w:val="003B5DDB"/>
    <w:rsid w:val="003C196D"/>
    <w:rsid w:val="003C68A5"/>
    <w:rsid w:val="003C7811"/>
    <w:rsid w:val="003D5392"/>
    <w:rsid w:val="003E57C0"/>
    <w:rsid w:val="003F2AA1"/>
    <w:rsid w:val="003F4D84"/>
    <w:rsid w:val="003F7FDE"/>
    <w:rsid w:val="00401409"/>
    <w:rsid w:val="00402D49"/>
    <w:rsid w:val="00412FD4"/>
    <w:rsid w:val="00414CE6"/>
    <w:rsid w:val="00416745"/>
    <w:rsid w:val="00421579"/>
    <w:rsid w:val="004434E8"/>
    <w:rsid w:val="00446896"/>
    <w:rsid w:val="00464BA1"/>
    <w:rsid w:val="00465771"/>
    <w:rsid w:val="004775B6"/>
    <w:rsid w:val="00481BBB"/>
    <w:rsid w:val="004848DC"/>
    <w:rsid w:val="0048688B"/>
    <w:rsid w:val="00494EF7"/>
    <w:rsid w:val="00496CC0"/>
    <w:rsid w:val="004A3234"/>
    <w:rsid w:val="004A5B7C"/>
    <w:rsid w:val="004B30C2"/>
    <w:rsid w:val="004B4309"/>
    <w:rsid w:val="004B557F"/>
    <w:rsid w:val="004C04A0"/>
    <w:rsid w:val="004C7898"/>
    <w:rsid w:val="004D45DE"/>
    <w:rsid w:val="004D646D"/>
    <w:rsid w:val="004D7C30"/>
    <w:rsid w:val="004E4A65"/>
    <w:rsid w:val="004E70FC"/>
    <w:rsid w:val="004F15A4"/>
    <w:rsid w:val="004F2D6D"/>
    <w:rsid w:val="00503C2E"/>
    <w:rsid w:val="0051351A"/>
    <w:rsid w:val="00520056"/>
    <w:rsid w:val="00521441"/>
    <w:rsid w:val="005272F7"/>
    <w:rsid w:val="005400BF"/>
    <w:rsid w:val="00540A89"/>
    <w:rsid w:val="00550A0B"/>
    <w:rsid w:val="00560247"/>
    <w:rsid w:val="00565EFE"/>
    <w:rsid w:val="005663D7"/>
    <w:rsid w:val="00573CD9"/>
    <w:rsid w:val="0058143C"/>
    <w:rsid w:val="0059132C"/>
    <w:rsid w:val="00592183"/>
    <w:rsid w:val="00593B41"/>
    <w:rsid w:val="0059526E"/>
    <w:rsid w:val="0059588D"/>
    <w:rsid w:val="005A019A"/>
    <w:rsid w:val="005A05FD"/>
    <w:rsid w:val="005B0F10"/>
    <w:rsid w:val="005B28C5"/>
    <w:rsid w:val="005C0099"/>
    <w:rsid w:val="005C3084"/>
    <w:rsid w:val="005D0E79"/>
    <w:rsid w:val="005D2072"/>
    <w:rsid w:val="005D3818"/>
    <w:rsid w:val="005D423E"/>
    <w:rsid w:val="005D5BA4"/>
    <w:rsid w:val="005E76E9"/>
    <w:rsid w:val="005F312C"/>
    <w:rsid w:val="006133F6"/>
    <w:rsid w:val="00613DD7"/>
    <w:rsid w:val="00614F2D"/>
    <w:rsid w:val="00617750"/>
    <w:rsid w:val="006411C4"/>
    <w:rsid w:val="00643909"/>
    <w:rsid w:val="00644606"/>
    <w:rsid w:val="006509F2"/>
    <w:rsid w:val="00654982"/>
    <w:rsid w:val="00657B40"/>
    <w:rsid w:val="00664E91"/>
    <w:rsid w:val="006705D8"/>
    <w:rsid w:val="0067323B"/>
    <w:rsid w:val="0067409E"/>
    <w:rsid w:val="00680EC8"/>
    <w:rsid w:val="00682626"/>
    <w:rsid w:val="006A1200"/>
    <w:rsid w:val="006B417B"/>
    <w:rsid w:val="006C0B43"/>
    <w:rsid w:val="006C504C"/>
    <w:rsid w:val="006D3D00"/>
    <w:rsid w:val="006D6D87"/>
    <w:rsid w:val="006E6B30"/>
    <w:rsid w:val="006F136C"/>
    <w:rsid w:val="006F3FD5"/>
    <w:rsid w:val="007102A0"/>
    <w:rsid w:val="007169D7"/>
    <w:rsid w:val="00717872"/>
    <w:rsid w:val="00742AC8"/>
    <w:rsid w:val="00743163"/>
    <w:rsid w:val="00743B58"/>
    <w:rsid w:val="00752705"/>
    <w:rsid w:val="00775838"/>
    <w:rsid w:val="00780D88"/>
    <w:rsid w:val="00784429"/>
    <w:rsid w:val="007945F2"/>
    <w:rsid w:val="007A0193"/>
    <w:rsid w:val="007A75EE"/>
    <w:rsid w:val="007C36F6"/>
    <w:rsid w:val="007D2751"/>
    <w:rsid w:val="007D45B0"/>
    <w:rsid w:val="007D5586"/>
    <w:rsid w:val="007D7915"/>
    <w:rsid w:val="007E5F22"/>
    <w:rsid w:val="007F4074"/>
    <w:rsid w:val="007F4F00"/>
    <w:rsid w:val="008005E8"/>
    <w:rsid w:val="0080161E"/>
    <w:rsid w:val="00801BCD"/>
    <w:rsid w:val="00806731"/>
    <w:rsid w:val="00806F1E"/>
    <w:rsid w:val="00811494"/>
    <w:rsid w:val="00817E68"/>
    <w:rsid w:val="008250ED"/>
    <w:rsid w:val="00843C50"/>
    <w:rsid w:val="00860F5C"/>
    <w:rsid w:val="008702A0"/>
    <w:rsid w:val="00875CD4"/>
    <w:rsid w:val="00877130"/>
    <w:rsid w:val="00884BBD"/>
    <w:rsid w:val="00887832"/>
    <w:rsid w:val="00887DFA"/>
    <w:rsid w:val="00890B4D"/>
    <w:rsid w:val="008936F5"/>
    <w:rsid w:val="00893AC7"/>
    <w:rsid w:val="008942A0"/>
    <w:rsid w:val="008A0BFF"/>
    <w:rsid w:val="008A0C0D"/>
    <w:rsid w:val="008A5733"/>
    <w:rsid w:val="008B0ECC"/>
    <w:rsid w:val="008B34C2"/>
    <w:rsid w:val="008C0EB9"/>
    <w:rsid w:val="008C7EF5"/>
    <w:rsid w:val="008D32B8"/>
    <w:rsid w:val="008D63D6"/>
    <w:rsid w:val="008E24F4"/>
    <w:rsid w:val="008E475E"/>
    <w:rsid w:val="008E49FC"/>
    <w:rsid w:val="00912472"/>
    <w:rsid w:val="00912AEA"/>
    <w:rsid w:val="00923E71"/>
    <w:rsid w:val="00935739"/>
    <w:rsid w:val="00935B01"/>
    <w:rsid w:val="00945F68"/>
    <w:rsid w:val="0095023A"/>
    <w:rsid w:val="009647DC"/>
    <w:rsid w:val="00964A1E"/>
    <w:rsid w:val="00966877"/>
    <w:rsid w:val="00983434"/>
    <w:rsid w:val="009A393E"/>
    <w:rsid w:val="009A55AB"/>
    <w:rsid w:val="009B3019"/>
    <w:rsid w:val="009C21BB"/>
    <w:rsid w:val="009C3FF5"/>
    <w:rsid w:val="009D2D31"/>
    <w:rsid w:val="009D3D9C"/>
    <w:rsid w:val="009D7288"/>
    <w:rsid w:val="00A11954"/>
    <w:rsid w:val="00A140C4"/>
    <w:rsid w:val="00A15D80"/>
    <w:rsid w:val="00A21015"/>
    <w:rsid w:val="00A22B42"/>
    <w:rsid w:val="00A2507E"/>
    <w:rsid w:val="00A2765C"/>
    <w:rsid w:val="00A310DF"/>
    <w:rsid w:val="00A342E7"/>
    <w:rsid w:val="00A3454D"/>
    <w:rsid w:val="00A51BA7"/>
    <w:rsid w:val="00A54468"/>
    <w:rsid w:val="00A61B0E"/>
    <w:rsid w:val="00A63BF6"/>
    <w:rsid w:val="00A6626A"/>
    <w:rsid w:val="00A7766E"/>
    <w:rsid w:val="00A82D41"/>
    <w:rsid w:val="00A84C22"/>
    <w:rsid w:val="00AA4FDD"/>
    <w:rsid w:val="00AA65EC"/>
    <w:rsid w:val="00AB22B3"/>
    <w:rsid w:val="00AC0DA1"/>
    <w:rsid w:val="00AC3724"/>
    <w:rsid w:val="00AD146E"/>
    <w:rsid w:val="00AE3723"/>
    <w:rsid w:val="00B11C98"/>
    <w:rsid w:val="00B3202E"/>
    <w:rsid w:val="00B419B4"/>
    <w:rsid w:val="00B41BDB"/>
    <w:rsid w:val="00B43ADB"/>
    <w:rsid w:val="00B547ED"/>
    <w:rsid w:val="00B74FB5"/>
    <w:rsid w:val="00B9281D"/>
    <w:rsid w:val="00B929A1"/>
    <w:rsid w:val="00B97FB8"/>
    <w:rsid w:val="00BB204C"/>
    <w:rsid w:val="00BC6AE5"/>
    <w:rsid w:val="00BD1090"/>
    <w:rsid w:val="00BD2569"/>
    <w:rsid w:val="00BD74D4"/>
    <w:rsid w:val="00BE3469"/>
    <w:rsid w:val="00C0776E"/>
    <w:rsid w:val="00C148F2"/>
    <w:rsid w:val="00C41200"/>
    <w:rsid w:val="00C458EE"/>
    <w:rsid w:val="00C45CB7"/>
    <w:rsid w:val="00C45F66"/>
    <w:rsid w:val="00C60D78"/>
    <w:rsid w:val="00C6283E"/>
    <w:rsid w:val="00C6615B"/>
    <w:rsid w:val="00C70ED4"/>
    <w:rsid w:val="00C72FDA"/>
    <w:rsid w:val="00C76301"/>
    <w:rsid w:val="00C8031D"/>
    <w:rsid w:val="00C81354"/>
    <w:rsid w:val="00C90A9C"/>
    <w:rsid w:val="00C92BBB"/>
    <w:rsid w:val="00C95B1D"/>
    <w:rsid w:val="00CA4F77"/>
    <w:rsid w:val="00CB2B5F"/>
    <w:rsid w:val="00CB6623"/>
    <w:rsid w:val="00CC5FE0"/>
    <w:rsid w:val="00CF3399"/>
    <w:rsid w:val="00D00170"/>
    <w:rsid w:val="00D00A9B"/>
    <w:rsid w:val="00D00F53"/>
    <w:rsid w:val="00D0569C"/>
    <w:rsid w:val="00D06A0D"/>
    <w:rsid w:val="00D06DD6"/>
    <w:rsid w:val="00D1089F"/>
    <w:rsid w:val="00D14115"/>
    <w:rsid w:val="00D145C4"/>
    <w:rsid w:val="00D25EBE"/>
    <w:rsid w:val="00D3090D"/>
    <w:rsid w:val="00D40D5C"/>
    <w:rsid w:val="00D4564F"/>
    <w:rsid w:val="00D54292"/>
    <w:rsid w:val="00D55F10"/>
    <w:rsid w:val="00D6098E"/>
    <w:rsid w:val="00D61B34"/>
    <w:rsid w:val="00D66DB4"/>
    <w:rsid w:val="00D70635"/>
    <w:rsid w:val="00D71A25"/>
    <w:rsid w:val="00D867C3"/>
    <w:rsid w:val="00D9151E"/>
    <w:rsid w:val="00D9437A"/>
    <w:rsid w:val="00DA2B71"/>
    <w:rsid w:val="00DA2BA0"/>
    <w:rsid w:val="00DA7C1A"/>
    <w:rsid w:val="00DB592D"/>
    <w:rsid w:val="00DE3D0C"/>
    <w:rsid w:val="00DE6C1E"/>
    <w:rsid w:val="00DF1CA1"/>
    <w:rsid w:val="00DF7A55"/>
    <w:rsid w:val="00DF7B84"/>
    <w:rsid w:val="00E01A4C"/>
    <w:rsid w:val="00E01A7F"/>
    <w:rsid w:val="00E16A3D"/>
    <w:rsid w:val="00E25622"/>
    <w:rsid w:val="00E26026"/>
    <w:rsid w:val="00E27C16"/>
    <w:rsid w:val="00E3144C"/>
    <w:rsid w:val="00E32E52"/>
    <w:rsid w:val="00E428DD"/>
    <w:rsid w:val="00E442E4"/>
    <w:rsid w:val="00E46FFB"/>
    <w:rsid w:val="00E510CE"/>
    <w:rsid w:val="00E554BD"/>
    <w:rsid w:val="00E61D82"/>
    <w:rsid w:val="00E63685"/>
    <w:rsid w:val="00E65831"/>
    <w:rsid w:val="00E700AE"/>
    <w:rsid w:val="00E72F54"/>
    <w:rsid w:val="00E80C12"/>
    <w:rsid w:val="00E8736E"/>
    <w:rsid w:val="00EA0FF7"/>
    <w:rsid w:val="00EA1BED"/>
    <w:rsid w:val="00EA4A1C"/>
    <w:rsid w:val="00EB236C"/>
    <w:rsid w:val="00EB2374"/>
    <w:rsid w:val="00EB29C1"/>
    <w:rsid w:val="00EB70DF"/>
    <w:rsid w:val="00EC0270"/>
    <w:rsid w:val="00EC0732"/>
    <w:rsid w:val="00EE33A0"/>
    <w:rsid w:val="00F10F80"/>
    <w:rsid w:val="00F12EEC"/>
    <w:rsid w:val="00F16D78"/>
    <w:rsid w:val="00F269FA"/>
    <w:rsid w:val="00F3217C"/>
    <w:rsid w:val="00F35B56"/>
    <w:rsid w:val="00F35F37"/>
    <w:rsid w:val="00F445D8"/>
    <w:rsid w:val="00F44642"/>
    <w:rsid w:val="00F46878"/>
    <w:rsid w:val="00F53459"/>
    <w:rsid w:val="00F65ACC"/>
    <w:rsid w:val="00F758FB"/>
    <w:rsid w:val="00FB3CC9"/>
    <w:rsid w:val="00FC28BB"/>
    <w:rsid w:val="00FD2F31"/>
    <w:rsid w:val="00FD79DC"/>
    <w:rsid w:val="00FE0FCE"/>
    <w:rsid w:val="00FE1AA3"/>
    <w:rsid w:val="00FF38A8"/>
    <w:rsid w:val="00FF6370"/>
    <w:rsid w:val="01141165"/>
    <w:rsid w:val="011E68AB"/>
    <w:rsid w:val="013B61DE"/>
    <w:rsid w:val="016D4201"/>
    <w:rsid w:val="01760231"/>
    <w:rsid w:val="01794914"/>
    <w:rsid w:val="017C7E8E"/>
    <w:rsid w:val="0188047B"/>
    <w:rsid w:val="019604B3"/>
    <w:rsid w:val="01AE3368"/>
    <w:rsid w:val="01C653AE"/>
    <w:rsid w:val="02105DD0"/>
    <w:rsid w:val="022B5DEC"/>
    <w:rsid w:val="024901C5"/>
    <w:rsid w:val="02615E9D"/>
    <w:rsid w:val="027C5217"/>
    <w:rsid w:val="029F4914"/>
    <w:rsid w:val="02AA6C13"/>
    <w:rsid w:val="02B1499D"/>
    <w:rsid w:val="02B84287"/>
    <w:rsid w:val="02BB36B3"/>
    <w:rsid w:val="02DD623C"/>
    <w:rsid w:val="02ED7EC0"/>
    <w:rsid w:val="02FD67B8"/>
    <w:rsid w:val="0309714C"/>
    <w:rsid w:val="033C1971"/>
    <w:rsid w:val="03555094"/>
    <w:rsid w:val="037311D0"/>
    <w:rsid w:val="03786415"/>
    <w:rsid w:val="03830824"/>
    <w:rsid w:val="038350DC"/>
    <w:rsid w:val="03B343B8"/>
    <w:rsid w:val="03D040F2"/>
    <w:rsid w:val="03E13B6E"/>
    <w:rsid w:val="03E9397F"/>
    <w:rsid w:val="03F161B8"/>
    <w:rsid w:val="042839DF"/>
    <w:rsid w:val="044052CD"/>
    <w:rsid w:val="048724F3"/>
    <w:rsid w:val="048B5BE2"/>
    <w:rsid w:val="048E6E07"/>
    <w:rsid w:val="04980A74"/>
    <w:rsid w:val="049F343C"/>
    <w:rsid w:val="04E6016E"/>
    <w:rsid w:val="04F25C61"/>
    <w:rsid w:val="04F45A96"/>
    <w:rsid w:val="050250E9"/>
    <w:rsid w:val="051A249A"/>
    <w:rsid w:val="05663AE0"/>
    <w:rsid w:val="056E5D30"/>
    <w:rsid w:val="05740898"/>
    <w:rsid w:val="058872A5"/>
    <w:rsid w:val="05922FA0"/>
    <w:rsid w:val="05AC22B4"/>
    <w:rsid w:val="05B72A07"/>
    <w:rsid w:val="05BC1DCB"/>
    <w:rsid w:val="05C07B0D"/>
    <w:rsid w:val="05C662C4"/>
    <w:rsid w:val="05CE4396"/>
    <w:rsid w:val="05E26739"/>
    <w:rsid w:val="05E80E12"/>
    <w:rsid w:val="05EA06E6"/>
    <w:rsid w:val="05F45202"/>
    <w:rsid w:val="05FD3704"/>
    <w:rsid w:val="06257970"/>
    <w:rsid w:val="06287521"/>
    <w:rsid w:val="063B0EFC"/>
    <w:rsid w:val="063C58CE"/>
    <w:rsid w:val="063F05C1"/>
    <w:rsid w:val="064C75F3"/>
    <w:rsid w:val="06534E0B"/>
    <w:rsid w:val="065B15E4"/>
    <w:rsid w:val="06631B2E"/>
    <w:rsid w:val="06705B0D"/>
    <w:rsid w:val="06F51A39"/>
    <w:rsid w:val="070C5F0E"/>
    <w:rsid w:val="071751E8"/>
    <w:rsid w:val="071E7A7B"/>
    <w:rsid w:val="072A6C42"/>
    <w:rsid w:val="072B032F"/>
    <w:rsid w:val="074327A4"/>
    <w:rsid w:val="076D1652"/>
    <w:rsid w:val="078E4CEF"/>
    <w:rsid w:val="07AA637F"/>
    <w:rsid w:val="07D16CD0"/>
    <w:rsid w:val="07E0727A"/>
    <w:rsid w:val="080034AC"/>
    <w:rsid w:val="08204A64"/>
    <w:rsid w:val="08593B20"/>
    <w:rsid w:val="087260D0"/>
    <w:rsid w:val="08775D91"/>
    <w:rsid w:val="0878647D"/>
    <w:rsid w:val="08965921"/>
    <w:rsid w:val="08A81811"/>
    <w:rsid w:val="08B96BD8"/>
    <w:rsid w:val="08C23B9D"/>
    <w:rsid w:val="08D31A82"/>
    <w:rsid w:val="08F10ECE"/>
    <w:rsid w:val="08F75D48"/>
    <w:rsid w:val="08FD409A"/>
    <w:rsid w:val="09070CFF"/>
    <w:rsid w:val="090C5DE3"/>
    <w:rsid w:val="095C0AFF"/>
    <w:rsid w:val="09612E07"/>
    <w:rsid w:val="09662251"/>
    <w:rsid w:val="09774987"/>
    <w:rsid w:val="097D1872"/>
    <w:rsid w:val="098F2514"/>
    <w:rsid w:val="09BD38E9"/>
    <w:rsid w:val="09BE16CA"/>
    <w:rsid w:val="09C56F3D"/>
    <w:rsid w:val="09C676BC"/>
    <w:rsid w:val="09DC0022"/>
    <w:rsid w:val="09F15988"/>
    <w:rsid w:val="09F63AFE"/>
    <w:rsid w:val="0A31265E"/>
    <w:rsid w:val="0A3D1E4C"/>
    <w:rsid w:val="0A574B1F"/>
    <w:rsid w:val="0A6158E0"/>
    <w:rsid w:val="0A736B35"/>
    <w:rsid w:val="0A7C7EEB"/>
    <w:rsid w:val="0A8135C1"/>
    <w:rsid w:val="0AB204F6"/>
    <w:rsid w:val="0AB72BCC"/>
    <w:rsid w:val="0AC21C32"/>
    <w:rsid w:val="0AC41B52"/>
    <w:rsid w:val="0AD11A79"/>
    <w:rsid w:val="0AD63CCA"/>
    <w:rsid w:val="0ADD0E37"/>
    <w:rsid w:val="0AE72E59"/>
    <w:rsid w:val="0AFC5CF0"/>
    <w:rsid w:val="0B2731DE"/>
    <w:rsid w:val="0B2C35F3"/>
    <w:rsid w:val="0B3733E6"/>
    <w:rsid w:val="0B3D613D"/>
    <w:rsid w:val="0B4A4F81"/>
    <w:rsid w:val="0B5B4666"/>
    <w:rsid w:val="0B5F1B77"/>
    <w:rsid w:val="0B6E641F"/>
    <w:rsid w:val="0B7F0C7B"/>
    <w:rsid w:val="0B8278DC"/>
    <w:rsid w:val="0B893E29"/>
    <w:rsid w:val="0B8D0E82"/>
    <w:rsid w:val="0B9B3530"/>
    <w:rsid w:val="0BB05F2E"/>
    <w:rsid w:val="0BB76B36"/>
    <w:rsid w:val="0BBB1C61"/>
    <w:rsid w:val="0BDF6813"/>
    <w:rsid w:val="0C362EA2"/>
    <w:rsid w:val="0C39087A"/>
    <w:rsid w:val="0C4032EB"/>
    <w:rsid w:val="0C5554C9"/>
    <w:rsid w:val="0C970E9C"/>
    <w:rsid w:val="0C9F66CF"/>
    <w:rsid w:val="0CD35F82"/>
    <w:rsid w:val="0CF03DFD"/>
    <w:rsid w:val="0D1155DE"/>
    <w:rsid w:val="0D3147AE"/>
    <w:rsid w:val="0D3E2B6D"/>
    <w:rsid w:val="0D674D12"/>
    <w:rsid w:val="0D695795"/>
    <w:rsid w:val="0D9A6E96"/>
    <w:rsid w:val="0DAA11C6"/>
    <w:rsid w:val="0DAC2282"/>
    <w:rsid w:val="0DD6015B"/>
    <w:rsid w:val="0DD92ABE"/>
    <w:rsid w:val="0DDC37CE"/>
    <w:rsid w:val="0DF00E2F"/>
    <w:rsid w:val="0E053F53"/>
    <w:rsid w:val="0E100F06"/>
    <w:rsid w:val="0E1409F6"/>
    <w:rsid w:val="0E1E3623"/>
    <w:rsid w:val="0E3E79AF"/>
    <w:rsid w:val="0E4618F1"/>
    <w:rsid w:val="0E5516B3"/>
    <w:rsid w:val="0E664D25"/>
    <w:rsid w:val="0E70178A"/>
    <w:rsid w:val="0E7D4D74"/>
    <w:rsid w:val="0E861DFE"/>
    <w:rsid w:val="0E9C76CA"/>
    <w:rsid w:val="0EAC1B6A"/>
    <w:rsid w:val="0EAE2EEF"/>
    <w:rsid w:val="0EC96754"/>
    <w:rsid w:val="0ECE6B96"/>
    <w:rsid w:val="0ED67517"/>
    <w:rsid w:val="0EF67902"/>
    <w:rsid w:val="0EFF331C"/>
    <w:rsid w:val="0F323101"/>
    <w:rsid w:val="0F475260"/>
    <w:rsid w:val="0FA23018"/>
    <w:rsid w:val="0FB901C7"/>
    <w:rsid w:val="0FD23BAC"/>
    <w:rsid w:val="0FE05012"/>
    <w:rsid w:val="0FE92E97"/>
    <w:rsid w:val="0FFD3108"/>
    <w:rsid w:val="100131FC"/>
    <w:rsid w:val="10200448"/>
    <w:rsid w:val="1026703F"/>
    <w:rsid w:val="103575C1"/>
    <w:rsid w:val="104A690B"/>
    <w:rsid w:val="1058006C"/>
    <w:rsid w:val="10792BA8"/>
    <w:rsid w:val="10A87EE6"/>
    <w:rsid w:val="10C37351"/>
    <w:rsid w:val="10CB131B"/>
    <w:rsid w:val="110C1200"/>
    <w:rsid w:val="111F605C"/>
    <w:rsid w:val="11575217"/>
    <w:rsid w:val="116C7FCB"/>
    <w:rsid w:val="118257D3"/>
    <w:rsid w:val="118E44DC"/>
    <w:rsid w:val="11B16855"/>
    <w:rsid w:val="11BC43C2"/>
    <w:rsid w:val="11BE6638"/>
    <w:rsid w:val="11C049F1"/>
    <w:rsid w:val="11CC3396"/>
    <w:rsid w:val="11D2699F"/>
    <w:rsid w:val="11F10D89"/>
    <w:rsid w:val="11F528ED"/>
    <w:rsid w:val="12026D75"/>
    <w:rsid w:val="123E4294"/>
    <w:rsid w:val="124615ED"/>
    <w:rsid w:val="12644A0D"/>
    <w:rsid w:val="126D2733"/>
    <w:rsid w:val="12C47611"/>
    <w:rsid w:val="12D30DB2"/>
    <w:rsid w:val="12DE5A77"/>
    <w:rsid w:val="131052E4"/>
    <w:rsid w:val="1323348A"/>
    <w:rsid w:val="13252E3D"/>
    <w:rsid w:val="132B4BCE"/>
    <w:rsid w:val="13394A5B"/>
    <w:rsid w:val="13421006"/>
    <w:rsid w:val="13482EF0"/>
    <w:rsid w:val="135B6DDF"/>
    <w:rsid w:val="1360023A"/>
    <w:rsid w:val="13737F6D"/>
    <w:rsid w:val="13767A5D"/>
    <w:rsid w:val="139B74C4"/>
    <w:rsid w:val="139E0EFD"/>
    <w:rsid w:val="13C24A51"/>
    <w:rsid w:val="13CA03CE"/>
    <w:rsid w:val="140A676C"/>
    <w:rsid w:val="141964C4"/>
    <w:rsid w:val="141F2917"/>
    <w:rsid w:val="14301730"/>
    <w:rsid w:val="14592A92"/>
    <w:rsid w:val="147E4E1C"/>
    <w:rsid w:val="14B16F0C"/>
    <w:rsid w:val="14B71E32"/>
    <w:rsid w:val="14CC7358"/>
    <w:rsid w:val="14F439F8"/>
    <w:rsid w:val="151970F8"/>
    <w:rsid w:val="15446CC3"/>
    <w:rsid w:val="154B0984"/>
    <w:rsid w:val="1576396A"/>
    <w:rsid w:val="15AB105F"/>
    <w:rsid w:val="15B47BBA"/>
    <w:rsid w:val="15D942D4"/>
    <w:rsid w:val="15DC7422"/>
    <w:rsid w:val="15F05DAF"/>
    <w:rsid w:val="15F249D5"/>
    <w:rsid w:val="162E3B02"/>
    <w:rsid w:val="16351E52"/>
    <w:rsid w:val="16363F8D"/>
    <w:rsid w:val="164A4E48"/>
    <w:rsid w:val="16852325"/>
    <w:rsid w:val="168916BD"/>
    <w:rsid w:val="16994879"/>
    <w:rsid w:val="16B61026"/>
    <w:rsid w:val="16BB0832"/>
    <w:rsid w:val="16BD5E55"/>
    <w:rsid w:val="16C94348"/>
    <w:rsid w:val="16D16EF3"/>
    <w:rsid w:val="16EB2510"/>
    <w:rsid w:val="16F037F3"/>
    <w:rsid w:val="16FF68CB"/>
    <w:rsid w:val="17100645"/>
    <w:rsid w:val="17156239"/>
    <w:rsid w:val="171657DF"/>
    <w:rsid w:val="17244923"/>
    <w:rsid w:val="172A3039"/>
    <w:rsid w:val="173D21F9"/>
    <w:rsid w:val="17443786"/>
    <w:rsid w:val="174B798B"/>
    <w:rsid w:val="174D71AC"/>
    <w:rsid w:val="175135C4"/>
    <w:rsid w:val="176C53FF"/>
    <w:rsid w:val="17701527"/>
    <w:rsid w:val="177B7D38"/>
    <w:rsid w:val="1789017D"/>
    <w:rsid w:val="181B4984"/>
    <w:rsid w:val="182D4AB3"/>
    <w:rsid w:val="183324F6"/>
    <w:rsid w:val="18334062"/>
    <w:rsid w:val="18397D66"/>
    <w:rsid w:val="18646732"/>
    <w:rsid w:val="187248BD"/>
    <w:rsid w:val="18815C56"/>
    <w:rsid w:val="189A2A6F"/>
    <w:rsid w:val="18F845CE"/>
    <w:rsid w:val="1919717E"/>
    <w:rsid w:val="191C6C47"/>
    <w:rsid w:val="195473B4"/>
    <w:rsid w:val="19681989"/>
    <w:rsid w:val="196D1AD9"/>
    <w:rsid w:val="196E6CAC"/>
    <w:rsid w:val="1994202F"/>
    <w:rsid w:val="19AD1A6A"/>
    <w:rsid w:val="19BF57A0"/>
    <w:rsid w:val="19DD4B85"/>
    <w:rsid w:val="19E31980"/>
    <w:rsid w:val="19EA2863"/>
    <w:rsid w:val="1A046FBE"/>
    <w:rsid w:val="1A0758B3"/>
    <w:rsid w:val="1A09162B"/>
    <w:rsid w:val="1A101519"/>
    <w:rsid w:val="1A122613"/>
    <w:rsid w:val="1A234415"/>
    <w:rsid w:val="1A2D1B3B"/>
    <w:rsid w:val="1A3E7E3C"/>
    <w:rsid w:val="1A976EAA"/>
    <w:rsid w:val="1ACB46AB"/>
    <w:rsid w:val="1AE032ED"/>
    <w:rsid w:val="1AE71241"/>
    <w:rsid w:val="1AF51BB0"/>
    <w:rsid w:val="1B2F70E5"/>
    <w:rsid w:val="1B620F7D"/>
    <w:rsid w:val="1B7C48D6"/>
    <w:rsid w:val="1B815B02"/>
    <w:rsid w:val="1B915053"/>
    <w:rsid w:val="1B950C9D"/>
    <w:rsid w:val="1BC31795"/>
    <w:rsid w:val="1BE95D24"/>
    <w:rsid w:val="1C1222ED"/>
    <w:rsid w:val="1C2D48DC"/>
    <w:rsid w:val="1C33473D"/>
    <w:rsid w:val="1C6D6381"/>
    <w:rsid w:val="1C916A6D"/>
    <w:rsid w:val="1C974BFB"/>
    <w:rsid w:val="1C9B352D"/>
    <w:rsid w:val="1CB20589"/>
    <w:rsid w:val="1CD1076F"/>
    <w:rsid w:val="1CD64FC8"/>
    <w:rsid w:val="1CEF00AD"/>
    <w:rsid w:val="1D076CBC"/>
    <w:rsid w:val="1D3D339A"/>
    <w:rsid w:val="1D440BCC"/>
    <w:rsid w:val="1D50131F"/>
    <w:rsid w:val="1D9236E6"/>
    <w:rsid w:val="1DAD79B5"/>
    <w:rsid w:val="1DAF2998"/>
    <w:rsid w:val="1DE40AD0"/>
    <w:rsid w:val="1DEF28E6"/>
    <w:rsid w:val="1E0973D8"/>
    <w:rsid w:val="1E2E30DC"/>
    <w:rsid w:val="1E541D0E"/>
    <w:rsid w:val="1E594203"/>
    <w:rsid w:val="1E661DA5"/>
    <w:rsid w:val="1E680B8B"/>
    <w:rsid w:val="1E746DF6"/>
    <w:rsid w:val="1E7B23CC"/>
    <w:rsid w:val="1E800595"/>
    <w:rsid w:val="1E844603"/>
    <w:rsid w:val="1EC8009F"/>
    <w:rsid w:val="1ECB7A03"/>
    <w:rsid w:val="1ED2365D"/>
    <w:rsid w:val="1EE96F35"/>
    <w:rsid w:val="1EEA30F7"/>
    <w:rsid w:val="1F091C7B"/>
    <w:rsid w:val="1F1D3483"/>
    <w:rsid w:val="1F2373C5"/>
    <w:rsid w:val="1F273531"/>
    <w:rsid w:val="1F3F6B5F"/>
    <w:rsid w:val="1F4A301B"/>
    <w:rsid w:val="1F4B7C93"/>
    <w:rsid w:val="1F6C39F3"/>
    <w:rsid w:val="1F6E21C8"/>
    <w:rsid w:val="1F7530ED"/>
    <w:rsid w:val="1F78308B"/>
    <w:rsid w:val="1F8D23B7"/>
    <w:rsid w:val="1FB24070"/>
    <w:rsid w:val="1FB77434"/>
    <w:rsid w:val="1FF237E9"/>
    <w:rsid w:val="200010E4"/>
    <w:rsid w:val="2008677F"/>
    <w:rsid w:val="201C12E6"/>
    <w:rsid w:val="20593B63"/>
    <w:rsid w:val="205E2895"/>
    <w:rsid w:val="207F1D6B"/>
    <w:rsid w:val="209E05F3"/>
    <w:rsid w:val="20C075BE"/>
    <w:rsid w:val="20DA4650"/>
    <w:rsid w:val="20E86855"/>
    <w:rsid w:val="20F17F88"/>
    <w:rsid w:val="21175451"/>
    <w:rsid w:val="21267BCE"/>
    <w:rsid w:val="212A729B"/>
    <w:rsid w:val="21365894"/>
    <w:rsid w:val="215A1749"/>
    <w:rsid w:val="217355DC"/>
    <w:rsid w:val="217C04D0"/>
    <w:rsid w:val="217F6677"/>
    <w:rsid w:val="219A69A0"/>
    <w:rsid w:val="219B1C0A"/>
    <w:rsid w:val="21A50D12"/>
    <w:rsid w:val="21B06830"/>
    <w:rsid w:val="21CC054A"/>
    <w:rsid w:val="21CC2463"/>
    <w:rsid w:val="21DA59D0"/>
    <w:rsid w:val="21F907FB"/>
    <w:rsid w:val="224315F9"/>
    <w:rsid w:val="2257160A"/>
    <w:rsid w:val="22735D5B"/>
    <w:rsid w:val="22912E86"/>
    <w:rsid w:val="22923A6C"/>
    <w:rsid w:val="22A2181A"/>
    <w:rsid w:val="22C1399A"/>
    <w:rsid w:val="22C34ED9"/>
    <w:rsid w:val="22CD065A"/>
    <w:rsid w:val="230A3CA1"/>
    <w:rsid w:val="230C5486"/>
    <w:rsid w:val="232A75CA"/>
    <w:rsid w:val="234570F8"/>
    <w:rsid w:val="23560C3C"/>
    <w:rsid w:val="23614DC1"/>
    <w:rsid w:val="23683BC7"/>
    <w:rsid w:val="23865A9B"/>
    <w:rsid w:val="239F3D42"/>
    <w:rsid w:val="23A33765"/>
    <w:rsid w:val="23B51D20"/>
    <w:rsid w:val="23CC286D"/>
    <w:rsid w:val="23FD458C"/>
    <w:rsid w:val="241529B3"/>
    <w:rsid w:val="244F0959"/>
    <w:rsid w:val="245C494B"/>
    <w:rsid w:val="24601BBA"/>
    <w:rsid w:val="24950C51"/>
    <w:rsid w:val="24955439"/>
    <w:rsid w:val="24C25A2B"/>
    <w:rsid w:val="24DC6346"/>
    <w:rsid w:val="24E011DB"/>
    <w:rsid w:val="24E56878"/>
    <w:rsid w:val="24E71003"/>
    <w:rsid w:val="24EC4023"/>
    <w:rsid w:val="2500362B"/>
    <w:rsid w:val="25354E8F"/>
    <w:rsid w:val="25490ED0"/>
    <w:rsid w:val="254A47CB"/>
    <w:rsid w:val="2577282D"/>
    <w:rsid w:val="25DC45A8"/>
    <w:rsid w:val="25E20F82"/>
    <w:rsid w:val="25E91595"/>
    <w:rsid w:val="260F0EDF"/>
    <w:rsid w:val="262F3E39"/>
    <w:rsid w:val="264B6B28"/>
    <w:rsid w:val="26526C6F"/>
    <w:rsid w:val="26536209"/>
    <w:rsid w:val="265D3412"/>
    <w:rsid w:val="26642696"/>
    <w:rsid w:val="269B7BC2"/>
    <w:rsid w:val="27103A7F"/>
    <w:rsid w:val="27112CB9"/>
    <w:rsid w:val="27733D29"/>
    <w:rsid w:val="2774593C"/>
    <w:rsid w:val="2779104B"/>
    <w:rsid w:val="277E6AD2"/>
    <w:rsid w:val="27940770"/>
    <w:rsid w:val="27994249"/>
    <w:rsid w:val="279A3BB2"/>
    <w:rsid w:val="27B208A0"/>
    <w:rsid w:val="27B966FB"/>
    <w:rsid w:val="27CB6172"/>
    <w:rsid w:val="27E60A5A"/>
    <w:rsid w:val="27E9733D"/>
    <w:rsid w:val="28074CD0"/>
    <w:rsid w:val="28154D8D"/>
    <w:rsid w:val="282F7EE7"/>
    <w:rsid w:val="284952E9"/>
    <w:rsid w:val="286307B4"/>
    <w:rsid w:val="287C6792"/>
    <w:rsid w:val="287E0C92"/>
    <w:rsid w:val="28B60FEA"/>
    <w:rsid w:val="28C20969"/>
    <w:rsid w:val="28CD5DCF"/>
    <w:rsid w:val="28D60DAE"/>
    <w:rsid w:val="28D80539"/>
    <w:rsid w:val="28EB4C2F"/>
    <w:rsid w:val="29095503"/>
    <w:rsid w:val="29106ED8"/>
    <w:rsid w:val="29434570"/>
    <w:rsid w:val="29570732"/>
    <w:rsid w:val="296C1FC1"/>
    <w:rsid w:val="29730141"/>
    <w:rsid w:val="297A34E1"/>
    <w:rsid w:val="29890093"/>
    <w:rsid w:val="29A71D4F"/>
    <w:rsid w:val="29AC3D81"/>
    <w:rsid w:val="29B16DDD"/>
    <w:rsid w:val="29BD30F0"/>
    <w:rsid w:val="29CA2459"/>
    <w:rsid w:val="29ED2DEF"/>
    <w:rsid w:val="29F41AD4"/>
    <w:rsid w:val="2A00087B"/>
    <w:rsid w:val="2A03254B"/>
    <w:rsid w:val="2A0A32B0"/>
    <w:rsid w:val="2A1132FB"/>
    <w:rsid w:val="2A2C58BF"/>
    <w:rsid w:val="2A427557"/>
    <w:rsid w:val="2A4E77EB"/>
    <w:rsid w:val="2A6C498B"/>
    <w:rsid w:val="2A6E1037"/>
    <w:rsid w:val="2A771AEA"/>
    <w:rsid w:val="2A7E3922"/>
    <w:rsid w:val="2AA8515F"/>
    <w:rsid w:val="2AE01F34"/>
    <w:rsid w:val="2AF8044C"/>
    <w:rsid w:val="2B092D8B"/>
    <w:rsid w:val="2B264F0A"/>
    <w:rsid w:val="2B5E0F61"/>
    <w:rsid w:val="2B601B6B"/>
    <w:rsid w:val="2B7F3865"/>
    <w:rsid w:val="2B831556"/>
    <w:rsid w:val="2B987607"/>
    <w:rsid w:val="2C010A8F"/>
    <w:rsid w:val="2C1648BE"/>
    <w:rsid w:val="2C1E0950"/>
    <w:rsid w:val="2C391DA8"/>
    <w:rsid w:val="2C567FD4"/>
    <w:rsid w:val="2C6A66C6"/>
    <w:rsid w:val="2C6B31AE"/>
    <w:rsid w:val="2C8279AA"/>
    <w:rsid w:val="2C892158"/>
    <w:rsid w:val="2C9C1941"/>
    <w:rsid w:val="2CA04FE3"/>
    <w:rsid w:val="2CC94576"/>
    <w:rsid w:val="2CE81574"/>
    <w:rsid w:val="2D216834"/>
    <w:rsid w:val="2D291107"/>
    <w:rsid w:val="2D3F7DC0"/>
    <w:rsid w:val="2D4A18AA"/>
    <w:rsid w:val="2D67032F"/>
    <w:rsid w:val="2D8B52A6"/>
    <w:rsid w:val="2D9E5C5D"/>
    <w:rsid w:val="2DB77F09"/>
    <w:rsid w:val="2DBC22A7"/>
    <w:rsid w:val="2DC700BF"/>
    <w:rsid w:val="2DEA4146"/>
    <w:rsid w:val="2E1752EE"/>
    <w:rsid w:val="2E225854"/>
    <w:rsid w:val="2E274942"/>
    <w:rsid w:val="2E461611"/>
    <w:rsid w:val="2E6B2DA4"/>
    <w:rsid w:val="2E722E67"/>
    <w:rsid w:val="2E7C6418"/>
    <w:rsid w:val="2E8B665B"/>
    <w:rsid w:val="2E9655A1"/>
    <w:rsid w:val="2E9F5C62"/>
    <w:rsid w:val="2EB0619D"/>
    <w:rsid w:val="2EB354BF"/>
    <w:rsid w:val="2ECF233E"/>
    <w:rsid w:val="2EE2010C"/>
    <w:rsid w:val="2EE66E54"/>
    <w:rsid w:val="2F071258"/>
    <w:rsid w:val="2F3A3735"/>
    <w:rsid w:val="2F3F655B"/>
    <w:rsid w:val="2F5051AF"/>
    <w:rsid w:val="2F6146A3"/>
    <w:rsid w:val="2F61560E"/>
    <w:rsid w:val="2F68074A"/>
    <w:rsid w:val="2F7572A6"/>
    <w:rsid w:val="2F8B41AF"/>
    <w:rsid w:val="2F9257C7"/>
    <w:rsid w:val="2FA77E07"/>
    <w:rsid w:val="2FBB0EA5"/>
    <w:rsid w:val="300D4E4E"/>
    <w:rsid w:val="30346E62"/>
    <w:rsid w:val="303A2733"/>
    <w:rsid w:val="30447688"/>
    <w:rsid w:val="305304C2"/>
    <w:rsid w:val="3053070F"/>
    <w:rsid w:val="306D15BA"/>
    <w:rsid w:val="30741A0E"/>
    <w:rsid w:val="30750EE0"/>
    <w:rsid w:val="307E7901"/>
    <w:rsid w:val="3082583C"/>
    <w:rsid w:val="308F2F5E"/>
    <w:rsid w:val="30A752A2"/>
    <w:rsid w:val="30AF008F"/>
    <w:rsid w:val="30C7288E"/>
    <w:rsid w:val="30CC7E04"/>
    <w:rsid w:val="30D9770E"/>
    <w:rsid w:val="30DA5678"/>
    <w:rsid w:val="30EC234D"/>
    <w:rsid w:val="314D347D"/>
    <w:rsid w:val="315115A8"/>
    <w:rsid w:val="31582A80"/>
    <w:rsid w:val="315A72A2"/>
    <w:rsid w:val="31620A53"/>
    <w:rsid w:val="3166155E"/>
    <w:rsid w:val="31760AE0"/>
    <w:rsid w:val="31A55C86"/>
    <w:rsid w:val="31A66467"/>
    <w:rsid w:val="31B04B94"/>
    <w:rsid w:val="31B30E78"/>
    <w:rsid w:val="31C70B93"/>
    <w:rsid w:val="31CE742B"/>
    <w:rsid w:val="31DE5DCE"/>
    <w:rsid w:val="31F369F1"/>
    <w:rsid w:val="320243CB"/>
    <w:rsid w:val="32287984"/>
    <w:rsid w:val="323D51DC"/>
    <w:rsid w:val="324514E1"/>
    <w:rsid w:val="324618F6"/>
    <w:rsid w:val="324A7F47"/>
    <w:rsid w:val="32500DF1"/>
    <w:rsid w:val="325B32DB"/>
    <w:rsid w:val="3269751A"/>
    <w:rsid w:val="327658E9"/>
    <w:rsid w:val="327A4811"/>
    <w:rsid w:val="327E507A"/>
    <w:rsid w:val="3284101A"/>
    <w:rsid w:val="3286652E"/>
    <w:rsid w:val="32A47F18"/>
    <w:rsid w:val="32D26455"/>
    <w:rsid w:val="32D41011"/>
    <w:rsid w:val="33006C99"/>
    <w:rsid w:val="3333001D"/>
    <w:rsid w:val="334C5DAF"/>
    <w:rsid w:val="33564303"/>
    <w:rsid w:val="33565A57"/>
    <w:rsid w:val="338D3BB2"/>
    <w:rsid w:val="338E1A00"/>
    <w:rsid w:val="33A06743"/>
    <w:rsid w:val="33AF54D9"/>
    <w:rsid w:val="33B62BB9"/>
    <w:rsid w:val="33CA5530"/>
    <w:rsid w:val="33CD4C71"/>
    <w:rsid w:val="33CF0831"/>
    <w:rsid w:val="33E31A56"/>
    <w:rsid w:val="33E8011B"/>
    <w:rsid w:val="340F1257"/>
    <w:rsid w:val="34282C45"/>
    <w:rsid w:val="34290502"/>
    <w:rsid w:val="343C5269"/>
    <w:rsid w:val="343E5F1E"/>
    <w:rsid w:val="34425A0E"/>
    <w:rsid w:val="34675474"/>
    <w:rsid w:val="3480237B"/>
    <w:rsid w:val="34897FC2"/>
    <w:rsid w:val="34913F80"/>
    <w:rsid w:val="34BC5B5C"/>
    <w:rsid w:val="34C5071D"/>
    <w:rsid w:val="34CB21D2"/>
    <w:rsid w:val="34CE1050"/>
    <w:rsid w:val="34F327B0"/>
    <w:rsid w:val="34F8772A"/>
    <w:rsid w:val="350613F6"/>
    <w:rsid w:val="35092088"/>
    <w:rsid w:val="352D0A67"/>
    <w:rsid w:val="35643762"/>
    <w:rsid w:val="35840939"/>
    <w:rsid w:val="358E223D"/>
    <w:rsid w:val="35975D2A"/>
    <w:rsid w:val="3598566C"/>
    <w:rsid w:val="35A65B28"/>
    <w:rsid w:val="35A71476"/>
    <w:rsid w:val="35AA53CF"/>
    <w:rsid w:val="35B8167E"/>
    <w:rsid w:val="35BB696F"/>
    <w:rsid w:val="35C12CD7"/>
    <w:rsid w:val="35CA197C"/>
    <w:rsid w:val="35D41A9D"/>
    <w:rsid w:val="35FB6F53"/>
    <w:rsid w:val="36137054"/>
    <w:rsid w:val="36163BA0"/>
    <w:rsid w:val="36211A7C"/>
    <w:rsid w:val="36235FA8"/>
    <w:rsid w:val="36300D7A"/>
    <w:rsid w:val="363B2715"/>
    <w:rsid w:val="36452C67"/>
    <w:rsid w:val="366E559B"/>
    <w:rsid w:val="36873BAC"/>
    <w:rsid w:val="369172CC"/>
    <w:rsid w:val="36AC306F"/>
    <w:rsid w:val="37092813"/>
    <w:rsid w:val="37113475"/>
    <w:rsid w:val="37347506"/>
    <w:rsid w:val="37396FB3"/>
    <w:rsid w:val="375A541D"/>
    <w:rsid w:val="375D542A"/>
    <w:rsid w:val="37623CD1"/>
    <w:rsid w:val="377D52D1"/>
    <w:rsid w:val="37927D35"/>
    <w:rsid w:val="379A16BD"/>
    <w:rsid w:val="37C153EF"/>
    <w:rsid w:val="37C266E3"/>
    <w:rsid w:val="37C404E8"/>
    <w:rsid w:val="37D741FA"/>
    <w:rsid w:val="37DB75CC"/>
    <w:rsid w:val="37E172EC"/>
    <w:rsid w:val="38601D2E"/>
    <w:rsid w:val="38714C79"/>
    <w:rsid w:val="38720975"/>
    <w:rsid w:val="389D2AC0"/>
    <w:rsid w:val="38E273AD"/>
    <w:rsid w:val="38FC04A6"/>
    <w:rsid w:val="39093A3B"/>
    <w:rsid w:val="39390540"/>
    <w:rsid w:val="39494EF3"/>
    <w:rsid w:val="395C4490"/>
    <w:rsid w:val="39831FD2"/>
    <w:rsid w:val="39842625"/>
    <w:rsid w:val="39842A76"/>
    <w:rsid w:val="3989244F"/>
    <w:rsid w:val="399E31E1"/>
    <w:rsid w:val="39B51703"/>
    <w:rsid w:val="39D911BC"/>
    <w:rsid w:val="3A5164BC"/>
    <w:rsid w:val="3A57018C"/>
    <w:rsid w:val="3A5D078A"/>
    <w:rsid w:val="3A824DB6"/>
    <w:rsid w:val="3A9634A6"/>
    <w:rsid w:val="3A9A3B40"/>
    <w:rsid w:val="3AA96BF6"/>
    <w:rsid w:val="3ABC1201"/>
    <w:rsid w:val="3AE25E9F"/>
    <w:rsid w:val="3AEE244B"/>
    <w:rsid w:val="3AF020D7"/>
    <w:rsid w:val="3B2245D8"/>
    <w:rsid w:val="3B2B1C89"/>
    <w:rsid w:val="3B36615A"/>
    <w:rsid w:val="3B3A1CDA"/>
    <w:rsid w:val="3B7010B2"/>
    <w:rsid w:val="3B795A08"/>
    <w:rsid w:val="3BA64E48"/>
    <w:rsid w:val="3BF60DBF"/>
    <w:rsid w:val="3C0351E9"/>
    <w:rsid w:val="3C041501"/>
    <w:rsid w:val="3C086E64"/>
    <w:rsid w:val="3C0A22B0"/>
    <w:rsid w:val="3C5E53AF"/>
    <w:rsid w:val="3C5F072D"/>
    <w:rsid w:val="3C905DA4"/>
    <w:rsid w:val="3C9B379B"/>
    <w:rsid w:val="3CC259A3"/>
    <w:rsid w:val="3CD16378"/>
    <w:rsid w:val="3CD94962"/>
    <w:rsid w:val="3CE67AD7"/>
    <w:rsid w:val="3D022587"/>
    <w:rsid w:val="3D113CCD"/>
    <w:rsid w:val="3D1B6DFC"/>
    <w:rsid w:val="3D2751A0"/>
    <w:rsid w:val="3D541D67"/>
    <w:rsid w:val="3D9B387B"/>
    <w:rsid w:val="3DBF5224"/>
    <w:rsid w:val="3DE819CF"/>
    <w:rsid w:val="3E112F1D"/>
    <w:rsid w:val="3E4D21BD"/>
    <w:rsid w:val="3E5B1820"/>
    <w:rsid w:val="3E681ED1"/>
    <w:rsid w:val="3E742C68"/>
    <w:rsid w:val="3E742D5E"/>
    <w:rsid w:val="3E846C23"/>
    <w:rsid w:val="3E8D7A68"/>
    <w:rsid w:val="3E9B4698"/>
    <w:rsid w:val="3EE555BC"/>
    <w:rsid w:val="3F0248B1"/>
    <w:rsid w:val="3F0D5C29"/>
    <w:rsid w:val="3F134477"/>
    <w:rsid w:val="3F1461F9"/>
    <w:rsid w:val="3F2355D5"/>
    <w:rsid w:val="3F2A6B8A"/>
    <w:rsid w:val="3F3769E2"/>
    <w:rsid w:val="3F5860E5"/>
    <w:rsid w:val="3F756732"/>
    <w:rsid w:val="3F7A0DB5"/>
    <w:rsid w:val="3F975B06"/>
    <w:rsid w:val="3FA0183A"/>
    <w:rsid w:val="3FBB0422"/>
    <w:rsid w:val="3FC47410"/>
    <w:rsid w:val="3FCE63A8"/>
    <w:rsid w:val="3FD15E98"/>
    <w:rsid w:val="3FF37F5F"/>
    <w:rsid w:val="4024246B"/>
    <w:rsid w:val="40262028"/>
    <w:rsid w:val="4027263F"/>
    <w:rsid w:val="404D0361"/>
    <w:rsid w:val="40A37882"/>
    <w:rsid w:val="40BB2989"/>
    <w:rsid w:val="40CC6F08"/>
    <w:rsid w:val="40D874E7"/>
    <w:rsid w:val="40E059CC"/>
    <w:rsid w:val="412451CB"/>
    <w:rsid w:val="41263FC1"/>
    <w:rsid w:val="41432DC5"/>
    <w:rsid w:val="41467736"/>
    <w:rsid w:val="415465D0"/>
    <w:rsid w:val="41687246"/>
    <w:rsid w:val="4199136D"/>
    <w:rsid w:val="41A6150B"/>
    <w:rsid w:val="41C43190"/>
    <w:rsid w:val="41ED3DA8"/>
    <w:rsid w:val="42072045"/>
    <w:rsid w:val="4210628A"/>
    <w:rsid w:val="42172CCD"/>
    <w:rsid w:val="42173CC4"/>
    <w:rsid w:val="42312C1E"/>
    <w:rsid w:val="423842DC"/>
    <w:rsid w:val="42432048"/>
    <w:rsid w:val="42675EAA"/>
    <w:rsid w:val="427F15B6"/>
    <w:rsid w:val="42E7631F"/>
    <w:rsid w:val="42ED6B89"/>
    <w:rsid w:val="42EF1E74"/>
    <w:rsid w:val="42FF7AA7"/>
    <w:rsid w:val="43385D97"/>
    <w:rsid w:val="436F5C5F"/>
    <w:rsid w:val="43742FF6"/>
    <w:rsid w:val="43792ACE"/>
    <w:rsid w:val="4386581E"/>
    <w:rsid w:val="438F40A0"/>
    <w:rsid w:val="439A775B"/>
    <w:rsid w:val="43A40EF7"/>
    <w:rsid w:val="43A82CFD"/>
    <w:rsid w:val="43B8616C"/>
    <w:rsid w:val="43D37981"/>
    <w:rsid w:val="43D7752D"/>
    <w:rsid w:val="44040A34"/>
    <w:rsid w:val="44081317"/>
    <w:rsid w:val="44093D0A"/>
    <w:rsid w:val="44101448"/>
    <w:rsid w:val="44324AAC"/>
    <w:rsid w:val="44336F6D"/>
    <w:rsid w:val="443A5FDA"/>
    <w:rsid w:val="444D79C0"/>
    <w:rsid w:val="44557097"/>
    <w:rsid w:val="446F4F88"/>
    <w:rsid w:val="44833636"/>
    <w:rsid w:val="44881ABC"/>
    <w:rsid w:val="449F47B6"/>
    <w:rsid w:val="44A34DEE"/>
    <w:rsid w:val="44E65F41"/>
    <w:rsid w:val="451773D3"/>
    <w:rsid w:val="45261583"/>
    <w:rsid w:val="4539469B"/>
    <w:rsid w:val="455820AF"/>
    <w:rsid w:val="457F2156"/>
    <w:rsid w:val="45B977CD"/>
    <w:rsid w:val="4601250B"/>
    <w:rsid w:val="461749A9"/>
    <w:rsid w:val="467A003D"/>
    <w:rsid w:val="469B543E"/>
    <w:rsid w:val="46BA0654"/>
    <w:rsid w:val="46D1623A"/>
    <w:rsid w:val="46FC37FA"/>
    <w:rsid w:val="470F01CF"/>
    <w:rsid w:val="47373560"/>
    <w:rsid w:val="473F3F23"/>
    <w:rsid w:val="47596323"/>
    <w:rsid w:val="476340CD"/>
    <w:rsid w:val="476406EA"/>
    <w:rsid w:val="477F7043"/>
    <w:rsid w:val="47927915"/>
    <w:rsid w:val="479624D8"/>
    <w:rsid w:val="47B20B32"/>
    <w:rsid w:val="47BB771E"/>
    <w:rsid w:val="47FE1A21"/>
    <w:rsid w:val="481C78A1"/>
    <w:rsid w:val="483C3974"/>
    <w:rsid w:val="484C5DA8"/>
    <w:rsid w:val="485D478B"/>
    <w:rsid w:val="488541B3"/>
    <w:rsid w:val="48921D4C"/>
    <w:rsid w:val="48A759E8"/>
    <w:rsid w:val="48F34EB8"/>
    <w:rsid w:val="48F72A0A"/>
    <w:rsid w:val="490740CA"/>
    <w:rsid w:val="49313918"/>
    <w:rsid w:val="49427E45"/>
    <w:rsid w:val="49792F7F"/>
    <w:rsid w:val="4991041A"/>
    <w:rsid w:val="49AD702E"/>
    <w:rsid w:val="49BA799D"/>
    <w:rsid w:val="49BB75F9"/>
    <w:rsid w:val="49BD5C30"/>
    <w:rsid w:val="4A036DC8"/>
    <w:rsid w:val="4A184458"/>
    <w:rsid w:val="4A1F0E27"/>
    <w:rsid w:val="4A2536F3"/>
    <w:rsid w:val="4A505DEC"/>
    <w:rsid w:val="4A547680"/>
    <w:rsid w:val="4A590573"/>
    <w:rsid w:val="4A5F7F6F"/>
    <w:rsid w:val="4A661EF5"/>
    <w:rsid w:val="4A742439"/>
    <w:rsid w:val="4A78588E"/>
    <w:rsid w:val="4A8D3CAB"/>
    <w:rsid w:val="4AA541A9"/>
    <w:rsid w:val="4AA660DE"/>
    <w:rsid w:val="4AD06B0A"/>
    <w:rsid w:val="4AF85999"/>
    <w:rsid w:val="4AFD5D93"/>
    <w:rsid w:val="4B182DB3"/>
    <w:rsid w:val="4B1D59F9"/>
    <w:rsid w:val="4B1F0883"/>
    <w:rsid w:val="4B241572"/>
    <w:rsid w:val="4B242C26"/>
    <w:rsid w:val="4B2E03C9"/>
    <w:rsid w:val="4B386E4A"/>
    <w:rsid w:val="4B4C5B5B"/>
    <w:rsid w:val="4B683B54"/>
    <w:rsid w:val="4B7A5635"/>
    <w:rsid w:val="4B8A27CA"/>
    <w:rsid w:val="4BA57729"/>
    <w:rsid w:val="4BD56D10"/>
    <w:rsid w:val="4BE13907"/>
    <w:rsid w:val="4BFB49C8"/>
    <w:rsid w:val="4C002082"/>
    <w:rsid w:val="4C120EB2"/>
    <w:rsid w:val="4C150D79"/>
    <w:rsid w:val="4C3650F6"/>
    <w:rsid w:val="4C742110"/>
    <w:rsid w:val="4CA35C7B"/>
    <w:rsid w:val="4CC62135"/>
    <w:rsid w:val="4CC733A4"/>
    <w:rsid w:val="4CE96A58"/>
    <w:rsid w:val="4CF63CD2"/>
    <w:rsid w:val="4D5974BC"/>
    <w:rsid w:val="4DCD4142"/>
    <w:rsid w:val="4DDB096F"/>
    <w:rsid w:val="4DFE3C1C"/>
    <w:rsid w:val="4E100988"/>
    <w:rsid w:val="4E291FA1"/>
    <w:rsid w:val="4E3E5C52"/>
    <w:rsid w:val="4E4B40B1"/>
    <w:rsid w:val="4E510E9A"/>
    <w:rsid w:val="4E597982"/>
    <w:rsid w:val="4E66219E"/>
    <w:rsid w:val="4E82163C"/>
    <w:rsid w:val="4E8B79A0"/>
    <w:rsid w:val="4E8D65BD"/>
    <w:rsid w:val="4E9D52AA"/>
    <w:rsid w:val="4E9E7258"/>
    <w:rsid w:val="4EA2063A"/>
    <w:rsid w:val="4EA74993"/>
    <w:rsid w:val="4EA918C6"/>
    <w:rsid w:val="4EB54F53"/>
    <w:rsid w:val="4EB7000C"/>
    <w:rsid w:val="4EDE5EDB"/>
    <w:rsid w:val="4EF0501D"/>
    <w:rsid w:val="4EF1447A"/>
    <w:rsid w:val="4EF30828"/>
    <w:rsid w:val="4F00408C"/>
    <w:rsid w:val="4F025B73"/>
    <w:rsid w:val="4F0F14A5"/>
    <w:rsid w:val="4F1000D7"/>
    <w:rsid w:val="4F113196"/>
    <w:rsid w:val="4F1E572A"/>
    <w:rsid w:val="4F2941E7"/>
    <w:rsid w:val="4F3D2C02"/>
    <w:rsid w:val="4F3E6AAD"/>
    <w:rsid w:val="4F4909E0"/>
    <w:rsid w:val="4F5017AE"/>
    <w:rsid w:val="4F506133"/>
    <w:rsid w:val="4F772F8D"/>
    <w:rsid w:val="4F786330"/>
    <w:rsid w:val="4F820F5D"/>
    <w:rsid w:val="4FD757A4"/>
    <w:rsid w:val="4FF161A0"/>
    <w:rsid w:val="4FFB5253"/>
    <w:rsid w:val="500B79B6"/>
    <w:rsid w:val="50104874"/>
    <w:rsid w:val="506313FE"/>
    <w:rsid w:val="50852506"/>
    <w:rsid w:val="508825A3"/>
    <w:rsid w:val="508A6EE9"/>
    <w:rsid w:val="50961E20"/>
    <w:rsid w:val="509F2B7A"/>
    <w:rsid w:val="50A8054F"/>
    <w:rsid w:val="50CB3167"/>
    <w:rsid w:val="50E023DF"/>
    <w:rsid w:val="50E0418D"/>
    <w:rsid w:val="50ED0DC5"/>
    <w:rsid w:val="50F7221D"/>
    <w:rsid w:val="51037E7B"/>
    <w:rsid w:val="512105ED"/>
    <w:rsid w:val="513B5867"/>
    <w:rsid w:val="5176064D"/>
    <w:rsid w:val="518C02B5"/>
    <w:rsid w:val="519C5126"/>
    <w:rsid w:val="51A44A8F"/>
    <w:rsid w:val="51A451BA"/>
    <w:rsid w:val="51AC28BD"/>
    <w:rsid w:val="51D41875"/>
    <w:rsid w:val="51F167D1"/>
    <w:rsid w:val="51F65A0C"/>
    <w:rsid w:val="527F4305"/>
    <w:rsid w:val="52943481"/>
    <w:rsid w:val="531C3AE2"/>
    <w:rsid w:val="53534747"/>
    <w:rsid w:val="53810D50"/>
    <w:rsid w:val="538434F5"/>
    <w:rsid w:val="53862A55"/>
    <w:rsid w:val="53AF7E46"/>
    <w:rsid w:val="53E57C39"/>
    <w:rsid w:val="53EE11A8"/>
    <w:rsid w:val="53F1045F"/>
    <w:rsid w:val="53FA4930"/>
    <w:rsid w:val="53FF77F9"/>
    <w:rsid w:val="541234C2"/>
    <w:rsid w:val="541A254C"/>
    <w:rsid w:val="541B1A78"/>
    <w:rsid w:val="543129C0"/>
    <w:rsid w:val="544E053E"/>
    <w:rsid w:val="54533DB4"/>
    <w:rsid w:val="54865867"/>
    <w:rsid w:val="54A159E1"/>
    <w:rsid w:val="54C02C02"/>
    <w:rsid w:val="54CC6072"/>
    <w:rsid w:val="54CF3237"/>
    <w:rsid w:val="54FA539D"/>
    <w:rsid w:val="550D4681"/>
    <w:rsid w:val="552A58C5"/>
    <w:rsid w:val="552F7491"/>
    <w:rsid w:val="555D5DAC"/>
    <w:rsid w:val="556A4D08"/>
    <w:rsid w:val="557C6C33"/>
    <w:rsid w:val="558D5262"/>
    <w:rsid w:val="55CE1658"/>
    <w:rsid w:val="561F5757"/>
    <w:rsid w:val="565C6EDC"/>
    <w:rsid w:val="56850431"/>
    <w:rsid w:val="568561CB"/>
    <w:rsid w:val="56982E14"/>
    <w:rsid w:val="56A35C30"/>
    <w:rsid w:val="56A81757"/>
    <w:rsid w:val="56B21E73"/>
    <w:rsid w:val="56E5520D"/>
    <w:rsid w:val="56FF7082"/>
    <w:rsid w:val="57090160"/>
    <w:rsid w:val="57263425"/>
    <w:rsid w:val="572D264C"/>
    <w:rsid w:val="572E6CA1"/>
    <w:rsid w:val="574A05B2"/>
    <w:rsid w:val="574C257C"/>
    <w:rsid w:val="57647AE6"/>
    <w:rsid w:val="579E08FE"/>
    <w:rsid w:val="57B84247"/>
    <w:rsid w:val="57B91D2E"/>
    <w:rsid w:val="57DC6A9F"/>
    <w:rsid w:val="57E2583D"/>
    <w:rsid w:val="57ED0CFE"/>
    <w:rsid w:val="57EF4D55"/>
    <w:rsid w:val="57F25C81"/>
    <w:rsid w:val="5843720B"/>
    <w:rsid w:val="586438F5"/>
    <w:rsid w:val="586A51E1"/>
    <w:rsid w:val="589F66DB"/>
    <w:rsid w:val="58C92E19"/>
    <w:rsid w:val="58E5779F"/>
    <w:rsid w:val="58EB0962"/>
    <w:rsid w:val="58F509F1"/>
    <w:rsid w:val="58FB210A"/>
    <w:rsid w:val="59130C43"/>
    <w:rsid w:val="592C1800"/>
    <w:rsid w:val="59DD395F"/>
    <w:rsid w:val="59E44712"/>
    <w:rsid w:val="5A307F33"/>
    <w:rsid w:val="5A3648D5"/>
    <w:rsid w:val="5A3A33B4"/>
    <w:rsid w:val="5A41255B"/>
    <w:rsid w:val="5A551A1D"/>
    <w:rsid w:val="5A56726E"/>
    <w:rsid w:val="5A5C200A"/>
    <w:rsid w:val="5A6D2653"/>
    <w:rsid w:val="5A8722E6"/>
    <w:rsid w:val="5ABA5A4E"/>
    <w:rsid w:val="5AC41C0D"/>
    <w:rsid w:val="5AC421F2"/>
    <w:rsid w:val="5B00443C"/>
    <w:rsid w:val="5B077848"/>
    <w:rsid w:val="5B2F1F99"/>
    <w:rsid w:val="5B342265"/>
    <w:rsid w:val="5B545946"/>
    <w:rsid w:val="5B660AA3"/>
    <w:rsid w:val="5B8A28A0"/>
    <w:rsid w:val="5BC56459"/>
    <w:rsid w:val="5BE33B13"/>
    <w:rsid w:val="5C180C7F"/>
    <w:rsid w:val="5C340470"/>
    <w:rsid w:val="5C480E38"/>
    <w:rsid w:val="5C4B42AB"/>
    <w:rsid w:val="5C7F6683"/>
    <w:rsid w:val="5C863872"/>
    <w:rsid w:val="5CA937FE"/>
    <w:rsid w:val="5CAA58D9"/>
    <w:rsid w:val="5CAF56F3"/>
    <w:rsid w:val="5CB441CB"/>
    <w:rsid w:val="5CBA060D"/>
    <w:rsid w:val="5CC06E70"/>
    <w:rsid w:val="5CD425C3"/>
    <w:rsid w:val="5D017685"/>
    <w:rsid w:val="5D085ADE"/>
    <w:rsid w:val="5D1035CD"/>
    <w:rsid w:val="5D177EBA"/>
    <w:rsid w:val="5D303DA6"/>
    <w:rsid w:val="5D3202F1"/>
    <w:rsid w:val="5D3E4715"/>
    <w:rsid w:val="5D626D26"/>
    <w:rsid w:val="5D9E3A1E"/>
    <w:rsid w:val="5DBBCF93"/>
    <w:rsid w:val="5DDD6D3D"/>
    <w:rsid w:val="5DF6234C"/>
    <w:rsid w:val="5DFF541A"/>
    <w:rsid w:val="5E0F16A1"/>
    <w:rsid w:val="5E134924"/>
    <w:rsid w:val="5E156F6E"/>
    <w:rsid w:val="5E1C1AA0"/>
    <w:rsid w:val="5E280F21"/>
    <w:rsid w:val="5E2B2493"/>
    <w:rsid w:val="5E440D6A"/>
    <w:rsid w:val="5E591595"/>
    <w:rsid w:val="5E914D18"/>
    <w:rsid w:val="5EB71943"/>
    <w:rsid w:val="5EFE251A"/>
    <w:rsid w:val="5F06054F"/>
    <w:rsid w:val="5F1576F7"/>
    <w:rsid w:val="5F281A42"/>
    <w:rsid w:val="5F4973A1"/>
    <w:rsid w:val="5F52487E"/>
    <w:rsid w:val="5F573FD0"/>
    <w:rsid w:val="5F575A87"/>
    <w:rsid w:val="5F664251"/>
    <w:rsid w:val="5F922828"/>
    <w:rsid w:val="5F9A443E"/>
    <w:rsid w:val="5F9B2CD7"/>
    <w:rsid w:val="5FB52E7F"/>
    <w:rsid w:val="5FBA4229"/>
    <w:rsid w:val="5FC048C0"/>
    <w:rsid w:val="5FD17AC3"/>
    <w:rsid w:val="5FEB51DB"/>
    <w:rsid w:val="60013711"/>
    <w:rsid w:val="601153F3"/>
    <w:rsid w:val="60151F2C"/>
    <w:rsid w:val="603B13E0"/>
    <w:rsid w:val="603B4F3C"/>
    <w:rsid w:val="604144EB"/>
    <w:rsid w:val="6047168E"/>
    <w:rsid w:val="60572451"/>
    <w:rsid w:val="60580134"/>
    <w:rsid w:val="60B44CEE"/>
    <w:rsid w:val="60B606FF"/>
    <w:rsid w:val="60B66B98"/>
    <w:rsid w:val="61036B21"/>
    <w:rsid w:val="61062C2A"/>
    <w:rsid w:val="610B4DCF"/>
    <w:rsid w:val="611A0DE6"/>
    <w:rsid w:val="612D338E"/>
    <w:rsid w:val="614442C4"/>
    <w:rsid w:val="61500EBB"/>
    <w:rsid w:val="617321A2"/>
    <w:rsid w:val="61852409"/>
    <w:rsid w:val="618D3A9D"/>
    <w:rsid w:val="61CC387D"/>
    <w:rsid w:val="61D23E2B"/>
    <w:rsid w:val="61F00CD9"/>
    <w:rsid w:val="61F437B6"/>
    <w:rsid w:val="62277EFE"/>
    <w:rsid w:val="622E1327"/>
    <w:rsid w:val="62353C0D"/>
    <w:rsid w:val="627162D8"/>
    <w:rsid w:val="62773570"/>
    <w:rsid w:val="629A0D1F"/>
    <w:rsid w:val="629B66CB"/>
    <w:rsid w:val="62D47AD0"/>
    <w:rsid w:val="62E67195"/>
    <w:rsid w:val="630948C9"/>
    <w:rsid w:val="630C4708"/>
    <w:rsid w:val="631F646C"/>
    <w:rsid w:val="63647DBE"/>
    <w:rsid w:val="63695CF9"/>
    <w:rsid w:val="636A472B"/>
    <w:rsid w:val="63773952"/>
    <w:rsid w:val="637E52E4"/>
    <w:rsid w:val="63CD3D1A"/>
    <w:rsid w:val="63E10D87"/>
    <w:rsid w:val="63E16D8F"/>
    <w:rsid w:val="63ED1FB3"/>
    <w:rsid w:val="63FD54DE"/>
    <w:rsid w:val="640B2D60"/>
    <w:rsid w:val="641F4B74"/>
    <w:rsid w:val="642110FE"/>
    <w:rsid w:val="64341AE3"/>
    <w:rsid w:val="646D53D2"/>
    <w:rsid w:val="646E4975"/>
    <w:rsid w:val="646F49D6"/>
    <w:rsid w:val="64733867"/>
    <w:rsid w:val="64746C6E"/>
    <w:rsid w:val="647749B0"/>
    <w:rsid w:val="6483634F"/>
    <w:rsid w:val="64907739"/>
    <w:rsid w:val="64B11C70"/>
    <w:rsid w:val="64D11CF7"/>
    <w:rsid w:val="64DB6A67"/>
    <w:rsid w:val="64F2051A"/>
    <w:rsid w:val="65473E6E"/>
    <w:rsid w:val="656144B9"/>
    <w:rsid w:val="65D64F40"/>
    <w:rsid w:val="65E62587"/>
    <w:rsid w:val="661564DE"/>
    <w:rsid w:val="663C14E4"/>
    <w:rsid w:val="66474495"/>
    <w:rsid w:val="664F7993"/>
    <w:rsid w:val="66683D7F"/>
    <w:rsid w:val="66734EDB"/>
    <w:rsid w:val="66996E60"/>
    <w:rsid w:val="66A0554B"/>
    <w:rsid w:val="66A7157D"/>
    <w:rsid w:val="66CD08B8"/>
    <w:rsid w:val="66EC0518"/>
    <w:rsid w:val="66F70F1E"/>
    <w:rsid w:val="670B093D"/>
    <w:rsid w:val="67194FF2"/>
    <w:rsid w:val="671C75E6"/>
    <w:rsid w:val="672B05C2"/>
    <w:rsid w:val="673834AB"/>
    <w:rsid w:val="67754E42"/>
    <w:rsid w:val="67863689"/>
    <w:rsid w:val="679A7D0A"/>
    <w:rsid w:val="67A12696"/>
    <w:rsid w:val="67AD4391"/>
    <w:rsid w:val="67AE06E9"/>
    <w:rsid w:val="67D344AF"/>
    <w:rsid w:val="681662CF"/>
    <w:rsid w:val="682506C6"/>
    <w:rsid w:val="682707ED"/>
    <w:rsid w:val="68526861"/>
    <w:rsid w:val="68854C32"/>
    <w:rsid w:val="68866C37"/>
    <w:rsid w:val="688B7648"/>
    <w:rsid w:val="68D20F6B"/>
    <w:rsid w:val="68DB0150"/>
    <w:rsid w:val="68ED184B"/>
    <w:rsid w:val="68FC2A69"/>
    <w:rsid w:val="690D6404"/>
    <w:rsid w:val="69216740"/>
    <w:rsid w:val="692F585A"/>
    <w:rsid w:val="693E1763"/>
    <w:rsid w:val="694D5CE0"/>
    <w:rsid w:val="69766FE4"/>
    <w:rsid w:val="697F233D"/>
    <w:rsid w:val="69CB37D4"/>
    <w:rsid w:val="69DB648F"/>
    <w:rsid w:val="69DF72E2"/>
    <w:rsid w:val="69E44896"/>
    <w:rsid w:val="69F4174F"/>
    <w:rsid w:val="6A091BC1"/>
    <w:rsid w:val="6A115082"/>
    <w:rsid w:val="6A164324"/>
    <w:rsid w:val="6A632B7A"/>
    <w:rsid w:val="6A6E4160"/>
    <w:rsid w:val="6A9E76A0"/>
    <w:rsid w:val="6AA02886"/>
    <w:rsid w:val="6AB0157A"/>
    <w:rsid w:val="6AD22940"/>
    <w:rsid w:val="6AEE03F6"/>
    <w:rsid w:val="6AF9611F"/>
    <w:rsid w:val="6B0074AE"/>
    <w:rsid w:val="6B2C0063"/>
    <w:rsid w:val="6B347AE9"/>
    <w:rsid w:val="6B361121"/>
    <w:rsid w:val="6B446ECE"/>
    <w:rsid w:val="6B453ED7"/>
    <w:rsid w:val="6B742BE5"/>
    <w:rsid w:val="6B75168F"/>
    <w:rsid w:val="6BB72149"/>
    <w:rsid w:val="6BBB1C1F"/>
    <w:rsid w:val="6BCD41BF"/>
    <w:rsid w:val="6BD71A16"/>
    <w:rsid w:val="6BE37C9E"/>
    <w:rsid w:val="6BEF814C"/>
    <w:rsid w:val="6BF8127E"/>
    <w:rsid w:val="6BF94C06"/>
    <w:rsid w:val="6C280E8B"/>
    <w:rsid w:val="6C4062D0"/>
    <w:rsid w:val="6C73229B"/>
    <w:rsid w:val="6C735589"/>
    <w:rsid w:val="6C7C1CA8"/>
    <w:rsid w:val="6CEF77DA"/>
    <w:rsid w:val="6D035033"/>
    <w:rsid w:val="6D06067F"/>
    <w:rsid w:val="6D1831B6"/>
    <w:rsid w:val="6D1F0BCB"/>
    <w:rsid w:val="6D283CDB"/>
    <w:rsid w:val="6D50387C"/>
    <w:rsid w:val="6D556B28"/>
    <w:rsid w:val="6D747CDF"/>
    <w:rsid w:val="6DC40DC0"/>
    <w:rsid w:val="6DCA69DB"/>
    <w:rsid w:val="6DD26C92"/>
    <w:rsid w:val="6DF36EF3"/>
    <w:rsid w:val="6E195ACC"/>
    <w:rsid w:val="6E31185D"/>
    <w:rsid w:val="6E3720AC"/>
    <w:rsid w:val="6E502008"/>
    <w:rsid w:val="6E5722FA"/>
    <w:rsid w:val="6E5E4290"/>
    <w:rsid w:val="6E6337C7"/>
    <w:rsid w:val="6E7B7ECD"/>
    <w:rsid w:val="6E940155"/>
    <w:rsid w:val="6E9F6057"/>
    <w:rsid w:val="6EC77561"/>
    <w:rsid w:val="6ECC5842"/>
    <w:rsid w:val="6EDD18B4"/>
    <w:rsid w:val="6EE12BC8"/>
    <w:rsid w:val="6F0341E4"/>
    <w:rsid w:val="6F100CCB"/>
    <w:rsid w:val="6F157FAB"/>
    <w:rsid w:val="6F241291"/>
    <w:rsid w:val="6F3A412A"/>
    <w:rsid w:val="6F3E4128"/>
    <w:rsid w:val="6F402B03"/>
    <w:rsid w:val="6F697982"/>
    <w:rsid w:val="6F770F90"/>
    <w:rsid w:val="6FDA1C55"/>
    <w:rsid w:val="6FEF2B38"/>
    <w:rsid w:val="70076AF3"/>
    <w:rsid w:val="700C2451"/>
    <w:rsid w:val="701352A5"/>
    <w:rsid w:val="702C2AF3"/>
    <w:rsid w:val="70365754"/>
    <w:rsid w:val="7045482E"/>
    <w:rsid w:val="7055375F"/>
    <w:rsid w:val="70805EA6"/>
    <w:rsid w:val="70822FF5"/>
    <w:rsid w:val="708F339A"/>
    <w:rsid w:val="70C1323B"/>
    <w:rsid w:val="70CD0F18"/>
    <w:rsid w:val="70DF7B65"/>
    <w:rsid w:val="70F133F4"/>
    <w:rsid w:val="70FD18A0"/>
    <w:rsid w:val="71244F6F"/>
    <w:rsid w:val="713779A1"/>
    <w:rsid w:val="71443DB0"/>
    <w:rsid w:val="7148570A"/>
    <w:rsid w:val="717D3A35"/>
    <w:rsid w:val="718C50BE"/>
    <w:rsid w:val="71B940DF"/>
    <w:rsid w:val="71BA4FF2"/>
    <w:rsid w:val="71CB1E97"/>
    <w:rsid w:val="71D12574"/>
    <w:rsid w:val="71F10269"/>
    <w:rsid w:val="71F96A05"/>
    <w:rsid w:val="71FC0ABF"/>
    <w:rsid w:val="721B3607"/>
    <w:rsid w:val="722F7E37"/>
    <w:rsid w:val="72444124"/>
    <w:rsid w:val="727129C9"/>
    <w:rsid w:val="72777349"/>
    <w:rsid w:val="72780F03"/>
    <w:rsid w:val="728917E1"/>
    <w:rsid w:val="729D3834"/>
    <w:rsid w:val="72AB3B88"/>
    <w:rsid w:val="72AC7F1B"/>
    <w:rsid w:val="72BE4F86"/>
    <w:rsid w:val="72E37D41"/>
    <w:rsid w:val="72E651DB"/>
    <w:rsid w:val="72F2151C"/>
    <w:rsid w:val="72F8534E"/>
    <w:rsid w:val="72FD0776"/>
    <w:rsid w:val="73026DD2"/>
    <w:rsid w:val="730E4732"/>
    <w:rsid w:val="73152B17"/>
    <w:rsid w:val="73337CF4"/>
    <w:rsid w:val="733901DE"/>
    <w:rsid w:val="7346211D"/>
    <w:rsid w:val="73790728"/>
    <w:rsid w:val="737B19DD"/>
    <w:rsid w:val="737D7091"/>
    <w:rsid w:val="738642C8"/>
    <w:rsid w:val="73911760"/>
    <w:rsid w:val="73AA375A"/>
    <w:rsid w:val="73B80D01"/>
    <w:rsid w:val="73CF2113"/>
    <w:rsid w:val="73F30CC8"/>
    <w:rsid w:val="742D577E"/>
    <w:rsid w:val="743055A5"/>
    <w:rsid w:val="7463285B"/>
    <w:rsid w:val="74705328"/>
    <w:rsid w:val="7479217D"/>
    <w:rsid w:val="74B34F32"/>
    <w:rsid w:val="74B36FA7"/>
    <w:rsid w:val="74BB2709"/>
    <w:rsid w:val="74ED01B9"/>
    <w:rsid w:val="752E2E69"/>
    <w:rsid w:val="75350D4F"/>
    <w:rsid w:val="754177ED"/>
    <w:rsid w:val="755051BF"/>
    <w:rsid w:val="757C6739"/>
    <w:rsid w:val="75965BBD"/>
    <w:rsid w:val="75B6775D"/>
    <w:rsid w:val="75C01078"/>
    <w:rsid w:val="75EB3783"/>
    <w:rsid w:val="75F23E97"/>
    <w:rsid w:val="762B1559"/>
    <w:rsid w:val="76344C5A"/>
    <w:rsid w:val="763B0F62"/>
    <w:rsid w:val="763D4388"/>
    <w:rsid w:val="764741E2"/>
    <w:rsid w:val="765E67F7"/>
    <w:rsid w:val="766A210A"/>
    <w:rsid w:val="767E3680"/>
    <w:rsid w:val="769746E1"/>
    <w:rsid w:val="769A6D21"/>
    <w:rsid w:val="769C51F5"/>
    <w:rsid w:val="76AD4551"/>
    <w:rsid w:val="76B9092F"/>
    <w:rsid w:val="76C00504"/>
    <w:rsid w:val="76D812DE"/>
    <w:rsid w:val="76F22AD1"/>
    <w:rsid w:val="76FF123C"/>
    <w:rsid w:val="7727580C"/>
    <w:rsid w:val="77732DB5"/>
    <w:rsid w:val="77785E24"/>
    <w:rsid w:val="778755C8"/>
    <w:rsid w:val="77A2369A"/>
    <w:rsid w:val="77AFAEA6"/>
    <w:rsid w:val="77B94222"/>
    <w:rsid w:val="77CA59FC"/>
    <w:rsid w:val="77FB4DDB"/>
    <w:rsid w:val="78013B15"/>
    <w:rsid w:val="78034139"/>
    <w:rsid w:val="7807511E"/>
    <w:rsid w:val="781F70D2"/>
    <w:rsid w:val="78210C3F"/>
    <w:rsid w:val="783562BD"/>
    <w:rsid w:val="78434506"/>
    <w:rsid w:val="787768D5"/>
    <w:rsid w:val="78CC09CF"/>
    <w:rsid w:val="78DA7D57"/>
    <w:rsid w:val="78EF46BD"/>
    <w:rsid w:val="78FF1C3B"/>
    <w:rsid w:val="78FF29C9"/>
    <w:rsid w:val="792F78BD"/>
    <w:rsid w:val="79303645"/>
    <w:rsid w:val="794E3ADA"/>
    <w:rsid w:val="79786DA9"/>
    <w:rsid w:val="79995234"/>
    <w:rsid w:val="79A87BB6"/>
    <w:rsid w:val="79B73763"/>
    <w:rsid w:val="79CE3B01"/>
    <w:rsid w:val="79E41E76"/>
    <w:rsid w:val="79FF09E2"/>
    <w:rsid w:val="7A0D1F88"/>
    <w:rsid w:val="7A0F7D8E"/>
    <w:rsid w:val="7A2A6E6E"/>
    <w:rsid w:val="7A430E76"/>
    <w:rsid w:val="7A4D3468"/>
    <w:rsid w:val="7A5D2F51"/>
    <w:rsid w:val="7A6D05C9"/>
    <w:rsid w:val="7A7D4CAD"/>
    <w:rsid w:val="7ABF373D"/>
    <w:rsid w:val="7ACA53E2"/>
    <w:rsid w:val="7AD562E3"/>
    <w:rsid w:val="7AE82D4C"/>
    <w:rsid w:val="7AF833DD"/>
    <w:rsid w:val="7B32421F"/>
    <w:rsid w:val="7B3867F0"/>
    <w:rsid w:val="7B5176E2"/>
    <w:rsid w:val="7B5D403E"/>
    <w:rsid w:val="7B7A7C65"/>
    <w:rsid w:val="7B865880"/>
    <w:rsid w:val="7B8B26B3"/>
    <w:rsid w:val="7B8C08E9"/>
    <w:rsid w:val="7B8E4662"/>
    <w:rsid w:val="7B8F74A2"/>
    <w:rsid w:val="7B94222A"/>
    <w:rsid w:val="7BA03F80"/>
    <w:rsid w:val="7BAB6FC2"/>
    <w:rsid w:val="7BEE7B12"/>
    <w:rsid w:val="7BFF0515"/>
    <w:rsid w:val="7C3C287D"/>
    <w:rsid w:val="7C7A4BE6"/>
    <w:rsid w:val="7CB57626"/>
    <w:rsid w:val="7CE2763E"/>
    <w:rsid w:val="7CE64029"/>
    <w:rsid w:val="7CE67966"/>
    <w:rsid w:val="7CFF1D9B"/>
    <w:rsid w:val="7D0445FE"/>
    <w:rsid w:val="7D1943FF"/>
    <w:rsid w:val="7D1961AD"/>
    <w:rsid w:val="7D322A63"/>
    <w:rsid w:val="7D3E2B67"/>
    <w:rsid w:val="7D7E1AD4"/>
    <w:rsid w:val="7D907AAC"/>
    <w:rsid w:val="7D9D708C"/>
    <w:rsid w:val="7DA737B9"/>
    <w:rsid w:val="7DAB151E"/>
    <w:rsid w:val="7DCE6F97"/>
    <w:rsid w:val="7DE36213"/>
    <w:rsid w:val="7DFE5D3A"/>
    <w:rsid w:val="7E0320C6"/>
    <w:rsid w:val="7E2E1B15"/>
    <w:rsid w:val="7E600E29"/>
    <w:rsid w:val="7E9720A7"/>
    <w:rsid w:val="7EAB4E8D"/>
    <w:rsid w:val="7EAC0C61"/>
    <w:rsid w:val="7EB22B96"/>
    <w:rsid w:val="7EBEB1A9"/>
    <w:rsid w:val="7EE5265D"/>
    <w:rsid w:val="7F2621A2"/>
    <w:rsid w:val="7F4A08E4"/>
    <w:rsid w:val="7F5160D2"/>
    <w:rsid w:val="7F5C1B5D"/>
    <w:rsid w:val="7F6276BB"/>
    <w:rsid w:val="7F671451"/>
    <w:rsid w:val="7F731CAD"/>
    <w:rsid w:val="7FA6010D"/>
    <w:rsid w:val="7FAE7080"/>
    <w:rsid w:val="7FCBCF6A"/>
    <w:rsid w:val="7FCD6E26"/>
    <w:rsid w:val="7FF35576"/>
    <w:rsid w:val="7FF5119E"/>
    <w:rsid w:val="C0EEC1F7"/>
    <w:rsid w:val="E3F625FA"/>
    <w:rsid w:val="F7BD8CE7"/>
    <w:rsid w:val="F8EB9FF4"/>
    <w:rsid w:val="F9CEA954"/>
    <w:rsid w:val="FEEDD35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0"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uiPriority="39" w:name="toc 3"/>
    <w:lsdException w:uiPriority="39" w:name="toc 4"/>
    <w:lsdException w:uiPriority="39" w:name="toc 5"/>
    <w:lsdException w:qFormat="1" w:unhideWhenUsed="0" w:uiPriority="0" w:semiHidden="0" w:name="toc 6"/>
    <w:lsdException w:qFormat="1"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iPriority="99" w:semiHidden="0"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iPriority="99"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69"/>
    <w:qFormat/>
    <w:uiPriority w:val="9"/>
    <w:pPr>
      <w:keepNext/>
      <w:keepLines/>
      <w:spacing w:before="340" w:after="330" w:line="578" w:lineRule="auto"/>
      <w:jc w:val="center"/>
      <w:outlineLvl w:val="0"/>
    </w:pPr>
    <w:rPr>
      <w:b/>
      <w:bCs/>
      <w:kern w:val="44"/>
      <w:sz w:val="44"/>
      <w:szCs w:val="44"/>
    </w:rPr>
  </w:style>
  <w:style w:type="paragraph" w:styleId="3">
    <w:name w:val="heading 2"/>
    <w:basedOn w:val="1"/>
    <w:next w:val="1"/>
    <w:link w:val="5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99"/>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70"/>
    <w:qFormat/>
    <w:uiPriority w:val="0"/>
    <w:pPr>
      <w:keepNext/>
      <w:keepLines/>
      <w:spacing w:before="280" w:after="290" w:line="376" w:lineRule="auto"/>
      <w:outlineLvl w:val="3"/>
    </w:pPr>
    <w:rPr>
      <w:rFonts w:ascii="Cambria" w:hAnsi="Cambria" w:cs="黑体"/>
      <w:b/>
      <w:bCs/>
      <w:sz w:val="28"/>
      <w:szCs w:val="28"/>
    </w:rPr>
  </w:style>
  <w:style w:type="paragraph" w:styleId="6">
    <w:name w:val="heading 5"/>
    <w:basedOn w:val="1"/>
    <w:next w:val="1"/>
    <w:link w:val="73"/>
    <w:unhideWhenUsed/>
    <w:qFormat/>
    <w:uiPriority w:val="9"/>
    <w:pPr>
      <w:keepNext/>
      <w:keepLines/>
      <w:spacing w:before="280" w:after="290" w:line="377" w:lineRule="auto"/>
      <w:ind w:left="100" w:leftChars="100"/>
      <w:outlineLvl w:val="4"/>
    </w:pPr>
    <w:rPr>
      <w:b/>
      <w:bCs/>
      <w:sz w:val="28"/>
      <w:szCs w:val="28"/>
    </w:rPr>
  </w:style>
  <w:style w:type="paragraph" w:styleId="7">
    <w:name w:val="heading 6"/>
    <w:basedOn w:val="1"/>
    <w:next w:val="1"/>
    <w:semiHidden/>
    <w:unhideWhenUsed/>
    <w:qFormat/>
    <w:uiPriority w:val="9"/>
    <w:pPr>
      <w:keepNext/>
      <w:keepLines/>
      <w:numPr>
        <w:ilvl w:val="5"/>
        <w:numId w:val="1"/>
      </w:numPr>
      <w:spacing w:line="317" w:lineRule="auto"/>
      <w:outlineLvl w:val="5"/>
    </w:pPr>
    <w:rPr>
      <w:rFonts w:ascii="Arial" w:hAnsi="Arial" w:eastAsia="黑体"/>
      <w:b/>
      <w:sz w:val="24"/>
    </w:rPr>
  </w:style>
  <w:style w:type="paragraph" w:styleId="8">
    <w:name w:val="heading 7"/>
    <w:basedOn w:val="1"/>
    <w:next w:val="1"/>
    <w:semiHidden/>
    <w:unhideWhenUsed/>
    <w:qFormat/>
    <w:uiPriority w:val="9"/>
    <w:pPr>
      <w:keepNext/>
      <w:keepLines/>
      <w:numPr>
        <w:ilvl w:val="6"/>
        <w:numId w:val="2"/>
      </w:numPr>
      <w:spacing w:line="317" w:lineRule="auto"/>
      <w:outlineLvl w:val="6"/>
    </w:pPr>
    <w:rPr>
      <w:b/>
      <w:sz w:val="24"/>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9">
    <w:name w:val="toc 7"/>
    <w:basedOn w:val="1"/>
    <w:next w:val="1"/>
    <w:semiHidden/>
    <w:unhideWhenUsed/>
    <w:qFormat/>
    <w:uiPriority w:val="39"/>
    <w:pPr>
      <w:ind w:left="2520" w:leftChars="1200"/>
    </w:pPr>
  </w:style>
  <w:style w:type="paragraph" w:styleId="10">
    <w:name w:val="List Number"/>
    <w:basedOn w:val="1"/>
    <w:unhideWhenUsed/>
    <w:qFormat/>
    <w:uiPriority w:val="99"/>
    <w:pPr>
      <w:numPr>
        <w:ilvl w:val="0"/>
        <w:numId w:val="3"/>
      </w:numPr>
    </w:pPr>
  </w:style>
  <w:style w:type="paragraph" w:styleId="11">
    <w:name w:val="Normal Indent"/>
    <w:basedOn w:val="1"/>
    <w:qFormat/>
    <w:uiPriority w:val="0"/>
    <w:pPr>
      <w:ind w:firstLine="420"/>
    </w:pPr>
    <w:rPr>
      <w:rFonts w:ascii="宋体" w:hAnsi="宋体"/>
      <w:szCs w:val="20"/>
    </w:rPr>
  </w:style>
  <w:style w:type="paragraph" w:styleId="12">
    <w:name w:val="caption"/>
    <w:basedOn w:val="1"/>
    <w:next w:val="1"/>
    <w:qFormat/>
    <w:uiPriority w:val="0"/>
    <w:rPr>
      <w:rFonts w:ascii="Arial" w:hAnsi="Arial" w:eastAsia="黑体"/>
      <w:kern w:val="0"/>
      <w:sz w:val="20"/>
      <w:szCs w:val="20"/>
    </w:rPr>
  </w:style>
  <w:style w:type="paragraph" w:styleId="13">
    <w:name w:val="Document Map"/>
    <w:basedOn w:val="1"/>
    <w:link w:val="83"/>
    <w:semiHidden/>
    <w:qFormat/>
    <w:uiPriority w:val="99"/>
    <w:pPr>
      <w:shd w:val="clear" w:color="auto" w:fill="000080"/>
      <w:spacing w:line="360" w:lineRule="auto"/>
      <w:ind w:firstLine="200" w:firstLineChars="200"/>
    </w:pPr>
    <w:rPr>
      <w:rFonts w:ascii="Times New Roman" w:hAnsi="Times New Roman"/>
    </w:rPr>
  </w:style>
  <w:style w:type="paragraph" w:styleId="14">
    <w:name w:val="annotation text"/>
    <w:basedOn w:val="1"/>
    <w:link w:val="74"/>
    <w:unhideWhenUsed/>
    <w:qFormat/>
    <w:uiPriority w:val="99"/>
    <w:pPr>
      <w:jc w:val="left"/>
    </w:pPr>
  </w:style>
  <w:style w:type="paragraph" w:styleId="15">
    <w:name w:val="Body Text"/>
    <w:basedOn w:val="1"/>
    <w:next w:val="16"/>
    <w:link w:val="63"/>
    <w:qFormat/>
    <w:uiPriority w:val="99"/>
    <w:pPr>
      <w:spacing w:after="120"/>
    </w:pPr>
    <w:rPr>
      <w:kern w:val="0"/>
      <w:sz w:val="24"/>
    </w:rPr>
  </w:style>
  <w:style w:type="paragraph" w:styleId="16">
    <w:name w:val="Body Text First Indent"/>
    <w:basedOn w:val="15"/>
    <w:link w:val="71"/>
    <w:qFormat/>
    <w:uiPriority w:val="99"/>
    <w:pPr>
      <w:ind w:firstLine="420" w:firstLineChars="100"/>
    </w:pPr>
    <w:rPr>
      <w:rFonts w:cs="黑体"/>
      <w:kern w:val="2"/>
      <w:sz w:val="21"/>
      <w:szCs w:val="22"/>
    </w:rPr>
  </w:style>
  <w:style w:type="paragraph" w:styleId="17">
    <w:name w:val="Body Text Indent"/>
    <w:basedOn w:val="1"/>
    <w:next w:val="18"/>
    <w:qFormat/>
    <w:uiPriority w:val="0"/>
    <w:pPr>
      <w:spacing w:line="200" w:lineRule="exact"/>
      <w:ind w:firstLine="301"/>
    </w:pPr>
    <w:rPr>
      <w:rFonts w:ascii="宋体" w:hAnsi="Courier New"/>
      <w:spacing w:val="-4"/>
      <w:sz w:val="18"/>
      <w:szCs w:val="20"/>
    </w:rPr>
  </w:style>
  <w:style w:type="paragraph" w:styleId="18">
    <w:name w:val="Body Text First Indent 2"/>
    <w:basedOn w:val="17"/>
    <w:next w:val="19"/>
    <w:qFormat/>
    <w:uiPriority w:val="0"/>
    <w:pPr>
      <w:tabs>
        <w:tab w:val="left" w:pos="0"/>
        <w:tab w:val="left" w:pos="1260"/>
        <w:tab w:val="left" w:pos="1365"/>
      </w:tabs>
      <w:ind w:firstLine="420"/>
    </w:pPr>
    <w:rPr>
      <w:rFonts w:ascii="Times New Roman"/>
    </w:rPr>
  </w:style>
  <w:style w:type="paragraph" w:customStyle="1" w:styleId="19">
    <w:name w:val="xl53"/>
    <w:basedOn w:val="1"/>
    <w:next w:val="1"/>
    <w:qFormat/>
    <w:uiPriority w:val="0"/>
    <w:pPr>
      <w:spacing w:before="280" w:after="280" w:line="100" w:lineRule="exact"/>
      <w:jc w:val="center"/>
    </w:pPr>
    <w:rPr>
      <w:b/>
      <w:sz w:val="20"/>
    </w:rPr>
  </w:style>
  <w:style w:type="paragraph" w:styleId="20">
    <w:name w:val="List 2"/>
    <w:basedOn w:val="1"/>
    <w:qFormat/>
    <w:uiPriority w:val="0"/>
    <w:pPr>
      <w:ind w:left="100" w:leftChars="200" w:hanging="200" w:hangingChars="200"/>
    </w:pPr>
  </w:style>
  <w:style w:type="paragraph" w:styleId="21">
    <w:name w:val="Block Text"/>
    <w:basedOn w:val="1"/>
    <w:qFormat/>
    <w:uiPriority w:val="0"/>
    <w:pPr>
      <w:widowControl/>
      <w:spacing w:before="60" w:after="120" w:line="360" w:lineRule="auto"/>
    </w:pPr>
    <w:rPr>
      <w:rFonts w:ascii="Futura Lt BT" w:hAnsi="Futura Lt BT"/>
      <w:kern w:val="0"/>
      <w:sz w:val="20"/>
      <w:szCs w:val="20"/>
      <w:lang w:val="en-GB" w:eastAsia="en-US"/>
    </w:rPr>
  </w:style>
  <w:style w:type="paragraph" w:styleId="22">
    <w:name w:val="Plain Text"/>
    <w:basedOn w:val="1"/>
    <w:next w:val="23"/>
    <w:link w:val="61"/>
    <w:qFormat/>
    <w:uiPriority w:val="99"/>
    <w:rPr>
      <w:rFonts w:ascii="宋体" w:hAnsi="Courier New" w:eastAsia="仿宋_GB2312" w:cstheme="minorBidi"/>
      <w:sz w:val="30"/>
    </w:rPr>
  </w:style>
  <w:style w:type="paragraph" w:styleId="23">
    <w:name w:val="toc 2"/>
    <w:basedOn w:val="1"/>
    <w:next w:val="1"/>
    <w:qFormat/>
    <w:uiPriority w:val="39"/>
    <w:pPr>
      <w:ind w:left="420" w:leftChars="200"/>
    </w:pPr>
    <w:rPr>
      <w:szCs w:val="20"/>
    </w:rPr>
  </w:style>
  <w:style w:type="paragraph" w:styleId="24">
    <w:name w:val="Date"/>
    <w:basedOn w:val="1"/>
    <w:next w:val="1"/>
    <w:link w:val="111"/>
    <w:qFormat/>
    <w:uiPriority w:val="0"/>
    <w:pPr>
      <w:spacing w:line="324" w:lineRule="auto"/>
      <w:ind w:left="100" w:leftChars="2500"/>
    </w:pPr>
    <w:rPr>
      <w:rFonts w:ascii="宋体" w:hAnsi="Times New Roman" w:eastAsia="仿宋_GB2312"/>
      <w:sz w:val="24"/>
      <w:szCs w:val="20"/>
      <w:lang w:val="zh-CN"/>
    </w:rPr>
  </w:style>
  <w:style w:type="paragraph" w:styleId="25">
    <w:name w:val="Body Text Indent 2"/>
    <w:basedOn w:val="1"/>
    <w:link w:val="128"/>
    <w:semiHidden/>
    <w:unhideWhenUsed/>
    <w:qFormat/>
    <w:uiPriority w:val="99"/>
    <w:pPr>
      <w:spacing w:after="120" w:line="480" w:lineRule="auto"/>
      <w:ind w:left="420" w:leftChars="200"/>
    </w:pPr>
  </w:style>
  <w:style w:type="paragraph" w:styleId="26">
    <w:name w:val="Balloon Text"/>
    <w:basedOn w:val="1"/>
    <w:link w:val="65"/>
    <w:unhideWhenUsed/>
    <w:qFormat/>
    <w:uiPriority w:val="99"/>
    <w:rPr>
      <w:sz w:val="18"/>
      <w:szCs w:val="18"/>
    </w:rPr>
  </w:style>
  <w:style w:type="paragraph" w:styleId="27">
    <w:name w:val="footer"/>
    <w:basedOn w:val="1"/>
    <w:link w:val="77"/>
    <w:unhideWhenUsed/>
    <w:qFormat/>
    <w:uiPriority w:val="99"/>
    <w:pPr>
      <w:tabs>
        <w:tab w:val="center" w:pos="4153"/>
        <w:tab w:val="right" w:pos="8306"/>
      </w:tabs>
      <w:snapToGrid w:val="0"/>
      <w:jc w:val="left"/>
    </w:pPr>
    <w:rPr>
      <w:sz w:val="18"/>
      <w:szCs w:val="18"/>
    </w:rPr>
  </w:style>
  <w:style w:type="paragraph" w:styleId="28">
    <w:name w:val="header"/>
    <w:basedOn w:val="1"/>
    <w:link w:val="76"/>
    <w:unhideWhenUsed/>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unhideWhenUsed/>
    <w:qFormat/>
    <w:uiPriority w:val="39"/>
  </w:style>
  <w:style w:type="paragraph" w:styleId="30">
    <w:name w:val="toc 6"/>
    <w:basedOn w:val="1"/>
    <w:next w:val="1"/>
    <w:qFormat/>
    <w:uiPriority w:val="0"/>
    <w:pPr>
      <w:ind w:left="2100" w:leftChars="1000"/>
    </w:pPr>
  </w:style>
  <w:style w:type="paragraph" w:styleId="31">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32">
    <w:name w:val="Body Text 2"/>
    <w:basedOn w:val="1"/>
    <w:qFormat/>
    <w:uiPriority w:val="0"/>
    <w:pPr>
      <w:widowControl/>
      <w:snapToGrid w:val="0"/>
      <w:spacing w:before="50" w:afterLines="50" w:line="400" w:lineRule="exact"/>
      <w:jc w:val="left"/>
    </w:pPr>
    <w:rPr>
      <w:rFonts w:ascii="宋体" w:hAnsi="宋体"/>
      <w:color w:val="000000"/>
      <w:kern w:val="0"/>
      <w:sz w:val="24"/>
    </w:rPr>
  </w:style>
  <w:style w:type="paragraph" w:styleId="33">
    <w:name w:val="HTML Preformatted"/>
    <w:basedOn w:val="1"/>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70" w:lineRule="atLeast"/>
      <w:jc w:val="left"/>
    </w:pPr>
    <w:rPr>
      <w:rFonts w:ascii="Arial" w:hAnsi="Arial"/>
      <w:kern w:val="0"/>
      <w:sz w:val="11"/>
      <w:szCs w:val="11"/>
    </w:rPr>
  </w:style>
  <w:style w:type="paragraph" w:styleId="34">
    <w:name w:val="Normal (Web)"/>
    <w:basedOn w:val="1"/>
    <w:qFormat/>
    <w:uiPriority w:val="99"/>
    <w:pPr>
      <w:spacing w:before="100" w:beforeAutospacing="1" w:after="100" w:afterAutospacing="1"/>
      <w:jc w:val="left"/>
    </w:pPr>
    <w:rPr>
      <w:kern w:val="0"/>
      <w:sz w:val="24"/>
    </w:rPr>
  </w:style>
  <w:style w:type="paragraph" w:styleId="35">
    <w:name w:val="Title"/>
    <w:basedOn w:val="1"/>
    <w:next w:val="1"/>
    <w:qFormat/>
    <w:uiPriority w:val="0"/>
    <w:pPr>
      <w:jc w:val="center"/>
      <w:outlineLvl w:val="0"/>
    </w:pPr>
    <w:rPr>
      <w:rFonts w:ascii="Cambria" w:hAnsi="Cambria"/>
      <w:b/>
      <w:bCs/>
      <w:sz w:val="32"/>
      <w:szCs w:val="32"/>
    </w:rPr>
  </w:style>
  <w:style w:type="paragraph" w:styleId="36">
    <w:name w:val="annotation subject"/>
    <w:basedOn w:val="14"/>
    <w:next w:val="14"/>
    <w:link w:val="75"/>
    <w:unhideWhenUsed/>
    <w:qFormat/>
    <w:uiPriority w:val="99"/>
    <w:rPr>
      <w:b/>
      <w:bCs/>
    </w:rPr>
  </w:style>
  <w:style w:type="table" w:styleId="38">
    <w:name w:val="Table Grid"/>
    <w:basedOn w:val="3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basedOn w:val="39"/>
    <w:qFormat/>
    <w:uiPriority w:val="0"/>
  </w:style>
  <w:style w:type="character" w:styleId="41">
    <w:name w:val="page number"/>
    <w:qFormat/>
    <w:uiPriority w:val="0"/>
    <w:rPr>
      <w:rFonts w:cs="Times New Roman"/>
    </w:rPr>
  </w:style>
  <w:style w:type="character" w:styleId="42">
    <w:name w:val="FollowedHyperlink"/>
    <w:basedOn w:val="39"/>
    <w:unhideWhenUsed/>
    <w:qFormat/>
    <w:uiPriority w:val="99"/>
    <w:rPr>
      <w:color w:val="333333"/>
      <w:u w:val="none"/>
    </w:rPr>
  </w:style>
  <w:style w:type="character" w:styleId="43">
    <w:name w:val="Emphasis"/>
    <w:basedOn w:val="39"/>
    <w:qFormat/>
    <w:uiPriority w:val="20"/>
  </w:style>
  <w:style w:type="character" w:styleId="44">
    <w:name w:val="HTML Definition"/>
    <w:basedOn w:val="39"/>
    <w:unhideWhenUsed/>
    <w:qFormat/>
    <w:uiPriority w:val="99"/>
  </w:style>
  <w:style w:type="character" w:styleId="45">
    <w:name w:val="HTML Typewriter"/>
    <w:basedOn w:val="39"/>
    <w:unhideWhenUsed/>
    <w:qFormat/>
    <w:uiPriority w:val="99"/>
    <w:rPr>
      <w:rFonts w:hint="default" w:ascii="monospace" w:hAnsi="monospace" w:eastAsia="monospace" w:cs="monospace"/>
      <w:sz w:val="20"/>
    </w:rPr>
  </w:style>
  <w:style w:type="character" w:styleId="46">
    <w:name w:val="HTML Acronym"/>
    <w:basedOn w:val="39"/>
    <w:unhideWhenUsed/>
    <w:qFormat/>
    <w:uiPriority w:val="99"/>
  </w:style>
  <w:style w:type="character" w:styleId="47">
    <w:name w:val="HTML Variable"/>
    <w:basedOn w:val="39"/>
    <w:unhideWhenUsed/>
    <w:qFormat/>
    <w:uiPriority w:val="99"/>
  </w:style>
  <w:style w:type="character" w:styleId="48">
    <w:name w:val="Hyperlink"/>
    <w:basedOn w:val="39"/>
    <w:unhideWhenUsed/>
    <w:qFormat/>
    <w:uiPriority w:val="99"/>
    <w:rPr>
      <w:color w:val="333333"/>
      <w:u w:val="none"/>
    </w:rPr>
  </w:style>
  <w:style w:type="character" w:styleId="49">
    <w:name w:val="HTML Code"/>
    <w:basedOn w:val="39"/>
    <w:unhideWhenUsed/>
    <w:qFormat/>
    <w:uiPriority w:val="99"/>
    <w:rPr>
      <w:rFonts w:hint="default" w:ascii="monospace" w:hAnsi="monospace" w:eastAsia="monospace" w:cs="monospace"/>
      <w:sz w:val="20"/>
    </w:rPr>
  </w:style>
  <w:style w:type="character" w:styleId="50">
    <w:name w:val="annotation reference"/>
    <w:basedOn w:val="39"/>
    <w:unhideWhenUsed/>
    <w:qFormat/>
    <w:uiPriority w:val="99"/>
    <w:rPr>
      <w:sz w:val="21"/>
      <w:szCs w:val="21"/>
    </w:rPr>
  </w:style>
  <w:style w:type="character" w:styleId="51">
    <w:name w:val="HTML Cite"/>
    <w:basedOn w:val="39"/>
    <w:unhideWhenUsed/>
    <w:qFormat/>
    <w:uiPriority w:val="99"/>
  </w:style>
  <w:style w:type="character" w:styleId="52">
    <w:name w:val="HTML Keyboard"/>
    <w:basedOn w:val="39"/>
    <w:unhideWhenUsed/>
    <w:qFormat/>
    <w:uiPriority w:val="99"/>
    <w:rPr>
      <w:rFonts w:hint="default" w:ascii="monospace" w:hAnsi="monospace" w:eastAsia="monospace" w:cs="monospace"/>
      <w:sz w:val="20"/>
    </w:rPr>
  </w:style>
  <w:style w:type="character" w:styleId="53">
    <w:name w:val="HTML Sample"/>
    <w:basedOn w:val="39"/>
    <w:unhideWhenUsed/>
    <w:qFormat/>
    <w:uiPriority w:val="99"/>
    <w:rPr>
      <w:rFonts w:ascii="monospace" w:hAnsi="monospace" w:eastAsia="monospace" w:cs="monospace"/>
    </w:rPr>
  </w:style>
  <w:style w:type="paragraph" w:customStyle="1" w:styleId="54">
    <w:name w:val="目录 54"/>
    <w:next w:val="1"/>
    <w:qFormat/>
    <w:uiPriority w:val="0"/>
    <w:pPr>
      <w:wordWrap w:val="0"/>
      <w:spacing w:after="160" w:line="278" w:lineRule="auto"/>
      <w:ind w:left="1275"/>
      <w:jc w:val="both"/>
    </w:pPr>
    <w:rPr>
      <w:rFonts w:ascii="Times New Roman" w:hAnsi="Times New Roman" w:eastAsia="宋体" w:cs="Times New Roman"/>
      <w:sz w:val="21"/>
      <w:lang w:val="en-US" w:eastAsia="zh-CN" w:bidi="ar-SA"/>
    </w:rPr>
  </w:style>
  <w:style w:type="character" w:customStyle="1" w:styleId="55">
    <w:name w:val="标题 2 Char"/>
    <w:basedOn w:val="39"/>
    <w:link w:val="3"/>
    <w:qFormat/>
    <w:uiPriority w:val="9"/>
    <w:rPr>
      <w:rFonts w:asciiTheme="majorHAnsi" w:hAnsiTheme="majorHAnsi" w:eastAsiaTheme="majorEastAsia" w:cstheme="majorBidi"/>
      <w:b/>
      <w:bCs/>
      <w:sz w:val="32"/>
      <w:szCs w:val="32"/>
    </w:rPr>
  </w:style>
  <w:style w:type="paragraph" w:customStyle="1" w:styleId="56">
    <w:name w:val="Default"/>
    <w:qFormat/>
    <w:uiPriority w:val="0"/>
    <w:pPr>
      <w:widowControl w:val="0"/>
      <w:autoSpaceDE w:val="0"/>
      <w:autoSpaceDN w:val="0"/>
      <w:adjustRightInd w:val="0"/>
      <w:spacing w:after="160" w:line="280" w:lineRule="exact"/>
      <w:jc w:val="both"/>
    </w:pPr>
    <w:rPr>
      <w:rFonts w:ascii="Times New Roman" w:hAnsi="Times New Roman" w:eastAsia="宋体" w:cs="Times New Roman"/>
      <w:color w:val="000000"/>
      <w:sz w:val="24"/>
      <w:szCs w:val="24"/>
      <w:lang w:val="en-US" w:eastAsia="zh-CN" w:bidi="ar-SA"/>
    </w:rPr>
  </w:style>
  <w:style w:type="paragraph" w:customStyle="1" w:styleId="57">
    <w:name w:val="表格文字"/>
    <w:basedOn w:val="22"/>
    <w:next w:val="15"/>
    <w:qFormat/>
    <w:uiPriority w:val="0"/>
    <w:pPr>
      <w:spacing w:before="25" w:after="25"/>
      <w:jc w:val="left"/>
    </w:pPr>
    <w:rPr>
      <w:spacing w:val="10"/>
      <w:kern w:val="0"/>
      <w:sz w:val="24"/>
      <w:szCs w:val="20"/>
    </w:rPr>
  </w:style>
  <w:style w:type="paragraph" w:customStyle="1" w:styleId="58">
    <w:name w:val="BodyText1I2"/>
    <w:basedOn w:val="59"/>
    <w:qFormat/>
    <w:uiPriority w:val="0"/>
    <w:pPr>
      <w:ind w:firstLine="420"/>
    </w:pPr>
  </w:style>
  <w:style w:type="paragraph" w:customStyle="1" w:styleId="59">
    <w:name w:val="BodyTextIndent"/>
    <w:basedOn w:val="1"/>
    <w:next w:val="58"/>
    <w:qFormat/>
    <w:uiPriority w:val="0"/>
    <w:pPr>
      <w:spacing w:after="120"/>
      <w:ind w:left="420" w:leftChars="200"/>
    </w:pPr>
  </w:style>
  <w:style w:type="character" w:customStyle="1" w:styleId="60">
    <w:name w:val="标题 3字符"/>
    <w:basedOn w:val="39"/>
    <w:qFormat/>
    <w:uiPriority w:val="9"/>
    <w:rPr>
      <w:rFonts w:ascii="Calibri" w:hAnsi="Calibri" w:eastAsia="宋体" w:cs="Times New Roman"/>
      <w:b/>
      <w:bCs/>
      <w:sz w:val="32"/>
      <w:szCs w:val="32"/>
    </w:rPr>
  </w:style>
  <w:style w:type="character" w:customStyle="1" w:styleId="61">
    <w:name w:val="纯文本 Char1"/>
    <w:link w:val="22"/>
    <w:qFormat/>
    <w:uiPriority w:val="0"/>
    <w:rPr>
      <w:rFonts w:ascii="宋体" w:hAnsi="Courier New" w:eastAsia="仿宋_GB2312"/>
      <w:sz w:val="30"/>
      <w:szCs w:val="24"/>
    </w:rPr>
  </w:style>
  <w:style w:type="character" w:customStyle="1" w:styleId="62">
    <w:name w:val="纯文本 字符1"/>
    <w:basedOn w:val="39"/>
    <w:semiHidden/>
    <w:qFormat/>
    <w:uiPriority w:val="99"/>
    <w:rPr>
      <w:rFonts w:hAnsi="Courier New" w:cs="Courier New" w:asciiTheme="minorEastAsia"/>
      <w:szCs w:val="24"/>
    </w:rPr>
  </w:style>
  <w:style w:type="character" w:customStyle="1" w:styleId="63">
    <w:name w:val="正文文本 Char"/>
    <w:basedOn w:val="39"/>
    <w:link w:val="15"/>
    <w:qFormat/>
    <w:uiPriority w:val="99"/>
    <w:rPr>
      <w:rFonts w:ascii="Calibri" w:hAnsi="Calibri" w:eastAsia="宋体" w:cs="Times New Roman"/>
      <w:kern w:val="0"/>
      <w:sz w:val="24"/>
      <w:szCs w:val="24"/>
    </w:rPr>
  </w:style>
  <w:style w:type="paragraph" w:customStyle="1" w:styleId="64">
    <w:name w:val="列出段落1"/>
    <w:basedOn w:val="1"/>
    <w:qFormat/>
    <w:uiPriority w:val="0"/>
    <w:pPr>
      <w:ind w:firstLine="420" w:firstLineChars="200"/>
    </w:pPr>
  </w:style>
  <w:style w:type="character" w:customStyle="1" w:styleId="65">
    <w:name w:val="批注框文本 Char"/>
    <w:basedOn w:val="39"/>
    <w:link w:val="26"/>
    <w:semiHidden/>
    <w:qFormat/>
    <w:uiPriority w:val="99"/>
    <w:rPr>
      <w:rFonts w:ascii="Calibri" w:hAnsi="Calibri" w:eastAsia="宋体" w:cs="Times New Roman"/>
      <w:sz w:val="18"/>
      <w:szCs w:val="18"/>
    </w:rPr>
  </w:style>
  <w:style w:type="paragraph" w:customStyle="1" w:styleId="66">
    <w:name w:val="纯文本1"/>
    <w:basedOn w:val="67"/>
    <w:link w:val="68"/>
    <w:qFormat/>
    <w:uiPriority w:val="99"/>
    <w:pPr>
      <w:ind w:firstLine="280" w:firstLineChars="100"/>
    </w:pPr>
    <w:rPr>
      <w:rFonts w:ascii="Times New Roman" w:hAnsi="宋体" w:cs="Courier New"/>
    </w:rPr>
  </w:style>
  <w:style w:type="paragraph" w:customStyle="1" w:styleId="67">
    <w:name w:val="正文1"/>
    <w:qFormat/>
    <w:uiPriority w:val="99"/>
    <w:pPr>
      <w:widowControl w:val="0"/>
      <w:spacing w:after="160" w:line="278" w:lineRule="auto"/>
      <w:jc w:val="both"/>
    </w:pPr>
    <w:rPr>
      <w:rFonts w:ascii="Calibri" w:hAnsi="Calibri" w:eastAsia="宋体" w:cs="Calibri"/>
      <w:kern w:val="2"/>
      <w:sz w:val="21"/>
      <w:szCs w:val="21"/>
      <w:lang w:val="en-US" w:eastAsia="zh-CN" w:bidi="ar-SA"/>
    </w:rPr>
  </w:style>
  <w:style w:type="character" w:customStyle="1" w:styleId="68">
    <w:name w:val="纯文本 Char"/>
    <w:link w:val="66"/>
    <w:qFormat/>
    <w:locked/>
    <w:uiPriority w:val="99"/>
    <w:rPr>
      <w:rFonts w:ascii="Times New Roman" w:hAnsi="宋体" w:eastAsia="宋体" w:cs="Courier New"/>
      <w:szCs w:val="21"/>
    </w:rPr>
  </w:style>
  <w:style w:type="character" w:customStyle="1" w:styleId="69">
    <w:name w:val="标题 1 Char"/>
    <w:basedOn w:val="39"/>
    <w:link w:val="2"/>
    <w:qFormat/>
    <w:uiPriority w:val="9"/>
    <w:rPr>
      <w:rFonts w:ascii="Calibri" w:hAnsi="Calibri" w:eastAsia="宋体" w:cs="Times New Roman"/>
      <w:b/>
      <w:bCs/>
      <w:kern w:val="44"/>
      <w:sz w:val="44"/>
      <w:szCs w:val="44"/>
    </w:rPr>
  </w:style>
  <w:style w:type="character" w:customStyle="1" w:styleId="70">
    <w:name w:val="标题 4 Char"/>
    <w:basedOn w:val="39"/>
    <w:link w:val="5"/>
    <w:qFormat/>
    <w:uiPriority w:val="0"/>
    <w:rPr>
      <w:rFonts w:ascii="Cambria" w:hAnsi="Cambria" w:eastAsia="宋体" w:cs="黑体"/>
      <w:b/>
      <w:bCs/>
      <w:sz w:val="28"/>
      <w:szCs w:val="28"/>
    </w:rPr>
  </w:style>
  <w:style w:type="character" w:customStyle="1" w:styleId="71">
    <w:name w:val="正文首行缩进 Char"/>
    <w:basedOn w:val="63"/>
    <w:link w:val="16"/>
    <w:qFormat/>
    <w:uiPriority w:val="99"/>
    <w:rPr>
      <w:rFonts w:ascii="Calibri" w:hAnsi="Calibri" w:eastAsia="宋体" w:cs="黑体"/>
      <w:kern w:val="0"/>
      <w:sz w:val="24"/>
      <w:szCs w:val="24"/>
    </w:rPr>
  </w:style>
  <w:style w:type="paragraph" w:customStyle="1" w:styleId="72">
    <w:name w:val="正文常用"/>
    <w:basedOn w:val="1"/>
    <w:qFormat/>
    <w:uiPriority w:val="0"/>
    <w:pPr>
      <w:spacing w:line="360" w:lineRule="auto"/>
      <w:ind w:firstLine="420"/>
    </w:pPr>
    <w:rPr>
      <w:rFonts w:ascii="宋体" w:hAnsi="宋体" w:cs="黑体"/>
      <w:color w:val="000000"/>
      <w:sz w:val="24"/>
      <w:szCs w:val="21"/>
    </w:rPr>
  </w:style>
  <w:style w:type="character" w:customStyle="1" w:styleId="73">
    <w:name w:val="标题 5 Char"/>
    <w:basedOn w:val="39"/>
    <w:link w:val="6"/>
    <w:qFormat/>
    <w:uiPriority w:val="9"/>
    <w:rPr>
      <w:rFonts w:ascii="Calibri" w:hAnsi="Calibri" w:eastAsia="宋体" w:cs="Times New Roman"/>
      <w:b/>
      <w:bCs/>
      <w:sz w:val="28"/>
      <w:szCs w:val="28"/>
    </w:rPr>
  </w:style>
  <w:style w:type="character" w:customStyle="1" w:styleId="74">
    <w:name w:val="批注文字 Char"/>
    <w:basedOn w:val="39"/>
    <w:link w:val="14"/>
    <w:semiHidden/>
    <w:qFormat/>
    <w:uiPriority w:val="99"/>
    <w:rPr>
      <w:rFonts w:ascii="Calibri" w:hAnsi="Calibri" w:eastAsia="宋体" w:cs="Times New Roman"/>
      <w:szCs w:val="24"/>
    </w:rPr>
  </w:style>
  <w:style w:type="character" w:customStyle="1" w:styleId="75">
    <w:name w:val="批注主题 Char"/>
    <w:basedOn w:val="74"/>
    <w:link w:val="36"/>
    <w:semiHidden/>
    <w:qFormat/>
    <w:uiPriority w:val="99"/>
    <w:rPr>
      <w:rFonts w:ascii="Calibri" w:hAnsi="Calibri" w:eastAsia="宋体" w:cs="Times New Roman"/>
      <w:b/>
      <w:bCs/>
      <w:szCs w:val="24"/>
    </w:rPr>
  </w:style>
  <w:style w:type="character" w:customStyle="1" w:styleId="76">
    <w:name w:val="页眉 Char"/>
    <w:basedOn w:val="39"/>
    <w:link w:val="28"/>
    <w:qFormat/>
    <w:uiPriority w:val="99"/>
    <w:rPr>
      <w:rFonts w:ascii="Calibri" w:hAnsi="Calibri" w:eastAsia="宋体" w:cs="Times New Roman"/>
      <w:sz w:val="18"/>
      <w:szCs w:val="18"/>
    </w:rPr>
  </w:style>
  <w:style w:type="character" w:customStyle="1" w:styleId="77">
    <w:name w:val="页脚 Char"/>
    <w:basedOn w:val="39"/>
    <w:link w:val="27"/>
    <w:qFormat/>
    <w:uiPriority w:val="99"/>
    <w:rPr>
      <w:rFonts w:ascii="Calibri" w:hAnsi="Calibri" w:eastAsia="宋体" w:cs="Times New Roman"/>
      <w:sz w:val="18"/>
      <w:szCs w:val="18"/>
    </w:rPr>
  </w:style>
  <w:style w:type="paragraph" w:customStyle="1" w:styleId="78">
    <w:name w:val="列出段落2"/>
    <w:basedOn w:val="1"/>
    <w:link w:val="85"/>
    <w:qFormat/>
    <w:uiPriority w:val="34"/>
    <w:pPr>
      <w:ind w:firstLine="420" w:firstLineChars="200"/>
    </w:pPr>
  </w:style>
  <w:style w:type="character" w:customStyle="1" w:styleId="79">
    <w:name w:val="样式 标题 3 + 黑体 小四 Char Char"/>
    <w:link w:val="80"/>
    <w:qFormat/>
    <w:uiPriority w:val="0"/>
    <w:rPr>
      <w:rFonts w:ascii="黑体" w:hAnsi="Arial" w:eastAsia="黑体"/>
      <w:bCs/>
      <w:sz w:val="24"/>
      <w:szCs w:val="24"/>
    </w:rPr>
  </w:style>
  <w:style w:type="paragraph" w:customStyle="1" w:styleId="80">
    <w:name w:val="样式 标题 3 + 黑体 小四"/>
    <w:basedOn w:val="4"/>
    <w:link w:val="79"/>
    <w:qFormat/>
    <w:uiPriority w:val="0"/>
    <w:pPr>
      <w:spacing w:line="413" w:lineRule="auto"/>
    </w:pPr>
    <w:rPr>
      <w:rFonts w:ascii="黑体" w:hAnsi="Arial" w:eastAsia="黑体" w:cstheme="minorBidi"/>
      <w:b w:val="0"/>
      <w:sz w:val="24"/>
      <w:szCs w:val="24"/>
    </w:rPr>
  </w:style>
  <w:style w:type="character" w:customStyle="1" w:styleId="81">
    <w:name w:val="可研正文 Char Char"/>
    <w:link w:val="82"/>
    <w:qFormat/>
    <w:uiPriority w:val="0"/>
    <w:rPr>
      <w:rFonts w:ascii="宋体" w:hAnsi="宋体"/>
      <w:sz w:val="24"/>
      <w:szCs w:val="24"/>
    </w:rPr>
  </w:style>
  <w:style w:type="paragraph" w:customStyle="1" w:styleId="82">
    <w:name w:val="可研正文"/>
    <w:basedOn w:val="1"/>
    <w:link w:val="81"/>
    <w:qFormat/>
    <w:uiPriority w:val="0"/>
    <w:pPr>
      <w:widowControl/>
      <w:spacing w:line="360" w:lineRule="auto"/>
      <w:ind w:firstLine="420"/>
    </w:pPr>
    <w:rPr>
      <w:rFonts w:ascii="宋体" w:hAnsi="宋体" w:eastAsiaTheme="minorEastAsia" w:cstheme="minorBidi"/>
      <w:sz w:val="24"/>
    </w:rPr>
  </w:style>
  <w:style w:type="character" w:customStyle="1" w:styleId="83">
    <w:name w:val="文档结构图 Char"/>
    <w:basedOn w:val="39"/>
    <w:link w:val="13"/>
    <w:semiHidden/>
    <w:qFormat/>
    <w:uiPriority w:val="99"/>
    <w:rPr>
      <w:rFonts w:ascii="Times New Roman" w:hAnsi="Times New Roman" w:eastAsia="宋体" w:cs="Times New Roman"/>
      <w:szCs w:val="24"/>
      <w:shd w:val="clear" w:color="auto" w:fill="000080"/>
    </w:rPr>
  </w:style>
  <w:style w:type="paragraph" w:customStyle="1" w:styleId="84">
    <w:name w:val="无间隔1"/>
    <w:qFormat/>
    <w:uiPriority w:val="1"/>
    <w:pPr>
      <w:widowControl w:val="0"/>
      <w:spacing w:after="160" w:line="278" w:lineRule="auto"/>
      <w:jc w:val="both"/>
    </w:pPr>
    <w:rPr>
      <w:rFonts w:ascii="Calibri" w:hAnsi="Calibri" w:eastAsia="宋体" w:cs="Times New Roman"/>
      <w:kern w:val="2"/>
      <w:sz w:val="21"/>
      <w:szCs w:val="22"/>
      <w:lang w:val="en-US" w:eastAsia="zh-CN" w:bidi="ar-SA"/>
    </w:rPr>
  </w:style>
  <w:style w:type="character" w:customStyle="1" w:styleId="85">
    <w:name w:val="列出段落 Char"/>
    <w:link w:val="78"/>
    <w:qFormat/>
    <w:uiPriority w:val="34"/>
    <w:rPr>
      <w:rFonts w:ascii="Calibri" w:hAnsi="Calibri" w:eastAsia="宋体" w:cs="Times New Roman"/>
      <w:szCs w:val="24"/>
    </w:rPr>
  </w:style>
  <w:style w:type="paragraph" w:customStyle="1" w:styleId="86">
    <w:name w:val="普通(网站)11"/>
    <w:basedOn w:val="1"/>
    <w:qFormat/>
    <w:uiPriority w:val="0"/>
    <w:pPr>
      <w:widowControl/>
      <w:spacing w:beforeAutospacing="1" w:afterAutospacing="1"/>
      <w:jc w:val="left"/>
    </w:pPr>
    <w:rPr>
      <w:rFonts w:ascii="宋体" w:hAnsi="宋体"/>
      <w:kern w:val="0"/>
      <w:sz w:val="24"/>
    </w:rPr>
  </w:style>
  <w:style w:type="paragraph" w:customStyle="1" w:styleId="87">
    <w:name w:val="正文文本缩进11"/>
    <w:basedOn w:val="1"/>
    <w:qFormat/>
    <w:uiPriority w:val="0"/>
    <w:pPr>
      <w:spacing w:line="200" w:lineRule="exact"/>
      <w:ind w:firstLine="301"/>
    </w:pPr>
    <w:rPr>
      <w:szCs w:val="20"/>
    </w:rPr>
  </w:style>
  <w:style w:type="character" w:customStyle="1" w:styleId="88">
    <w:name w:val="标题 3 Char"/>
    <w:qFormat/>
    <w:locked/>
    <w:uiPriority w:val="99"/>
    <w:rPr>
      <w:rFonts w:eastAsia="宋体" w:cs="Times New Roman"/>
      <w:b/>
      <w:szCs w:val="32"/>
    </w:rPr>
  </w:style>
  <w:style w:type="paragraph" w:customStyle="1" w:styleId="89">
    <w:name w:val="文本块2"/>
    <w:basedOn w:val="1"/>
    <w:qFormat/>
    <w:uiPriority w:val="0"/>
    <w:pPr>
      <w:adjustRightInd w:val="0"/>
      <w:snapToGrid w:val="0"/>
      <w:spacing w:line="300" w:lineRule="auto"/>
      <w:ind w:left="958" w:right="-120" w:rightChars="-120"/>
      <w:jc w:val="left"/>
    </w:pPr>
    <w:rPr>
      <w:rFonts w:ascii="Century Gothic" w:hAnsi="Century Gothic"/>
      <w:sz w:val="28"/>
      <w:szCs w:val="20"/>
    </w:rPr>
  </w:style>
  <w:style w:type="paragraph" w:customStyle="1" w:styleId="90">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0"/>
    </w:rPr>
  </w:style>
  <w:style w:type="paragraph" w:customStyle="1" w:styleId="91">
    <w:name w:val="默认段落字体 Para Char Char Char Char Char Char Char Char Char1 Char Char Char Char"/>
    <w:basedOn w:val="1"/>
    <w:qFormat/>
    <w:uiPriority w:val="0"/>
    <w:rPr>
      <w:rFonts w:ascii="Tahoma" w:hAnsi="Tahoma"/>
      <w:sz w:val="24"/>
      <w:szCs w:val="20"/>
    </w:rPr>
  </w:style>
  <w:style w:type="paragraph" w:customStyle="1" w:styleId="92">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93">
    <w:name w:val="纯文本2"/>
    <w:basedOn w:val="1"/>
    <w:qFormat/>
    <w:uiPriority w:val="0"/>
    <w:pPr>
      <w:spacing w:beforeLines="50" w:afterLines="50" w:line="400" w:lineRule="exact"/>
    </w:pPr>
    <w:rPr>
      <w:rFonts w:ascii="宋体" w:hAnsi="Courier New"/>
      <w:szCs w:val="21"/>
    </w:rPr>
  </w:style>
  <w:style w:type="paragraph" w:customStyle="1" w:styleId="94">
    <w:name w:val="List Paragraph1"/>
    <w:basedOn w:val="1"/>
    <w:qFormat/>
    <w:uiPriority w:val="99"/>
    <w:pPr>
      <w:ind w:firstLine="420" w:firstLineChars="200"/>
    </w:pPr>
  </w:style>
  <w:style w:type="paragraph" w:customStyle="1" w:styleId="95">
    <w:name w:val="正文文本缩进2"/>
    <w:basedOn w:val="1"/>
    <w:qFormat/>
    <w:uiPriority w:val="99"/>
    <w:pPr>
      <w:spacing w:line="200" w:lineRule="exact"/>
      <w:ind w:firstLine="301"/>
    </w:pPr>
    <w:rPr>
      <w:rFonts w:ascii="宋体" w:hAnsi="Courier New"/>
      <w:spacing w:val="-4"/>
      <w:kern w:val="0"/>
      <w:sz w:val="18"/>
    </w:rPr>
  </w:style>
  <w:style w:type="paragraph" w:customStyle="1" w:styleId="96">
    <w:name w:val="纯文本3"/>
    <w:basedOn w:val="1"/>
    <w:qFormat/>
    <w:uiPriority w:val="99"/>
    <w:rPr>
      <w:rFonts w:ascii="宋体" w:hAnsi="Courier New" w:eastAsia="仿宋_GB2312"/>
      <w:sz w:val="30"/>
    </w:rPr>
  </w:style>
  <w:style w:type="paragraph" w:customStyle="1" w:styleId="97">
    <w:name w:val="Other|1"/>
    <w:basedOn w:val="1"/>
    <w:qFormat/>
    <w:uiPriority w:val="0"/>
    <w:pPr>
      <w:jc w:val="left"/>
    </w:pPr>
    <w:rPr>
      <w:rFonts w:ascii="宋体" w:hAnsi="宋体" w:cs="宋体"/>
      <w:color w:val="000000"/>
      <w:kern w:val="0"/>
      <w:sz w:val="30"/>
      <w:szCs w:val="30"/>
      <w:lang w:val="zh-TW" w:eastAsia="zh-TW" w:bidi="zh-TW"/>
    </w:rPr>
  </w:style>
  <w:style w:type="paragraph" w:customStyle="1" w:styleId="98">
    <w:name w:val="_Style 4"/>
    <w:basedOn w:val="1"/>
    <w:qFormat/>
    <w:uiPriority w:val="34"/>
    <w:pPr>
      <w:ind w:firstLine="420" w:firstLineChars="200"/>
      <w:jc w:val="left"/>
    </w:pPr>
    <w:rPr>
      <w:kern w:val="0"/>
      <w:sz w:val="18"/>
      <w:lang w:eastAsia="zh-TW"/>
    </w:rPr>
  </w:style>
  <w:style w:type="character" w:customStyle="1" w:styleId="99">
    <w:name w:val="标题 3 Char1"/>
    <w:link w:val="4"/>
    <w:qFormat/>
    <w:locked/>
    <w:uiPriority w:val="99"/>
    <w:rPr>
      <w:rFonts w:eastAsia="宋体" w:cs="Times New Roman"/>
      <w:b/>
      <w:szCs w:val="32"/>
    </w:rPr>
  </w:style>
  <w:style w:type="paragraph" w:customStyle="1" w:styleId="100">
    <w:name w:val="无间隔2"/>
    <w:qFormat/>
    <w:uiPriority w:val="0"/>
    <w:pPr>
      <w:spacing w:after="160" w:line="278" w:lineRule="auto"/>
    </w:pPr>
    <w:rPr>
      <w:rFonts w:ascii="Times New Roman" w:hAnsi="Times New Roman" w:eastAsia="宋体" w:cs="Times New Roman"/>
      <w:sz w:val="22"/>
      <w:szCs w:val="22"/>
      <w:lang w:val="en-US" w:eastAsia="en-US" w:bidi="ar-SA"/>
    </w:rPr>
  </w:style>
  <w:style w:type="character" w:customStyle="1" w:styleId="101">
    <w:name w:val="正文文本 Char1"/>
    <w:qFormat/>
    <w:uiPriority w:val="99"/>
  </w:style>
  <w:style w:type="paragraph" w:customStyle="1" w:styleId="102">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103">
    <w:name w:val="font71"/>
    <w:qFormat/>
    <w:uiPriority w:val="0"/>
    <w:rPr>
      <w:rFonts w:hint="eastAsia" w:ascii="微软雅黑" w:hAnsi="微软雅黑" w:eastAsia="微软雅黑" w:cs="微软雅黑"/>
      <w:b/>
      <w:color w:val="000000"/>
      <w:sz w:val="28"/>
      <w:szCs w:val="28"/>
      <w:u w:val="none"/>
    </w:rPr>
  </w:style>
  <w:style w:type="character" w:customStyle="1" w:styleId="104">
    <w:name w:val="font01"/>
    <w:qFormat/>
    <w:uiPriority w:val="0"/>
    <w:rPr>
      <w:rFonts w:hint="eastAsia" w:ascii="宋体" w:hAnsi="宋体" w:eastAsia="宋体" w:cs="宋体"/>
      <w:color w:val="000000"/>
      <w:sz w:val="22"/>
      <w:szCs w:val="22"/>
      <w:u w:val="none"/>
    </w:rPr>
  </w:style>
  <w:style w:type="character" w:customStyle="1" w:styleId="105">
    <w:name w:val="font31"/>
    <w:qFormat/>
    <w:uiPriority w:val="0"/>
    <w:rPr>
      <w:rFonts w:hint="eastAsia" w:ascii="宋体" w:hAnsi="宋体" w:eastAsia="宋体" w:cs="宋体"/>
      <w:color w:val="000000"/>
      <w:sz w:val="22"/>
      <w:szCs w:val="22"/>
      <w:u w:val="none"/>
    </w:rPr>
  </w:style>
  <w:style w:type="paragraph" w:styleId="106">
    <w:name w:val="List Paragraph"/>
    <w:basedOn w:val="1"/>
    <w:qFormat/>
    <w:uiPriority w:val="99"/>
    <w:pPr>
      <w:ind w:firstLine="420" w:firstLineChars="200"/>
    </w:pPr>
  </w:style>
  <w:style w:type="paragraph" w:customStyle="1" w:styleId="107">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108">
    <w:name w:val="Body text|1"/>
    <w:basedOn w:val="1"/>
    <w:qFormat/>
    <w:uiPriority w:val="0"/>
    <w:pPr>
      <w:spacing w:line="425" w:lineRule="auto"/>
      <w:ind w:firstLine="400"/>
    </w:pPr>
    <w:rPr>
      <w:rFonts w:ascii="MingLiU" w:hAnsi="MingLiU" w:eastAsia="MingLiU" w:cs="MingLiU"/>
      <w:sz w:val="20"/>
      <w:szCs w:val="20"/>
      <w:lang w:val="zh-TW" w:eastAsia="zh-TW" w:bidi="zh-TW"/>
    </w:rPr>
  </w:style>
  <w:style w:type="character" w:customStyle="1" w:styleId="109">
    <w:name w:val="正文2 Char Char"/>
    <w:link w:val="110"/>
    <w:qFormat/>
    <w:uiPriority w:val="0"/>
    <w:rPr>
      <w:kern w:val="2"/>
      <w:sz w:val="24"/>
    </w:rPr>
  </w:style>
  <w:style w:type="paragraph" w:customStyle="1" w:styleId="110">
    <w:name w:val="正文2"/>
    <w:basedOn w:val="1"/>
    <w:link w:val="109"/>
    <w:qFormat/>
    <w:uiPriority w:val="0"/>
    <w:pPr>
      <w:spacing w:before="156" w:line="360" w:lineRule="auto"/>
      <w:ind w:firstLine="510" w:firstLineChars="200"/>
    </w:pPr>
    <w:rPr>
      <w:rFonts w:ascii="Times New Roman" w:hAnsi="Times New Roman"/>
      <w:sz w:val="24"/>
      <w:szCs w:val="20"/>
    </w:rPr>
  </w:style>
  <w:style w:type="character" w:customStyle="1" w:styleId="111">
    <w:name w:val="日期 Char"/>
    <w:basedOn w:val="39"/>
    <w:link w:val="24"/>
    <w:qFormat/>
    <w:uiPriority w:val="0"/>
    <w:rPr>
      <w:rFonts w:ascii="宋体" w:eastAsia="仿宋_GB2312"/>
      <w:kern w:val="2"/>
      <w:sz w:val="24"/>
      <w:lang w:val="zh-CN"/>
    </w:rPr>
  </w:style>
  <w:style w:type="paragraph" w:customStyle="1" w:styleId="112">
    <w:name w:val="正文_10_73"/>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3">
    <w:name w:val="正文_10_75"/>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4">
    <w:name w:val="正文_10_68"/>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5">
    <w:name w:val="正文_10_62"/>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6">
    <w:name w:val="正文_10_64"/>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7">
    <w:name w:val="正文_10_69"/>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8">
    <w:name w:val="正文_10_72"/>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19">
    <w:name w:val="正文_10_71"/>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0">
    <w:name w:val="正文_10_65"/>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1">
    <w:name w:val="正文_10_63"/>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2">
    <w:name w:val="正文_10_7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3">
    <w:name w:val="正文_10_74"/>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4">
    <w:name w:val="正文_10_67"/>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5">
    <w:name w:val="正文_10_66"/>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26">
    <w:name w:val="_Style 3"/>
    <w:basedOn w:val="1"/>
    <w:qFormat/>
    <w:uiPriority w:val="34"/>
    <w:pPr>
      <w:widowControl/>
      <w:spacing w:after="200" w:line="276" w:lineRule="auto"/>
      <w:ind w:left="720"/>
      <w:contextualSpacing/>
      <w:jc w:val="left"/>
    </w:pPr>
    <w:rPr>
      <w:kern w:val="0"/>
      <w:sz w:val="22"/>
      <w:szCs w:val="22"/>
    </w:rPr>
  </w:style>
  <w:style w:type="paragraph" w:customStyle="1" w:styleId="127">
    <w:name w:val="杭州正文1"/>
    <w:basedOn w:val="1"/>
    <w:qFormat/>
    <w:uiPriority w:val="0"/>
    <w:pPr>
      <w:spacing w:line="276" w:lineRule="auto"/>
      <w:ind w:firstLine="480" w:firstLineChars="200"/>
    </w:pPr>
    <w:rPr>
      <w:rFonts w:ascii="宋体" w:hAnsi="宋体"/>
      <w:sz w:val="24"/>
    </w:rPr>
  </w:style>
  <w:style w:type="character" w:customStyle="1" w:styleId="128">
    <w:name w:val="正文文本缩进 2 Char"/>
    <w:basedOn w:val="39"/>
    <w:link w:val="25"/>
    <w:semiHidden/>
    <w:qFormat/>
    <w:uiPriority w:val="99"/>
    <w:rPr>
      <w:rFonts w:ascii="Calibri" w:hAnsi="Calibri"/>
      <w:kern w:val="2"/>
      <w:sz w:val="21"/>
      <w:szCs w:val="24"/>
    </w:rPr>
  </w:style>
  <w:style w:type="paragraph" w:customStyle="1" w:styleId="129">
    <w:name w:val="[Normal]"/>
    <w:qFormat/>
    <w:uiPriority w:val="0"/>
    <w:pPr>
      <w:spacing w:after="160" w:line="278" w:lineRule="auto"/>
    </w:pPr>
    <w:rPr>
      <w:rFonts w:ascii="宋体" w:hAnsi="宋体" w:eastAsia="宋体" w:cs="Times New Roman"/>
      <w:sz w:val="24"/>
      <w:szCs w:val="22"/>
      <w:lang w:val="zh-CN" w:eastAsia="zh-CN" w:bidi="ar-SA"/>
    </w:rPr>
  </w:style>
  <w:style w:type="paragraph" w:customStyle="1" w:styleId="130">
    <w:name w:val="ZY-A-正文内容"/>
    <w:basedOn w:val="1"/>
    <w:qFormat/>
    <w:uiPriority w:val="0"/>
    <w:pPr>
      <w:tabs>
        <w:tab w:val="left" w:pos="0"/>
      </w:tabs>
      <w:ind w:firstLine="560" w:firstLineChars="200"/>
    </w:pPr>
    <w:rPr>
      <w:rFonts w:hint="eastAsia" w:ascii="Times New Roman" w:hAnsi="Times New Roman"/>
      <w:szCs w:val="21"/>
    </w:rPr>
  </w:style>
  <w:style w:type="character" w:customStyle="1" w:styleId="131">
    <w:name w:val="font11"/>
    <w:basedOn w:val="39"/>
    <w:qFormat/>
    <w:uiPriority w:val="0"/>
    <w:rPr>
      <w:rFonts w:hint="eastAsia" w:ascii="微软雅黑" w:hAnsi="微软雅黑" w:eastAsia="微软雅黑" w:cs="微软雅黑"/>
      <w:color w:val="000000"/>
      <w:sz w:val="18"/>
      <w:szCs w:val="18"/>
      <w:u w:val="none"/>
    </w:rPr>
  </w:style>
  <w:style w:type="paragraph" w:customStyle="1" w:styleId="132">
    <w:name w:val="*正文"/>
    <w:basedOn w:val="1"/>
    <w:qFormat/>
    <w:uiPriority w:val="0"/>
    <w:pPr>
      <w:spacing w:line="570" w:lineRule="exact"/>
      <w:ind w:firstLine="640" w:firstLineChars="200"/>
    </w:pPr>
    <w:rPr>
      <w:rFonts w:eastAsia="仿宋_GB2312"/>
      <w:color w:val="000000"/>
      <w:sz w:val="32"/>
      <w:szCs w:val="32"/>
    </w:rPr>
  </w:style>
  <w:style w:type="paragraph" w:customStyle="1" w:styleId="133">
    <w:name w:val="Table Paragraph"/>
    <w:basedOn w:val="1"/>
    <w:qFormat/>
    <w:uiPriority w:val="1"/>
    <w:pPr>
      <w:autoSpaceDE w:val="0"/>
      <w:autoSpaceDN w:val="0"/>
      <w:adjustRightInd w:val="0"/>
      <w:jc w:val="left"/>
    </w:pPr>
    <w:rPr>
      <w:kern w:val="0"/>
      <w:sz w:val="24"/>
    </w:rPr>
  </w:style>
  <w:style w:type="paragraph" w:customStyle="1" w:styleId="134">
    <w:name w:val="正文缩进_0"/>
    <w:basedOn w:val="135"/>
    <w:qFormat/>
    <w:uiPriority w:val="99"/>
    <w:pPr>
      <w:ind w:firstLine="420" w:firstLineChars="200"/>
    </w:pPr>
    <w:rPr>
      <w:rFonts w:ascii="Calibri" w:hAnsi="Calibri"/>
      <w:kern w:val="0"/>
      <w:sz w:val="20"/>
      <w:szCs w:val="20"/>
    </w:rPr>
  </w:style>
  <w:style w:type="paragraph" w:customStyle="1" w:styleId="135">
    <w:name w:val="正文_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customStyle="1" w:styleId="136">
    <w:name w:val="_正文段落"/>
    <w:basedOn w:val="1"/>
    <w:next w:val="1"/>
    <w:link w:val="138"/>
    <w:qFormat/>
    <w:uiPriority w:val="0"/>
    <w:pPr>
      <w:widowControl/>
      <w:spacing w:beforeLines="15" w:afterLines="30" w:line="360" w:lineRule="auto"/>
      <w:ind w:firstLine="200" w:firstLineChars="200"/>
    </w:pPr>
    <w:rPr>
      <w:rFonts w:ascii="宋体" w:hAnsi="Courier New"/>
      <w:kern w:val="0"/>
      <w:sz w:val="24"/>
      <w:szCs w:val="32"/>
    </w:rPr>
  </w:style>
  <w:style w:type="paragraph" w:customStyle="1" w:styleId="137">
    <w:name w:val="段落"/>
    <w:basedOn w:val="1"/>
    <w:qFormat/>
    <w:uiPriority w:val="0"/>
    <w:pPr>
      <w:spacing w:line="360" w:lineRule="auto"/>
      <w:ind w:firstLine="200" w:firstLineChars="200"/>
    </w:pPr>
    <w:rPr>
      <w:sz w:val="24"/>
    </w:rPr>
  </w:style>
  <w:style w:type="character" w:customStyle="1" w:styleId="138">
    <w:name w:val="_正文段落 Char"/>
    <w:link w:val="136"/>
    <w:qFormat/>
    <w:uiPriority w:val="0"/>
    <w:rPr>
      <w:rFonts w:ascii="宋体" w:hAnsi="Courier New"/>
      <w:sz w:val="24"/>
      <w:szCs w:val="32"/>
    </w:rPr>
  </w:style>
  <w:style w:type="paragraph" w:customStyle="1" w:styleId="139">
    <w:name w:val="Body Text Indent1"/>
    <w:basedOn w:val="1"/>
    <w:qFormat/>
    <w:uiPriority w:val="99"/>
    <w:pPr>
      <w:spacing w:line="200" w:lineRule="exact"/>
      <w:ind w:firstLine="301"/>
    </w:pPr>
    <w:rPr>
      <w:rFonts w:ascii="宋体" w:hAnsi="Courier New"/>
      <w:spacing w:val="-4"/>
      <w:kern w:val="0"/>
      <w:sz w:val="18"/>
    </w:rPr>
  </w:style>
  <w:style w:type="paragraph" w:customStyle="1" w:styleId="140">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Calibri" w:hAnsi="Calibri" w:eastAsia="宋体" w:cs="Times New Roman"/>
      <w:color w:val="000000"/>
      <w:kern w:val="2"/>
      <w:sz w:val="21"/>
      <w:szCs w:val="21"/>
      <w:u w:val="none" w:color="000000"/>
      <w:lang w:val="en-US" w:eastAsia="zh-CN" w:bidi="ar-SA"/>
    </w:rPr>
  </w:style>
  <w:style w:type="table" w:customStyle="1" w:styleId="14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56</Pages>
  <Words>26369</Words>
  <Characters>27445</Characters>
  <Lines>244</Lines>
  <Paragraphs>68</Paragraphs>
  <TotalTime>5</TotalTime>
  <ScaleCrop>false</ScaleCrop>
  <LinksUpToDate>false</LinksUpToDate>
  <CharactersWithSpaces>28403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2022-10-16T03:16:00Z</dcterms:created>
  <dc:creator>wenqi Cai</dc:creator>
  <cp:lastModifiedBy>陈儀轩</cp:lastModifiedBy>
  <cp:lastPrinted>2025-03-25T01:17:00Z</cp:lastPrinted>
  <dcterms:modified xsi:type="dcterms:W3CDTF">2025-04-01T11:01:07Z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AECE945F35C54154BB0B4D4A8A7D79D7_13</vt:lpwstr>
  </property>
  <property fmtid="{D5CDD505-2E9C-101B-9397-08002B2CF9AE}" pid="4" name="KSOTemplateDocerSaveRecord">
    <vt:lpwstr>eyJoZGlkIjoiZTA4MTg5ZDI2N2MxOThkMDRhMTc3NDg4NjNhODAyNWYiLCJ1c2VySWQiOiIxMjkzMTgxNDE2In0=</vt:lpwstr>
  </property>
</Properties>
</file>