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3A943">
      <w:pPr>
        <w:pStyle w:val="3"/>
      </w:pPr>
    </w:p>
    <w:p w14:paraId="6A3D2B80">
      <w:pPr>
        <w:spacing w:before="156" w:beforeLines="50"/>
        <w:jc w:val="center"/>
        <w:rPr>
          <w:rFonts w:ascii="宋体" w:hAnsi="宋体"/>
          <w:b/>
          <w:spacing w:val="-11"/>
          <w:sz w:val="44"/>
          <w:szCs w:val="180"/>
        </w:rPr>
      </w:pPr>
    </w:p>
    <w:p w14:paraId="2A33CE25">
      <w:pPr>
        <w:spacing w:after="156"/>
        <w:jc w:val="center"/>
        <w:outlineLvl w:val="0"/>
        <w:rPr>
          <w:rFonts w:ascii="宋体" w:hAnsi="宋体"/>
          <w:b/>
          <w:spacing w:val="12"/>
          <w:sz w:val="44"/>
          <w:szCs w:val="44"/>
        </w:rPr>
      </w:pPr>
      <w:r>
        <w:rPr>
          <w:rFonts w:hint="eastAsia" w:ascii="宋体" w:hAnsi="宋体"/>
          <w:b/>
          <w:spacing w:val="12"/>
          <w:sz w:val="44"/>
          <w:szCs w:val="44"/>
          <w:lang w:eastAsia="zh-CN"/>
        </w:rPr>
        <w:t>岱山县公安局派出所提升改造及看守所正规化项目—体检中心部分设备</w:t>
      </w:r>
    </w:p>
    <w:p w14:paraId="7F586104">
      <w:pPr>
        <w:pStyle w:val="3"/>
        <w:rPr>
          <w:rFonts w:ascii="宋体" w:hAnsi="宋体"/>
          <w:b/>
          <w:spacing w:val="12"/>
          <w:sz w:val="44"/>
          <w:szCs w:val="44"/>
        </w:rPr>
      </w:pPr>
    </w:p>
    <w:p w14:paraId="5E595C57">
      <w:pPr>
        <w:pStyle w:val="3"/>
        <w:rPr>
          <w:rFonts w:ascii="宋体" w:hAnsi="宋体"/>
          <w:b/>
          <w:spacing w:val="12"/>
          <w:sz w:val="44"/>
          <w:szCs w:val="44"/>
        </w:rPr>
      </w:pPr>
    </w:p>
    <w:p w14:paraId="558475F6">
      <w:pPr>
        <w:spacing w:after="156"/>
        <w:jc w:val="center"/>
        <w:outlineLvl w:val="0"/>
        <w:rPr>
          <w:rFonts w:ascii="宋体" w:hAnsi="宋体"/>
          <w:b/>
          <w:sz w:val="52"/>
          <w:szCs w:val="52"/>
        </w:rPr>
      </w:pPr>
      <w:r>
        <w:rPr>
          <w:rFonts w:ascii="宋体" w:hAnsi="宋体"/>
          <w:b/>
          <w:sz w:val="52"/>
          <w:szCs w:val="52"/>
        </w:rPr>
        <w:t>公开招标采购文件</w:t>
      </w:r>
    </w:p>
    <w:p w14:paraId="131A5D7E">
      <w:pPr>
        <w:spacing w:before="156" w:beforeLines="50"/>
        <w:jc w:val="center"/>
        <w:rPr>
          <w:rFonts w:ascii="宋体" w:hAnsi="宋体"/>
          <w:b/>
          <w:sz w:val="52"/>
          <w:szCs w:val="52"/>
        </w:rPr>
      </w:pPr>
    </w:p>
    <w:p w14:paraId="287D933E">
      <w:pPr>
        <w:pStyle w:val="31"/>
      </w:pPr>
    </w:p>
    <w:p w14:paraId="70478C5A">
      <w:pPr>
        <w:jc w:val="center"/>
        <w:outlineLvl w:val="0"/>
        <w:rPr>
          <w:rFonts w:ascii="宋体" w:hAnsi="宋体"/>
          <w:b/>
          <w:szCs w:val="21"/>
        </w:rPr>
      </w:pPr>
    </w:p>
    <w:p w14:paraId="2517F68F">
      <w:pPr>
        <w:pStyle w:val="3"/>
        <w:rPr>
          <w:rFonts w:ascii="宋体" w:hAnsi="宋体"/>
        </w:rPr>
      </w:pPr>
    </w:p>
    <w:p w14:paraId="3CBC0670">
      <w:pPr>
        <w:widowControl/>
        <w:spacing w:line="360" w:lineRule="auto"/>
        <w:jc w:val="left"/>
        <w:rPr>
          <w:rFonts w:ascii="宋体" w:hAnsi="宋体"/>
          <w:b/>
          <w:sz w:val="30"/>
          <w:szCs w:val="72"/>
        </w:rPr>
      </w:pPr>
      <w:r>
        <w:rPr>
          <w:rFonts w:ascii="宋体" w:hAnsi="宋体"/>
          <w:b/>
          <w:sz w:val="30"/>
          <w:szCs w:val="72"/>
        </w:rPr>
        <w:t>项目编号：</w:t>
      </w:r>
      <w:r>
        <w:rPr>
          <w:rFonts w:hint="eastAsia" w:ascii="宋体" w:hAnsi="宋体"/>
          <w:b/>
          <w:sz w:val="30"/>
          <w:szCs w:val="72"/>
          <w:lang w:eastAsia="zh-CN"/>
        </w:rPr>
        <w:t>ZHZS（采）-2024-192</w:t>
      </w:r>
      <w:r>
        <w:rPr>
          <w:rFonts w:hint="eastAsia" w:ascii="宋体" w:hAnsi="宋体"/>
          <w:b/>
          <w:sz w:val="30"/>
          <w:szCs w:val="72"/>
        </w:rPr>
        <w:t xml:space="preserve">   </w:t>
      </w:r>
    </w:p>
    <w:p w14:paraId="32876C25">
      <w:pPr>
        <w:snapToGrid w:val="0"/>
        <w:spacing w:before="156" w:beforeLines="50" w:line="360" w:lineRule="auto"/>
        <w:rPr>
          <w:rFonts w:hint="eastAsia" w:ascii="宋体" w:hAnsi="宋体"/>
          <w:b/>
          <w:sz w:val="30"/>
          <w:szCs w:val="72"/>
          <w:lang w:eastAsia="zh-CN"/>
        </w:rPr>
      </w:pPr>
      <w:r>
        <w:rPr>
          <w:rFonts w:ascii="宋体" w:hAnsi="宋体"/>
          <w:b/>
          <w:sz w:val="30"/>
          <w:szCs w:val="72"/>
        </w:rPr>
        <w:t>项目名称：</w:t>
      </w:r>
      <w:r>
        <w:rPr>
          <w:rFonts w:hint="eastAsia" w:ascii="宋体" w:hAnsi="宋体"/>
          <w:b/>
          <w:sz w:val="30"/>
          <w:szCs w:val="72"/>
          <w:lang w:eastAsia="zh-CN"/>
        </w:rPr>
        <w:t>岱山县公安局派出所提升改造及看守所正规化项目—体检中心部分设备</w:t>
      </w:r>
    </w:p>
    <w:p w14:paraId="33FF2A7F">
      <w:pPr>
        <w:snapToGrid w:val="0"/>
        <w:spacing w:before="156" w:beforeLines="50" w:line="360" w:lineRule="auto"/>
        <w:rPr>
          <w:rFonts w:ascii="宋体" w:hAnsi="宋体"/>
          <w:b/>
          <w:sz w:val="30"/>
          <w:szCs w:val="72"/>
        </w:rPr>
      </w:pPr>
      <w:r>
        <w:rPr>
          <w:rFonts w:ascii="宋体" w:hAnsi="宋体"/>
          <w:b/>
          <w:sz w:val="30"/>
          <w:szCs w:val="72"/>
        </w:rPr>
        <w:t>采购人：</w:t>
      </w:r>
      <w:r>
        <w:rPr>
          <w:rFonts w:hint="eastAsia" w:ascii="宋体" w:hAnsi="宋体"/>
          <w:b/>
          <w:sz w:val="30"/>
          <w:szCs w:val="72"/>
        </w:rPr>
        <w:t>岱山县公安局（盖章）</w:t>
      </w:r>
    </w:p>
    <w:p w14:paraId="0A79A5EE">
      <w:pPr>
        <w:snapToGrid w:val="0"/>
        <w:spacing w:before="156" w:beforeLines="50" w:line="360" w:lineRule="auto"/>
        <w:rPr>
          <w:rFonts w:ascii="宋体" w:hAnsi="宋体"/>
          <w:b/>
          <w:sz w:val="30"/>
          <w:szCs w:val="72"/>
        </w:rPr>
      </w:pPr>
      <w:r>
        <w:rPr>
          <w:rFonts w:hint="eastAsia" w:ascii="宋体" w:hAnsi="宋体"/>
          <w:b/>
          <w:sz w:val="30"/>
          <w:szCs w:val="72"/>
        </w:rPr>
        <w:t>采购</w:t>
      </w:r>
      <w:r>
        <w:rPr>
          <w:rFonts w:ascii="宋体" w:hAnsi="宋体"/>
          <w:b/>
          <w:sz w:val="30"/>
          <w:szCs w:val="72"/>
        </w:rPr>
        <w:t>代理机构：</w:t>
      </w:r>
      <w:r>
        <w:rPr>
          <w:rFonts w:hint="eastAsia" w:ascii="宋体" w:hAnsi="宋体"/>
          <w:b/>
          <w:sz w:val="30"/>
          <w:szCs w:val="72"/>
          <w:lang w:eastAsia="zh-CN"/>
        </w:rPr>
        <w:t>浙江卓宏建设项目管理有限公司</w:t>
      </w:r>
      <w:r>
        <w:rPr>
          <w:rFonts w:hint="eastAsia" w:ascii="宋体" w:hAnsi="宋体"/>
          <w:b/>
          <w:sz w:val="30"/>
          <w:szCs w:val="72"/>
        </w:rPr>
        <w:t>（盖章）</w:t>
      </w:r>
    </w:p>
    <w:p w14:paraId="7899BB0B">
      <w:pPr>
        <w:pStyle w:val="3"/>
        <w:spacing w:line="360" w:lineRule="auto"/>
        <w:rPr>
          <w:rFonts w:ascii="宋体" w:hAnsi="宋体"/>
          <w:b/>
          <w:sz w:val="30"/>
          <w:szCs w:val="72"/>
        </w:rPr>
        <w:sectPr>
          <w:footerReference r:id="rId4" w:type="first"/>
          <w:footerReference r:id="rId3" w:type="default"/>
          <w:pgSz w:w="11906" w:h="16838"/>
          <w:pgMar w:top="1531" w:right="1134" w:bottom="737" w:left="1230" w:header="851" w:footer="583" w:gutter="0"/>
          <w:pgNumType w:start="1"/>
          <w:cols w:space="720" w:num="1"/>
          <w:titlePg/>
          <w:docGrid w:type="lines" w:linePitch="312" w:charSpace="0"/>
        </w:sectPr>
      </w:pPr>
      <w:r>
        <w:rPr>
          <w:rFonts w:ascii="宋体" w:hAnsi="宋体"/>
          <w:b/>
          <w:sz w:val="30"/>
          <w:szCs w:val="72"/>
        </w:rPr>
        <w:t>时间：二〇</w:t>
      </w:r>
      <w:r>
        <w:rPr>
          <w:rFonts w:hint="eastAsia" w:ascii="宋体" w:hAnsi="宋体"/>
          <w:b/>
          <w:sz w:val="30"/>
          <w:szCs w:val="72"/>
        </w:rPr>
        <w:t>二四</w:t>
      </w:r>
      <w:r>
        <w:rPr>
          <w:rFonts w:hint="eastAsia" w:ascii="宋体" w:hAnsi="宋体"/>
          <w:b/>
          <w:sz w:val="30"/>
          <w:szCs w:val="72"/>
          <w:lang w:val="en-US" w:eastAsia="zh-CN"/>
        </w:rPr>
        <w:t>十一</w:t>
      </w:r>
      <w:r>
        <w:rPr>
          <w:rFonts w:ascii="宋体" w:hAnsi="宋体"/>
          <w:b/>
          <w:sz w:val="30"/>
          <w:szCs w:val="72"/>
        </w:rPr>
        <w:t>月</w:t>
      </w:r>
    </w:p>
    <w:p w14:paraId="172DE689">
      <w:pPr>
        <w:pStyle w:val="2"/>
      </w:pPr>
    </w:p>
    <w:p w14:paraId="20570091">
      <w:pPr>
        <w:pStyle w:val="39"/>
        <w:spacing w:before="156" w:after="156" w:line="360" w:lineRule="auto"/>
        <w:jc w:val="center"/>
        <w:rPr>
          <w:rFonts w:hAnsi="宋体" w:eastAsia="宋体"/>
          <w:b/>
          <w:bCs/>
          <w:sz w:val="32"/>
          <w:szCs w:val="32"/>
        </w:rPr>
      </w:pPr>
      <w:r>
        <w:rPr>
          <w:rFonts w:hAnsi="宋体" w:eastAsia="宋体"/>
          <w:b/>
          <w:bCs/>
          <w:sz w:val="32"/>
          <w:szCs w:val="32"/>
        </w:rPr>
        <w:t>目</w:t>
      </w:r>
      <w:r>
        <w:rPr>
          <w:rFonts w:hint="eastAsia" w:hAnsi="宋体" w:eastAsia="宋体"/>
          <w:b/>
          <w:bCs/>
          <w:sz w:val="32"/>
          <w:szCs w:val="32"/>
        </w:rPr>
        <w:t xml:space="preserve">  </w:t>
      </w:r>
      <w:r>
        <w:rPr>
          <w:rFonts w:hAnsi="宋体" w:eastAsia="宋体"/>
          <w:b/>
          <w:bCs/>
          <w:sz w:val="32"/>
          <w:szCs w:val="32"/>
        </w:rPr>
        <w:t>录</w:t>
      </w:r>
    </w:p>
    <w:p w14:paraId="36273F2A">
      <w:pPr>
        <w:spacing w:line="360" w:lineRule="auto"/>
        <w:rPr>
          <w:rFonts w:ascii="宋体" w:hAnsi="宋体"/>
          <w:sz w:val="28"/>
          <w:szCs w:val="28"/>
        </w:rPr>
      </w:pPr>
      <w:r>
        <w:rPr>
          <w:rFonts w:ascii="宋体" w:hAnsi="宋体"/>
          <w:sz w:val="28"/>
          <w:szCs w:val="28"/>
        </w:rPr>
        <w:t>第一章</w:t>
      </w:r>
      <w:r>
        <w:rPr>
          <w:rFonts w:hint="eastAsia" w:ascii="宋体" w:hAnsi="宋体"/>
          <w:sz w:val="28"/>
          <w:szCs w:val="28"/>
        </w:rPr>
        <w:t xml:space="preserve"> 采购</w:t>
      </w:r>
      <w:r>
        <w:rPr>
          <w:rFonts w:ascii="宋体" w:hAnsi="宋体"/>
          <w:sz w:val="28"/>
          <w:szCs w:val="28"/>
        </w:rPr>
        <w:t>公告</w:t>
      </w:r>
    </w:p>
    <w:p w14:paraId="25AEC20D">
      <w:pPr>
        <w:spacing w:line="360" w:lineRule="auto"/>
        <w:rPr>
          <w:rFonts w:ascii="宋体" w:hAnsi="宋体"/>
          <w:sz w:val="28"/>
          <w:szCs w:val="28"/>
        </w:rPr>
      </w:pPr>
      <w:r>
        <w:rPr>
          <w:rFonts w:ascii="宋体" w:hAnsi="宋体"/>
          <w:sz w:val="28"/>
          <w:szCs w:val="28"/>
        </w:rPr>
        <w:t>第二章</w:t>
      </w:r>
      <w:r>
        <w:rPr>
          <w:rFonts w:hint="eastAsia" w:ascii="宋体" w:hAnsi="宋体"/>
          <w:sz w:val="28"/>
          <w:szCs w:val="28"/>
        </w:rPr>
        <w:t xml:space="preserve"> </w:t>
      </w:r>
      <w:r>
        <w:rPr>
          <w:rFonts w:ascii="宋体" w:hAnsi="宋体"/>
          <w:sz w:val="28"/>
          <w:szCs w:val="28"/>
        </w:rPr>
        <w:t>采购需求</w:t>
      </w:r>
    </w:p>
    <w:p w14:paraId="76EA241E">
      <w:pPr>
        <w:spacing w:line="360" w:lineRule="auto"/>
        <w:rPr>
          <w:rFonts w:ascii="宋体" w:hAnsi="宋体"/>
          <w:sz w:val="28"/>
          <w:szCs w:val="28"/>
        </w:rPr>
      </w:pPr>
      <w:r>
        <w:rPr>
          <w:rFonts w:ascii="宋体" w:hAnsi="宋体"/>
          <w:sz w:val="28"/>
          <w:szCs w:val="28"/>
        </w:rPr>
        <w:t>第三章</w:t>
      </w:r>
      <w:r>
        <w:rPr>
          <w:rFonts w:hint="eastAsia" w:ascii="宋体" w:hAnsi="宋体"/>
          <w:sz w:val="28"/>
          <w:szCs w:val="28"/>
        </w:rPr>
        <w:t xml:space="preserve"> 投标人</w:t>
      </w:r>
      <w:r>
        <w:rPr>
          <w:rFonts w:ascii="宋体" w:hAnsi="宋体"/>
          <w:sz w:val="28"/>
          <w:szCs w:val="28"/>
        </w:rPr>
        <w:t>须知</w:t>
      </w:r>
    </w:p>
    <w:p w14:paraId="445734D3">
      <w:pPr>
        <w:spacing w:before="120" w:line="360" w:lineRule="auto"/>
        <w:ind w:firstLine="1120" w:firstLineChars="400"/>
        <w:rPr>
          <w:rFonts w:ascii="宋体" w:hAnsi="宋体"/>
          <w:sz w:val="28"/>
          <w:szCs w:val="28"/>
        </w:rPr>
      </w:pPr>
      <w:r>
        <w:rPr>
          <w:rFonts w:ascii="宋体" w:hAnsi="宋体"/>
          <w:sz w:val="28"/>
          <w:szCs w:val="28"/>
        </w:rPr>
        <w:t>前附表</w:t>
      </w:r>
    </w:p>
    <w:p w14:paraId="699BB092">
      <w:pPr>
        <w:spacing w:before="120" w:line="360" w:lineRule="auto"/>
        <w:ind w:firstLine="560" w:firstLineChars="200"/>
        <w:rPr>
          <w:rFonts w:ascii="宋体" w:hAnsi="宋体"/>
          <w:sz w:val="28"/>
          <w:szCs w:val="28"/>
        </w:rPr>
      </w:pPr>
      <w:r>
        <w:rPr>
          <w:rFonts w:ascii="宋体" w:hAnsi="宋体"/>
          <w:sz w:val="28"/>
          <w:szCs w:val="28"/>
        </w:rPr>
        <w:t>一、总则</w:t>
      </w:r>
    </w:p>
    <w:p w14:paraId="6881F913">
      <w:pPr>
        <w:spacing w:before="120" w:line="360"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采购文件</w:t>
      </w:r>
    </w:p>
    <w:p w14:paraId="31A34BE7">
      <w:pPr>
        <w:spacing w:before="120"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0BC03827">
      <w:pPr>
        <w:spacing w:before="120" w:line="360"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14:paraId="59AEFED7">
      <w:pPr>
        <w:spacing w:before="120" w:line="360" w:lineRule="auto"/>
        <w:ind w:firstLine="560" w:firstLineChars="200"/>
        <w:rPr>
          <w:rFonts w:ascii="宋体" w:hAnsi="宋体"/>
        </w:rPr>
      </w:pPr>
      <w:r>
        <w:rPr>
          <w:rFonts w:ascii="宋体" w:hAnsi="宋体"/>
          <w:sz w:val="28"/>
          <w:szCs w:val="28"/>
        </w:rPr>
        <w:t>五、评</w:t>
      </w:r>
      <w:r>
        <w:rPr>
          <w:rFonts w:hint="eastAsia" w:ascii="宋体" w:hAnsi="宋体"/>
          <w:sz w:val="28"/>
          <w:szCs w:val="28"/>
        </w:rPr>
        <w:t>标</w:t>
      </w:r>
    </w:p>
    <w:p w14:paraId="334562DD">
      <w:pPr>
        <w:spacing w:before="120" w:line="360" w:lineRule="auto"/>
        <w:ind w:firstLine="560" w:firstLineChars="200"/>
        <w:rPr>
          <w:rFonts w:ascii="宋体" w:hAnsi="宋体"/>
          <w:sz w:val="28"/>
          <w:szCs w:val="28"/>
        </w:rPr>
      </w:pPr>
      <w:r>
        <w:rPr>
          <w:rFonts w:ascii="宋体" w:hAnsi="宋体"/>
          <w:sz w:val="28"/>
          <w:szCs w:val="28"/>
        </w:rPr>
        <w:t>六、定标</w:t>
      </w:r>
    </w:p>
    <w:p w14:paraId="4F6E067C">
      <w:pPr>
        <w:spacing w:before="120" w:line="360" w:lineRule="auto"/>
        <w:ind w:firstLine="560" w:firstLineChars="200"/>
        <w:rPr>
          <w:rFonts w:ascii="宋体" w:hAnsi="宋体"/>
          <w:sz w:val="28"/>
          <w:szCs w:val="28"/>
        </w:rPr>
      </w:pPr>
      <w:r>
        <w:rPr>
          <w:rFonts w:ascii="宋体" w:hAnsi="宋体"/>
          <w:sz w:val="28"/>
          <w:szCs w:val="28"/>
        </w:rPr>
        <w:t>七、合同授予</w:t>
      </w:r>
    </w:p>
    <w:p w14:paraId="2942B56D">
      <w:pPr>
        <w:spacing w:before="120" w:line="360" w:lineRule="auto"/>
        <w:ind w:firstLine="560" w:firstLineChars="200"/>
        <w:rPr>
          <w:rFonts w:ascii="宋体" w:hAnsi="宋体"/>
          <w:sz w:val="28"/>
          <w:szCs w:val="28"/>
        </w:rPr>
      </w:pPr>
      <w:r>
        <w:rPr>
          <w:rFonts w:hint="eastAsia" w:ascii="宋体" w:hAnsi="宋体"/>
          <w:sz w:val="28"/>
          <w:szCs w:val="28"/>
        </w:rPr>
        <w:t>八、招标代理费</w:t>
      </w:r>
    </w:p>
    <w:p w14:paraId="660B4258">
      <w:pPr>
        <w:spacing w:before="120" w:line="360" w:lineRule="auto"/>
        <w:ind w:firstLine="560" w:firstLineChars="200"/>
        <w:rPr>
          <w:rFonts w:ascii="宋体" w:hAnsi="宋体"/>
          <w:sz w:val="28"/>
          <w:szCs w:val="28"/>
        </w:rPr>
      </w:pPr>
      <w:r>
        <w:rPr>
          <w:rFonts w:hint="eastAsia" w:ascii="宋体" w:hAnsi="宋体"/>
          <w:sz w:val="28"/>
          <w:szCs w:val="28"/>
        </w:rPr>
        <w:t>九、政府采购政策</w:t>
      </w:r>
    </w:p>
    <w:p w14:paraId="1226E0CF">
      <w:pPr>
        <w:spacing w:line="360" w:lineRule="auto"/>
        <w:rPr>
          <w:rFonts w:ascii="宋体" w:hAnsi="宋体"/>
          <w:sz w:val="28"/>
          <w:szCs w:val="28"/>
        </w:rPr>
      </w:pPr>
      <w:r>
        <w:rPr>
          <w:rFonts w:ascii="宋体" w:hAnsi="宋体"/>
          <w:sz w:val="28"/>
          <w:szCs w:val="28"/>
        </w:rPr>
        <w:t>第四章</w:t>
      </w:r>
      <w:r>
        <w:rPr>
          <w:rFonts w:hint="eastAsia" w:ascii="宋体" w:hAnsi="宋体"/>
          <w:sz w:val="28"/>
          <w:szCs w:val="28"/>
        </w:rPr>
        <w:t xml:space="preserve"> 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676CC6B8">
      <w:pPr>
        <w:spacing w:line="360" w:lineRule="auto"/>
        <w:rPr>
          <w:rFonts w:ascii="宋体" w:hAnsi="宋体"/>
          <w:sz w:val="28"/>
          <w:szCs w:val="28"/>
        </w:rPr>
      </w:pPr>
      <w:r>
        <w:rPr>
          <w:rFonts w:ascii="宋体" w:hAnsi="宋体"/>
          <w:sz w:val="28"/>
          <w:szCs w:val="28"/>
        </w:rPr>
        <w:t>第五章</w:t>
      </w:r>
      <w:r>
        <w:rPr>
          <w:rFonts w:hint="eastAsia" w:ascii="宋体" w:hAnsi="宋体"/>
          <w:sz w:val="28"/>
          <w:szCs w:val="28"/>
        </w:rPr>
        <w:t xml:space="preserve"> </w:t>
      </w:r>
      <w:r>
        <w:rPr>
          <w:rFonts w:ascii="宋体" w:hAnsi="宋体"/>
          <w:sz w:val="28"/>
          <w:szCs w:val="28"/>
        </w:rPr>
        <w:t>合同主要条款</w:t>
      </w:r>
    </w:p>
    <w:p w14:paraId="705F5F0E">
      <w:pPr>
        <w:spacing w:line="360" w:lineRule="auto"/>
        <w:rPr>
          <w:rFonts w:ascii="宋体" w:hAnsi="宋体"/>
          <w:sz w:val="28"/>
          <w:szCs w:val="28"/>
        </w:rPr>
      </w:pPr>
      <w:r>
        <w:rPr>
          <w:rFonts w:ascii="宋体" w:hAnsi="宋体"/>
          <w:sz w:val="28"/>
          <w:szCs w:val="28"/>
        </w:rPr>
        <w:t>第六章</w:t>
      </w:r>
      <w:r>
        <w:rPr>
          <w:rFonts w:hint="eastAsia" w:ascii="宋体" w:hAnsi="宋体"/>
          <w:sz w:val="28"/>
          <w:szCs w:val="28"/>
        </w:rPr>
        <w:t xml:space="preserve"> 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1485FF22"/>
    <w:p w14:paraId="3B6A1C27">
      <w:pPr>
        <w:pStyle w:val="3"/>
      </w:pPr>
    </w:p>
    <w:p w14:paraId="60D1741F">
      <w:pPr>
        <w:pStyle w:val="2"/>
      </w:pPr>
    </w:p>
    <w:p w14:paraId="7D6D9CBB">
      <w:pPr>
        <w:rPr>
          <w:lang w:val="zh-CN"/>
        </w:rPr>
      </w:pPr>
    </w:p>
    <w:p w14:paraId="2AD2DE1A">
      <w:pPr>
        <w:rPr>
          <w:lang w:val="zh-CN"/>
        </w:rPr>
      </w:pPr>
    </w:p>
    <w:p w14:paraId="6204F269">
      <w:pPr>
        <w:pStyle w:val="19"/>
      </w:pPr>
    </w:p>
    <w:p w14:paraId="3BADF131">
      <w:pPr>
        <w:snapToGrid w:val="0"/>
        <w:spacing w:line="360" w:lineRule="auto"/>
        <w:jc w:val="center"/>
        <w:rPr>
          <w:rFonts w:hint="eastAsia" w:ascii="宋体" w:hAnsi="宋体" w:cs="宋体"/>
          <w:b/>
          <w:bCs/>
          <w:sz w:val="30"/>
          <w:szCs w:val="30"/>
        </w:rPr>
      </w:pPr>
      <w:bookmarkStart w:id="0" w:name="OLE_LINK2"/>
      <w:bookmarkStart w:id="1" w:name="OLE_LINK4"/>
      <w:r>
        <w:rPr>
          <w:rFonts w:hint="eastAsia" w:ascii="宋体" w:hAnsi="宋体" w:cs="宋体"/>
          <w:b/>
          <w:bCs/>
          <w:sz w:val="30"/>
          <w:szCs w:val="30"/>
          <w:lang w:val="en-US" w:eastAsia="zh-CN"/>
        </w:rPr>
        <w:t xml:space="preserve">第一章 </w:t>
      </w:r>
      <w:r>
        <w:rPr>
          <w:rFonts w:hint="eastAsia" w:ascii="宋体" w:hAnsi="宋体" w:cs="宋体"/>
          <w:b/>
          <w:bCs/>
          <w:sz w:val="30"/>
          <w:szCs w:val="30"/>
        </w:rPr>
        <w:t>招标公告</w:t>
      </w:r>
    </w:p>
    <w:bookmarkEnd w:id="0"/>
    <w:bookmarkEnd w:id="1"/>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8"/>
      </w:tblGrid>
      <w:tr w14:paraId="38D6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8" w:type="dxa"/>
            <w:noWrap w:val="0"/>
            <w:vAlign w:val="top"/>
          </w:tcPr>
          <w:p w14:paraId="244CFD72">
            <w:pPr>
              <w:pStyle w:val="20"/>
              <w:keepNext w:val="0"/>
              <w:keepLines w:val="0"/>
              <w:widowControl/>
              <w:suppressLineNumbers w:val="0"/>
              <w:spacing w:before="43" w:beforeAutospacing="0" w:after="43" w:afterAutospacing="0" w:line="171" w:lineRule="atLeast"/>
              <w:ind w:left="0" w:right="0"/>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1"/>
                <w:szCs w:val="21"/>
              </w:rPr>
              <w:t> </w:t>
            </w:r>
            <w:r>
              <w:rPr>
                <w:rFonts w:hint="eastAsia" w:ascii="微软雅黑" w:hAnsi="微软雅黑" w:eastAsia="微软雅黑" w:cs="微软雅黑"/>
                <w:b/>
                <w:bCs/>
                <w:i w:val="0"/>
                <w:iCs w:val="0"/>
                <w:caps w:val="0"/>
                <w:color w:val="000000"/>
                <w:spacing w:val="0"/>
                <w:sz w:val="21"/>
                <w:szCs w:val="21"/>
              </w:rPr>
              <w:t>项目概况</w:t>
            </w:r>
            <w:r>
              <w:rPr>
                <w:rFonts w:hint="eastAsia" w:ascii="微软雅黑" w:hAnsi="微软雅黑" w:eastAsia="微软雅黑" w:cs="微软雅黑"/>
                <w:i w:val="0"/>
                <w:iCs w:val="0"/>
                <w:caps w:val="0"/>
                <w:color w:val="000000"/>
                <w:spacing w:val="0"/>
                <w:sz w:val="21"/>
                <w:szCs w:val="21"/>
              </w:rPr>
              <w:t>      </w:t>
            </w:r>
          </w:p>
          <w:p w14:paraId="71C92466">
            <w:pPr>
              <w:pStyle w:val="20"/>
              <w:keepNext w:val="0"/>
              <w:keepLines w:val="0"/>
              <w:widowControl/>
              <w:suppressLineNumbers w:val="0"/>
              <w:spacing w:before="43" w:beforeAutospacing="0" w:after="43" w:afterAutospacing="0" w:line="171" w:lineRule="atLeast"/>
              <w:ind w:left="0" w:right="0" w:firstLine="420" w:firstLineChars="200"/>
              <w:rPr>
                <w:rStyle w:val="26"/>
                <w:rFonts w:hint="eastAsia" w:ascii="仿宋" w:hAnsi="仿宋" w:eastAsia="仿宋" w:cs="仿宋"/>
                <w:color w:val="000000"/>
                <w:sz w:val="21"/>
                <w:szCs w:val="21"/>
              </w:rPr>
            </w:pPr>
            <w:r>
              <w:rPr>
                <w:rFonts w:hint="eastAsia" w:ascii="微软雅黑" w:hAnsi="微软雅黑" w:eastAsia="微软雅黑" w:cs="微软雅黑"/>
                <w:i w:val="0"/>
                <w:iCs w:val="0"/>
                <w:caps w:val="0"/>
                <w:color w:val="000000"/>
                <w:spacing w:val="0"/>
                <w:sz w:val="21"/>
                <w:szCs w:val="21"/>
              </w:rPr>
              <w:t>岱山县公安局派出所提升改造及看守所正规化项目—体检中心部分设备招标项目的潜在投标人应在政采云平台线上获取获取（下载）招标文件，并于2024年12月18日 09:30（北京时间）前递交（上传）投标文件。        </w:t>
            </w:r>
          </w:p>
        </w:tc>
      </w:tr>
    </w:tbl>
    <w:p w14:paraId="599A7E40">
      <w:pPr>
        <w:bidi w:val="0"/>
        <w:rPr>
          <w:rFonts w:hint="eastAsia"/>
          <w:b/>
          <w:bCs/>
          <w:sz w:val="21"/>
          <w:szCs w:val="21"/>
        </w:rPr>
      </w:pPr>
    </w:p>
    <w:p w14:paraId="1E28ED54">
      <w:pPr>
        <w:pStyle w:val="20"/>
        <w:keepNext w:val="0"/>
        <w:keepLines w:val="0"/>
        <w:widowControl/>
        <w:suppressLineNumbers w:val="0"/>
        <w:spacing w:before="300" w:beforeAutospacing="0" w:after="0" w:afterAutospacing="0"/>
        <w:ind w:left="0" w:right="0"/>
        <w:rPr>
          <w:b/>
          <w:bCs/>
          <w:sz w:val="21"/>
          <w:szCs w:val="21"/>
        </w:rPr>
      </w:pPr>
      <w:r>
        <w:rPr>
          <w:rFonts w:ascii="微软雅黑" w:hAnsi="微软雅黑" w:eastAsia="微软雅黑" w:cs="微软雅黑"/>
          <w:b/>
          <w:bCs/>
          <w:i w:val="0"/>
          <w:iCs w:val="0"/>
          <w:caps w:val="0"/>
          <w:color w:val="000000"/>
          <w:spacing w:val="0"/>
          <w:sz w:val="21"/>
          <w:szCs w:val="21"/>
        </w:rPr>
        <w:t>一、项目基本情况</w:t>
      </w:r>
    </w:p>
    <w:p w14:paraId="72895B31">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项目编号：ZHZS（采）-2024-192          </w:t>
      </w:r>
    </w:p>
    <w:p w14:paraId="3ACE4099">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项目名称：岱山县公安局派出所提升改造及看守所正规化项目—体检中心部分设备          </w:t>
      </w:r>
    </w:p>
    <w:p w14:paraId="6F87E17B">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预算金额（元）：334139          </w:t>
      </w:r>
    </w:p>
    <w:p w14:paraId="5464AE94">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最高限价（元）：334139          </w:t>
      </w:r>
    </w:p>
    <w:p w14:paraId="4EE320F8">
      <w:pPr>
        <w:keepNext w:val="0"/>
        <w:keepLines w:val="0"/>
        <w:widowControl/>
        <w:suppressLineNumbers w:val="0"/>
        <w:ind w:lef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采购需求：            </w:t>
      </w:r>
    </w:p>
    <w:p w14:paraId="543BA766">
      <w:pPr>
        <w:pStyle w:val="20"/>
        <w:keepNext w:val="0"/>
        <w:keepLines w:val="0"/>
        <w:widowControl/>
        <w:suppressLineNumbers w:val="0"/>
        <w:spacing w:before="300" w:beforeAutospacing="0" w:after="300" w:afterAutospacing="0" w:line="30" w:lineRule="atLeast"/>
        <w:ind w:left="0" w:right="0"/>
        <w:rPr>
          <w:sz w:val="21"/>
          <w:szCs w:val="21"/>
        </w:rPr>
      </w:pPr>
      <w:r>
        <w:rPr>
          <w:rFonts w:hint="eastAsia" w:ascii="微软雅黑" w:hAnsi="微软雅黑" w:eastAsia="微软雅黑" w:cs="微软雅黑"/>
          <w:i w:val="0"/>
          <w:iCs w:val="0"/>
          <w:caps w:val="0"/>
          <w:color w:val="000000"/>
          <w:spacing w:val="0"/>
          <w:sz w:val="21"/>
          <w:szCs w:val="21"/>
          <w:shd w:val="clear" w:fill="F7F7F7"/>
        </w:rPr>
        <w:t> 标项名称：</w:t>
      </w:r>
      <w:r>
        <w:rPr>
          <w:rFonts w:hint="eastAsia" w:ascii="微软雅黑" w:hAnsi="微软雅黑" w:eastAsia="微软雅黑" w:cs="微软雅黑"/>
          <w:b w:val="0"/>
          <w:bCs w:val="0"/>
          <w:i w:val="0"/>
          <w:iCs w:val="0"/>
          <w:caps w:val="0"/>
          <w:color w:val="000000"/>
          <w:spacing w:val="0"/>
          <w:sz w:val="21"/>
          <w:szCs w:val="21"/>
          <w:shd w:val="clear" w:fill="F7F7F7"/>
        </w:rPr>
        <w:t>岱山县公安局派出所提升改造及看守所正规化项目—体检中心部分设备</w:t>
      </w:r>
      <w:r>
        <w:rPr>
          <w:rFonts w:hint="eastAsia" w:ascii="微软雅黑" w:hAnsi="微软雅黑" w:eastAsia="微软雅黑" w:cs="微软雅黑"/>
          <w:i w:val="0"/>
          <w:iCs w:val="0"/>
          <w:caps w:val="0"/>
          <w:color w:val="000000"/>
          <w:spacing w:val="0"/>
          <w:sz w:val="21"/>
          <w:szCs w:val="21"/>
          <w:shd w:val="clear" w:fill="F7F7F7"/>
        </w:rPr>
        <w:t>              </w:t>
      </w:r>
    </w:p>
    <w:p w14:paraId="6BE23FB1">
      <w:pPr>
        <w:pStyle w:val="20"/>
        <w:keepNext w:val="0"/>
        <w:keepLines w:val="0"/>
        <w:widowControl/>
        <w:suppressLineNumbers w:val="0"/>
        <w:spacing w:before="300" w:beforeAutospacing="0" w:after="300" w:afterAutospacing="0" w:line="30" w:lineRule="atLeast"/>
        <w:ind w:left="0" w:right="0"/>
        <w:rPr>
          <w:sz w:val="21"/>
          <w:szCs w:val="21"/>
        </w:rPr>
      </w:pPr>
      <w:r>
        <w:rPr>
          <w:rFonts w:hint="eastAsia" w:ascii="微软雅黑" w:hAnsi="微软雅黑" w:eastAsia="微软雅黑" w:cs="微软雅黑"/>
          <w:i w:val="0"/>
          <w:iCs w:val="0"/>
          <w:caps w:val="0"/>
          <w:color w:val="000000"/>
          <w:spacing w:val="0"/>
          <w:sz w:val="21"/>
          <w:szCs w:val="21"/>
          <w:shd w:val="clear" w:fill="F7F7F7"/>
        </w:rPr>
        <w:t>数量：</w:t>
      </w:r>
      <w:r>
        <w:rPr>
          <w:rFonts w:hint="eastAsia" w:ascii="微软雅黑" w:hAnsi="微软雅黑" w:eastAsia="微软雅黑" w:cs="微软雅黑"/>
          <w:b w:val="0"/>
          <w:bCs w:val="0"/>
          <w:i w:val="0"/>
          <w:iCs w:val="0"/>
          <w:caps w:val="0"/>
          <w:color w:val="000000"/>
          <w:spacing w:val="0"/>
          <w:sz w:val="21"/>
          <w:szCs w:val="21"/>
          <w:shd w:val="clear" w:fill="F7F7F7"/>
        </w:rPr>
        <w:t>1</w:t>
      </w:r>
      <w:r>
        <w:rPr>
          <w:rFonts w:hint="eastAsia" w:ascii="微软雅黑" w:hAnsi="微软雅黑" w:eastAsia="微软雅黑" w:cs="微软雅黑"/>
          <w:i w:val="0"/>
          <w:iCs w:val="0"/>
          <w:caps w:val="0"/>
          <w:color w:val="000000"/>
          <w:spacing w:val="0"/>
          <w:sz w:val="21"/>
          <w:szCs w:val="21"/>
          <w:shd w:val="clear" w:fill="F7F7F7"/>
        </w:rPr>
        <w:t>              </w:t>
      </w:r>
    </w:p>
    <w:p w14:paraId="3E7C4FF3">
      <w:pPr>
        <w:pStyle w:val="20"/>
        <w:keepNext w:val="0"/>
        <w:keepLines w:val="0"/>
        <w:widowControl/>
        <w:suppressLineNumbers w:val="0"/>
        <w:spacing w:before="300" w:beforeAutospacing="0" w:after="300" w:afterAutospacing="0" w:line="30" w:lineRule="atLeast"/>
        <w:ind w:left="0" w:right="0"/>
        <w:rPr>
          <w:sz w:val="21"/>
          <w:szCs w:val="21"/>
        </w:rPr>
      </w:pPr>
      <w:r>
        <w:rPr>
          <w:rFonts w:hint="eastAsia" w:ascii="微软雅黑" w:hAnsi="微软雅黑" w:eastAsia="微软雅黑" w:cs="微软雅黑"/>
          <w:i w:val="0"/>
          <w:iCs w:val="0"/>
          <w:caps w:val="0"/>
          <w:color w:val="000000"/>
          <w:spacing w:val="0"/>
          <w:sz w:val="21"/>
          <w:szCs w:val="21"/>
          <w:shd w:val="clear" w:fill="F7F7F7"/>
        </w:rPr>
        <w:t>预算金额（元）：</w:t>
      </w:r>
      <w:r>
        <w:rPr>
          <w:rFonts w:hint="eastAsia" w:ascii="微软雅黑" w:hAnsi="微软雅黑" w:eastAsia="微软雅黑" w:cs="微软雅黑"/>
          <w:b w:val="0"/>
          <w:bCs w:val="0"/>
          <w:i w:val="0"/>
          <w:iCs w:val="0"/>
          <w:caps w:val="0"/>
          <w:color w:val="000000"/>
          <w:spacing w:val="0"/>
          <w:sz w:val="21"/>
          <w:szCs w:val="21"/>
          <w:shd w:val="clear" w:fill="F7F7F7"/>
        </w:rPr>
        <w:t>334139</w:t>
      </w:r>
      <w:r>
        <w:rPr>
          <w:rFonts w:hint="eastAsia" w:ascii="微软雅黑" w:hAnsi="微软雅黑" w:eastAsia="微软雅黑" w:cs="微软雅黑"/>
          <w:i w:val="0"/>
          <w:iCs w:val="0"/>
          <w:caps w:val="0"/>
          <w:color w:val="000000"/>
          <w:spacing w:val="0"/>
          <w:sz w:val="21"/>
          <w:szCs w:val="21"/>
          <w:shd w:val="clear" w:fill="F7F7F7"/>
        </w:rPr>
        <w:t>              </w:t>
      </w:r>
    </w:p>
    <w:p w14:paraId="00C05E29">
      <w:pPr>
        <w:pStyle w:val="20"/>
        <w:keepNext w:val="0"/>
        <w:keepLines w:val="0"/>
        <w:widowControl/>
        <w:suppressLineNumbers w:val="0"/>
        <w:spacing w:before="300" w:beforeAutospacing="0" w:after="300" w:afterAutospacing="0" w:line="30" w:lineRule="atLeast"/>
        <w:ind w:left="0" w:right="0"/>
        <w:rPr>
          <w:sz w:val="21"/>
          <w:szCs w:val="21"/>
        </w:rPr>
      </w:pPr>
      <w:r>
        <w:rPr>
          <w:rFonts w:hint="eastAsia" w:ascii="微软雅黑" w:hAnsi="微软雅黑" w:eastAsia="微软雅黑" w:cs="微软雅黑"/>
          <w:i w:val="0"/>
          <w:iCs w:val="0"/>
          <w:caps w:val="0"/>
          <w:color w:val="000000"/>
          <w:spacing w:val="0"/>
          <w:sz w:val="21"/>
          <w:szCs w:val="21"/>
          <w:shd w:val="clear" w:fill="F7F7F7"/>
        </w:rPr>
        <w:t>简要规格描述或项目基本概况介绍、用途：</w:t>
      </w:r>
      <w:r>
        <w:rPr>
          <w:rFonts w:hint="eastAsia" w:ascii="微软雅黑" w:hAnsi="微软雅黑" w:eastAsia="微软雅黑" w:cs="微软雅黑"/>
          <w:b w:val="0"/>
          <w:bCs w:val="0"/>
          <w:i w:val="0"/>
          <w:iCs w:val="0"/>
          <w:caps w:val="0"/>
          <w:color w:val="000000"/>
          <w:spacing w:val="0"/>
          <w:sz w:val="21"/>
          <w:szCs w:val="21"/>
          <w:shd w:val="clear" w:fill="F7F7F7"/>
        </w:rPr>
        <w:t>详见招标文件</w:t>
      </w:r>
      <w:r>
        <w:rPr>
          <w:rFonts w:hint="eastAsia" w:ascii="微软雅黑" w:hAnsi="微软雅黑" w:eastAsia="微软雅黑" w:cs="微软雅黑"/>
          <w:i w:val="0"/>
          <w:iCs w:val="0"/>
          <w:caps w:val="0"/>
          <w:color w:val="000000"/>
          <w:spacing w:val="0"/>
          <w:sz w:val="21"/>
          <w:szCs w:val="21"/>
          <w:shd w:val="clear" w:fill="F7F7F7"/>
        </w:rPr>
        <w:t>              </w:t>
      </w:r>
    </w:p>
    <w:p w14:paraId="56CD4619">
      <w:pPr>
        <w:pStyle w:val="20"/>
        <w:keepNext w:val="0"/>
        <w:keepLines w:val="0"/>
        <w:widowControl/>
        <w:suppressLineNumbers w:val="0"/>
        <w:spacing w:before="300" w:beforeAutospacing="0" w:after="300" w:afterAutospacing="0" w:line="30" w:lineRule="atLeast"/>
        <w:ind w:left="0" w:right="0"/>
        <w:rPr>
          <w:sz w:val="21"/>
          <w:szCs w:val="21"/>
        </w:rPr>
      </w:pPr>
      <w:r>
        <w:rPr>
          <w:rFonts w:hint="eastAsia" w:ascii="微软雅黑" w:hAnsi="微软雅黑" w:eastAsia="微软雅黑" w:cs="微软雅黑"/>
          <w:i w:val="0"/>
          <w:iCs w:val="0"/>
          <w:caps w:val="0"/>
          <w:color w:val="000000"/>
          <w:spacing w:val="0"/>
          <w:sz w:val="21"/>
          <w:szCs w:val="21"/>
          <w:shd w:val="clear" w:fill="F7F7F7"/>
        </w:rPr>
        <w:t>备注：              </w:t>
      </w:r>
    </w:p>
    <w:p w14:paraId="0EDDB779">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合同履约期限：标项 1，详见招标文件          </w:t>
      </w:r>
    </w:p>
    <w:p w14:paraId="2D2BB3D4">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本项目（否）接受联合体投标。          </w:t>
      </w:r>
    </w:p>
    <w:p w14:paraId="0355BFE8">
      <w:pPr>
        <w:pStyle w:val="20"/>
        <w:keepNext w:val="0"/>
        <w:keepLines w:val="0"/>
        <w:widowControl/>
        <w:suppressLineNumbers w:val="0"/>
        <w:spacing w:before="300" w:beforeAutospacing="0" w:after="0" w:afterAutospacing="0"/>
        <w:ind w:left="0" w:right="0"/>
        <w:rPr>
          <w:b/>
          <w:bCs/>
          <w:sz w:val="21"/>
          <w:szCs w:val="21"/>
        </w:rPr>
      </w:pPr>
      <w:r>
        <w:rPr>
          <w:rFonts w:hint="eastAsia" w:ascii="微软雅黑" w:hAnsi="微软雅黑" w:eastAsia="微软雅黑" w:cs="微软雅黑"/>
          <w:b/>
          <w:bCs/>
          <w:i w:val="0"/>
          <w:iCs w:val="0"/>
          <w:caps w:val="0"/>
          <w:color w:val="000000"/>
          <w:spacing w:val="0"/>
          <w:sz w:val="21"/>
          <w:szCs w:val="21"/>
        </w:rPr>
        <w:t>二、申请人的资格要求：</w:t>
      </w:r>
    </w:p>
    <w:p w14:paraId="095FD9BB">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1.满足《中华人民共和国政府采购法》第二十二条规定；未被“信用中国”（www.creditchina.gov.cn)、中国政府采购网（www.ccgp.gov.cn）列入失信被执行人、重大税收违法失信主体、政府采购严重违法失信行为记录名单。          </w:t>
      </w:r>
    </w:p>
    <w:p w14:paraId="60479F9C">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2.落实政府采购政策需满足的资格要求：标项1：无          </w:t>
      </w:r>
    </w:p>
    <w:p w14:paraId="42A0EA4A">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3.本项目的特定资格要求：无          </w:t>
      </w:r>
    </w:p>
    <w:p w14:paraId="3B3B338D">
      <w:pPr>
        <w:pStyle w:val="20"/>
        <w:keepNext w:val="0"/>
        <w:keepLines w:val="0"/>
        <w:widowControl/>
        <w:suppressLineNumbers w:val="0"/>
        <w:spacing w:before="300" w:beforeAutospacing="0" w:after="0" w:afterAutospacing="0"/>
        <w:ind w:left="0" w:right="0"/>
        <w:rPr>
          <w:b/>
          <w:bCs/>
          <w:sz w:val="21"/>
          <w:szCs w:val="21"/>
        </w:rPr>
      </w:pPr>
      <w:r>
        <w:rPr>
          <w:rFonts w:hint="eastAsia" w:ascii="微软雅黑" w:hAnsi="微软雅黑" w:eastAsia="微软雅黑" w:cs="微软雅黑"/>
          <w:b/>
          <w:bCs/>
          <w:i w:val="0"/>
          <w:iCs w:val="0"/>
          <w:caps w:val="0"/>
          <w:color w:val="000000"/>
          <w:spacing w:val="0"/>
          <w:sz w:val="21"/>
          <w:szCs w:val="21"/>
        </w:rPr>
        <w:t>三、获取招标文件</w:t>
      </w:r>
    </w:p>
    <w:p w14:paraId="413199CE">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时间：/至2024年12月18日 ，每天上午00:00至12:00 ，下午12:00至23:59（北京时间，线上获取法定节假日均可，线下获取文件法定节假日除外）          </w:t>
      </w:r>
    </w:p>
    <w:p w14:paraId="32226E63">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地点（网址）：政采云平台线上获取          </w:t>
      </w:r>
    </w:p>
    <w:p w14:paraId="3EE549FA">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方式：供应商登录政采云平台https://www.zcygov.cn/在线申请获取采购文件（进入“项目采购”应用，在获取采购文件菜单中选择项目，申请获取采购文件）          </w:t>
      </w:r>
    </w:p>
    <w:p w14:paraId="0A9C6681">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售价（元）：0          </w:t>
      </w:r>
    </w:p>
    <w:p w14:paraId="7733D263">
      <w:pPr>
        <w:pStyle w:val="20"/>
        <w:keepNext w:val="0"/>
        <w:keepLines w:val="0"/>
        <w:widowControl/>
        <w:suppressLineNumbers w:val="0"/>
        <w:spacing w:before="300" w:beforeAutospacing="0" w:after="0" w:afterAutospacing="0"/>
        <w:ind w:left="0" w:right="0"/>
        <w:rPr>
          <w:b/>
          <w:bCs/>
          <w:sz w:val="21"/>
          <w:szCs w:val="21"/>
        </w:rPr>
      </w:pPr>
      <w:r>
        <w:rPr>
          <w:rFonts w:hint="eastAsia" w:ascii="微软雅黑" w:hAnsi="微软雅黑" w:eastAsia="微软雅黑" w:cs="微软雅黑"/>
          <w:b/>
          <w:bCs/>
          <w:i w:val="0"/>
          <w:iCs w:val="0"/>
          <w:caps w:val="0"/>
          <w:color w:val="000000"/>
          <w:spacing w:val="0"/>
          <w:sz w:val="21"/>
          <w:szCs w:val="21"/>
        </w:rPr>
        <w:t>四、提交投标文件截止时间、开标时间和地点</w:t>
      </w:r>
    </w:p>
    <w:p w14:paraId="2496F171">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提交投标文件截止时间：2024年12月18日 09:30（北京时间）          </w:t>
      </w:r>
    </w:p>
    <w:p w14:paraId="547E8C9A">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投标地点（网址）：请登录政采云投标客户端投标          </w:t>
      </w:r>
    </w:p>
    <w:p w14:paraId="66C4FF81">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开标时间：2024年12月18日 09:30          </w:t>
      </w:r>
    </w:p>
    <w:p w14:paraId="0F9EC967">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开标地点（网址）：政采云          </w:t>
      </w:r>
    </w:p>
    <w:p w14:paraId="35691A2D">
      <w:pPr>
        <w:pStyle w:val="20"/>
        <w:keepNext w:val="0"/>
        <w:keepLines w:val="0"/>
        <w:widowControl/>
        <w:suppressLineNumbers w:val="0"/>
        <w:spacing w:before="300" w:beforeAutospacing="0" w:after="0" w:afterAutospacing="0"/>
        <w:ind w:left="0" w:right="0"/>
        <w:rPr>
          <w:b/>
          <w:bCs/>
          <w:sz w:val="21"/>
          <w:szCs w:val="21"/>
        </w:rPr>
      </w:pPr>
      <w:r>
        <w:rPr>
          <w:rFonts w:hint="eastAsia" w:ascii="微软雅黑" w:hAnsi="微软雅黑" w:eastAsia="微软雅黑" w:cs="微软雅黑"/>
          <w:b/>
          <w:bCs/>
          <w:i w:val="0"/>
          <w:iCs w:val="0"/>
          <w:caps w:val="0"/>
          <w:color w:val="000000"/>
          <w:spacing w:val="0"/>
          <w:sz w:val="21"/>
          <w:szCs w:val="21"/>
        </w:rPr>
        <w:t>五、公告期限</w:t>
      </w:r>
    </w:p>
    <w:p w14:paraId="0EB726F3">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自本公告发布之日起5个工作日。          </w:t>
      </w:r>
    </w:p>
    <w:p w14:paraId="5DB34C0C">
      <w:pPr>
        <w:pStyle w:val="20"/>
        <w:keepNext w:val="0"/>
        <w:keepLines w:val="0"/>
        <w:widowControl/>
        <w:suppressLineNumbers w:val="0"/>
        <w:spacing w:before="300" w:beforeAutospacing="0" w:after="0" w:afterAutospacing="0"/>
        <w:ind w:left="0" w:right="0"/>
        <w:rPr>
          <w:b/>
          <w:bCs/>
          <w:sz w:val="21"/>
          <w:szCs w:val="21"/>
        </w:rPr>
      </w:pPr>
      <w:r>
        <w:rPr>
          <w:rFonts w:hint="eastAsia" w:ascii="微软雅黑" w:hAnsi="微软雅黑" w:eastAsia="微软雅黑" w:cs="微软雅黑"/>
          <w:b/>
          <w:bCs/>
          <w:i w:val="0"/>
          <w:iCs w:val="0"/>
          <w:caps w:val="0"/>
          <w:color w:val="000000"/>
          <w:spacing w:val="0"/>
          <w:sz w:val="21"/>
          <w:szCs w:val="21"/>
        </w:rPr>
        <w:t>六、其他补充事宜</w:t>
      </w:r>
    </w:p>
    <w:p w14:paraId="4EF1DEE9">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5193DD5E">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0389A4B8">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413AF4C3">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4.其他事项：（1）响应文件的制作及递交：1）响应人须在线获取CA数字证书（完成CA数字证书办理预计一周左右，建议各响应人自行把握时间），并登录“浙江政府采购网”（ http://zfcg.czt.zj.gov.cn/），进入“下载专区”下载“电子交易客户端”，制作响应文件。2）具体的响应文件加密上传等操作详见政采云平台操作指南（https://edu.zcygov.cn/luban/e-biding?utm=a0004.2ef5001f.0001.0109.da8b35e0da8611e98d8937b7ef8a3544）。3）根据《浙江省政府采购项目电子交易管理暂行办法》第二十条规定，本次响应允许响应人递交备份响应文件，仅提交备份响应文件的，响应无效。（2）响应人应在合同签订前成为浙江政府采购网正式注册供应商。          </w:t>
      </w:r>
    </w:p>
    <w:p w14:paraId="750642B7">
      <w:pPr>
        <w:pStyle w:val="20"/>
        <w:keepNext w:val="0"/>
        <w:keepLines w:val="0"/>
        <w:widowControl/>
        <w:suppressLineNumbers w:val="0"/>
        <w:spacing w:before="300" w:beforeAutospacing="0" w:after="0" w:afterAutospacing="0"/>
        <w:ind w:left="0" w:right="0"/>
        <w:rPr>
          <w:b/>
          <w:bCs/>
          <w:sz w:val="21"/>
          <w:szCs w:val="21"/>
        </w:rPr>
      </w:pPr>
      <w:r>
        <w:rPr>
          <w:rFonts w:hint="eastAsia" w:ascii="微软雅黑" w:hAnsi="微软雅黑" w:eastAsia="微软雅黑" w:cs="微软雅黑"/>
          <w:b/>
          <w:bCs/>
          <w:i w:val="0"/>
          <w:iCs w:val="0"/>
          <w:caps w:val="0"/>
          <w:color w:val="000000"/>
          <w:spacing w:val="0"/>
          <w:sz w:val="21"/>
          <w:szCs w:val="21"/>
        </w:rPr>
        <w:t>七、对本次采购提出询问、质疑、投诉，请按以下方式联系</w:t>
      </w:r>
    </w:p>
    <w:p w14:paraId="0043573A">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1.采购人信息          </w:t>
      </w:r>
    </w:p>
    <w:p w14:paraId="2AF6FC02">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名    称：岱山县公安局          </w:t>
      </w:r>
    </w:p>
    <w:p w14:paraId="30765B5A">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地    址：飞舟路1号          </w:t>
      </w:r>
    </w:p>
    <w:p w14:paraId="6A34B335">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传    真：          </w:t>
      </w:r>
    </w:p>
    <w:p w14:paraId="777B8578">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项目联系人（询问）：朱志军          </w:t>
      </w:r>
    </w:p>
    <w:p w14:paraId="340559E8">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项目联系方式（询问）：0580-4400658          </w:t>
      </w:r>
    </w:p>
    <w:p w14:paraId="4450FAAA">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质疑联系人：朱志军          </w:t>
      </w:r>
    </w:p>
    <w:p w14:paraId="5AE84F98">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质疑联系方式：13454097755          </w:t>
      </w:r>
    </w:p>
    <w:p w14:paraId="7AEBC996">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2.采购代理机构信息          </w:t>
      </w:r>
    </w:p>
    <w:p w14:paraId="1B3DD683">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名    称：浙江卓宏建设项目管理有限公司          </w:t>
      </w:r>
    </w:p>
    <w:p w14:paraId="05928D6A">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地    址：舟山市临城千岛路中浪国际A座6楼          </w:t>
      </w:r>
    </w:p>
    <w:p w14:paraId="6A9AD354">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传    真：          </w:t>
      </w:r>
    </w:p>
    <w:p w14:paraId="6F46AEC3">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项目联系人（询问）：陈怡轩          </w:t>
      </w:r>
    </w:p>
    <w:p w14:paraId="2E0949EA">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项目联系方式（询问）：0580-2027712          </w:t>
      </w:r>
    </w:p>
    <w:p w14:paraId="69ED907B">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质疑联系人：刘珍珍          </w:t>
      </w:r>
    </w:p>
    <w:p w14:paraId="5354EF86">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质疑联系方式：0580-2027712          </w:t>
      </w:r>
    </w:p>
    <w:p w14:paraId="6052D040">
      <w:pPr>
        <w:pStyle w:val="20"/>
        <w:keepNext w:val="0"/>
        <w:keepLines w:val="0"/>
        <w:widowControl/>
        <w:suppressLineNumbers w:val="0"/>
        <w:spacing w:before="0" w:beforeAutospacing="0" w:after="0" w:afterAutospacing="0"/>
        <w:ind w:left="0" w:right="0" w:firstLine="420"/>
        <w:rPr>
          <w:sz w:val="21"/>
          <w:szCs w:val="21"/>
        </w:rPr>
      </w:pPr>
      <w:r>
        <w:rPr>
          <w:rFonts w:hint="eastAsia" w:ascii="微软雅黑" w:hAnsi="微软雅黑" w:eastAsia="微软雅黑" w:cs="微软雅黑"/>
          <w:i w:val="0"/>
          <w:iCs w:val="0"/>
          <w:caps w:val="0"/>
          <w:color w:val="000000"/>
          <w:spacing w:val="0"/>
          <w:sz w:val="21"/>
          <w:szCs w:val="21"/>
        </w:rPr>
        <w:t>3.</w:t>
      </w:r>
      <w:r>
        <w:rPr>
          <w:rStyle w:val="30"/>
          <w:rFonts w:hint="eastAsia" w:ascii="微软雅黑" w:hAnsi="微软雅黑" w:eastAsia="微软雅黑" w:cs="微软雅黑"/>
          <w:i w:val="0"/>
          <w:iCs w:val="0"/>
          <w:caps w:val="0"/>
          <w:color w:val="000000"/>
          <w:spacing w:val="0"/>
          <w:sz w:val="21"/>
          <w:szCs w:val="21"/>
        </w:rPr>
        <w:t>同级政府采购监督管理部门</w:t>
      </w:r>
    </w:p>
    <w:p w14:paraId="6F058883">
      <w:pPr>
        <w:pStyle w:val="20"/>
        <w:keepNext w:val="0"/>
        <w:keepLines w:val="0"/>
        <w:widowControl/>
        <w:suppressLineNumbers w:val="0"/>
        <w:spacing w:before="0" w:beforeAutospacing="0" w:after="0" w:afterAutospacing="0"/>
        <w:ind w:left="0" w:right="0" w:firstLine="420"/>
        <w:rPr>
          <w:rStyle w:val="30"/>
          <w:rFonts w:hint="eastAsia" w:ascii="微软雅黑" w:hAnsi="微软雅黑" w:eastAsia="微软雅黑" w:cs="微软雅黑"/>
          <w:i w:val="0"/>
          <w:iCs w:val="0"/>
          <w:caps w:val="0"/>
          <w:color w:val="000000"/>
          <w:spacing w:val="0"/>
          <w:sz w:val="21"/>
          <w:szCs w:val="21"/>
        </w:rPr>
      </w:pPr>
      <w:r>
        <w:rPr>
          <w:rStyle w:val="30"/>
          <w:rFonts w:hint="eastAsia" w:ascii="微软雅黑" w:hAnsi="微软雅黑" w:eastAsia="微软雅黑" w:cs="微软雅黑"/>
          <w:i w:val="0"/>
          <w:iCs w:val="0"/>
          <w:caps w:val="0"/>
          <w:color w:val="000000"/>
          <w:spacing w:val="0"/>
          <w:sz w:val="21"/>
          <w:szCs w:val="21"/>
        </w:rPr>
        <w:t>名    称：岱山县财政局政府采购监管科</w:t>
      </w:r>
    </w:p>
    <w:p w14:paraId="48E46955">
      <w:pPr>
        <w:pStyle w:val="20"/>
        <w:keepNext w:val="0"/>
        <w:keepLines w:val="0"/>
        <w:widowControl/>
        <w:suppressLineNumbers w:val="0"/>
        <w:spacing w:before="0" w:beforeAutospacing="0" w:after="0" w:afterAutospacing="0"/>
        <w:ind w:left="0" w:right="0" w:firstLine="420"/>
        <w:rPr>
          <w:rStyle w:val="30"/>
          <w:rFonts w:hint="eastAsia" w:ascii="微软雅黑" w:hAnsi="微软雅黑" w:eastAsia="微软雅黑" w:cs="微软雅黑"/>
          <w:i w:val="0"/>
          <w:iCs w:val="0"/>
          <w:caps w:val="0"/>
          <w:color w:val="000000"/>
          <w:spacing w:val="0"/>
          <w:sz w:val="21"/>
          <w:szCs w:val="21"/>
        </w:rPr>
      </w:pPr>
      <w:r>
        <w:rPr>
          <w:rStyle w:val="30"/>
          <w:rFonts w:hint="eastAsia" w:ascii="微软雅黑" w:hAnsi="微软雅黑" w:eastAsia="微软雅黑" w:cs="微软雅黑"/>
          <w:i w:val="0"/>
          <w:iCs w:val="0"/>
          <w:caps w:val="0"/>
          <w:color w:val="000000"/>
          <w:spacing w:val="0"/>
          <w:sz w:val="21"/>
          <w:szCs w:val="21"/>
        </w:rPr>
        <w:t>地    址：</w:t>
      </w:r>
    </w:p>
    <w:p w14:paraId="69690015">
      <w:pPr>
        <w:pStyle w:val="20"/>
        <w:keepNext w:val="0"/>
        <w:keepLines w:val="0"/>
        <w:widowControl/>
        <w:suppressLineNumbers w:val="0"/>
        <w:spacing w:before="0" w:beforeAutospacing="0" w:after="0" w:afterAutospacing="0"/>
        <w:ind w:left="0" w:right="0" w:firstLine="420"/>
        <w:rPr>
          <w:rStyle w:val="30"/>
          <w:rFonts w:hint="eastAsia" w:ascii="微软雅黑" w:hAnsi="微软雅黑" w:eastAsia="微软雅黑" w:cs="微软雅黑"/>
          <w:i w:val="0"/>
          <w:iCs w:val="0"/>
          <w:caps w:val="0"/>
          <w:color w:val="000000"/>
          <w:spacing w:val="0"/>
          <w:sz w:val="21"/>
          <w:szCs w:val="21"/>
        </w:rPr>
      </w:pPr>
      <w:r>
        <w:rPr>
          <w:rStyle w:val="30"/>
          <w:rFonts w:hint="eastAsia" w:ascii="微软雅黑" w:hAnsi="微软雅黑" w:eastAsia="微软雅黑" w:cs="微软雅黑"/>
          <w:i w:val="0"/>
          <w:iCs w:val="0"/>
          <w:caps w:val="0"/>
          <w:color w:val="000000"/>
          <w:spacing w:val="0"/>
          <w:sz w:val="21"/>
          <w:szCs w:val="21"/>
        </w:rPr>
        <w:t>传    真：</w:t>
      </w:r>
    </w:p>
    <w:p w14:paraId="5AE64B7D">
      <w:pPr>
        <w:pStyle w:val="20"/>
        <w:keepNext w:val="0"/>
        <w:keepLines w:val="0"/>
        <w:widowControl/>
        <w:suppressLineNumbers w:val="0"/>
        <w:spacing w:before="0" w:beforeAutospacing="0" w:after="0" w:afterAutospacing="0"/>
        <w:ind w:left="0" w:right="0" w:firstLine="420"/>
        <w:rPr>
          <w:rStyle w:val="30"/>
          <w:rFonts w:hint="eastAsia" w:ascii="微软雅黑" w:hAnsi="微软雅黑" w:eastAsia="微软雅黑" w:cs="微软雅黑"/>
          <w:i w:val="0"/>
          <w:iCs w:val="0"/>
          <w:caps w:val="0"/>
          <w:color w:val="000000"/>
          <w:spacing w:val="0"/>
          <w:sz w:val="21"/>
          <w:szCs w:val="21"/>
        </w:rPr>
      </w:pPr>
      <w:r>
        <w:rPr>
          <w:rStyle w:val="30"/>
          <w:rFonts w:hint="eastAsia" w:ascii="微软雅黑" w:hAnsi="微软雅黑" w:eastAsia="微软雅黑" w:cs="微软雅黑"/>
          <w:i w:val="0"/>
          <w:iCs w:val="0"/>
          <w:caps w:val="0"/>
          <w:color w:val="000000"/>
          <w:spacing w:val="0"/>
          <w:sz w:val="21"/>
          <w:szCs w:val="21"/>
        </w:rPr>
        <w:t>联 系 人：何先生</w:t>
      </w:r>
    </w:p>
    <w:p w14:paraId="40B75674">
      <w:pPr>
        <w:pStyle w:val="20"/>
        <w:keepNext w:val="0"/>
        <w:keepLines w:val="0"/>
        <w:widowControl/>
        <w:suppressLineNumbers w:val="0"/>
        <w:spacing w:before="0" w:beforeAutospacing="0" w:after="0" w:afterAutospacing="0"/>
        <w:ind w:left="0" w:right="0" w:firstLine="420"/>
        <w:rPr>
          <w:rStyle w:val="30"/>
          <w:rFonts w:hint="eastAsia" w:ascii="微软雅黑" w:hAnsi="微软雅黑" w:eastAsia="微软雅黑" w:cs="微软雅黑"/>
          <w:i w:val="0"/>
          <w:iCs w:val="0"/>
          <w:caps w:val="0"/>
          <w:color w:val="000000"/>
          <w:spacing w:val="0"/>
          <w:sz w:val="21"/>
          <w:szCs w:val="21"/>
        </w:rPr>
      </w:pPr>
      <w:r>
        <w:rPr>
          <w:rStyle w:val="30"/>
          <w:rFonts w:hint="eastAsia" w:ascii="微软雅黑" w:hAnsi="微软雅黑" w:eastAsia="微软雅黑" w:cs="微软雅黑"/>
          <w:i w:val="0"/>
          <w:iCs w:val="0"/>
          <w:caps w:val="0"/>
          <w:color w:val="000000"/>
          <w:spacing w:val="0"/>
          <w:sz w:val="21"/>
          <w:szCs w:val="21"/>
        </w:rPr>
        <w:t>监督投诉电话：0580-4472749</w:t>
      </w:r>
    </w:p>
    <w:p w14:paraId="3FD0FD7A">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p w14:paraId="13454BB5">
      <w:pPr>
        <w:pStyle w:val="20"/>
        <w:keepNext w:val="0"/>
        <w:keepLines w:val="0"/>
        <w:widowControl/>
        <w:suppressLineNumbers w:val="0"/>
        <w:spacing w:before="600" w:beforeAutospacing="0" w:after="0" w:afterAutospacing="0"/>
        <w:ind w:left="0" w:right="0"/>
        <w:rPr>
          <w:sz w:val="21"/>
          <w:szCs w:val="21"/>
        </w:rPr>
      </w:pPr>
      <w:r>
        <w:rPr>
          <w:rFonts w:hint="eastAsia" w:ascii="微软雅黑" w:hAnsi="微软雅黑" w:eastAsia="微软雅黑" w:cs="微软雅黑"/>
          <w:i w:val="0"/>
          <w:iCs w:val="0"/>
          <w:caps w:val="0"/>
          <w:color w:val="000000"/>
          <w:spacing w:val="0"/>
          <w:sz w:val="21"/>
          <w:szCs w:val="21"/>
        </w:rPr>
        <w:t>若对项目采购电子交易系统操作有疑问，可登录政采云（https://www.zcygov.cn/），点击右侧咨询小采，获取采小蜜智能服务管家帮助，或拨打政采云服务热线95763获取热线服务帮助。</w:t>
      </w:r>
    </w:p>
    <w:p w14:paraId="53C144F4">
      <w:pPr>
        <w:pStyle w:val="20"/>
        <w:keepNext w:val="0"/>
        <w:keepLines w:val="0"/>
        <w:widowControl/>
        <w:suppressLineNumbers w:val="0"/>
        <w:spacing w:before="0" w:beforeAutospacing="0" w:after="0" w:afterAutospacing="0"/>
        <w:ind w:left="0" w:right="0"/>
        <w:rPr>
          <w:sz w:val="21"/>
          <w:szCs w:val="21"/>
        </w:rPr>
      </w:pPr>
      <w:r>
        <w:rPr>
          <w:rFonts w:hint="eastAsia" w:ascii="微软雅黑" w:hAnsi="微软雅黑" w:eastAsia="微软雅黑" w:cs="微软雅黑"/>
          <w:i w:val="0"/>
          <w:iCs w:val="0"/>
          <w:caps w:val="0"/>
          <w:color w:val="000000"/>
          <w:spacing w:val="0"/>
          <w:sz w:val="21"/>
          <w:szCs w:val="21"/>
        </w:rPr>
        <w:t>CA问题联系电话（人工）：汇信CA 400-888-4636；天谷CA 400-087-8198。</w:t>
      </w:r>
    </w:p>
    <w:p w14:paraId="3E29A14A">
      <w:pPr>
        <w:pStyle w:val="20"/>
        <w:widowControl/>
        <w:spacing w:before="50" w:beforeAutospacing="0" w:after="50" w:afterAutospacing="0" w:line="360" w:lineRule="auto"/>
        <w:rPr>
          <w:rFonts w:ascii="Times New Roman" w:hAnsi="Times New Roman"/>
          <w:sz w:val="21"/>
          <w:szCs w:val="21"/>
        </w:rPr>
      </w:pPr>
    </w:p>
    <w:p w14:paraId="384A460B">
      <w:pPr>
        <w:pStyle w:val="20"/>
        <w:widowControl/>
        <w:spacing w:before="75" w:beforeAutospacing="0" w:after="75" w:afterAutospacing="0" w:line="400" w:lineRule="exact"/>
        <w:rPr>
          <w:rFonts w:ascii="Times New Roman" w:hAnsi="Times New Roman"/>
        </w:rPr>
      </w:pPr>
    </w:p>
    <w:p w14:paraId="180796FE">
      <w:pPr>
        <w:pStyle w:val="2"/>
        <w:spacing w:line="400" w:lineRule="exact"/>
        <w:ind w:firstLine="301"/>
        <w:jc w:val="center"/>
        <w:rPr>
          <w:b/>
          <w:sz w:val="30"/>
          <w:szCs w:val="30"/>
        </w:rPr>
        <w:sectPr>
          <w:pgSz w:w="11906" w:h="16838"/>
          <w:pgMar w:top="1531" w:right="1134" w:bottom="737" w:left="1230" w:header="851" w:footer="583" w:gutter="0"/>
          <w:pgNumType w:start="1"/>
          <w:cols w:space="720" w:num="1"/>
          <w:titlePg/>
          <w:docGrid w:type="lines" w:linePitch="312" w:charSpace="0"/>
        </w:sectPr>
      </w:pPr>
    </w:p>
    <w:p w14:paraId="70C328AD">
      <w:pPr>
        <w:snapToGrid w:val="0"/>
        <w:spacing w:line="360" w:lineRule="auto"/>
        <w:jc w:val="center"/>
        <w:rPr>
          <w:rFonts w:ascii="宋体" w:hAnsi="宋体" w:cs="宋体"/>
          <w:b/>
          <w:bCs/>
          <w:szCs w:val="21"/>
        </w:rPr>
      </w:pPr>
      <w:r>
        <w:rPr>
          <w:rFonts w:hint="eastAsia" w:ascii="宋体" w:hAnsi="宋体" w:cs="宋体"/>
          <w:b/>
          <w:bCs/>
          <w:sz w:val="30"/>
          <w:szCs w:val="30"/>
        </w:rPr>
        <w:t>第二章</w:t>
      </w:r>
      <w:r>
        <w:rPr>
          <w:rFonts w:hint="eastAsia" w:ascii="宋体" w:hAnsi="宋体" w:cs="宋体"/>
          <w:b/>
          <w:bCs/>
          <w:sz w:val="30"/>
          <w:szCs w:val="30"/>
          <w:lang w:val="en-US" w:eastAsia="zh-CN"/>
        </w:rPr>
        <w:t xml:space="preserve"> </w:t>
      </w:r>
      <w:r>
        <w:rPr>
          <w:rFonts w:hint="eastAsia" w:ascii="宋体" w:hAnsi="宋体" w:cs="宋体"/>
          <w:b/>
          <w:bCs/>
          <w:sz w:val="30"/>
          <w:szCs w:val="30"/>
        </w:rPr>
        <w:t>采购需求</w:t>
      </w:r>
    </w:p>
    <w:p w14:paraId="681507F1">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ascii="宋体" w:hAnsi="宋体" w:cs="宋体"/>
          <w:b/>
          <w:bCs/>
          <w:szCs w:val="21"/>
        </w:rPr>
      </w:pPr>
      <w:r>
        <w:rPr>
          <w:rFonts w:hint="eastAsia" w:ascii="宋体" w:hAnsi="宋体" w:cs="宋体"/>
          <w:b/>
          <w:bCs/>
          <w:szCs w:val="21"/>
        </w:rPr>
        <w:t>建设</w:t>
      </w:r>
      <w:r>
        <w:rPr>
          <w:rFonts w:hint="eastAsia" w:ascii="宋体" w:hAnsi="宋体" w:cs="宋体"/>
          <w:b/>
          <w:bCs/>
          <w:szCs w:val="21"/>
          <w:lang w:val="en-US" w:eastAsia="zh-CN"/>
        </w:rPr>
        <w:t>背景</w:t>
      </w:r>
    </w:p>
    <w:p w14:paraId="744CEE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ascii="宋体" w:hAnsi="宋体"/>
          <w:spacing w:val="4"/>
          <w:szCs w:val="21"/>
          <w:lang w:val="en-US" w:eastAsia="zh-CN"/>
        </w:rPr>
        <w:t xml:space="preserve">    </w:t>
      </w:r>
      <w:r>
        <w:rPr>
          <w:rFonts w:hint="eastAsia" w:ascii="宋体" w:hAnsi="宋体" w:eastAsia="宋体" w:cs="宋体"/>
          <w:i w:val="0"/>
          <w:iCs w:val="0"/>
          <w:caps w:val="0"/>
          <w:color w:val="222222"/>
          <w:spacing w:val="0"/>
          <w:sz w:val="21"/>
          <w:szCs w:val="21"/>
          <w:shd w:val="clear" w:fill="FFFFFF"/>
        </w:rPr>
        <w:t>为了深入贯彻落实公安部、省厅以及国家、省两级卫健委关于监管医疗专业化工作的相关部署，进一步深化看守所管理机制创新</w:t>
      </w:r>
      <w:r>
        <w:rPr>
          <w:rFonts w:hint="eastAsia" w:ascii="宋体" w:hAnsi="宋体" w:eastAsia="宋体" w:cs="宋体"/>
          <w:i w:val="0"/>
          <w:iCs w:val="0"/>
          <w:caps w:val="0"/>
          <w:color w:val="222222"/>
          <w:spacing w:val="0"/>
          <w:sz w:val="21"/>
          <w:szCs w:val="21"/>
          <w:shd w:val="clear" w:fill="FFFFFF"/>
          <w:lang w:eastAsia="zh-CN"/>
        </w:rPr>
        <w:t>，</w:t>
      </w:r>
      <w:r>
        <w:rPr>
          <w:rFonts w:hint="default" w:ascii="Arial" w:hAnsi="Arial" w:cs="Arial"/>
          <w:i w:val="0"/>
          <w:iCs w:val="0"/>
          <w:caps w:val="0"/>
          <w:color w:val="333333"/>
          <w:spacing w:val="0"/>
          <w:sz w:val="21"/>
          <w:szCs w:val="21"/>
          <w:shd w:val="clear" w:fill="FFFFFF"/>
        </w:rPr>
        <w:t>有效地提升办案单位送押效率和安全系数。通过对送押嫌疑人和在押人员进行及时的体检和诊疗工作，能够及时发现和处理潜在的健康问题，减少因健康问题导致的安全风险。看守所体检中心的投入使用，标志着监所医疗卫生专业化建设的加强。通过与医疗单位的合作共建，不仅提高了医疗服务水平，也为在押人员提供了更好的医疗保障</w:t>
      </w:r>
      <w:r>
        <w:rPr>
          <w:rFonts w:hint="eastAsia" w:ascii="Arial" w:hAnsi="Arial" w:cs="Arial"/>
          <w:i w:val="0"/>
          <w:iCs w:val="0"/>
          <w:caps w:val="0"/>
          <w:color w:val="333333"/>
          <w:spacing w:val="0"/>
          <w:sz w:val="21"/>
          <w:szCs w:val="21"/>
          <w:shd w:val="clear" w:fill="FFFFFF"/>
          <w:lang w:eastAsia="zh-CN"/>
        </w:rPr>
        <w:t>。</w:t>
      </w:r>
      <w:r>
        <w:rPr>
          <w:rFonts w:hint="default" w:ascii="Arial" w:hAnsi="Arial" w:cs="Arial"/>
          <w:i w:val="0"/>
          <w:iCs w:val="0"/>
          <w:caps w:val="0"/>
          <w:color w:val="333333"/>
          <w:spacing w:val="0"/>
          <w:sz w:val="21"/>
          <w:szCs w:val="21"/>
          <w:shd w:val="clear" w:fill="FFFFFF"/>
        </w:rPr>
        <w:t>看守所体检中心的建设，体现了对在押人员基本人权的尊重和保障。通过提供及时的医疗服务，有助于维护在押人员的合法权益，促进司法程序的公正执行</w:t>
      </w:r>
      <w:r>
        <w:rPr>
          <w:rFonts w:hint="eastAsia" w:ascii="Arial" w:hAnsi="Arial" w:cs="Arial"/>
          <w:i w:val="0"/>
          <w:iCs w:val="0"/>
          <w:caps w:val="0"/>
          <w:color w:val="333333"/>
          <w:spacing w:val="0"/>
          <w:sz w:val="21"/>
          <w:szCs w:val="21"/>
          <w:shd w:val="clear" w:fill="FFFFFF"/>
          <w:lang w:eastAsia="zh-CN"/>
        </w:rPr>
        <w:t>。</w:t>
      </w:r>
      <w:r>
        <w:rPr>
          <w:rFonts w:hint="default" w:ascii="Arial" w:hAnsi="Arial" w:cs="Arial"/>
          <w:i w:val="0"/>
          <w:iCs w:val="0"/>
          <w:caps w:val="0"/>
          <w:color w:val="333333"/>
          <w:spacing w:val="0"/>
          <w:sz w:val="21"/>
          <w:szCs w:val="21"/>
          <w:shd w:val="clear" w:fill="FFFFFF"/>
        </w:rPr>
        <w:t>看守所体检中心的创建，是公安机关与医院协作的新探索、新尝试。这种警医共建模式和样板，为其他地区的监管场所提供了宝贵的经验和参考</w:t>
      </w:r>
      <w:r>
        <w:rPr>
          <w:rFonts w:hint="eastAsia" w:ascii="Arial" w:hAnsi="Arial" w:cs="Arial"/>
          <w:i w:val="0"/>
          <w:iCs w:val="0"/>
          <w:caps w:val="0"/>
          <w:color w:val="333333"/>
          <w:spacing w:val="0"/>
          <w:sz w:val="21"/>
          <w:szCs w:val="21"/>
          <w:shd w:val="clear" w:fill="FFFFFF"/>
          <w:lang w:eastAsia="zh-CN"/>
        </w:rPr>
        <w:t>。</w:t>
      </w:r>
      <w:r>
        <w:rPr>
          <w:rFonts w:hint="default" w:ascii="Arial" w:hAnsi="Arial" w:cs="Arial"/>
          <w:i w:val="0"/>
          <w:iCs w:val="0"/>
          <w:caps w:val="0"/>
          <w:spacing w:val="0"/>
          <w:sz w:val="21"/>
          <w:szCs w:val="21"/>
          <w:shd w:val="clear" w:fill="FFFFFF"/>
        </w:rPr>
        <w:t>看守所体检中心的建设对于提升安全保障、改善医疗条件、促进司法公正以及创新管理模式都具有积极的意义。</w:t>
      </w:r>
    </w:p>
    <w:p w14:paraId="4488EC41">
      <w:pPr>
        <w:pStyle w:val="11"/>
        <w:numPr>
          <w:ilvl w:val="0"/>
          <w:numId w:val="4"/>
        </w:numPr>
        <w:ind w:left="420" w:leftChars="0" w:firstLine="0" w:firstLineChars="0"/>
        <w:rPr>
          <w:rFonts w:hint="eastAsia"/>
          <w:lang w:eastAsia="zh-CN"/>
        </w:rPr>
      </w:pPr>
      <w:r>
        <w:rPr>
          <w:rFonts w:hint="eastAsia"/>
          <w:lang w:eastAsia="zh-CN"/>
        </w:rPr>
        <w:t>主要设备参数表</w:t>
      </w: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1238"/>
        <w:gridCol w:w="6312"/>
        <w:gridCol w:w="481"/>
        <w:gridCol w:w="456"/>
      </w:tblGrid>
      <w:tr w14:paraId="0FDC6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6D0B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D787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B3DC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669B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7276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3E8B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29A7C">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EE1B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医用办公桌（DR室操控用）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633F0">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1600*600*750mm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采用优质E0级及以上刨花板，符合GB/T4897-2015、GB/T39600-2021、GB/T35601-2017、GB/T15102-2017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22B9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BD0A5">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37F37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EC055">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DCEE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办公椅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D38A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符合GB18401-2010、GB17927.1-20、GB/T24346-2009、GB/T24253-2009标准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03E94">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E53F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r>
      <w:tr w14:paraId="760A1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E6256">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2B27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候诊椅软包凳子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2EA3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软包皮凳，防水防潮，可升降脚垫，1200*35*45cm，8cm加粗钢架，加厚实木环保板材，PU软座包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EF840">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15AD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r>
      <w:tr w14:paraId="06650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DF2DF">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94DF4">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候诊椅软包凳子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E06F6">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软包皮凳，防水防潮，可升降脚垫，1000*35*45cm，8cm加粗钢架，加厚实木环保板材，PU软座包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86277">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3B11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0A766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8137F">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F5F6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候诊椅三人位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BB090">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1780*600*820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扶手与椅脚：采用优质铝合金压铸成型，表面做静电喷粉喷涂处理,扶手位呈倒三角封口式，线条感强。调节脚垫为黑色优质PP脚垫，与地面接触无响声，具有保护地面用途。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2．座背PU椅面材质：采用钢架焊接钢板和100%聚氨脂模具内一次成型， 内忖钢板材质为高强度钢架焊接穿孔钢板（钢板裸板厚度≥1.5mm），外部采用100%纯高密度聚氨酯（PU)全部包裹（即椅座和椅背造型上无外露钢架）模注成型，椅座及椅背内不填充其它物质。座椅和椅背采用连体式设计,靠背高度820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3.承重横梁：采用厚度≥1.5mm三角形钢管，表面做静电喷粉喷涂处理或高分子纳米处理，平整光滑不能有凹凸不平导致容易藏尘藏灰的现像发生。整体结构厚重，承载力好，美观大方。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2AC94">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AC516">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7C8CA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32CCC">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B10C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不锈钢手铐架子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71B0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候诊椅子后配套不锈钢手铐架子（304不锈钢材质，长度5米，外径7厘米，管壁厚20毫米），带法兰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23F2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D4DE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04D19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D2E96">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CF14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不锈钢手铐架子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112D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候诊椅子后配套不锈钢手铐架子（304不锈钢材质，长度2.5米，外径7厘米，管壁厚20毫米），带法兰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30B8C">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05E94">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60F03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92C66">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7DC74">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体重计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D055C">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高强度钢化玻璃电子显示屏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6BFB6">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44B76">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553E5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ED039">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EA2B7">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蛇皮灯</w:t>
            </w:r>
          </w:p>
        </w:tc>
        <w:tc>
          <w:tcPr>
            <w:tcW w:w="0" w:type="auto"/>
            <w:tcBorders>
              <w:top w:val="nil"/>
              <w:left w:val="nil"/>
              <w:bottom w:val="nil"/>
              <w:right w:val="nil"/>
            </w:tcBorders>
            <w:shd w:val="clear" w:color="auto" w:fill="auto"/>
            <w:vAlign w:val="center"/>
          </w:tcPr>
          <w:p w14:paraId="09E76CE2">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灯头尺寸：≥96x92mm，软管尺寸：≥700x12mm，立杆尺寸：≥800x32mm，底座尺寸：≥72x500mm，调光方式：0-12w旋钮无极调光，电压：24v，功率：12w，色温：5000±200k，灯泡寿命：≥10万小时，灯珠数量：≥7，照明度（300mm处）：≥80000lu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936A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BD96E">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47AF3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4568F">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7CDF5">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听诊器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0E93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A型双用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0830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1325E">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5C87F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A0CE1">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A7CC5">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医用手电筒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7BAC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黄白紫三光源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89874">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2BF5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37D9C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15172">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E34E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体温计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627D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红外体温计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B3EA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1D0D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3EEF7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1825B">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5AF8C">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叩诊锤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52679">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B36E9">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9D49C">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57C7C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A53A8">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07EE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压舌板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7457C">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5AC02">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B9A54">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364AC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7F2D7">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F6DD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医用大器械柜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AAB3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1800x900x400cm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大器械柜(上玻璃、中间无抽屉、下二橱柜) ，304不锈钢，全部带锁具 厚度1.5mm。层板可随意调节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19AC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4E056">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14:paraId="48E6A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0FB09">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AA4E7">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中二斗柜医用器械柜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05C76">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1800x900x400cm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中二斗柜(上玻璃、中间2抽屉、下二橱柜) ，304不锈钢，全部带锁具 厚度1.5mm。层板可随意调节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0BD5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527D4">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3CB5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78AC5">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671D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二门西药柜（带操控处理台面）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34C14">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1800x900x500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二斗柜（上玻璃、中间带不锈钢操控处理台面，带2抽屉、下二橱柜) ，304不锈钢，全部带锁具 厚度1.5mm。层板可随意调节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C7B04">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F8F0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6CE45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EC923">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FC78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医护人员更衣柜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5BCD2">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1800x900x420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全密闭，304不锈钢，全部带锁具 厚度1.5mm。层板可随意调节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72D2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58222">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7344D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ED2EF">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AF2A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医用不锈钢担架转运车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69BFE">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190*60*75厘米，床面带护栏，特厚方管，超强加固框架，静音四小轮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4912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940EC">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1B3D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D1FC9">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1D666">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抢救箱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1FCE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铝合金材质，12寸，应急套装≥44种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FCFC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C183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5C13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5A9B2">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F87F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人工呼吸气囊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F8227">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PVC+硅胶合成材质，结构组成：呼吸气囊、面罩、组合颈储气袋、连接管、开口器和口咽通道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29B19">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8403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01733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8D23F">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FA61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移动式消毒喷雾器或者紫外线消毒车、紫外线消毒灯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56BB4">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紫外线消毒灯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C6C2C">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933BE">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14:paraId="09CAB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E2ACF">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0A52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开口器、舌钳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4C8C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75379">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4D6C0">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14:paraId="5AB2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B9E28">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90C849">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恒温箱</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543F40A9">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容积43L，温差±1.0℃，仓内尺寸：35x35x35cm，外形尺寸:59x46x49cm</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F1B75DE">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B77C3D9">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4B075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26F04">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37C6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AED除颤仪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便携式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395D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机体颜色为黄色，主机一台，锂电池一块，电极片一个，成人最大能量可支持360J，电池4年左右更换，保修五年，定期巡检，详细参数见后附表格3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35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3C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C4D6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2B216">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3890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医用氧气瓶20升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07212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抗拉强度≥650mpa，冲击吸收能量≥45（J),爆破压力≥40mpa，屈服压力≥25mpa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9E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7B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209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041E0">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C4A1E">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医用氧气袋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28A5E">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PVC复合尼龙绸和橡胶制成，无异味，轻便耐用易清洗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5D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87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1F2B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3E76E">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EBA65">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228C0">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储存普通药品使用 182升 三门 直冷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69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B4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E1F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BA8C4">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B7A0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便携药品冷藏箱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F3B15">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6L，外尺寸：41x27x31cm，内尺寸：32x18x23cm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0A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7A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C601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E9811">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463E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血液标本运输箱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C487C">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密封罐，海绵试管架，吸附垫片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6D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74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D7E6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9B652">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F0CBD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74D6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60升  医护人员清洗使用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77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09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F5C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68D59">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DC7BE">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茶水柜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9200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80cm长度*80cm高度*40cm深度，两门两抽，E0环保生态板材，品质五金配件，包安装。医护办公室以及嫌疑人等候室使用。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1.基材：采用优质E0级及以上刨花板，符合GB/T4897-2015、GB/T39600-2021、GB/T35601-2017、GB/T15102-2017、GB18580-2017、JC/T2039-2010、DB44/T 2043-2017，密度≥0.73g/cm³，板内密度偏差±1%，含水率5-6%，静曲强度≥16.3Mpa，弹性模量≥3450Mpa，内胶合强度≥0.77Mpa，表面胶合强度≥1.4Mpa，2h吸水厚度膨胀率≤1.6%，握螺钉力（板面）≥1230N，握螺钉力（板边）≥850N，甲醛释放量（1m³气候箱法）ENF≤0.012mg/m³，总挥发性有机化合物（TVOC）未检出；苯、甲苯、二甲苯未检出，金黄色葡萄球菌抗细菌率≥99.98%，马氏拟青霉防霉等级0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材：采用三聚氰胺浸渍纸，符合LY/T1831-2009、JC/T2039-2010；外观质量：无色差，无污斑，无白点，无套印精度误差，无漏印，无刀线，无跳刀，无皱褶，无边角缺损，无裂纹，无胶泡，无胶粉，无粘连，定量偏差±2%，水分≤3.1%，灰分26%，PH值7.0-7.5，纵向干抗张强度≥26.3N/15mm，纵向湿抗张强度≥6.5N/15mm，透气度≤22s/100ml，平滑度≥104s，渗透度≤5s，耐热性达1级，耐光色牢度≥7级，纵横向伸缩率：纵向0.4%，横向1.4%，浸胶量偏差±4%，挥发物含量6%，预固化度48%，甲醛释放量未检出，白色念珠菌抗细菌率≥99.96%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3.封边：采用同色PVC封边条，符合QB/T4463-2013、GB/T 9341-2008、GB/T 1034-2008、GB/T 3854-2017、GB/T 1033.1-2008，理化性能：耐干热性无龟裂、无鼓泡，耐磨性磨30r后应无露底现象，耐开裂性（耐龟裂性）≥1级，耐冷热循环性无龟裂、无鼓泡、无变色、无起皱，耐光色牢度（灰色样卡）≥4级；多溴联苯未检出，甲醛释放量未检出，可迁移元素（可溶性重金属：钡（Ba）、镉（cd）、铬（Cr）、汞（Hg）、铅（Pb）、砷（As）、锑（Sb）、硒（Se））均未检出，邻苯二甲酸酯的总量未检出；氯乙烯单体未检出，鲍曼不动杆菌抗菌性能值3.2,密度≥0.907g/cm³,弯曲强度≥32.9Mpa,巴柯尔硬度≥25,吸水性≥0.052%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4.热熔胶：采用热熔胶，符合HJ2541-2016，其中苯未检出，甲苯+乙苯+二甲苯未检出，总挥发性有机物≤10g/L。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5.三合一连接件：采用优质三合一连接件，符合QB/T 3827-1999、GB/T 20123-2006、QB/T 3832-1999、GB/T 10125-2021、GB/T 3325-2017、GB/T 28203-2011、GB/T 20127.3-2006、GB/T20127.9-2006，外观性能要求金属件喷涂层无漏喷、锈蚀和脱色、掉色现象，涂层光滑均匀、色泽一致，应无流挂、疙瘩、皱皮、飞漆等缺陷，三合一偏心连接件偏心体抗压强度≥344N，三合一偏心连接件预埋螺母抗拉强度≥655N，三合一偏心连接件中连接螺杆螺纹与预埋螺母的抗拉强度≥831N,三合一偏心连接件中偏心体与连接螺杆的扭矩11.4M·m，乙酸盐雾试验(AASS试验)连续喷雾500h及乙酸盐雾试验(ASS试验)连续喷雾24h：镀（涂）层对基体的保护等级≥10级、镀（涂）层本身耐腐蚀等级≥10级，总碳硫含量：碳（C）≥0.1821wt.%、硫（S）≥0.0371wt.%；痕量元素的测定：钙含量≥0.02%、镁含量≥0.46%、钡含量≥0.0018%、钪含量≥0.0066%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AD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D9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205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15025">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364B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煮水壶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2BCF9">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美的，1.7升，304不锈钢内胆，双层防烫，自动断电防干烧  医护办公室以及嫌疑人等候室使用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35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7B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347A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F3058">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6A589">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指压血糖仪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E248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脱氢酶试纸，+电极技术，多人群适用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3B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DC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0F2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3D2CA">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92AD9">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心电图机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2FAF7">
            <w:pPr>
              <w:keepNext w:val="0"/>
              <w:keepLines w:val="0"/>
              <w:widowControl/>
              <w:suppressLineNumbers w:val="0"/>
              <w:ind w:left="210" w:hanging="210" w:hangingChars="10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主要功能：所有年龄段人体心电信号的测量、采集、显示记录和分析。</w:t>
            </w:r>
          </w:p>
          <w:p w14:paraId="70BF04D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设备功能：静息12导联心电图、运动后检查、RR间期检查</w:t>
            </w:r>
          </w:p>
          <w:p w14:paraId="0B37625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输入保护：标配导联线内附除颤保护电路</w:t>
            </w:r>
          </w:p>
          <w:p w14:paraId="3EC5A722">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AD采样率：≥750000 Hz/Ch</w:t>
            </w:r>
          </w:p>
          <w:p w14:paraId="1614FA3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输入阻抗：≥50MΩ</w:t>
            </w:r>
          </w:p>
          <w:p w14:paraId="421FC6E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耐极化电压：≥±550mV</w:t>
            </w:r>
          </w:p>
          <w:p w14:paraId="50C38A99">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共模抑制比：≥105dB</w:t>
            </w:r>
          </w:p>
          <w:p w14:paraId="41D65BA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频率响应：0.5Hz-500Hz</w:t>
            </w:r>
          </w:p>
          <w:p w14:paraId="77E8EB1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标准灵敏度：10mm/mV, 误差≤±5%</w:t>
            </w:r>
          </w:p>
          <w:p w14:paraId="481215CE">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时间常数：≥4.2秒</w:t>
            </w:r>
          </w:p>
          <w:p w14:paraId="024B725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滤波器：低通滤波、肌电滤波、交流滤波、基线抑制滤波</w:t>
            </w:r>
          </w:p>
          <w:p w14:paraId="5EFBFF96">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不正常状态检测：电极脱落报警，高频噪声过高报警</w:t>
            </w:r>
          </w:p>
          <w:p w14:paraId="19874BAE">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电极脱落：显示器显示脱落部位</w:t>
            </w:r>
          </w:p>
          <w:p w14:paraId="375F736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w:t>
            </w:r>
            <w:r>
              <w:rPr>
                <w:rFonts w:hint="eastAsia" w:ascii="宋体" w:hAnsi="宋体" w:eastAsia="宋体" w:cs="宋体"/>
                <w:i w:val="0"/>
                <w:iCs w:val="0"/>
                <w:color w:val="000000"/>
                <w:kern w:val="0"/>
                <w:sz w:val="21"/>
                <w:szCs w:val="21"/>
                <w:u w:val="none"/>
                <w:lang w:val="en-US" w:eastAsia="zh-CN" w:bidi="ar"/>
              </w:rPr>
              <w:t xml:space="preserve">操作模式：可自动或手动，自动操作时支持实时或回顾记录 </w:t>
            </w:r>
          </w:p>
          <w:p w14:paraId="61C6F06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心律失常检测：具备心律失常检测并自动延长记录的功能</w:t>
            </w:r>
          </w:p>
          <w:p w14:paraId="3D07B8D2">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冻结记录：支持3分钟波形冻结记录模式</w:t>
            </w:r>
          </w:p>
          <w:p w14:paraId="0B312AEF">
            <w:pPr>
              <w:keepNext w:val="0"/>
              <w:keepLines w:val="0"/>
              <w:widowControl/>
              <w:suppressLineNumbers w:val="0"/>
              <w:ind w:left="210" w:hanging="210" w:hangingChars="10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w:t>
            </w:r>
            <w:r>
              <w:rPr>
                <w:rFonts w:hint="eastAsia" w:ascii="宋体" w:hAnsi="宋体" w:eastAsia="宋体" w:cs="宋体"/>
                <w:i w:val="0"/>
                <w:iCs w:val="0"/>
                <w:color w:val="000000"/>
                <w:kern w:val="0"/>
                <w:sz w:val="21"/>
                <w:szCs w:val="21"/>
                <w:u w:val="none"/>
                <w:lang w:val="en-US" w:eastAsia="zh-CN" w:bidi="ar"/>
              </w:rPr>
              <w:t>波形质量检测：可实现波形质量稳定情况下，设备自动开始记录</w:t>
            </w:r>
          </w:p>
          <w:p w14:paraId="64ED5D31">
            <w:pPr>
              <w:keepNext w:val="0"/>
              <w:keepLines w:val="0"/>
              <w:widowControl/>
              <w:suppressLineNumbers w:val="0"/>
              <w:ind w:left="210" w:hanging="210" w:hangingChars="10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电极噪声标记：双模式（屏幕，报告）提示，点划线热敏标记打印，热敏报告可显示噪声、脱落的具体时间段；</w:t>
            </w:r>
          </w:p>
          <w:p w14:paraId="6B3509B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w:t>
            </w:r>
            <w:r>
              <w:rPr>
                <w:rFonts w:hint="eastAsia" w:ascii="宋体" w:hAnsi="宋体" w:eastAsia="宋体" w:cs="宋体"/>
                <w:i w:val="0"/>
                <w:iCs w:val="0"/>
                <w:color w:val="000000"/>
                <w:kern w:val="0"/>
                <w:sz w:val="21"/>
                <w:szCs w:val="21"/>
                <w:u w:val="none"/>
                <w:lang w:val="en-US" w:eastAsia="zh-CN" w:bidi="ar"/>
              </w:rPr>
              <w:t>记录器：内置高分辨率热线阵打印</w:t>
            </w:r>
          </w:p>
          <w:p w14:paraId="52BFBF40">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打印网格：具备在无网格纸上打印网格功能</w:t>
            </w:r>
          </w:p>
          <w:p w14:paraId="25EB3440">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w:t>
            </w:r>
            <w:r>
              <w:rPr>
                <w:rFonts w:hint="eastAsia" w:ascii="宋体" w:hAnsi="宋体" w:eastAsia="宋体" w:cs="宋体"/>
                <w:i w:val="0"/>
                <w:iCs w:val="0"/>
                <w:color w:val="000000"/>
                <w:kern w:val="0"/>
                <w:sz w:val="21"/>
                <w:szCs w:val="21"/>
                <w:u w:val="none"/>
                <w:lang w:val="en-US" w:eastAsia="zh-CN" w:bidi="ar"/>
              </w:rPr>
              <w:t>输出设备：可直连打印机，打印A4尺寸报告</w:t>
            </w:r>
          </w:p>
          <w:p w14:paraId="467DC03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w:t>
            </w:r>
            <w:r>
              <w:rPr>
                <w:rFonts w:hint="eastAsia" w:ascii="宋体" w:hAnsi="宋体" w:eastAsia="宋体" w:cs="宋体"/>
                <w:i w:val="0"/>
                <w:iCs w:val="0"/>
                <w:color w:val="000000"/>
                <w:kern w:val="0"/>
                <w:sz w:val="21"/>
                <w:szCs w:val="21"/>
                <w:u w:val="none"/>
                <w:lang w:val="en-US" w:eastAsia="zh-CN" w:bidi="ar"/>
              </w:rPr>
              <w:t>走纸速度：5，10, 12.5, 25，50mm/S</w:t>
            </w:r>
          </w:p>
          <w:p w14:paraId="67BF31A2">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w:t>
            </w:r>
            <w:r>
              <w:rPr>
                <w:rFonts w:hint="eastAsia" w:ascii="宋体" w:hAnsi="宋体" w:eastAsia="宋体" w:cs="宋体"/>
                <w:i w:val="0"/>
                <w:iCs w:val="0"/>
                <w:color w:val="000000"/>
                <w:kern w:val="0"/>
                <w:sz w:val="21"/>
                <w:szCs w:val="21"/>
                <w:u w:val="none"/>
                <w:lang w:val="en-US" w:eastAsia="zh-CN" w:bidi="ar"/>
              </w:rPr>
              <w:t>测量分析：具备12导联心电性别年龄特异性算法</w:t>
            </w:r>
          </w:p>
          <w:p w14:paraId="4F070C7C">
            <w:pPr>
              <w:keepNext w:val="0"/>
              <w:keepLines w:val="0"/>
              <w:widowControl/>
              <w:suppressLineNumbers w:val="0"/>
              <w:ind w:left="210" w:hanging="210" w:hangingChars="10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w:t>
            </w:r>
            <w:r>
              <w:rPr>
                <w:rFonts w:hint="eastAsia" w:ascii="宋体" w:hAnsi="宋体" w:eastAsia="宋体" w:cs="宋体"/>
                <w:i w:val="0"/>
                <w:iCs w:val="0"/>
                <w:color w:val="000000"/>
                <w:kern w:val="0"/>
                <w:sz w:val="21"/>
                <w:szCs w:val="21"/>
                <w:u w:val="none"/>
                <w:lang w:val="en-US" w:eastAsia="zh-CN" w:bidi="ar"/>
              </w:rPr>
              <w:t>模拟信号打印：具备外部信号输入接口，可打印心音脉波放大器等外部机器的模拟信号；</w:t>
            </w:r>
          </w:p>
          <w:p w14:paraId="60ECCF2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QTc算法：≥4种</w:t>
            </w:r>
          </w:p>
          <w:p w14:paraId="40A64D40">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26.</w:t>
            </w:r>
            <w:r>
              <w:rPr>
                <w:rFonts w:hint="eastAsia" w:ascii="宋体" w:hAnsi="宋体" w:eastAsia="宋体" w:cs="宋体"/>
                <w:i w:val="0"/>
                <w:iCs w:val="0"/>
                <w:color w:val="000000"/>
                <w:kern w:val="0"/>
                <w:sz w:val="21"/>
                <w:szCs w:val="21"/>
                <w:u w:val="none"/>
                <w:lang w:val="en-US" w:eastAsia="zh-CN" w:bidi="ar"/>
              </w:rPr>
              <w:t>外部输入：10mm/0.5V±5%，输入阻抗≥100kΩ</w:t>
            </w:r>
          </w:p>
          <w:p w14:paraId="565FB954">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27.</w:t>
            </w:r>
            <w:r>
              <w:rPr>
                <w:rFonts w:hint="eastAsia" w:ascii="宋体" w:hAnsi="宋体" w:eastAsia="宋体" w:cs="宋体"/>
                <w:i w:val="0"/>
                <w:iCs w:val="0"/>
                <w:color w:val="000000"/>
                <w:kern w:val="0"/>
                <w:sz w:val="21"/>
                <w:szCs w:val="21"/>
                <w:u w:val="none"/>
                <w:lang w:val="en-US" w:eastAsia="zh-CN" w:bidi="ar"/>
              </w:rPr>
              <w:t>其它输出接口：USB/SD</w:t>
            </w:r>
          </w:p>
          <w:p w14:paraId="655394E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28.</w:t>
            </w:r>
            <w:r>
              <w:rPr>
                <w:rFonts w:hint="eastAsia" w:ascii="宋体" w:hAnsi="宋体" w:eastAsia="宋体" w:cs="宋体"/>
                <w:i w:val="0"/>
                <w:iCs w:val="0"/>
                <w:color w:val="000000"/>
                <w:kern w:val="0"/>
                <w:sz w:val="21"/>
                <w:szCs w:val="21"/>
                <w:u w:val="none"/>
                <w:lang w:val="en-US" w:eastAsia="zh-CN" w:bidi="ar"/>
              </w:rPr>
              <w:t>存储和传输：内置800份心电图，支持3000份以上扩展储存</w:t>
            </w:r>
          </w:p>
          <w:p w14:paraId="596D42B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w:t>
            </w:r>
            <w:r>
              <w:rPr>
                <w:rFonts w:hint="eastAsia" w:ascii="宋体" w:hAnsi="宋体" w:eastAsia="宋体" w:cs="宋体"/>
                <w:i w:val="0"/>
                <w:iCs w:val="0"/>
                <w:color w:val="000000"/>
                <w:kern w:val="0"/>
                <w:sz w:val="21"/>
                <w:szCs w:val="21"/>
                <w:u w:val="none"/>
                <w:lang w:val="en-US" w:eastAsia="zh-CN" w:bidi="ar"/>
              </w:rPr>
              <w:t>输入设备：可连接条码枪、读卡器</w:t>
            </w:r>
          </w:p>
          <w:p w14:paraId="4EDF6F7E">
            <w:pPr>
              <w:keepNext w:val="0"/>
              <w:keepLines w:val="0"/>
              <w:widowControl/>
              <w:suppressLineNumbers w:val="0"/>
              <w:ind w:left="210" w:hanging="210" w:hangingChars="10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不安装插件或软件情况下，可通过电脑端进行设备数据的查看及打印</w:t>
            </w:r>
          </w:p>
          <w:p w14:paraId="7BBD46F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31.</w:t>
            </w:r>
            <w:r>
              <w:rPr>
                <w:rFonts w:hint="eastAsia" w:ascii="宋体" w:hAnsi="宋体" w:eastAsia="宋体" w:cs="宋体"/>
                <w:i w:val="0"/>
                <w:iCs w:val="0"/>
                <w:color w:val="000000"/>
                <w:kern w:val="0"/>
                <w:sz w:val="21"/>
                <w:szCs w:val="21"/>
                <w:u w:val="none"/>
                <w:lang w:val="en-US" w:eastAsia="zh-CN" w:bidi="ar"/>
              </w:rPr>
              <w:t>需具备系统登录加密功能，开启后可实现用户使用密码登录</w:t>
            </w:r>
          </w:p>
          <w:p w14:paraId="1602814E">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r>
              <w:rPr>
                <w:rFonts w:hint="eastAsia" w:ascii="宋体" w:hAnsi="宋体" w:eastAsia="宋体" w:cs="宋体"/>
                <w:i w:val="0"/>
                <w:iCs w:val="0"/>
                <w:color w:val="000000"/>
                <w:kern w:val="0"/>
                <w:sz w:val="21"/>
                <w:szCs w:val="21"/>
                <w:u w:val="none"/>
                <w:lang w:val="en-US" w:eastAsia="zh-CN" w:bidi="ar"/>
              </w:rPr>
              <w:t>网络：标配LAN有线网络接口，内置WIFI网络连接</w:t>
            </w:r>
          </w:p>
          <w:p w14:paraId="6F3FC4D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33.</w:t>
            </w:r>
            <w:r>
              <w:rPr>
                <w:rFonts w:hint="eastAsia" w:ascii="宋体" w:hAnsi="宋体" w:eastAsia="宋体" w:cs="宋体"/>
                <w:i w:val="0"/>
                <w:iCs w:val="0"/>
                <w:color w:val="000000"/>
                <w:kern w:val="0"/>
                <w:sz w:val="21"/>
                <w:szCs w:val="21"/>
                <w:u w:val="none"/>
                <w:lang w:val="en-US" w:eastAsia="zh-CN" w:bidi="ar"/>
              </w:rPr>
              <w:t>数据存储格式：PDF/XML/DAT</w:t>
            </w:r>
          </w:p>
          <w:p w14:paraId="6F34B95C">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34.</w:t>
            </w:r>
            <w:r>
              <w:rPr>
                <w:rFonts w:hint="eastAsia" w:ascii="宋体" w:hAnsi="宋体" w:eastAsia="宋体" w:cs="宋体"/>
                <w:i w:val="0"/>
                <w:iCs w:val="0"/>
                <w:color w:val="000000"/>
                <w:kern w:val="0"/>
                <w:sz w:val="21"/>
                <w:szCs w:val="21"/>
                <w:u w:val="none"/>
                <w:lang w:val="en-US" w:eastAsia="zh-CN" w:bidi="ar"/>
              </w:rPr>
              <w:t>数据传输方式：DICOM/ECTP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E7C0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115C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021C4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B20EC">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1DF6C">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全数字化便携彩色多普勒超声诊断系统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84CC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15.6英寸高分辨率LED显示器，可根据环境光变化自动调节亮度，可独立主机调节，角度≥180°</w:t>
            </w:r>
          </w:p>
          <w:p w14:paraId="0DE44498">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1.2操作面板具备触摸屏及物理按键操作，其中触摸屏尺寸≥12英寸</w:t>
            </w:r>
          </w:p>
          <w:p w14:paraId="062E77E0">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1.3探头接口1个，可扩展到3个</w:t>
            </w:r>
          </w:p>
          <w:p w14:paraId="22E61434">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★1.4整机重量＜4.0kg（含电池）</w:t>
            </w:r>
          </w:p>
          <w:p w14:paraId="46332E1D">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1.5主机配备锂电池，整机电池连续使用时间≥1.5小时；另可配原厂独立电池包，支持供电≥8小时</w:t>
            </w:r>
          </w:p>
          <w:p w14:paraId="3688B3CE">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1.6支持英语，中文，法语等语种（包括键盘输入、注释、操作面板等）</w:t>
            </w:r>
          </w:p>
          <w:p w14:paraId="6BC4B682">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1.7获得SFDA和CE认证</w:t>
            </w:r>
          </w:p>
          <w:p w14:paraId="5B622463">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2二维灰阶模式</w:t>
            </w:r>
          </w:p>
          <w:p w14:paraId="03C5B2A5">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2.1组织谐波成像</w:t>
            </w:r>
          </w:p>
          <w:p w14:paraId="26787EFD">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2.2组织特异性成像</w:t>
            </w:r>
          </w:p>
          <w:p w14:paraId="310598A1">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★2.3全域动态聚焦技术：即全程发射及全程接收聚焦技术，使得图像近、中、远场保持均匀一致（图像上无焦点或聚焦带显示）</w:t>
            </w:r>
          </w:p>
          <w:p w14:paraId="727193A5">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2.4多角度空间复合成像技术，支持≥3条偏转线，多级可调，支持线阵和凸阵探头</w:t>
            </w:r>
          </w:p>
          <w:p w14:paraId="152774FC">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2.5频率复合成像技术</w:t>
            </w:r>
          </w:p>
          <w:p w14:paraId="44A1BBA1">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2.6智能化斑点噪声抑制技术</w:t>
            </w:r>
          </w:p>
          <w:p w14:paraId="604F76D5">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2.7回波增强技术</w:t>
            </w:r>
          </w:p>
          <w:p w14:paraId="3637B3EC">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★2.8锐眼技术（提高特定区域的细节信息和图像对比度，以区别病变与周围正常组织之间的边界显示）；</w:t>
            </w:r>
          </w:p>
          <w:p w14:paraId="1728671D">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2.9自适应彩色增强技术；</w:t>
            </w:r>
          </w:p>
          <w:p w14:paraId="07E0F4B4">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2.10、TCD（2D、Color、PW）；</w:t>
            </w:r>
          </w:p>
          <w:p w14:paraId="5C48C90E">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2.11动态范围≥165db，可视可调；</w:t>
            </w:r>
          </w:p>
          <w:p w14:paraId="101D1AA3">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2.12最大显示深度≥38CM；</w:t>
            </w:r>
          </w:p>
          <w:p w14:paraId="5EEF8C46">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▲2.13自动优化功能或一键优化功能(可支持二维图像自动优化；多普勒图像自动优化；彩色血流自动优化；快速取样和频谱采样）；</w:t>
            </w:r>
          </w:p>
          <w:p w14:paraId="7ADC1DF2">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2.14方向性能量图；</w:t>
            </w:r>
          </w:p>
          <w:p w14:paraId="00E52F4F">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2.15一体化图像存储与(电影)回放</w:t>
            </w:r>
          </w:p>
          <w:p w14:paraId="7BBE8710">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2.16一体化病案管理包括病人资料、报告、图像等的存储、修改、检索和打印等；</w:t>
            </w:r>
          </w:p>
          <w:p w14:paraId="101A9A3B">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2.17具备图像放大功能。</w:t>
            </w:r>
          </w:p>
          <w:p w14:paraId="6681C3D3">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2.18支持中英文菜单操作</w:t>
            </w:r>
          </w:p>
          <w:p w14:paraId="1E480764">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2.19原始数据储存</w:t>
            </w:r>
          </w:p>
          <w:p w14:paraId="15C865EA">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2.20可向外部PC机传送图像并用通用的图像软件来查看图像；</w:t>
            </w:r>
          </w:p>
          <w:p w14:paraId="2FBBBB2C">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2.21可连接心电图信号；</w:t>
            </w:r>
          </w:p>
          <w:p w14:paraId="0CCEB71E">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2.22输入：VCR、RGB彩色视频；</w:t>
            </w:r>
          </w:p>
          <w:p w14:paraId="4186907D">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2.23输出：复合视频、RGB彩色视频，DVD；</w:t>
            </w:r>
          </w:p>
          <w:p w14:paraId="07E55BC1">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2.24主机具备交、直流两用电源供电方式；</w:t>
            </w:r>
          </w:p>
          <w:p w14:paraId="65176DFE">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3.M型成像模式</w:t>
            </w:r>
          </w:p>
          <w:p w14:paraId="11961FC7">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3.1彩色M型</w:t>
            </w:r>
          </w:p>
          <w:p w14:paraId="78D02F72">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3.2解剖M型，取样线≥2条，可360度任意旋转</w:t>
            </w:r>
          </w:p>
          <w:p w14:paraId="3BF96840">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4.彩色多普勒成像（包括彩色、能量、方向能量多普勒模式）</w:t>
            </w:r>
          </w:p>
          <w:p w14:paraId="6D9D57BD">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4.1高分辨率血流成像</w:t>
            </w:r>
          </w:p>
          <w:p w14:paraId="1469F72F">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4.2双实时同屏对比显示</w:t>
            </w:r>
          </w:p>
          <w:p w14:paraId="66D23DDC">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4.3自动调节取样框的角度及位置</w:t>
            </w:r>
          </w:p>
          <w:p w14:paraId="34C6A029">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4.4显示方式：速度分散显示、能量显示、速度显示；</w:t>
            </w:r>
          </w:p>
          <w:p w14:paraId="4B809A81">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4.5显示控制：零位移动、黑白与彩色比较、彩色对比；</w:t>
            </w:r>
          </w:p>
          <w:p w14:paraId="2C6023B0">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4.6彩色增强功能：彩色多普勒能量图(CDE)（包括方向性能量图）；</w:t>
            </w:r>
          </w:p>
          <w:p w14:paraId="137F8BC8">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4.7双幅实时显示、包括双幅不同模式实时显示（B/B;B/CFM）；</w:t>
            </w:r>
          </w:p>
          <w:p w14:paraId="079A17DC">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4.8超声功率输出调节：B/M、PWD、Color Doppler输出功率可调。</w:t>
            </w:r>
          </w:p>
          <w:p w14:paraId="4D79F617">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4.9组织多普勒成像模式，包含TVI/TEI/TVD/TVM四种成像模式</w:t>
            </w:r>
          </w:p>
          <w:p w14:paraId="1848B23E">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5频谱多普勒成像</w:t>
            </w:r>
          </w:p>
          <w:p w14:paraId="5232F057">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5.1脉冲多普勒、高脉冲重复频率</w:t>
            </w:r>
          </w:p>
          <w:p w14:paraId="29972E9D">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5.2连续多普勒</w:t>
            </w:r>
          </w:p>
          <w:p w14:paraId="0815F3CD">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5.3工作方式：脉冲波多普勒 PWD；高脉冲重复频率  HPFF；连续波多普勒 CWD；</w:t>
            </w:r>
          </w:p>
          <w:p w14:paraId="6560B5C6">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5.4多普勒发射频率：线阵≥2段；凸阵≥2段；</w:t>
            </w:r>
          </w:p>
          <w:p w14:paraId="0182435F">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5.5最大测量速度：PWD：血流速度≥8.0 m/s；CWD:血流速度≥17.0 m/s；</w:t>
            </w:r>
          </w:p>
          <w:p w14:paraId="439E7741">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5.6最低测量速度：≤1.0mm/s(非噪声信号)；</w:t>
            </w:r>
          </w:p>
          <w:p w14:paraId="74176936">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5.7显示方式：B、M、B/M、B/M/CFI、B/D、D、B/CFI/D；</w:t>
            </w:r>
          </w:p>
          <w:p w14:paraId="1C19B177">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5.8电影回放：≥20秒；</w:t>
            </w:r>
          </w:p>
          <w:p w14:paraId="6B2A058B">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5.9取样宽度及位置范围：宽度1mm至16mm；分级；</w:t>
            </w:r>
          </w:p>
          <w:p w14:paraId="05BADA70">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5.10显示控制：反转显示(左/右；上/下)零移位、90度旋转；</w:t>
            </w:r>
          </w:p>
          <w:p w14:paraId="307773CC">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6.一键自动优化（包括应用于二维、彩色、频谱模式、TDI及造影）</w:t>
            </w:r>
          </w:p>
          <w:p w14:paraId="18D40DEE">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7.组织多普勒成像及定量分析单元</w:t>
            </w:r>
          </w:p>
          <w:p w14:paraId="21EB5718">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8.组织追踪定量分析单元</w:t>
            </w:r>
          </w:p>
          <w:p w14:paraId="4CD6836E">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9.弹性成像及定量分析单元</w:t>
            </w:r>
          </w:p>
          <w:p w14:paraId="56B65AD4">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10.实时宽景成像</w:t>
            </w:r>
          </w:p>
          <w:p w14:paraId="1521AD82">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11.图像放大技术</w:t>
            </w:r>
          </w:p>
          <w:p w14:paraId="69EA9DD6">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12.一键实现全屏放大</w:t>
            </w:r>
          </w:p>
          <w:p w14:paraId="6C83D44A">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13.10倍局部放大（支持前端、后端放大）</w:t>
            </w:r>
          </w:p>
          <w:p w14:paraId="2BE4DC3E">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14.自动工作流协议</w:t>
            </w:r>
          </w:p>
          <w:p w14:paraId="78E83B96">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14.1可根据医生习惯自定义检查规范，减少重复操作</w:t>
            </w:r>
          </w:p>
          <w:p w14:paraId="0AE2B209">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14.2自动激活彩色、频谱成像模式，自动添加体位图和注释，无需手动输入</w:t>
            </w:r>
          </w:p>
          <w:p w14:paraId="063C87BD">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15自动穿刺针增强技术，双屏实时对比显示增强前后效果</w:t>
            </w:r>
          </w:p>
          <w:p w14:paraId="6258F0A5">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16超声教学助手</w:t>
            </w:r>
          </w:p>
          <w:p w14:paraId="7F7D3006">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四.测量分析和报告</w:t>
            </w:r>
          </w:p>
          <w:p w14:paraId="1B713921">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1常规测量软件包</w:t>
            </w:r>
          </w:p>
          <w:p w14:paraId="73CED159">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2多普勒测量（自动或手动包络测量，自动计算测量参数）</w:t>
            </w:r>
          </w:p>
          <w:p w14:paraId="1EE25330">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3妇科/产科专用测量软件包</w:t>
            </w:r>
          </w:p>
          <w:p w14:paraId="7A1A738B">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4心脏功能专用测量软件包</w:t>
            </w:r>
          </w:p>
          <w:p w14:paraId="18E0C7EA">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5.血管内中膜自动测量，可同时进行血管前、后壁的内中膜一段距离的自动描记、自动生成测量数据结果</w:t>
            </w:r>
          </w:p>
          <w:p w14:paraId="04935162">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6.Auto EF射血分数自动测量</w:t>
            </w:r>
          </w:p>
          <w:p w14:paraId="1A974A40">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7.探头配置及相关要求</w:t>
            </w:r>
          </w:p>
          <w:p w14:paraId="424C3EF3">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8.探头要求具备：线阵、凸阵；</w:t>
            </w:r>
          </w:p>
          <w:p w14:paraId="447BDB5E">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9.频率：宽频带或变频探头，变频显示频率可选择≥6种；</w:t>
            </w:r>
          </w:p>
          <w:p w14:paraId="4A7B0E20">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10.类型：凸阵频率1.4-5.1MHZ，线阵频率5.4-13.5MHZ</w:t>
            </w:r>
          </w:p>
          <w:p w14:paraId="6BD439B8">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11.阵元：线阵探头有效阵元数≥128阵元；</w:t>
            </w:r>
          </w:p>
          <w:p w14:paraId="1230D4E5">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12.B/D兼用：线阵：B/PWD (13-6MHz)；</w:t>
            </w:r>
          </w:p>
          <w:p w14:paraId="2A326EA8">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13.支持热插拔。</w:t>
            </w:r>
          </w:p>
          <w:p w14:paraId="30FEE8BC">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14.探头接口可扩展到3个，随意切换</w:t>
            </w:r>
          </w:p>
          <w:p w14:paraId="27ACA905">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五.电影回放及原始数据处理</w:t>
            </w:r>
          </w:p>
          <w:p w14:paraId="1A9C74CB">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1.电影回放</w:t>
            </w:r>
          </w:p>
          <w:p w14:paraId="00C7F114">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1.1.所有模式下支持手动、自动回放</w:t>
            </w:r>
          </w:p>
          <w:p w14:paraId="7A22E13E">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1.2.支持向后存储和向前存储，时间长度可预置，向后存储≥5分钟的电影</w:t>
            </w:r>
          </w:p>
          <w:p w14:paraId="7A38B597">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1.3.支持保存后的图像同屏对比分析（动态、静态）</w:t>
            </w:r>
          </w:p>
          <w:p w14:paraId="6BF3CF29">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2.原始数据处理，可对回放图像进行≥20个参数调节</w:t>
            </w:r>
          </w:p>
          <w:p w14:paraId="667D0392">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六.信息管理与存储</w:t>
            </w:r>
          </w:p>
          <w:p w14:paraId="373D840A">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1.120G固态硬盘</w:t>
            </w:r>
          </w:p>
          <w:p w14:paraId="3792B89A">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2.内置超声工作站，支持同步存储，即后台存储或导出图像数据的同时前台可以完成实时扫描，不影响检查操作</w:t>
            </w:r>
          </w:p>
          <w:p w14:paraId="772411C3">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3.支持直接一键存储至硬盘或U盘，突然关机或未结束检查关机资料不丢失</w:t>
            </w:r>
          </w:p>
          <w:p w14:paraId="108823A0">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4.动态图像、静态图像以PC格式直接导出（支持5单帧图像文件包含： DCM、TIFF、BMP、JPG单帧，电影文件包括：CIN、AVI、DCM、MP4），无需特殊软件即能在普通PC 机上直接观看图像。</w:t>
            </w:r>
          </w:p>
          <w:p w14:paraId="6E048A01">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5.支持主机一键将动态和静态图像快速传输至手机和电脑，并可对接收到的图像能够通过微信分享，添加标签、评论，便于会诊、交流</w:t>
            </w:r>
          </w:p>
          <w:p w14:paraId="73CF8809">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七连通性</w:t>
            </w:r>
          </w:p>
          <w:p w14:paraId="119DB953">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1.HDMI、USB3.0接口、网络接口</w:t>
            </w:r>
          </w:p>
          <w:p w14:paraId="7E8B0495">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2.支持数据无线传输</w:t>
            </w:r>
          </w:p>
          <w:p w14:paraId="251C3D79">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3.DICOM3.0系统</w:t>
            </w:r>
          </w:p>
          <w:p w14:paraId="64077F2C">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4.多功能台车：可拆卸的储物篮，电源缆线专用放置架，防撞支架</w:t>
            </w:r>
          </w:p>
          <w:p w14:paraId="2C54F921">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5.专用旅行箱，可装载主机、探头及相关备件</w:t>
            </w:r>
          </w:p>
          <w:p w14:paraId="62640B25">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6.国标220V电源线，采用磁性电源插头，避免意外损坏</w:t>
            </w:r>
          </w:p>
          <w:p w14:paraId="35DD748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八</w:t>
            </w:r>
          </w:p>
          <w:p w14:paraId="082A08F8">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配置</w:t>
            </w:r>
          </w:p>
          <w:p w14:paraId="0CD6A73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p w14:paraId="4D7CFA59">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主机1台</w:t>
            </w:r>
          </w:p>
          <w:p w14:paraId="5203C9AD">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2台车1个</w:t>
            </w:r>
          </w:p>
          <w:p w14:paraId="72E4438F">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3凸阵探头1把，频率范围：1.2-6.0MHz</w:t>
            </w:r>
          </w:p>
          <w:p w14:paraId="69FEAC90">
            <w:pPr>
              <w:keepNext w:val="0"/>
              <w:keepLines w:val="0"/>
              <w:widowControl/>
              <w:suppressLineNumbers w:val="0"/>
              <w:jc w:val="left"/>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4线阵探头1把，频率范围：3.0-13.0MHz，阵元数≥192</w:t>
            </w:r>
          </w:p>
          <w:p w14:paraId="7940FDD5">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5探头扩展器1个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7C82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970F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43748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3F83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9B1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AED除颤仪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EF615">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1.1.1整机重量（含电池）≤2.3Kg</w:t>
            </w:r>
          </w:p>
          <w:p w14:paraId="76E0EF8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1.1.2设备主机裸机具备便携把手，具备高便携性</w:t>
            </w:r>
          </w:p>
          <w:p w14:paraId="20FEE3A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1.1.3抗冲击/跌落性能：具备优异的抗冲击/跌落性能，机器六面均可承受≥1.5 m跌落冲击</w:t>
            </w:r>
          </w:p>
          <w:p w14:paraId="09A83CF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1.1.4防尘防水级别：设备具有良好的防尘防水设计，防尘防水级别IP55。</w:t>
            </w:r>
          </w:p>
          <w:p w14:paraId="5FA7C8AE">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1.1.5工作温度范围至少满足 -5ºC ～ 50ºC。</w:t>
            </w:r>
          </w:p>
          <w:p w14:paraId="5CDB4967">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1.1.6工作湿度范围至少满足 5% ～ 95% 非冷凝。</w:t>
            </w:r>
          </w:p>
          <w:p w14:paraId="08CE1B3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1.1.7AED设备铭牌应明确标注使用期限≧10年。</w:t>
            </w:r>
          </w:p>
          <w:p w14:paraId="153150B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1.2除颤性能</w:t>
            </w:r>
          </w:p>
          <w:p w14:paraId="1886F9D7">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1.2.1采用双相波技术，双相指数截断（BTE）波形，波形参数可根据病人阻抗进行自动补偿。</w:t>
            </w:r>
          </w:p>
          <w:p w14:paraId="37AFB72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▲1.2.2输出能量：成人最大能量可支持360J。</w:t>
            </w:r>
          </w:p>
          <w:p w14:paraId="606404D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1.2.3儿童最大输出能量≥70J。</w:t>
            </w:r>
          </w:p>
          <w:p w14:paraId="798512F5">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▲1.2.4开始AED分析到200J放电准备就绪时间＜7s。</w:t>
            </w:r>
          </w:p>
          <w:p w14:paraId="5A380FD0">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1.2.5除颤能量精度：≤±10%</w:t>
            </w:r>
          </w:p>
          <w:p w14:paraId="017E862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1.2.6首次电击没有消除室颤时，第二次、第三次电击均会自动提供更高级别能量（包括成人和儿童模式）。</w:t>
            </w:r>
          </w:p>
          <w:p w14:paraId="4200D06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1.3除颤电极片</w:t>
            </w:r>
          </w:p>
          <w:p w14:paraId="0D97D9E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1.3.1类型：提供与机器配套的电极片，电极片上具有电极片粘贴方式指示图，要有明显的指示粘贴部位标记，防止粘贴错误，粘贴无效时有语音提示。备用状态时电极片不可裸露。</w:t>
            </w:r>
          </w:p>
          <w:p w14:paraId="0A4B944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1.3.2电极片有效期：一次性电极片需密封包装且外包装上须明确注明有效期≥5年。</w:t>
            </w:r>
          </w:p>
          <w:p w14:paraId="7A58875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1.3.3在待机状态，电极片与主机预先连接，节省了开机后插入电极片步骤，提高抢救效率</w:t>
            </w:r>
          </w:p>
          <w:p w14:paraId="552E638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1.3.4可自动识别成人、小儿电极片，并根据电极片类型自动选择对应的除颤能量</w:t>
            </w:r>
          </w:p>
          <w:p w14:paraId="7CAE4899">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1.3.5提供智能语音播报。设备根据急救人员响应速度，智能语音提示急救人员粘贴电极片。</w:t>
            </w:r>
          </w:p>
          <w:p w14:paraId="3E8BC3C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1.4电池</w:t>
            </w:r>
          </w:p>
          <w:p w14:paraId="019E4E27">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1.4.1适合环境下，电池待机寿命不少于3年.</w:t>
            </w:r>
          </w:p>
          <w:p w14:paraId="56CF33C7">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1.4.2至少可支持300次200J除颤治疗或190次360J除颤治疗</w:t>
            </w:r>
          </w:p>
          <w:p w14:paraId="754A689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1.4.3可检测电池低电量并给出报警提示，低电量报警后至少还可持续30分钟工作时间和至少10次200J除颤充放电</w:t>
            </w:r>
          </w:p>
          <w:p w14:paraId="0B468C0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1.5.操作</w:t>
            </w:r>
          </w:p>
          <w:p w14:paraId="78C87F02">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1.5.1一键开机或开盖开机，整个操作步骤不超过3步。</w:t>
            </w:r>
          </w:p>
          <w:p w14:paraId="49C49AC4">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1.5.2设备能够根据环境噪音强度自动调节语音播放音量，适应急救现场嘈杂环境下使用</w:t>
            </w:r>
          </w:p>
          <w:p w14:paraId="0DA8CC5C">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1.5.3提供中英文双语支持，包括图示和语音提示，可一键快速切换中英文</w:t>
            </w:r>
          </w:p>
          <w:p w14:paraId="17E9E21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▲1.5.4</w:t>
            </w:r>
            <w:r>
              <w:rPr>
                <w:rFonts w:hint="eastAsia" w:ascii="宋体" w:hAnsi="宋体" w:cs="宋体"/>
                <w:i w:val="0"/>
                <w:iCs w:val="0"/>
                <w:color w:val="000000"/>
                <w:kern w:val="0"/>
                <w:sz w:val="21"/>
                <w:szCs w:val="21"/>
                <w:u w:val="none"/>
                <w:lang w:val="en-US" w:eastAsia="zh-CN" w:bidi="ar"/>
              </w:rPr>
              <w:t>支</w:t>
            </w:r>
            <w:r>
              <w:rPr>
                <w:rFonts w:hint="eastAsia" w:ascii="宋体" w:hAnsi="宋体" w:eastAsia="宋体" w:cs="宋体"/>
                <w:i w:val="0"/>
                <w:iCs w:val="0"/>
                <w:color w:val="000000"/>
                <w:kern w:val="0"/>
                <w:sz w:val="21"/>
                <w:szCs w:val="21"/>
                <w:u w:val="none"/>
                <w:lang w:val="en-US" w:eastAsia="zh-CN" w:bidi="ar"/>
              </w:rPr>
              <w:t>持成人/小儿患者类型快速一键切换，可根据病人类型自动切换提示信息、除颤能量和CPR按压模式</w:t>
            </w:r>
          </w:p>
          <w:p w14:paraId="3565101C">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1.5.5CPR按压模式支持配置30:2、15:2和仅按压模式</w:t>
            </w:r>
          </w:p>
          <w:p w14:paraId="5EA2641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1.5.6在CPR仅按压过程中持续提供操作指导和剩余按压次数提示</w:t>
            </w:r>
          </w:p>
          <w:p w14:paraId="112FFBE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1.6数据管理</w:t>
            </w:r>
          </w:p>
          <w:p w14:paraId="5A77A2A7">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1.6.1存储容量：设备的内部存储容量不小于1GB，可存储不少于1000份自检报告</w:t>
            </w:r>
          </w:p>
          <w:p w14:paraId="3729E8E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1.6.2具备录音功能，可保存60分钟抢救现场录音</w:t>
            </w:r>
          </w:p>
          <w:p w14:paraId="091F82C0">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1.6.3数据存储：可存储ECG波形数据、事件数据、录音数据、急救数据（须有急救时间、CPR 持续时间、放电次数等要素）、录音数据等</w:t>
            </w:r>
          </w:p>
          <w:p w14:paraId="672E3F85">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1.6.4支持USB接口，可通过外部USB闪存设备导出抢救记录数据</w:t>
            </w:r>
          </w:p>
          <w:p w14:paraId="5D70463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1.7设备维护与自检</w:t>
            </w:r>
          </w:p>
          <w:p w14:paraId="2953B3F9">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1.7.1设备支持用户自检和设备自检功能</w:t>
            </w:r>
          </w:p>
          <w:p w14:paraId="6FD7132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1.7.2支持每日、每周、每月、每季度的设备自检</w:t>
            </w:r>
          </w:p>
          <w:p w14:paraId="275AE359">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1.7.3提供设备状态指示灯：根据自检结果，红灯/绿灯显示设备状态</w:t>
            </w:r>
          </w:p>
          <w:p w14:paraId="76BB37B7">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1.7.4支持设备使用时实时自检和开机自检，检测主控模块、治疗模块、电源模块的状态</w:t>
            </w:r>
          </w:p>
          <w:p w14:paraId="33055C5C">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1.7.5</w:t>
            </w:r>
            <w:r>
              <w:rPr>
                <w:rFonts w:hint="eastAsia" w:ascii="宋体" w:hAnsi="宋体" w:cs="宋体"/>
                <w:i w:val="0"/>
                <w:iCs w:val="0"/>
                <w:color w:val="000000"/>
                <w:kern w:val="0"/>
                <w:sz w:val="21"/>
                <w:szCs w:val="21"/>
                <w:u w:val="none"/>
                <w:lang w:val="en-US" w:eastAsia="zh-CN" w:bidi="ar"/>
              </w:rPr>
              <w:t>公</w:t>
            </w:r>
            <w:r>
              <w:rPr>
                <w:rFonts w:hint="eastAsia" w:ascii="宋体" w:hAnsi="宋体" w:eastAsia="宋体" w:cs="宋体"/>
                <w:i w:val="0"/>
                <w:iCs w:val="0"/>
                <w:color w:val="000000"/>
                <w:kern w:val="0"/>
                <w:sz w:val="21"/>
                <w:szCs w:val="21"/>
                <w:u w:val="none"/>
                <w:lang w:val="en-US" w:eastAsia="zh-CN" w:bidi="ar"/>
              </w:rPr>
              <w:t>共卫生安全性：投标设备可进行常规消毒。</w:t>
            </w:r>
          </w:p>
          <w:p w14:paraId="3376BA7E">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▲1.7.6具有远程管理系统，可通过4G网络在同一平台对所安装的和医院现有的AED进行全生命周期远程集中管理和性能状况监控。</w:t>
            </w:r>
          </w:p>
          <w:p w14:paraId="5CEAC6B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配置及相关要求：</w:t>
            </w:r>
          </w:p>
          <w:p w14:paraId="4DAE7025">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2.1配置清单：自动体外除颤器、一次性免维护不可充电电池、一次性电极片、用户手册、快速操作指南等。</w:t>
            </w:r>
          </w:p>
          <w:p w14:paraId="1AF0E870">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2.2相关要求：AED为投标方的最新产品，且出厂日期应不超过一年。</w:t>
            </w:r>
          </w:p>
          <w:p w14:paraId="17653550">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2.3机箱要求：材质应耐压耐腐蚀并具备防晒防水等功能；机箱外观应比例协调，美观大方。</w:t>
            </w:r>
          </w:p>
          <w:p w14:paraId="72A3869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售后服务</w:t>
            </w:r>
          </w:p>
          <w:p w14:paraId="1F5254A5">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3.1设备验收合格后保修不少于5年，质保期外不收取任何维修、差旅费等。</w:t>
            </w:r>
          </w:p>
          <w:p w14:paraId="376EA464">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3.2维修响应时间＜2小时，24小时内上门维修（包括节假日），提供24小时维修电话，提供消耗品和保修期后常用零配件的供应价格。</w:t>
            </w:r>
          </w:p>
          <w:p w14:paraId="385D7484">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3.3免费提供至少每年2次的上门维修保养服务。</w:t>
            </w:r>
          </w:p>
          <w:p w14:paraId="3AA970A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3.4培训：免费提供操作培训和工程师的维修培训。</w:t>
            </w:r>
          </w:p>
          <w:p w14:paraId="6D458E5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3.5对保修期外维修付款做到先维修后付款。</w:t>
            </w:r>
          </w:p>
          <w:p w14:paraId="307B9DE5">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3.6按院方要求提供每年的维修、保养资料以及性能检测资料。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9F2D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DFC3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7FDFC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DD58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56A3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电子血压计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D44A6">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测量原理：示波法</w:t>
            </w:r>
          </w:p>
          <w:p w14:paraId="165E7AC0">
            <w:pPr>
              <w:keepNext w:val="0"/>
              <w:keepLines w:val="0"/>
              <w:widowControl/>
              <w:suppressLineNumbers w:val="0"/>
              <w:ind w:left="210" w:hanging="210" w:hangingChars="10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测量范围：压力，0-300mmHg（0kPa-40.0kPa），脉搏数40-200次/分范围</w:t>
            </w:r>
          </w:p>
          <w:p w14:paraId="3942893E">
            <w:pPr>
              <w:keepNext w:val="0"/>
              <w:keepLines w:val="0"/>
              <w:widowControl/>
              <w:suppressLineNumbers w:val="0"/>
              <w:ind w:left="210" w:hanging="210" w:hangingChars="10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测量精度：压力表示精度±3mmHg（±0.4kPa）；脉搏精度±5%以内；</w:t>
            </w:r>
          </w:p>
          <w:p w14:paraId="420288FB">
            <w:pPr>
              <w:keepNext w:val="0"/>
              <w:keepLines w:val="0"/>
              <w:widowControl/>
              <w:suppressLineNumbers w:val="0"/>
              <w:ind w:left="210" w:hanging="210" w:hangingChars="10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测量模式：自动测量模式、听诊测量模式（自动充气）随意可选，满足医生固有的测量习惯，并提供精度比对的可行途径</w:t>
            </w:r>
          </w:p>
          <w:p w14:paraId="29DFF438">
            <w:pPr>
              <w:keepNext w:val="0"/>
              <w:keepLines w:val="0"/>
              <w:widowControl/>
              <w:suppressLineNumbers w:val="0"/>
              <w:ind w:left="210" w:hanging="210" w:hangingChars="10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加压值模式：具备自动加压与手动加压值设定（220mmHg、250mmHg、280mmHg）功能可选</w:t>
            </w:r>
          </w:p>
          <w:p w14:paraId="50659B24">
            <w:pPr>
              <w:keepNext w:val="0"/>
              <w:keepLines w:val="0"/>
              <w:widowControl/>
              <w:suppressLineNumbers w:val="0"/>
              <w:ind w:left="210" w:hanging="210" w:hangingChars="10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适用臂围：22-32cm（标配）；包含12-50cm 5种可选尺寸袖带，可根据各科室个性化需求配备</w:t>
            </w:r>
          </w:p>
          <w:p w14:paraId="6E37DF6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充电电池：具备内置可直充充电电池，额定DC3.6V 1900mAh;</w:t>
            </w:r>
          </w:p>
          <w:p w14:paraId="6BE1D7C7">
            <w:pPr>
              <w:keepNext w:val="0"/>
              <w:keepLines w:val="0"/>
              <w:widowControl/>
              <w:suppressLineNumbers w:val="0"/>
              <w:ind w:firstLine="210" w:firstLineChars="10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充满电状态下测量次数不少于300人次</w:t>
            </w:r>
          </w:p>
          <w:p w14:paraId="406FF240">
            <w:pPr>
              <w:keepNext w:val="0"/>
              <w:keepLines w:val="0"/>
              <w:widowControl/>
              <w:suppressLineNumbers w:val="0"/>
              <w:ind w:left="210" w:hanging="210" w:hangingChars="10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防震设计：具有防震防摔设计，有效保护仪器在移动过程中不易损坏</w:t>
            </w:r>
          </w:p>
          <w:p w14:paraId="1E6CF52E">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水滴防护：防水设计，避免医疗场所中意外水滴所造成的损坏</w:t>
            </w:r>
          </w:p>
          <w:p w14:paraId="11A7FE70">
            <w:pPr>
              <w:keepNext w:val="0"/>
              <w:keepLines w:val="0"/>
              <w:widowControl/>
              <w:suppressLineNumbers w:val="0"/>
              <w:ind w:left="210" w:hanging="210" w:hangingChars="10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背光灯：背光灯设计，即使在黑暗环境中也能清晰读取测量值，有效避免</w:t>
            </w:r>
            <w:r>
              <w:rPr>
                <w:rFonts w:hint="eastAsia" w:ascii="宋体" w:hAnsi="宋体" w:cs="宋体"/>
                <w:i w:val="0"/>
                <w:iCs w:val="0"/>
                <w:color w:val="000000"/>
                <w:kern w:val="0"/>
                <w:sz w:val="21"/>
                <w:szCs w:val="21"/>
                <w:u w:val="none"/>
                <w:lang w:val="en-US" w:eastAsia="zh-CN" w:bidi="ar"/>
              </w:rPr>
              <w:t>影响</w:t>
            </w:r>
            <w:r>
              <w:rPr>
                <w:rFonts w:hint="eastAsia" w:ascii="宋体" w:hAnsi="宋体" w:eastAsia="宋体" w:cs="宋体"/>
                <w:i w:val="0"/>
                <w:iCs w:val="0"/>
                <w:color w:val="000000"/>
                <w:kern w:val="0"/>
                <w:sz w:val="21"/>
                <w:szCs w:val="21"/>
                <w:u w:val="none"/>
                <w:lang w:val="en-US" w:eastAsia="zh-CN" w:bidi="ar"/>
              </w:rPr>
              <w:t>他人休息</w:t>
            </w:r>
          </w:p>
          <w:p w14:paraId="12266F0B">
            <w:pPr>
              <w:keepNext w:val="0"/>
              <w:keepLines w:val="0"/>
              <w:widowControl/>
              <w:suppressLineNumbers w:val="0"/>
              <w:ind w:left="210" w:hanging="210" w:hangingChars="10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记忆模式：具有100组的记忆读出功能，便于医护人员测量值的记录</w:t>
            </w:r>
          </w:p>
          <w:p w14:paraId="18D020D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便携手柄：便携手柄设计，方便病房和各床位间的携带</w:t>
            </w:r>
          </w:p>
          <w:p w14:paraId="6F84F707">
            <w:pPr>
              <w:keepNext w:val="0"/>
              <w:keepLines w:val="0"/>
              <w:widowControl/>
              <w:suppressLineNumbers w:val="0"/>
              <w:ind w:left="210" w:hanging="210" w:hangingChars="10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电源适配器：交流电源与充电模式自动切换功能，输入AC 100-240V, 50/60Hz;  输出DC 6V±5% 1.6A</w:t>
            </w:r>
          </w:p>
          <w:p w14:paraId="7287D81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w:t>
            </w:r>
            <w:r>
              <w:rPr>
                <w:rFonts w:hint="eastAsia" w:ascii="宋体" w:hAnsi="宋体" w:eastAsia="宋体" w:cs="宋体"/>
                <w:i w:val="0"/>
                <w:iCs w:val="0"/>
                <w:color w:val="000000"/>
                <w:kern w:val="0"/>
                <w:sz w:val="21"/>
                <w:szCs w:val="21"/>
                <w:u w:val="none"/>
                <w:lang w:val="en-US" w:eastAsia="zh-CN" w:bidi="ar"/>
              </w:rPr>
              <w:t>使用温湿度 ：5-40℃，15%-85%RH（无凝结）</w:t>
            </w:r>
          </w:p>
          <w:p w14:paraId="6DB2A42E">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运输与保存温湿度：20-60℃,10%-95%RH（无凝结）</w:t>
            </w:r>
          </w:p>
          <w:p w14:paraId="76587BFA">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运行大气压力：700-1060hPa</w:t>
            </w:r>
          </w:p>
          <w:p w14:paraId="5861ECB2">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w:t>
            </w:r>
            <w:r>
              <w:rPr>
                <w:rFonts w:hint="eastAsia" w:ascii="宋体" w:hAnsi="宋体" w:eastAsia="宋体" w:cs="宋体"/>
                <w:i w:val="0"/>
                <w:iCs w:val="0"/>
                <w:color w:val="000000"/>
                <w:kern w:val="0"/>
                <w:sz w:val="21"/>
                <w:szCs w:val="21"/>
                <w:u w:val="none"/>
                <w:lang w:val="en-US" w:eastAsia="zh-CN" w:bidi="ar"/>
              </w:rPr>
              <w:t>运输和保存大气压力：500-1060hPa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3D77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F270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r>
    </w:tbl>
    <w:p w14:paraId="184AF4D7">
      <w:pPr>
        <w:jc w:val="left"/>
        <w:rPr>
          <w:rFonts w:hint="eastAsia"/>
          <w:color w:val="auto"/>
          <w:sz w:val="21"/>
          <w:szCs w:val="21"/>
          <w:lang w:eastAsia="zh-CN"/>
        </w:rPr>
      </w:pPr>
    </w:p>
    <w:p w14:paraId="51CDCDDC">
      <w:pPr>
        <w:spacing w:line="360" w:lineRule="auto"/>
        <w:ind w:firstLine="422" w:firstLineChars="200"/>
        <w:rPr>
          <w:rFonts w:ascii="宋体" w:hAnsi="宋体"/>
          <w:b/>
          <w:bCs w:val="0"/>
          <w:szCs w:val="21"/>
        </w:rPr>
      </w:pPr>
      <w:r>
        <w:rPr>
          <w:rFonts w:hint="eastAsia" w:ascii="宋体" w:hAnsi="宋体"/>
          <w:b/>
          <w:bCs w:val="0"/>
          <w:szCs w:val="21"/>
          <w:lang w:val="en-US" w:eastAsia="zh-CN"/>
        </w:rPr>
        <w:t>三</w:t>
      </w:r>
      <w:r>
        <w:rPr>
          <w:rFonts w:hint="eastAsia" w:ascii="宋体" w:hAnsi="宋体"/>
          <w:b/>
          <w:bCs w:val="0"/>
          <w:szCs w:val="21"/>
        </w:rPr>
        <w:t>、商务要求</w:t>
      </w:r>
    </w:p>
    <w:p w14:paraId="5F6EC0B9">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cs="宋体"/>
          <w:szCs w:val="21"/>
        </w:rPr>
      </w:pPr>
      <w:r>
        <w:rPr>
          <w:rFonts w:hint="eastAsia" w:ascii="宋体" w:hAnsi="宋体"/>
          <w:bCs/>
          <w:szCs w:val="21"/>
        </w:rPr>
        <w:t>1、建设期限：</w:t>
      </w:r>
      <w:r>
        <w:rPr>
          <w:rFonts w:hint="eastAsia" w:ascii="宋体" w:hAnsi="宋体" w:cs="宋体"/>
          <w:szCs w:val="21"/>
          <w:lang w:eastAsia="zh-CN"/>
        </w:rPr>
        <w:t>合同签订之日起，</w:t>
      </w:r>
      <w:r>
        <w:rPr>
          <w:rFonts w:hint="eastAsia" w:ascii="宋体" w:hAnsi="宋体" w:cs="宋体"/>
          <w:szCs w:val="21"/>
          <w:lang w:val="en-US" w:eastAsia="zh-CN"/>
        </w:rPr>
        <w:t>30</w:t>
      </w:r>
      <w:r>
        <w:rPr>
          <w:rFonts w:hint="eastAsia" w:ascii="宋体" w:hAnsi="宋体" w:cs="宋体"/>
          <w:szCs w:val="21"/>
          <w:lang w:eastAsia="zh-CN"/>
        </w:rPr>
        <w:t>个日历天内完成。</w:t>
      </w:r>
    </w:p>
    <w:p w14:paraId="1130122C">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、付款方式</w:t>
      </w:r>
    </w:p>
    <w:p w14:paraId="612285CD">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cs="宋体"/>
          <w:szCs w:val="21"/>
          <w:lang w:eastAsia="zh-CN"/>
        </w:rPr>
      </w:pPr>
      <w:r>
        <w:rPr>
          <w:rFonts w:hint="eastAsia" w:ascii="宋体" w:hAnsi="宋体" w:cs="宋体"/>
          <w:szCs w:val="21"/>
          <w:lang w:eastAsia="zh-CN"/>
        </w:rPr>
        <w:t>本项目分二笔进行支付，付款方式：合同签订后7个工作日内付合同价的</w:t>
      </w:r>
      <w:r>
        <w:rPr>
          <w:rFonts w:hint="eastAsia" w:ascii="宋体" w:hAnsi="宋体" w:cs="宋体"/>
          <w:szCs w:val="21"/>
          <w:lang w:val="en-US" w:eastAsia="zh-CN"/>
        </w:rPr>
        <w:t>4</w:t>
      </w:r>
      <w:r>
        <w:rPr>
          <w:rFonts w:hint="eastAsia" w:ascii="宋体" w:hAnsi="宋体" w:cs="宋体"/>
          <w:szCs w:val="21"/>
          <w:lang w:eastAsia="zh-CN"/>
        </w:rPr>
        <w:t>0%，中标人完成产品供货、安装、调试及验收合格后支付余款。</w:t>
      </w:r>
    </w:p>
    <w:p w14:paraId="28850049">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Times New Roman"/>
        </w:rPr>
      </w:pPr>
      <w:r>
        <w:rPr>
          <w:rFonts w:hint="eastAsia" w:ascii="宋体" w:hAnsi="宋体" w:cs="Times New Roman"/>
          <w:lang w:val="en-US" w:eastAsia="zh-CN"/>
        </w:rPr>
        <w:t>3</w:t>
      </w:r>
      <w:r>
        <w:rPr>
          <w:rFonts w:hint="eastAsia" w:ascii="宋体" w:hAnsi="宋体" w:eastAsia="宋体" w:cs="Times New Roman"/>
          <w:lang w:val="en-US" w:eastAsia="zh-CN"/>
        </w:rPr>
        <w:t>.</w:t>
      </w:r>
      <w:r>
        <w:rPr>
          <w:rFonts w:ascii="宋体" w:hAnsi="宋体" w:eastAsia="宋体" w:cs="Times New Roman"/>
        </w:rPr>
        <w:t xml:space="preserve"> </w:t>
      </w:r>
      <w:r>
        <w:rPr>
          <w:rFonts w:hint="eastAsia" w:ascii="宋体" w:hAnsi="宋体" w:eastAsia="宋体" w:cs="Times New Roman"/>
        </w:rPr>
        <w:t>质量保证期及备件供应</w:t>
      </w:r>
    </w:p>
    <w:p w14:paraId="1168BDC6">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Times New Roman"/>
          <w:lang w:eastAsia="zh-CN"/>
        </w:rPr>
      </w:pPr>
      <w:bookmarkStart w:id="17" w:name="_GoBack"/>
      <w:r>
        <w:rPr>
          <w:rFonts w:hint="eastAsia" w:ascii="宋体" w:hAnsi="宋体" w:eastAsia="宋体" w:cs="Times New Roman"/>
        </w:rPr>
        <w:t>自仪器设备最终验收合格之日起，投标人提供</w:t>
      </w:r>
      <w:r>
        <w:rPr>
          <w:rFonts w:hint="eastAsia" w:ascii="宋体" w:hAnsi="宋体" w:eastAsia="宋体" w:cs="Times New Roman"/>
          <w:lang w:val="en-US" w:eastAsia="zh-CN"/>
        </w:rPr>
        <w:t>三</w:t>
      </w:r>
      <w:r>
        <w:rPr>
          <w:rFonts w:hint="eastAsia" w:ascii="宋体" w:hAnsi="宋体" w:eastAsia="宋体" w:cs="Times New Roman"/>
        </w:rPr>
        <w:t>年的免费保修服务</w:t>
      </w:r>
      <w:r>
        <w:rPr>
          <w:rFonts w:hint="eastAsia" w:ascii="宋体" w:hAnsi="宋体" w:eastAsia="宋体" w:cs="Times New Roman"/>
          <w:lang w:eastAsia="zh-CN"/>
        </w:rPr>
        <w:t>。（</w:t>
      </w:r>
      <w:r>
        <w:rPr>
          <w:rFonts w:hint="eastAsia" w:ascii="宋体" w:hAnsi="宋体" w:eastAsia="宋体" w:cs="Times New Roman"/>
          <w:lang w:val="en-US" w:eastAsia="zh-CN"/>
        </w:rPr>
        <w:t>除AED除颤仪为原厂质保五年。</w:t>
      </w:r>
      <w:r>
        <w:rPr>
          <w:rFonts w:hint="eastAsia" w:ascii="宋体" w:hAnsi="宋体" w:eastAsia="宋体" w:cs="Times New Roman"/>
          <w:lang w:eastAsia="zh-CN"/>
        </w:rPr>
        <w:t>）</w:t>
      </w:r>
    </w:p>
    <w:bookmarkEnd w:id="17"/>
    <w:p w14:paraId="7A4512D1">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Times New Roman"/>
        </w:rPr>
      </w:pPr>
      <w:r>
        <w:rPr>
          <w:rFonts w:hint="eastAsia" w:ascii="宋体" w:hAnsi="宋体" w:cs="Times New Roman"/>
          <w:lang w:val="en-US" w:eastAsia="zh-CN"/>
        </w:rPr>
        <w:t>3</w:t>
      </w:r>
      <w:r>
        <w:rPr>
          <w:rFonts w:hint="eastAsia" w:ascii="宋体" w:hAnsi="宋体" w:eastAsia="宋体" w:cs="Times New Roman"/>
          <w:lang w:val="en-US" w:eastAsia="zh-CN"/>
        </w:rPr>
        <w:t>.1</w:t>
      </w:r>
      <w:r>
        <w:rPr>
          <w:rFonts w:hint="eastAsia" w:ascii="宋体" w:hAnsi="宋体" w:eastAsia="宋体" w:cs="Times New Roman"/>
        </w:rPr>
        <w:t>培训计划</w:t>
      </w:r>
    </w:p>
    <w:p w14:paraId="46EFDD7A">
      <w:pPr>
        <w:keepNext w:val="0"/>
        <w:keepLines w:val="0"/>
        <w:pageBreakBefore w:val="0"/>
        <w:widowControl w:val="0"/>
        <w:kinsoku/>
        <w:wordWrap/>
        <w:overflowPunct/>
        <w:topLinePunct w:val="0"/>
        <w:bidi w:val="0"/>
        <w:snapToGrid w:val="0"/>
        <w:spacing w:line="360" w:lineRule="auto"/>
        <w:ind w:firstLine="525" w:firstLineChars="250"/>
        <w:textAlignment w:val="auto"/>
        <w:rPr>
          <w:rFonts w:hint="eastAsia" w:ascii="宋体" w:hAnsi="宋体" w:eastAsia="宋体" w:cs="Times New Roman"/>
        </w:rPr>
      </w:pPr>
      <w:r>
        <w:rPr>
          <w:rFonts w:hint="eastAsia" w:ascii="宋体" w:hAnsi="宋体" w:eastAsia="宋体" w:cs="Times New Roman"/>
        </w:rPr>
        <w:t>中标人除安装调试时为用户进行免费操作培训外，还必须提供详细免费培训方案，以保证用户能熟练使用该系统。</w:t>
      </w:r>
    </w:p>
    <w:p w14:paraId="7B106D67">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Times New Roman"/>
        </w:rPr>
      </w:pPr>
      <w:r>
        <w:rPr>
          <w:rFonts w:hint="eastAsia" w:ascii="宋体" w:hAnsi="宋体" w:cs="Times New Roman"/>
          <w:lang w:val="en-US" w:eastAsia="zh-CN"/>
        </w:rPr>
        <w:t>3</w:t>
      </w:r>
      <w:r>
        <w:rPr>
          <w:rFonts w:hint="eastAsia" w:ascii="宋体" w:hAnsi="宋体" w:eastAsia="宋体" w:cs="Times New Roman"/>
          <w:lang w:val="en-US" w:eastAsia="zh-CN"/>
        </w:rPr>
        <w:t>.2</w:t>
      </w:r>
      <w:r>
        <w:rPr>
          <w:rFonts w:ascii="宋体" w:hAnsi="宋体" w:eastAsia="宋体" w:cs="Times New Roman"/>
        </w:rPr>
        <w:t xml:space="preserve"> </w:t>
      </w:r>
      <w:r>
        <w:rPr>
          <w:rFonts w:hint="eastAsia" w:ascii="宋体" w:hAnsi="宋体" w:eastAsia="宋体" w:cs="Times New Roman"/>
        </w:rPr>
        <w:t>技术服务</w:t>
      </w:r>
    </w:p>
    <w:p w14:paraId="404211B0">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Times New Roman"/>
        </w:rPr>
      </w:pPr>
      <w:r>
        <w:rPr>
          <w:rFonts w:hint="eastAsia" w:ascii="宋体" w:hAnsi="宋体" w:eastAsia="宋体" w:cs="Times New Roman"/>
        </w:rPr>
        <w:t>提供快捷、周到、规范的技术服务，仪器设备或系统出现故障时，维修人员在接到通知后应立即应答，并在规定时间内到达现场，及时排除故障。</w:t>
      </w:r>
    </w:p>
    <w:p w14:paraId="41AD5DC9">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Times New Roman"/>
        </w:rPr>
      </w:pPr>
      <w:r>
        <w:rPr>
          <w:rFonts w:hint="eastAsia" w:ascii="宋体" w:hAnsi="宋体" w:cs="Times New Roman"/>
          <w:lang w:val="en-US" w:eastAsia="zh-CN"/>
        </w:rPr>
        <w:t>3</w:t>
      </w:r>
      <w:r>
        <w:rPr>
          <w:rFonts w:hint="eastAsia" w:ascii="宋体" w:hAnsi="宋体" w:eastAsia="宋体" w:cs="Times New Roman"/>
          <w:lang w:val="en-US" w:eastAsia="zh-CN"/>
        </w:rPr>
        <w:t>.3</w:t>
      </w:r>
      <w:r>
        <w:rPr>
          <w:rFonts w:ascii="宋体" w:hAnsi="宋体" w:eastAsia="宋体" w:cs="Times New Roman"/>
        </w:rPr>
        <w:t xml:space="preserve"> </w:t>
      </w:r>
      <w:r>
        <w:rPr>
          <w:rFonts w:hint="eastAsia" w:ascii="宋体" w:hAnsi="宋体" w:eastAsia="宋体" w:cs="Times New Roman"/>
        </w:rPr>
        <w:t>操作维护手册</w:t>
      </w:r>
    </w:p>
    <w:p w14:paraId="32F3C17C">
      <w:pPr>
        <w:keepNext w:val="0"/>
        <w:keepLines w:val="0"/>
        <w:pageBreakBefore w:val="0"/>
        <w:widowControl w:val="0"/>
        <w:kinsoku/>
        <w:wordWrap/>
        <w:overflowPunct/>
        <w:topLinePunct w:val="0"/>
        <w:bidi w:val="0"/>
        <w:snapToGrid w:val="0"/>
        <w:spacing w:line="360" w:lineRule="auto"/>
        <w:ind w:firstLine="525" w:firstLineChars="250"/>
        <w:textAlignment w:val="auto"/>
        <w:rPr>
          <w:rFonts w:hint="eastAsia" w:ascii="宋体" w:hAnsi="宋体" w:eastAsia="宋体" w:cs="Times New Roman"/>
        </w:rPr>
      </w:pPr>
      <w:r>
        <w:rPr>
          <w:rFonts w:hint="eastAsia" w:ascii="宋体" w:hAnsi="宋体" w:eastAsia="宋体" w:cs="Times New Roman"/>
        </w:rPr>
        <w:t>投标人应提供所有仪器设备详细的英文和中文操作手册，详细的系统操作和维护手册，详细的软件使用手册。</w:t>
      </w:r>
    </w:p>
    <w:p w14:paraId="4C52873D">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Times New Roman"/>
        </w:rPr>
      </w:pPr>
      <w:r>
        <w:rPr>
          <w:rFonts w:hint="eastAsia" w:ascii="宋体" w:hAnsi="宋体" w:cs="Times New Roman"/>
          <w:lang w:val="en-US" w:eastAsia="zh-CN"/>
        </w:rPr>
        <w:t>3</w:t>
      </w:r>
      <w:r>
        <w:rPr>
          <w:rFonts w:hint="eastAsia" w:ascii="宋体" w:hAnsi="宋体" w:eastAsia="宋体" w:cs="Times New Roman"/>
          <w:lang w:val="en-US" w:eastAsia="zh-CN"/>
        </w:rPr>
        <w:t>.4</w:t>
      </w:r>
      <w:r>
        <w:rPr>
          <w:rFonts w:ascii="宋体" w:hAnsi="宋体" w:eastAsia="宋体" w:cs="Times New Roman"/>
        </w:rPr>
        <w:t xml:space="preserve"> </w:t>
      </w:r>
      <w:r>
        <w:rPr>
          <w:rFonts w:hint="eastAsia" w:ascii="宋体" w:hAnsi="宋体" w:eastAsia="宋体" w:cs="Times New Roman"/>
        </w:rPr>
        <w:t>专用工具</w:t>
      </w:r>
    </w:p>
    <w:p w14:paraId="151B1D28">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bCs/>
          <w:szCs w:val="21"/>
        </w:rPr>
      </w:pPr>
      <w:r>
        <w:rPr>
          <w:rFonts w:hint="eastAsia" w:ascii="宋体" w:hAnsi="宋体"/>
          <w:bCs/>
          <w:szCs w:val="21"/>
        </w:rPr>
        <w:t>投标人应提供完整的专用工具，以便维护、维修所供仪器设备。</w:t>
      </w:r>
    </w:p>
    <w:p w14:paraId="4C3A53E2">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bCs/>
          <w:szCs w:val="21"/>
        </w:rPr>
      </w:pPr>
      <w:bookmarkStart w:id="2" w:name="_Toc173123575"/>
      <w:bookmarkStart w:id="3" w:name="_Toc213418190"/>
      <w:bookmarkStart w:id="4" w:name="_Toc172432830"/>
      <w:bookmarkStart w:id="5" w:name="_Toc173749297"/>
      <w:r>
        <w:rPr>
          <w:rFonts w:hint="eastAsia" w:ascii="宋体" w:hAnsi="宋体"/>
          <w:bCs/>
          <w:szCs w:val="21"/>
          <w:lang w:val="en-US" w:eastAsia="zh-CN"/>
        </w:rPr>
        <w:t>4</w:t>
      </w:r>
      <w:r>
        <w:rPr>
          <w:rFonts w:hint="eastAsia" w:ascii="宋体" w:hAnsi="宋体"/>
          <w:bCs/>
          <w:szCs w:val="21"/>
        </w:rPr>
        <w:t>．培训要求</w:t>
      </w:r>
      <w:bookmarkEnd w:id="2"/>
      <w:bookmarkEnd w:id="3"/>
      <w:bookmarkEnd w:id="4"/>
      <w:bookmarkEnd w:id="5"/>
    </w:p>
    <w:p w14:paraId="74B0E27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0"/>
        <w:rPr>
          <w:rFonts w:hint="eastAsia" w:ascii="宋体" w:hAnsi="宋体" w:eastAsia="宋体" w:cs="Times New Roman"/>
          <w:lang w:val="zh-CN"/>
        </w:rPr>
      </w:pPr>
      <w:bookmarkStart w:id="6" w:name="_Toc173749298"/>
      <w:bookmarkStart w:id="7" w:name="_Toc173123576"/>
      <w:bookmarkStart w:id="8" w:name="_Toc213418191"/>
      <w:bookmarkStart w:id="9" w:name="_Toc172432831"/>
      <w:r>
        <w:rPr>
          <w:rFonts w:hint="eastAsia" w:ascii="宋体" w:hAnsi="宋体" w:cs="Times New Roman"/>
          <w:lang w:val="en-US" w:eastAsia="zh-CN"/>
        </w:rPr>
        <w:t>4</w:t>
      </w:r>
      <w:r>
        <w:rPr>
          <w:rFonts w:ascii="宋体" w:hAnsi="宋体" w:eastAsia="宋体" w:cs="Times New Roman"/>
          <w:lang w:val="zh-CN"/>
        </w:rPr>
        <w:t xml:space="preserve">.1 </w:t>
      </w:r>
      <w:r>
        <w:rPr>
          <w:rFonts w:hint="eastAsia" w:ascii="宋体" w:hAnsi="宋体" w:eastAsia="宋体" w:cs="Times New Roman"/>
          <w:lang w:val="zh-CN"/>
        </w:rPr>
        <w:t>培训总则</w:t>
      </w:r>
      <w:bookmarkEnd w:id="6"/>
      <w:bookmarkEnd w:id="7"/>
      <w:bookmarkEnd w:id="8"/>
      <w:bookmarkEnd w:id="9"/>
    </w:p>
    <w:p w14:paraId="40ECAF2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Times New Roman"/>
        </w:rPr>
      </w:pPr>
      <w:r>
        <w:rPr>
          <w:rFonts w:hint="eastAsia" w:ascii="宋体" w:hAnsi="宋体" w:eastAsia="宋体" w:cs="Times New Roman"/>
        </w:rPr>
        <w:t>投标人</w:t>
      </w:r>
      <w:r>
        <w:rPr>
          <w:rFonts w:hint="eastAsia" w:ascii="MS UI Gothic" w:hAnsi="MS UI Gothic" w:eastAsia="宋体" w:cs="Times New Roman"/>
        </w:rPr>
        <w:t>除安装</w:t>
      </w:r>
      <w:r>
        <w:rPr>
          <w:rFonts w:hint="eastAsia" w:ascii="宋体" w:hAnsi="宋体" w:eastAsia="宋体" w:cs="Times New Roman"/>
        </w:rPr>
        <w:t>调试时为</w:t>
      </w:r>
      <w:r>
        <w:rPr>
          <w:rFonts w:hint="eastAsia" w:ascii="MS UI Gothic" w:hAnsi="MS UI Gothic" w:eastAsia="宋体" w:cs="Times New Roman"/>
        </w:rPr>
        <w:t>用</w:t>
      </w:r>
      <w:r>
        <w:rPr>
          <w:rFonts w:hint="eastAsia" w:ascii="宋体" w:hAnsi="宋体" w:eastAsia="宋体" w:cs="Times New Roman"/>
        </w:rPr>
        <w:t>户进</w:t>
      </w:r>
      <w:r>
        <w:rPr>
          <w:rFonts w:hint="eastAsia" w:ascii="MS UI Gothic" w:hAnsi="MS UI Gothic" w:eastAsia="宋体" w:cs="Times New Roman"/>
        </w:rPr>
        <w:t>行免</w:t>
      </w:r>
      <w:r>
        <w:rPr>
          <w:rFonts w:hint="eastAsia" w:ascii="宋体" w:hAnsi="宋体" w:eastAsia="宋体" w:cs="Times New Roman"/>
        </w:rPr>
        <w:t>费</w:t>
      </w:r>
      <w:r>
        <w:rPr>
          <w:rFonts w:hint="eastAsia" w:ascii="MS UI Gothic" w:hAnsi="MS UI Gothic" w:eastAsia="宋体" w:cs="Times New Roman"/>
        </w:rPr>
        <w:t>操</w:t>
      </w:r>
      <w:r>
        <w:rPr>
          <w:rFonts w:hint="eastAsia" w:ascii="宋体" w:hAnsi="宋体" w:eastAsia="宋体" w:cs="Times New Roman"/>
        </w:rPr>
        <w:t>作培训</w:t>
      </w:r>
      <w:r>
        <w:rPr>
          <w:rFonts w:hint="eastAsia" w:ascii="MS UI Gothic" w:hAnsi="MS UI Gothic" w:eastAsia="宋体" w:cs="Times New Roman"/>
        </w:rPr>
        <w:t>外，</w:t>
      </w:r>
      <w:r>
        <w:rPr>
          <w:rFonts w:hint="eastAsia" w:ascii="宋体" w:hAnsi="宋体" w:eastAsia="宋体" w:cs="Times New Roman"/>
        </w:rPr>
        <w:t>还</w:t>
      </w:r>
      <w:r>
        <w:rPr>
          <w:rFonts w:hint="eastAsia" w:ascii="MS UI Gothic" w:hAnsi="MS UI Gothic" w:eastAsia="宋体" w:cs="Times New Roman"/>
        </w:rPr>
        <w:t>必</w:t>
      </w:r>
      <w:r>
        <w:rPr>
          <w:rFonts w:hint="eastAsia" w:ascii="宋体" w:hAnsi="宋体" w:eastAsia="宋体" w:cs="Times New Roman"/>
        </w:rPr>
        <w:t>须</w:t>
      </w:r>
      <w:r>
        <w:rPr>
          <w:rFonts w:hint="eastAsia" w:ascii="MS UI Gothic" w:hAnsi="MS UI Gothic" w:eastAsia="宋体" w:cs="Times New Roman"/>
        </w:rPr>
        <w:t>提供</w:t>
      </w:r>
      <w:r>
        <w:rPr>
          <w:rFonts w:hint="eastAsia" w:ascii="宋体" w:hAnsi="宋体" w:eastAsia="宋体" w:cs="Times New Roman"/>
        </w:rPr>
        <w:t>详细</w:t>
      </w:r>
      <w:r>
        <w:rPr>
          <w:rFonts w:hint="eastAsia" w:ascii="MS UI Gothic" w:hAnsi="MS UI Gothic" w:eastAsia="宋体" w:cs="Times New Roman"/>
        </w:rPr>
        <w:t>免</w:t>
      </w:r>
      <w:r>
        <w:rPr>
          <w:rFonts w:hint="eastAsia" w:ascii="宋体" w:hAnsi="宋体" w:eastAsia="宋体" w:cs="Times New Roman"/>
        </w:rPr>
        <w:t>费</w:t>
      </w:r>
      <w:r>
        <w:rPr>
          <w:rFonts w:hint="eastAsia" w:ascii="MS UI Gothic" w:hAnsi="MS UI Gothic" w:eastAsia="宋体" w:cs="Times New Roman"/>
        </w:rPr>
        <w:t>培</w:t>
      </w:r>
      <w:r>
        <w:rPr>
          <w:rFonts w:hint="eastAsia" w:ascii="宋体" w:hAnsi="宋体" w:eastAsia="宋体" w:cs="Times New Roman"/>
        </w:rPr>
        <w:t>训</w:t>
      </w:r>
      <w:r>
        <w:rPr>
          <w:rFonts w:hint="eastAsia" w:ascii="MS UI Gothic" w:hAnsi="MS UI Gothic" w:eastAsia="宋体" w:cs="Times New Roman"/>
        </w:rPr>
        <w:t>方案，以保</w:t>
      </w:r>
      <w:r>
        <w:rPr>
          <w:rFonts w:hint="eastAsia" w:ascii="宋体" w:hAnsi="宋体" w:eastAsia="宋体" w:cs="Times New Roman"/>
        </w:rPr>
        <w:t>证</w:t>
      </w:r>
      <w:r>
        <w:rPr>
          <w:rFonts w:hint="eastAsia" w:ascii="MS UI Gothic" w:hAnsi="MS UI Gothic" w:eastAsia="宋体" w:cs="Times New Roman"/>
        </w:rPr>
        <w:t>用</w:t>
      </w:r>
      <w:r>
        <w:rPr>
          <w:rFonts w:hint="eastAsia" w:ascii="宋体" w:hAnsi="宋体" w:eastAsia="宋体" w:cs="Times New Roman"/>
        </w:rPr>
        <w:t>户</w:t>
      </w:r>
      <w:r>
        <w:rPr>
          <w:rFonts w:hint="eastAsia" w:ascii="MS UI Gothic" w:hAnsi="MS UI Gothic" w:eastAsia="宋体" w:cs="Times New Roman"/>
        </w:rPr>
        <w:t>能熟</w:t>
      </w:r>
      <w:r>
        <w:rPr>
          <w:rFonts w:hint="eastAsia" w:ascii="宋体" w:hAnsi="宋体" w:eastAsia="宋体" w:cs="Times New Roman"/>
        </w:rPr>
        <w:t>练</w:t>
      </w:r>
      <w:r>
        <w:rPr>
          <w:rFonts w:hint="eastAsia" w:ascii="MS UI Gothic" w:hAnsi="MS UI Gothic" w:eastAsia="宋体" w:cs="Times New Roman"/>
        </w:rPr>
        <w:t>使用</w:t>
      </w:r>
      <w:r>
        <w:rPr>
          <w:rFonts w:hint="eastAsia" w:ascii="宋体" w:hAnsi="宋体" w:eastAsia="宋体" w:cs="Times New Roman"/>
        </w:rPr>
        <w:t>该</w:t>
      </w:r>
      <w:r>
        <w:rPr>
          <w:rFonts w:hint="eastAsia" w:ascii="MS UI Gothic" w:hAnsi="MS UI Gothic" w:eastAsia="宋体" w:cs="Times New Roman"/>
        </w:rPr>
        <w:t>系</w:t>
      </w:r>
      <w:r>
        <w:rPr>
          <w:rFonts w:hint="eastAsia" w:ascii="宋体" w:hAnsi="宋体" w:eastAsia="宋体" w:cs="Times New Roman"/>
        </w:rPr>
        <w:t>统</w:t>
      </w:r>
      <w:r>
        <w:rPr>
          <w:rFonts w:hint="eastAsia" w:ascii="MS UI Gothic" w:hAnsi="MS UI Gothic" w:eastAsia="宋体" w:cs="Times New Roman"/>
        </w:rPr>
        <w:t>。</w:t>
      </w:r>
    </w:p>
    <w:p w14:paraId="5307F60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outlineLvl w:val="0"/>
        <w:rPr>
          <w:rFonts w:hint="eastAsia" w:ascii="宋体" w:hAnsi="宋体" w:eastAsia="宋体" w:cs="Times New Roman"/>
          <w:lang w:val="zh-CN"/>
        </w:rPr>
      </w:pPr>
      <w:bookmarkStart w:id="10" w:name="_Toc172432832"/>
      <w:bookmarkStart w:id="11" w:name="_Toc173749299"/>
      <w:bookmarkStart w:id="12" w:name="_Toc213418192"/>
      <w:bookmarkStart w:id="13" w:name="_Toc173123577"/>
      <w:r>
        <w:rPr>
          <w:rFonts w:hint="eastAsia" w:ascii="宋体" w:hAnsi="宋体" w:cs="Times New Roman"/>
          <w:lang w:val="en-US" w:eastAsia="zh-CN"/>
        </w:rPr>
        <w:t>4</w:t>
      </w:r>
      <w:r>
        <w:rPr>
          <w:rFonts w:ascii="宋体" w:hAnsi="宋体" w:eastAsia="宋体" w:cs="Times New Roman"/>
          <w:lang w:val="zh-CN"/>
        </w:rPr>
        <w:t xml:space="preserve">.2 </w:t>
      </w:r>
      <w:r>
        <w:rPr>
          <w:rFonts w:hint="eastAsia" w:ascii="宋体" w:hAnsi="宋体" w:eastAsia="宋体" w:cs="Times New Roman"/>
          <w:lang w:val="zh-CN"/>
        </w:rPr>
        <w:t>培训费用</w:t>
      </w:r>
      <w:bookmarkEnd w:id="10"/>
      <w:bookmarkEnd w:id="11"/>
      <w:bookmarkEnd w:id="12"/>
      <w:bookmarkEnd w:id="13"/>
    </w:p>
    <w:p w14:paraId="737677B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outlineLvl w:val="0"/>
        <w:rPr>
          <w:rFonts w:hint="eastAsia" w:ascii="宋体" w:hAnsi="宋体" w:eastAsia="宋体" w:cs="Times New Roman"/>
          <w:lang w:val="zh-CN"/>
        </w:rPr>
      </w:pPr>
      <w:r>
        <w:rPr>
          <w:rFonts w:hint="eastAsia" w:ascii="宋体" w:hAnsi="宋体" w:eastAsia="宋体" w:cs="Times New Roman"/>
          <w:lang w:val="zh-CN"/>
        </w:rPr>
        <w:t>所有的培训费用必须计入投标总价。</w:t>
      </w:r>
    </w:p>
    <w:p w14:paraId="6D23D66F">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bCs/>
          <w:szCs w:val="21"/>
        </w:rPr>
      </w:pPr>
      <w:r>
        <w:rPr>
          <w:rFonts w:hint="eastAsia" w:ascii="宋体" w:hAnsi="宋体" w:cs="宋体"/>
          <w:b/>
          <w:bCs/>
          <w:szCs w:val="21"/>
          <w:lang w:val="en-US" w:eastAsia="zh-CN"/>
        </w:rPr>
        <w:t>四</w:t>
      </w:r>
      <w:r>
        <w:rPr>
          <w:rFonts w:hint="eastAsia" w:ascii="宋体" w:hAnsi="宋体" w:cs="宋体"/>
          <w:b/>
          <w:bCs/>
          <w:szCs w:val="21"/>
        </w:rPr>
        <w:t>、验收</w:t>
      </w:r>
    </w:p>
    <w:p w14:paraId="140BD856">
      <w:pPr>
        <w:keepNext w:val="0"/>
        <w:keepLines w:val="0"/>
        <w:pageBreakBefore w:val="0"/>
        <w:widowControl w:val="0"/>
        <w:kinsoku/>
        <w:wordWrap/>
        <w:overflowPunct/>
        <w:topLinePunct w:val="0"/>
        <w:bidi w:val="0"/>
        <w:spacing w:line="360" w:lineRule="auto"/>
        <w:ind w:firstLine="420" w:firstLineChars="200"/>
        <w:jc w:val="left"/>
        <w:textAlignment w:val="auto"/>
        <w:rPr>
          <w:rFonts w:hint="eastAsia" w:ascii="宋体" w:hAnsi="宋体"/>
          <w:bCs/>
          <w:szCs w:val="21"/>
        </w:rPr>
        <w:sectPr>
          <w:pgSz w:w="11906" w:h="16838"/>
          <w:pgMar w:top="1106" w:right="1531" w:bottom="1304" w:left="1531" w:header="1304" w:footer="1304" w:gutter="0"/>
          <w:cols w:space="0" w:num="1"/>
        </w:sectPr>
      </w:pPr>
      <w:r>
        <w:rPr>
          <w:rFonts w:hint="eastAsia" w:ascii="宋体" w:hAnsi="宋体"/>
          <w:bCs/>
          <w:szCs w:val="21"/>
        </w:rPr>
        <w:t>采购人组织相关专业人员或委托有资质的第三方进行验收，成交供应商提供产品的有效检验文件，与产品性能指标、合同内容一起作为产品验收标准。验收合格后，签署验收合格证书。验收中发现产品达不到验收标准或合同规定的性能指标，成交方必须作出更换。并且赔偿由此给采购方造成的损失。验收费用由中标供应商承担。</w:t>
      </w:r>
    </w:p>
    <w:p w14:paraId="19AB240D">
      <w:pPr>
        <w:spacing w:line="360" w:lineRule="auto"/>
        <w:jc w:val="center"/>
        <w:rPr>
          <w:rFonts w:ascii="宋体" w:hAnsi="宋体"/>
          <w:b/>
          <w:spacing w:val="12"/>
          <w:sz w:val="40"/>
          <w:szCs w:val="40"/>
        </w:rPr>
      </w:pPr>
      <w:r>
        <w:rPr>
          <w:rFonts w:ascii="宋体" w:hAnsi="宋体"/>
          <w:b/>
          <w:sz w:val="30"/>
          <w:szCs w:val="30"/>
        </w:rPr>
        <w:t>第三章</w:t>
      </w:r>
      <w:r>
        <w:rPr>
          <w:rFonts w:hint="eastAsia" w:ascii="宋体" w:hAnsi="宋体"/>
          <w:b/>
          <w:sz w:val="30"/>
          <w:szCs w:val="30"/>
        </w:rPr>
        <w:t>投标人</w:t>
      </w:r>
      <w:r>
        <w:rPr>
          <w:rFonts w:ascii="宋体" w:hAnsi="宋体"/>
          <w:b/>
          <w:sz w:val="30"/>
          <w:szCs w:val="30"/>
        </w:rPr>
        <w:t>须知</w:t>
      </w:r>
    </w:p>
    <w:p w14:paraId="109D220B">
      <w:pPr>
        <w:spacing w:line="360" w:lineRule="auto"/>
        <w:jc w:val="center"/>
        <w:rPr>
          <w:rFonts w:ascii="宋体" w:hAnsi="宋体"/>
          <w:b/>
          <w:sz w:val="30"/>
          <w:szCs w:val="30"/>
        </w:rPr>
      </w:pPr>
      <w:r>
        <w:rPr>
          <w:rFonts w:ascii="宋体" w:hAnsi="宋体"/>
          <w:b/>
          <w:sz w:val="30"/>
          <w:szCs w:val="30"/>
        </w:rPr>
        <w:t>前附表</w:t>
      </w:r>
    </w:p>
    <w:tbl>
      <w:tblPr>
        <w:tblStyle w:val="23"/>
        <w:tblW w:w="4997" w:type="pct"/>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13"/>
        <w:gridCol w:w="1216"/>
        <w:gridCol w:w="4628"/>
        <w:gridCol w:w="989"/>
        <w:gridCol w:w="1571"/>
      </w:tblGrid>
      <w:tr w14:paraId="2496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188EED0F">
            <w:pPr>
              <w:spacing w:line="360" w:lineRule="auto"/>
              <w:jc w:val="center"/>
              <w:rPr>
                <w:rFonts w:ascii="宋体" w:hAnsi="宋体"/>
                <w:b/>
                <w:szCs w:val="21"/>
              </w:rPr>
            </w:pPr>
            <w:r>
              <w:rPr>
                <w:rFonts w:ascii="宋体" w:hAnsi="宋体"/>
                <w:b/>
                <w:szCs w:val="21"/>
              </w:rPr>
              <w:t>序号</w:t>
            </w:r>
          </w:p>
        </w:tc>
        <w:tc>
          <w:tcPr>
            <w:tcW w:w="4698" w:type="pct"/>
            <w:gridSpan w:val="4"/>
            <w:shd w:val="clear" w:color="auto" w:fill="E0E0E0"/>
            <w:vAlign w:val="center"/>
          </w:tcPr>
          <w:p w14:paraId="5C90FDD3">
            <w:pPr>
              <w:spacing w:line="360" w:lineRule="auto"/>
              <w:jc w:val="center"/>
              <w:rPr>
                <w:rFonts w:ascii="宋体" w:hAnsi="宋体"/>
                <w:b/>
                <w:szCs w:val="21"/>
              </w:rPr>
            </w:pPr>
            <w:r>
              <w:rPr>
                <w:rFonts w:ascii="宋体" w:hAnsi="宋体"/>
                <w:b/>
                <w:szCs w:val="21"/>
              </w:rPr>
              <w:t>内容说明及要求</w:t>
            </w:r>
          </w:p>
        </w:tc>
      </w:tr>
      <w:tr w14:paraId="39EA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609BD4E5">
            <w:pPr>
              <w:spacing w:line="360" w:lineRule="auto"/>
              <w:jc w:val="center"/>
              <w:rPr>
                <w:rFonts w:ascii="宋体" w:hAnsi="宋体"/>
                <w:b/>
                <w:szCs w:val="21"/>
              </w:rPr>
            </w:pPr>
            <w:r>
              <w:rPr>
                <w:rFonts w:ascii="宋体" w:hAnsi="宋体"/>
                <w:b/>
                <w:szCs w:val="21"/>
              </w:rPr>
              <w:t>1</w:t>
            </w:r>
          </w:p>
        </w:tc>
        <w:tc>
          <w:tcPr>
            <w:tcW w:w="677" w:type="pct"/>
            <w:shd w:val="clear" w:color="auto" w:fill="E0E0E0"/>
            <w:vAlign w:val="center"/>
          </w:tcPr>
          <w:p w14:paraId="69B364B7">
            <w:pPr>
              <w:spacing w:line="360" w:lineRule="auto"/>
              <w:jc w:val="center"/>
              <w:rPr>
                <w:rFonts w:ascii="宋体" w:hAnsi="宋体"/>
                <w:b/>
                <w:szCs w:val="21"/>
              </w:rPr>
            </w:pPr>
            <w:r>
              <w:rPr>
                <w:rFonts w:ascii="宋体" w:hAnsi="宋体"/>
                <w:b/>
                <w:szCs w:val="21"/>
              </w:rPr>
              <w:t>项目名称</w:t>
            </w:r>
          </w:p>
        </w:tc>
        <w:tc>
          <w:tcPr>
            <w:tcW w:w="2599" w:type="pct"/>
            <w:shd w:val="clear" w:color="auto" w:fill="FFFFFF"/>
            <w:vAlign w:val="center"/>
          </w:tcPr>
          <w:p w14:paraId="19B788AE">
            <w:pPr>
              <w:rPr>
                <w:rFonts w:hint="eastAsia" w:ascii="宋体" w:hAnsi="宋体" w:eastAsia="宋体"/>
                <w:kern w:val="0"/>
                <w:szCs w:val="21"/>
                <w:lang w:eastAsia="zh-CN"/>
              </w:rPr>
            </w:pPr>
            <w:r>
              <w:rPr>
                <w:rFonts w:hint="eastAsia" w:ascii="宋体" w:hAnsi="宋体"/>
                <w:kern w:val="0"/>
                <w:szCs w:val="21"/>
                <w:lang w:eastAsia="zh-CN"/>
              </w:rPr>
              <w:t>岱山县公安局派出所提升改造及看守所正规化项目—体检中心部分设备</w:t>
            </w:r>
          </w:p>
        </w:tc>
        <w:tc>
          <w:tcPr>
            <w:tcW w:w="549" w:type="pct"/>
            <w:shd w:val="clear" w:color="auto" w:fill="E0E0E0"/>
            <w:vAlign w:val="center"/>
          </w:tcPr>
          <w:p w14:paraId="66AB076B">
            <w:pPr>
              <w:spacing w:line="360" w:lineRule="auto"/>
              <w:jc w:val="center"/>
              <w:rPr>
                <w:rFonts w:ascii="宋体" w:hAnsi="宋体"/>
                <w:b/>
                <w:szCs w:val="21"/>
              </w:rPr>
            </w:pPr>
            <w:r>
              <w:rPr>
                <w:rFonts w:ascii="宋体" w:hAnsi="宋体"/>
                <w:b/>
                <w:szCs w:val="21"/>
              </w:rPr>
              <w:t>采购编号</w:t>
            </w:r>
          </w:p>
        </w:tc>
        <w:tc>
          <w:tcPr>
            <w:tcW w:w="848" w:type="pct"/>
            <w:shd w:val="clear" w:color="auto" w:fill="FFFFFF"/>
            <w:vAlign w:val="center"/>
          </w:tcPr>
          <w:p w14:paraId="4638D992">
            <w:pPr>
              <w:spacing w:line="360" w:lineRule="auto"/>
              <w:rPr>
                <w:rFonts w:ascii="宋体" w:hAnsi="宋体"/>
                <w:szCs w:val="21"/>
              </w:rPr>
            </w:pPr>
            <w:r>
              <w:rPr>
                <w:rFonts w:hint="eastAsia" w:ascii="宋体" w:hAnsi="宋体"/>
                <w:szCs w:val="21"/>
                <w:lang w:eastAsia="zh-CN"/>
              </w:rPr>
              <w:t>ZHZS（采）-2024-192</w:t>
            </w:r>
            <w:r>
              <w:rPr>
                <w:rFonts w:hint="eastAsia" w:ascii="宋体" w:hAnsi="宋体"/>
                <w:szCs w:val="21"/>
              </w:rPr>
              <w:t xml:space="preserve">   </w:t>
            </w:r>
          </w:p>
        </w:tc>
      </w:tr>
      <w:tr w14:paraId="2D2E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43114BD2">
            <w:pPr>
              <w:spacing w:line="360" w:lineRule="auto"/>
              <w:jc w:val="center"/>
              <w:rPr>
                <w:rFonts w:ascii="宋体" w:hAnsi="宋体"/>
                <w:b/>
                <w:szCs w:val="21"/>
              </w:rPr>
            </w:pPr>
            <w:r>
              <w:rPr>
                <w:rFonts w:ascii="宋体" w:hAnsi="宋体"/>
                <w:b/>
                <w:szCs w:val="21"/>
              </w:rPr>
              <w:t>2</w:t>
            </w:r>
          </w:p>
        </w:tc>
        <w:tc>
          <w:tcPr>
            <w:tcW w:w="677" w:type="pct"/>
            <w:shd w:val="clear" w:color="auto" w:fill="E0E0E0"/>
            <w:vAlign w:val="center"/>
          </w:tcPr>
          <w:p w14:paraId="5511E503">
            <w:pPr>
              <w:spacing w:line="360" w:lineRule="auto"/>
              <w:jc w:val="center"/>
              <w:rPr>
                <w:rFonts w:ascii="宋体" w:hAnsi="宋体"/>
                <w:b/>
                <w:szCs w:val="21"/>
              </w:rPr>
            </w:pPr>
            <w:r>
              <w:rPr>
                <w:rFonts w:ascii="宋体" w:hAnsi="宋体"/>
                <w:b/>
                <w:szCs w:val="21"/>
              </w:rPr>
              <w:t>采购内容</w:t>
            </w:r>
          </w:p>
        </w:tc>
        <w:tc>
          <w:tcPr>
            <w:tcW w:w="2599" w:type="pct"/>
            <w:tcBorders>
              <w:right w:val="single" w:color="auto" w:sz="4" w:space="0"/>
            </w:tcBorders>
            <w:shd w:val="clear" w:color="auto" w:fill="FFFFFF"/>
            <w:vAlign w:val="center"/>
          </w:tcPr>
          <w:p w14:paraId="2CA83FD9">
            <w:pPr>
              <w:spacing w:line="380" w:lineRule="exact"/>
              <w:rPr>
                <w:rFonts w:ascii="宋体" w:hAnsi="宋体"/>
                <w:szCs w:val="21"/>
                <w:shd w:val="clear" w:color="auto" w:fill="FFFFFF"/>
              </w:rPr>
            </w:pPr>
            <w:r>
              <w:rPr>
                <w:rFonts w:hint="eastAsia" w:ascii="宋体" w:hAnsi="宋体" w:cs="宋体"/>
                <w:kern w:val="0"/>
                <w:szCs w:val="21"/>
                <w:lang w:eastAsia="zh-CN"/>
              </w:rPr>
              <w:t>岱山县公安局派出所提升改造及看守所正规化项目—体检中心部分设备</w:t>
            </w:r>
            <w:r>
              <w:rPr>
                <w:rFonts w:hint="eastAsia" w:ascii="宋体" w:hAnsi="宋体" w:cs="宋体"/>
                <w:kern w:val="0"/>
                <w:szCs w:val="21"/>
              </w:rPr>
              <w:t>，具体内容</w:t>
            </w:r>
            <w:r>
              <w:rPr>
                <w:rFonts w:hint="eastAsia" w:ascii="宋体" w:hAnsi="宋体" w:cs="宋体"/>
                <w:szCs w:val="21"/>
              </w:rPr>
              <w:t>详见采购需求。</w:t>
            </w:r>
          </w:p>
        </w:tc>
        <w:tc>
          <w:tcPr>
            <w:tcW w:w="549" w:type="pct"/>
            <w:tcBorders>
              <w:left w:val="single" w:color="auto" w:sz="4" w:space="0"/>
              <w:right w:val="single" w:color="auto" w:sz="4" w:space="0"/>
            </w:tcBorders>
            <w:shd w:val="clear" w:color="auto" w:fill="FFFFFF"/>
            <w:vAlign w:val="center"/>
          </w:tcPr>
          <w:p w14:paraId="48CAE85A">
            <w:pPr>
              <w:spacing w:line="276" w:lineRule="auto"/>
              <w:jc w:val="center"/>
              <w:rPr>
                <w:rFonts w:ascii="宋体" w:hAnsi="宋体"/>
                <w:b/>
                <w:szCs w:val="21"/>
              </w:rPr>
            </w:pPr>
            <w:r>
              <w:rPr>
                <w:rFonts w:ascii="宋体" w:hAnsi="宋体"/>
                <w:b/>
                <w:szCs w:val="21"/>
              </w:rPr>
              <w:t>资金来源</w:t>
            </w:r>
          </w:p>
        </w:tc>
        <w:tc>
          <w:tcPr>
            <w:tcW w:w="848" w:type="pct"/>
            <w:tcBorders>
              <w:left w:val="single" w:color="auto" w:sz="4" w:space="0"/>
            </w:tcBorders>
            <w:shd w:val="clear" w:color="auto" w:fill="FFFFFF"/>
            <w:vAlign w:val="center"/>
          </w:tcPr>
          <w:p w14:paraId="6870197E">
            <w:pPr>
              <w:spacing w:line="276" w:lineRule="auto"/>
              <w:rPr>
                <w:rFonts w:ascii="宋体" w:hAnsi="宋体"/>
                <w:szCs w:val="21"/>
                <w:shd w:val="clear" w:color="auto" w:fill="FFFFFF"/>
              </w:rPr>
            </w:pPr>
            <w:r>
              <w:rPr>
                <w:rFonts w:ascii="宋体" w:hAnsi="宋体"/>
                <w:szCs w:val="21"/>
              </w:rPr>
              <w:t>财政性资金</w:t>
            </w:r>
          </w:p>
        </w:tc>
      </w:tr>
      <w:tr w14:paraId="34AB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6098D33C">
            <w:pPr>
              <w:spacing w:line="276" w:lineRule="auto"/>
              <w:jc w:val="center"/>
              <w:rPr>
                <w:rFonts w:ascii="宋体" w:hAnsi="宋体"/>
                <w:b/>
                <w:szCs w:val="21"/>
              </w:rPr>
            </w:pPr>
            <w:r>
              <w:rPr>
                <w:rFonts w:ascii="宋体" w:hAnsi="宋体"/>
                <w:b/>
                <w:szCs w:val="21"/>
              </w:rPr>
              <w:t>3</w:t>
            </w:r>
          </w:p>
        </w:tc>
        <w:tc>
          <w:tcPr>
            <w:tcW w:w="677" w:type="pct"/>
            <w:shd w:val="clear" w:color="auto" w:fill="E0E0E0"/>
            <w:vAlign w:val="center"/>
          </w:tcPr>
          <w:p w14:paraId="3B75D016">
            <w:pPr>
              <w:jc w:val="center"/>
              <w:rPr>
                <w:rFonts w:ascii="宋体" w:hAnsi="宋体"/>
                <w:b/>
                <w:szCs w:val="21"/>
              </w:rPr>
            </w:pPr>
            <w:r>
              <w:rPr>
                <w:rFonts w:ascii="宋体" w:hAnsi="宋体"/>
                <w:b/>
                <w:szCs w:val="21"/>
              </w:rPr>
              <w:t>项目预算</w:t>
            </w:r>
          </w:p>
        </w:tc>
        <w:tc>
          <w:tcPr>
            <w:tcW w:w="4013" w:type="pct"/>
            <w:gridSpan w:val="3"/>
            <w:shd w:val="clear" w:color="auto" w:fill="FFFFFF"/>
            <w:vAlign w:val="center"/>
          </w:tcPr>
          <w:p w14:paraId="6C15B3F5">
            <w:pPr>
              <w:spacing w:line="360" w:lineRule="exact"/>
              <w:rPr>
                <w:rFonts w:ascii="宋体" w:cs="宋体"/>
                <w:kern w:val="0"/>
                <w:szCs w:val="21"/>
              </w:rPr>
            </w:pPr>
            <w:r>
              <w:t>最高限价</w:t>
            </w:r>
            <w:r>
              <w:rPr>
                <w:rFonts w:hint="eastAsia"/>
                <w:lang w:val="en-US" w:eastAsia="zh-CN"/>
              </w:rPr>
              <w:t>334139</w:t>
            </w:r>
            <w:r>
              <w:rPr>
                <w:rFonts w:hint="eastAsia"/>
              </w:rPr>
              <w:t>元</w:t>
            </w:r>
          </w:p>
        </w:tc>
      </w:tr>
      <w:tr w14:paraId="78D6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5FDC130E">
            <w:pPr>
              <w:spacing w:line="276" w:lineRule="auto"/>
              <w:jc w:val="center"/>
              <w:rPr>
                <w:rFonts w:ascii="宋体" w:hAnsi="宋体"/>
                <w:b/>
                <w:szCs w:val="21"/>
              </w:rPr>
            </w:pPr>
            <w:r>
              <w:rPr>
                <w:rFonts w:ascii="宋体" w:hAnsi="宋体"/>
                <w:b/>
                <w:szCs w:val="21"/>
              </w:rPr>
              <w:t>4</w:t>
            </w:r>
          </w:p>
        </w:tc>
        <w:tc>
          <w:tcPr>
            <w:tcW w:w="677" w:type="pct"/>
            <w:shd w:val="clear" w:color="auto" w:fill="E0E0E0"/>
            <w:vAlign w:val="center"/>
          </w:tcPr>
          <w:p w14:paraId="5E3BEF7E">
            <w:pPr>
              <w:spacing w:line="276" w:lineRule="auto"/>
              <w:jc w:val="center"/>
              <w:rPr>
                <w:rFonts w:ascii="宋体" w:hAnsi="宋体"/>
                <w:b/>
                <w:szCs w:val="21"/>
              </w:rPr>
            </w:pPr>
            <w:r>
              <w:rPr>
                <w:rFonts w:ascii="宋体" w:hAnsi="宋体"/>
                <w:b/>
                <w:szCs w:val="21"/>
              </w:rPr>
              <w:t>踏勘现场</w:t>
            </w:r>
          </w:p>
        </w:tc>
        <w:tc>
          <w:tcPr>
            <w:tcW w:w="4013" w:type="pct"/>
            <w:gridSpan w:val="3"/>
            <w:shd w:val="clear" w:color="auto" w:fill="FFFFFF"/>
            <w:vAlign w:val="center"/>
          </w:tcPr>
          <w:p w14:paraId="70B5CE82">
            <w:pPr>
              <w:spacing w:line="360" w:lineRule="auto"/>
              <w:rPr>
                <w:rFonts w:ascii="宋体" w:hAnsi="宋体"/>
                <w:szCs w:val="21"/>
              </w:rPr>
            </w:pPr>
            <w:r>
              <w:rPr>
                <w:rFonts w:hint="eastAsia"/>
              </w:rPr>
              <w:t>/</w:t>
            </w:r>
          </w:p>
        </w:tc>
      </w:tr>
      <w:tr w14:paraId="19BE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791A3B84">
            <w:pPr>
              <w:spacing w:line="276" w:lineRule="auto"/>
              <w:jc w:val="center"/>
              <w:rPr>
                <w:rFonts w:ascii="宋体" w:hAnsi="宋体"/>
                <w:b/>
                <w:szCs w:val="21"/>
              </w:rPr>
            </w:pPr>
            <w:r>
              <w:rPr>
                <w:rFonts w:ascii="宋体" w:hAnsi="宋体"/>
                <w:b/>
                <w:szCs w:val="21"/>
              </w:rPr>
              <w:t>5</w:t>
            </w:r>
          </w:p>
        </w:tc>
        <w:tc>
          <w:tcPr>
            <w:tcW w:w="677" w:type="pct"/>
            <w:shd w:val="clear" w:color="auto" w:fill="E0E0E0"/>
            <w:vAlign w:val="center"/>
          </w:tcPr>
          <w:p w14:paraId="5A0D9B5F">
            <w:pPr>
              <w:spacing w:line="276" w:lineRule="auto"/>
              <w:jc w:val="center"/>
              <w:rPr>
                <w:rFonts w:ascii="宋体" w:hAnsi="宋体"/>
                <w:szCs w:val="21"/>
              </w:rPr>
            </w:pPr>
            <w:r>
              <w:rPr>
                <w:rFonts w:hint="eastAsia" w:ascii="宋体" w:hAnsi="宋体"/>
                <w:b/>
                <w:szCs w:val="21"/>
              </w:rPr>
              <w:t>服务期限</w:t>
            </w:r>
          </w:p>
        </w:tc>
        <w:tc>
          <w:tcPr>
            <w:tcW w:w="4013" w:type="pct"/>
            <w:gridSpan w:val="3"/>
            <w:shd w:val="clear" w:color="auto" w:fill="FFFFFF"/>
            <w:vAlign w:val="center"/>
          </w:tcPr>
          <w:p w14:paraId="6346BD2E">
            <w:pPr>
              <w:pStyle w:val="79"/>
              <w:spacing w:line="440" w:lineRule="exact"/>
              <w:ind w:firstLine="0"/>
              <w:rPr>
                <w:rFonts w:hint="eastAsia" w:ascii="宋体" w:hAnsi="宋体"/>
                <w:sz w:val="21"/>
                <w:szCs w:val="21"/>
                <w:lang w:eastAsia="zh-CN"/>
              </w:rPr>
            </w:pPr>
            <w:r>
              <w:rPr>
                <w:rFonts w:hint="eastAsia" w:ascii="宋体" w:hAnsi="宋体"/>
                <w:sz w:val="21"/>
                <w:szCs w:val="21"/>
                <w:lang w:eastAsia="zh-CN"/>
              </w:rPr>
              <w:t>合同签订之日起，</w:t>
            </w:r>
            <w:r>
              <w:rPr>
                <w:rFonts w:hint="eastAsia" w:ascii="宋体" w:hAnsi="宋体"/>
                <w:sz w:val="21"/>
                <w:szCs w:val="21"/>
                <w:lang w:val="en-US" w:eastAsia="zh-CN"/>
              </w:rPr>
              <w:t>30</w:t>
            </w:r>
            <w:r>
              <w:rPr>
                <w:rFonts w:hint="eastAsia" w:ascii="宋体" w:hAnsi="宋体"/>
                <w:sz w:val="21"/>
                <w:szCs w:val="21"/>
                <w:lang w:eastAsia="zh-CN"/>
              </w:rPr>
              <w:t>个日历天内完成。</w:t>
            </w:r>
          </w:p>
        </w:tc>
      </w:tr>
      <w:tr w14:paraId="5E4C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64A53CDE">
            <w:pPr>
              <w:spacing w:line="276" w:lineRule="auto"/>
              <w:jc w:val="center"/>
              <w:rPr>
                <w:rFonts w:ascii="宋体" w:hAnsi="宋体"/>
                <w:b/>
                <w:szCs w:val="21"/>
              </w:rPr>
            </w:pPr>
            <w:r>
              <w:rPr>
                <w:rFonts w:ascii="宋体" w:hAnsi="宋体"/>
                <w:b/>
                <w:szCs w:val="21"/>
              </w:rPr>
              <w:t>6</w:t>
            </w:r>
          </w:p>
        </w:tc>
        <w:tc>
          <w:tcPr>
            <w:tcW w:w="677" w:type="pct"/>
            <w:shd w:val="clear" w:color="auto" w:fill="E0E0E0"/>
            <w:vAlign w:val="center"/>
          </w:tcPr>
          <w:p w14:paraId="561F4835">
            <w:pPr>
              <w:spacing w:line="360" w:lineRule="auto"/>
              <w:jc w:val="center"/>
              <w:rPr>
                <w:rFonts w:ascii="宋体" w:hAnsi="宋体" w:cs="宋体"/>
                <w:szCs w:val="21"/>
              </w:rPr>
            </w:pPr>
            <w:r>
              <w:rPr>
                <w:rFonts w:hint="eastAsia" w:ascii="宋体" w:hAnsi="宋体"/>
                <w:b/>
                <w:szCs w:val="21"/>
              </w:rPr>
              <w:t>质保期</w:t>
            </w:r>
          </w:p>
        </w:tc>
        <w:tc>
          <w:tcPr>
            <w:tcW w:w="4013" w:type="pct"/>
            <w:gridSpan w:val="3"/>
            <w:shd w:val="clear" w:color="auto" w:fill="FFFFFF"/>
            <w:vAlign w:val="center"/>
          </w:tcPr>
          <w:p w14:paraId="103D4B6B">
            <w:pPr>
              <w:spacing w:line="360" w:lineRule="auto"/>
              <w:jc w:val="left"/>
              <w:rPr>
                <w:rFonts w:ascii="宋体" w:hAnsi="宋体" w:cs="宋体"/>
                <w:szCs w:val="21"/>
              </w:rPr>
            </w:pPr>
            <w:r>
              <w:rPr>
                <w:rFonts w:hint="eastAsia" w:ascii="宋体" w:hAnsi="宋体" w:eastAsia="宋体" w:cs="Times New Roman"/>
                <w:kern w:val="0"/>
                <w:sz w:val="21"/>
                <w:szCs w:val="21"/>
                <w:lang w:val="en-US" w:eastAsia="zh-CN" w:bidi="ar-SA"/>
              </w:rPr>
              <w:t>自仪器设备最终验收合格之日起，投标人提供三年的免费保修服务。（除AED除颤仪为原厂质保五年。）</w:t>
            </w:r>
          </w:p>
        </w:tc>
      </w:tr>
      <w:tr w14:paraId="1620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277" w:type="pct"/>
            <w:shd w:val="clear" w:color="auto" w:fill="E0E0E0"/>
            <w:vAlign w:val="center"/>
          </w:tcPr>
          <w:p w14:paraId="2596DFE6">
            <w:pPr>
              <w:spacing w:line="276" w:lineRule="auto"/>
              <w:jc w:val="center"/>
              <w:rPr>
                <w:rFonts w:ascii="宋体" w:hAnsi="宋体"/>
                <w:b/>
                <w:szCs w:val="21"/>
              </w:rPr>
            </w:pPr>
            <w:r>
              <w:rPr>
                <w:rFonts w:ascii="宋体" w:hAnsi="宋体"/>
                <w:b/>
                <w:szCs w:val="21"/>
              </w:rPr>
              <w:t>7</w:t>
            </w:r>
          </w:p>
        </w:tc>
        <w:tc>
          <w:tcPr>
            <w:tcW w:w="677" w:type="pct"/>
            <w:shd w:val="clear" w:color="auto" w:fill="E0E0E0"/>
            <w:vAlign w:val="center"/>
          </w:tcPr>
          <w:p w14:paraId="1A33FD2D">
            <w:pPr>
              <w:spacing w:line="276" w:lineRule="auto"/>
              <w:jc w:val="center"/>
              <w:rPr>
                <w:rFonts w:ascii="宋体" w:hAnsi="宋体"/>
                <w:b/>
                <w:szCs w:val="21"/>
              </w:rPr>
            </w:pPr>
            <w:r>
              <w:rPr>
                <w:rFonts w:ascii="宋体" w:hAnsi="宋体"/>
                <w:b/>
                <w:szCs w:val="21"/>
              </w:rPr>
              <w:t>投标有效期</w:t>
            </w:r>
          </w:p>
        </w:tc>
        <w:tc>
          <w:tcPr>
            <w:tcW w:w="4013" w:type="pct"/>
            <w:gridSpan w:val="3"/>
            <w:shd w:val="clear" w:color="auto" w:fill="FFFFFF"/>
            <w:vAlign w:val="center"/>
          </w:tcPr>
          <w:p w14:paraId="39D2F8A0">
            <w:pPr>
              <w:spacing w:line="276" w:lineRule="auto"/>
              <w:rPr>
                <w:rFonts w:ascii="宋体" w:hAnsi="宋体"/>
                <w:szCs w:val="21"/>
              </w:rPr>
            </w:pPr>
            <w:r>
              <w:rPr>
                <w:rFonts w:ascii="宋体" w:hAnsi="宋体"/>
                <w:szCs w:val="21"/>
              </w:rPr>
              <w:t>90日历天。（从开标截止之日起）。</w:t>
            </w:r>
          </w:p>
        </w:tc>
      </w:tr>
      <w:tr w14:paraId="0EAC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786B50C7">
            <w:pPr>
              <w:spacing w:line="276" w:lineRule="auto"/>
              <w:jc w:val="center"/>
              <w:rPr>
                <w:rFonts w:ascii="宋体" w:hAnsi="宋体"/>
                <w:b/>
                <w:szCs w:val="21"/>
              </w:rPr>
            </w:pPr>
            <w:r>
              <w:rPr>
                <w:rFonts w:ascii="宋体" w:hAnsi="宋体"/>
                <w:b/>
                <w:szCs w:val="21"/>
              </w:rPr>
              <w:t>8</w:t>
            </w:r>
          </w:p>
        </w:tc>
        <w:tc>
          <w:tcPr>
            <w:tcW w:w="677" w:type="pct"/>
            <w:shd w:val="clear" w:color="auto" w:fill="E0E0E0"/>
            <w:vAlign w:val="center"/>
          </w:tcPr>
          <w:p w14:paraId="78D534BB">
            <w:pPr>
              <w:spacing w:line="276" w:lineRule="auto"/>
              <w:jc w:val="center"/>
              <w:rPr>
                <w:rFonts w:ascii="宋体" w:hAnsi="宋体"/>
                <w:b/>
                <w:szCs w:val="21"/>
              </w:rPr>
            </w:pPr>
            <w:r>
              <w:rPr>
                <w:rFonts w:ascii="宋体" w:hAnsi="宋体"/>
                <w:b/>
                <w:szCs w:val="21"/>
              </w:rPr>
              <w:t>评标办法</w:t>
            </w:r>
          </w:p>
        </w:tc>
        <w:tc>
          <w:tcPr>
            <w:tcW w:w="4013" w:type="pct"/>
            <w:gridSpan w:val="3"/>
            <w:shd w:val="clear" w:color="auto" w:fill="FFFFFF"/>
            <w:vAlign w:val="center"/>
          </w:tcPr>
          <w:p w14:paraId="66A0C48F">
            <w:pPr>
              <w:spacing w:line="276" w:lineRule="auto"/>
              <w:rPr>
                <w:rFonts w:ascii="宋体" w:hAnsi="宋体"/>
                <w:szCs w:val="21"/>
              </w:rPr>
            </w:pPr>
            <w:r>
              <w:rPr>
                <w:rFonts w:ascii="宋体" w:hAnsi="宋体"/>
                <w:szCs w:val="21"/>
              </w:rPr>
              <w:t>综合评分法</w:t>
            </w:r>
          </w:p>
        </w:tc>
      </w:tr>
      <w:tr w14:paraId="2BE9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277" w:type="pct"/>
            <w:shd w:val="clear" w:color="auto" w:fill="E0E0E0"/>
            <w:vAlign w:val="center"/>
          </w:tcPr>
          <w:p w14:paraId="7A61E139">
            <w:pPr>
              <w:spacing w:line="276" w:lineRule="auto"/>
              <w:jc w:val="center"/>
              <w:rPr>
                <w:rFonts w:ascii="宋体" w:hAnsi="宋体"/>
                <w:b/>
                <w:szCs w:val="21"/>
              </w:rPr>
            </w:pPr>
            <w:r>
              <w:rPr>
                <w:rFonts w:ascii="宋体" w:hAnsi="宋体"/>
                <w:b/>
                <w:szCs w:val="21"/>
              </w:rPr>
              <w:t>9</w:t>
            </w:r>
          </w:p>
        </w:tc>
        <w:tc>
          <w:tcPr>
            <w:tcW w:w="677" w:type="pct"/>
            <w:shd w:val="clear" w:color="auto" w:fill="E0E0E0"/>
            <w:vAlign w:val="center"/>
          </w:tcPr>
          <w:p w14:paraId="692A016E">
            <w:pPr>
              <w:spacing w:line="276" w:lineRule="auto"/>
              <w:jc w:val="center"/>
              <w:rPr>
                <w:rFonts w:ascii="宋体" w:hAnsi="宋体"/>
                <w:b/>
                <w:szCs w:val="21"/>
              </w:rPr>
            </w:pPr>
            <w:r>
              <w:rPr>
                <w:rFonts w:ascii="宋体" w:hAnsi="宋体"/>
                <w:b/>
                <w:szCs w:val="21"/>
              </w:rPr>
              <w:t>签订合同</w:t>
            </w:r>
          </w:p>
        </w:tc>
        <w:tc>
          <w:tcPr>
            <w:tcW w:w="4013" w:type="pct"/>
            <w:gridSpan w:val="3"/>
            <w:shd w:val="clear" w:color="auto" w:fill="FFFFFF"/>
            <w:vAlign w:val="center"/>
          </w:tcPr>
          <w:p w14:paraId="1B2876EC">
            <w:pPr>
              <w:spacing w:line="276" w:lineRule="auto"/>
              <w:rPr>
                <w:rFonts w:ascii="宋体" w:hAnsi="宋体"/>
                <w:szCs w:val="21"/>
              </w:rPr>
            </w:pPr>
            <w:r>
              <w:rPr>
                <w:rFonts w:ascii="宋体" w:hAnsi="宋体"/>
                <w:szCs w:val="21"/>
              </w:rPr>
              <w:t>中标通知书发出后</w:t>
            </w:r>
            <w:r>
              <w:rPr>
                <w:rFonts w:ascii="宋体" w:hAnsi="宋体"/>
                <w:szCs w:val="21"/>
                <w:u w:val="single"/>
              </w:rPr>
              <w:t xml:space="preserve"> 30 </w:t>
            </w:r>
            <w:r>
              <w:rPr>
                <w:rFonts w:ascii="宋体" w:hAnsi="宋体"/>
                <w:szCs w:val="21"/>
              </w:rPr>
              <w:t>天内。</w:t>
            </w:r>
          </w:p>
        </w:tc>
      </w:tr>
      <w:tr w14:paraId="3AD2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49AF21A0">
            <w:pPr>
              <w:spacing w:line="276" w:lineRule="auto"/>
              <w:jc w:val="center"/>
              <w:rPr>
                <w:rFonts w:ascii="宋体" w:hAnsi="宋体"/>
                <w:b/>
                <w:szCs w:val="21"/>
              </w:rPr>
            </w:pPr>
            <w:r>
              <w:rPr>
                <w:rFonts w:ascii="宋体" w:hAnsi="宋体"/>
                <w:b/>
                <w:szCs w:val="21"/>
              </w:rPr>
              <w:t>10</w:t>
            </w:r>
          </w:p>
        </w:tc>
        <w:tc>
          <w:tcPr>
            <w:tcW w:w="677" w:type="pct"/>
            <w:shd w:val="clear" w:color="auto" w:fill="E0E0E0"/>
            <w:vAlign w:val="center"/>
          </w:tcPr>
          <w:p w14:paraId="50A5E0AF">
            <w:pPr>
              <w:spacing w:line="276" w:lineRule="auto"/>
              <w:jc w:val="center"/>
              <w:rPr>
                <w:rFonts w:ascii="宋体" w:hAnsi="宋体"/>
                <w:b/>
                <w:szCs w:val="21"/>
                <w:highlight w:val="yellow"/>
              </w:rPr>
            </w:pPr>
            <w:r>
              <w:rPr>
                <w:rFonts w:ascii="宋体" w:hAnsi="宋体"/>
                <w:b/>
                <w:szCs w:val="21"/>
              </w:rPr>
              <w:t>资金结算</w:t>
            </w:r>
          </w:p>
        </w:tc>
        <w:tc>
          <w:tcPr>
            <w:tcW w:w="4013" w:type="pct"/>
            <w:gridSpan w:val="3"/>
            <w:shd w:val="clear" w:color="auto" w:fill="FFFFFF"/>
            <w:vAlign w:val="center"/>
          </w:tcPr>
          <w:p w14:paraId="439462DA">
            <w:pPr>
              <w:spacing w:line="360" w:lineRule="exact"/>
              <w:rPr>
                <w:rFonts w:hint="eastAsia" w:eastAsia="宋体"/>
                <w:lang w:eastAsia="zh-CN"/>
              </w:rPr>
            </w:pPr>
            <w:r>
              <w:rPr>
                <w:rFonts w:hint="eastAsia" w:ascii="宋体" w:hAnsi="宋体"/>
                <w:szCs w:val="21"/>
                <w:lang w:eastAsia="zh-CN"/>
              </w:rPr>
              <w:t>本项目分二笔进行支付，付款方式：合同签订后7个工作日内付合同价的</w:t>
            </w:r>
            <w:r>
              <w:rPr>
                <w:rFonts w:hint="eastAsia" w:ascii="宋体" w:hAnsi="宋体"/>
                <w:szCs w:val="21"/>
                <w:lang w:val="en-US" w:eastAsia="zh-CN"/>
              </w:rPr>
              <w:t>4</w:t>
            </w:r>
            <w:r>
              <w:rPr>
                <w:rFonts w:hint="eastAsia" w:ascii="宋体" w:hAnsi="宋体"/>
                <w:szCs w:val="21"/>
                <w:lang w:eastAsia="zh-CN"/>
              </w:rPr>
              <w:t>0%，中标人完成产品供货、安装、调试及验收合格后支付余款。</w:t>
            </w:r>
          </w:p>
        </w:tc>
      </w:tr>
      <w:tr w14:paraId="3000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1C7DDC4B">
            <w:pPr>
              <w:spacing w:line="276" w:lineRule="auto"/>
              <w:jc w:val="center"/>
              <w:rPr>
                <w:rFonts w:ascii="宋体" w:hAnsi="宋体"/>
                <w:b/>
                <w:szCs w:val="21"/>
              </w:rPr>
            </w:pPr>
            <w:r>
              <w:rPr>
                <w:rFonts w:ascii="宋体" w:hAnsi="宋体"/>
                <w:b/>
                <w:szCs w:val="21"/>
              </w:rPr>
              <w:t>11</w:t>
            </w:r>
          </w:p>
        </w:tc>
        <w:tc>
          <w:tcPr>
            <w:tcW w:w="677" w:type="pct"/>
            <w:shd w:val="clear" w:color="auto" w:fill="E0E0E0"/>
            <w:vAlign w:val="center"/>
          </w:tcPr>
          <w:p w14:paraId="3989D930">
            <w:pPr>
              <w:spacing w:line="276" w:lineRule="auto"/>
              <w:jc w:val="center"/>
              <w:rPr>
                <w:rFonts w:ascii="宋体" w:hAnsi="宋体"/>
                <w:b/>
                <w:szCs w:val="21"/>
              </w:rPr>
            </w:pPr>
            <w:r>
              <w:rPr>
                <w:rFonts w:ascii="宋体" w:hAnsi="宋体"/>
                <w:b/>
                <w:szCs w:val="21"/>
              </w:rPr>
              <w:t>投标报价</w:t>
            </w:r>
          </w:p>
          <w:p w14:paraId="5758E1C4">
            <w:pPr>
              <w:spacing w:line="276" w:lineRule="auto"/>
              <w:jc w:val="center"/>
              <w:rPr>
                <w:rFonts w:ascii="宋体" w:hAnsi="宋体"/>
                <w:b/>
                <w:szCs w:val="21"/>
              </w:rPr>
            </w:pPr>
            <w:r>
              <w:rPr>
                <w:rFonts w:ascii="宋体" w:hAnsi="宋体"/>
                <w:b/>
                <w:szCs w:val="21"/>
              </w:rPr>
              <w:t>与费用</w:t>
            </w:r>
          </w:p>
        </w:tc>
        <w:tc>
          <w:tcPr>
            <w:tcW w:w="4013" w:type="pct"/>
            <w:gridSpan w:val="3"/>
            <w:shd w:val="clear" w:color="auto" w:fill="FFFFFF"/>
            <w:vAlign w:val="center"/>
          </w:tcPr>
          <w:p w14:paraId="5CDDA185">
            <w:pPr>
              <w:spacing w:line="360" w:lineRule="exact"/>
            </w:pPr>
            <w:r>
              <w:rPr>
                <w:rFonts w:hint="eastAsia"/>
                <w:szCs w:val="21"/>
              </w:rPr>
              <w:t>1、</w:t>
            </w:r>
            <w:r>
              <w:rPr>
                <w:rFonts w:hint="eastAsia"/>
              </w:rPr>
              <w:t>本项目投标应以人民币报价，投标综合单价应包括设备费、平台运营费、平台建设维护、软件开发、平台对接、数据迁移、日常运营费、招标代理费等完成本项目的所有税金和费用。</w:t>
            </w:r>
          </w:p>
          <w:p w14:paraId="68A17B54">
            <w:pPr>
              <w:spacing w:line="360" w:lineRule="exact"/>
              <w:rPr>
                <w:rFonts w:ascii="宋体" w:hAnsi="宋体"/>
                <w:szCs w:val="21"/>
              </w:rPr>
            </w:pPr>
            <w:r>
              <w:rPr>
                <w:rFonts w:hint="eastAsia"/>
              </w:rPr>
              <w:t>2、不论投标结果如何，投标人均应自行承担所有与投标</w:t>
            </w:r>
            <w:r>
              <w:rPr>
                <w:rFonts w:hint="eastAsia" w:ascii="宋体" w:hAnsi="宋体"/>
                <w:szCs w:val="21"/>
              </w:rPr>
              <w:t>有关的全部费用；</w:t>
            </w:r>
          </w:p>
          <w:p w14:paraId="16C10ECF">
            <w:pPr>
              <w:spacing w:line="360" w:lineRule="exact"/>
              <w:rPr>
                <w:rFonts w:hint="eastAsia"/>
              </w:rPr>
            </w:pPr>
            <w:r>
              <w:rPr>
                <w:rFonts w:hint="eastAsia" w:ascii="宋体" w:hAnsi="宋体"/>
                <w:szCs w:val="21"/>
              </w:rPr>
              <w:t>3、中标人须缴纳招标代理服务费，收费标准金额为：</w:t>
            </w:r>
            <w:r>
              <w:rPr>
                <w:rFonts w:hint="eastAsia"/>
              </w:rPr>
              <w:t>一次性收费人民币</w:t>
            </w:r>
            <w:r>
              <w:rPr>
                <w:rFonts w:hint="eastAsia"/>
                <w:lang w:val="en-US" w:eastAsia="zh-CN"/>
              </w:rPr>
              <w:t>7000元整</w:t>
            </w:r>
            <w:r>
              <w:rPr>
                <w:rFonts w:hint="eastAsia"/>
              </w:rPr>
              <w:t>。支付方式及时间为：</w:t>
            </w:r>
            <w:r>
              <w:rPr>
                <w:rFonts w:hint="eastAsia"/>
                <w:lang w:val="en-US" w:eastAsia="zh-CN"/>
              </w:rPr>
              <w:t>领取</w:t>
            </w:r>
            <w:r>
              <w:rPr>
                <w:rFonts w:hint="eastAsia"/>
              </w:rPr>
              <w:t>中标通知书</w:t>
            </w:r>
            <w:r>
              <w:rPr>
                <w:rFonts w:hint="eastAsia"/>
                <w:lang w:val="en-US" w:eastAsia="zh-CN"/>
              </w:rPr>
              <w:t>时</w:t>
            </w:r>
            <w:r>
              <w:rPr>
                <w:rFonts w:hint="eastAsia"/>
              </w:rPr>
              <w:t>一次性支付给招标代理机构。</w:t>
            </w:r>
          </w:p>
          <w:p w14:paraId="1BC5D913">
            <w:pPr>
              <w:spacing w:line="360" w:lineRule="exact"/>
              <w:rPr>
                <w:rFonts w:hint="eastAsia" w:ascii="宋体" w:hAnsi="宋体"/>
                <w:szCs w:val="21"/>
                <w:lang w:val="en-US" w:eastAsia="zh-CN"/>
              </w:rPr>
            </w:pPr>
            <w:r>
              <w:rPr>
                <w:rFonts w:hint="eastAsia" w:ascii="宋体" w:hAnsi="宋体"/>
                <w:szCs w:val="21"/>
                <w:lang w:val="zh-CN" w:eastAsia="zh-CN"/>
              </w:rPr>
              <w:t>收款单位名称：</w:t>
            </w:r>
            <w:r>
              <w:rPr>
                <w:rFonts w:hint="eastAsia" w:ascii="宋体" w:hAnsi="宋体"/>
                <w:szCs w:val="21"/>
                <w:lang w:val="en-US" w:eastAsia="zh-CN"/>
              </w:rPr>
              <w:t>浙江卓宏建设项目管理有限公司舟山分公司</w:t>
            </w:r>
          </w:p>
          <w:p w14:paraId="1412290C">
            <w:pPr>
              <w:spacing w:line="360" w:lineRule="exact"/>
              <w:rPr>
                <w:rFonts w:hint="eastAsia" w:ascii="宋体" w:hAnsi="宋体"/>
                <w:szCs w:val="21"/>
                <w:lang w:val="en-US" w:eastAsia="zh-CN"/>
              </w:rPr>
            </w:pPr>
            <w:r>
              <w:rPr>
                <w:rFonts w:hint="eastAsia" w:ascii="宋体" w:hAnsi="宋体"/>
                <w:szCs w:val="21"/>
                <w:lang w:val="zh-CN" w:eastAsia="zh-CN"/>
              </w:rPr>
              <w:t>开户银行：</w:t>
            </w:r>
            <w:r>
              <w:rPr>
                <w:rFonts w:hint="eastAsia" w:ascii="宋体" w:hAnsi="宋体"/>
                <w:szCs w:val="21"/>
                <w:lang w:val="en-US" w:eastAsia="zh-CN"/>
              </w:rPr>
              <w:t xml:space="preserve"> 中国工商银行舟山市分行普陀区支行</w:t>
            </w:r>
          </w:p>
          <w:p w14:paraId="58980F78">
            <w:pPr>
              <w:spacing w:line="360" w:lineRule="exact"/>
            </w:pPr>
            <w:r>
              <w:rPr>
                <w:rFonts w:hint="eastAsia" w:ascii="宋体" w:hAnsi="宋体"/>
                <w:szCs w:val="21"/>
                <w:lang w:val="zh-CN" w:eastAsia="zh-CN"/>
              </w:rPr>
              <w:t>银行账号：1206021109200015108</w:t>
            </w:r>
          </w:p>
        </w:tc>
      </w:tr>
      <w:tr w14:paraId="504D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0EBC2E2A">
            <w:pPr>
              <w:spacing w:line="276" w:lineRule="auto"/>
              <w:jc w:val="center"/>
              <w:rPr>
                <w:rFonts w:ascii="宋体" w:hAnsi="宋体"/>
                <w:b/>
                <w:szCs w:val="21"/>
              </w:rPr>
            </w:pPr>
            <w:r>
              <w:rPr>
                <w:rFonts w:ascii="宋体" w:hAnsi="宋体"/>
                <w:b/>
                <w:szCs w:val="21"/>
              </w:rPr>
              <w:t>12</w:t>
            </w:r>
          </w:p>
        </w:tc>
        <w:tc>
          <w:tcPr>
            <w:tcW w:w="677" w:type="pct"/>
            <w:shd w:val="clear" w:color="auto" w:fill="E0E0E0"/>
            <w:vAlign w:val="center"/>
          </w:tcPr>
          <w:p w14:paraId="3A1AC89D">
            <w:pPr>
              <w:spacing w:line="276" w:lineRule="auto"/>
              <w:jc w:val="center"/>
              <w:rPr>
                <w:rFonts w:ascii="宋体" w:hAnsi="宋体"/>
                <w:b/>
                <w:szCs w:val="21"/>
              </w:rPr>
            </w:pPr>
            <w:r>
              <w:rPr>
                <w:rFonts w:ascii="宋体" w:hAnsi="宋体"/>
                <w:b/>
                <w:szCs w:val="21"/>
              </w:rPr>
              <w:t>履约保证金</w:t>
            </w:r>
          </w:p>
        </w:tc>
        <w:tc>
          <w:tcPr>
            <w:tcW w:w="4013" w:type="pct"/>
            <w:gridSpan w:val="3"/>
            <w:shd w:val="clear" w:color="auto" w:fill="FFFFFF"/>
            <w:vAlign w:val="center"/>
          </w:tcPr>
          <w:p w14:paraId="17DBD687">
            <w:pPr>
              <w:spacing w:line="360" w:lineRule="exact"/>
            </w:pPr>
            <w:r>
              <w:rPr>
                <w:rFonts w:hint="eastAsia"/>
              </w:rPr>
              <w:t>/</w:t>
            </w:r>
          </w:p>
        </w:tc>
      </w:tr>
      <w:tr w14:paraId="45B2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36B58CAC">
            <w:pPr>
              <w:spacing w:line="276" w:lineRule="auto"/>
              <w:jc w:val="center"/>
              <w:rPr>
                <w:rFonts w:ascii="宋体" w:hAnsi="宋体"/>
                <w:b/>
                <w:szCs w:val="21"/>
              </w:rPr>
            </w:pPr>
            <w:r>
              <w:rPr>
                <w:rFonts w:ascii="宋体" w:hAnsi="宋体"/>
                <w:b/>
                <w:szCs w:val="21"/>
              </w:rPr>
              <w:t>13</w:t>
            </w:r>
          </w:p>
        </w:tc>
        <w:tc>
          <w:tcPr>
            <w:tcW w:w="677" w:type="pct"/>
            <w:shd w:val="clear" w:color="auto" w:fill="E0E0E0"/>
            <w:vAlign w:val="center"/>
          </w:tcPr>
          <w:p w14:paraId="61BF8AF4">
            <w:pPr>
              <w:spacing w:line="276" w:lineRule="auto"/>
              <w:jc w:val="center"/>
              <w:rPr>
                <w:rFonts w:ascii="宋体" w:hAnsi="宋体"/>
                <w:b/>
                <w:szCs w:val="21"/>
              </w:rPr>
            </w:pPr>
            <w:r>
              <w:rPr>
                <w:rFonts w:ascii="宋体" w:hAnsi="宋体"/>
                <w:b/>
                <w:szCs w:val="21"/>
              </w:rPr>
              <w:t>投标文件</w:t>
            </w:r>
          </w:p>
          <w:p w14:paraId="5F0EACBC">
            <w:pPr>
              <w:spacing w:line="276" w:lineRule="auto"/>
              <w:jc w:val="center"/>
              <w:rPr>
                <w:rFonts w:ascii="宋体" w:hAnsi="宋体"/>
                <w:b/>
                <w:szCs w:val="21"/>
              </w:rPr>
            </w:pPr>
            <w:r>
              <w:rPr>
                <w:rFonts w:ascii="宋体" w:hAnsi="宋体"/>
                <w:b/>
                <w:szCs w:val="21"/>
              </w:rPr>
              <w:t>的组成</w:t>
            </w:r>
          </w:p>
        </w:tc>
        <w:tc>
          <w:tcPr>
            <w:tcW w:w="4013" w:type="pct"/>
            <w:gridSpan w:val="3"/>
            <w:shd w:val="clear" w:color="auto" w:fill="FFFFFF"/>
            <w:vAlign w:val="center"/>
          </w:tcPr>
          <w:p w14:paraId="6CFBA73D">
            <w:pPr>
              <w:spacing w:line="360" w:lineRule="exact"/>
            </w:pPr>
            <w:r>
              <w:rPr>
                <w:rFonts w:hint="eastAsia" w:ascii="宋体" w:hAnsi="宋体" w:cs="宋体"/>
                <w:szCs w:val="21"/>
              </w:rPr>
              <w:t>本项目实行电子</w:t>
            </w:r>
            <w:r>
              <w:rPr>
                <w:rFonts w:hint="eastAsia"/>
              </w:rPr>
              <w:t>投标。</w:t>
            </w:r>
          </w:p>
          <w:p w14:paraId="009CD6DB">
            <w:pPr>
              <w:spacing w:line="360" w:lineRule="exact"/>
              <w:rPr>
                <w:rFonts w:ascii="宋体" w:hAnsi="宋体"/>
                <w:szCs w:val="21"/>
              </w:rPr>
            </w:pPr>
            <w:r>
              <w:rPr>
                <w:rFonts w:hint="eastAsia"/>
              </w:rPr>
              <w:t>投标文件由资格证明部分、商务技术部分及报价部分三部分组成。</w:t>
            </w:r>
          </w:p>
        </w:tc>
      </w:tr>
      <w:tr w14:paraId="2497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277" w:type="pct"/>
            <w:shd w:val="clear" w:color="auto" w:fill="E0E0E0"/>
            <w:vAlign w:val="center"/>
          </w:tcPr>
          <w:p w14:paraId="6FE7325D">
            <w:pPr>
              <w:spacing w:line="276" w:lineRule="auto"/>
              <w:jc w:val="center"/>
              <w:rPr>
                <w:rFonts w:ascii="宋体" w:hAnsi="宋体"/>
                <w:b/>
              </w:rPr>
            </w:pPr>
            <w:r>
              <w:rPr>
                <w:rFonts w:ascii="宋体" w:hAnsi="宋体"/>
                <w:b/>
                <w:szCs w:val="21"/>
              </w:rPr>
              <w:t>14</w:t>
            </w:r>
          </w:p>
        </w:tc>
        <w:tc>
          <w:tcPr>
            <w:tcW w:w="677" w:type="pct"/>
            <w:shd w:val="clear" w:color="auto" w:fill="E0E0E0"/>
            <w:vAlign w:val="center"/>
          </w:tcPr>
          <w:p w14:paraId="1F810712">
            <w:pPr>
              <w:spacing w:line="276" w:lineRule="auto"/>
              <w:jc w:val="center"/>
              <w:rPr>
                <w:rFonts w:ascii="宋体" w:hAnsi="宋体"/>
                <w:b/>
                <w:szCs w:val="21"/>
              </w:rPr>
            </w:pPr>
            <w:r>
              <w:rPr>
                <w:rFonts w:hint="eastAsia" w:ascii="宋体" w:hAnsi="宋体"/>
                <w:b/>
                <w:szCs w:val="21"/>
              </w:rPr>
              <w:t>投标文件</w:t>
            </w:r>
          </w:p>
          <w:p w14:paraId="0DB8E1B4">
            <w:pPr>
              <w:spacing w:line="276" w:lineRule="auto"/>
              <w:jc w:val="center"/>
              <w:rPr>
                <w:rFonts w:ascii="宋体" w:hAnsi="宋体"/>
                <w:b/>
                <w:szCs w:val="21"/>
              </w:rPr>
            </w:pPr>
            <w:r>
              <w:rPr>
                <w:rFonts w:hint="eastAsia" w:ascii="宋体" w:hAnsi="宋体"/>
                <w:b/>
                <w:szCs w:val="21"/>
              </w:rPr>
              <w:t>的密封要求</w:t>
            </w:r>
          </w:p>
        </w:tc>
        <w:tc>
          <w:tcPr>
            <w:tcW w:w="4013" w:type="pct"/>
            <w:gridSpan w:val="3"/>
            <w:shd w:val="clear" w:color="auto" w:fill="FFFFFF"/>
            <w:vAlign w:val="center"/>
          </w:tcPr>
          <w:p w14:paraId="3DF5EB2F">
            <w:pPr>
              <w:spacing w:line="360" w:lineRule="exact"/>
            </w:pPr>
            <w:r>
              <w:t>1</w:t>
            </w:r>
            <w:r>
              <w:rPr>
                <w:rFonts w:hint="eastAsia"/>
              </w:rPr>
              <w:t>、投标人线上制作投标文件并采用</w:t>
            </w:r>
            <w:r>
              <w:t>CA</w:t>
            </w:r>
            <w:r>
              <w:rPr>
                <w:rFonts w:hint="eastAsia"/>
              </w:rPr>
              <w:t>数字证书进行电子签章及加密。</w:t>
            </w:r>
          </w:p>
          <w:p w14:paraId="4CB76E6C">
            <w:pPr>
              <w:wordWrap w:val="0"/>
              <w:spacing w:line="360" w:lineRule="exact"/>
              <w:rPr>
                <w:color w:val="0070C0"/>
              </w:rPr>
            </w:pPr>
            <w:r>
              <w:rPr>
                <w:rFonts w:ascii="宋体" w:cs="宋体"/>
                <w:szCs w:val="21"/>
              </w:rPr>
              <w:t>2</w:t>
            </w:r>
            <w:r>
              <w:rPr>
                <w:rFonts w:hint="eastAsia" w:ascii="宋体" w:cs="宋体"/>
                <w:szCs w:val="21"/>
              </w:rPr>
              <w:t>、投标人邮寄递交的备份投标文件应密封封装，注明投标人名称、项目名称并封口处加盖公章。</w:t>
            </w:r>
          </w:p>
        </w:tc>
      </w:tr>
      <w:tr w14:paraId="3FA5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1268B999">
            <w:pPr>
              <w:spacing w:line="276" w:lineRule="auto"/>
              <w:jc w:val="center"/>
              <w:rPr>
                <w:rFonts w:ascii="宋体" w:hAnsi="宋体"/>
                <w:b/>
                <w:szCs w:val="21"/>
              </w:rPr>
            </w:pPr>
            <w:r>
              <w:rPr>
                <w:rFonts w:ascii="宋体" w:hAnsi="宋体"/>
                <w:b/>
                <w:szCs w:val="21"/>
              </w:rPr>
              <w:t>15</w:t>
            </w:r>
          </w:p>
        </w:tc>
        <w:tc>
          <w:tcPr>
            <w:tcW w:w="677" w:type="pct"/>
            <w:shd w:val="clear" w:color="auto" w:fill="E0E0E0"/>
            <w:vAlign w:val="center"/>
          </w:tcPr>
          <w:p w14:paraId="74E2EC72">
            <w:pPr>
              <w:jc w:val="center"/>
              <w:rPr>
                <w:rFonts w:ascii="宋体" w:hAnsi="宋体"/>
                <w:b/>
                <w:szCs w:val="21"/>
              </w:rPr>
            </w:pPr>
            <w:r>
              <w:rPr>
                <w:rFonts w:hint="eastAsia" w:ascii="宋体" w:hAnsi="宋体"/>
                <w:b/>
                <w:szCs w:val="21"/>
              </w:rPr>
              <w:t>投标文件的</w:t>
            </w:r>
          </w:p>
          <w:p w14:paraId="59DA1B5E">
            <w:pPr>
              <w:jc w:val="center"/>
              <w:rPr>
                <w:rFonts w:ascii="宋体" w:hAnsi="宋体"/>
                <w:b/>
                <w:szCs w:val="21"/>
              </w:rPr>
            </w:pPr>
            <w:r>
              <w:rPr>
                <w:rFonts w:hint="eastAsia" w:ascii="宋体" w:hAnsi="宋体"/>
                <w:b/>
                <w:szCs w:val="21"/>
              </w:rPr>
              <w:t>提交</w:t>
            </w:r>
          </w:p>
        </w:tc>
        <w:tc>
          <w:tcPr>
            <w:tcW w:w="4013" w:type="pct"/>
            <w:gridSpan w:val="3"/>
            <w:shd w:val="clear" w:color="auto" w:fill="FFFFFF"/>
            <w:vAlign w:val="center"/>
          </w:tcPr>
          <w:p w14:paraId="55211EFF">
            <w:pPr>
              <w:snapToGrid w:val="0"/>
              <w:spacing w:line="360" w:lineRule="auto"/>
              <w:ind w:right="-86" w:rightChars="-41"/>
              <w:rPr>
                <w:rFonts w:ascii="Times New Roman" w:hAnsi="Times New Roman"/>
                <w:szCs w:val="21"/>
              </w:rPr>
            </w:pPr>
            <w:r>
              <w:rPr>
                <w:rFonts w:ascii="Times New Roman" w:hAnsi="Times New Roman"/>
                <w:szCs w:val="21"/>
              </w:rPr>
              <w:t>本次投标允许投标人递交电子备份投标文件，但不强制要求提交，未提供造成项目开评标活动无法进行下去的，投标无效，相关风险由投标人自行承担。</w:t>
            </w:r>
          </w:p>
          <w:p w14:paraId="1A39CB9B">
            <w:pPr>
              <w:snapToGrid w:val="0"/>
              <w:spacing w:line="360" w:lineRule="auto"/>
              <w:ind w:right="-86" w:rightChars="-41"/>
              <w:rPr>
                <w:rFonts w:ascii="Times New Roman" w:hAnsi="Times New Roman"/>
                <w:szCs w:val="21"/>
              </w:rPr>
            </w:pPr>
            <w:r>
              <w:rPr>
                <w:rFonts w:hint="eastAsia" w:ascii="Times New Roman" w:hAnsi="Times New Roman"/>
                <w:szCs w:val="21"/>
              </w:rPr>
              <w:t>1、</w:t>
            </w:r>
            <w:r>
              <w:rPr>
                <w:rFonts w:ascii="Times New Roman" w:hAnsi="Times New Roman"/>
                <w:szCs w:val="21"/>
              </w:rPr>
              <w:t>在开标截止时间前须在政采云系统里上传加密的电子版投标文件。</w:t>
            </w:r>
          </w:p>
          <w:p w14:paraId="6D5D3AFF">
            <w:pPr>
              <w:snapToGrid w:val="0"/>
              <w:spacing w:line="360" w:lineRule="auto"/>
              <w:ind w:right="-86" w:rightChars="-41"/>
              <w:rPr>
                <w:rFonts w:ascii="Times New Roman" w:hAnsi="Times New Roman"/>
                <w:szCs w:val="21"/>
              </w:rPr>
            </w:pPr>
            <w:r>
              <w:rPr>
                <w:rFonts w:hint="eastAsia" w:ascii="Times New Roman" w:hAnsi="Times New Roman"/>
                <w:szCs w:val="21"/>
              </w:rPr>
              <w:t>2、</w:t>
            </w:r>
            <w:r>
              <w:rPr>
                <w:rFonts w:ascii="Times New Roman" w:hAnsi="Times New Roman"/>
                <w:szCs w:val="21"/>
              </w:rPr>
              <w:t>备份投标文件递交的方式为：</w:t>
            </w:r>
            <w:r>
              <w:rPr>
                <w:rFonts w:hint="eastAsia" w:ascii="Times New Roman" w:hAnsi="Times New Roman"/>
                <w:b/>
                <w:bCs/>
                <w:szCs w:val="21"/>
              </w:rPr>
              <w:t>邮寄</w:t>
            </w:r>
            <w:r>
              <w:rPr>
                <w:rFonts w:ascii="Times New Roman" w:hAnsi="Times New Roman"/>
                <w:szCs w:val="21"/>
              </w:rPr>
              <w:t>。</w:t>
            </w:r>
            <w:r>
              <w:rPr>
                <w:rFonts w:hint="eastAsia" w:ascii="Times New Roman" w:hAnsi="Times New Roman"/>
                <w:szCs w:val="21"/>
              </w:rPr>
              <w:t>（</w:t>
            </w:r>
            <w:r>
              <w:rPr>
                <w:rFonts w:ascii="Times New Roman" w:hAnsi="Times New Roman"/>
                <w:b/>
                <w:bCs/>
                <w:szCs w:val="21"/>
              </w:rPr>
              <w:t>备份</w:t>
            </w:r>
            <w:r>
              <w:rPr>
                <w:rFonts w:hint="eastAsia" w:ascii="Times New Roman" w:hAnsi="Times New Roman"/>
                <w:b/>
                <w:bCs/>
                <w:szCs w:val="21"/>
              </w:rPr>
              <w:t>文件的</w:t>
            </w:r>
            <w:r>
              <w:rPr>
                <w:rFonts w:ascii="Times New Roman" w:hAnsi="Times New Roman"/>
                <w:b/>
                <w:bCs/>
                <w:szCs w:val="21"/>
                <w:shd w:val="clear" w:color="auto" w:fill="FFFFFF"/>
              </w:rPr>
              <w:t>后缀名为.bfbs</w:t>
            </w:r>
            <w:r>
              <w:rPr>
                <w:rFonts w:hint="eastAsia" w:ascii="Times New Roman" w:hAnsi="Times New Roman"/>
                <w:szCs w:val="21"/>
              </w:rPr>
              <w:t>）</w:t>
            </w:r>
          </w:p>
          <w:p w14:paraId="4BD63443">
            <w:pPr>
              <w:snapToGrid w:val="0"/>
              <w:spacing w:line="360" w:lineRule="auto"/>
              <w:ind w:right="-86" w:rightChars="-41"/>
              <w:rPr>
                <w:rFonts w:hint="eastAsia" w:ascii="宋体" w:hAnsi="宋体" w:cs="宋体"/>
                <w:szCs w:val="21"/>
              </w:rPr>
            </w:pPr>
            <w:r>
              <w:rPr>
                <w:rFonts w:hint="eastAsia" w:ascii="Times New Roman" w:hAnsi="Times New Roman"/>
                <w:b/>
                <w:szCs w:val="21"/>
              </w:rPr>
              <w:t>2.1</w:t>
            </w:r>
            <w:r>
              <w:rPr>
                <w:rFonts w:hint="eastAsia" w:ascii="宋体" w:hAnsi="宋体" w:cs="宋体"/>
                <w:szCs w:val="21"/>
              </w:rPr>
              <w:t>投标人将备份投标文件、演示文稿于2024年</w:t>
            </w:r>
            <w:r>
              <w:rPr>
                <w:rFonts w:hint="eastAsia" w:ascii="宋体" w:hAnsi="宋体" w:cs="宋体"/>
                <w:szCs w:val="21"/>
                <w:lang w:val="en-US" w:eastAsia="zh-CN"/>
              </w:rPr>
              <w:t xml:space="preserve"> 12 月 17</w:t>
            </w:r>
            <w:r>
              <w:rPr>
                <w:rFonts w:hint="eastAsia" w:ascii="宋体" w:hAnsi="宋体" w:cs="宋体"/>
                <w:szCs w:val="21"/>
              </w:rPr>
              <w:t xml:space="preserve"> 日17:00（北京时间）前通过邮寄或派人递送的方式送交到采购代理机构处（地址：舟山市定海区临城街道中浪国际A座6楼；联系人：刘珍珍；联系方式：0580-2027712）</w:t>
            </w:r>
          </w:p>
          <w:p w14:paraId="44EB0363">
            <w:pPr>
              <w:snapToGrid w:val="0"/>
              <w:spacing w:line="360" w:lineRule="auto"/>
              <w:ind w:right="-86" w:rightChars="-41"/>
              <w:rPr>
                <w:rFonts w:ascii="Times New Roman" w:hAnsi="Times New Roman"/>
                <w:b/>
                <w:szCs w:val="21"/>
              </w:rPr>
            </w:pPr>
            <w:r>
              <w:rPr>
                <w:rFonts w:hint="eastAsia" w:ascii="Times New Roman" w:hAnsi="Times New Roman"/>
                <w:b/>
                <w:szCs w:val="21"/>
              </w:rPr>
              <w:t>2.2递交时间</w:t>
            </w:r>
            <w:r>
              <w:rPr>
                <w:rFonts w:ascii="Times New Roman" w:hAnsi="Times New Roman"/>
                <w:b/>
                <w:szCs w:val="21"/>
              </w:rPr>
              <w:t>：供应商确保在投标截止时间前</w:t>
            </w:r>
            <w:r>
              <w:rPr>
                <w:rFonts w:hint="eastAsia" w:ascii="Times New Roman" w:hAnsi="Times New Roman"/>
                <w:b/>
                <w:szCs w:val="21"/>
              </w:rPr>
              <w:t>，</w:t>
            </w:r>
            <w:r>
              <w:rPr>
                <w:rFonts w:ascii="Times New Roman" w:hAnsi="Times New Roman"/>
                <w:b/>
                <w:szCs w:val="21"/>
              </w:rPr>
              <w:t>将备份投标文件通过快递形式寄达采购代理机构处</w:t>
            </w:r>
            <w:r>
              <w:rPr>
                <w:rFonts w:hint="eastAsia" w:ascii="Times New Roman" w:hAnsi="Times New Roman"/>
                <w:b/>
                <w:szCs w:val="21"/>
              </w:rPr>
              <w:t>。</w:t>
            </w:r>
          </w:p>
          <w:p w14:paraId="331B592C">
            <w:pPr>
              <w:snapToGrid w:val="0"/>
              <w:spacing w:line="360" w:lineRule="auto"/>
              <w:ind w:right="-86" w:rightChars="-41"/>
              <w:rPr>
                <w:rFonts w:ascii="Times New Roman" w:hAnsi="Times New Roman"/>
                <w:b/>
                <w:szCs w:val="21"/>
              </w:rPr>
            </w:pPr>
            <w:r>
              <w:rPr>
                <w:rFonts w:hint="eastAsia" w:ascii="Times New Roman" w:hAnsi="Times New Roman"/>
                <w:b/>
                <w:szCs w:val="21"/>
              </w:rPr>
              <w:t>2.3</w:t>
            </w:r>
            <w:r>
              <w:rPr>
                <w:rFonts w:ascii="Times New Roman" w:hAnsi="Times New Roman"/>
                <w:b/>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287CEFB">
            <w:pPr>
              <w:snapToGrid w:val="0"/>
              <w:spacing w:line="360" w:lineRule="auto"/>
              <w:ind w:right="-86" w:rightChars="-41"/>
              <w:rPr>
                <w:rFonts w:ascii="Times New Roman" w:hAnsi="Times New Roman"/>
                <w:szCs w:val="21"/>
              </w:rPr>
            </w:pPr>
            <w:r>
              <w:rPr>
                <w:rFonts w:ascii="Times New Roman" w:hAnsi="Times New Roman"/>
                <w:szCs w:val="21"/>
              </w:rPr>
              <w:t>3、</w:t>
            </w:r>
            <w:r>
              <w:rPr>
                <w:rFonts w:hint="eastAsia" w:ascii="Times New Roman" w:hAnsi="Times New Roman"/>
                <w:szCs w:val="21"/>
              </w:rPr>
              <w:t>邮寄</w:t>
            </w:r>
            <w:r>
              <w:rPr>
                <w:rFonts w:ascii="Times New Roman" w:hAnsi="Times New Roman"/>
                <w:szCs w:val="21"/>
              </w:rPr>
              <w:t>备份投标文件，介质可以是U盘，只允许存储一个文件。</w:t>
            </w:r>
          </w:p>
          <w:p w14:paraId="536CA823">
            <w:pPr>
              <w:snapToGrid w:val="0"/>
              <w:spacing w:line="360" w:lineRule="auto"/>
              <w:ind w:right="-86" w:rightChars="-41"/>
              <w:rPr>
                <w:rFonts w:ascii="Times New Roman" w:hAnsi="Times New Roman"/>
                <w:szCs w:val="21"/>
              </w:rPr>
            </w:pPr>
            <w:r>
              <w:rPr>
                <w:rFonts w:ascii="Times New Roman" w:hAnsi="Times New Roman"/>
                <w:szCs w:val="21"/>
              </w:rPr>
              <w:t>4、当发生投标人未按时解密时，代理机构将启用已提交的备份投标文件。</w:t>
            </w:r>
          </w:p>
          <w:p w14:paraId="74896D5F">
            <w:pPr>
              <w:snapToGrid w:val="0"/>
              <w:spacing w:line="360" w:lineRule="auto"/>
              <w:ind w:right="-86" w:rightChars="-41"/>
              <w:rPr>
                <w:rFonts w:hAnsi="宋体" w:cs="宋体"/>
                <w:szCs w:val="21"/>
              </w:rPr>
            </w:pPr>
            <w:r>
              <w:rPr>
                <w:rFonts w:hint="eastAsia" w:hAnsi="宋体" w:cs="宋体"/>
                <w:szCs w:val="21"/>
              </w:rPr>
              <w:t>5、投标人递交备份投标文件时，如出现下列情况之一的，将被拒收：（此条款仅针对邮寄的备份文件）</w:t>
            </w:r>
          </w:p>
          <w:p w14:paraId="00EF6F07">
            <w:pPr>
              <w:snapToGrid w:val="0"/>
              <w:spacing w:line="360" w:lineRule="auto"/>
              <w:ind w:right="-86" w:rightChars="-41"/>
              <w:rPr>
                <w:rFonts w:ascii="Times New Roman" w:hAnsi="Times New Roman"/>
                <w:szCs w:val="21"/>
              </w:rPr>
            </w:pPr>
            <w:r>
              <w:rPr>
                <w:rFonts w:hint="eastAsia" w:hAnsi="宋体" w:cs="宋体"/>
                <w:szCs w:val="21"/>
              </w:rPr>
              <w:t>5.1未按规定密封或标记的</w:t>
            </w:r>
            <w:r>
              <w:rPr>
                <w:rFonts w:hint="eastAsia" w:ascii="Times New Roman" w:hAnsi="Times New Roman"/>
                <w:szCs w:val="21"/>
              </w:rPr>
              <w:t>投标文件；</w:t>
            </w:r>
          </w:p>
          <w:p w14:paraId="10AD72B8">
            <w:pPr>
              <w:snapToGrid w:val="0"/>
              <w:spacing w:line="360" w:lineRule="auto"/>
              <w:ind w:right="-86" w:rightChars="-41"/>
              <w:rPr>
                <w:rFonts w:ascii="Times New Roman" w:hAnsi="Times New Roman"/>
                <w:szCs w:val="21"/>
              </w:rPr>
            </w:pPr>
            <w:r>
              <w:rPr>
                <w:rFonts w:hint="eastAsia" w:ascii="Times New Roman" w:hAnsi="Times New Roman"/>
                <w:szCs w:val="21"/>
              </w:rPr>
              <w:t>5.2由于包装不妥，在送交途中严重损坏的；</w:t>
            </w:r>
          </w:p>
          <w:p w14:paraId="071D84E8">
            <w:pPr>
              <w:rPr>
                <w:color w:val="0070C0"/>
              </w:rPr>
            </w:pPr>
            <w:r>
              <w:rPr>
                <w:rFonts w:hint="eastAsia" w:ascii="Times New Roman" w:hAnsi="Times New Roman"/>
                <w:szCs w:val="21"/>
              </w:rPr>
              <w:t>5.3超过规定时间送达的。</w:t>
            </w:r>
          </w:p>
        </w:tc>
      </w:tr>
      <w:tr w14:paraId="12ED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747DBAD3">
            <w:pPr>
              <w:spacing w:line="276" w:lineRule="auto"/>
              <w:jc w:val="center"/>
              <w:rPr>
                <w:rFonts w:ascii="宋体" w:hAnsi="宋体"/>
                <w:b/>
              </w:rPr>
            </w:pPr>
            <w:r>
              <w:rPr>
                <w:rFonts w:ascii="宋体" w:hAnsi="宋体"/>
                <w:b/>
                <w:szCs w:val="21"/>
              </w:rPr>
              <w:t>16</w:t>
            </w:r>
          </w:p>
        </w:tc>
        <w:tc>
          <w:tcPr>
            <w:tcW w:w="677" w:type="pct"/>
            <w:shd w:val="clear" w:color="auto" w:fill="E0E0E0"/>
            <w:vAlign w:val="center"/>
          </w:tcPr>
          <w:p w14:paraId="71575371">
            <w:pPr>
              <w:spacing w:line="276" w:lineRule="auto"/>
              <w:jc w:val="center"/>
              <w:rPr>
                <w:rFonts w:ascii="宋体" w:hAnsi="宋体"/>
                <w:b/>
                <w:szCs w:val="21"/>
              </w:rPr>
            </w:pPr>
            <w:r>
              <w:rPr>
                <w:rFonts w:ascii="宋体" w:hAnsi="宋体"/>
                <w:b/>
                <w:szCs w:val="21"/>
              </w:rPr>
              <w:t>投标文件提交</w:t>
            </w:r>
            <w:r>
              <w:rPr>
                <w:rFonts w:hint="eastAsia" w:ascii="宋体" w:hAnsi="宋体"/>
                <w:b/>
                <w:szCs w:val="21"/>
              </w:rPr>
              <w:t>/开标</w:t>
            </w:r>
            <w:r>
              <w:rPr>
                <w:rFonts w:ascii="宋体" w:hAnsi="宋体"/>
                <w:b/>
                <w:szCs w:val="21"/>
              </w:rPr>
              <w:t>截止时间</w:t>
            </w:r>
          </w:p>
        </w:tc>
        <w:tc>
          <w:tcPr>
            <w:tcW w:w="4013" w:type="pct"/>
            <w:gridSpan w:val="3"/>
            <w:shd w:val="clear" w:color="auto" w:fill="FFFFFF"/>
            <w:vAlign w:val="center"/>
          </w:tcPr>
          <w:p w14:paraId="1EF45497">
            <w:pPr>
              <w:spacing w:line="276" w:lineRule="auto"/>
              <w:rPr>
                <w:rFonts w:ascii="宋体" w:cs="宋体"/>
                <w:szCs w:val="21"/>
              </w:rPr>
            </w:pPr>
            <w:r>
              <w:rPr>
                <w:rStyle w:val="26"/>
                <w:rFonts w:hint="eastAsia" w:ascii="宋体" w:hAnsi="宋体"/>
                <w:szCs w:val="21"/>
              </w:rPr>
              <w:t>详见采购公告</w:t>
            </w:r>
          </w:p>
        </w:tc>
      </w:tr>
      <w:tr w14:paraId="00DB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5D41C28B">
            <w:pPr>
              <w:spacing w:line="276" w:lineRule="auto"/>
              <w:jc w:val="center"/>
              <w:rPr>
                <w:rFonts w:ascii="宋体" w:hAnsi="宋体"/>
                <w:b/>
                <w:szCs w:val="21"/>
              </w:rPr>
            </w:pPr>
            <w:r>
              <w:rPr>
                <w:rFonts w:hint="eastAsia" w:ascii="宋体" w:hAnsi="宋体"/>
                <w:b/>
                <w:szCs w:val="21"/>
              </w:rPr>
              <w:t>17</w:t>
            </w:r>
          </w:p>
        </w:tc>
        <w:tc>
          <w:tcPr>
            <w:tcW w:w="677" w:type="pct"/>
            <w:shd w:val="clear" w:color="auto" w:fill="E0E0E0"/>
            <w:vAlign w:val="center"/>
          </w:tcPr>
          <w:p w14:paraId="15C21F1A">
            <w:pPr>
              <w:spacing w:line="360" w:lineRule="auto"/>
              <w:jc w:val="center"/>
              <w:rPr>
                <w:rFonts w:ascii="宋体" w:hAnsi="宋体"/>
                <w:b/>
                <w:szCs w:val="21"/>
              </w:rPr>
            </w:pPr>
            <w:r>
              <w:rPr>
                <w:rFonts w:hint="eastAsia" w:ascii="宋体" w:hAnsi="宋体"/>
                <w:b/>
                <w:szCs w:val="21"/>
              </w:rPr>
              <w:t>投标人</w:t>
            </w:r>
            <w:r>
              <w:rPr>
                <w:rFonts w:ascii="宋体" w:hAnsi="宋体"/>
                <w:b/>
                <w:szCs w:val="21"/>
              </w:rPr>
              <w:t>注册</w:t>
            </w:r>
          </w:p>
        </w:tc>
        <w:tc>
          <w:tcPr>
            <w:tcW w:w="4013" w:type="pct"/>
            <w:gridSpan w:val="3"/>
            <w:shd w:val="clear" w:color="auto" w:fill="FFFFFF"/>
            <w:vAlign w:val="center"/>
          </w:tcPr>
          <w:p w14:paraId="09A1AC25">
            <w:pPr>
              <w:spacing w:before="24" w:beforeLines="10" w:line="340" w:lineRule="atLeast"/>
              <w:ind w:firstLine="420"/>
              <w:jc w:val="left"/>
              <w:rPr>
                <w:rFonts w:ascii="宋体" w:hAnsi="宋体"/>
                <w:bCs/>
                <w:snapToGrid w:val="0"/>
                <w:kern w:val="0"/>
              </w:rPr>
            </w:pPr>
            <w:r>
              <w:rPr>
                <w:rFonts w:ascii="宋体" w:hAnsi="宋体"/>
                <w:bCs/>
                <w:snapToGrid w:val="0"/>
                <w:kern w:val="0"/>
              </w:rPr>
              <w:t>各</w:t>
            </w:r>
            <w:r>
              <w:rPr>
                <w:rFonts w:hint="eastAsia" w:ascii="宋体" w:hAnsi="宋体"/>
                <w:bCs/>
                <w:snapToGrid w:val="0"/>
                <w:kern w:val="0"/>
              </w:rPr>
              <w:t>投标人</w:t>
            </w:r>
            <w:r>
              <w:rPr>
                <w:rFonts w:ascii="宋体" w:hAnsi="宋体"/>
                <w:bCs/>
                <w:snapToGrid w:val="0"/>
                <w:kern w:val="0"/>
              </w:rPr>
              <w:t>须在投标截止时间前根据浙江省财政厅《关于开展政府采购</w:t>
            </w:r>
            <w:r>
              <w:rPr>
                <w:rFonts w:hint="eastAsia" w:ascii="宋体" w:hAnsi="宋体"/>
                <w:bCs/>
                <w:snapToGrid w:val="0"/>
                <w:kern w:val="0"/>
              </w:rPr>
              <w:t>投标人</w:t>
            </w:r>
            <w:r>
              <w:rPr>
                <w:rFonts w:ascii="宋体" w:hAnsi="宋体"/>
                <w:bCs/>
                <w:snapToGrid w:val="0"/>
                <w:kern w:val="0"/>
              </w:rPr>
              <w:t>网上注册登记和诚信管理工作的通知》（浙财采监【2010】8号文）的要求，通过浙江政府采购网申请注册加入政府采购</w:t>
            </w:r>
            <w:r>
              <w:rPr>
                <w:rFonts w:hint="eastAsia" w:ascii="宋体" w:hAnsi="宋体"/>
                <w:bCs/>
                <w:snapToGrid w:val="0"/>
                <w:kern w:val="0"/>
              </w:rPr>
              <w:t>投标人</w:t>
            </w:r>
            <w:r>
              <w:rPr>
                <w:rFonts w:ascii="宋体" w:hAnsi="宋体"/>
                <w:bCs/>
                <w:snapToGrid w:val="0"/>
                <w:kern w:val="0"/>
              </w:rPr>
              <w:t>库。以免影响享受相关政策优惠及成交后的款项支付。</w:t>
            </w:r>
          </w:p>
          <w:p w14:paraId="444FF43E">
            <w:pPr>
              <w:spacing w:before="24" w:beforeLines="10" w:line="340" w:lineRule="atLeast"/>
              <w:ind w:firstLine="420"/>
              <w:jc w:val="left"/>
              <w:rPr>
                <w:rFonts w:ascii="宋体" w:hAnsi="宋体"/>
                <w:szCs w:val="21"/>
              </w:rPr>
            </w:pPr>
            <w:r>
              <w:rPr>
                <w:rFonts w:hint="eastAsia" w:ascii="宋体" w:hAnsi="宋体"/>
                <w:bCs/>
                <w:snapToGrid w:val="0"/>
                <w:kern w:val="0"/>
              </w:rPr>
              <w:t>投标人</w:t>
            </w:r>
            <w:r>
              <w:rPr>
                <w:rFonts w:ascii="宋体" w:hAnsi="宋体"/>
                <w:bCs/>
                <w:snapToGrid w:val="0"/>
                <w:kern w:val="0"/>
              </w:rPr>
              <w:t>在申请注册前，请认真阅读，学习《中华人民共和国政府采购法》和《浙江省政府采购</w:t>
            </w:r>
            <w:r>
              <w:rPr>
                <w:rFonts w:hint="eastAsia" w:ascii="宋体" w:hAnsi="宋体"/>
                <w:bCs/>
                <w:snapToGrid w:val="0"/>
                <w:kern w:val="0"/>
              </w:rPr>
              <w:t>投标人</w:t>
            </w:r>
            <w:r>
              <w:rPr>
                <w:rFonts w:ascii="宋体" w:hAnsi="宋体"/>
                <w:bCs/>
                <w:snapToGrid w:val="0"/>
                <w:kern w:val="0"/>
              </w:rPr>
              <w:t>注册及诚信管理暂行办法》等相关法规规定。</w:t>
            </w:r>
          </w:p>
        </w:tc>
      </w:tr>
      <w:tr w14:paraId="300A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6E882CF6">
            <w:pPr>
              <w:spacing w:line="276" w:lineRule="auto"/>
              <w:jc w:val="center"/>
              <w:rPr>
                <w:rFonts w:ascii="宋体" w:hAnsi="宋体"/>
                <w:b/>
                <w:szCs w:val="21"/>
              </w:rPr>
            </w:pPr>
            <w:r>
              <w:rPr>
                <w:rFonts w:hint="eastAsia" w:ascii="宋体" w:hAnsi="宋体"/>
                <w:b/>
                <w:szCs w:val="21"/>
              </w:rPr>
              <w:t>18</w:t>
            </w:r>
          </w:p>
        </w:tc>
        <w:tc>
          <w:tcPr>
            <w:tcW w:w="677" w:type="pct"/>
            <w:shd w:val="clear" w:color="auto" w:fill="E0E0E0"/>
            <w:vAlign w:val="center"/>
          </w:tcPr>
          <w:p w14:paraId="16A77682">
            <w:pPr>
              <w:jc w:val="center"/>
              <w:rPr>
                <w:rFonts w:ascii="宋体" w:hAnsi="宋体"/>
                <w:b/>
                <w:szCs w:val="21"/>
              </w:rPr>
            </w:pPr>
            <w:r>
              <w:rPr>
                <w:rFonts w:ascii="宋体" w:hAnsi="宋体"/>
                <w:b/>
                <w:szCs w:val="21"/>
              </w:rPr>
              <w:t>不良信用记录查询</w:t>
            </w:r>
          </w:p>
        </w:tc>
        <w:tc>
          <w:tcPr>
            <w:tcW w:w="4013" w:type="pct"/>
            <w:gridSpan w:val="3"/>
            <w:shd w:val="clear" w:color="auto" w:fill="FFFFFF"/>
            <w:vAlign w:val="center"/>
          </w:tcPr>
          <w:p w14:paraId="60C626FB">
            <w:pPr>
              <w:rPr>
                <w:rFonts w:ascii="宋体" w:hAnsi="宋体" w:cs="宋体"/>
                <w:szCs w:val="21"/>
              </w:rPr>
            </w:pPr>
            <w:r>
              <w:rPr>
                <w:rFonts w:hint="eastAsia" w:ascii="宋体" w:hAnsi="宋体" w:cs="宋体"/>
                <w:szCs w:val="21"/>
              </w:rPr>
              <w:t>根据财库[2016]125号文件：</w:t>
            </w:r>
          </w:p>
          <w:p w14:paraId="4268B2D9">
            <w:pPr>
              <w:rPr>
                <w:rFonts w:ascii="宋体" w:hAnsi="宋体" w:cs="宋体"/>
                <w:szCs w:val="21"/>
              </w:rPr>
            </w:pPr>
            <w:r>
              <w:rPr>
                <w:rFonts w:hint="eastAsia" w:ascii="宋体" w:hAnsi="宋体" w:cs="宋体"/>
                <w:szCs w:val="21"/>
              </w:rPr>
              <w:t>1、至本项目投标截止前未被列入“信用中国”网站(www.creditchina.gov.cn)“记录失信被执行人或重大税收违法案件当事人名单”记录名单。</w:t>
            </w:r>
          </w:p>
          <w:p w14:paraId="35CA07E9">
            <w:pPr>
              <w:rPr>
                <w:rFonts w:ascii="宋体" w:hAnsi="宋体" w:cs="宋体"/>
                <w:szCs w:val="21"/>
              </w:rPr>
            </w:pPr>
            <w:r>
              <w:rPr>
                <w:rFonts w:hint="eastAsia" w:ascii="宋体" w:hAnsi="宋体" w:cs="宋体"/>
                <w:szCs w:val="21"/>
              </w:rPr>
              <w:t>2、至本项目投标截止前不处于中国政府采购网(www.ccgp.gov.cn)“政府采购严重违法失信行为信息记录”中的禁止参加政府采购活动期间。</w:t>
            </w:r>
          </w:p>
          <w:p w14:paraId="1558F202">
            <w:pPr>
              <w:rPr>
                <w:rFonts w:ascii="宋体" w:hAnsi="宋体" w:cs="宋体"/>
                <w:szCs w:val="21"/>
              </w:rPr>
            </w:pPr>
            <w:r>
              <w:rPr>
                <w:rFonts w:hint="eastAsia" w:ascii="宋体" w:hAnsi="宋体" w:cs="宋体"/>
                <w:szCs w:val="21"/>
              </w:rPr>
              <w:t>对列入失信被执行人、重大税收违法案件当事人名单、政府采购严重违法失信行为记录名单的供应商，</w:t>
            </w:r>
            <w:r>
              <w:rPr>
                <w:rFonts w:hint="eastAsia" w:ascii="宋体" w:hAnsi="宋体" w:cs="宋体"/>
                <w:b/>
                <w:szCs w:val="21"/>
              </w:rPr>
              <w:t>其投标将作无效标处理</w:t>
            </w:r>
            <w:r>
              <w:rPr>
                <w:rFonts w:hint="eastAsia" w:ascii="宋体" w:hAnsi="宋体" w:cs="宋体"/>
                <w:szCs w:val="21"/>
              </w:rPr>
              <w:t>。</w:t>
            </w:r>
          </w:p>
          <w:p w14:paraId="4F2F1AC9">
            <w:pPr>
              <w:rPr>
                <w:rFonts w:ascii="宋体" w:hAnsi="宋体"/>
              </w:rPr>
            </w:pPr>
            <w:r>
              <w:rPr>
                <w:rFonts w:hint="eastAsia" w:ascii="宋体" w:hAnsi="宋体" w:cs="宋体"/>
                <w:szCs w:val="21"/>
              </w:rPr>
              <w:t>采购代理机构在投标截止日对供应商信用记录进行查询，以代理机构在开标当日的查询记录为准。</w:t>
            </w:r>
          </w:p>
        </w:tc>
      </w:tr>
      <w:tr w14:paraId="0913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05E19182">
            <w:pPr>
              <w:spacing w:line="360" w:lineRule="auto"/>
              <w:jc w:val="center"/>
              <w:rPr>
                <w:rFonts w:ascii="宋体" w:hAnsi="宋体"/>
                <w:b/>
                <w:szCs w:val="21"/>
              </w:rPr>
            </w:pPr>
            <w:r>
              <w:rPr>
                <w:rFonts w:hint="eastAsia" w:ascii="宋体" w:hAnsi="宋体"/>
                <w:b/>
                <w:szCs w:val="21"/>
              </w:rPr>
              <w:t>19</w:t>
            </w:r>
          </w:p>
        </w:tc>
        <w:tc>
          <w:tcPr>
            <w:tcW w:w="677" w:type="pct"/>
            <w:shd w:val="clear" w:color="auto" w:fill="E0E0E0"/>
            <w:vAlign w:val="center"/>
          </w:tcPr>
          <w:p w14:paraId="445C6C29">
            <w:pPr>
              <w:jc w:val="center"/>
              <w:rPr>
                <w:rFonts w:ascii="宋体" w:hAnsi="宋体"/>
                <w:b/>
                <w:szCs w:val="21"/>
              </w:rPr>
            </w:pPr>
            <w:r>
              <w:rPr>
                <w:rFonts w:hint="eastAsia"/>
                <w:b/>
              </w:rPr>
              <w:t>相关</w:t>
            </w:r>
            <w:r>
              <w:rPr>
                <w:b/>
              </w:rPr>
              <w:t>政策</w:t>
            </w:r>
          </w:p>
        </w:tc>
        <w:tc>
          <w:tcPr>
            <w:tcW w:w="4013" w:type="pct"/>
            <w:gridSpan w:val="3"/>
            <w:shd w:val="clear" w:color="auto" w:fill="FFFFFF"/>
            <w:vAlign w:val="center"/>
          </w:tcPr>
          <w:p w14:paraId="4EA236E4">
            <w:pPr>
              <w:rPr>
                <w:rFonts w:ascii="宋体" w:hAnsi="宋体" w:cs="宋体"/>
                <w:b/>
                <w:kern w:val="0"/>
                <w:szCs w:val="21"/>
              </w:rPr>
            </w:pPr>
            <w:r>
              <w:rPr>
                <w:rFonts w:hint="eastAsia" w:ascii="宋体" w:hAnsi="宋体" w:cs="宋体"/>
                <w:b/>
                <w:kern w:val="0"/>
                <w:szCs w:val="21"/>
              </w:rPr>
              <w:sym w:font="Wingdings" w:char="00A8"/>
            </w:r>
            <w:r>
              <w:rPr>
                <w:rFonts w:hint="eastAsia" w:ascii="宋体" w:hAnsi="宋体" w:cs="宋体"/>
                <w:b/>
                <w:kern w:val="0"/>
                <w:szCs w:val="21"/>
              </w:rPr>
              <w:t>专门面向中小企业采购项目。</w:t>
            </w:r>
          </w:p>
          <w:p w14:paraId="03643759">
            <w:r>
              <w:rPr>
                <w:rFonts w:hint="eastAsia"/>
                <w:bCs/>
              </w:rPr>
              <w:sym w:font="Wingdings" w:char="00FE"/>
            </w:r>
            <w:r>
              <w:rPr>
                <w:rFonts w:hint="eastAsia"/>
                <w:bCs/>
              </w:rPr>
              <w:t>未预留份额专门面向中小企业采购的采购项目。</w:t>
            </w:r>
          </w:p>
          <w:p w14:paraId="23722A6F">
            <w:pPr>
              <w:rPr>
                <w:rFonts w:hint="eastAsia"/>
              </w:rPr>
            </w:pPr>
            <w:r>
              <w:rPr>
                <w:rFonts w:hint="eastAsia" w:ascii="宋体" w:hAnsi="宋体" w:cs="宋体"/>
                <w:kern w:val="0"/>
                <w:szCs w:val="21"/>
              </w:rPr>
              <w:sym w:font="Wingdings" w:char="00A8"/>
            </w:r>
            <w:r>
              <w:rPr>
                <w:rFonts w:hint="eastAsia" w:ascii="宋体" w:hAnsi="宋体" w:cs="宋体"/>
                <w:kern w:val="0"/>
                <w:szCs w:val="21"/>
              </w:rPr>
              <w:t>预留份额</w:t>
            </w:r>
            <w:r>
              <w:rPr>
                <w:rFonts w:hint="eastAsia"/>
              </w:rPr>
              <w:t>专门面向中小企业采购的采购项目。</w:t>
            </w:r>
          </w:p>
          <w:p w14:paraId="3B93B273">
            <w:pPr>
              <w:spacing w:line="300" w:lineRule="auto"/>
              <w:jc w:val="left"/>
              <w:rPr>
                <w:rFonts w:ascii="宋体" w:hAnsi="宋体" w:cs="宋体"/>
                <w:b/>
                <w:kern w:val="0"/>
                <w:szCs w:val="21"/>
              </w:rPr>
            </w:pPr>
            <w:r>
              <w:rPr>
                <w:rFonts w:hint="eastAsia" w:ascii="宋体" w:hAnsi="宋体" w:cs="宋体"/>
                <w:b/>
                <w:kern w:val="0"/>
                <w:szCs w:val="21"/>
              </w:rPr>
              <w:t>一、根据《政府采购促进中小企业发展管理办法》（财库[2020]46号）规定：</w:t>
            </w:r>
          </w:p>
          <w:p w14:paraId="582F45BD">
            <w:pPr>
              <w:spacing w:line="300" w:lineRule="auto"/>
              <w:jc w:val="left"/>
              <w:rPr>
                <w:rFonts w:ascii="宋体" w:hAnsi="宋体" w:cs="宋体"/>
                <w:b/>
                <w:kern w:val="0"/>
                <w:szCs w:val="21"/>
              </w:rPr>
            </w:pPr>
            <w:r>
              <w:rPr>
                <w:rFonts w:hint="eastAsia" w:ascii="宋体" w:hAnsi="宋体" w:cs="宋体"/>
                <w:b/>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16BAC04">
            <w:pPr>
              <w:spacing w:line="300" w:lineRule="auto"/>
              <w:jc w:val="left"/>
              <w:rPr>
                <w:rFonts w:ascii="宋体" w:hAnsi="宋体" w:cs="宋体"/>
                <w:b/>
                <w:kern w:val="0"/>
                <w:szCs w:val="21"/>
              </w:rPr>
            </w:pPr>
            <w:r>
              <w:rPr>
                <w:rFonts w:hint="eastAsia" w:ascii="宋体" w:hAnsi="宋体" w:cs="宋体"/>
                <w:b/>
                <w:kern w:val="0"/>
                <w:szCs w:val="21"/>
              </w:rPr>
              <w:t>符合中小企业划分标准的个体工商户，在政府采购活动中视同中小企业。</w:t>
            </w:r>
          </w:p>
          <w:p w14:paraId="1EEA4C1A">
            <w:pPr>
              <w:spacing w:line="300" w:lineRule="auto"/>
              <w:jc w:val="left"/>
              <w:rPr>
                <w:rFonts w:ascii="宋体" w:hAnsi="宋体" w:cs="宋体"/>
                <w:b/>
                <w:kern w:val="0"/>
                <w:szCs w:val="21"/>
              </w:rPr>
            </w:pPr>
            <w:r>
              <w:rPr>
                <w:rFonts w:hint="eastAsia" w:ascii="宋体" w:hAnsi="宋体" w:cs="宋体"/>
                <w:b/>
                <w:kern w:val="0"/>
                <w:szCs w:val="21"/>
              </w:rPr>
              <w:t>2.在政府采购活动中，供应商提供的货物、工程或者服务符合下列情形的，享受本办法规定的中小企业扶持政策：</w:t>
            </w:r>
          </w:p>
          <w:p w14:paraId="6B94C9F4">
            <w:pPr>
              <w:spacing w:line="300" w:lineRule="auto"/>
              <w:jc w:val="left"/>
              <w:rPr>
                <w:rFonts w:ascii="宋体" w:hAnsi="宋体" w:cs="宋体"/>
                <w:b/>
                <w:kern w:val="0"/>
                <w:szCs w:val="21"/>
              </w:rPr>
            </w:pPr>
            <w:r>
              <w:rPr>
                <w:rFonts w:hint="eastAsia" w:ascii="宋体" w:hAnsi="宋体" w:cs="宋体"/>
                <w:b/>
                <w:kern w:val="0"/>
                <w:szCs w:val="21"/>
              </w:rPr>
              <w:t xml:space="preserve">（1）在货物采购项目中，货物由中小企业制造，即货物由中小企业生产且使用该中小企业商号或者注册商标； </w:t>
            </w:r>
          </w:p>
          <w:p w14:paraId="4848A834">
            <w:pPr>
              <w:spacing w:line="300" w:lineRule="auto"/>
              <w:jc w:val="left"/>
              <w:rPr>
                <w:rFonts w:ascii="宋体" w:hAnsi="宋体" w:cs="宋体"/>
                <w:b/>
                <w:kern w:val="0"/>
                <w:szCs w:val="21"/>
              </w:rPr>
            </w:pPr>
            <w:r>
              <w:rPr>
                <w:rFonts w:hint="eastAsia" w:ascii="宋体" w:hAnsi="宋体" w:cs="宋体"/>
                <w:b/>
                <w:kern w:val="0"/>
                <w:szCs w:val="21"/>
              </w:rPr>
              <w:t xml:space="preserve">（2）在工程采购项目中，工程由中小企业承建，即工程施工单位为中小企业； </w:t>
            </w:r>
          </w:p>
          <w:p w14:paraId="5E16F431">
            <w:pPr>
              <w:spacing w:line="300" w:lineRule="auto"/>
              <w:jc w:val="left"/>
              <w:rPr>
                <w:rFonts w:ascii="宋体" w:hAnsi="宋体" w:cs="宋体"/>
                <w:b/>
                <w:kern w:val="0"/>
                <w:szCs w:val="21"/>
              </w:rPr>
            </w:pPr>
            <w:r>
              <w:rPr>
                <w:rFonts w:hint="eastAsia" w:ascii="宋体" w:hAnsi="宋体" w:cs="宋体"/>
                <w:b/>
                <w:kern w:val="0"/>
                <w:szCs w:val="21"/>
              </w:rPr>
              <w:t>（3）在服务采购项目中，服务由中小企业承接，即提供服务的人员为中小企业依照《中华人民共和国劳动</w:t>
            </w:r>
            <w:r>
              <w:rPr>
                <w:rFonts w:hint="eastAsia" w:ascii="宋体" w:hAnsi="宋体" w:cs="宋体"/>
                <w:b/>
                <w:kern w:val="0"/>
                <w:szCs w:val="21"/>
                <w:lang w:val="en-US" w:eastAsia="zh-CN"/>
              </w:rPr>
              <w:t>民法典</w:t>
            </w:r>
            <w:r>
              <w:rPr>
                <w:rFonts w:hint="eastAsia" w:ascii="宋体" w:hAnsi="宋体" w:cs="宋体"/>
                <w:b/>
                <w:kern w:val="0"/>
                <w:szCs w:val="21"/>
              </w:rPr>
              <w:t xml:space="preserve">》订立劳动合同的从业人员。 </w:t>
            </w:r>
          </w:p>
          <w:p w14:paraId="7819AC4A">
            <w:pPr>
              <w:spacing w:line="300" w:lineRule="auto"/>
              <w:jc w:val="left"/>
              <w:rPr>
                <w:rFonts w:ascii="宋体" w:hAnsi="宋体" w:cs="宋体"/>
                <w:b/>
                <w:kern w:val="0"/>
                <w:szCs w:val="21"/>
              </w:rPr>
            </w:pPr>
            <w:r>
              <w:rPr>
                <w:rFonts w:hint="eastAsia" w:ascii="宋体" w:hAnsi="宋体" w:cs="宋体"/>
                <w:b/>
                <w:kern w:val="0"/>
                <w:szCs w:val="21"/>
              </w:rPr>
              <w:t xml:space="preserve">在货物采购项目中，供应商提供的货物既有中小企业制造货物，也有大型企业制造货物的，不享受本办法规定的中小企业扶持政策。 </w:t>
            </w:r>
          </w:p>
          <w:p w14:paraId="08AA6355">
            <w:pPr>
              <w:spacing w:line="300" w:lineRule="auto"/>
              <w:jc w:val="left"/>
              <w:rPr>
                <w:rFonts w:hint="eastAsia"/>
              </w:rPr>
            </w:pPr>
            <w:r>
              <w:rPr>
                <w:rFonts w:hint="eastAsia" w:ascii="宋体" w:hAnsi="宋体" w:cs="宋体"/>
                <w:b/>
                <w:kern w:val="0"/>
                <w:szCs w:val="21"/>
              </w:rPr>
              <w:t>3.在政府采购活动中，监狱企业、残疾人福利性单位视同小型、微型企业，享受本办法规定的中小企业扶持政策；监狱企业、残疾人福利性单位属于小型、微型企业的，不重复享受政策。</w:t>
            </w:r>
          </w:p>
          <w:p w14:paraId="42B0E04E">
            <w:pPr>
              <w:rPr>
                <w:rFonts w:ascii="宋体" w:hAnsi="宋体"/>
                <w:b/>
                <w:bCs/>
              </w:rPr>
            </w:pPr>
            <w:r>
              <w:rPr>
                <w:rFonts w:hint="eastAsia" w:ascii="宋体" w:hAnsi="宋体"/>
                <w:b/>
                <w:bCs/>
                <w:lang w:eastAsia="zh-CN"/>
              </w:rPr>
              <w:t>二、</w:t>
            </w:r>
            <w:r>
              <w:rPr>
                <w:rFonts w:hint="eastAsia" w:ascii="宋体" w:hAnsi="宋体"/>
                <w:b/>
                <w:bCs/>
              </w:rPr>
              <w:t>本项目中小企业扶持政策：</w:t>
            </w:r>
          </w:p>
          <w:p w14:paraId="7D6E24E4">
            <w:pPr>
              <w:rPr>
                <w:rFonts w:ascii="宋体" w:hAnsi="宋体"/>
                <w:b/>
                <w:bCs/>
              </w:rPr>
            </w:pPr>
            <w:r>
              <w:rPr>
                <w:rFonts w:hint="eastAsia" w:ascii="宋体" w:hAnsi="宋体"/>
                <w:b/>
                <w:bCs/>
              </w:rPr>
              <w:t>1.【评审中价格扣除政策】本项目对符合本办法规定的小微企业报价给予10%的扣除，用扣除后的价格参加评审：</w:t>
            </w:r>
          </w:p>
          <w:p w14:paraId="56C205E1">
            <w:pPr>
              <w:rPr>
                <w:rFonts w:ascii="宋体" w:hAnsi="宋体"/>
                <w:b/>
                <w:bCs/>
              </w:rPr>
            </w:pPr>
            <w:r>
              <w:rPr>
                <w:rFonts w:hint="eastAsia" w:ascii="宋体" w:hAnsi="宋体"/>
                <w:b/>
                <w:bCs/>
              </w:rPr>
              <w:t>（1）小微企业须提供《中小企业声明函》，附在报价文件内，否则不享受评审中价格扣除政策；</w:t>
            </w:r>
          </w:p>
          <w:p w14:paraId="5FE4D937">
            <w:pPr>
              <w:rPr>
                <w:rFonts w:ascii="宋体" w:hAnsi="宋体"/>
                <w:b/>
                <w:bCs/>
              </w:rPr>
            </w:pPr>
            <w:r>
              <w:rPr>
                <w:rFonts w:hint="eastAsia" w:ascii="宋体" w:hAnsi="宋体"/>
                <w:b/>
                <w:bCs/>
              </w:rPr>
              <w:t>（2）监狱企业须提供由省级以上监狱管理局、戒毒管理局（含新疆生产建设兵团）出具的属于监狱企业的证明文件，附在报价文件内，否则不享受评审中价格扣除政策；</w:t>
            </w:r>
          </w:p>
          <w:p w14:paraId="669F5A78">
            <w:pPr>
              <w:rPr>
                <w:rFonts w:hint="eastAsia"/>
              </w:rPr>
            </w:pPr>
            <w:r>
              <w:rPr>
                <w:rFonts w:hint="eastAsia" w:ascii="宋体" w:hAnsi="宋体"/>
                <w:b/>
                <w:bCs/>
              </w:rPr>
              <w:t>（3）残疾人福利性单位须提供《残疾人福利性单位声明函》，附在报价文件内，否则不享受评审中价格扣除政策。</w:t>
            </w:r>
          </w:p>
        </w:tc>
      </w:tr>
      <w:tr w14:paraId="0BB4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277" w:type="pct"/>
            <w:shd w:val="clear" w:color="auto" w:fill="E0E0E0"/>
            <w:vAlign w:val="center"/>
          </w:tcPr>
          <w:p w14:paraId="214576BE">
            <w:pPr>
              <w:spacing w:line="360" w:lineRule="auto"/>
              <w:jc w:val="center"/>
              <w:rPr>
                <w:rFonts w:ascii="宋体" w:hAnsi="宋体"/>
                <w:b/>
                <w:szCs w:val="21"/>
              </w:rPr>
            </w:pPr>
            <w:r>
              <w:rPr>
                <w:rFonts w:hint="eastAsia" w:ascii="宋体" w:hAnsi="宋体"/>
                <w:b/>
                <w:szCs w:val="21"/>
              </w:rPr>
              <w:t>20</w:t>
            </w:r>
          </w:p>
        </w:tc>
        <w:tc>
          <w:tcPr>
            <w:tcW w:w="677" w:type="pct"/>
            <w:shd w:val="clear" w:color="auto" w:fill="E0E0E0"/>
            <w:vAlign w:val="center"/>
          </w:tcPr>
          <w:p w14:paraId="57BE65D7">
            <w:pPr>
              <w:snapToGrid w:val="0"/>
              <w:spacing w:line="360" w:lineRule="auto"/>
              <w:ind w:firstLine="422" w:firstLineChars="200"/>
              <w:rPr>
                <w:rFonts w:ascii="宋体" w:hAnsi="宋体"/>
                <w:b/>
                <w:szCs w:val="21"/>
              </w:rPr>
            </w:pPr>
            <w:r>
              <w:rPr>
                <w:rFonts w:hint="eastAsia" w:ascii="宋体" w:hAnsi="宋体"/>
                <w:b/>
                <w:szCs w:val="21"/>
              </w:rPr>
              <w:t>分包</w:t>
            </w:r>
          </w:p>
        </w:tc>
        <w:tc>
          <w:tcPr>
            <w:tcW w:w="4013" w:type="pct"/>
            <w:gridSpan w:val="3"/>
            <w:shd w:val="clear" w:color="auto" w:fill="FFFFFF"/>
            <w:vAlign w:val="center"/>
          </w:tcPr>
          <w:p w14:paraId="74387E76">
            <w:pPr>
              <w:spacing w:line="400" w:lineRule="exact"/>
              <w:rPr>
                <w:rFonts w:ascii="宋体" w:hAnsi="宋体" w:cs="宋体"/>
                <w:szCs w:val="21"/>
              </w:rPr>
            </w:pPr>
            <w:r>
              <w:rPr>
                <w:rFonts w:hint="eastAsia" w:ascii="宋体" w:hAnsi="宋体" w:cs="宋体"/>
                <w:kern w:val="0"/>
                <w:szCs w:val="21"/>
              </w:rPr>
              <w:t>☐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7DE1ECB7">
            <w:pPr>
              <w:spacing w:line="400" w:lineRule="exact"/>
              <w:rPr>
                <w:rFonts w:ascii="Times New Roman" w:hAnsi="Times New Roman"/>
              </w:rPr>
            </w:pPr>
            <w:r>
              <w:rPr>
                <w:rFonts w:hint="eastAsia" w:ascii="宋体" w:hAnsi="宋体" w:cs="宋体"/>
                <w:kern w:val="0"/>
                <w:szCs w:val="21"/>
              </w:rPr>
              <w:sym w:font="Wingdings" w:char="F0FE"/>
            </w:r>
            <w:r>
              <w:rPr>
                <w:rFonts w:hint="eastAsia" w:ascii="宋体" w:hAnsi="宋体" w:cs="宋体"/>
                <w:b/>
                <w:bCs/>
                <w:kern w:val="0"/>
                <w:szCs w:val="21"/>
              </w:rPr>
              <w:t xml:space="preserve"> B</w:t>
            </w:r>
            <w:r>
              <w:rPr>
                <w:rFonts w:hint="eastAsia" w:ascii="宋体" w:hAnsi="宋体" w:cs="宋体"/>
                <w:b/>
                <w:bCs/>
                <w:szCs w:val="21"/>
              </w:rPr>
              <w:t>不同意分包</w:t>
            </w:r>
            <w:r>
              <w:rPr>
                <w:rFonts w:hint="eastAsia" w:ascii="宋体" w:hAnsi="宋体" w:cs="宋体"/>
                <w:szCs w:val="21"/>
              </w:rPr>
              <w:t>。</w:t>
            </w:r>
          </w:p>
        </w:tc>
      </w:tr>
      <w:tr w14:paraId="196D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31" w:hRule="atLeast"/>
          <w:tblCellSpacing w:w="7" w:type="dxa"/>
          <w:jc w:val="center"/>
        </w:trPr>
        <w:tc>
          <w:tcPr>
            <w:tcW w:w="277" w:type="pct"/>
            <w:shd w:val="clear" w:color="auto" w:fill="E0E0E0"/>
            <w:vAlign w:val="center"/>
          </w:tcPr>
          <w:p w14:paraId="07FCB308">
            <w:pPr>
              <w:spacing w:line="360" w:lineRule="auto"/>
              <w:jc w:val="center"/>
              <w:rPr>
                <w:rFonts w:hint="eastAsia" w:ascii="宋体" w:hAnsi="宋体" w:eastAsia="宋体"/>
                <w:b/>
                <w:szCs w:val="21"/>
                <w:lang w:val="en-US" w:eastAsia="zh-CN"/>
              </w:rPr>
            </w:pPr>
            <w:r>
              <w:rPr>
                <w:rFonts w:hint="eastAsia" w:ascii="宋体" w:hAnsi="宋体"/>
                <w:b/>
                <w:szCs w:val="21"/>
              </w:rPr>
              <w:t>2</w:t>
            </w:r>
            <w:r>
              <w:rPr>
                <w:rFonts w:hint="eastAsia" w:ascii="宋体" w:hAnsi="宋体"/>
                <w:b/>
                <w:szCs w:val="21"/>
                <w:lang w:val="en-US" w:eastAsia="zh-CN"/>
              </w:rPr>
              <w:t>1</w:t>
            </w:r>
          </w:p>
        </w:tc>
        <w:tc>
          <w:tcPr>
            <w:tcW w:w="677" w:type="pct"/>
            <w:shd w:val="clear" w:color="auto" w:fill="E0E0E0"/>
            <w:vAlign w:val="center"/>
          </w:tcPr>
          <w:p w14:paraId="59759C27">
            <w:pPr>
              <w:adjustRightInd w:val="0"/>
              <w:snapToGrid w:val="0"/>
              <w:jc w:val="center"/>
              <w:rPr>
                <w:rFonts w:ascii="宋体" w:hAnsi="宋体"/>
                <w:b/>
                <w:szCs w:val="21"/>
              </w:rPr>
            </w:pPr>
            <w:r>
              <w:rPr>
                <w:rFonts w:hint="eastAsia" w:ascii="宋体" w:hAnsi="宋体"/>
                <w:b/>
                <w:szCs w:val="21"/>
              </w:rPr>
              <w:t>是否允许采购进口产品</w:t>
            </w:r>
          </w:p>
        </w:tc>
        <w:tc>
          <w:tcPr>
            <w:tcW w:w="4013" w:type="pct"/>
            <w:gridSpan w:val="3"/>
            <w:shd w:val="clear" w:color="auto" w:fill="FFFFFF"/>
            <w:vAlign w:val="center"/>
          </w:tcPr>
          <w:p w14:paraId="522EF974">
            <w:pPr>
              <w:snapToGrid w:val="0"/>
              <w:rPr>
                <w:rFonts w:ascii="宋体" w:hAnsi="宋体" w:cs="宋体"/>
                <w:kern w:val="0"/>
                <w:szCs w:val="21"/>
              </w:rPr>
            </w:pPr>
            <w:r>
              <w:rPr>
                <w:rFonts w:ascii="Wingdings" w:hAnsi="Wingdings" w:cs="宋体"/>
                <w:b/>
                <w:bCs/>
                <w:kern w:val="0"/>
                <w:szCs w:val="21"/>
              </w:rPr>
              <w:t></w:t>
            </w:r>
            <w:r>
              <w:rPr>
                <w:rFonts w:hint="eastAsia" w:ascii="宋体" w:hAnsi="宋体" w:cs="宋体"/>
                <w:b/>
                <w:bCs/>
                <w:kern w:val="0"/>
                <w:szCs w:val="21"/>
              </w:rPr>
              <w:t>本项目不允许采购进口产品</w:t>
            </w:r>
            <w:r>
              <w:rPr>
                <w:rFonts w:hint="eastAsia" w:ascii="宋体" w:hAnsi="宋体" w:cs="宋体"/>
                <w:kern w:val="0"/>
                <w:szCs w:val="21"/>
              </w:rPr>
              <w:t>。</w:t>
            </w:r>
          </w:p>
          <w:p w14:paraId="16590C60">
            <w:pPr>
              <w:snapToGrid w:val="0"/>
              <w:rPr>
                <w:rFonts w:ascii="Times New Roman" w:hAnsi="Times New Roman"/>
              </w:rPr>
            </w:pPr>
            <w:r>
              <w:rPr>
                <w:rFonts w:hint="eastAsia" w:ascii="宋体" w:hAnsi="宋体" w:cs="宋体"/>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0B5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9" w:hRule="atLeast"/>
          <w:tblCellSpacing w:w="7" w:type="dxa"/>
          <w:jc w:val="center"/>
        </w:trPr>
        <w:tc>
          <w:tcPr>
            <w:tcW w:w="277" w:type="pct"/>
            <w:shd w:val="clear" w:color="auto" w:fill="E0E0E0"/>
            <w:vAlign w:val="center"/>
          </w:tcPr>
          <w:p w14:paraId="21AF929C">
            <w:pPr>
              <w:spacing w:line="360" w:lineRule="auto"/>
              <w:jc w:val="center"/>
              <w:rPr>
                <w:rFonts w:hint="eastAsia" w:ascii="宋体" w:hAnsi="宋体" w:eastAsia="宋体"/>
                <w:b/>
                <w:szCs w:val="21"/>
                <w:lang w:val="en-US" w:eastAsia="zh-CN"/>
              </w:rPr>
            </w:pPr>
            <w:r>
              <w:rPr>
                <w:rFonts w:hint="eastAsia" w:ascii="宋体" w:hAnsi="宋体"/>
                <w:b/>
                <w:szCs w:val="21"/>
              </w:rPr>
              <w:t>2</w:t>
            </w:r>
            <w:r>
              <w:rPr>
                <w:rFonts w:hint="eastAsia" w:ascii="宋体" w:hAnsi="宋体"/>
                <w:b/>
                <w:szCs w:val="21"/>
                <w:lang w:val="en-US" w:eastAsia="zh-CN"/>
              </w:rPr>
              <w:t>2</w:t>
            </w:r>
          </w:p>
        </w:tc>
        <w:tc>
          <w:tcPr>
            <w:tcW w:w="677" w:type="pct"/>
            <w:shd w:val="clear" w:color="auto" w:fill="E0E0E0"/>
            <w:vAlign w:val="center"/>
          </w:tcPr>
          <w:p w14:paraId="29C495D7">
            <w:pPr>
              <w:adjustRightInd w:val="0"/>
              <w:snapToGrid w:val="0"/>
              <w:jc w:val="center"/>
              <w:rPr>
                <w:rFonts w:ascii="宋体" w:hAnsi="宋体"/>
                <w:b/>
                <w:szCs w:val="21"/>
              </w:rPr>
            </w:pPr>
            <w:r>
              <w:rPr>
                <w:rFonts w:hint="eastAsia" w:ascii="宋体" w:hAnsi="宋体"/>
                <w:b/>
                <w:szCs w:val="21"/>
              </w:rPr>
              <w:t>项目属性与核心产品</w:t>
            </w:r>
          </w:p>
        </w:tc>
        <w:tc>
          <w:tcPr>
            <w:tcW w:w="4013" w:type="pct"/>
            <w:gridSpan w:val="3"/>
            <w:shd w:val="clear" w:color="auto" w:fill="FFFFFF"/>
            <w:vAlign w:val="center"/>
          </w:tcPr>
          <w:p w14:paraId="6FD20708">
            <w:pPr>
              <w:snapToGrid w:val="0"/>
              <w:rPr>
                <w:rFonts w:hint="default" w:ascii="宋体" w:hAnsi="宋体" w:cs="宋体"/>
                <w:color w:val="C00000"/>
                <w:kern w:val="0"/>
                <w:szCs w:val="21"/>
                <w:lang w:val="en-US" w:eastAsia="zh-CN"/>
              </w:rPr>
            </w:pPr>
            <w:r>
              <w:rPr>
                <w:rFonts w:ascii="Wingdings" w:hAnsi="Wingdings" w:cs="宋体"/>
                <w:b/>
                <w:bCs/>
                <w:kern w:val="0"/>
                <w:szCs w:val="21"/>
              </w:rPr>
              <w:sym w:font="Wingdings" w:char="00FE"/>
            </w:r>
            <w:r>
              <w:rPr>
                <w:rFonts w:hint="eastAsia" w:ascii="宋体" w:hAnsi="宋体" w:cs="宋体"/>
                <w:kern w:val="0"/>
                <w:szCs w:val="21"/>
              </w:rPr>
              <w:t>A</w:t>
            </w:r>
            <w:r>
              <w:rPr>
                <w:rFonts w:hint="eastAsia" w:ascii="宋体" w:hAnsi="宋体" w:cs="宋体"/>
                <w:szCs w:val="21"/>
              </w:rPr>
              <w:t>货物类，单一产品或</w:t>
            </w:r>
            <w:r>
              <w:rPr>
                <w:rFonts w:hint="eastAsia" w:ascii="宋体" w:hAnsi="宋体" w:cs="宋体"/>
                <w:kern w:val="0"/>
                <w:szCs w:val="21"/>
              </w:rPr>
              <w:t>核心产品为：</w:t>
            </w:r>
            <w:r>
              <w:rPr>
                <w:rFonts w:hint="eastAsia" w:ascii="宋体" w:hAnsi="宋体" w:eastAsia="宋体" w:cs="宋体"/>
                <w:i w:val="0"/>
                <w:iCs w:val="0"/>
                <w:color w:val="000000"/>
                <w:kern w:val="0"/>
                <w:sz w:val="21"/>
                <w:szCs w:val="21"/>
                <w:u w:val="none"/>
                <w:lang w:val="en-US" w:eastAsia="zh-CN" w:bidi="ar"/>
              </w:rPr>
              <w:t>全数字化便携彩色多普勒超声诊断系统</w:t>
            </w:r>
            <w:r>
              <w:rPr>
                <w:rFonts w:hint="eastAsia" w:ascii="宋体" w:hAnsi="宋体" w:cs="宋体"/>
                <w:i w:val="0"/>
                <w:iCs w:val="0"/>
                <w:color w:val="000000"/>
                <w:kern w:val="0"/>
                <w:sz w:val="21"/>
                <w:szCs w:val="21"/>
                <w:u w:val="none"/>
                <w:lang w:val="en-US" w:eastAsia="zh-CN" w:bidi="ar"/>
              </w:rPr>
              <w:t>。</w:t>
            </w:r>
            <w:r>
              <w:rPr>
                <w:rFonts w:hint="eastAsia" w:ascii="宋体" w:hAnsi="宋体" w:cs="宋体"/>
                <w:color w:val="C00000"/>
                <w:kern w:val="0"/>
                <w:szCs w:val="21"/>
                <w:lang w:val="en-US" w:eastAsia="zh-CN"/>
              </w:rPr>
              <w:t xml:space="preserve"> </w:t>
            </w:r>
          </w:p>
          <w:p w14:paraId="26BD9D3B">
            <w:pPr>
              <w:snapToGrid w:val="0"/>
            </w:pPr>
            <w:r>
              <w:rPr>
                <w:rFonts w:ascii="Wingdings" w:hAnsi="Wingdings" w:cs="宋体"/>
                <w:kern w:val="0"/>
                <w:szCs w:val="21"/>
              </w:rPr>
              <w:sym w:font="Wingdings" w:char="00A8"/>
            </w:r>
            <w:r>
              <w:rPr>
                <w:rFonts w:hint="eastAsia" w:ascii="宋体" w:hAnsi="宋体" w:cs="宋体"/>
                <w:kern w:val="0"/>
                <w:szCs w:val="21"/>
              </w:rPr>
              <w:t>B</w:t>
            </w:r>
            <w:r>
              <w:rPr>
                <w:rFonts w:hint="eastAsia" w:ascii="宋体" w:hAnsi="宋体" w:cs="宋体"/>
                <w:b/>
                <w:bCs/>
                <w:szCs w:val="21"/>
              </w:rPr>
              <w:t>服务类</w:t>
            </w:r>
            <w:r>
              <w:rPr>
                <w:rFonts w:hint="eastAsia" w:ascii="宋体" w:hAnsi="宋体" w:cs="宋体"/>
                <w:szCs w:val="21"/>
              </w:rPr>
              <w:t>。</w:t>
            </w:r>
          </w:p>
        </w:tc>
      </w:tr>
      <w:tr w14:paraId="7675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8" w:hRule="atLeast"/>
          <w:tblCellSpacing w:w="7" w:type="dxa"/>
          <w:jc w:val="center"/>
        </w:trPr>
        <w:tc>
          <w:tcPr>
            <w:tcW w:w="277" w:type="pct"/>
            <w:shd w:val="clear" w:color="auto" w:fill="E0E0E0"/>
            <w:vAlign w:val="center"/>
          </w:tcPr>
          <w:p w14:paraId="4B03DA5F">
            <w:pPr>
              <w:spacing w:line="360" w:lineRule="auto"/>
              <w:jc w:val="center"/>
              <w:rPr>
                <w:rFonts w:hint="eastAsia" w:ascii="宋体" w:hAnsi="宋体" w:eastAsia="宋体"/>
                <w:b/>
                <w:szCs w:val="21"/>
                <w:lang w:val="en-US" w:eastAsia="zh-CN"/>
              </w:rPr>
            </w:pPr>
            <w:r>
              <w:rPr>
                <w:rFonts w:hint="eastAsia" w:ascii="宋体" w:hAnsi="宋体"/>
                <w:b/>
                <w:szCs w:val="21"/>
              </w:rPr>
              <w:t>2</w:t>
            </w:r>
            <w:r>
              <w:rPr>
                <w:rFonts w:hint="eastAsia" w:ascii="宋体" w:hAnsi="宋体"/>
                <w:b/>
                <w:szCs w:val="21"/>
                <w:lang w:val="en-US" w:eastAsia="zh-CN"/>
              </w:rPr>
              <w:t>3</w:t>
            </w:r>
          </w:p>
        </w:tc>
        <w:tc>
          <w:tcPr>
            <w:tcW w:w="677" w:type="pct"/>
            <w:shd w:val="clear" w:color="auto" w:fill="E0E0E0"/>
            <w:vAlign w:val="center"/>
          </w:tcPr>
          <w:p w14:paraId="2E62282A">
            <w:pPr>
              <w:jc w:val="center"/>
              <w:rPr>
                <w:rFonts w:ascii="宋体" w:hAnsi="宋体"/>
                <w:b/>
                <w:szCs w:val="21"/>
              </w:rPr>
            </w:pPr>
            <w:r>
              <w:rPr>
                <w:rFonts w:hint="eastAsia" w:ascii="宋体" w:hAnsi="宋体"/>
                <w:b/>
                <w:szCs w:val="21"/>
              </w:rPr>
              <w:t>采购标的对应的中小企业划分标准所属行业</w:t>
            </w:r>
          </w:p>
        </w:tc>
        <w:tc>
          <w:tcPr>
            <w:tcW w:w="4013" w:type="pct"/>
            <w:gridSpan w:val="3"/>
            <w:shd w:val="clear" w:color="auto" w:fill="FFFFFF"/>
            <w:vAlign w:val="center"/>
          </w:tcPr>
          <w:p w14:paraId="7BC75A33">
            <w:pPr>
              <w:adjustRightInd w:val="0"/>
              <w:snapToGrid w:val="0"/>
              <w:jc w:val="left"/>
              <w:rPr>
                <w:szCs w:val="21"/>
              </w:rPr>
            </w:pPr>
            <w:r>
              <w:rPr>
                <w:rFonts w:hint="eastAsia"/>
              </w:rPr>
              <w:t>所属行业：工业</w:t>
            </w:r>
          </w:p>
        </w:tc>
      </w:tr>
    </w:tbl>
    <w:p w14:paraId="7716AAEE">
      <w:pPr>
        <w:pStyle w:val="39"/>
        <w:snapToGrid w:val="0"/>
        <w:spacing w:before="120" w:after="120"/>
        <w:ind w:firstLine="3935" w:firstLineChars="1400"/>
        <w:rPr>
          <w:rFonts w:hAnsi="宋体" w:eastAsia="宋体"/>
          <w:b/>
          <w:bCs/>
          <w:sz w:val="28"/>
        </w:rPr>
      </w:pPr>
    </w:p>
    <w:p w14:paraId="1D04DD30">
      <w:pPr>
        <w:pStyle w:val="39"/>
        <w:snapToGrid w:val="0"/>
        <w:spacing w:before="120" w:after="120"/>
        <w:ind w:firstLine="3935" w:firstLineChars="1400"/>
        <w:rPr>
          <w:rFonts w:hAnsi="宋体" w:eastAsia="宋体"/>
          <w:b/>
          <w:bCs/>
          <w:sz w:val="28"/>
        </w:rPr>
      </w:pPr>
    </w:p>
    <w:p w14:paraId="313351C9">
      <w:pPr>
        <w:pStyle w:val="39"/>
        <w:snapToGrid w:val="0"/>
        <w:spacing w:before="120" w:after="120"/>
        <w:ind w:firstLine="3935" w:firstLineChars="1400"/>
        <w:rPr>
          <w:rFonts w:hAnsi="宋体" w:eastAsia="宋体"/>
          <w:b/>
          <w:bCs/>
          <w:sz w:val="28"/>
        </w:rPr>
      </w:pPr>
      <w:r>
        <w:rPr>
          <w:rFonts w:hAnsi="宋体" w:eastAsia="宋体"/>
          <w:b/>
          <w:bCs/>
          <w:sz w:val="28"/>
        </w:rPr>
        <w:t>一</w:t>
      </w:r>
      <w:r>
        <w:rPr>
          <w:rFonts w:hint="eastAsia" w:hAnsi="宋体" w:eastAsia="宋体"/>
          <w:b/>
          <w:bCs/>
          <w:sz w:val="28"/>
        </w:rPr>
        <w:t>、</w:t>
      </w:r>
      <w:r>
        <w:rPr>
          <w:rFonts w:hAnsi="宋体" w:eastAsia="宋体"/>
          <w:b/>
          <w:bCs/>
          <w:sz w:val="28"/>
        </w:rPr>
        <w:t>总则</w:t>
      </w:r>
    </w:p>
    <w:p w14:paraId="3EB93391">
      <w:pPr>
        <w:pStyle w:val="39"/>
        <w:snapToGrid w:val="0"/>
        <w:spacing w:before="120" w:after="120" w:line="360" w:lineRule="auto"/>
        <w:ind w:firstLine="422" w:firstLineChars="200"/>
        <w:rPr>
          <w:rFonts w:hAnsi="宋体" w:eastAsia="宋体"/>
          <w:b/>
          <w:bCs/>
          <w:sz w:val="21"/>
        </w:rPr>
      </w:pPr>
      <w:r>
        <w:rPr>
          <w:rFonts w:hAnsi="宋体" w:eastAsia="宋体"/>
          <w:b/>
          <w:bCs/>
          <w:sz w:val="21"/>
        </w:rPr>
        <w:t>（一）适用范围</w:t>
      </w:r>
    </w:p>
    <w:p w14:paraId="42D3B371">
      <w:pPr>
        <w:snapToGrid w:val="0"/>
        <w:spacing w:line="360" w:lineRule="auto"/>
        <w:ind w:right="-506" w:rightChars="-241" w:firstLine="420" w:firstLineChars="200"/>
        <w:jc w:val="left"/>
        <w:rPr>
          <w:rFonts w:ascii="宋体" w:hAnsi="宋体"/>
        </w:rPr>
      </w:pPr>
      <w:r>
        <w:rPr>
          <w:rFonts w:ascii="宋体" w:hAnsi="宋体"/>
        </w:rPr>
        <w:t>本</w:t>
      </w:r>
      <w:r>
        <w:rPr>
          <w:rFonts w:hint="eastAsia" w:ascii="宋体" w:hAnsi="宋体"/>
        </w:rPr>
        <w:t>采购</w:t>
      </w:r>
      <w:r>
        <w:rPr>
          <w:rFonts w:ascii="宋体" w:hAnsi="宋体"/>
        </w:rPr>
        <w:t>文件适用于</w:t>
      </w:r>
      <w:r>
        <w:rPr>
          <w:rFonts w:hint="eastAsia" w:ascii="宋体" w:hAnsi="宋体"/>
          <w:u w:val="single"/>
          <w:lang w:eastAsia="zh-CN"/>
        </w:rPr>
        <w:t>岱山县看守所正规化项目-体检中心部分设备采购项目(智能化建设）</w:t>
      </w:r>
      <w:r>
        <w:rPr>
          <w:rFonts w:ascii="宋体" w:hAnsi="宋体"/>
        </w:rPr>
        <w:t>的招标、投标、评标、定标、验收、合同履约、付款等行为（法律、法规另有规定的，从其规定）。</w:t>
      </w:r>
    </w:p>
    <w:p w14:paraId="6DAA5039">
      <w:pPr>
        <w:pStyle w:val="39"/>
        <w:snapToGrid w:val="0"/>
        <w:spacing w:before="120" w:after="120" w:line="360" w:lineRule="auto"/>
        <w:ind w:firstLine="422" w:firstLineChars="200"/>
        <w:rPr>
          <w:rFonts w:hAnsi="宋体" w:eastAsia="宋体"/>
          <w:b/>
          <w:bCs/>
          <w:sz w:val="21"/>
        </w:rPr>
      </w:pPr>
      <w:r>
        <w:rPr>
          <w:rFonts w:hAnsi="宋体" w:eastAsia="宋体"/>
          <w:b/>
          <w:bCs/>
          <w:sz w:val="21"/>
        </w:rPr>
        <w:t>（二）定义</w:t>
      </w:r>
    </w:p>
    <w:p w14:paraId="0B663804">
      <w:pPr>
        <w:snapToGrid w:val="0"/>
        <w:spacing w:line="360" w:lineRule="auto"/>
        <w:ind w:right="-506" w:rightChars="-241" w:firstLine="420" w:firstLineChars="200"/>
        <w:jc w:val="left"/>
        <w:rPr>
          <w:rFonts w:ascii="宋体" w:hAnsi="宋体"/>
          <w:szCs w:val="21"/>
        </w:rPr>
      </w:pPr>
      <w:r>
        <w:rPr>
          <w:rFonts w:ascii="宋体" w:hAnsi="宋体"/>
          <w:szCs w:val="21"/>
        </w:rPr>
        <w:t>1.招标采购单位系指采购单位。</w:t>
      </w:r>
    </w:p>
    <w:p w14:paraId="1D91712D">
      <w:pPr>
        <w:snapToGrid w:val="0"/>
        <w:spacing w:line="360" w:lineRule="auto"/>
        <w:ind w:right="-506" w:rightChars="-241" w:firstLine="420" w:firstLineChars="200"/>
        <w:jc w:val="left"/>
      </w:pPr>
      <w:r>
        <w:rPr>
          <w:rFonts w:hint="eastAsia" w:ascii="宋体" w:hAnsi="宋体"/>
          <w:color w:val="000000"/>
          <w:szCs w:val="21"/>
        </w:rPr>
        <w:t>2.代理机构系指组织本次公开采购，是整个采购活动的组织者，并依法负责编制采购文件。</w:t>
      </w:r>
    </w:p>
    <w:p w14:paraId="74B0DB51">
      <w:pPr>
        <w:snapToGrid w:val="0"/>
        <w:spacing w:line="360" w:lineRule="auto"/>
        <w:ind w:right="-506" w:rightChars="-241" w:firstLine="420" w:firstLineChars="200"/>
        <w:jc w:val="lef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投标人</w:t>
      </w:r>
      <w:r>
        <w:rPr>
          <w:rFonts w:ascii="宋体" w:hAnsi="宋体"/>
          <w:szCs w:val="21"/>
        </w:rPr>
        <w:t>”</w:t>
      </w:r>
      <w:r>
        <w:rPr>
          <w:rFonts w:hint="eastAsia" w:ascii="宋体" w:hAnsi="宋体"/>
          <w:szCs w:val="21"/>
        </w:rPr>
        <w:t>“供应商”</w:t>
      </w:r>
      <w:r>
        <w:rPr>
          <w:rFonts w:ascii="宋体" w:hAnsi="宋体"/>
          <w:szCs w:val="21"/>
        </w:rPr>
        <w:t>系指向</w:t>
      </w:r>
      <w:r>
        <w:rPr>
          <w:rFonts w:hint="eastAsia" w:ascii="宋体" w:hAnsi="宋体"/>
          <w:szCs w:val="21"/>
        </w:rPr>
        <w:t>采购人</w:t>
      </w:r>
      <w:r>
        <w:rPr>
          <w:rFonts w:ascii="宋体" w:hAnsi="宋体"/>
          <w:szCs w:val="21"/>
        </w:rPr>
        <w:t>提交</w:t>
      </w:r>
      <w:r>
        <w:rPr>
          <w:rFonts w:hint="eastAsia" w:ascii="宋体" w:hAnsi="宋体"/>
          <w:szCs w:val="21"/>
        </w:rPr>
        <w:t>投标响应文件</w:t>
      </w:r>
      <w:r>
        <w:rPr>
          <w:rFonts w:ascii="宋体" w:hAnsi="宋体"/>
          <w:szCs w:val="21"/>
        </w:rPr>
        <w:t>的单位或个人。</w:t>
      </w:r>
    </w:p>
    <w:p w14:paraId="2B3E753D">
      <w:pPr>
        <w:snapToGrid w:val="0"/>
        <w:spacing w:line="360" w:lineRule="auto"/>
        <w:ind w:right="-506" w:rightChars="-241" w:firstLine="420" w:firstLineChars="200"/>
        <w:jc w:val="left"/>
      </w:pPr>
      <w:r>
        <w:rPr>
          <w:rFonts w:hint="eastAsia" w:ascii="宋体" w:hAnsi="宋体"/>
          <w:szCs w:val="21"/>
        </w:rPr>
        <w:t>4</w:t>
      </w:r>
      <w:r>
        <w:rPr>
          <w:rFonts w:ascii="宋体" w:hAnsi="宋体"/>
          <w:szCs w:val="21"/>
        </w:rPr>
        <w:t>.“产品”系指供方按</w:t>
      </w:r>
      <w:r>
        <w:rPr>
          <w:rFonts w:hint="eastAsia" w:ascii="宋体" w:hAnsi="宋体"/>
          <w:szCs w:val="21"/>
        </w:rPr>
        <w:t>采购文件</w:t>
      </w:r>
      <w:r>
        <w:rPr>
          <w:rFonts w:ascii="宋体" w:hAnsi="宋体"/>
          <w:szCs w:val="21"/>
        </w:rPr>
        <w:t>规定，须向采购人提供</w:t>
      </w:r>
      <w:r>
        <w:t>的一切设备、保险、税金、备品备件、工具、手册及其它有关技术资料和材料。</w:t>
      </w:r>
    </w:p>
    <w:p w14:paraId="76725C61">
      <w:pPr>
        <w:snapToGrid w:val="0"/>
        <w:spacing w:line="360" w:lineRule="auto"/>
        <w:ind w:right="-506" w:rightChars="-241" w:firstLine="420" w:firstLineChars="200"/>
        <w:jc w:val="left"/>
      </w:pPr>
      <w:r>
        <w:rPr>
          <w:rFonts w:hint="eastAsia"/>
        </w:rPr>
        <w:t>5</w:t>
      </w:r>
      <w:r>
        <w:t>.“服务”系指</w:t>
      </w:r>
      <w:r>
        <w:rPr>
          <w:rFonts w:hint="eastAsia"/>
        </w:rPr>
        <w:t>采购文件</w:t>
      </w:r>
      <w:r>
        <w:t>规定</w:t>
      </w:r>
      <w:r>
        <w:rPr>
          <w:rFonts w:hint="eastAsia"/>
        </w:rPr>
        <w:t>投标人</w:t>
      </w:r>
      <w:r>
        <w:t>须承担的安装、调试、技术协助、校准、培训、技术指导以及其他类似的义务。</w:t>
      </w:r>
    </w:p>
    <w:p w14:paraId="130AC106">
      <w:pPr>
        <w:snapToGrid w:val="0"/>
        <w:spacing w:line="360" w:lineRule="auto"/>
        <w:ind w:right="-506" w:rightChars="-241" w:firstLine="420" w:firstLineChars="200"/>
        <w:jc w:val="left"/>
      </w:pPr>
      <w:r>
        <w:rPr>
          <w:rFonts w:hint="eastAsia"/>
        </w:rPr>
        <w:t>6</w:t>
      </w:r>
      <w:r>
        <w:t>.“项目”系指</w:t>
      </w:r>
      <w:r>
        <w:rPr>
          <w:rFonts w:hint="eastAsia"/>
        </w:rPr>
        <w:t>投标人</w:t>
      </w:r>
      <w:r>
        <w:t>按</w:t>
      </w:r>
      <w:r>
        <w:rPr>
          <w:rFonts w:hint="eastAsia"/>
        </w:rPr>
        <w:t>采购文件</w:t>
      </w:r>
      <w:r>
        <w:t>规定向采购人提供的产品和服务。</w:t>
      </w:r>
    </w:p>
    <w:p w14:paraId="510D88A7">
      <w:pPr>
        <w:snapToGrid w:val="0"/>
        <w:spacing w:line="360" w:lineRule="auto"/>
        <w:ind w:right="-506" w:rightChars="-241" w:firstLine="420" w:firstLineChars="200"/>
        <w:jc w:val="left"/>
      </w:pPr>
      <w:r>
        <w:rPr>
          <w:rFonts w:hint="eastAsia"/>
        </w:rPr>
        <w:t>7.“中标人”是指经审查通过，并经公示无异议的投标人。</w:t>
      </w:r>
    </w:p>
    <w:p w14:paraId="12FFB7CC">
      <w:pPr>
        <w:snapToGrid w:val="0"/>
        <w:spacing w:line="360" w:lineRule="auto"/>
        <w:ind w:right="-506" w:rightChars="-241" w:firstLine="420" w:firstLineChars="200"/>
        <w:jc w:val="left"/>
        <w:rPr>
          <w:rFonts w:ascii="宋体" w:hAnsi="宋体"/>
          <w:szCs w:val="21"/>
        </w:rPr>
      </w:pPr>
      <w:r>
        <w:rPr>
          <w:rFonts w:hint="eastAsia" w:ascii="宋体" w:hAnsi="宋体"/>
          <w:szCs w:val="21"/>
        </w:rPr>
        <w:t>8</w:t>
      </w:r>
      <w:r>
        <w:rPr>
          <w:rFonts w:ascii="宋体" w:hAnsi="宋体"/>
          <w:szCs w:val="21"/>
        </w:rPr>
        <w:t>.“书面形式”包括信函、传真、电报、电子文档等。</w:t>
      </w:r>
    </w:p>
    <w:p w14:paraId="64B41206">
      <w:pPr>
        <w:snapToGrid w:val="0"/>
        <w:spacing w:line="360" w:lineRule="auto"/>
        <w:ind w:right="-506" w:rightChars="-241" w:firstLine="420" w:firstLineChars="200"/>
        <w:jc w:val="left"/>
        <w:rPr>
          <w:rFonts w:ascii="宋体" w:hAnsi="宋体"/>
          <w:szCs w:val="21"/>
        </w:rPr>
      </w:pPr>
      <w:r>
        <w:rPr>
          <w:rFonts w:hint="eastAsia" w:ascii="宋体" w:hAnsi="宋体"/>
          <w:szCs w:val="21"/>
        </w:rPr>
        <w:t>9</w:t>
      </w:r>
      <w:r>
        <w:rPr>
          <w:rFonts w:ascii="宋体" w:hAnsi="宋体"/>
          <w:szCs w:val="21"/>
        </w:rPr>
        <w:t>.</w:t>
      </w:r>
      <w:r>
        <w:rPr>
          <w:rFonts w:hint="eastAsia" w:ascii="宋体" w:hAnsi="宋体"/>
          <w:b/>
        </w:rPr>
        <w:t>“</w:t>
      </w:r>
      <w:r>
        <w:rPr>
          <w:rFonts w:hint="eastAsia" w:ascii="宋体" w:hAnsi="宋体"/>
          <w:b/>
          <w:szCs w:val="21"/>
        </w:rPr>
        <w:t>▲</w:t>
      </w:r>
      <w:r>
        <w:rPr>
          <w:rFonts w:hint="eastAsia" w:ascii="宋体" w:hAnsi="宋体"/>
          <w:b/>
        </w:rPr>
        <w:t>”</w:t>
      </w:r>
      <w:r>
        <w:rPr>
          <w:rFonts w:hint="eastAsia" w:ascii="宋体" w:hAnsi="宋体"/>
          <w:b/>
          <w:szCs w:val="21"/>
        </w:rPr>
        <w:t>系指实质性</w:t>
      </w:r>
      <w:r>
        <w:rPr>
          <w:rFonts w:hint="eastAsia" w:ascii="宋体" w:hAnsi="宋体"/>
          <w:b/>
        </w:rPr>
        <w:t>要求条款，未响应的作无效标处理。</w:t>
      </w:r>
    </w:p>
    <w:p w14:paraId="67F9C991">
      <w:pPr>
        <w:snapToGrid w:val="0"/>
        <w:spacing w:line="360" w:lineRule="auto"/>
        <w:ind w:firstLine="422" w:firstLineChars="200"/>
        <w:jc w:val="left"/>
        <w:outlineLvl w:val="1"/>
        <w:rPr>
          <w:rFonts w:ascii="宋体" w:hAnsi="宋体" w:cs="Calibri"/>
          <w:b/>
          <w:bCs/>
          <w:szCs w:val="21"/>
        </w:rPr>
      </w:pPr>
      <w:r>
        <w:rPr>
          <w:rFonts w:ascii="宋体" w:hAnsi="宋体" w:cs="Calibri"/>
          <w:b/>
          <w:bCs/>
          <w:szCs w:val="21"/>
        </w:rPr>
        <w:t>（三）采购方式</w:t>
      </w:r>
    </w:p>
    <w:p w14:paraId="44B18DC0">
      <w:pPr>
        <w:snapToGrid w:val="0"/>
        <w:spacing w:line="360" w:lineRule="auto"/>
        <w:ind w:right="-506" w:rightChars="-241" w:firstLine="420" w:firstLineChars="200"/>
        <w:jc w:val="left"/>
        <w:rPr>
          <w:rFonts w:ascii="宋体" w:hAnsi="宋体"/>
          <w:szCs w:val="21"/>
        </w:rPr>
      </w:pPr>
      <w:r>
        <w:rPr>
          <w:rFonts w:ascii="宋体" w:hAnsi="宋体"/>
          <w:szCs w:val="21"/>
        </w:rPr>
        <w:t>本次采购采用</w:t>
      </w:r>
      <w:r>
        <w:rPr>
          <w:rFonts w:hint="eastAsia" w:ascii="宋体" w:hAnsi="宋体"/>
          <w:szCs w:val="21"/>
        </w:rPr>
        <w:t>公开采购方</w:t>
      </w:r>
      <w:r>
        <w:rPr>
          <w:rFonts w:ascii="宋体" w:hAnsi="宋体"/>
          <w:szCs w:val="21"/>
        </w:rPr>
        <w:t>式进行。</w:t>
      </w:r>
    </w:p>
    <w:p w14:paraId="34BB485F">
      <w:pPr>
        <w:snapToGrid w:val="0"/>
        <w:spacing w:line="360" w:lineRule="auto"/>
        <w:ind w:firstLine="422" w:firstLineChars="200"/>
        <w:jc w:val="left"/>
        <w:outlineLvl w:val="1"/>
        <w:rPr>
          <w:rFonts w:ascii="宋体" w:hAnsi="宋体" w:cs="Calibri"/>
          <w:b/>
          <w:bCs/>
          <w:szCs w:val="21"/>
        </w:rPr>
      </w:pPr>
      <w:r>
        <w:rPr>
          <w:rFonts w:ascii="宋体" w:hAnsi="宋体" w:cs="Calibri"/>
          <w:b/>
          <w:bCs/>
          <w:szCs w:val="21"/>
        </w:rPr>
        <w:t>（四）采购预算</w:t>
      </w:r>
    </w:p>
    <w:p w14:paraId="2D610CEE">
      <w:pPr>
        <w:pStyle w:val="3"/>
        <w:spacing w:after="0" w:line="360" w:lineRule="auto"/>
        <w:ind w:firstLine="420" w:firstLineChars="200"/>
        <w:rPr>
          <w:rFonts w:ascii="宋体" w:hAnsi="宋体"/>
          <w:sz w:val="21"/>
          <w:szCs w:val="21"/>
        </w:rPr>
      </w:pPr>
      <w:r>
        <w:rPr>
          <w:rFonts w:ascii="宋体" w:hAnsi="宋体"/>
          <w:sz w:val="21"/>
          <w:szCs w:val="21"/>
        </w:rPr>
        <w:t>本次采购以</w:t>
      </w:r>
      <w:r>
        <w:rPr>
          <w:rFonts w:hint="eastAsia" w:ascii="宋体" w:hAnsi="宋体"/>
          <w:sz w:val="21"/>
          <w:szCs w:val="21"/>
          <w:lang w:val="en-US" w:eastAsia="zh-CN"/>
        </w:rPr>
        <w:t>334139</w:t>
      </w:r>
      <w:r>
        <w:rPr>
          <w:rFonts w:ascii="宋体" w:hAnsi="宋体"/>
          <w:b w:val="0"/>
          <w:bCs/>
          <w:sz w:val="21"/>
          <w:szCs w:val="21"/>
        </w:rPr>
        <w:t>元</w:t>
      </w:r>
      <w:r>
        <w:rPr>
          <w:rFonts w:ascii="宋体" w:hAnsi="宋体"/>
          <w:sz w:val="21"/>
          <w:szCs w:val="21"/>
        </w:rPr>
        <w:t>作为上限价。</w:t>
      </w:r>
    </w:p>
    <w:p w14:paraId="60E6BB02">
      <w:pPr>
        <w:pStyle w:val="12"/>
        <w:snapToGrid w:val="0"/>
        <w:spacing w:line="360" w:lineRule="auto"/>
        <w:ind w:firstLine="422" w:firstLineChars="200"/>
        <w:rPr>
          <w:rFonts w:hAnsi="宋体" w:eastAsia="宋体"/>
          <w:b/>
          <w:bCs/>
          <w:sz w:val="21"/>
          <w:szCs w:val="21"/>
        </w:rPr>
      </w:pPr>
      <w:r>
        <w:rPr>
          <w:rFonts w:hint="eastAsia" w:hAnsi="宋体" w:eastAsia="宋体"/>
          <w:b/>
          <w:bCs/>
          <w:sz w:val="21"/>
          <w:szCs w:val="21"/>
        </w:rPr>
        <w:t>（五）</w:t>
      </w:r>
      <w:r>
        <w:rPr>
          <w:rFonts w:hAnsi="宋体" w:eastAsia="宋体"/>
          <w:b/>
          <w:bCs/>
          <w:sz w:val="21"/>
          <w:szCs w:val="21"/>
        </w:rPr>
        <w:t>投标委托</w:t>
      </w:r>
    </w:p>
    <w:p w14:paraId="0A91449A">
      <w:pPr>
        <w:snapToGrid w:val="0"/>
        <w:spacing w:line="360" w:lineRule="auto"/>
        <w:ind w:right="-506" w:rightChars="-241" w:firstLine="420" w:firstLineChars="200"/>
        <w:jc w:val="left"/>
        <w:rPr>
          <w:rFonts w:ascii="宋体" w:hAnsi="宋体"/>
          <w:szCs w:val="21"/>
        </w:rPr>
      </w:pPr>
      <w:r>
        <w:rPr>
          <w:rFonts w:ascii="宋体" w:hAnsi="宋体"/>
          <w:szCs w:val="21"/>
        </w:rPr>
        <w:t>供应商</w:t>
      </w:r>
      <w:r>
        <w:rPr>
          <w:rFonts w:hint="eastAsia" w:ascii="宋体" w:hAnsi="宋体"/>
          <w:szCs w:val="21"/>
        </w:rPr>
        <w:t>法定</w:t>
      </w:r>
      <w:r>
        <w:rPr>
          <w:rFonts w:ascii="宋体" w:hAnsi="宋体"/>
          <w:szCs w:val="21"/>
        </w:rPr>
        <w:t>代表</w:t>
      </w:r>
      <w:r>
        <w:rPr>
          <w:rFonts w:hint="eastAsia" w:ascii="宋体" w:hAnsi="宋体"/>
          <w:szCs w:val="21"/>
        </w:rPr>
        <w:t>人</w:t>
      </w:r>
      <w:r>
        <w:rPr>
          <w:rFonts w:ascii="宋体" w:hAnsi="宋体"/>
          <w:szCs w:val="21"/>
        </w:rPr>
        <w:t>须</w:t>
      </w:r>
      <w:r>
        <w:rPr>
          <w:rFonts w:hint="eastAsia" w:ascii="宋体" w:hAnsi="宋体"/>
          <w:szCs w:val="21"/>
        </w:rPr>
        <w:t>在投标文件里提供有</w:t>
      </w:r>
      <w:r>
        <w:rPr>
          <w:rFonts w:ascii="宋体" w:hAnsi="宋体"/>
          <w:szCs w:val="21"/>
        </w:rPr>
        <w:t>效身份证件。</w:t>
      </w:r>
    </w:p>
    <w:p w14:paraId="174D6066">
      <w:pPr>
        <w:snapToGrid w:val="0"/>
        <w:spacing w:line="360" w:lineRule="auto"/>
        <w:ind w:right="-506" w:rightChars="-241" w:firstLine="422" w:firstLineChars="200"/>
        <w:jc w:val="left"/>
        <w:rPr>
          <w:rFonts w:hAnsi="宋体"/>
          <w:b/>
          <w:szCs w:val="21"/>
        </w:rPr>
      </w:pPr>
      <w:r>
        <w:rPr>
          <w:rFonts w:hint="eastAsia" w:hAnsi="宋体"/>
          <w:b/>
          <w:szCs w:val="21"/>
        </w:rPr>
        <w:t>（六）</w:t>
      </w:r>
      <w:r>
        <w:rPr>
          <w:rFonts w:hAnsi="宋体"/>
          <w:b/>
          <w:szCs w:val="21"/>
        </w:rPr>
        <w:t>费用</w:t>
      </w:r>
    </w:p>
    <w:p w14:paraId="35C26387">
      <w:pPr>
        <w:snapToGrid w:val="0"/>
        <w:spacing w:line="360" w:lineRule="auto"/>
        <w:ind w:right="-506" w:rightChars="-241" w:firstLine="420" w:firstLineChars="200"/>
        <w:jc w:val="left"/>
        <w:rPr>
          <w:rFonts w:ascii="宋体" w:hAnsi="宋体"/>
          <w:szCs w:val="21"/>
        </w:rPr>
      </w:pPr>
      <w:r>
        <w:rPr>
          <w:rFonts w:ascii="宋体" w:hAnsi="宋体"/>
          <w:szCs w:val="21"/>
        </w:rPr>
        <w:t>不论</w:t>
      </w:r>
      <w:r>
        <w:rPr>
          <w:rFonts w:hint="eastAsia" w:ascii="宋体" w:hAnsi="宋体"/>
          <w:szCs w:val="21"/>
        </w:rPr>
        <w:t>采购</w:t>
      </w:r>
      <w:r>
        <w:rPr>
          <w:rFonts w:ascii="宋体" w:hAnsi="宋体"/>
          <w:szCs w:val="21"/>
        </w:rPr>
        <w:t>结果如何，</w:t>
      </w:r>
      <w:r>
        <w:rPr>
          <w:rFonts w:hint="eastAsia" w:ascii="宋体" w:hAnsi="宋体"/>
          <w:szCs w:val="21"/>
        </w:rPr>
        <w:t>投标人</w:t>
      </w:r>
      <w:r>
        <w:rPr>
          <w:rFonts w:ascii="宋体" w:hAnsi="宋体"/>
          <w:szCs w:val="21"/>
        </w:rPr>
        <w:t>均应自行承担所有与投标有关的全部费用（</w:t>
      </w:r>
      <w:r>
        <w:rPr>
          <w:rFonts w:hint="eastAsia" w:ascii="宋体" w:hAnsi="宋体"/>
          <w:szCs w:val="21"/>
        </w:rPr>
        <w:t>采购</w:t>
      </w:r>
      <w:r>
        <w:rPr>
          <w:rFonts w:ascii="宋体" w:hAnsi="宋体"/>
          <w:szCs w:val="21"/>
        </w:rPr>
        <w:t>文件另有规定除外）。</w:t>
      </w:r>
    </w:p>
    <w:p w14:paraId="4536DC0F">
      <w:pPr>
        <w:pStyle w:val="39"/>
        <w:snapToGrid w:val="0"/>
        <w:spacing w:beforeLines="0" w:afterLines="0" w:line="360" w:lineRule="auto"/>
        <w:ind w:firstLine="422" w:firstLineChars="200"/>
        <w:rPr>
          <w:rFonts w:hAnsi="宋体" w:eastAsia="宋体"/>
          <w:b/>
          <w:bCs/>
          <w:sz w:val="21"/>
        </w:rPr>
      </w:pPr>
      <w:r>
        <w:rPr>
          <w:rFonts w:hint="eastAsia" w:hAnsi="宋体" w:eastAsia="宋体"/>
          <w:b/>
          <w:bCs/>
          <w:sz w:val="21"/>
        </w:rPr>
        <w:t>（七）</w:t>
      </w:r>
      <w:r>
        <w:rPr>
          <w:rFonts w:hAnsi="宋体" w:eastAsia="宋体"/>
          <w:b/>
          <w:bCs/>
          <w:sz w:val="21"/>
        </w:rPr>
        <w:t>联合体投标</w:t>
      </w:r>
    </w:p>
    <w:p w14:paraId="1BF05F59">
      <w:pPr>
        <w:snapToGrid w:val="0"/>
        <w:spacing w:line="360" w:lineRule="auto"/>
        <w:ind w:firstLine="420" w:firstLineChars="200"/>
        <w:jc w:val="left"/>
        <w:rPr>
          <w:rFonts w:ascii="宋体" w:hAnsi="宋体"/>
          <w:szCs w:val="21"/>
        </w:rPr>
      </w:pPr>
      <w:r>
        <w:rPr>
          <w:rFonts w:ascii="宋体" w:hAnsi="宋体"/>
          <w:szCs w:val="21"/>
        </w:rPr>
        <w:t>本项目不接受联合体投标。</w:t>
      </w:r>
    </w:p>
    <w:p w14:paraId="037307EA">
      <w:pPr>
        <w:pStyle w:val="39"/>
        <w:snapToGrid w:val="0"/>
        <w:spacing w:beforeLines="0" w:afterLines="0" w:line="360" w:lineRule="auto"/>
        <w:ind w:firstLine="422" w:firstLineChars="200"/>
        <w:rPr>
          <w:rFonts w:hAnsi="宋体" w:eastAsia="宋体"/>
          <w:b/>
          <w:bCs/>
          <w:sz w:val="21"/>
        </w:rPr>
      </w:pPr>
      <w:r>
        <w:rPr>
          <w:rFonts w:hint="eastAsia" w:hAnsi="宋体" w:eastAsia="宋体"/>
          <w:b/>
          <w:bCs/>
          <w:sz w:val="21"/>
        </w:rPr>
        <w:t>（八）转包与分包</w:t>
      </w:r>
    </w:p>
    <w:p w14:paraId="6C6F3EBD">
      <w:pPr>
        <w:snapToGrid w:val="0"/>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本项目不允许转包。</w:t>
      </w:r>
    </w:p>
    <w:p w14:paraId="36AEEAB6">
      <w:pPr>
        <w:pStyle w:val="3"/>
        <w:spacing w:after="0"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本项目不允许</w:t>
      </w:r>
      <w:r>
        <w:rPr>
          <w:rFonts w:hint="eastAsia" w:ascii="宋体" w:hAnsi="宋体"/>
          <w:sz w:val="21"/>
          <w:szCs w:val="21"/>
        </w:rPr>
        <w:t>分</w:t>
      </w:r>
      <w:r>
        <w:rPr>
          <w:rFonts w:ascii="宋体" w:hAnsi="宋体"/>
          <w:sz w:val="21"/>
          <w:szCs w:val="21"/>
        </w:rPr>
        <w:t>包</w:t>
      </w:r>
      <w:r>
        <w:rPr>
          <w:rFonts w:hint="eastAsia" w:ascii="宋体" w:hAnsi="宋体"/>
          <w:sz w:val="21"/>
          <w:szCs w:val="21"/>
        </w:rPr>
        <w:t>。</w:t>
      </w:r>
    </w:p>
    <w:p w14:paraId="1F2DC873">
      <w:pPr>
        <w:pStyle w:val="39"/>
        <w:snapToGrid w:val="0"/>
        <w:spacing w:beforeLines="0" w:afterLines="0" w:line="360" w:lineRule="auto"/>
        <w:ind w:firstLine="422" w:firstLineChars="200"/>
        <w:rPr>
          <w:rFonts w:hAnsi="宋体" w:eastAsia="宋体"/>
          <w:b/>
          <w:bCs/>
          <w:sz w:val="21"/>
        </w:rPr>
      </w:pPr>
      <w:r>
        <w:rPr>
          <w:rFonts w:hint="eastAsia" w:hAnsi="宋体" w:eastAsia="宋体"/>
          <w:b/>
          <w:bCs/>
          <w:sz w:val="21"/>
        </w:rPr>
        <w:t>（九）特别说明：</w:t>
      </w:r>
    </w:p>
    <w:p w14:paraId="2D302ABF">
      <w:pPr>
        <w:pStyle w:val="3"/>
        <w:spacing w:after="0" w:line="360" w:lineRule="auto"/>
        <w:ind w:firstLine="480"/>
        <w:rPr>
          <w:rFonts w:ascii="宋体" w:hAnsi="宋体"/>
          <w:sz w:val="21"/>
          <w:szCs w:val="21"/>
        </w:rPr>
      </w:pPr>
      <w:r>
        <w:rPr>
          <w:rFonts w:hint="eastAsia" w:ascii="宋体" w:hAnsi="宋体"/>
          <w:sz w:val="21"/>
          <w:szCs w:val="21"/>
        </w:rPr>
        <w:t>1.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5787326C">
      <w:pPr>
        <w:pStyle w:val="3"/>
        <w:spacing w:after="0" w:line="360" w:lineRule="auto"/>
        <w:ind w:firstLine="480"/>
        <w:rPr>
          <w:rFonts w:ascii="宋体" w:hAnsi="宋体"/>
          <w:sz w:val="21"/>
          <w:szCs w:val="21"/>
        </w:rPr>
      </w:pPr>
      <w:r>
        <w:rPr>
          <w:rFonts w:hint="eastAsia" w:ascii="宋体" w:hAnsi="宋体"/>
          <w:sz w:val="21"/>
          <w:szCs w:val="21"/>
        </w:rPr>
        <w:t>2.投标人投标所使用的资格、信誉、荣誉、业绩与企业认证必须为本法人所拥有。投标人投标所使用的采购项目实施人员必须为本法人员工。</w:t>
      </w:r>
    </w:p>
    <w:p w14:paraId="464F0FF9">
      <w:pPr>
        <w:snapToGrid w:val="0"/>
        <w:spacing w:line="360" w:lineRule="auto"/>
        <w:ind w:right="-506" w:rightChars="-241" w:firstLine="422" w:firstLineChars="200"/>
        <w:jc w:val="left"/>
        <w:rPr>
          <w:b/>
          <w:bCs/>
          <w:color w:val="000000" w:themeColor="text1"/>
          <w14:textFill>
            <w14:solidFill>
              <w14:schemeClr w14:val="tx1"/>
            </w14:solidFill>
          </w14:textFill>
        </w:rPr>
      </w:pPr>
      <w:r>
        <w:rPr>
          <w:rFonts w:hint="eastAsia" w:ascii="宋体" w:hAnsi="宋体"/>
          <w:b/>
          <w:bCs/>
          <w:color w:val="000000" w:themeColor="text1"/>
          <w:szCs w:val="21"/>
          <w14:textFill>
            <w14:solidFill>
              <w14:schemeClr w14:val="tx1"/>
            </w14:solidFill>
          </w14:textFill>
        </w:rPr>
        <w:t>3.根据浙采采监【2013】24号的规定，特定行业（金融、保险、通讯）在商务、技术或资格审查时，不得将属母公司（总机构）或同一母公司下属的其他子公司（同一总机构下属的其他分支机构）的人员、业绩、荣誉、知识产权、项目案例等作为该供应商资信文件予以确认或审查通过。</w:t>
      </w:r>
    </w:p>
    <w:p w14:paraId="4C650087">
      <w:pPr>
        <w:snapToGrid w:val="0"/>
        <w:spacing w:line="360" w:lineRule="auto"/>
        <w:ind w:right="-506" w:rightChars="-241" w:firstLine="420" w:firstLineChars="200"/>
        <w:jc w:val="left"/>
        <w:rPr>
          <w:rFonts w:ascii="宋体" w:hAnsi="宋体"/>
          <w:szCs w:val="21"/>
        </w:rPr>
      </w:pPr>
      <w:r>
        <w:rPr>
          <w:rFonts w:hint="eastAsia" w:ascii="宋体" w:hAnsi="宋体"/>
          <w:szCs w:val="21"/>
        </w:rPr>
        <w:t>4.投标人</w:t>
      </w:r>
      <w:r>
        <w:rPr>
          <w:rFonts w:ascii="宋体" w:hAnsi="宋体"/>
          <w:szCs w:val="21"/>
        </w:rPr>
        <w:t>应仔细阅读</w:t>
      </w:r>
      <w:r>
        <w:rPr>
          <w:rFonts w:hint="eastAsia" w:ascii="宋体" w:hAnsi="宋体"/>
          <w:szCs w:val="21"/>
        </w:rPr>
        <w:t>采购</w:t>
      </w:r>
      <w:r>
        <w:rPr>
          <w:rFonts w:ascii="宋体" w:hAnsi="宋体"/>
          <w:szCs w:val="21"/>
        </w:rPr>
        <w:t>文件的所有内容，按照</w:t>
      </w:r>
      <w:r>
        <w:rPr>
          <w:rFonts w:hint="eastAsia" w:ascii="宋体" w:hAnsi="宋体"/>
          <w:szCs w:val="21"/>
        </w:rPr>
        <w:t>采购文件</w:t>
      </w:r>
      <w:r>
        <w:rPr>
          <w:rFonts w:ascii="宋体" w:hAnsi="宋体"/>
          <w:szCs w:val="21"/>
        </w:rPr>
        <w:t>的要求提交</w:t>
      </w:r>
      <w:r>
        <w:rPr>
          <w:rFonts w:hint="eastAsia" w:ascii="宋体" w:hAnsi="宋体"/>
          <w:szCs w:val="21"/>
        </w:rPr>
        <w:t>投标响应文件</w:t>
      </w:r>
      <w:r>
        <w:rPr>
          <w:rFonts w:ascii="宋体" w:hAnsi="宋体"/>
          <w:szCs w:val="21"/>
        </w:rPr>
        <w:t>，并对所提供的全部资料的真实性承担法律责任。</w:t>
      </w:r>
    </w:p>
    <w:p w14:paraId="7C690E88">
      <w:pPr>
        <w:pStyle w:val="39"/>
        <w:snapToGrid w:val="0"/>
        <w:spacing w:before="120" w:after="120" w:line="360" w:lineRule="auto"/>
        <w:ind w:left="416" w:leftChars="198"/>
        <w:rPr>
          <w:rFonts w:hAnsi="宋体" w:eastAsia="宋体"/>
          <w:b/>
          <w:sz w:val="21"/>
        </w:rPr>
      </w:pPr>
      <w:r>
        <w:rPr>
          <w:rFonts w:hAnsi="宋体" w:eastAsia="宋体"/>
          <w:b/>
          <w:sz w:val="21"/>
        </w:rPr>
        <w:t>（十）质疑和投诉</w:t>
      </w:r>
    </w:p>
    <w:p w14:paraId="7137539B">
      <w:pPr>
        <w:pStyle w:val="39"/>
        <w:snapToGrid w:val="0"/>
        <w:spacing w:beforeLines="0" w:afterLines="0" w:line="360" w:lineRule="auto"/>
        <w:ind w:firstLine="422" w:firstLineChars="200"/>
        <w:rPr>
          <w:rFonts w:hAnsi="宋体" w:eastAsia="宋体"/>
          <w:b/>
          <w:bCs/>
          <w:sz w:val="21"/>
        </w:rPr>
      </w:pPr>
      <w:r>
        <w:rPr>
          <w:rFonts w:hAnsi="宋体" w:eastAsia="宋体"/>
          <w:b/>
          <w:sz w:val="21"/>
        </w:rPr>
        <w:t>1、</w:t>
      </w:r>
      <w:r>
        <w:rPr>
          <w:rFonts w:hAnsi="宋体" w:eastAsia="宋体"/>
          <w:b/>
          <w:bCs/>
          <w:sz w:val="21"/>
        </w:rPr>
        <w:t>质疑</w:t>
      </w:r>
    </w:p>
    <w:p w14:paraId="2EB9914F">
      <w:pPr>
        <w:spacing w:line="360" w:lineRule="auto"/>
        <w:ind w:firstLine="420"/>
        <w:rPr>
          <w:rFonts w:ascii="宋体" w:hAnsi="宋体"/>
        </w:rPr>
      </w:pPr>
      <w:r>
        <w:rPr>
          <w:rFonts w:ascii="宋体" w:hAnsi="宋体"/>
        </w:rPr>
        <w:t>1.1</w:t>
      </w:r>
      <w:r>
        <w:rPr>
          <w:rFonts w:ascii="宋体" w:hAnsi="宋体"/>
          <w:kern w:val="0"/>
          <w:szCs w:val="21"/>
        </w:rPr>
        <w:t>根据财政部94号令（《政府采购质疑和投诉办法》）的规定，</w:t>
      </w:r>
      <w:r>
        <w:rPr>
          <w:rFonts w:ascii="宋体" w:hAnsi="宋体"/>
        </w:rPr>
        <w:t>投标人认为招标文件、招标过程和中标、成交结果使自己的权益受到损害的，可以在知道或者应知其权益受到损害之日起七个工作日内，以书面形式向招标代理机构提出质疑，供应商在法定质疑期内一次性提出针对同一采购程序环节的质疑。</w:t>
      </w:r>
    </w:p>
    <w:p w14:paraId="07B1697B">
      <w:pPr>
        <w:spacing w:line="360" w:lineRule="auto"/>
        <w:ind w:firstLine="420"/>
        <w:rPr>
          <w:rFonts w:ascii="宋体" w:hAnsi="宋体"/>
        </w:rPr>
      </w:pPr>
      <w:r>
        <w:rPr>
          <w:rFonts w:ascii="宋体" w:hAnsi="宋体"/>
        </w:rPr>
        <w:t>（1）投标人如认为招标公告信息使自身的合法权益受到损害的，应于自招标公告发布之日起七个工作日内以书面形式向招标代理机构提出质疑；</w:t>
      </w:r>
    </w:p>
    <w:p w14:paraId="17ACC285">
      <w:pPr>
        <w:spacing w:line="360" w:lineRule="auto"/>
        <w:ind w:firstLine="420"/>
        <w:rPr>
          <w:rFonts w:ascii="Times New Roman" w:hAnsi="Times New Roman"/>
          <w:szCs w:val="21"/>
        </w:rPr>
      </w:pPr>
      <w:r>
        <w:rPr>
          <w:rFonts w:ascii="宋体" w:hAnsi="宋体"/>
        </w:rPr>
        <w:t>（2）</w:t>
      </w:r>
      <w:r>
        <w:rPr>
          <w:rFonts w:ascii="Times New Roman" w:hAnsi="Times New Roman"/>
        </w:rPr>
        <w:t>投标人如认为采购文件使自身的合法权益受到损害的</w:t>
      </w:r>
      <w:r>
        <w:rPr>
          <w:rFonts w:ascii="Times New Roman" w:hAnsi="Times New Roman"/>
          <w:szCs w:val="21"/>
        </w:rPr>
        <w:t>，可以自获取采购文件之日或者采购文件公告期限届满之日（公告期限届满后获取采购文件的，以公告期限届满之日为准）起</w:t>
      </w:r>
      <w:r>
        <w:rPr>
          <w:rFonts w:hint="eastAsia" w:ascii="Times New Roman" w:hAnsi="Times New Roman"/>
          <w:szCs w:val="21"/>
        </w:rPr>
        <w:t>七</w:t>
      </w:r>
      <w:r>
        <w:rPr>
          <w:rFonts w:ascii="Times New Roman" w:hAnsi="Times New Roman"/>
          <w:szCs w:val="21"/>
        </w:rPr>
        <w:t>个工作日内，以书面形式向采购人和采购代理机构提出质疑</w:t>
      </w:r>
      <w:r>
        <w:rPr>
          <w:rFonts w:hint="eastAsia" w:ascii="Times New Roman" w:hAnsi="Times New Roman"/>
          <w:szCs w:val="21"/>
        </w:rPr>
        <w:t>；</w:t>
      </w:r>
    </w:p>
    <w:p w14:paraId="41056796">
      <w:pPr>
        <w:spacing w:line="360" w:lineRule="auto"/>
        <w:ind w:firstLine="420"/>
        <w:rPr>
          <w:rFonts w:ascii="宋体" w:hAnsi="宋体"/>
        </w:rPr>
      </w:pPr>
      <w:r>
        <w:rPr>
          <w:rFonts w:ascii="宋体" w:hAnsi="宋体"/>
        </w:rPr>
        <w:t>（3）对采购过程提出质疑的，为各采购程序环节结束之日；</w:t>
      </w:r>
    </w:p>
    <w:p w14:paraId="41A0D579">
      <w:pPr>
        <w:spacing w:line="360" w:lineRule="auto"/>
        <w:ind w:firstLine="420"/>
        <w:rPr>
          <w:rFonts w:ascii="宋体" w:hAnsi="宋体"/>
        </w:rPr>
      </w:pPr>
      <w:r>
        <w:rPr>
          <w:rFonts w:ascii="宋体" w:hAnsi="宋体"/>
        </w:rPr>
        <w:t>（4）投标人如认为招标过程和中标结果使自身的合法权益受到损害的，应于中标结果公告之日起七个工作日内以书面形式向招标代理机构一次性提出针对同一采购程序环节的质疑。</w:t>
      </w:r>
    </w:p>
    <w:p w14:paraId="7FA89DFC">
      <w:pPr>
        <w:spacing w:line="360" w:lineRule="auto"/>
        <w:ind w:firstLine="420"/>
        <w:rPr>
          <w:rFonts w:ascii="宋体" w:hAnsi="宋体"/>
        </w:rPr>
      </w:pPr>
      <w:r>
        <w:rPr>
          <w:rFonts w:ascii="宋体" w:hAnsi="宋体"/>
        </w:rPr>
        <w:t>1.2提出质疑的供应商（以下简称质疑供应商）应当是参与所质疑项目采购活动的供应商。</w:t>
      </w:r>
    </w:p>
    <w:p w14:paraId="0E5B6CFB">
      <w:pPr>
        <w:spacing w:line="360" w:lineRule="auto"/>
        <w:ind w:firstLine="420"/>
        <w:rPr>
          <w:rFonts w:ascii="宋体" w:hAnsi="宋体"/>
        </w:rPr>
      </w:pPr>
      <w:r>
        <w:rPr>
          <w:rFonts w:ascii="宋体" w:hAnsi="宋体"/>
        </w:rPr>
        <w:t>1.3供应商为自然人的，应当由本人签字；供应商为法人或者其他组织的，应当由法定代表人、主要负责人，或者其授权代表签字或者盖章，并加盖公章。</w:t>
      </w:r>
    </w:p>
    <w:p w14:paraId="27FF5220">
      <w:pPr>
        <w:spacing w:line="360" w:lineRule="auto"/>
        <w:ind w:firstLine="420"/>
        <w:rPr>
          <w:rFonts w:ascii="宋体" w:hAnsi="宋体"/>
        </w:rPr>
      </w:pPr>
      <w:r>
        <w:rPr>
          <w:rFonts w:hint="eastAsia" w:ascii="宋体" w:hAnsi="宋体"/>
        </w:rPr>
        <w:t>投标人</w:t>
      </w:r>
      <w:r>
        <w:rPr>
          <w:rFonts w:ascii="宋体" w:hAnsi="宋体"/>
        </w:rPr>
        <w:t>可以委托代理人进行质疑和投诉。其授权委托书应当载明代理人的姓名或者名称、代理事项、具体权限、期限和相关事项。</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为法人或者其他组织的，应当由法定代表人、主要负责人签字或者盖章，并加盖公章。代理人提出质疑和投诉，应当提交</w:t>
      </w:r>
      <w:r>
        <w:rPr>
          <w:rFonts w:hint="eastAsia" w:ascii="宋体" w:hAnsi="宋体"/>
        </w:rPr>
        <w:t>投标人</w:t>
      </w:r>
      <w:r>
        <w:rPr>
          <w:rFonts w:ascii="宋体" w:hAnsi="宋体"/>
        </w:rPr>
        <w:t>签署的授权委托书。</w:t>
      </w:r>
    </w:p>
    <w:p w14:paraId="57A03980">
      <w:pPr>
        <w:spacing w:line="360" w:lineRule="auto"/>
        <w:ind w:firstLine="420"/>
        <w:rPr>
          <w:rFonts w:ascii="宋体" w:hAnsi="宋体"/>
        </w:rPr>
      </w:pPr>
      <w:r>
        <w:rPr>
          <w:rFonts w:ascii="宋体" w:hAnsi="宋体"/>
        </w:rPr>
        <w:t>以联合体形式参加政府采购活动的，其投诉应当由组成联合体的所有</w:t>
      </w:r>
      <w:r>
        <w:rPr>
          <w:rFonts w:hint="eastAsia" w:ascii="宋体" w:hAnsi="宋体"/>
        </w:rPr>
        <w:t>投标人</w:t>
      </w:r>
      <w:r>
        <w:rPr>
          <w:rFonts w:ascii="宋体" w:hAnsi="宋体"/>
        </w:rPr>
        <w:t>共同提出。</w:t>
      </w:r>
    </w:p>
    <w:p w14:paraId="00029269">
      <w:pPr>
        <w:spacing w:line="360" w:lineRule="auto"/>
        <w:ind w:firstLine="420"/>
        <w:rPr>
          <w:rFonts w:ascii="宋体" w:hAnsi="宋体"/>
        </w:rPr>
      </w:pPr>
      <w:r>
        <w:rPr>
          <w:rFonts w:ascii="宋体" w:hAnsi="宋体"/>
        </w:rPr>
        <w:t>1.4投标人提交的质疑书需一式三份，质疑书至少应包括下列主要内容：</w:t>
      </w:r>
    </w:p>
    <w:p w14:paraId="63154E00">
      <w:pPr>
        <w:spacing w:line="360" w:lineRule="auto"/>
        <w:ind w:firstLine="420"/>
        <w:rPr>
          <w:rFonts w:ascii="宋体" w:hAnsi="宋体"/>
        </w:rPr>
      </w:pPr>
      <w:r>
        <w:rPr>
          <w:rFonts w:ascii="宋体" w:hAnsi="宋体"/>
        </w:rPr>
        <w:t>（一）</w:t>
      </w:r>
      <w:r>
        <w:rPr>
          <w:rFonts w:hint="eastAsia" w:ascii="宋体" w:hAnsi="宋体"/>
        </w:rPr>
        <w:t>投标人</w:t>
      </w:r>
      <w:r>
        <w:rPr>
          <w:rFonts w:ascii="宋体" w:hAnsi="宋体"/>
        </w:rPr>
        <w:t>的姓名或者名称、地址、邮编、联系人及联系电话；</w:t>
      </w:r>
    </w:p>
    <w:p w14:paraId="7E5CEB22">
      <w:pPr>
        <w:spacing w:line="360" w:lineRule="auto"/>
        <w:ind w:firstLine="420"/>
        <w:rPr>
          <w:rFonts w:ascii="宋体" w:hAnsi="宋体"/>
        </w:rPr>
      </w:pPr>
      <w:r>
        <w:rPr>
          <w:rFonts w:ascii="宋体" w:hAnsi="宋体"/>
        </w:rPr>
        <w:t>（二）质疑项目的名称、编号；</w:t>
      </w:r>
    </w:p>
    <w:p w14:paraId="2523A789">
      <w:pPr>
        <w:spacing w:line="360" w:lineRule="auto"/>
        <w:ind w:firstLine="420"/>
        <w:rPr>
          <w:rFonts w:ascii="宋体" w:hAnsi="宋体"/>
        </w:rPr>
      </w:pPr>
      <w:r>
        <w:rPr>
          <w:rFonts w:ascii="宋体" w:hAnsi="宋体"/>
        </w:rPr>
        <w:t>（三）具体、明确的质疑事项和与质疑事项相关的请求；</w:t>
      </w:r>
    </w:p>
    <w:p w14:paraId="43EB0C07">
      <w:pPr>
        <w:spacing w:line="360" w:lineRule="auto"/>
        <w:ind w:firstLine="420"/>
        <w:rPr>
          <w:rFonts w:ascii="宋体" w:hAnsi="宋体"/>
        </w:rPr>
      </w:pPr>
      <w:r>
        <w:rPr>
          <w:rFonts w:ascii="宋体" w:hAnsi="宋体"/>
        </w:rPr>
        <w:t>（四）事实依据；</w:t>
      </w:r>
    </w:p>
    <w:p w14:paraId="73823663">
      <w:pPr>
        <w:spacing w:line="360" w:lineRule="auto"/>
        <w:ind w:firstLine="420"/>
        <w:rPr>
          <w:rFonts w:ascii="宋体" w:hAnsi="宋体"/>
        </w:rPr>
      </w:pPr>
      <w:r>
        <w:rPr>
          <w:rFonts w:ascii="宋体" w:hAnsi="宋体"/>
        </w:rPr>
        <w:t>（五）必要的法律依据；</w:t>
      </w:r>
    </w:p>
    <w:p w14:paraId="19D0FDA6">
      <w:pPr>
        <w:spacing w:line="360" w:lineRule="auto"/>
        <w:ind w:firstLine="420"/>
        <w:rPr>
          <w:rFonts w:ascii="宋体" w:hAnsi="宋体"/>
        </w:rPr>
      </w:pPr>
      <w:r>
        <w:rPr>
          <w:rFonts w:ascii="宋体" w:hAnsi="宋体"/>
        </w:rPr>
        <w:t>（六）提出质疑的日期。</w:t>
      </w:r>
    </w:p>
    <w:p w14:paraId="080CD62E">
      <w:pPr>
        <w:spacing w:line="360" w:lineRule="auto"/>
        <w:ind w:firstLine="420"/>
        <w:rPr>
          <w:rFonts w:ascii="宋体" w:hAnsi="宋体"/>
          <w:shd w:val="clear" w:color="auto" w:fill="FFFFFF"/>
        </w:rPr>
      </w:pPr>
      <w:r>
        <w:rPr>
          <w:rFonts w:ascii="宋体" w:hAnsi="宋体"/>
        </w:rPr>
        <w:t>1.5</w:t>
      </w:r>
      <w:r>
        <w:rPr>
          <w:rFonts w:ascii="宋体" w:hAnsi="宋体"/>
          <w:shd w:val="clear" w:color="auto" w:fill="FFFFFF"/>
        </w:rPr>
        <w:t>采购人、采购代理机构不得拒收质疑</w:t>
      </w:r>
      <w:r>
        <w:rPr>
          <w:rFonts w:hint="eastAsia" w:ascii="宋体" w:hAnsi="宋体"/>
          <w:shd w:val="clear" w:color="auto" w:fill="FFFFFF"/>
        </w:rPr>
        <w:t>投标人</w:t>
      </w:r>
      <w:r>
        <w:rPr>
          <w:rFonts w:ascii="宋体" w:hAnsi="宋体"/>
          <w:shd w:val="clear" w:color="auto" w:fill="FFFFFF"/>
        </w:rPr>
        <w:t>在法定质疑期内发出的质疑函，应当在收到质疑函后7个工作日内作出答复，质疑答复的内容不得涉及商业秘密，并以书面形式通知质疑</w:t>
      </w:r>
      <w:r>
        <w:rPr>
          <w:rFonts w:hint="eastAsia" w:ascii="宋体" w:hAnsi="宋体"/>
          <w:shd w:val="clear" w:color="auto" w:fill="FFFFFF"/>
        </w:rPr>
        <w:t>投标人</w:t>
      </w:r>
      <w:r>
        <w:rPr>
          <w:rFonts w:ascii="宋体" w:hAnsi="宋体"/>
          <w:shd w:val="clear" w:color="auto" w:fill="FFFFFF"/>
        </w:rPr>
        <w:t>和其他有关</w:t>
      </w:r>
      <w:r>
        <w:rPr>
          <w:rFonts w:hint="eastAsia" w:ascii="宋体" w:hAnsi="宋体"/>
          <w:shd w:val="clear" w:color="auto" w:fill="FFFFFF"/>
        </w:rPr>
        <w:t>投标人</w:t>
      </w:r>
      <w:r>
        <w:rPr>
          <w:rFonts w:ascii="宋体" w:hAnsi="宋体"/>
          <w:shd w:val="clear" w:color="auto" w:fill="FFFFFF"/>
        </w:rPr>
        <w:t>。</w:t>
      </w:r>
    </w:p>
    <w:p w14:paraId="54FE3BC4">
      <w:pPr>
        <w:pStyle w:val="39"/>
        <w:snapToGrid w:val="0"/>
        <w:spacing w:beforeLines="0" w:afterLines="0" w:line="360" w:lineRule="auto"/>
        <w:ind w:firstLine="422" w:firstLineChars="200"/>
        <w:rPr>
          <w:rFonts w:hAnsi="宋体" w:eastAsia="宋体"/>
          <w:b/>
          <w:bCs/>
          <w:sz w:val="21"/>
        </w:rPr>
      </w:pPr>
      <w:r>
        <w:rPr>
          <w:rFonts w:hAnsi="宋体" w:eastAsia="宋体"/>
          <w:b/>
          <w:bCs/>
          <w:sz w:val="21"/>
        </w:rPr>
        <w:t>2、投诉</w:t>
      </w:r>
    </w:p>
    <w:p w14:paraId="44669D78">
      <w:pPr>
        <w:spacing w:line="360" w:lineRule="auto"/>
        <w:ind w:firstLine="420"/>
        <w:rPr>
          <w:rFonts w:ascii="宋体" w:hAnsi="宋体"/>
          <w:shd w:val="clear" w:color="auto" w:fill="FFFFFF"/>
        </w:rPr>
      </w:pPr>
      <w:r>
        <w:rPr>
          <w:rFonts w:ascii="宋体" w:hAnsi="宋体"/>
          <w:shd w:val="clear" w:color="auto" w:fill="FFFFFF"/>
        </w:rPr>
        <w:t>2.1质疑</w:t>
      </w:r>
      <w:r>
        <w:rPr>
          <w:rFonts w:hint="eastAsia" w:ascii="宋体" w:hAnsi="宋体"/>
          <w:shd w:val="clear" w:color="auto" w:fill="FFFFFF"/>
        </w:rPr>
        <w:t>投标人</w:t>
      </w:r>
      <w:r>
        <w:rPr>
          <w:rFonts w:ascii="宋体" w:hAnsi="宋体"/>
          <w:shd w:val="clear" w:color="auto" w:fill="FFFFFF"/>
        </w:rPr>
        <w:t>对采购人、采购代理机构的答复不满意，或者采购人、采购代理机构未在规定时间内作出答复的，可以在答复期满后15个工作日内向</w:t>
      </w:r>
      <w:r>
        <w:rPr>
          <w:rFonts w:ascii="宋体" w:hAnsi="宋体"/>
          <w:kern w:val="0"/>
          <w:szCs w:val="21"/>
        </w:rPr>
        <w:t>《政府采购质疑和投诉办法》</w:t>
      </w:r>
      <w:r>
        <w:rPr>
          <w:rFonts w:ascii="宋体" w:hAnsi="宋体"/>
          <w:shd w:val="clear" w:color="auto" w:fill="FFFFFF"/>
        </w:rPr>
        <w:t>第六条规定的财政部门提起投诉。</w:t>
      </w:r>
    </w:p>
    <w:p w14:paraId="3813B559">
      <w:pPr>
        <w:spacing w:line="360" w:lineRule="auto"/>
        <w:ind w:firstLine="420"/>
        <w:rPr>
          <w:rFonts w:ascii="宋体" w:hAnsi="宋体"/>
          <w:shd w:val="clear" w:color="auto" w:fill="FFFFFF"/>
        </w:rPr>
      </w:pPr>
      <w:r>
        <w:rPr>
          <w:rFonts w:ascii="宋体" w:hAnsi="宋体"/>
          <w:shd w:val="clear" w:color="auto" w:fill="FFFFFF"/>
        </w:rPr>
        <w:t>2.2</w:t>
      </w:r>
      <w:r>
        <w:rPr>
          <w:rFonts w:hint="eastAsia" w:ascii="宋体" w:hAnsi="宋体"/>
          <w:shd w:val="clear" w:color="auto" w:fill="FFFFFF"/>
        </w:rPr>
        <w:t>投标人</w:t>
      </w:r>
      <w:r>
        <w:rPr>
          <w:rFonts w:ascii="宋体" w:hAnsi="宋体"/>
          <w:shd w:val="clear" w:color="auto" w:fill="FFFFFF"/>
        </w:rPr>
        <w:t>投诉的事项不得超出已质疑事项的范围，但基于质疑答复内容提出的投诉事项除外。</w:t>
      </w:r>
    </w:p>
    <w:p w14:paraId="34BC05B8">
      <w:pPr>
        <w:spacing w:line="360" w:lineRule="auto"/>
        <w:ind w:firstLine="420"/>
        <w:rPr>
          <w:rFonts w:ascii="宋体" w:hAnsi="宋体"/>
          <w:shd w:val="clear" w:color="auto" w:fill="FFFFFF"/>
        </w:rPr>
      </w:pPr>
      <w:r>
        <w:rPr>
          <w:rFonts w:ascii="宋体" w:hAnsi="宋体"/>
          <w:shd w:val="clear" w:color="auto" w:fill="FFFFFF"/>
        </w:rPr>
        <w:t>2.3投诉人提起投诉应当符合下列条件：</w:t>
      </w:r>
    </w:p>
    <w:p w14:paraId="61827707">
      <w:pPr>
        <w:spacing w:line="360" w:lineRule="auto"/>
        <w:ind w:firstLine="420"/>
        <w:rPr>
          <w:rFonts w:ascii="宋体" w:hAnsi="宋体"/>
          <w:shd w:val="clear" w:color="auto" w:fill="FFFFFF"/>
        </w:rPr>
      </w:pPr>
      <w:r>
        <w:rPr>
          <w:rFonts w:ascii="宋体" w:hAnsi="宋体"/>
          <w:shd w:val="clear" w:color="auto" w:fill="FFFFFF"/>
        </w:rPr>
        <w:t>（一）提起投诉前已依法进行质疑；</w:t>
      </w:r>
    </w:p>
    <w:p w14:paraId="09970B12">
      <w:pPr>
        <w:spacing w:line="360" w:lineRule="auto"/>
        <w:ind w:firstLine="420"/>
        <w:rPr>
          <w:rFonts w:ascii="宋体" w:hAnsi="宋体"/>
          <w:shd w:val="clear" w:color="auto" w:fill="FFFFFF"/>
        </w:rPr>
      </w:pPr>
      <w:r>
        <w:rPr>
          <w:rFonts w:ascii="宋体" w:hAnsi="宋体"/>
          <w:shd w:val="clear" w:color="auto" w:fill="FFFFFF"/>
        </w:rPr>
        <w:t>（二）投诉书内容符合本办法的规定；</w:t>
      </w:r>
    </w:p>
    <w:p w14:paraId="30B4E9A0">
      <w:pPr>
        <w:spacing w:line="360" w:lineRule="auto"/>
        <w:ind w:firstLine="420"/>
        <w:rPr>
          <w:rFonts w:ascii="宋体" w:hAnsi="宋体"/>
          <w:shd w:val="clear" w:color="auto" w:fill="FFFFFF"/>
        </w:rPr>
      </w:pPr>
      <w:r>
        <w:rPr>
          <w:rFonts w:ascii="宋体" w:hAnsi="宋体"/>
          <w:shd w:val="clear" w:color="auto" w:fill="FFFFFF"/>
        </w:rPr>
        <w:t>（三）在投诉有效期限内提起投诉；</w:t>
      </w:r>
    </w:p>
    <w:p w14:paraId="27E84A85">
      <w:pPr>
        <w:spacing w:line="360" w:lineRule="auto"/>
        <w:ind w:firstLine="420"/>
        <w:rPr>
          <w:rFonts w:ascii="宋体" w:hAnsi="宋体"/>
          <w:shd w:val="clear" w:color="auto" w:fill="FFFFFF"/>
        </w:rPr>
      </w:pPr>
      <w:r>
        <w:rPr>
          <w:rFonts w:ascii="宋体" w:hAnsi="宋体"/>
          <w:shd w:val="clear" w:color="auto" w:fill="FFFFFF"/>
        </w:rPr>
        <w:t>（四）同一投诉事项未经财政部门投诉处理；</w:t>
      </w:r>
    </w:p>
    <w:p w14:paraId="1BD8A05A">
      <w:pPr>
        <w:spacing w:line="360" w:lineRule="auto"/>
        <w:ind w:firstLine="420"/>
        <w:rPr>
          <w:rFonts w:ascii="宋体" w:hAnsi="宋体"/>
          <w:shd w:val="clear" w:color="auto" w:fill="FFFFFF"/>
        </w:rPr>
      </w:pPr>
      <w:r>
        <w:rPr>
          <w:rFonts w:ascii="宋体" w:hAnsi="宋体"/>
          <w:shd w:val="clear" w:color="auto" w:fill="FFFFFF"/>
        </w:rPr>
        <w:t>（五）财政部规定的其他条件。</w:t>
      </w:r>
    </w:p>
    <w:p w14:paraId="6EA73276">
      <w:pPr>
        <w:spacing w:line="360" w:lineRule="auto"/>
        <w:ind w:firstLine="420"/>
        <w:rPr>
          <w:rFonts w:ascii="宋体" w:hAnsi="宋体"/>
          <w:shd w:val="clear" w:color="auto" w:fill="FFFFFF"/>
        </w:rPr>
      </w:pPr>
      <w:r>
        <w:rPr>
          <w:rFonts w:ascii="宋体" w:hAnsi="宋体"/>
          <w:shd w:val="clear" w:color="auto" w:fill="FFFFFF"/>
        </w:rPr>
        <w:t>2.4投诉人在全国范围12个月内三次以上投诉查无实据的，由财政部门列入不良行为记录名单。</w:t>
      </w:r>
    </w:p>
    <w:p w14:paraId="0B12D29A">
      <w:pPr>
        <w:spacing w:line="360" w:lineRule="auto"/>
        <w:ind w:firstLine="420"/>
        <w:rPr>
          <w:rFonts w:ascii="宋体" w:hAnsi="宋体"/>
          <w:shd w:val="clear" w:color="auto" w:fill="FFFFFF"/>
        </w:rPr>
      </w:pPr>
      <w:r>
        <w:rPr>
          <w:rFonts w:ascii="宋体" w:hAnsi="宋体"/>
          <w:shd w:val="clear" w:color="auto" w:fill="FFFFFF"/>
        </w:rPr>
        <w:t>2.5投诉人有下列行为之一的，属于虚假、恶意投诉，由财政部门列入不良行为记录名单，禁止其1至3年内参加政府采购活动：</w:t>
      </w:r>
    </w:p>
    <w:p w14:paraId="4F28A1B2">
      <w:pPr>
        <w:spacing w:line="360" w:lineRule="auto"/>
        <w:ind w:firstLine="420"/>
        <w:rPr>
          <w:rFonts w:ascii="宋体" w:hAnsi="宋体"/>
          <w:shd w:val="clear" w:color="auto" w:fill="FFFFFF"/>
        </w:rPr>
      </w:pPr>
      <w:r>
        <w:rPr>
          <w:rFonts w:ascii="宋体" w:hAnsi="宋体"/>
          <w:shd w:val="clear" w:color="auto" w:fill="FFFFFF"/>
        </w:rPr>
        <w:t>（一）捏造事实</w:t>
      </w:r>
      <w:r>
        <w:rPr>
          <w:rFonts w:hint="eastAsia" w:ascii="宋体" w:hAnsi="宋体"/>
          <w:shd w:val="clear" w:color="auto" w:fill="FFFFFF"/>
        </w:rPr>
        <w:t>；</w:t>
      </w:r>
    </w:p>
    <w:p w14:paraId="0C3DCFC5">
      <w:pPr>
        <w:spacing w:line="360" w:lineRule="auto"/>
        <w:ind w:firstLine="420"/>
        <w:rPr>
          <w:rFonts w:ascii="宋体" w:hAnsi="宋体"/>
          <w:shd w:val="clear" w:color="auto" w:fill="FFFFFF"/>
        </w:rPr>
      </w:pPr>
      <w:r>
        <w:rPr>
          <w:rFonts w:ascii="宋体" w:hAnsi="宋体"/>
          <w:shd w:val="clear" w:color="auto" w:fill="FFFFFF"/>
        </w:rPr>
        <w:t>（二）提供虚假材料</w:t>
      </w:r>
      <w:r>
        <w:rPr>
          <w:rFonts w:hint="eastAsia" w:ascii="宋体" w:hAnsi="宋体"/>
          <w:shd w:val="clear" w:color="auto" w:fill="FFFFFF"/>
        </w:rPr>
        <w:t>；</w:t>
      </w:r>
    </w:p>
    <w:p w14:paraId="40D84926">
      <w:pPr>
        <w:spacing w:line="360" w:lineRule="auto"/>
        <w:ind w:firstLine="420"/>
        <w:rPr>
          <w:rFonts w:ascii="宋体" w:hAnsi="宋体"/>
          <w:shd w:val="clear" w:color="auto" w:fill="FFFFFF"/>
        </w:rPr>
      </w:pPr>
      <w:r>
        <w:rPr>
          <w:rFonts w:ascii="宋体" w:hAnsi="宋体"/>
          <w:shd w:val="clear" w:color="auto" w:fill="FFFFFF"/>
        </w:rPr>
        <w:t>（三）以非法手段取得证明材料。证据来源的合法性存在明显疑问，投诉人无法证明其取得方式合法的，视为以非法手段取得证明材料。</w:t>
      </w:r>
    </w:p>
    <w:p w14:paraId="14706DCA">
      <w:pPr>
        <w:spacing w:line="360" w:lineRule="auto"/>
        <w:ind w:firstLine="420"/>
        <w:rPr>
          <w:rFonts w:ascii="宋体" w:hAnsi="宋体"/>
          <w:bCs/>
          <w:szCs w:val="21"/>
          <w:shd w:val="clear" w:color="auto" w:fill="FFFFFF"/>
        </w:rPr>
      </w:pPr>
      <w:r>
        <w:rPr>
          <w:rFonts w:ascii="宋体" w:hAnsi="宋体"/>
          <w:shd w:val="clear" w:color="auto" w:fill="FFFFFF"/>
        </w:rPr>
        <w:t>2.6</w:t>
      </w:r>
      <w:r>
        <w:rPr>
          <w:rFonts w:ascii="宋体" w:hAnsi="宋体"/>
          <w:bCs/>
          <w:kern w:val="0"/>
          <w:szCs w:val="21"/>
        </w:rPr>
        <w:t>政府采购</w:t>
      </w:r>
      <w:r>
        <w:rPr>
          <w:rFonts w:hint="eastAsia" w:ascii="宋体" w:hAnsi="宋体"/>
          <w:bCs/>
          <w:kern w:val="0"/>
          <w:szCs w:val="21"/>
        </w:rPr>
        <w:t>投标人</w:t>
      </w:r>
      <w:r>
        <w:rPr>
          <w:rFonts w:ascii="宋体" w:hAnsi="宋体"/>
          <w:bCs/>
          <w:kern w:val="0"/>
          <w:szCs w:val="21"/>
        </w:rPr>
        <w:t>质疑函范本，详见</w:t>
      </w:r>
      <w:r>
        <w:rPr>
          <w:rFonts w:hint="eastAsia" w:ascii="宋体" w:hAnsi="宋体"/>
          <w:bCs/>
          <w:kern w:val="0"/>
          <w:szCs w:val="21"/>
        </w:rPr>
        <w:t>格式。</w:t>
      </w:r>
    </w:p>
    <w:p w14:paraId="275C7B78">
      <w:pPr>
        <w:pStyle w:val="39"/>
        <w:snapToGrid w:val="0"/>
        <w:spacing w:before="120" w:after="120"/>
        <w:ind w:firstLine="3626" w:firstLineChars="1290"/>
        <w:rPr>
          <w:rFonts w:hAnsi="宋体" w:eastAsia="宋体"/>
          <w:b/>
          <w:bCs/>
          <w:sz w:val="28"/>
        </w:rPr>
      </w:pPr>
      <w:r>
        <w:rPr>
          <w:rFonts w:hAnsi="宋体" w:eastAsia="宋体"/>
          <w:b/>
          <w:bCs/>
          <w:sz w:val="28"/>
        </w:rPr>
        <w:t>二</w:t>
      </w:r>
      <w:r>
        <w:rPr>
          <w:rFonts w:hint="eastAsia" w:hAnsi="宋体" w:eastAsia="宋体"/>
          <w:b/>
          <w:bCs/>
          <w:sz w:val="28"/>
        </w:rPr>
        <w:t>、采购文件</w:t>
      </w:r>
    </w:p>
    <w:p w14:paraId="746CEDFD">
      <w:pPr>
        <w:snapToGrid w:val="0"/>
        <w:spacing w:line="360" w:lineRule="auto"/>
        <w:jc w:val="left"/>
        <w:rPr>
          <w:rFonts w:ascii="宋体" w:hAnsi="宋体"/>
          <w:b/>
          <w:szCs w:val="21"/>
        </w:rPr>
      </w:pPr>
      <w:r>
        <w:rPr>
          <w:rFonts w:ascii="宋体" w:hAnsi="宋体"/>
          <w:b/>
          <w:szCs w:val="21"/>
        </w:rPr>
        <w:t>（一）</w:t>
      </w:r>
      <w:r>
        <w:rPr>
          <w:rFonts w:hint="eastAsia" w:ascii="宋体" w:hAnsi="宋体"/>
          <w:b/>
          <w:szCs w:val="21"/>
        </w:rPr>
        <w:t>采购文件</w:t>
      </w:r>
      <w:r>
        <w:rPr>
          <w:rFonts w:ascii="宋体" w:hAnsi="宋体"/>
          <w:b/>
          <w:szCs w:val="21"/>
        </w:rPr>
        <w:t>的构成。本</w:t>
      </w:r>
      <w:r>
        <w:rPr>
          <w:rFonts w:hint="eastAsia" w:ascii="宋体" w:hAnsi="宋体"/>
          <w:b/>
          <w:szCs w:val="21"/>
        </w:rPr>
        <w:t>采购文件</w:t>
      </w:r>
      <w:r>
        <w:rPr>
          <w:rFonts w:ascii="宋体" w:hAnsi="宋体"/>
          <w:b/>
          <w:szCs w:val="21"/>
        </w:rPr>
        <w:t>由以下部份组成：</w:t>
      </w:r>
    </w:p>
    <w:p w14:paraId="01D618EA">
      <w:pPr>
        <w:spacing w:line="360" w:lineRule="auto"/>
        <w:ind w:firstLine="420" w:firstLineChars="200"/>
        <w:rPr>
          <w:rFonts w:ascii="宋体" w:hAnsi="宋体"/>
        </w:rPr>
      </w:pPr>
      <w:r>
        <w:rPr>
          <w:rFonts w:ascii="宋体" w:hAnsi="宋体"/>
        </w:rPr>
        <w:t>第一章</w:t>
      </w:r>
      <w:r>
        <w:rPr>
          <w:rFonts w:hint="eastAsia" w:ascii="宋体" w:hAnsi="宋体"/>
        </w:rPr>
        <w:t xml:space="preserve"> 采购</w:t>
      </w:r>
      <w:r>
        <w:rPr>
          <w:rFonts w:ascii="宋体" w:hAnsi="宋体"/>
        </w:rPr>
        <w:t>公告</w:t>
      </w:r>
    </w:p>
    <w:p w14:paraId="77075B87">
      <w:pPr>
        <w:spacing w:line="360" w:lineRule="auto"/>
        <w:ind w:firstLine="420" w:firstLineChars="200"/>
        <w:rPr>
          <w:rFonts w:ascii="宋体" w:hAnsi="宋体"/>
        </w:rPr>
      </w:pPr>
      <w:r>
        <w:rPr>
          <w:rFonts w:ascii="宋体" w:hAnsi="宋体"/>
        </w:rPr>
        <w:t>第二章</w:t>
      </w:r>
      <w:r>
        <w:rPr>
          <w:rFonts w:hint="eastAsia" w:ascii="宋体" w:hAnsi="宋体"/>
        </w:rPr>
        <w:t xml:space="preserve"> </w:t>
      </w:r>
      <w:r>
        <w:rPr>
          <w:rFonts w:ascii="宋体" w:hAnsi="宋体"/>
        </w:rPr>
        <w:t>采购需求</w:t>
      </w:r>
    </w:p>
    <w:p w14:paraId="66E384BC">
      <w:pPr>
        <w:spacing w:line="360" w:lineRule="auto"/>
        <w:ind w:firstLine="420" w:firstLineChars="200"/>
        <w:rPr>
          <w:rFonts w:ascii="宋体" w:hAnsi="宋体"/>
        </w:rPr>
      </w:pPr>
      <w:r>
        <w:rPr>
          <w:rFonts w:ascii="宋体" w:hAnsi="宋体"/>
        </w:rPr>
        <w:t>第三章</w:t>
      </w:r>
      <w:r>
        <w:rPr>
          <w:rFonts w:hint="eastAsia" w:ascii="宋体" w:hAnsi="宋体"/>
        </w:rPr>
        <w:t xml:space="preserve"> 投标人</w:t>
      </w:r>
      <w:r>
        <w:rPr>
          <w:rFonts w:ascii="宋体" w:hAnsi="宋体"/>
        </w:rPr>
        <w:t>须知</w:t>
      </w:r>
    </w:p>
    <w:p w14:paraId="0612F071">
      <w:pPr>
        <w:spacing w:line="360" w:lineRule="auto"/>
        <w:ind w:firstLine="420" w:firstLineChars="200"/>
        <w:rPr>
          <w:rFonts w:ascii="宋体" w:hAnsi="宋体"/>
        </w:rPr>
      </w:pPr>
      <w:r>
        <w:rPr>
          <w:rFonts w:ascii="宋体" w:hAnsi="宋体"/>
        </w:rPr>
        <w:t>第四章</w:t>
      </w:r>
      <w:r>
        <w:rPr>
          <w:rFonts w:hint="eastAsia" w:ascii="宋体" w:hAnsi="宋体"/>
        </w:rPr>
        <w:t xml:space="preserve"> 评标</w:t>
      </w:r>
      <w:r>
        <w:rPr>
          <w:rFonts w:ascii="宋体" w:hAnsi="宋体"/>
        </w:rPr>
        <w:t>办法及标准</w:t>
      </w:r>
    </w:p>
    <w:p w14:paraId="0F8E706C">
      <w:pPr>
        <w:spacing w:line="360" w:lineRule="auto"/>
        <w:ind w:firstLine="420" w:firstLineChars="200"/>
        <w:rPr>
          <w:rFonts w:ascii="宋体" w:hAnsi="宋体"/>
        </w:rPr>
      </w:pPr>
      <w:r>
        <w:rPr>
          <w:rFonts w:ascii="宋体" w:hAnsi="宋体"/>
        </w:rPr>
        <w:t>第五章</w:t>
      </w:r>
      <w:r>
        <w:rPr>
          <w:rFonts w:hint="eastAsia" w:ascii="宋体" w:hAnsi="宋体"/>
        </w:rPr>
        <w:t xml:space="preserve"> </w:t>
      </w:r>
      <w:r>
        <w:rPr>
          <w:rFonts w:ascii="宋体" w:hAnsi="宋体"/>
        </w:rPr>
        <w:t>合同主要条款</w:t>
      </w:r>
    </w:p>
    <w:p w14:paraId="7BDA7731">
      <w:pPr>
        <w:spacing w:line="360" w:lineRule="auto"/>
        <w:ind w:firstLine="420" w:firstLineChars="200"/>
        <w:rPr>
          <w:rFonts w:ascii="宋体" w:hAnsi="宋体"/>
        </w:rPr>
      </w:pPr>
      <w:r>
        <w:rPr>
          <w:rFonts w:ascii="宋体" w:hAnsi="宋体"/>
        </w:rPr>
        <w:t>第六章</w:t>
      </w:r>
      <w:r>
        <w:rPr>
          <w:rFonts w:hint="eastAsia" w:ascii="宋体" w:hAnsi="宋体"/>
        </w:rPr>
        <w:t xml:space="preserve"> 投标文件相关格式</w:t>
      </w:r>
    </w:p>
    <w:p w14:paraId="684B7277">
      <w:pPr>
        <w:snapToGrid w:val="0"/>
        <w:spacing w:line="360" w:lineRule="auto"/>
        <w:jc w:val="left"/>
        <w:rPr>
          <w:rFonts w:ascii="宋体" w:hAnsi="宋体"/>
          <w:b/>
          <w:szCs w:val="21"/>
        </w:rPr>
      </w:pPr>
      <w:r>
        <w:rPr>
          <w:rFonts w:ascii="宋体" w:hAnsi="宋体"/>
          <w:b/>
          <w:szCs w:val="21"/>
        </w:rPr>
        <w:t>（二）</w:t>
      </w:r>
      <w:r>
        <w:rPr>
          <w:rFonts w:hint="eastAsia" w:ascii="宋体" w:hAnsi="宋体"/>
          <w:b/>
          <w:szCs w:val="21"/>
        </w:rPr>
        <w:t>投标人</w:t>
      </w:r>
      <w:r>
        <w:rPr>
          <w:rFonts w:ascii="宋体" w:hAnsi="宋体"/>
          <w:b/>
          <w:szCs w:val="21"/>
        </w:rPr>
        <w:t>的风险</w:t>
      </w:r>
    </w:p>
    <w:p w14:paraId="7BA5280A">
      <w:pPr>
        <w:spacing w:line="360" w:lineRule="auto"/>
        <w:ind w:firstLine="420" w:firstLineChars="200"/>
        <w:rPr>
          <w:rFonts w:ascii="宋体" w:hAnsi="宋体"/>
          <w:szCs w:val="21"/>
        </w:rPr>
      </w:pPr>
      <w:r>
        <w:rPr>
          <w:rFonts w:hint="eastAsia" w:ascii="宋体" w:hAnsi="宋体"/>
          <w:szCs w:val="21"/>
        </w:rPr>
        <w:t>投标人</w:t>
      </w:r>
      <w:r>
        <w:rPr>
          <w:rFonts w:ascii="宋体" w:hAnsi="宋体"/>
          <w:szCs w:val="21"/>
        </w:rPr>
        <w:t>没有按照</w:t>
      </w:r>
      <w:r>
        <w:rPr>
          <w:rFonts w:hint="eastAsia" w:ascii="宋体" w:hAnsi="宋体"/>
          <w:szCs w:val="21"/>
        </w:rPr>
        <w:t>采购文件</w:t>
      </w:r>
      <w:r>
        <w:rPr>
          <w:rFonts w:ascii="宋体" w:hAnsi="宋体"/>
          <w:szCs w:val="21"/>
        </w:rPr>
        <w:t>要求提供全部资料，或者</w:t>
      </w:r>
      <w:r>
        <w:rPr>
          <w:rFonts w:hint="eastAsia" w:ascii="宋体" w:hAnsi="宋体"/>
          <w:szCs w:val="21"/>
        </w:rPr>
        <w:t>投标人</w:t>
      </w:r>
      <w:r>
        <w:rPr>
          <w:rFonts w:ascii="宋体" w:hAnsi="宋体"/>
          <w:szCs w:val="21"/>
        </w:rPr>
        <w:t>没有对</w:t>
      </w:r>
      <w:r>
        <w:rPr>
          <w:rFonts w:hint="eastAsia" w:ascii="宋体" w:hAnsi="宋体"/>
          <w:szCs w:val="21"/>
        </w:rPr>
        <w:t>采购文件</w:t>
      </w:r>
      <w:r>
        <w:rPr>
          <w:rFonts w:ascii="宋体" w:hAnsi="宋体"/>
          <w:szCs w:val="21"/>
        </w:rPr>
        <w:t>在各方面作出实质性响应是</w:t>
      </w:r>
      <w:r>
        <w:rPr>
          <w:rFonts w:hint="eastAsia" w:ascii="宋体" w:hAnsi="宋体"/>
          <w:szCs w:val="21"/>
        </w:rPr>
        <w:t>投标人</w:t>
      </w:r>
      <w:r>
        <w:rPr>
          <w:rFonts w:ascii="宋体" w:hAnsi="宋体"/>
          <w:szCs w:val="21"/>
        </w:rPr>
        <w:t>的风险，</w:t>
      </w:r>
      <w:r>
        <w:rPr>
          <w:rFonts w:hint="eastAsia" w:ascii="宋体" w:cs="宋体"/>
          <w:szCs w:val="21"/>
        </w:rPr>
        <w:t>责任自负</w:t>
      </w:r>
      <w:r>
        <w:rPr>
          <w:rFonts w:ascii="宋体" w:hAnsi="宋体"/>
          <w:szCs w:val="21"/>
        </w:rPr>
        <w:t>。</w:t>
      </w:r>
    </w:p>
    <w:p w14:paraId="60342E3E">
      <w:pPr>
        <w:snapToGrid w:val="0"/>
        <w:spacing w:line="360" w:lineRule="auto"/>
        <w:jc w:val="left"/>
        <w:rPr>
          <w:rFonts w:ascii="宋体" w:hAnsi="宋体"/>
          <w:b/>
          <w:szCs w:val="21"/>
        </w:rPr>
      </w:pPr>
      <w:r>
        <w:rPr>
          <w:rFonts w:ascii="宋体" w:hAnsi="宋体"/>
          <w:b/>
          <w:szCs w:val="21"/>
        </w:rPr>
        <w:t>（三）</w:t>
      </w:r>
      <w:r>
        <w:rPr>
          <w:rFonts w:hint="eastAsia" w:ascii="宋体" w:hAnsi="宋体"/>
          <w:b/>
          <w:szCs w:val="21"/>
        </w:rPr>
        <w:t>采购文件</w:t>
      </w:r>
      <w:r>
        <w:rPr>
          <w:rFonts w:ascii="宋体" w:hAnsi="宋体"/>
          <w:b/>
          <w:szCs w:val="21"/>
        </w:rPr>
        <w:t>的澄清与修改</w:t>
      </w:r>
    </w:p>
    <w:p w14:paraId="6D5D3B5E">
      <w:pPr>
        <w:pStyle w:val="39"/>
        <w:widowControl/>
        <w:snapToGrid w:val="0"/>
        <w:spacing w:beforeLines="0" w:afterLines="0" w:line="360" w:lineRule="auto"/>
        <w:ind w:firstLine="420" w:firstLineChars="200"/>
        <w:rPr>
          <w:rFonts w:hAnsi="宋体" w:eastAsia="宋体"/>
          <w:sz w:val="21"/>
        </w:rPr>
      </w:pPr>
      <w:r>
        <w:rPr>
          <w:rFonts w:hAnsi="宋体" w:eastAsia="宋体"/>
          <w:sz w:val="21"/>
        </w:rPr>
        <w:t>1、招标</w:t>
      </w:r>
      <w:r>
        <w:rPr>
          <w:rFonts w:hint="eastAsia" w:hAnsi="宋体" w:eastAsia="宋体"/>
          <w:sz w:val="21"/>
        </w:rPr>
        <w:t>、</w:t>
      </w:r>
      <w:r>
        <w:rPr>
          <w:rFonts w:hAnsi="宋体" w:eastAsia="宋体"/>
          <w:sz w:val="21"/>
        </w:rPr>
        <w:t>采购单位对已发出的</w:t>
      </w:r>
      <w:r>
        <w:rPr>
          <w:rFonts w:hint="eastAsia" w:hAnsi="宋体" w:eastAsia="宋体"/>
          <w:sz w:val="21"/>
        </w:rPr>
        <w:t>采购文件</w:t>
      </w:r>
      <w:r>
        <w:rPr>
          <w:rFonts w:hAnsi="宋体" w:eastAsia="宋体"/>
          <w:sz w:val="21"/>
        </w:rPr>
        <w:t>进行必要澄清、答复、修改或补充的，应当在</w:t>
      </w:r>
      <w:r>
        <w:rPr>
          <w:rFonts w:hint="eastAsia" w:hAnsi="宋体" w:eastAsia="宋体"/>
          <w:sz w:val="21"/>
        </w:rPr>
        <w:t>采购文件</w:t>
      </w:r>
      <w:r>
        <w:rPr>
          <w:rFonts w:hAnsi="宋体" w:eastAsia="宋体"/>
          <w:sz w:val="21"/>
        </w:rPr>
        <w:t>要求提交投标文件截止时间15天前，在财政部门指定的政府采购信息发布媒体上发布更正公告，并通知所有已报名的潜在投标人。</w:t>
      </w:r>
    </w:p>
    <w:p w14:paraId="69FE543D">
      <w:pPr>
        <w:pStyle w:val="39"/>
        <w:widowControl/>
        <w:snapToGrid w:val="0"/>
        <w:spacing w:beforeLines="0" w:afterLines="0" w:line="360" w:lineRule="auto"/>
        <w:ind w:firstLine="420" w:firstLineChars="200"/>
        <w:rPr>
          <w:rFonts w:hAnsi="宋体" w:eastAsia="宋体"/>
          <w:sz w:val="21"/>
        </w:rPr>
      </w:pPr>
      <w:r>
        <w:rPr>
          <w:rFonts w:hAnsi="宋体" w:eastAsia="宋体"/>
          <w:sz w:val="21"/>
        </w:rPr>
        <w:t>2、</w:t>
      </w:r>
      <w:r>
        <w:rPr>
          <w:rFonts w:hint="eastAsia" w:hAnsi="宋体" w:eastAsia="宋体"/>
          <w:sz w:val="21"/>
        </w:rPr>
        <w:t>采购文件</w:t>
      </w:r>
      <w:r>
        <w:rPr>
          <w:rFonts w:hAnsi="宋体" w:eastAsia="宋体"/>
          <w:sz w:val="21"/>
        </w:rPr>
        <w:t>的答复、澄清、修改、补充通知实质上改变采购需求相关内容，且自</w:t>
      </w:r>
      <w:r>
        <w:rPr>
          <w:rFonts w:hint="eastAsia" w:hAnsi="宋体" w:eastAsia="宋体"/>
          <w:sz w:val="21"/>
        </w:rPr>
        <w:t>采购文件</w:t>
      </w:r>
      <w:r>
        <w:rPr>
          <w:rFonts w:hAnsi="宋体" w:eastAsia="宋体"/>
          <w:sz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650F2226">
      <w:pPr>
        <w:pStyle w:val="39"/>
        <w:widowControl/>
        <w:snapToGrid w:val="0"/>
        <w:spacing w:beforeLines="0" w:afterLines="0" w:line="360" w:lineRule="auto"/>
        <w:ind w:firstLine="420" w:firstLineChars="200"/>
        <w:rPr>
          <w:rFonts w:hAnsi="宋体" w:eastAsia="宋体"/>
          <w:sz w:val="21"/>
        </w:rPr>
      </w:pPr>
      <w:r>
        <w:rPr>
          <w:rFonts w:hAnsi="宋体" w:eastAsia="宋体"/>
          <w:sz w:val="21"/>
        </w:rPr>
        <w:t>3、</w:t>
      </w:r>
      <w:r>
        <w:rPr>
          <w:rFonts w:hint="eastAsia" w:hAnsi="宋体" w:eastAsia="宋体"/>
          <w:sz w:val="21"/>
        </w:rPr>
        <w:t>采购文件</w:t>
      </w:r>
      <w:r>
        <w:rPr>
          <w:rFonts w:hAnsi="宋体" w:eastAsia="宋体"/>
          <w:sz w:val="21"/>
        </w:rPr>
        <w:t>澄清、答复、修改、补充的内容为采购文件的组成部分。当</w:t>
      </w:r>
      <w:r>
        <w:rPr>
          <w:rFonts w:hint="eastAsia" w:hAnsi="宋体" w:eastAsia="宋体"/>
          <w:sz w:val="21"/>
        </w:rPr>
        <w:t>采购文件</w:t>
      </w:r>
      <w:r>
        <w:rPr>
          <w:rFonts w:hAnsi="宋体" w:eastAsia="宋体"/>
          <w:sz w:val="21"/>
        </w:rPr>
        <w:t>与</w:t>
      </w:r>
      <w:r>
        <w:rPr>
          <w:rFonts w:hint="eastAsia" w:hAnsi="宋体" w:eastAsia="宋体"/>
          <w:sz w:val="21"/>
        </w:rPr>
        <w:t>采购文件</w:t>
      </w:r>
      <w:r>
        <w:rPr>
          <w:rFonts w:hAnsi="宋体" w:eastAsia="宋体"/>
          <w:sz w:val="21"/>
        </w:rPr>
        <w:t>的答复、澄清、修改、补充通知就同一内容的表述不一致时，以最后发出的变更公告为准。</w:t>
      </w:r>
    </w:p>
    <w:p w14:paraId="4961EDEA">
      <w:pPr>
        <w:pStyle w:val="39"/>
        <w:widowControl/>
        <w:snapToGrid w:val="0"/>
        <w:spacing w:beforeLines="0" w:afterLines="0" w:line="360" w:lineRule="auto"/>
        <w:ind w:firstLine="420" w:firstLineChars="200"/>
        <w:rPr>
          <w:rFonts w:hAnsi="宋体" w:eastAsia="宋体"/>
          <w:sz w:val="21"/>
        </w:rPr>
      </w:pPr>
      <w:r>
        <w:rPr>
          <w:rFonts w:hint="eastAsia" w:hAnsi="宋体" w:eastAsia="宋体"/>
          <w:sz w:val="21"/>
        </w:rPr>
        <w:t>4、采购文件的澄清、答复、修改或补充都应该通过本代理机构以法定形式发布。</w:t>
      </w:r>
    </w:p>
    <w:p w14:paraId="58957A1E">
      <w:pPr>
        <w:pStyle w:val="39"/>
        <w:snapToGrid w:val="0"/>
        <w:spacing w:before="120" w:after="120"/>
        <w:ind w:firstLine="3626" w:firstLineChars="1290"/>
        <w:rPr>
          <w:rFonts w:hAnsi="宋体" w:eastAsia="宋体"/>
          <w:b/>
          <w:bCs/>
          <w:sz w:val="28"/>
        </w:rPr>
      </w:pPr>
      <w:r>
        <w:rPr>
          <w:rFonts w:hAnsi="宋体" w:eastAsia="宋体"/>
          <w:b/>
          <w:bCs/>
          <w:sz w:val="28"/>
        </w:rPr>
        <w:t>三、</w:t>
      </w:r>
      <w:r>
        <w:rPr>
          <w:rFonts w:hint="eastAsia" w:hAnsi="宋体" w:eastAsia="宋体"/>
          <w:b/>
          <w:bCs/>
          <w:sz w:val="28"/>
        </w:rPr>
        <w:t>投标</w:t>
      </w:r>
      <w:r>
        <w:rPr>
          <w:rFonts w:hAnsi="宋体" w:eastAsia="宋体"/>
          <w:b/>
          <w:bCs/>
          <w:sz w:val="28"/>
        </w:rPr>
        <w:t>文件的编制</w:t>
      </w:r>
    </w:p>
    <w:p w14:paraId="7CCA21FC">
      <w:pPr>
        <w:pStyle w:val="3"/>
        <w:spacing w:after="0" w:line="360" w:lineRule="auto"/>
        <w:ind w:firstLine="211" w:firstLineChars="100"/>
        <w:rPr>
          <w:rFonts w:ascii="宋体" w:hAnsi="宋体"/>
          <w:b/>
          <w:sz w:val="21"/>
          <w:szCs w:val="21"/>
        </w:rPr>
      </w:pPr>
      <w:bookmarkStart w:id="14" w:name="_Toc480187579"/>
      <w:r>
        <w:rPr>
          <w:rFonts w:hint="eastAsia" w:ascii="宋体" w:hAnsi="宋体"/>
          <w:b/>
          <w:sz w:val="21"/>
          <w:szCs w:val="21"/>
        </w:rPr>
        <w:t>（一）投标文件的签署</w:t>
      </w:r>
    </w:p>
    <w:p w14:paraId="5F74FF59">
      <w:pPr>
        <w:pStyle w:val="3"/>
        <w:spacing w:after="0" w:line="360" w:lineRule="auto"/>
        <w:ind w:firstLine="420"/>
        <w:rPr>
          <w:rFonts w:ascii="Times New Roman" w:hAnsi="Times New Roman"/>
          <w:b/>
          <w:bCs/>
          <w:sz w:val="21"/>
          <w:szCs w:val="21"/>
        </w:rPr>
      </w:pPr>
      <w:r>
        <w:rPr>
          <w:rFonts w:hint="eastAsia" w:ascii="Times New Roman" w:hAnsi="Times New Roman"/>
          <w:b/>
          <w:bCs/>
          <w:sz w:val="21"/>
          <w:szCs w:val="21"/>
        </w:rPr>
        <w:t>1.1电子投标文件部分：</w:t>
      </w:r>
    </w:p>
    <w:p w14:paraId="46188E82">
      <w:pPr>
        <w:pStyle w:val="3"/>
        <w:spacing w:after="0" w:line="360" w:lineRule="auto"/>
        <w:ind w:firstLine="420"/>
        <w:rPr>
          <w:rFonts w:ascii="Times New Roman" w:hAnsi="Times New Roman"/>
          <w:sz w:val="21"/>
          <w:szCs w:val="21"/>
        </w:rPr>
      </w:pPr>
      <w:r>
        <w:rPr>
          <w:rFonts w:hint="eastAsia" w:ascii="Times New Roman" w:hAnsi="Times New Roman"/>
          <w:sz w:val="21"/>
          <w:szCs w:val="21"/>
        </w:rPr>
        <w:t>投标人应根据“政采云供应商项目采购-电子交易操作指南”及本招标文件规定的格式和顺序编制电子投标文件并进行关联定位。</w:t>
      </w:r>
    </w:p>
    <w:p w14:paraId="0176AC2B">
      <w:pPr>
        <w:pStyle w:val="3"/>
        <w:spacing w:after="0" w:line="360" w:lineRule="auto"/>
        <w:ind w:firstLine="420"/>
        <w:rPr>
          <w:rFonts w:ascii="Times New Roman" w:hAnsi="Times New Roman"/>
          <w:b/>
          <w:bCs/>
          <w:sz w:val="21"/>
          <w:szCs w:val="21"/>
        </w:rPr>
      </w:pPr>
      <w:r>
        <w:rPr>
          <w:rFonts w:hint="eastAsia" w:ascii="Times New Roman" w:hAnsi="Times New Roman"/>
          <w:b/>
          <w:bCs/>
          <w:sz w:val="21"/>
          <w:szCs w:val="21"/>
        </w:rPr>
        <w:t>1.2备份投标文件部分：</w:t>
      </w:r>
    </w:p>
    <w:p w14:paraId="3E78CA33">
      <w:pPr>
        <w:pStyle w:val="39"/>
        <w:snapToGrid w:val="0"/>
        <w:spacing w:beforeLines="0" w:afterLines="0" w:line="360" w:lineRule="auto"/>
        <w:ind w:right="-506" w:rightChars="-241" w:firstLine="420" w:firstLineChars="200"/>
        <w:rPr>
          <w:rFonts w:hAnsi="宋体" w:eastAsia="宋体"/>
          <w:b/>
          <w:sz w:val="28"/>
          <w:szCs w:val="28"/>
        </w:rPr>
      </w:pPr>
      <w:r>
        <w:rPr>
          <w:rFonts w:hint="eastAsia" w:ascii="Times New Roman" w:hAnsi="Times New Roman" w:eastAsia="宋体"/>
          <w:sz w:val="21"/>
        </w:rPr>
        <w:t>电子投标文件的备份文件，以DVD光盘或U盘形式存储，并单独密封递交。</w:t>
      </w:r>
    </w:p>
    <w:p w14:paraId="6B7C6F19">
      <w:pPr>
        <w:tabs>
          <w:tab w:val="left" w:pos="0"/>
        </w:tabs>
        <w:spacing w:line="360" w:lineRule="auto"/>
        <w:ind w:firstLine="211" w:firstLineChars="100"/>
        <w:rPr>
          <w:rFonts w:ascii="宋体" w:hAnsi="宋体"/>
          <w:b/>
          <w:szCs w:val="21"/>
        </w:rPr>
      </w:pPr>
      <w:r>
        <w:rPr>
          <w:rFonts w:hint="eastAsia" w:ascii="宋体" w:hAnsi="宋体"/>
          <w:b/>
          <w:szCs w:val="21"/>
        </w:rPr>
        <w:t>（二）投标文件</w:t>
      </w:r>
      <w:r>
        <w:rPr>
          <w:rFonts w:ascii="宋体" w:hAnsi="宋体"/>
          <w:b/>
          <w:szCs w:val="21"/>
        </w:rPr>
        <w:t>的组成</w:t>
      </w:r>
    </w:p>
    <w:p w14:paraId="4E53898B">
      <w:pPr>
        <w:tabs>
          <w:tab w:val="left" w:pos="0"/>
        </w:tabs>
        <w:spacing w:line="360" w:lineRule="auto"/>
        <w:ind w:firstLine="422" w:firstLineChars="200"/>
        <w:rPr>
          <w:rFonts w:ascii="宋体" w:hAnsi="宋体"/>
          <w:b/>
          <w:bCs/>
          <w:szCs w:val="21"/>
        </w:rPr>
      </w:pPr>
      <w:r>
        <w:rPr>
          <w:rFonts w:hint="eastAsia" w:ascii="宋体" w:hAnsi="宋体"/>
          <w:b/>
          <w:bCs/>
          <w:szCs w:val="21"/>
        </w:rPr>
        <w:t>投标</w:t>
      </w:r>
      <w:r>
        <w:rPr>
          <w:rFonts w:ascii="宋体" w:hAnsi="宋体"/>
          <w:b/>
          <w:bCs/>
          <w:szCs w:val="21"/>
        </w:rPr>
        <w:t>文件由</w:t>
      </w:r>
      <w:r>
        <w:rPr>
          <w:rFonts w:hint="eastAsia" w:ascii="宋体" w:hAnsi="宋体"/>
          <w:b/>
          <w:bCs/>
          <w:szCs w:val="21"/>
        </w:rPr>
        <w:t>资格响应文件</w:t>
      </w:r>
      <w:r>
        <w:rPr>
          <w:rFonts w:ascii="宋体" w:hAnsi="宋体"/>
          <w:b/>
          <w:bCs/>
          <w:szCs w:val="21"/>
        </w:rPr>
        <w:t>、</w:t>
      </w:r>
      <w:r>
        <w:rPr>
          <w:rFonts w:hint="eastAsia" w:ascii="宋体" w:hAnsi="宋体"/>
          <w:b/>
          <w:bCs/>
          <w:szCs w:val="21"/>
        </w:rPr>
        <w:t>商务及技术响应文件</w:t>
      </w:r>
      <w:r>
        <w:rPr>
          <w:rFonts w:ascii="宋体" w:hAnsi="宋体"/>
          <w:b/>
          <w:bCs/>
          <w:szCs w:val="21"/>
        </w:rPr>
        <w:t>、报价</w:t>
      </w:r>
      <w:r>
        <w:rPr>
          <w:rFonts w:hint="eastAsia" w:ascii="宋体" w:hAnsi="宋体"/>
          <w:b/>
          <w:bCs/>
          <w:szCs w:val="21"/>
        </w:rPr>
        <w:t>文件三</w:t>
      </w:r>
      <w:r>
        <w:rPr>
          <w:rFonts w:ascii="宋体" w:hAnsi="宋体"/>
          <w:b/>
          <w:bCs/>
          <w:szCs w:val="21"/>
        </w:rPr>
        <w:t>部份组成。</w:t>
      </w:r>
      <w:r>
        <w:rPr>
          <w:rFonts w:hint="eastAsia" w:ascii="Times New Roman" w:hAnsi="Times New Roman"/>
          <w:szCs w:val="21"/>
        </w:rPr>
        <w:t>电子投标文件中所须加盖公章部分均采用CA签章。</w:t>
      </w:r>
    </w:p>
    <w:p w14:paraId="3D2DF4BB">
      <w:pPr>
        <w:pageBreakBefore w:val="0"/>
        <w:kinsoku/>
        <w:wordWrap/>
        <w:overflowPunct/>
        <w:topLinePunct w:val="0"/>
        <w:bidi w:val="0"/>
        <w:snapToGrid w:val="0"/>
        <w:spacing w:line="360" w:lineRule="exact"/>
        <w:ind w:firstLine="413" w:firstLineChars="196"/>
        <w:jc w:val="left"/>
        <w:outlineLvl w:val="0"/>
        <w:rPr>
          <w:rFonts w:hint="eastAsia" w:ascii="宋体" w:hAnsi="宋体" w:eastAsia="宋体" w:cs="宋体"/>
          <w:b/>
          <w:color w:val="auto"/>
          <w:szCs w:val="21"/>
        </w:rPr>
      </w:pPr>
      <w:r>
        <w:rPr>
          <w:rFonts w:hint="eastAsia" w:ascii="宋体" w:hAnsi="宋体" w:eastAsia="宋体" w:cs="宋体"/>
          <w:b/>
          <w:color w:val="auto"/>
          <w:szCs w:val="21"/>
        </w:rPr>
        <w:t>1、资格证明部份：</w:t>
      </w:r>
    </w:p>
    <w:p w14:paraId="29DC0BAA">
      <w:pPr>
        <w:pageBreakBefore w:val="0"/>
        <w:kinsoku/>
        <w:wordWrap/>
        <w:overflowPunct/>
        <w:topLinePunct w:val="0"/>
        <w:bidi w:val="0"/>
        <w:snapToGrid w:val="0"/>
        <w:spacing w:line="36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t>1.1基本资格条件：符合《中华人民共和国政府采购法》第二十二条的规定；</w:t>
      </w:r>
    </w:p>
    <w:p w14:paraId="58228190">
      <w:pPr>
        <w:pageBreakBefore w:val="0"/>
        <w:kinsoku/>
        <w:wordWrap/>
        <w:overflowPunct/>
        <w:topLinePunct w:val="0"/>
        <w:bidi w:val="0"/>
        <w:snapToGrid w:val="0"/>
        <w:spacing w:line="36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t>（以下是第二十二条要求及对应证明材料的具体内容，各</w:t>
      </w:r>
      <w:r>
        <w:rPr>
          <w:rFonts w:hint="eastAsia" w:ascii="宋体" w:hAnsi="宋体" w:eastAsia="宋体" w:cs="宋体"/>
          <w:color w:val="auto"/>
          <w:szCs w:val="21"/>
          <w:lang w:eastAsia="zh-CN"/>
        </w:rPr>
        <w:t>响应人</w:t>
      </w:r>
      <w:r>
        <w:rPr>
          <w:rFonts w:hint="eastAsia" w:ascii="宋体" w:hAnsi="宋体" w:eastAsia="宋体" w:cs="宋体"/>
          <w:color w:val="auto"/>
          <w:szCs w:val="21"/>
        </w:rPr>
        <w:t>须在</w:t>
      </w:r>
      <w:r>
        <w:rPr>
          <w:rFonts w:hint="eastAsia" w:ascii="宋体" w:hAnsi="宋体" w:cs="宋体"/>
          <w:color w:val="auto"/>
          <w:szCs w:val="21"/>
          <w:lang w:eastAsia="zh-CN"/>
        </w:rPr>
        <w:t>响应文件</w:t>
      </w:r>
      <w:r>
        <w:rPr>
          <w:rFonts w:hint="eastAsia" w:ascii="宋体" w:hAnsi="宋体" w:eastAsia="宋体" w:cs="宋体"/>
          <w:color w:val="auto"/>
          <w:szCs w:val="21"/>
        </w:rPr>
        <w:t>中出具对应证明材料）</w:t>
      </w:r>
    </w:p>
    <w:p w14:paraId="7F1B6691">
      <w:pPr>
        <w:pageBreakBefore w:val="0"/>
        <w:kinsoku/>
        <w:wordWrap/>
        <w:overflowPunct/>
        <w:topLinePunct w:val="0"/>
        <w:bidi w:val="0"/>
        <w:snapToGrid w:val="0"/>
        <w:spacing w:line="360" w:lineRule="exact"/>
        <w:ind w:firstLine="426" w:firstLineChars="202"/>
        <w:jc w:val="left"/>
        <w:rPr>
          <w:rFonts w:hint="eastAsia" w:ascii="宋体" w:hAnsi="宋体" w:eastAsia="宋体" w:cs="宋体"/>
          <w:b/>
          <w:bCs/>
          <w:color w:val="auto"/>
          <w:szCs w:val="21"/>
        </w:rPr>
      </w:pPr>
      <w:r>
        <w:rPr>
          <w:rFonts w:hint="eastAsia" w:ascii="宋体" w:hAnsi="宋体" w:eastAsia="宋体" w:cs="宋体"/>
          <w:b/>
          <w:bCs/>
          <w:color w:val="auto"/>
          <w:szCs w:val="21"/>
        </w:rPr>
        <w:t>A.具有独立承担民事责任的能力：</w:t>
      </w:r>
    </w:p>
    <w:p w14:paraId="523A71EA">
      <w:pPr>
        <w:pageBreakBefore w:val="0"/>
        <w:kinsoku/>
        <w:wordWrap/>
        <w:overflowPunct/>
        <w:topLinePunct w:val="0"/>
        <w:bidi w:val="0"/>
        <w:snapToGrid w:val="0"/>
        <w:spacing w:line="36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lang w:eastAsia="zh-CN"/>
        </w:rPr>
        <w:t>响应人</w:t>
      </w:r>
      <w:r>
        <w:rPr>
          <w:rFonts w:hint="eastAsia" w:ascii="宋体" w:hAnsi="宋体" w:eastAsia="宋体" w:cs="宋体"/>
          <w:color w:val="auto"/>
          <w:szCs w:val="21"/>
        </w:rPr>
        <w:t>须在</w:t>
      </w:r>
      <w:r>
        <w:rPr>
          <w:rFonts w:hint="eastAsia" w:ascii="宋体" w:hAnsi="宋体" w:cs="宋体"/>
          <w:color w:val="auto"/>
          <w:szCs w:val="21"/>
          <w:lang w:eastAsia="zh-CN"/>
        </w:rPr>
        <w:t>响应文件</w:t>
      </w:r>
      <w:r>
        <w:rPr>
          <w:rFonts w:hint="eastAsia" w:ascii="宋体" w:hAnsi="宋体" w:eastAsia="宋体" w:cs="宋体"/>
          <w:color w:val="auto"/>
          <w:szCs w:val="21"/>
        </w:rPr>
        <w:t>中出具符合以下情况的证明材料</w:t>
      </w:r>
      <w:r>
        <w:rPr>
          <w:rFonts w:hint="eastAsia" w:ascii="宋体" w:hAnsi="宋体" w:cs="宋体"/>
          <w:color w:val="auto"/>
          <w:szCs w:val="21"/>
          <w:lang w:eastAsia="zh-CN"/>
        </w:rPr>
        <w:t>原件扫描件</w:t>
      </w:r>
      <w:r>
        <w:rPr>
          <w:rFonts w:hint="eastAsia" w:ascii="宋体" w:hAnsi="宋体" w:eastAsia="宋体" w:cs="宋体"/>
          <w:color w:val="auto"/>
          <w:szCs w:val="21"/>
        </w:rPr>
        <w:t>（五选一）：</w:t>
      </w:r>
    </w:p>
    <w:p w14:paraId="593A2A47">
      <w:pPr>
        <w:pageBreakBefore w:val="0"/>
        <w:kinsoku/>
        <w:wordWrap/>
        <w:overflowPunct/>
        <w:topLinePunct w:val="0"/>
        <w:bidi w:val="0"/>
        <w:snapToGrid w:val="0"/>
        <w:spacing w:line="36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EQ \o\ac(○,1)</w:instrText>
      </w:r>
      <w:r>
        <w:rPr>
          <w:rFonts w:hint="eastAsia" w:ascii="宋体" w:hAnsi="宋体" w:eastAsia="宋体" w:cs="宋体"/>
          <w:color w:val="auto"/>
          <w:szCs w:val="21"/>
        </w:rPr>
        <w:fldChar w:fldCharType="end"/>
      </w:r>
      <w:r>
        <w:rPr>
          <w:rFonts w:hint="eastAsia" w:ascii="宋体" w:hAnsi="宋体" w:eastAsia="宋体" w:cs="宋体"/>
          <w:color w:val="auto"/>
          <w:szCs w:val="21"/>
        </w:rPr>
        <w:t>如</w:t>
      </w:r>
      <w:r>
        <w:rPr>
          <w:rFonts w:hint="eastAsia" w:ascii="宋体" w:hAnsi="宋体" w:eastAsia="宋体" w:cs="宋体"/>
          <w:color w:val="auto"/>
          <w:szCs w:val="21"/>
          <w:lang w:eastAsia="zh-CN"/>
        </w:rPr>
        <w:t>响应人</w:t>
      </w:r>
      <w:r>
        <w:rPr>
          <w:rFonts w:hint="eastAsia" w:ascii="宋体" w:hAnsi="宋体" w:eastAsia="宋体" w:cs="宋体"/>
          <w:color w:val="auto"/>
          <w:szCs w:val="21"/>
        </w:rPr>
        <w:t>是企业（包括合伙企业），提供在工商部门注册的有效“企业法人营业执照”或“营业执照”；</w:t>
      </w:r>
    </w:p>
    <w:p w14:paraId="351808AC">
      <w:pPr>
        <w:pageBreakBefore w:val="0"/>
        <w:kinsoku/>
        <w:wordWrap/>
        <w:overflowPunct/>
        <w:topLinePunct w:val="0"/>
        <w:bidi w:val="0"/>
        <w:snapToGrid w:val="0"/>
        <w:spacing w:line="36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EQ \o\ac(○,2)</w:instrText>
      </w:r>
      <w:r>
        <w:rPr>
          <w:rFonts w:hint="eastAsia" w:ascii="宋体" w:hAnsi="宋体" w:eastAsia="宋体" w:cs="宋体"/>
          <w:color w:val="auto"/>
          <w:szCs w:val="21"/>
        </w:rPr>
        <w:fldChar w:fldCharType="end"/>
      </w:r>
      <w:r>
        <w:rPr>
          <w:rFonts w:hint="eastAsia" w:ascii="宋体" w:hAnsi="宋体" w:eastAsia="宋体" w:cs="宋体"/>
          <w:color w:val="auto"/>
          <w:szCs w:val="21"/>
        </w:rPr>
        <w:t>如</w:t>
      </w:r>
      <w:r>
        <w:rPr>
          <w:rFonts w:hint="eastAsia" w:ascii="宋体" w:hAnsi="宋体" w:eastAsia="宋体" w:cs="宋体"/>
          <w:color w:val="auto"/>
          <w:szCs w:val="21"/>
          <w:lang w:eastAsia="zh-CN"/>
        </w:rPr>
        <w:t>响应人</w:t>
      </w:r>
      <w:r>
        <w:rPr>
          <w:rFonts w:hint="eastAsia" w:ascii="宋体" w:hAnsi="宋体" w:eastAsia="宋体" w:cs="宋体"/>
          <w:color w:val="auto"/>
          <w:szCs w:val="21"/>
        </w:rPr>
        <w:t>是事业单位， 提供有效的“事业单位法人证书”；</w:t>
      </w:r>
    </w:p>
    <w:p w14:paraId="51CEF9C5">
      <w:pPr>
        <w:pageBreakBefore w:val="0"/>
        <w:kinsoku/>
        <w:wordWrap/>
        <w:overflowPunct/>
        <w:topLinePunct w:val="0"/>
        <w:bidi w:val="0"/>
        <w:snapToGrid w:val="0"/>
        <w:spacing w:line="36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EQ \o\ac(○,3)</w:instrText>
      </w:r>
      <w:r>
        <w:rPr>
          <w:rFonts w:hint="eastAsia" w:ascii="宋体" w:hAnsi="宋体" w:eastAsia="宋体" w:cs="宋体"/>
          <w:color w:val="auto"/>
          <w:szCs w:val="21"/>
        </w:rPr>
        <w:fldChar w:fldCharType="end"/>
      </w:r>
      <w:r>
        <w:rPr>
          <w:rFonts w:hint="eastAsia" w:ascii="宋体" w:hAnsi="宋体" w:eastAsia="宋体" w:cs="宋体"/>
          <w:color w:val="auto"/>
          <w:szCs w:val="21"/>
        </w:rPr>
        <w:t>如</w:t>
      </w:r>
      <w:r>
        <w:rPr>
          <w:rFonts w:hint="eastAsia" w:ascii="宋体" w:hAnsi="宋体" w:eastAsia="宋体" w:cs="宋体"/>
          <w:color w:val="auto"/>
          <w:szCs w:val="21"/>
          <w:lang w:eastAsia="zh-CN"/>
        </w:rPr>
        <w:t>响应人</w:t>
      </w:r>
      <w:r>
        <w:rPr>
          <w:rFonts w:hint="eastAsia" w:ascii="宋体" w:hAnsi="宋体" w:eastAsia="宋体" w:cs="宋体"/>
          <w:color w:val="auto"/>
          <w:szCs w:val="21"/>
        </w:rPr>
        <w:t>是非企业专业服务机构的，提供执业许可证等证明文件等证明文件；</w:t>
      </w:r>
    </w:p>
    <w:p w14:paraId="2255B44F">
      <w:pPr>
        <w:pageBreakBefore w:val="0"/>
        <w:kinsoku/>
        <w:wordWrap/>
        <w:overflowPunct/>
        <w:topLinePunct w:val="0"/>
        <w:bidi w:val="0"/>
        <w:snapToGrid w:val="0"/>
        <w:spacing w:line="36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EQ \o\ac(○,4)</w:instrText>
      </w:r>
      <w:r>
        <w:rPr>
          <w:rFonts w:hint="eastAsia" w:ascii="宋体" w:hAnsi="宋体" w:eastAsia="宋体" w:cs="宋体"/>
          <w:color w:val="auto"/>
          <w:szCs w:val="21"/>
        </w:rPr>
        <w:fldChar w:fldCharType="end"/>
      </w:r>
      <w:r>
        <w:rPr>
          <w:rFonts w:hint="eastAsia" w:ascii="宋体" w:hAnsi="宋体" w:eastAsia="宋体" w:cs="宋体"/>
          <w:color w:val="auto"/>
          <w:szCs w:val="21"/>
        </w:rPr>
        <w:t>如</w:t>
      </w:r>
      <w:r>
        <w:rPr>
          <w:rFonts w:hint="eastAsia" w:ascii="宋体" w:hAnsi="宋体" w:eastAsia="宋体" w:cs="宋体"/>
          <w:color w:val="auto"/>
          <w:szCs w:val="21"/>
          <w:lang w:eastAsia="zh-CN"/>
        </w:rPr>
        <w:t>响应人</w:t>
      </w:r>
      <w:r>
        <w:rPr>
          <w:rFonts w:hint="eastAsia" w:ascii="宋体" w:hAnsi="宋体" w:eastAsia="宋体" w:cs="宋体"/>
          <w:color w:val="auto"/>
          <w:szCs w:val="21"/>
        </w:rPr>
        <w:t>是个体工商户，提供有效的“个体工商户营业执照”；</w:t>
      </w:r>
    </w:p>
    <w:p w14:paraId="66CBC5D2">
      <w:pPr>
        <w:pageBreakBefore w:val="0"/>
        <w:kinsoku/>
        <w:wordWrap/>
        <w:overflowPunct/>
        <w:topLinePunct w:val="0"/>
        <w:bidi w:val="0"/>
        <w:snapToGrid w:val="0"/>
        <w:spacing w:line="36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EQ \o\ac(○,5)</w:instrText>
      </w:r>
      <w:r>
        <w:rPr>
          <w:rFonts w:hint="eastAsia" w:ascii="宋体" w:hAnsi="宋体" w:eastAsia="宋体" w:cs="宋体"/>
          <w:color w:val="auto"/>
          <w:szCs w:val="21"/>
        </w:rPr>
        <w:fldChar w:fldCharType="end"/>
      </w:r>
      <w:r>
        <w:rPr>
          <w:rFonts w:hint="eastAsia" w:ascii="宋体" w:hAnsi="宋体" w:eastAsia="宋体" w:cs="宋体"/>
          <w:color w:val="auto"/>
          <w:szCs w:val="21"/>
        </w:rPr>
        <w:t>如</w:t>
      </w:r>
      <w:r>
        <w:rPr>
          <w:rFonts w:hint="eastAsia" w:ascii="宋体" w:hAnsi="宋体" w:eastAsia="宋体" w:cs="宋体"/>
          <w:color w:val="auto"/>
          <w:szCs w:val="21"/>
          <w:lang w:eastAsia="zh-CN"/>
        </w:rPr>
        <w:t>响应人</w:t>
      </w:r>
      <w:r>
        <w:rPr>
          <w:rFonts w:hint="eastAsia" w:ascii="宋体" w:hAnsi="宋体" w:eastAsia="宋体" w:cs="宋体"/>
          <w:color w:val="auto"/>
          <w:szCs w:val="21"/>
        </w:rPr>
        <w:t>是自然人，提供有效的自然人身份证明（居民身份证正反面或公安机关出具的临时居民身份证正反面或港澳台胞证或证照）。</w:t>
      </w:r>
    </w:p>
    <w:p w14:paraId="047DFE8F">
      <w:pPr>
        <w:snapToGrid w:val="0"/>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B.具有良好的商业信誉和健全的财务会计制度</w:t>
      </w:r>
      <w:r>
        <w:rPr>
          <w:rFonts w:hint="eastAsia" w:ascii="宋体" w:hAnsi="宋体" w:cs="宋体"/>
          <w:b/>
          <w:bCs/>
          <w:color w:val="auto"/>
          <w:szCs w:val="21"/>
          <w:lang w:eastAsia="zh-CN"/>
        </w:rPr>
        <w:t>，</w:t>
      </w:r>
      <w:r>
        <w:rPr>
          <w:rFonts w:hint="eastAsia" w:ascii="宋体" w:hAnsi="宋体" w:eastAsia="宋体" w:cs="宋体"/>
          <w:b/>
          <w:bCs/>
          <w:color w:val="auto"/>
          <w:szCs w:val="21"/>
        </w:rPr>
        <w:t>具有履行合同所必需的设备和专业技术能力</w:t>
      </w:r>
      <w:r>
        <w:rPr>
          <w:rFonts w:hint="eastAsia" w:ascii="宋体" w:hAnsi="宋体" w:cs="宋体"/>
          <w:b/>
          <w:bCs/>
          <w:color w:val="auto"/>
          <w:szCs w:val="21"/>
          <w:lang w:eastAsia="zh-CN"/>
        </w:rPr>
        <w:t>，</w:t>
      </w:r>
      <w:r>
        <w:rPr>
          <w:rFonts w:hint="eastAsia" w:ascii="宋体" w:hAnsi="宋体" w:eastAsia="宋体" w:cs="宋体"/>
          <w:b/>
          <w:bCs/>
          <w:color w:val="auto"/>
          <w:szCs w:val="21"/>
        </w:rPr>
        <w:t>有依法缴纳税收和社会保障资金的良好记录</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参加政府采购活动前三年内，在经营活动中没有重大违法记录</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s="宋体"/>
          <w:b/>
          <w:bCs/>
          <w:color w:val="auto"/>
          <w:szCs w:val="21"/>
        </w:rPr>
        <w:t>未被“信用中国”（www.creditchina.gov.cn)、中国政府采购网（www.ccgp.gov.cn）列入失信被执行人、重大税收违法案件当事人名单、政府采购严重违法失信行为记录名单。</w:t>
      </w:r>
      <w:r>
        <w:rPr>
          <w:rFonts w:hint="eastAsia" w:ascii="宋体" w:hAnsi="宋体" w:eastAsia="宋体" w:cs="宋体"/>
          <w:b/>
          <w:bCs/>
          <w:color w:val="auto"/>
          <w:szCs w:val="21"/>
          <w:lang w:val="en-US" w:eastAsia="zh-CN"/>
        </w:rPr>
        <w:t>提供投标函；</w:t>
      </w:r>
    </w:p>
    <w:p w14:paraId="4E7AC4CB">
      <w:pPr>
        <w:pageBreakBefore w:val="0"/>
        <w:kinsoku/>
        <w:wordWrap/>
        <w:overflowPunct/>
        <w:topLinePunct w:val="0"/>
        <w:bidi w:val="0"/>
        <w:snapToGrid w:val="0"/>
        <w:spacing w:line="360" w:lineRule="exact"/>
        <w:ind w:firstLine="424" w:firstLineChars="202"/>
        <w:jc w:val="left"/>
        <w:rPr>
          <w:rFonts w:hint="default" w:eastAsia="宋体"/>
          <w:color w:val="auto"/>
          <w:lang w:val="en-US"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法定代表人身份证</w:t>
      </w:r>
      <w:r>
        <w:rPr>
          <w:rFonts w:hint="eastAsia" w:ascii="宋体" w:hAnsi="宋体" w:cs="宋体"/>
          <w:color w:val="auto"/>
          <w:szCs w:val="21"/>
          <w:lang w:val="en-US" w:eastAsia="zh-CN"/>
        </w:rPr>
        <w:t>原件扫描件</w:t>
      </w:r>
      <w:r>
        <w:rPr>
          <w:rFonts w:hint="eastAsia" w:ascii="宋体" w:hAnsi="宋体" w:eastAsia="宋体" w:cs="宋体"/>
          <w:color w:val="auto"/>
          <w:szCs w:val="21"/>
          <w:lang w:val="en-US" w:eastAsia="zh-CN"/>
        </w:rPr>
        <w:t>加盖公章；</w:t>
      </w:r>
    </w:p>
    <w:p w14:paraId="60D19268">
      <w:pPr>
        <w:pageBreakBefore w:val="0"/>
        <w:kinsoku/>
        <w:wordWrap/>
        <w:overflowPunct/>
        <w:topLinePunct w:val="0"/>
        <w:bidi w:val="0"/>
        <w:snapToGrid w:val="0"/>
        <w:spacing w:line="360" w:lineRule="exact"/>
        <w:ind w:firstLine="424" w:firstLineChars="202"/>
        <w:jc w:val="left"/>
        <w:rPr>
          <w:rFonts w:hint="default"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cs="宋体"/>
          <w:color w:val="auto"/>
          <w:szCs w:val="21"/>
          <w:lang w:val="en-US" w:eastAsia="zh-CN"/>
        </w:rPr>
        <w:t>2</w:t>
      </w:r>
      <w:r>
        <w:rPr>
          <w:rFonts w:hint="eastAsia" w:ascii="宋体" w:hAnsi="宋体" w:eastAsia="宋体" w:cs="宋体"/>
          <w:color w:val="auto"/>
          <w:szCs w:val="21"/>
        </w:rPr>
        <w:t>《法定代表人授权函》原件</w:t>
      </w:r>
      <w:r>
        <w:rPr>
          <w:rFonts w:hint="eastAsia" w:ascii="宋体" w:hAnsi="宋体" w:cs="宋体"/>
          <w:color w:val="auto"/>
          <w:szCs w:val="21"/>
          <w:lang w:eastAsia="zh-CN"/>
        </w:rPr>
        <w:t>（格式见第六章）</w:t>
      </w:r>
      <w:r>
        <w:rPr>
          <w:rFonts w:hint="eastAsia" w:ascii="宋体" w:hAnsi="宋体" w:eastAsia="宋体" w:cs="宋体"/>
          <w:color w:val="auto"/>
          <w:szCs w:val="21"/>
          <w:lang w:eastAsia="zh-CN"/>
        </w:rPr>
        <w:t>及授权人身份证</w:t>
      </w:r>
      <w:r>
        <w:rPr>
          <w:rFonts w:hint="eastAsia" w:ascii="宋体" w:hAnsi="宋体" w:cs="宋体"/>
          <w:color w:val="auto"/>
          <w:szCs w:val="21"/>
          <w:lang w:eastAsia="zh-CN"/>
        </w:rPr>
        <w:t>原件扫描件</w:t>
      </w:r>
      <w:r>
        <w:rPr>
          <w:rFonts w:hint="eastAsia" w:ascii="宋体" w:hAnsi="宋体" w:eastAsia="宋体" w:cs="宋体"/>
          <w:color w:val="auto"/>
          <w:szCs w:val="21"/>
          <w:lang w:eastAsia="zh-CN"/>
        </w:rPr>
        <w:t>加盖公章（</w:t>
      </w:r>
      <w:r>
        <w:rPr>
          <w:rFonts w:hint="eastAsia" w:ascii="宋体" w:hAnsi="宋体" w:eastAsia="宋体" w:cs="宋体"/>
          <w:color w:val="auto"/>
          <w:szCs w:val="21"/>
        </w:rPr>
        <w:t>非法定代表人参加投标时用</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w:t>
      </w:r>
    </w:p>
    <w:p w14:paraId="1CDED954">
      <w:pPr>
        <w:pStyle w:val="39"/>
        <w:numPr>
          <w:ilvl w:val="0"/>
          <w:numId w:val="5"/>
        </w:numPr>
        <w:snapToGrid w:val="0"/>
        <w:spacing w:before="120" w:after="120" w:line="360" w:lineRule="auto"/>
        <w:ind w:right="-506" w:rightChars="-241" w:firstLine="417" w:firstLineChars="198"/>
        <w:rPr>
          <w:rFonts w:hAnsi="宋体" w:eastAsia="宋体"/>
          <w:b/>
          <w:sz w:val="21"/>
        </w:rPr>
      </w:pPr>
      <w:r>
        <w:rPr>
          <w:rFonts w:hAnsi="宋体" w:eastAsia="宋体"/>
          <w:b/>
          <w:sz w:val="21"/>
        </w:rPr>
        <w:t>商务</w:t>
      </w:r>
      <w:r>
        <w:rPr>
          <w:rFonts w:hint="eastAsia" w:hAnsi="宋体" w:eastAsia="宋体"/>
          <w:b/>
          <w:sz w:val="21"/>
        </w:rPr>
        <w:t>及技术部分</w:t>
      </w:r>
      <w:r>
        <w:rPr>
          <w:rFonts w:hAnsi="宋体" w:eastAsia="宋体"/>
          <w:b/>
          <w:sz w:val="21"/>
        </w:rPr>
        <w:t>：</w:t>
      </w:r>
    </w:p>
    <w:p w14:paraId="6405FDDC">
      <w:pPr>
        <w:spacing w:line="360" w:lineRule="auto"/>
        <w:ind w:firstLine="420" w:firstLineChars="200"/>
        <w:jc w:val="left"/>
        <w:rPr>
          <w:rFonts w:ascii="宋体" w:hAnsi="宋体"/>
          <w:szCs w:val="21"/>
        </w:rPr>
      </w:pPr>
      <w:r>
        <w:rPr>
          <w:rFonts w:hint="eastAsia" w:ascii="宋体" w:hAnsi="宋体"/>
          <w:szCs w:val="21"/>
        </w:rPr>
        <w:t>2.1</w:t>
      </w:r>
      <w:r>
        <w:rPr>
          <w:rFonts w:hint="eastAsia" w:ascii="宋体" w:hAnsi="宋体"/>
          <w:bCs/>
          <w:szCs w:val="21"/>
        </w:rPr>
        <w:t>投标人</w:t>
      </w:r>
      <w:r>
        <w:rPr>
          <w:rFonts w:ascii="宋体" w:hAnsi="宋体"/>
          <w:bCs/>
          <w:szCs w:val="21"/>
        </w:rPr>
        <w:t>基本情况表</w:t>
      </w:r>
      <w:r>
        <w:rPr>
          <w:rFonts w:hint="eastAsia" w:ascii="宋体" w:hAnsi="宋体"/>
          <w:bCs/>
          <w:szCs w:val="21"/>
        </w:rPr>
        <w:t>（如有）</w:t>
      </w:r>
      <w:r>
        <w:rPr>
          <w:rFonts w:ascii="宋体" w:hAnsi="宋体"/>
          <w:bCs/>
          <w:szCs w:val="21"/>
        </w:rPr>
        <w:t>；</w:t>
      </w:r>
    </w:p>
    <w:p w14:paraId="1A6FD816">
      <w:pPr>
        <w:spacing w:line="360" w:lineRule="auto"/>
        <w:ind w:firstLine="420"/>
        <w:rPr>
          <w:rFonts w:ascii="宋体" w:hAnsi="宋体"/>
        </w:rPr>
      </w:pPr>
      <w:r>
        <w:rPr>
          <w:rFonts w:hint="eastAsia" w:ascii="宋体" w:hAnsi="宋体"/>
        </w:rPr>
        <w:t>2.</w:t>
      </w:r>
      <w:r>
        <w:rPr>
          <w:rFonts w:hint="eastAsia" w:ascii="宋体" w:hAnsi="宋体"/>
          <w:lang w:val="en-US" w:eastAsia="zh-CN"/>
        </w:rPr>
        <w:t>2</w:t>
      </w:r>
      <w:r>
        <w:rPr>
          <w:rFonts w:ascii="宋体" w:hAnsi="宋体"/>
        </w:rPr>
        <w:t>成功案例及业绩（如有）；</w:t>
      </w:r>
    </w:p>
    <w:p w14:paraId="5BC077EE">
      <w:pPr>
        <w:pStyle w:val="3"/>
        <w:ind w:firstLine="420" w:firstLineChars="2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3</w:t>
      </w:r>
      <w:r>
        <w:rPr>
          <w:rFonts w:hint="eastAsia" w:ascii="宋体" w:hAnsi="宋体" w:cs="宋体"/>
          <w:sz w:val="21"/>
          <w:szCs w:val="21"/>
        </w:rPr>
        <w:t>评分规则中涉及的所需提交的材料；</w:t>
      </w:r>
    </w:p>
    <w:p w14:paraId="04727515">
      <w:pPr>
        <w:adjustRightInd w:val="0"/>
        <w:snapToGrid w:val="0"/>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4</w:t>
      </w:r>
      <w:r>
        <w:rPr>
          <w:rFonts w:hint="eastAsia" w:ascii="宋体" w:hAnsi="宋体"/>
          <w:szCs w:val="21"/>
        </w:rPr>
        <w:t>本招标文件要求提供的和投标人认为需要提供的其它证书复印件、说明或资料，具体由投标人根据要求进行编制。</w:t>
      </w:r>
    </w:p>
    <w:p w14:paraId="6E1881E4">
      <w:pPr>
        <w:pStyle w:val="39"/>
        <w:snapToGrid w:val="0"/>
        <w:spacing w:before="120" w:after="120" w:line="360" w:lineRule="auto"/>
        <w:ind w:firstLine="422" w:firstLineChars="200"/>
        <w:rPr>
          <w:rFonts w:hAnsi="宋体" w:eastAsia="宋体"/>
          <w:b/>
          <w:sz w:val="21"/>
        </w:rPr>
      </w:pPr>
      <w:r>
        <w:rPr>
          <w:rFonts w:hint="eastAsia" w:hAnsi="宋体" w:eastAsia="宋体"/>
          <w:b/>
          <w:sz w:val="21"/>
        </w:rPr>
        <w:t>3、</w:t>
      </w:r>
      <w:r>
        <w:rPr>
          <w:rFonts w:hAnsi="宋体" w:eastAsia="宋体"/>
          <w:b/>
          <w:sz w:val="21"/>
        </w:rPr>
        <w:t>报价</w:t>
      </w:r>
      <w:r>
        <w:rPr>
          <w:rFonts w:hint="eastAsia" w:hAnsi="宋体" w:eastAsia="宋体"/>
          <w:b/>
          <w:sz w:val="21"/>
        </w:rPr>
        <w:t>部分</w:t>
      </w:r>
      <w:r>
        <w:rPr>
          <w:rFonts w:hAnsi="宋体" w:eastAsia="宋体"/>
          <w:b/>
          <w:sz w:val="21"/>
        </w:rPr>
        <w:t>：</w:t>
      </w:r>
    </w:p>
    <w:p w14:paraId="50938D02">
      <w:pPr>
        <w:spacing w:line="360" w:lineRule="auto"/>
        <w:ind w:firstLine="420"/>
        <w:rPr>
          <w:rFonts w:ascii="宋体" w:hAnsi="宋体"/>
          <w:szCs w:val="21"/>
        </w:rPr>
      </w:pPr>
      <w:r>
        <w:rPr>
          <w:rFonts w:hint="eastAsia" w:ascii="宋体" w:hAnsi="宋体"/>
          <w:szCs w:val="21"/>
        </w:rPr>
        <w:t>3.1</w:t>
      </w:r>
      <w:r>
        <w:rPr>
          <w:rFonts w:ascii="宋体" w:hAnsi="宋体"/>
          <w:szCs w:val="21"/>
        </w:rPr>
        <w:t>中小企业申明函（如</w:t>
      </w:r>
      <w:r>
        <w:rPr>
          <w:rFonts w:hint="eastAsia" w:ascii="宋体" w:hAnsi="宋体"/>
          <w:szCs w:val="21"/>
        </w:rPr>
        <w:t>是</w:t>
      </w:r>
      <w:r>
        <w:rPr>
          <w:rFonts w:ascii="宋体" w:hAnsi="宋体"/>
          <w:szCs w:val="21"/>
        </w:rPr>
        <w:t>）</w:t>
      </w:r>
      <w:r>
        <w:rPr>
          <w:rFonts w:hint="eastAsia" w:ascii="宋体" w:hAnsi="宋体"/>
          <w:szCs w:val="21"/>
        </w:rPr>
        <w:t>；</w:t>
      </w:r>
    </w:p>
    <w:p w14:paraId="0DD5E060">
      <w:pPr>
        <w:pStyle w:val="7"/>
        <w:numPr>
          <w:ilvl w:val="0"/>
          <w:numId w:val="0"/>
        </w:numPr>
        <w:tabs>
          <w:tab w:val="left" w:pos="510"/>
        </w:tabs>
        <w:spacing w:line="360" w:lineRule="auto"/>
        <w:ind w:firstLine="420" w:firstLineChars="200"/>
        <w:rPr>
          <w:rFonts w:ascii="宋体" w:hAnsi="宋体"/>
          <w:szCs w:val="21"/>
        </w:rPr>
      </w:pPr>
      <w:r>
        <w:rPr>
          <w:rFonts w:hint="eastAsia" w:ascii="宋体" w:hAnsi="宋体"/>
          <w:szCs w:val="21"/>
        </w:rPr>
        <w:t>3.2</w:t>
      </w:r>
      <w:r>
        <w:rPr>
          <w:rFonts w:ascii="宋体" w:hAnsi="宋体"/>
          <w:szCs w:val="21"/>
        </w:rPr>
        <w:t>监狱企业声明函（如是）</w:t>
      </w:r>
      <w:r>
        <w:rPr>
          <w:rFonts w:hint="eastAsia" w:ascii="宋体" w:hAnsi="宋体"/>
          <w:szCs w:val="21"/>
        </w:rPr>
        <w:t>；</w:t>
      </w:r>
    </w:p>
    <w:p w14:paraId="642F3E98">
      <w:pPr>
        <w:spacing w:line="360" w:lineRule="auto"/>
        <w:ind w:firstLine="420"/>
        <w:rPr>
          <w:rFonts w:hAnsi="宋体"/>
          <w:b/>
          <w:szCs w:val="21"/>
        </w:rPr>
      </w:pPr>
      <w:r>
        <w:rPr>
          <w:rFonts w:hint="eastAsia" w:ascii="宋体" w:hAnsi="宋体"/>
          <w:szCs w:val="21"/>
        </w:rPr>
        <w:t>3.3</w:t>
      </w:r>
      <w:r>
        <w:rPr>
          <w:rFonts w:ascii="宋体" w:hAnsi="宋体"/>
          <w:szCs w:val="21"/>
        </w:rPr>
        <w:t>残疾人福利性单位声明函（如是）</w:t>
      </w:r>
      <w:r>
        <w:rPr>
          <w:rFonts w:hint="eastAsia" w:ascii="宋体" w:hAnsi="宋体"/>
          <w:szCs w:val="21"/>
        </w:rPr>
        <w:t>；</w:t>
      </w:r>
    </w:p>
    <w:p w14:paraId="2A9EE958">
      <w:pPr>
        <w:snapToGrid w:val="0"/>
        <w:spacing w:line="360" w:lineRule="auto"/>
        <w:ind w:firstLine="420" w:firstLineChars="200"/>
        <w:jc w:val="left"/>
        <w:rPr>
          <w:rFonts w:ascii="宋体" w:hAnsi="宋体" w:cs="宋体"/>
          <w:szCs w:val="21"/>
        </w:rPr>
      </w:pPr>
      <w:r>
        <w:rPr>
          <w:rFonts w:hint="eastAsia" w:ascii="宋体" w:hAnsi="宋体" w:cs="宋体"/>
          <w:szCs w:val="21"/>
        </w:rPr>
        <w:t>3.4投标报价一览表</w:t>
      </w:r>
      <w:r>
        <w:rPr>
          <w:rFonts w:hint="eastAsia" w:ascii="宋体" w:hAnsi="宋体"/>
        </w:rPr>
        <w:t>（格式见附件）</w:t>
      </w:r>
      <w:r>
        <w:rPr>
          <w:rFonts w:hint="eastAsia" w:ascii="宋体" w:hAnsi="宋体" w:cs="宋体"/>
          <w:szCs w:val="21"/>
        </w:rPr>
        <w:t>；</w:t>
      </w:r>
    </w:p>
    <w:p w14:paraId="08DB2E1A">
      <w:pPr>
        <w:tabs>
          <w:tab w:val="left" w:pos="3870"/>
          <w:tab w:val="left" w:pos="4085"/>
        </w:tabs>
        <w:snapToGrid w:val="0"/>
        <w:spacing w:line="360" w:lineRule="auto"/>
        <w:ind w:firstLine="420" w:firstLineChars="200"/>
        <w:jc w:val="left"/>
        <w:rPr>
          <w:rFonts w:ascii="宋体" w:hAnsi="宋体" w:cs="宋体"/>
          <w:szCs w:val="21"/>
        </w:rPr>
      </w:pPr>
      <w:r>
        <w:rPr>
          <w:rFonts w:hint="eastAsia" w:ascii="宋体" w:hAnsi="宋体" w:cs="宋体"/>
          <w:szCs w:val="21"/>
        </w:rPr>
        <w:t>3.5报价明细表</w:t>
      </w:r>
      <w:r>
        <w:rPr>
          <w:rFonts w:hint="eastAsia" w:ascii="宋体" w:hAnsi="宋体"/>
        </w:rPr>
        <w:t>（格式见附件）</w:t>
      </w:r>
      <w:r>
        <w:rPr>
          <w:rFonts w:hint="eastAsia" w:ascii="宋体" w:hAnsi="宋体" w:cs="宋体"/>
          <w:szCs w:val="21"/>
        </w:rPr>
        <w:t>；</w:t>
      </w:r>
    </w:p>
    <w:p w14:paraId="6E9CF724">
      <w:pPr>
        <w:snapToGrid w:val="0"/>
        <w:spacing w:line="360" w:lineRule="auto"/>
        <w:ind w:firstLine="420" w:firstLineChars="200"/>
        <w:jc w:val="left"/>
        <w:rPr>
          <w:rFonts w:ascii="宋体" w:hAnsi="宋体" w:cs="宋体"/>
          <w:szCs w:val="21"/>
        </w:rPr>
      </w:pPr>
      <w:r>
        <w:rPr>
          <w:rFonts w:hint="eastAsia" w:ascii="宋体" w:hAnsi="宋体" w:cs="宋体"/>
          <w:szCs w:val="21"/>
        </w:rPr>
        <w:t>3.6投标人针对报价需要说明的其他文件和说明（如有，格式自拟）。</w:t>
      </w:r>
    </w:p>
    <w:p w14:paraId="019C24E9">
      <w:pPr>
        <w:snapToGrid w:val="0"/>
        <w:spacing w:line="360" w:lineRule="auto"/>
        <w:ind w:right="55" w:firstLine="413" w:firstLineChars="196"/>
        <w:jc w:val="left"/>
        <w:outlineLvl w:val="0"/>
        <w:rPr>
          <w:rFonts w:ascii="宋体" w:hAnsi="宋体"/>
          <w:b/>
          <w:sz w:val="24"/>
        </w:rPr>
      </w:pPr>
      <w:r>
        <w:rPr>
          <w:rFonts w:ascii="宋体" w:hAnsi="宋体"/>
          <w:b/>
          <w:szCs w:val="21"/>
        </w:rPr>
        <w:t>（二）</w:t>
      </w:r>
      <w:r>
        <w:rPr>
          <w:rFonts w:hint="eastAsia" w:ascii="宋体" w:hAnsi="宋体"/>
          <w:b/>
          <w:szCs w:val="21"/>
        </w:rPr>
        <w:t>投标</w:t>
      </w:r>
      <w:r>
        <w:rPr>
          <w:rFonts w:ascii="宋体" w:hAnsi="宋体"/>
          <w:b/>
          <w:szCs w:val="21"/>
        </w:rPr>
        <w:t>文件的语言及计量</w:t>
      </w:r>
    </w:p>
    <w:p w14:paraId="4519E2D2">
      <w:pPr>
        <w:snapToGrid w:val="0"/>
        <w:spacing w:line="360" w:lineRule="auto"/>
        <w:ind w:firstLine="420" w:firstLineChars="200"/>
        <w:jc w:val="left"/>
        <w:rPr>
          <w:rFonts w:ascii="宋体" w:hAnsi="宋体" w:cs="宋体"/>
          <w:szCs w:val="21"/>
        </w:rPr>
      </w:pPr>
      <w:r>
        <w:rPr>
          <w:rFonts w:hint="eastAsia"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14:paraId="35FE08F2">
      <w:pPr>
        <w:snapToGrid w:val="0"/>
        <w:spacing w:line="360" w:lineRule="auto"/>
        <w:ind w:firstLine="420" w:firstLineChars="200"/>
        <w:jc w:val="left"/>
        <w:rPr>
          <w:rFonts w:ascii="宋体" w:hAnsi="宋体" w:cs="宋体"/>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14:paraId="001154F7">
      <w:pPr>
        <w:tabs>
          <w:tab w:val="left" w:pos="0"/>
        </w:tabs>
        <w:spacing w:line="360" w:lineRule="auto"/>
        <w:ind w:firstLine="422" w:firstLineChars="200"/>
        <w:rPr>
          <w:rFonts w:ascii="宋体" w:hAnsi="宋体"/>
          <w:b/>
          <w:szCs w:val="21"/>
        </w:rPr>
      </w:pPr>
      <w:r>
        <w:rPr>
          <w:rFonts w:ascii="宋体" w:hAnsi="宋体"/>
          <w:b/>
          <w:szCs w:val="21"/>
        </w:rPr>
        <w:t>（三）响应报价</w:t>
      </w:r>
    </w:p>
    <w:p w14:paraId="73A95D47">
      <w:pPr>
        <w:snapToGrid w:val="0"/>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1. 投标报价应以人民币报价，是履行合同的最终价格。</w:t>
      </w:r>
    </w:p>
    <w:p w14:paraId="519068FE">
      <w:pPr>
        <w:snapToGrid w:val="0"/>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2、投标文件所确定的采购范围内全部工作内容的价格体现，包括（但不仅限于）本项目方案深化设计费、施工图设计费、效果图制作费、材料（含设备、模型）费、、图纸资料费、差旅费、技术服务费、施工安装费、保修及相关后续服务等各项应有费用，所有费用包含在投标总价中。</w:t>
      </w:r>
    </w:p>
    <w:p w14:paraId="1F6503E2">
      <w:pPr>
        <w:snapToGrid w:val="0"/>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3、技术服务工作应包括：方案深化设计与调整、施工图设计与调整、施工配合、本项目的其他专项设计的配合、验收配合等报批和工程期间的相关技术服务。在方案调整阶段，中标或成交人应根据采购人要求进行方案调整，并根据采购人需要绘制效果图供采购人参考决策，方案设计、施工图设计须经业主认可后方可进行下步工作。供应商在投标报价中应充分考虑。供应商应保证采购人不会由于本工程上使用供应商的工艺技术等而侵犯任何专利权，并保证采购人不会承担与此有关的赔偿、诉讼费及其他开支。供应商的报价应当视为包括了专利使用费等其他方面费用，如有此费用发生，供应商在投标时应将该费用单列。</w:t>
      </w:r>
    </w:p>
    <w:p w14:paraId="2417B2E5">
      <w:pPr>
        <w:snapToGrid w:val="0"/>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4、</w:t>
      </w:r>
      <w:r>
        <w:rPr>
          <w:rFonts w:hint="eastAsia" w:ascii="宋体" w:hAnsi="宋体" w:cs="宋体"/>
          <w:color w:val="auto"/>
          <w:szCs w:val="21"/>
          <w:highlight w:val="none"/>
          <w:lang w:val="en-US" w:eastAsia="zh-CN"/>
        </w:rPr>
        <w:t>本次投标报价在采购范围不变的情况下为一次性包干价，</w:t>
      </w:r>
      <w:r>
        <w:rPr>
          <w:rFonts w:hint="eastAsia" w:ascii="宋体" w:hAnsi="宋体" w:cs="宋体"/>
          <w:szCs w:val="21"/>
          <w:lang w:val="en-US" w:eastAsia="zh-CN"/>
        </w:rPr>
        <w:t>凡影响投标报价的所有相关费用应列入本次报价中。中标或成交后，不得以不完全了解采购文件、施工现场和周围环境等情况为借口，而提出额外补偿或延长供货时限等的要求。</w:t>
      </w:r>
    </w:p>
    <w:p w14:paraId="647FE723">
      <w:pPr>
        <w:snapToGrid w:val="0"/>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5、投标人应承担其参加本招标活动自身所发生的费用。</w:t>
      </w:r>
    </w:p>
    <w:p w14:paraId="242F5980">
      <w:pPr>
        <w:spacing w:line="360" w:lineRule="auto"/>
        <w:ind w:firstLine="420"/>
        <w:rPr>
          <w:rFonts w:ascii="宋体" w:hAnsi="宋体"/>
        </w:rPr>
      </w:pPr>
      <w:r>
        <w:rPr>
          <w:rFonts w:hint="eastAsia" w:ascii="宋体" w:hAnsi="宋体" w:cs="宋体"/>
          <w:b/>
          <w:bCs/>
          <w:szCs w:val="21"/>
          <w:lang w:val="en-US" w:eastAsia="zh-CN"/>
        </w:rPr>
        <w:t>6.投标文件针对同一内容只允许有一个</w:t>
      </w:r>
      <w:r>
        <w:rPr>
          <w:rFonts w:hint="eastAsia" w:ascii="宋体" w:hAnsi="宋体" w:cs="宋体"/>
          <w:b/>
          <w:bCs/>
          <w:szCs w:val="21"/>
        </w:rPr>
        <w:t>报价，有选择的或有条件的报价将不予接受。</w:t>
      </w:r>
    </w:p>
    <w:p w14:paraId="15531135">
      <w:pPr>
        <w:snapToGrid w:val="0"/>
        <w:spacing w:line="360" w:lineRule="auto"/>
        <w:ind w:firstLine="413" w:firstLineChars="196"/>
        <w:jc w:val="left"/>
        <w:outlineLvl w:val="0"/>
        <w:rPr>
          <w:rFonts w:ascii="宋体" w:hAnsi="宋体"/>
          <w:b/>
          <w:szCs w:val="21"/>
        </w:rPr>
      </w:pPr>
      <w:r>
        <w:rPr>
          <w:rFonts w:ascii="宋体" w:hAnsi="宋体"/>
          <w:b/>
          <w:szCs w:val="21"/>
        </w:rPr>
        <w:t>（四）</w:t>
      </w:r>
      <w:r>
        <w:rPr>
          <w:rFonts w:hint="eastAsia" w:ascii="宋体" w:hAnsi="宋体"/>
          <w:b/>
          <w:szCs w:val="21"/>
        </w:rPr>
        <w:t>投标</w:t>
      </w:r>
      <w:r>
        <w:rPr>
          <w:rFonts w:ascii="宋体" w:hAnsi="宋体"/>
          <w:b/>
          <w:szCs w:val="21"/>
        </w:rPr>
        <w:t>文件的有效期</w:t>
      </w:r>
    </w:p>
    <w:p w14:paraId="5DDF2427">
      <w:pPr>
        <w:pStyle w:val="7"/>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1.自投标截止日起</w:t>
      </w:r>
      <w:r>
        <w:rPr>
          <w:rFonts w:hint="eastAsia"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14:paraId="6DE7450B">
      <w:pPr>
        <w:snapToGrid w:val="0"/>
        <w:spacing w:line="360" w:lineRule="auto"/>
        <w:ind w:right="-86" w:rightChars="-41" w:firstLine="420" w:firstLineChars="200"/>
        <w:jc w:val="left"/>
        <w:outlineLvl w:val="0"/>
        <w:rPr>
          <w:rFonts w:ascii="宋体" w:hAnsi="宋体"/>
        </w:rPr>
      </w:pPr>
      <w:r>
        <w:rPr>
          <w:rFonts w:hint="eastAsia" w:ascii="宋体" w:hAnsi="宋体"/>
        </w:rPr>
        <w:t>2.在特殊情况下，采购人可与投标人协商延长投标书的有效期，这种要求和答复均以书面形式进行。</w:t>
      </w:r>
    </w:p>
    <w:p w14:paraId="66910C4D">
      <w:pPr>
        <w:snapToGrid w:val="0"/>
        <w:spacing w:line="360" w:lineRule="auto"/>
        <w:ind w:right="55" w:firstLine="420" w:firstLineChars="200"/>
        <w:jc w:val="left"/>
        <w:outlineLvl w:val="0"/>
        <w:rPr>
          <w:rFonts w:ascii="宋体" w:hAnsi="宋体"/>
        </w:rPr>
      </w:pPr>
      <w:r>
        <w:rPr>
          <w:rFonts w:hint="eastAsia" w:ascii="宋体" w:hAnsi="宋体"/>
        </w:rPr>
        <w:t>3.中标人的投标文件自开标之日起至合同履行完毕止均应保持有效。</w:t>
      </w:r>
    </w:p>
    <w:p w14:paraId="6FBA4A5E">
      <w:pPr>
        <w:snapToGrid w:val="0"/>
        <w:spacing w:line="360" w:lineRule="auto"/>
        <w:ind w:firstLine="413" w:firstLineChars="196"/>
        <w:jc w:val="left"/>
        <w:rPr>
          <w:rFonts w:ascii="宋体" w:hAns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投标文件的包装、递交、修改和撤回</w:t>
      </w:r>
    </w:p>
    <w:p w14:paraId="3B9C86C8">
      <w:pPr>
        <w:snapToGrid w:val="0"/>
        <w:spacing w:line="360" w:lineRule="auto"/>
        <w:ind w:right="-86" w:rightChars="-41" w:firstLine="420" w:firstLineChars="200"/>
        <w:jc w:val="left"/>
        <w:rPr>
          <w:rFonts w:ascii="宋体" w:hAnsi="宋体"/>
        </w:rPr>
      </w:pPr>
      <w:r>
        <w:rPr>
          <w:rFonts w:hint="eastAsia" w:ascii="宋体" w:hAnsi="宋体"/>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2FF6C2A5">
      <w:pPr>
        <w:snapToGrid w:val="0"/>
        <w:spacing w:line="360" w:lineRule="auto"/>
        <w:ind w:right="-86" w:rightChars="-41" w:firstLine="420" w:firstLineChars="200"/>
        <w:jc w:val="left"/>
        <w:rPr>
          <w:rFonts w:ascii="宋体" w:hAnsi="宋体"/>
        </w:rPr>
      </w:pPr>
      <w:r>
        <w:rPr>
          <w:rFonts w:hint="eastAsia" w:ascii="宋体" w:hAnsi="宋体"/>
        </w:rPr>
        <w:t>2、投标人除按规定时间在政采云系统中上传经加密的电子投标文件外，同时还需邮寄一份未经加密的电子投标文件送达指定地点。</w:t>
      </w:r>
    </w:p>
    <w:p w14:paraId="71F5F51B">
      <w:pPr>
        <w:snapToGrid w:val="0"/>
        <w:spacing w:line="360" w:lineRule="auto"/>
        <w:ind w:right="-86" w:rightChars="-41" w:firstLine="420" w:firstLineChars="200"/>
        <w:jc w:val="left"/>
        <w:rPr>
          <w:rFonts w:ascii="宋体" w:hAnsi="宋体"/>
        </w:rPr>
      </w:pPr>
      <w:r>
        <w:rPr>
          <w:rFonts w:hint="eastAsia" w:ascii="宋体" w:hAnsi="宋体"/>
        </w:rPr>
        <w:t>3、响应文件未按时解密，投标人提供了备份响应文件的，以备份响应文件作为依据，否则视为响应文件撤回。响应文件已按时解密的，备份响应文件自动失效。</w:t>
      </w:r>
    </w:p>
    <w:p w14:paraId="1B71934A">
      <w:pPr>
        <w:snapToGrid w:val="0"/>
        <w:spacing w:line="360" w:lineRule="auto"/>
        <w:ind w:right="-86" w:rightChars="-41" w:firstLine="420" w:firstLineChars="200"/>
        <w:jc w:val="left"/>
        <w:rPr>
          <w:rFonts w:ascii="宋体" w:hAnsi="宋体"/>
        </w:rPr>
      </w:pPr>
      <w:r>
        <w:rPr>
          <w:rFonts w:hint="eastAsia" w:ascii="宋体" w:hAnsi="宋体"/>
        </w:rPr>
        <w:t>4、备份投标文件须密封封装。包装封面上应注明投标人名称，封口处加盖投标人公章。</w:t>
      </w:r>
    </w:p>
    <w:p w14:paraId="0CFEE584">
      <w:pPr>
        <w:spacing w:line="360" w:lineRule="auto"/>
        <w:ind w:firstLine="420"/>
        <w:rPr>
          <w:rFonts w:ascii="宋体" w:hAnsi="宋体"/>
        </w:rPr>
      </w:pPr>
      <w:r>
        <w:rPr>
          <w:rFonts w:ascii="宋体" w:hAnsi="宋体"/>
          <w:b/>
          <w:szCs w:val="21"/>
        </w:rPr>
        <w:t>（</w:t>
      </w:r>
      <w:r>
        <w:rPr>
          <w:rFonts w:hint="eastAsia" w:ascii="宋体" w:hAnsi="宋体"/>
          <w:b/>
          <w:szCs w:val="21"/>
        </w:rPr>
        <w:t>六</w:t>
      </w:r>
      <w:r>
        <w:rPr>
          <w:rFonts w:ascii="宋体" w:hAnsi="宋体"/>
          <w:b/>
          <w:szCs w:val="21"/>
        </w:rPr>
        <w:t>）投标无效的情形</w:t>
      </w:r>
    </w:p>
    <w:p w14:paraId="160DCC38">
      <w:pPr>
        <w:pStyle w:val="39"/>
        <w:snapToGrid w:val="0"/>
        <w:spacing w:beforeLines="0" w:afterLines="0" w:line="360" w:lineRule="auto"/>
        <w:ind w:right="-86" w:rightChars="-41" w:firstLine="415" w:firstLineChars="198"/>
        <w:rPr>
          <w:rFonts w:hAnsi="宋体" w:eastAsia="宋体"/>
          <w:sz w:val="21"/>
        </w:rPr>
      </w:pPr>
      <w:r>
        <w:rPr>
          <w:rFonts w:hint="eastAsia" w:hAnsi="宋体" w:eastAsia="宋体"/>
          <w:sz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36195538">
      <w:pPr>
        <w:pStyle w:val="39"/>
        <w:snapToGrid w:val="0"/>
        <w:spacing w:before="120" w:after="120" w:line="360" w:lineRule="auto"/>
        <w:ind w:firstLine="417" w:firstLineChars="198"/>
        <w:rPr>
          <w:rFonts w:hAnsi="宋体" w:eastAsia="宋体"/>
          <w:sz w:val="21"/>
        </w:rPr>
      </w:pPr>
      <w:r>
        <w:rPr>
          <w:rFonts w:hAnsi="宋体" w:eastAsia="宋体"/>
          <w:b/>
          <w:bCs/>
          <w:sz w:val="21"/>
        </w:rPr>
        <w:t>1、在</w:t>
      </w:r>
      <w:r>
        <w:rPr>
          <w:rFonts w:hint="eastAsia" w:hAnsi="宋体" w:eastAsia="宋体"/>
          <w:b/>
          <w:bCs/>
          <w:sz w:val="21"/>
        </w:rPr>
        <w:t>符合性审查</w:t>
      </w:r>
      <w:r>
        <w:rPr>
          <w:rFonts w:hAnsi="宋体" w:eastAsia="宋体"/>
          <w:b/>
          <w:bCs/>
          <w:sz w:val="21"/>
        </w:rPr>
        <w:t>和商务评审时，如发现下列情形之一的，</w:t>
      </w:r>
      <w:r>
        <w:rPr>
          <w:rFonts w:hint="eastAsia" w:hAnsi="宋体" w:eastAsia="宋体"/>
          <w:b/>
          <w:bCs/>
          <w:sz w:val="21"/>
        </w:rPr>
        <w:t>投标</w:t>
      </w:r>
      <w:r>
        <w:rPr>
          <w:rFonts w:hAnsi="宋体" w:eastAsia="宋体"/>
          <w:b/>
          <w:bCs/>
          <w:sz w:val="21"/>
        </w:rPr>
        <w:t>文件将被视为无效投标：</w:t>
      </w:r>
    </w:p>
    <w:p w14:paraId="7550330E">
      <w:pPr>
        <w:pStyle w:val="3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1投标</w:t>
      </w:r>
      <w:r>
        <w:rPr>
          <w:rFonts w:hAnsi="宋体" w:eastAsia="宋体"/>
          <w:bCs/>
          <w:sz w:val="21"/>
        </w:rPr>
        <w:t>文件未按</w:t>
      </w:r>
      <w:r>
        <w:rPr>
          <w:rFonts w:hint="eastAsia" w:hAnsi="宋体" w:eastAsia="宋体"/>
          <w:bCs/>
          <w:sz w:val="21"/>
        </w:rPr>
        <w:t>采购文件</w:t>
      </w:r>
      <w:r>
        <w:rPr>
          <w:rFonts w:hAnsi="宋体" w:eastAsia="宋体"/>
          <w:bCs/>
          <w:sz w:val="21"/>
        </w:rPr>
        <w:t>要求密封、签字、盖章的；</w:t>
      </w:r>
    </w:p>
    <w:p w14:paraId="1FCCDD05">
      <w:pPr>
        <w:pStyle w:val="3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2</w:t>
      </w:r>
      <w:r>
        <w:rPr>
          <w:rFonts w:hint="eastAsia" w:hAnsi="宋体" w:eastAsia="宋体" w:cs="宋体"/>
          <w:sz w:val="21"/>
        </w:rPr>
        <w:t>资格证明文件不全的，或者不符合采购文件标明的资格要求的</w:t>
      </w:r>
      <w:r>
        <w:rPr>
          <w:rFonts w:hAnsi="宋体" w:eastAsia="宋体"/>
          <w:bCs/>
          <w:sz w:val="21"/>
        </w:rPr>
        <w:t>；</w:t>
      </w:r>
    </w:p>
    <w:p w14:paraId="6139E875">
      <w:pPr>
        <w:pStyle w:val="12"/>
        <w:snapToGrid w:val="0"/>
        <w:spacing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cs="宋体"/>
          <w:sz w:val="21"/>
          <w:szCs w:val="21"/>
        </w:rPr>
        <w:t>3投标文件组成不全的；</w:t>
      </w:r>
    </w:p>
    <w:p w14:paraId="51A3B7B4">
      <w:pPr>
        <w:pStyle w:val="3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4投标</w:t>
      </w:r>
      <w:r>
        <w:rPr>
          <w:rFonts w:hAnsi="宋体" w:eastAsia="宋体"/>
          <w:bCs/>
          <w:sz w:val="21"/>
        </w:rPr>
        <w:t>文件无法定代表人或授权人签字；或未提供法定代表人授权委托书；</w:t>
      </w:r>
    </w:p>
    <w:p w14:paraId="1A475B3F">
      <w:pPr>
        <w:pStyle w:val="3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5</w:t>
      </w:r>
      <w:r>
        <w:rPr>
          <w:rFonts w:hAnsi="宋体" w:eastAsia="宋体"/>
          <w:bCs/>
          <w:sz w:val="21"/>
        </w:rPr>
        <w:t>投标代表人未能出具身份证明或与法定代表人授权委托人身份不符的；</w:t>
      </w:r>
    </w:p>
    <w:p w14:paraId="06B953D2">
      <w:pPr>
        <w:pStyle w:val="3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6投标</w:t>
      </w:r>
      <w:r>
        <w:rPr>
          <w:rFonts w:hAnsi="宋体" w:eastAsia="宋体"/>
          <w:bCs/>
          <w:sz w:val="21"/>
        </w:rPr>
        <w:t>文件的实质性内容未使用中文表述、意思表述不明确、前后矛盾或者使用计量单位不符合</w:t>
      </w:r>
      <w:r>
        <w:rPr>
          <w:rFonts w:hint="eastAsia" w:hAnsi="宋体" w:eastAsia="宋体"/>
          <w:bCs/>
          <w:sz w:val="21"/>
        </w:rPr>
        <w:t>采购文件</w:t>
      </w:r>
      <w:r>
        <w:rPr>
          <w:rFonts w:hAnsi="宋体" w:eastAsia="宋体"/>
          <w:bCs/>
          <w:sz w:val="21"/>
        </w:rPr>
        <w:t>要求的；（</w:t>
      </w:r>
      <w:r>
        <w:rPr>
          <w:rFonts w:hint="eastAsia" w:hAnsi="宋体" w:eastAsia="宋体" w:cs="宋体"/>
          <w:sz w:val="21"/>
        </w:rPr>
        <w:t>经评审小组认定允许其在线更正的笔误除外</w:t>
      </w:r>
      <w:r>
        <w:rPr>
          <w:rFonts w:hAnsi="宋体" w:eastAsia="宋体"/>
          <w:bCs/>
          <w:sz w:val="21"/>
        </w:rPr>
        <w:t>）</w:t>
      </w:r>
    </w:p>
    <w:p w14:paraId="188D8A99">
      <w:pPr>
        <w:pStyle w:val="3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7投标</w:t>
      </w:r>
      <w:r>
        <w:rPr>
          <w:rFonts w:hAnsi="宋体" w:eastAsia="宋体"/>
          <w:bCs/>
          <w:sz w:val="21"/>
        </w:rPr>
        <w:t>文件的关键内容字迹模糊、无法辨认的，或者</w:t>
      </w:r>
      <w:r>
        <w:rPr>
          <w:rFonts w:hint="eastAsia" w:hAnsi="宋体" w:eastAsia="宋体"/>
          <w:bCs/>
          <w:sz w:val="21"/>
        </w:rPr>
        <w:t>投标</w:t>
      </w:r>
      <w:r>
        <w:rPr>
          <w:rFonts w:hAnsi="宋体" w:eastAsia="宋体"/>
          <w:bCs/>
          <w:sz w:val="21"/>
        </w:rPr>
        <w:t>文件中经修正的内容字迹模糊难以辩认或者修改处未按规定签名盖章的；</w:t>
      </w:r>
    </w:p>
    <w:p w14:paraId="23217A8E">
      <w:pPr>
        <w:pStyle w:val="3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8投标有效期、交货时间、质保期等</w:t>
      </w:r>
      <w:r>
        <w:rPr>
          <w:rFonts w:hAnsi="宋体" w:eastAsia="宋体"/>
          <w:bCs/>
          <w:sz w:val="21"/>
        </w:rPr>
        <w:t>商务条款不能满足</w:t>
      </w:r>
      <w:r>
        <w:rPr>
          <w:rFonts w:hint="eastAsia" w:hAnsi="宋体" w:eastAsia="宋体"/>
          <w:bCs/>
          <w:sz w:val="21"/>
        </w:rPr>
        <w:t>采购文件</w:t>
      </w:r>
      <w:r>
        <w:rPr>
          <w:rFonts w:hAnsi="宋体" w:eastAsia="宋体"/>
          <w:bCs/>
          <w:sz w:val="21"/>
        </w:rPr>
        <w:t>要求的；</w:t>
      </w:r>
    </w:p>
    <w:p w14:paraId="104045E4">
      <w:pPr>
        <w:pStyle w:val="39"/>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9未</w:t>
      </w:r>
      <w:r>
        <w:rPr>
          <w:rFonts w:hAnsi="宋体" w:eastAsia="宋体"/>
          <w:bCs/>
          <w:sz w:val="21"/>
        </w:rPr>
        <w:t>响应</w:t>
      </w:r>
      <w:r>
        <w:rPr>
          <w:rFonts w:hint="eastAsia" w:hAnsi="宋体" w:eastAsia="宋体"/>
          <w:bCs/>
          <w:sz w:val="21"/>
        </w:rPr>
        <w:t>采购文件</w:t>
      </w:r>
      <w:r>
        <w:rPr>
          <w:rFonts w:hAnsi="宋体" w:eastAsia="宋体"/>
          <w:bCs/>
          <w:sz w:val="21"/>
        </w:rPr>
        <w:t>实质性要求或者</w:t>
      </w:r>
      <w:r>
        <w:rPr>
          <w:rFonts w:hint="eastAsia" w:hAnsi="宋体" w:eastAsia="宋体"/>
          <w:bCs/>
          <w:sz w:val="21"/>
        </w:rPr>
        <w:t>投标文件</w:t>
      </w:r>
      <w:r>
        <w:rPr>
          <w:rFonts w:hAnsi="宋体" w:eastAsia="宋体"/>
          <w:bCs/>
          <w:sz w:val="21"/>
        </w:rPr>
        <w:t>有</w:t>
      </w:r>
      <w:r>
        <w:rPr>
          <w:rFonts w:hint="eastAsia" w:hAnsi="宋体" w:eastAsia="宋体"/>
          <w:bCs/>
          <w:sz w:val="21"/>
        </w:rPr>
        <w:t>采购人</w:t>
      </w:r>
      <w:r>
        <w:rPr>
          <w:rFonts w:hAnsi="宋体" w:eastAsia="宋体"/>
          <w:bCs/>
          <w:sz w:val="21"/>
        </w:rPr>
        <w:t>不能接受的附加条件的；</w:t>
      </w:r>
    </w:p>
    <w:p w14:paraId="465893D9">
      <w:pPr>
        <w:pStyle w:val="39"/>
        <w:snapToGrid w:val="0"/>
        <w:spacing w:beforeLines="0" w:afterLines="0" w:line="360" w:lineRule="auto"/>
        <w:ind w:firstLine="415" w:firstLineChars="198"/>
        <w:rPr>
          <w:rFonts w:hint="default" w:hAnsi="宋体" w:eastAsia="宋体"/>
          <w:bCs/>
          <w:sz w:val="21"/>
          <w:lang w:val="en-US" w:eastAsia="zh-CN"/>
        </w:rPr>
      </w:pPr>
      <w:r>
        <w:rPr>
          <w:rFonts w:hint="eastAsia" w:hAnsi="宋体" w:eastAsia="宋体"/>
          <w:bCs/>
          <w:sz w:val="21"/>
          <w:lang w:val="en-US" w:eastAsia="zh-CN"/>
        </w:rPr>
        <w:t>1.10在不影响公平竞争的前提下，采购文件中参与同一标段（包）的供应商存在以下情形的，其投标文件相应无效：MAC地址相同、计算机硬盘序列号相同、采购文件细节错误一致且无合理解释的等情形。</w:t>
      </w:r>
    </w:p>
    <w:p w14:paraId="12344B18">
      <w:pPr>
        <w:spacing w:line="360" w:lineRule="auto"/>
        <w:ind w:firstLine="420"/>
        <w:rPr>
          <w:rFonts w:ascii="宋体" w:hAnsi="宋体"/>
          <w:szCs w:val="21"/>
        </w:rPr>
      </w:pPr>
      <w:r>
        <w:rPr>
          <w:rFonts w:ascii="宋体" w:hAnsi="宋体"/>
          <w:b/>
          <w:bCs/>
        </w:rPr>
        <w:t>2、在技术评审时，如发现下列情形之一的，</w:t>
      </w:r>
      <w:r>
        <w:rPr>
          <w:rFonts w:hint="eastAsia" w:ascii="宋体" w:hAnsi="宋体"/>
          <w:b/>
          <w:bCs/>
        </w:rPr>
        <w:t>投标文件</w:t>
      </w:r>
      <w:r>
        <w:rPr>
          <w:rFonts w:ascii="宋体" w:hAnsi="宋体"/>
          <w:b/>
          <w:bCs/>
        </w:rPr>
        <w:t>将被视为无效响应：</w:t>
      </w:r>
    </w:p>
    <w:p w14:paraId="12866E44">
      <w:pPr>
        <w:spacing w:line="360" w:lineRule="auto"/>
        <w:ind w:firstLine="420"/>
        <w:rPr>
          <w:rFonts w:ascii="宋体" w:hAnsi="宋体"/>
          <w:szCs w:val="21"/>
        </w:rPr>
      </w:pPr>
      <w:r>
        <w:rPr>
          <w:rFonts w:ascii="宋体" w:hAnsi="宋体"/>
          <w:szCs w:val="21"/>
        </w:rPr>
        <w:t>2.1</w:t>
      </w:r>
      <w:r>
        <w:rPr>
          <w:rFonts w:hint="eastAsia" w:hAnsi="宋体" w:cs="宋体"/>
          <w:szCs w:val="21"/>
        </w:rPr>
        <w:t>投标文件标明的响应或偏离与事实不符或虚假投标的</w:t>
      </w:r>
      <w:r>
        <w:rPr>
          <w:rFonts w:ascii="宋体" w:hAnsi="宋体"/>
          <w:szCs w:val="21"/>
        </w:rPr>
        <w:t>；</w:t>
      </w:r>
    </w:p>
    <w:p w14:paraId="103C2B91">
      <w:pPr>
        <w:spacing w:line="360" w:lineRule="auto"/>
        <w:ind w:firstLine="420"/>
      </w:pPr>
      <w:r>
        <w:rPr>
          <w:rFonts w:hint="eastAsia" w:ascii="宋体" w:hAnsi="宋体"/>
          <w:szCs w:val="21"/>
        </w:rPr>
        <w:t>2.2投标技术方案不明确，存在一个或一个以上备选（替代）投标方案的；</w:t>
      </w:r>
    </w:p>
    <w:p w14:paraId="78F45D79">
      <w:pPr>
        <w:spacing w:line="360" w:lineRule="auto"/>
        <w:ind w:firstLine="420"/>
        <w:rPr>
          <w:rFonts w:ascii="宋体" w:hAnsi="宋体"/>
          <w:szCs w:val="21"/>
        </w:rPr>
      </w:pPr>
      <w:r>
        <w:rPr>
          <w:rFonts w:ascii="宋体" w:hAnsi="宋体"/>
          <w:b/>
          <w:bCs/>
        </w:rPr>
        <w:t>3、</w:t>
      </w:r>
      <w:r>
        <w:rPr>
          <w:rFonts w:hint="eastAsia" w:hAnsi="宋体" w:cs="宋体"/>
          <w:b/>
          <w:szCs w:val="21"/>
        </w:rPr>
        <w:t>在投标报价文件评审时</w:t>
      </w:r>
      <w:r>
        <w:rPr>
          <w:rFonts w:ascii="宋体" w:hAnsi="宋体"/>
          <w:b/>
          <w:bCs/>
        </w:rPr>
        <w:t>，如发现下列情形之一的，</w:t>
      </w:r>
      <w:r>
        <w:rPr>
          <w:rFonts w:hint="eastAsia" w:ascii="宋体" w:hAnsi="宋体"/>
          <w:b/>
          <w:bCs/>
        </w:rPr>
        <w:t>投标文件</w:t>
      </w:r>
      <w:r>
        <w:rPr>
          <w:rFonts w:ascii="宋体" w:hAnsi="宋体"/>
          <w:b/>
          <w:bCs/>
        </w:rPr>
        <w:t>将被视为无效响应：</w:t>
      </w:r>
    </w:p>
    <w:p w14:paraId="5B481FBF">
      <w:pPr>
        <w:pStyle w:val="39"/>
        <w:snapToGrid w:val="0"/>
        <w:spacing w:beforeLines="0" w:afterLines="0" w:line="360" w:lineRule="auto"/>
        <w:ind w:firstLine="415" w:firstLineChars="198"/>
        <w:rPr>
          <w:rFonts w:hAnsi="宋体" w:eastAsia="宋体"/>
          <w:bCs/>
          <w:sz w:val="21"/>
        </w:rPr>
      </w:pPr>
      <w:r>
        <w:rPr>
          <w:rFonts w:hint="eastAsia" w:hAnsi="宋体" w:eastAsia="宋体"/>
          <w:bCs/>
          <w:sz w:val="21"/>
        </w:rPr>
        <w:t>3.1未采用人民币报价或者未按照采购文件标明的币种报价的；</w:t>
      </w:r>
    </w:p>
    <w:p w14:paraId="704A9E3E">
      <w:pPr>
        <w:pStyle w:val="39"/>
        <w:snapToGrid w:val="0"/>
        <w:spacing w:beforeLines="0" w:afterLines="0" w:line="360" w:lineRule="auto"/>
        <w:ind w:firstLine="415" w:firstLineChars="198"/>
        <w:rPr>
          <w:rFonts w:hAnsi="宋体" w:eastAsia="宋体"/>
          <w:bCs/>
          <w:sz w:val="21"/>
        </w:rPr>
      </w:pPr>
      <w:r>
        <w:rPr>
          <w:rFonts w:hint="eastAsia" w:hAnsi="宋体" w:eastAsia="宋体"/>
          <w:bCs/>
          <w:sz w:val="21"/>
        </w:rPr>
        <w:t>3.2报价超出预算价，采购人不能支付的；投标人的投标报价经评标委员会审定认为存在不合理的、恶性的低价竞争的，且投标人又不能提供出有效证明的作无效标处理。</w:t>
      </w:r>
    </w:p>
    <w:p w14:paraId="17DB7068">
      <w:pPr>
        <w:pStyle w:val="39"/>
        <w:snapToGrid w:val="0"/>
        <w:spacing w:beforeLines="0" w:afterLines="0" w:line="360" w:lineRule="auto"/>
        <w:ind w:firstLine="415" w:firstLineChars="198"/>
        <w:rPr>
          <w:rFonts w:hAnsi="宋体" w:eastAsia="宋体"/>
          <w:bCs/>
          <w:sz w:val="21"/>
        </w:rPr>
      </w:pPr>
      <w:r>
        <w:rPr>
          <w:rFonts w:hint="eastAsia" w:hAnsi="宋体" w:eastAsia="宋体"/>
          <w:bCs/>
          <w:sz w:val="21"/>
        </w:rPr>
        <w:t>3.3投标报价具有选择性，或者开标价格与投标文件承诺的优惠（折扣）价格不一致的；</w:t>
      </w:r>
    </w:p>
    <w:p w14:paraId="0BD589E1">
      <w:pPr>
        <w:pStyle w:val="39"/>
        <w:snapToGrid w:val="0"/>
        <w:spacing w:beforeLines="0" w:afterLines="0" w:line="360" w:lineRule="auto"/>
        <w:ind w:firstLine="415" w:firstLineChars="198"/>
        <w:rPr>
          <w:rFonts w:hAnsi="宋体" w:eastAsia="宋体"/>
          <w:bCs/>
          <w:sz w:val="21"/>
        </w:rPr>
      </w:pPr>
      <w:r>
        <w:rPr>
          <w:rFonts w:hint="eastAsia" w:hAnsi="宋体" w:eastAsia="宋体"/>
          <w:bCs/>
          <w:sz w:val="21"/>
        </w:rPr>
        <w:t xml:space="preserve">3.4投标报价明细表总金额与开标一览表总价不一致。  </w:t>
      </w:r>
    </w:p>
    <w:p w14:paraId="06F98376">
      <w:pPr>
        <w:pStyle w:val="39"/>
        <w:snapToGrid w:val="0"/>
        <w:spacing w:beforeLines="0" w:afterLines="0" w:line="360" w:lineRule="auto"/>
        <w:ind w:firstLine="415" w:firstLineChars="198"/>
        <w:rPr>
          <w:rFonts w:hAnsi="宋体" w:eastAsia="宋体"/>
          <w:bCs/>
          <w:sz w:val="21"/>
        </w:rPr>
      </w:pPr>
      <w:r>
        <w:rPr>
          <w:rFonts w:hint="eastAsia" w:hAnsi="宋体" w:eastAsia="宋体"/>
          <w:bCs/>
          <w:sz w:val="21"/>
        </w:rPr>
        <w:t>3.5投标报价文件在投标文件商务技术部分中出现投标报价信息的。</w:t>
      </w:r>
    </w:p>
    <w:p w14:paraId="598D5E60">
      <w:pPr>
        <w:pStyle w:val="48"/>
        <w:snapToGrid w:val="0"/>
        <w:spacing w:line="360" w:lineRule="auto"/>
        <w:ind w:right="-86" w:rightChars="-41" w:firstLine="441" w:firstLineChars="209"/>
        <w:rPr>
          <w:rFonts w:ascii="宋体" w:hAnsi="宋体"/>
          <w:b/>
          <w:bCs/>
          <w:szCs w:val="24"/>
        </w:rPr>
      </w:pPr>
      <w:r>
        <w:rPr>
          <w:rFonts w:hint="eastAsia" w:ascii="宋体" w:hAnsi="宋体"/>
          <w:b/>
          <w:bCs/>
          <w:szCs w:val="24"/>
        </w:rPr>
        <w:t>4、法律、法规和采购文件规定的其他无效情形。</w:t>
      </w:r>
    </w:p>
    <w:p w14:paraId="6A38A0BB">
      <w:pPr>
        <w:pStyle w:val="48"/>
        <w:snapToGrid w:val="0"/>
        <w:spacing w:line="360" w:lineRule="auto"/>
        <w:ind w:right="-86" w:rightChars="-41" w:firstLine="441" w:firstLineChars="209"/>
        <w:rPr>
          <w:rFonts w:hAnsi="宋体"/>
        </w:rPr>
      </w:pPr>
      <w:r>
        <w:rPr>
          <w:rFonts w:hint="eastAsia" w:ascii="宋体" w:hAnsi="宋体"/>
          <w:b/>
          <w:szCs w:val="21"/>
        </w:rPr>
        <w:t>（七）</w:t>
      </w:r>
      <w:r>
        <w:rPr>
          <w:rFonts w:hint="eastAsia" w:hAnsi="宋体"/>
          <w:b/>
        </w:rPr>
        <w:t>出现以下情形，导致电子交易平台无法正常运行，或者无法保证电子交易的公平、公正和安全时，中止电子交易活动：</w:t>
      </w:r>
    </w:p>
    <w:p w14:paraId="1ACA3DD3">
      <w:pPr>
        <w:pStyle w:val="48"/>
        <w:snapToGrid w:val="0"/>
        <w:spacing w:line="360" w:lineRule="auto"/>
        <w:ind w:right="-86" w:rightChars="-41" w:firstLine="438" w:firstLineChars="209"/>
        <w:rPr>
          <w:rFonts w:hAnsi="宋体"/>
        </w:rPr>
      </w:pPr>
      <w:r>
        <w:rPr>
          <w:rFonts w:hint="eastAsia" w:hAnsi="宋体"/>
        </w:rPr>
        <w:t>（一）电子交易平台发生故障而无法登录访问的；</w:t>
      </w:r>
    </w:p>
    <w:p w14:paraId="63855DAB">
      <w:pPr>
        <w:pStyle w:val="48"/>
        <w:snapToGrid w:val="0"/>
        <w:spacing w:line="360" w:lineRule="auto"/>
        <w:ind w:right="-86" w:rightChars="-41" w:firstLine="438" w:firstLineChars="209"/>
        <w:rPr>
          <w:rFonts w:hAnsi="宋体"/>
        </w:rPr>
      </w:pPr>
      <w:r>
        <w:rPr>
          <w:rFonts w:hint="eastAsia" w:hAnsi="宋体"/>
        </w:rPr>
        <w:t>（二）电子交易平台应用或数据库出现错误，不能进行正常操作的；</w:t>
      </w:r>
    </w:p>
    <w:p w14:paraId="7CBDD6BA">
      <w:pPr>
        <w:pStyle w:val="48"/>
        <w:snapToGrid w:val="0"/>
        <w:spacing w:line="360" w:lineRule="auto"/>
        <w:ind w:right="-86" w:rightChars="-41" w:firstLine="438" w:firstLineChars="209"/>
        <w:rPr>
          <w:rFonts w:hAnsi="宋体"/>
        </w:rPr>
      </w:pPr>
      <w:r>
        <w:rPr>
          <w:rFonts w:hint="eastAsia" w:hAnsi="宋体"/>
        </w:rPr>
        <w:t>（三）电子交易平台发现严重安全漏洞，有潜在泄密危险的；</w:t>
      </w:r>
    </w:p>
    <w:p w14:paraId="017E09F4">
      <w:pPr>
        <w:pStyle w:val="48"/>
        <w:snapToGrid w:val="0"/>
        <w:spacing w:line="360" w:lineRule="auto"/>
        <w:ind w:right="-86" w:rightChars="-41" w:firstLine="438" w:firstLineChars="209"/>
        <w:rPr>
          <w:rFonts w:hAnsi="宋体"/>
        </w:rPr>
      </w:pPr>
      <w:r>
        <w:rPr>
          <w:rFonts w:hint="eastAsia" w:hAnsi="宋体"/>
        </w:rPr>
        <w:t>（四）病毒发作导致不能进行正常操作的；</w:t>
      </w:r>
    </w:p>
    <w:p w14:paraId="757243D4">
      <w:pPr>
        <w:pStyle w:val="48"/>
        <w:snapToGrid w:val="0"/>
        <w:spacing w:line="360" w:lineRule="auto"/>
        <w:ind w:right="-86" w:rightChars="-41" w:firstLine="438" w:firstLineChars="209"/>
        <w:rPr>
          <w:rFonts w:hAnsi="宋体"/>
        </w:rPr>
      </w:pPr>
      <w:r>
        <w:rPr>
          <w:rFonts w:hint="eastAsia" w:hAnsi="宋体"/>
        </w:rPr>
        <w:t>（五）其他无法保证电子交易的公平、公正和安全的情况。</w:t>
      </w:r>
    </w:p>
    <w:p w14:paraId="1BD2CCE5">
      <w:pPr>
        <w:pStyle w:val="48"/>
        <w:snapToGrid w:val="0"/>
        <w:spacing w:line="360" w:lineRule="auto"/>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14:paraId="42695279">
      <w:pPr>
        <w:pStyle w:val="48"/>
        <w:snapToGrid w:val="0"/>
        <w:spacing w:line="360" w:lineRule="auto"/>
        <w:ind w:right="-87" w:firstLine="0"/>
        <w:rPr>
          <w:rFonts w:hAnsi="宋体"/>
          <w:b/>
          <w:sz w:val="24"/>
        </w:rPr>
      </w:pPr>
    </w:p>
    <w:p w14:paraId="789E6647">
      <w:pPr>
        <w:pStyle w:val="48"/>
        <w:snapToGrid w:val="0"/>
        <w:spacing w:line="360" w:lineRule="auto"/>
        <w:ind w:right="-87" w:firstLine="3483" w:firstLineChars="1239"/>
        <w:outlineLvl w:val="1"/>
        <w:rPr>
          <w:rFonts w:hAnsi="宋体"/>
          <w:b/>
          <w:snapToGrid w:val="0"/>
          <w:sz w:val="28"/>
        </w:rPr>
      </w:pPr>
      <w:r>
        <w:rPr>
          <w:rFonts w:hint="eastAsia" w:hAnsi="宋体"/>
          <w:b/>
          <w:sz w:val="28"/>
        </w:rPr>
        <w:t>四、开标</w:t>
      </w:r>
    </w:p>
    <w:p w14:paraId="7544EAD6">
      <w:pPr>
        <w:pStyle w:val="3"/>
        <w:spacing w:line="360" w:lineRule="auto"/>
        <w:ind w:firstLine="422" w:firstLineChars="200"/>
        <w:jc w:val="left"/>
        <w:rPr>
          <w:rFonts w:ascii="宋体" w:hAnsi="宋体"/>
          <w:b/>
          <w:sz w:val="21"/>
          <w:szCs w:val="21"/>
        </w:rPr>
      </w:pPr>
      <w:r>
        <w:rPr>
          <w:rFonts w:hint="eastAsia" w:ascii="宋体" w:hAnsi="宋体"/>
          <w:b/>
          <w:sz w:val="21"/>
          <w:szCs w:val="21"/>
        </w:rPr>
        <w:t>电子招投标开标及评审程序</w:t>
      </w:r>
    </w:p>
    <w:p w14:paraId="04785915">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1、采购组织机构按照规定的时间通过政采云系统组织开标、开启响应文件，所有投标人均应当准时在线参加。</w:t>
      </w:r>
    </w:p>
    <w:p w14:paraId="2B6C03A1">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2、投标截止时间后，投标人登录政采云平台，用“项目采购-开标评标”功能对电子投标文件进行</w:t>
      </w:r>
      <w:r>
        <w:rPr>
          <w:rFonts w:hint="eastAsia" w:ascii="Times New Roman" w:hAnsi="Times New Roman"/>
          <w:b/>
          <w:bCs/>
          <w:szCs w:val="21"/>
        </w:rPr>
        <w:t>在线解密。</w:t>
      </w:r>
      <w:r>
        <w:rPr>
          <w:rFonts w:hint="eastAsia" w:ascii="Times New Roman" w:hAnsi="Times New Roman"/>
          <w:szCs w:val="21"/>
        </w:rPr>
        <w:t>在线解密电子投标文件时间</w:t>
      </w:r>
      <w:r>
        <w:rPr>
          <w:rFonts w:hint="eastAsia" w:ascii="Times New Roman" w:hAnsi="Times New Roman"/>
          <w:b/>
          <w:bCs/>
          <w:szCs w:val="21"/>
        </w:rPr>
        <w:t>为开标时间起半个小时内；</w:t>
      </w:r>
    </w:p>
    <w:p w14:paraId="7B9A8F00">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3、各投标人的资格由采购单位人员负责初审；</w:t>
      </w:r>
    </w:p>
    <w:p w14:paraId="17BFBF18">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4、评标委员会对符合性和商务技术响应文件进行评审；</w:t>
      </w:r>
    </w:p>
    <w:p w14:paraId="64ADD2BD">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5、在系统上公开资格和商务技术评审结果；</w:t>
      </w:r>
    </w:p>
    <w:p w14:paraId="56C287FB">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6、在系统上公开报价开标情况；</w:t>
      </w:r>
    </w:p>
    <w:p w14:paraId="77860550">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7、评标委员会对报价情况进行评审；</w:t>
      </w:r>
    </w:p>
    <w:p w14:paraId="0CC489EB">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8、在系统上公布评审结果。</w:t>
      </w:r>
    </w:p>
    <w:p w14:paraId="1161ED1B">
      <w:pPr>
        <w:pStyle w:val="2"/>
        <w:ind w:firstLine="210"/>
      </w:pPr>
    </w:p>
    <w:p w14:paraId="69B8E9AD">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特别说明：政采云公司如对电子化开标及评审程序有调整的，按调整后的程序操作。</w:t>
      </w:r>
    </w:p>
    <w:p w14:paraId="7CB1416E">
      <w:pPr>
        <w:pStyle w:val="48"/>
        <w:snapToGrid w:val="0"/>
        <w:spacing w:line="360" w:lineRule="auto"/>
        <w:ind w:right="-87" w:firstLine="3483" w:firstLineChars="1239"/>
        <w:outlineLvl w:val="1"/>
        <w:rPr>
          <w:rFonts w:hAnsi="宋体"/>
          <w:b/>
          <w:sz w:val="28"/>
        </w:rPr>
      </w:pPr>
    </w:p>
    <w:p w14:paraId="050D5BA6">
      <w:pPr>
        <w:pStyle w:val="48"/>
        <w:snapToGrid w:val="0"/>
        <w:spacing w:line="360" w:lineRule="auto"/>
        <w:ind w:right="-87" w:firstLine="3483" w:firstLineChars="1239"/>
        <w:outlineLvl w:val="1"/>
        <w:rPr>
          <w:rFonts w:hAnsi="宋体"/>
          <w:b/>
          <w:sz w:val="28"/>
        </w:rPr>
      </w:pPr>
      <w:r>
        <w:rPr>
          <w:rFonts w:hint="eastAsia" w:hAnsi="宋体"/>
          <w:b/>
          <w:sz w:val="28"/>
        </w:rPr>
        <w:t>五、评标</w:t>
      </w:r>
    </w:p>
    <w:p w14:paraId="66A342C6">
      <w:pPr>
        <w:pStyle w:val="48"/>
        <w:snapToGrid w:val="0"/>
        <w:spacing w:line="360" w:lineRule="auto"/>
        <w:ind w:firstLine="422" w:firstLineChars="200"/>
        <w:outlineLvl w:val="1"/>
        <w:rPr>
          <w:rFonts w:hAnsi="宋体"/>
          <w:b/>
          <w:szCs w:val="21"/>
        </w:rPr>
      </w:pPr>
      <w:r>
        <w:rPr>
          <w:rFonts w:hint="eastAsia" w:hAnsi="宋体"/>
          <w:b/>
          <w:szCs w:val="21"/>
        </w:rPr>
        <w:t>（一）组建评标委员会</w:t>
      </w:r>
    </w:p>
    <w:p w14:paraId="3B0DBF43">
      <w:pPr>
        <w:snapToGrid w:val="0"/>
        <w:spacing w:before="120" w:line="360" w:lineRule="auto"/>
        <w:ind w:right="-87" w:firstLine="420" w:firstLineChars="200"/>
        <w:rPr>
          <w:rFonts w:asciiTheme="minorEastAsia" w:hAnsiTheme="minorEastAsia" w:eastAsiaTheme="minorEastAsia"/>
          <w:b/>
          <w:szCs w:val="21"/>
        </w:rPr>
      </w:pPr>
      <w:r>
        <w:rPr>
          <w:rFonts w:hint="eastAsia" w:hAnsi="宋体"/>
        </w:rPr>
        <w:t>评标委员会由采购人代表和评审专家组成，成员人数为5人（含）以上单数，其中评审专家不得少于成员总数的三分之二。</w:t>
      </w:r>
    </w:p>
    <w:p w14:paraId="30216C9A">
      <w:pPr>
        <w:pStyle w:val="48"/>
        <w:snapToGrid w:val="0"/>
        <w:spacing w:line="360" w:lineRule="auto"/>
        <w:ind w:firstLine="422" w:firstLineChars="200"/>
        <w:outlineLvl w:val="1"/>
        <w:rPr>
          <w:rFonts w:hAnsi="宋体"/>
          <w:b/>
          <w:szCs w:val="21"/>
        </w:rPr>
      </w:pPr>
      <w:r>
        <w:rPr>
          <w:rFonts w:hint="eastAsia" w:hAnsi="宋体"/>
          <w:b/>
          <w:szCs w:val="21"/>
        </w:rPr>
        <w:t>（二）评标程序</w:t>
      </w:r>
    </w:p>
    <w:p w14:paraId="64BDC16A">
      <w:pPr>
        <w:snapToGrid w:val="0"/>
        <w:spacing w:line="360" w:lineRule="auto"/>
        <w:ind w:right="-87"/>
        <w:rPr>
          <w:szCs w:val="21"/>
        </w:rPr>
      </w:pPr>
      <w:r>
        <w:rPr>
          <w:rFonts w:hint="eastAsia" w:ascii="宋体" w:hAnsi="宋体"/>
          <w:b/>
          <w:szCs w:val="21"/>
        </w:rPr>
        <w:t>1.</w:t>
      </w:r>
      <w:r>
        <w:rPr>
          <w:b/>
          <w:szCs w:val="21"/>
        </w:rPr>
        <w:t>投标文件初审。</w:t>
      </w:r>
    </w:p>
    <w:p w14:paraId="447638D2">
      <w:pPr>
        <w:snapToGrid w:val="0"/>
        <w:spacing w:line="360" w:lineRule="auto"/>
        <w:ind w:right="-87" w:firstLine="420" w:firstLineChars="200"/>
        <w:rPr>
          <w:szCs w:val="21"/>
        </w:rPr>
      </w:pPr>
      <w:r>
        <w:rPr>
          <w:szCs w:val="21"/>
        </w:rPr>
        <w:t>初审分为资格性检查和符合性检查</w:t>
      </w:r>
      <w:r>
        <w:rPr>
          <w:rFonts w:hint="eastAsia"/>
          <w:szCs w:val="21"/>
        </w:rPr>
        <w:t>，</w:t>
      </w:r>
      <w:r>
        <w:rPr>
          <w:rFonts w:hint="eastAsia" w:hAnsi="宋体" w:cs="宋体"/>
          <w:szCs w:val="21"/>
        </w:rPr>
        <w:t>代理机构对投标人的资格进行审查。</w:t>
      </w:r>
    </w:p>
    <w:p w14:paraId="45A0B3B6">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1.1</w:t>
      </w:r>
      <w:r>
        <w:rPr>
          <w:rFonts w:ascii="Times New Roman" w:hAnsi="Times New Roman"/>
          <w:szCs w:val="21"/>
        </w:rPr>
        <w:t>资格性检查。依据法律法规和</w:t>
      </w:r>
      <w:r>
        <w:rPr>
          <w:rFonts w:hint="eastAsia" w:ascii="Times New Roman" w:hAnsi="Times New Roman"/>
          <w:szCs w:val="21"/>
        </w:rPr>
        <w:t>采购文件</w:t>
      </w:r>
      <w:r>
        <w:rPr>
          <w:rFonts w:ascii="Times New Roman" w:hAnsi="Times New Roman"/>
          <w:szCs w:val="21"/>
        </w:rPr>
        <w:t>的规定，对投标文件中的资格证明等进行审查，以确定投标投标人是否具备投标资格。</w:t>
      </w:r>
    </w:p>
    <w:p w14:paraId="47AD05D2">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1.2</w:t>
      </w:r>
      <w:r>
        <w:rPr>
          <w:rFonts w:ascii="Times New Roman" w:hAnsi="Times New Roman"/>
          <w:szCs w:val="21"/>
        </w:rPr>
        <w:t>符合性检查。依据</w:t>
      </w:r>
      <w:r>
        <w:rPr>
          <w:rFonts w:hint="eastAsia" w:ascii="Times New Roman" w:hAnsi="Times New Roman"/>
          <w:szCs w:val="21"/>
        </w:rPr>
        <w:t>采购文件</w:t>
      </w:r>
      <w:r>
        <w:rPr>
          <w:rFonts w:ascii="Times New Roman" w:hAnsi="Times New Roman"/>
          <w:szCs w:val="21"/>
        </w:rPr>
        <w:t>的规定，从投标文件的有效性、完整性和对</w:t>
      </w:r>
      <w:r>
        <w:rPr>
          <w:rFonts w:hint="eastAsia" w:ascii="Times New Roman" w:hAnsi="Times New Roman"/>
          <w:szCs w:val="21"/>
        </w:rPr>
        <w:t>采购文件</w:t>
      </w:r>
      <w:r>
        <w:rPr>
          <w:rFonts w:ascii="Times New Roman" w:hAnsi="Times New Roman"/>
          <w:szCs w:val="21"/>
        </w:rPr>
        <w:t>的响应程度进行审查，以确定是否对</w:t>
      </w:r>
      <w:r>
        <w:rPr>
          <w:rFonts w:hint="eastAsia" w:ascii="Times New Roman" w:hAnsi="Times New Roman"/>
          <w:szCs w:val="21"/>
        </w:rPr>
        <w:t>采购文件</w:t>
      </w:r>
      <w:r>
        <w:rPr>
          <w:rFonts w:ascii="Times New Roman" w:hAnsi="Times New Roman"/>
          <w:szCs w:val="21"/>
        </w:rPr>
        <w:t>的实质性要求作出响应。</w:t>
      </w:r>
    </w:p>
    <w:p w14:paraId="368055E7">
      <w:pPr>
        <w:snapToGrid w:val="0"/>
        <w:spacing w:line="360" w:lineRule="auto"/>
        <w:ind w:right="-87"/>
        <w:rPr>
          <w:rFonts w:ascii="宋体" w:hAnsi="宋体"/>
          <w:b/>
          <w:sz w:val="24"/>
        </w:rPr>
      </w:pPr>
      <w:r>
        <w:rPr>
          <w:rFonts w:hint="eastAsia" w:ascii="宋体" w:hAnsi="宋体"/>
          <w:b/>
          <w:sz w:val="24"/>
        </w:rPr>
        <w:t>2</w:t>
      </w:r>
      <w:r>
        <w:rPr>
          <w:rFonts w:hint="eastAsia" w:ascii="宋体" w:hAnsi="宋体"/>
          <w:b/>
          <w:szCs w:val="21"/>
        </w:rPr>
        <w:t>.实质审查</w:t>
      </w:r>
    </w:p>
    <w:p w14:paraId="03501816">
      <w:pPr>
        <w:spacing w:line="360" w:lineRule="auto"/>
        <w:ind w:firstLine="420" w:firstLineChars="200"/>
        <w:rPr>
          <w:rFonts w:ascii="宋体" w:hAnsi="宋体"/>
          <w:kern w:val="0"/>
          <w:szCs w:val="21"/>
        </w:rPr>
      </w:pPr>
      <w:r>
        <w:rPr>
          <w:rFonts w:hint="eastAsia" w:ascii="宋体" w:hAnsi="宋体"/>
          <w:kern w:val="0"/>
          <w:szCs w:val="21"/>
        </w:rPr>
        <w:t>（1）评标委员会审查投标文件的实质性内容是否符合采购文件的实质性要求。</w:t>
      </w:r>
    </w:p>
    <w:p w14:paraId="44829BBB">
      <w:pPr>
        <w:spacing w:line="360" w:lineRule="auto"/>
        <w:ind w:firstLine="420" w:firstLineChars="200"/>
        <w:rPr>
          <w:rFonts w:ascii="宋体" w:hAnsi="宋体"/>
          <w:kern w:val="0"/>
          <w:szCs w:val="21"/>
        </w:rPr>
      </w:pPr>
      <w:r>
        <w:rPr>
          <w:rFonts w:hint="eastAsia" w:ascii="宋体" w:hAnsi="宋体"/>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263DFF39">
      <w:pPr>
        <w:spacing w:line="360" w:lineRule="auto"/>
        <w:ind w:firstLine="420" w:firstLineChars="200"/>
        <w:rPr>
          <w:rFonts w:ascii="宋体" w:hAnsi="宋体"/>
          <w:kern w:val="0"/>
          <w:szCs w:val="21"/>
        </w:rPr>
      </w:pPr>
      <w:r>
        <w:rPr>
          <w:rFonts w:hint="eastAsia" w:ascii="宋体" w:hAnsi="宋体"/>
          <w:kern w:val="0"/>
          <w:szCs w:val="21"/>
        </w:rPr>
        <w:t>（3）评审小组商务、技术方案响应性评定；</w:t>
      </w:r>
    </w:p>
    <w:p w14:paraId="3288EA29">
      <w:pPr>
        <w:spacing w:line="360" w:lineRule="auto"/>
        <w:ind w:firstLine="420" w:firstLineChars="200"/>
        <w:rPr>
          <w:rFonts w:ascii="宋体" w:hAnsi="宋体"/>
          <w:kern w:val="0"/>
          <w:szCs w:val="21"/>
        </w:rPr>
      </w:pPr>
      <w:r>
        <w:rPr>
          <w:rFonts w:hint="eastAsia" w:ascii="宋体" w:hAnsi="宋体"/>
          <w:kern w:val="0"/>
          <w:szCs w:val="21"/>
        </w:rPr>
        <w:t>（4）各投标人的技术得分为所有评委的有效评分的算术平均数，由指定专人进行计算复核。</w:t>
      </w:r>
    </w:p>
    <w:p w14:paraId="3F5EB70E">
      <w:pPr>
        <w:spacing w:line="360" w:lineRule="auto"/>
        <w:ind w:firstLine="420" w:firstLineChars="200"/>
        <w:rPr>
          <w:rFonts w:ascii="宋体" w:hAnsi="宋体"/>
          <w:b/>
          <w:szCs w:val="21"/>
        </w:rPr>
      </w:pPr>
      <w:r>
        <w:rPr>
          <w:rFonts w:hint="eastAsia" w:ascii="宋体" w:hAnsi="宋体"/>
          <w:kern w:val="0"/>
          <w:szCs w:val="21"/>
        </w:rPr>
        <w:t>（5）评标委员会完成评标后，评委对各部分得分汇总，计算出本项目综合评分。评标委员会按</w:t>
      </w:r>
      <w:r>
        <w:rPr>
          <w:rFonts w:hint="eastAsia" w:ascii="宋体" w:hAnsi="宋体"/>
          <w:szCs w:val="21"/>
        </w:rPr>
        <w:t>评标原则通过电子系统向采购人及采购代理机构提交评审报告。</w:t>
      </w:r>
    </w:p>
    <w:p w14:paraId="72DBDD65">
      <w:pPr>
        <w:spacing w:line="360" w:lineRule="auto"/>
        <w:ind w:firstLine="422" w:firstLineChars="200"/>
        <w:rPr>
          <w:rFonts w:ascii="宋体" w:hAnsi="宋体"/>
          <w:b/>
          <w:szCs w:val="21"/>
        </w:rPr>
      </w:pPr>
      <w:r>
        <w:rPr>
          <w:rFonts w:hint="eastAsia" w:ascii="宋体" w:hAnsi="宋体"/>
          <w:b/>
          <w:szCs w:val="21"/>
        </w:rPr>
        <w:t>（三）澄清问题的形式</w:t>
      </w:r>
    </w:p>
    <w:p w14:paraId="32049F09">
      <w:pPr>
        <w:snapToGrid w:val="0"/>
        <w:spacing w:line="360" w:lineRule="auto"/>
        <w:ind w:left="228" w:right="-87" w:firstLine="420" w:firstLineChars="200"/>
        <w:rPr>
          <w:rFonts w:ascii="宋体" w:hAns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14:paraId="693FF076">
      <w:pPr>
        <w:pStyle w:val="39"/>
        <w:snapToGrid w:val="0"/>
        <w:spacing w:before="120" w:after="120" w:line="360" w:lineRule="auto"/>
        <w:ind w:right="-87" w:firstLine="422" w:firstLineChars="200"/>
        <w:rPr>
          <w:rFonts w:hAnsi="宋体" w:eastAsia="宋体"/>
          <w:b/>
          <w:sz w:val="21"/>
        </w:rPr>
      </w:pPr>
      <w:r>
        <w:rPr>
          <w:rFonts w:hint="eastAsia" w:hAnsi="宋体" w:eastAsia="宋体"/>
          <w:b/>
          <w:sz w:val="21"/>
        </w:rPr>
        <w:t>（四）错误修正</w:t>
      </w:r>
    </w:p>
    <w:p w14:paraId="799F3CC5">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5C47E42C">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1、如果用数字表示的数额与文字表示的数额不一致的，以文字数额为准；</w:t>
      </w:r>
    </w:p>
    <w:p w14:paraId="1F74524D">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2、当单价和数量的乘积与合价不一致时，通常以标出的单价为准。除非评审小组认为单价属明显的小数点错误，此时应以标出的合价为准，并修改单价。</w:t>
      </w:r>
    </w:p>
    <w:p w14:paraId="0D9AB0FE">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3、按上述修改错误的方法，调整投标文件中的投标报价文件，经投标人确认后，调整后的投标报价对投标人起约束作用。</w:t>
      </w:r>
    </w:p>
    <w:p w14:paraId="413DCC3F">
      <w:pPr>
        <w:pStyle w:val="12"/>
        <w:snapToGrid w:val="0"/>
        <w:spacing w:line="360" w:lineRule="auto"/>
        <w:ind w:firstLine="417" w:firstLineChars="198"/>
        <w:rPr>
          <w:rFonts w:hAnsi="宋体" w:eastAsia="宋体" w:cs="宋体"/>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7A42541E">
      <w:pPr>
        <w:pStyle w:val="39"/>
        <w:snapToGrid w:val="0"/>
        <w:spacing w:before="120" w:after="120" w:line="360" w:lineRule="auto"/>
        <w:ind w:right="-87" w:firstLine="422" w:firstLineChars="200"/>
        <w:jc w:val="left"/>
        <w:rPr>
          <w:rFonts w:hAnsi="宋体" w:eastAsia="宋体"/>
          <w:b/>
          <w:sz w:val="21"/>
        </w:rPr>
      </w:pPr>
      <w:r>
        <w:rPr>
          <w:rFonts w:hint="eastAsia" w:hAnsi="宋体" w:eastAsia="宋体"/>
          <w:b/>
          <w:sz w:val="21"/>
        </w:rPr>
        <w:t>（五）评标原则和评标办法</w:t>
      </w:r>
    </w:p>
    <w:p w14:paraId="1F764001">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52915AC">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5BF90B0E">
      <w:pPr>
        <w:pStyle w:val="12"/>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rPr>
        <w:t>第三十一条:使用综合评分法的采购项目，提供相同品牌产品且通过资格审查、符合性审查的不同投标人参加同一合同项下投标的，按一家投标人计算，评审后得分最高的同品牌投标人获得中标人推荐资格；评</w:t>
      </w:r>
      <w:r>
        <w:rPr>
          <w:rFonts w:hint="eastAsia" w:hAnsi="宋体" w:eastAsia="宋体" w:cs="宋体"/>
          <w:sz w:val="21"/>
          <w:szCs w:val="21"/>
          <w:highlight w:val="none"/>
        </w:rPr>
        <w:t>审得分相同的，由采购人或者采购人委托评标委员会按照招标文件规定的方式确定一个投标人获得中标人推荐资格，招标文件未规定的采取随机抽取方式确定，其他同品牌投标人不作为中标候选人。</w:t>
      </w:r>
    </w:p>
    <w:p w14:paraId="70502F43">
      <w:pPr>
        <w:pStyle w:val="12"/>
        <w:snapToGrid w:val="0"/>
        <w:spacing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本项目核心产品：</w:t>
      </w:r>
      <w:r>
        <w:rPr>
          <w:rFonts w:hint="eastAsia" w:ascii="宋体" w:hAnsi="宋体" w:eastAsia="宋体" w:cs="宋体"/>
          <w:i w:val="0"/>
          <w:iCs w:val="0"/>
          <w:color w:val="000000"/>
          <w:kern w:val="0"/>
          <w:sz w:val="21"/>
          <w:szCs w:val="21"/>
          <w:u w:val="none"/>
          <w:lang w:val="en-US" w:eastAsia="zh-CN" w:bidi="ar"/>
        </w:rPr>
        <w:t>全数字化便携彩色多普勒超声诊断系统</w:t>
      </w: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涉及的</w:t>
      </w:r>
      <w:r>
        <w:rPr>
          <w:rFonts w:hint="eastAsia" w:hAnsi="宋体" w:eastAsia="宋体" w:cs="宋体"/>
          <w:sz w:val="21"/>
          <w:szCs w:val="21"/>
          <w:highlight w:val="none"/>
        </w:rPr>
        <w:t>核心产品同时为相同品牌时，符合第三十一条的规定。</w:t>
      </w:r>
    </w:p>
    <w:p w14:paraId="39D20672">
      <w:pPr>
        <w:pStyle w:val="12"/>
        <w:snapToGrid w:val="0"/>
        <w:spacing w:line="360" w:lineRule="auto"/>
        <w:ind w:firstLine="420" w:firstLineChars="200"/>
        <w:rPr>
          <w:rFonts w:hint="eastAsia" w:hAnsi="宋体" w:eastAsia="宋体" w:cs="宋体"/>
          <w:sz w:val="21"/>
          <w:szCs w:val="21"/>
        </w:rPr>
      </w:pPr>
    </w:p>
    <w:p w14:paraId="6404E0ED">
      <w:pPr>
        <w:widowControl/>
        <w:snapToGrid w:val="0"/>
        <w:spacing w:line="360" w:lineRule="auto"/>
        <w:ind w:right="-87" w:firstLine="422" w:firstLineChars="200"/>
        <w:rPr>
          <w:rFonts w:ascii="宋体" w:hAnsi="宋体"/>
          <w:b/>
          <w:szCs w:val="21"/>
        </w:rPr>
      </w:pPr>
      <w:r>
        <w:rPr>
          <w:rFonts w:hint="eastAsia" w:ascii="宋体" w:hAnsi="宋体"/>
          <w:b/>
          <w:szCs w:val="21"/>
        </w:rPr>
        <w:t>（六）评标过程的监控</w:t>
      </w:r>
    </w:p>
    <w:p w14:paraId="2A0D6D94">
      <w:pPr>
        <w:pStyle w:val="39"/>
        <w:snapToGrid w:val="0"/>
        <w:spacing w:before="120" w:after="120" w:line="360" w:lineRule="auto"/>
        <w:ind w:right="-87" w:firstLine="420" w:firstLineChars="200"/>
        <w:rPr>
          <w:rFonts w:hAnsi="宋体" w:eastAsia="宋体"/>
          <w:b/>
          <w:sz w:val="28"/>
        </w:rPr>
      </w:pPr>
      <w:r>
        <w:rPr>
          <w:rFonts w:hint="eastAsia" w:hAnsi="宋体" w:eastAsia="宋体" w:cs="宋体"/>
          <w:sz w:val="21"/>
        </w:rPr>
        <w:t>本项目评标过程实行全程录音、录像监控。</w:t>
      </w:r>
    </w:p>
    <w:p w14:paraId="2B78A6AE">
      <w:pPr>
        <w:pStyle w:val="48"/>
        <w:snapToGrid w:val="0"/>
        <w:spacing w:line="360" w:lineRule="auto"/>
        <w:ind w:right="-87" w:firstLine="3483" w:firstLineChars="1239"/>
        <w:outlineLvl w:val="1"/>
        <w:rPr>
          <w:rFonts w:hAnsi="宋体"/>
          <w:b/>
          <w:sz w:val="28"/>
        </w:rPr>
      </w:pPr>
      <w:r>
        <w:rPr>
          <w:rFonts w:hint="eastAsia" w:hAnsi="宋体"/>
          <w:b/>
          <w:sz w:val="28"/>
        </w:rPr>
        <w:t>六、定标</w:t>
      </w:r>
    </w:p>
    <w:p w14:paraId="42367109">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0151C499">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6E5B4CE9">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14:paraId="3BB3FC6F">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14:paraId="758B09D5">
      <w:pPr>
        <w:pStyle w:val="12"/>
        <w:snapToGrid w:val="0"/>
        <w:spacing w:line="360" w:lineRule="auto"/>
        <w:ind w:firstLine="415" w:firstLineChars="198"/>
        <w:rPr>
          <w:rFonts w:hAnsi="宋体"/>
          <w:b/>
          <w:sz w:val="28"/>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2D032F76">
      <w:pPr>
        <w:pStyle w:val="48"/>
        <w:snapToGrid w:val="0"/>
        <w:spacing w:line="360" w:lineRule="auto"/>
        <w:ind w:right="-87" w:firstLine="3483" w:firstLineChars="1239"/>
        <w:outlineLvl w:val="1"/>
        <w:rPr>
          <w:rFonts w:hAnsi="宋体"/>
          <w:b/>
          <w:szCs w:val="21"/>
        </w:rPr>
      </w:pPr>
      <w:r>
        <w:rPr>
          <w:rFonts w:hint="eastAsia" w:hAnsi="宋体"/>
          <w:b/>
          <w:sz w:val="28"/>
        </w:rPr>
        <w:t>七、合同授予</w:t>
      </w:r>
    </w:p>
    <w:p w14:paraId="1321DB46">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14:paraId="296E2563">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4735AFB3">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2、中标人拖延、拒签合同的，将上报监管部门并取消中标资格。</w:t>
      </w:r>
    </w:p>
    <w:p w14:paraId="36C37E7B">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3、中标人和采购人签订合同，按合同规定的供货时间供货并安装调试完毕。</w:t>
      </w:r>
    </w:p>
    <w:p w14:paraId="1D057273">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431F72EC">
      <w:pPr>
        <w:pStyle w:val="12"/>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14:paraId="22FC47F8">
      <w:pPr>
        <w:pStyle w:val="12"/>
        <w:snapToGrid w:val="0"/>
        <w:spacing w:line="360" w:lineRule="auto"/>
        <w:ind w:firstLine="415" w:firstLineChars="198"/>
        <w:rPr>
          <w:rFonts w:hAnsi="宋体" w:eastAsia="宋体"/>
          <w:sz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14:paraId="419572BF">
      <w:pPr>
        <w:pStyle w:val="48"/>
        <w:snapToGrid w:val="0"/>
        <w:spacing w:line="360" w:lineRule="auto"/>
        <w:ind w:right="-87" w:firstLine="3483" w:firstLineChars="1239"/>
        <w:outlineLvl w:val="1"/>
        <w:rPr>
          <w:rFonts w:hAnsi="宋体"/>
          <w:b/>
          <w:sz w:val="28"/>
        </w:rPr>
      </w:pPr>
    </w:p>
    <w:p w14:paraId="6C1817C4">
      <w:pPr>
        <w:pStyle w:val="48"/>
        <w:snapToGrid w:val="0"/>
        <w:spacing w:line="360" w:lineRule="auto"/>
        <w:ind w:right="-87" w:firstLine="3483" w:firstLineChars="1239"/>
        <w:outlineLvl w:val="1"/>
        <w:rPr>
          <w:rFonts w:hAnsi="宋体"/>
          <w:b/>
          <w:sz w:val="28"/>
        </w:rPr>
      </w:pPr>
      <w:r>
        <w:rPr>
          <w:rFonts w:hint="eastAsia" w:hAnsi="宋体"/>
          <w:b/>
          <w:sz w:val="28"/>
        </w:rPr>
        <w:t>八、招标代理费</w:t>
      </w:r>
    </w:p>
    <w:p w14:paraId="63B8C496">
      <w:pPr>
        <w:pStyle w:val="39"/>
        <w:snapToGrid w:val="0"/>
        <w:spacing w:before="120" w:after="120" w:line="360" w:lineRule="auto"/>
        <w:ind w:firstLine="413" w:firstLineChars="196"/>
        <w:rPr>
          <w:rFonts w:hAnsi="宋体" w:eastAsia="宋体"/>
          <w:b/>
          <w:sz w:val="21"/>
        </w:rPr>
      </w:pPr>
      <w:r>
        <w:rPr>
          <w:rFonts w:hint="eastAsia" w:hAnsi="宋体" w:eastAsia="宋体"/>
          <w:b/>
          <w:sz w:val="21"/>
        </w:rPr>
        <w:t>（一）招标代理服务费</w:t>
      </w:r>
    </w:p>
    <w:p w14:paraId="323E2336">
      <w:pPr>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本项目的招标代理费由中标人支付。结算方式及时间为：在领取中标通知书时由中标人一次性向采购代理机构付清。</w:t>
      </w:r>
    </w:p>
    <w:p w14:paraId="550387D6">
      <w:pPr>
        <w:pStyle w:val="39"/>
        <w:snapToGrid w:val="0"/>
        <w:spacing w:before="120" w:after="120" w:line="360" w:lineRule="auto"/>
        <w:ind w:right="-506" w:rightChars="-241"/>
        <w:jc w:val="center"/>
        <w:rPr>
          <w:rFonts w:hAnsi="宋体" w:eastAsia="宋体"/>
          <w:b/>
          <w:sz w:val="28"/>
          <w:szCs w:val="28"/>
        </w:rPr>
      </w:pPr>
      <w:r>
        <w:rPr>
          <w:rFonts w:hint="eastAsia" w:hAnsi="宋体" w:eastAsia="宋体"/>
          <w:b/>
          <w:sz w:val="28"/>
          <w:szCs w:val="28"/>
        </w:rPr>
        <w:t>九、解释权</w:t>
      </w:r>
    </w:p>
    <w:p w14:paraId="1F740237">
      <w:pPr>
        <w:spacing w:line="360" w:lineRule="auto"/>
        <w:ind w:firstLine="420"/>
        <w:rPr>
          <w:rFonts w:ascii="宋体" w:hAnsi="宋体"/>
          <w:b/>
          <w:bCs/>
          <w:shd w:val="clear" w:color="auto" w:fill="FFFFFF"/>
        </w:rPr>
      </w:pPr>
      <w:r>
        <w:rPr>
          <w:rFonts w:hint="eastAsia" w:ascii="宋体" w:hAnsi="宋体"/>
          <w:b/>
          <w:bCs/>
          <w:shd w:val="clear" w:color="auto" w:fill="FFFFFF"/>
        </w:rPr>
        <w:t>1、解释权</w:t>
      </w:r>
    </w:p>
    <w:p w14:paraId="0D72C232">
      <w:pPr>
        <w:adjustRightInd w:val="0"/>
        <w:snapToGrid w:val="0"/>
        <w:spacing w:line="360" w:lineRule="auto"/>
        <w:ind w:firstLine="420" w:firstLineChars="200"/>
        <w:jc w:val="left"/>
        <w:sectPr>
          <w:pgSz w:w="11906" w:h="16838"/>
          <w:pgMar w:top="1304" w:right="1531" w:bottom="1304" w:left="1531" w:header="1304" w:footer="1304" w:gutter="0"/>
          <w:pgNumType w:start="1"/>
          <w:cols w:space="0" w:num="1"/>
        </w:sectPr>
      </w:pPr>
      <w:r>
        <w:rPr>
          <w:rFonts w:hint="eastAsia" w:ascii="宋体" w:hAnsi="宋体"/>
          <w:snapToGrid w:val="0"/>
          <w:kern w:val="0"/>
          <w:szCs w:val="21"/>
        </w:rPr>
        <w:t>凡涉及本次采购文件的解释权均属于</w:t>
      </w:r>
      <w:r>
        <w:rPr>
          <w:rFonts w:hint="eastAsia" w:ascii="宋体" w:hAnsi="宋体"/>
          <w:snapToGrid w:val="0"/>
          <w:kern w:val="0"/>
          <w:szCs w:val="21"/>
          <w:lang w:eastAsia="zh-CN"/>
        </w:rPr>
        <w:t>浙江卓宏建设项目管理有限公司</w:t>
      </w:r>
      <w:r>
        <w:rPr>
          <w:rFonts w:hint="eastAsia" w:ascii="宋体" w:hAnsi="宋体"/>
          <w:snapToGrid w:val="0"/>
          <w:kern w:val="0"/>
          <w:szCs w:val="21"/>
        </w:rPr>
        <w:t>。</w:t>
      </w:r>
    </w:p>
    <w:p w14:paraId="0D73D6A8">
      <w:pPr>
        <w:pStyle w:val="48"/>
        <w:snapToGrid w:val="0"/>
        <w:spacing w:line="360" w:lineRule="auto"/>
        <w:ind w:left="0" w:leftChars="0" w:right="-87" w:firstLine="3373" w:firstLineChars="1200"/>
        <w:outlineLvl w:val="1"/>
        <w:rPr>
          <w:rFonts w:hint="eastAsia" w:hAnsi="宋体" w:eastAsia="宋体" w:cs="Times New Roman"/>
          <w:b/>
          <w:sz w:val="28"/>
        </w:rPr>
      </w:pPr>
      <w:r>
        <w:rPr>
          <w:rFonts w:hint="eastAsia" w:hAnsi="宋体" w:cs="Times New Roman"/>
          <w:b/>
          <w:sz w:val="28"/>
          <w:lang w:val="en-US" w:eastAsia="zh-CN"/>
        </w:rPr>
        <w:t>十</w:t>
      </w:r>
      <w:r>
        <w:rPr>
          <w:rFonts w:hint="eastAsia" w:hAnsi="宋体" w:eastAsia="宋体" w:cs="Times New Roman"/>
          <w:b/>
          <w:sz w:val="28"/>
        </w:rPr>
        <w:t>、政府采购政策</w:t>
      </w:r>
    </w:p>
    <w:p w14:paraId="0E2FBF32">
      <w:pPr>
        <w:spacing w:line="360" w:lineRule="auto"/>
        <w:ind w:firstLine="420" w:firstLineChars="200"/>
        <w:rPr>
          <w:rFonts w:ascii="宋体" w:hAnsi="宋体" w:cs="宋体"/>
        </w:rPr>
      </w:pPr>
      <w:r>
        <w:rPr>
          <w:rFonts w:hint="eastAsia" w:ascii="宋体" w:hAnsi="宋体" w:cs="宋体"/>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65A1630E">
      <w:pPr>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7D51B6DE">
      <w:pPr>
        <w:spacing w:line="360" w:lineRule="auto"/>
        <w:ind w:firstLine="420" w:firstLineChars="200"/>
        <w:rPr>
          <w:rFonts w:ascii="宋体" w:hAnsi="宋体" w:cs="宋体"/>
        </w:rPr>
      </w:pPr>
      <w:r>
        <w:rPr>
          <w:rFonts w:hint="eastAsia" w:ascii="宋体" w:hAnsi="宋体" w:cs="宋体"/>
        </w:rPr>
        <w:t>1.1在政府采购活动中，投标人提供的货物、工程或者服务符合下列情形的，享受中小企业扶持政策：</w:t>
      </w:r>
    </w:p>
    <w:p w14:paraId="103D107E">
      <w:pPr>
        <w:spacing w:line="360" w:lineRule="auto"/>
        <w:ind w:firstLine="420" w:firstLineChars="200"/>
        <w:rPr>
          <w:rFonts w:ascii="宋体" w:hAnsi="宋体" w:cs="宋体"/>
        </w:rPr>
      </w:pPr>
      <w:r>
        <w:rPr>
          <w:rFonts w:hint="eastAsia" w:ascii="宋体" w:hAnsi="宋体" w:cs="宋体"/>
        </w:rPr>
        <w:t>1.1.1在货物采购项目中，货物由中小企业制造，即货物由中小企业生产且使用该中小企业商号或者注册商标；</w:t>
      </w:r>
    </w:p>
    <w:p w14:paraId="0F870B8F">
      <w:pPr>
        <w:spacing w:line="360" w:lineRule="auto"/>
        <w:ind w:firstLine="420" w:firstLineChars="200"/>
        <w:rPr>
          <w:rFonts w:ascii="宋体" w:hAnsi="宋体" w:cs="宋体"/>
        </w:rPr>
      </w:pPr>
      <w:r>
        <w:rPr>
          <w:rFonts w:hint="eastAsia" w:ascii="宋体" w:hAnsi="宋体" w:cs="宋体"/>
        </w:rPr>
        <w:t>1.1.2在工程采购项目中，工程由中小企业承建，即工程施工单位为中小企业；</w:t>
      </w:r>
    </w:p>
    <w:p w14:paraId="6DEAE147">
      <w:pPr>
        <w:spacing w:line="360" w:lineRule="auto"/>
        <w:ind w:firstLine="420" w:firstLineChars="200"/>
        <w:rPr>
          <w:rFonts w:ascii="宋体" w:hAnsi="宋体" w:cs="宋体"/>
        </w:rPr>
      </w:pPr>
      <w:r>
        <w:rPr>
          <w:rFonts w:hint="eastAsia" w:ascii="宋体" w:hAnsi="宋体" w:cs="宋体"/>
        </w:rPr>
        <w:t>1.1.3在服务采购项目中，服务由中小企业承接，即提供服务的人员为中小企业依照《中华人民共和国劳动合同法》订立劳动合同的从业人员。</w:t>
      </w:r>
    </w:p>
    <w:p w14:paraId="52500FD6">
      <w:pPr>
        <w:spacing w:line="360" w:lineRule="auto"/>
        <w:ind w:firstLine="420" w:firstLineChars="200"/>
        <w:rPr>
          <w:rFonts w:ascii="宋体" w:hAnsi="宋体" w:cs="宋体"/>
        </w:rPr>
      </w:pPr>
      <w:r>
        <w:rPr>
          <w:rFonts w:hint="eastAsia" w:ascii="宋体" w:hAnsi="宋体" w:cs="宋体"/>
        </w:rPr>
        <w:t>在货物采购项目中，投标人提供的货物既有中小企业制造货物，也有大型企业制造货物的，不享受中小企业扶持政策。</w:t>
      </w:r>
    </w:p>
    <w:p w14:paraId="1D2E5F46">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4EB79C0D">
      <w:pPr>
        <w:spacing w:line="360" w:lineRule="auto"/>
        <w:ind w:firstLine="422" w:firstLineChars="200"/>
        <w:rPr>
          <w:rFonts w:ascii="宋体" w:hAnsi="宋体" w:cs="宋体"/>
          <w:b/>
          <w:bCs/>
        </w:rPr>
      </w:pPr>
      <w:r>
        <w:rPr>
          <w:rFonts w:hint="eastAsia" w:ascii="宋体" w:hAnsi="宋体" w:cs="宋体"/>
          <w:b/>
          <w:bCs/>
        </w:rPr>
        <w:t>1.2</w:t>
      </w:r>
      <w:r>
        <w:rPr>
          <w:rFonts w:hint="eastAsia" w:ascii="宋体" w:hAnsi="宋体" w:cs="宋体"/>
          <w:b/>
          <w:kern w:val="0"/>
          <w:szCs w:val="21"/>
        </w:rPr>
        <w:t>本项目为未预留份额专门面向中小企业采购的采购项目</w:t>
      </w:r>
      <w:r>
        <w:rPr>
          <w:rFonts w:hint="eastAsia" w:ascii="宋体" w:hAnsi="宋体" w:cs="宋体"/>
          <w:b/>
          <w:bCs/>
        </w:rPr>
        <w:t>：</w:t>
      </w:r>
    </w:p>
    <w:p w14:paraId="3823AAA5">
      <w:pPr>
        <w:spacing w:line="360" w:lineRule="auto"/>
        <w:ind w:firstLine="422" w:firstLineChars="200"/>
        <w:rPr>
          <w:rFonts w:hint="eastAsia" w:ascii="宋体" w:hAnsi="宋体" w:cs="宋体"/>
          <w:b/>
          <w:bCs/>
        </w:rPr>
      </w:pPr>
      <w:r>
        <w:rPr>
          <w:rFonts w:hint="eastAsia" w:ascii="宋体" w:hAnsi="宋体" w:cs="宋体"/>
          <w:b/>
          <w:bCs/>
          <w:lang w:val="en-US" w:eastAsia="zh-CN"/>
        </w:rPr>
        <w:t>1.2.1</w:t>
      </w:r>
      <w:r>
        <w:rPr>
          <w:rFonts w:hint="eastAsia" w:ascii="宋体" w:hAnsi="宋体" w:cs="宋体"/>
          <w:b/>
          <w:bCs/>
        </w:rPr>
        <w:t>.【评审中价格扣除政策】本项目对符合本办法规定的小微企业报价给予10%的扣除，用扣除后的价格参加评审：</w:t>
      </w:r>
    </w:p>
    <w:p w14:paraId="0DEDA75D">
      <w:pPr>
        <w:spacing w:line="360" w:lineRule="auto"/>
        <w:ind w:firstLine="422" w:firstLineChars="200"/>
        <w:rPr>
          <w:rFonts w:hint="eastAsia" w:ascii="宋体" w:hAnsi="宋体" w:cs="宋体"/>
          <w:b/>
          <w:bCs/>
        </w:rPr>
      </w:pPr>
      <w:r>
        <w:rPr>
          <w:rFonts w:hint="eastAsia" w:ascii="宋体" w:hAnsi="宋体" w:cs="宋体"/>
          <w:b/>
          <w:bCs/>
        </w:rPr>
        <w:t>（1）小微企业须提供《中小企业声明函》，附在报价文件内，否则不享受评审中价格扣除政策；</w:t>
      </w:r>
    </w:p>
    <w:p w14:paraId="1FD29BCC">
      <w:pPr>
        <w:spacing w:line="360" w:lineRule="auto"/>
        <w:ind w:firstLine="422" w:firstLineChars="200"/>
        <w:rPr>
          <w:rFonts w:hint="eastAsia" w:ascii="宋体" w:hAnsi="宋体" w:cs="宋体"/>
          <w:b/>
          <w:bCs/>
        </w:rPr>
      </w:pPr>
      <w:r>
        <w:rPr>
          <w:rFonts w:hint="eastAsia" w:ascii="宋体" w:hAnsi="宋体" w:cs="宋体"/>
          <w:b/>
          <w:bCs/>
        </w:rPr>
        <w:t>（2）监狱企业须提供由省级以上监狱管理局、戒毒管理局（含新疆生产建设兵团）出具的属于监狱企业的证明文件，附在报价文件内，否则不享受评审中价格扣除政策；</w:t>
      </w:r>
    </w:p>
    <w:p w14:paraId="14D1E746">
      <w:pPr>
        <w:spacing w:line="360" w:lineRule="auto"/>
        <w:ind w:firstLine="422" w:firstLineChars="200"/>
        <w:rPr>
          <w:rFonts w:ascii="宋体" w:hAnsi="宋体" w:cs="宋体"/>
          <w:b/>
          <w:bCs/>
        </w:rPr>
      </w:pPr>
      <w:r>
        <w:rPr>
          <w:rFonts w:hint="eastAsia" w:ascii="宋体" w:hAnsi="宋体" w:cs="宋体"/>
          <w:b/>
          <w:bCs/>
        </w:rPr>
        <w:t>（3）残疾人福利性单位须提供《残疾人福利性单位声明函》，附在报价文件内，否则不享受评审中价格扣除政策。</w:t>
      </w:r>
    </w:p>
    <w:p w14:paraId="6FE3532F">
      <w:pPr>
        <w:spacing w:line="360" w:lineRule="auto"/>
        <w:ind w:firstLine="420" w:firstLineChars="200"/>
        <w:rPr>
          <w:rFonts w:ascii="宋体" w:hAnsi="宋体" w:cs="宋体"/>
        </w:rPr>
      </w:pPr>
      <w:r>
        <w:rPr>
          <w:rFonts w:hint="eastAsia" w:ascii="宋体" w:hAnsi="宋体" w:cs="宋体"/>
        </w:rPr>
        <w:t>1.3符合《关于促进残疾人就业政府采购政策的通知》（财库〔2017〕141号）规定的条件并提供《残疾人福利性单位声明函》的残疾人福利性单位视同小型、微型企业；</w:t>
      </w:r>
    </w:p>
    <w:p w14:paraId="41C5ADAC">
      <w:pPr>
        <w:spacing w:line="360" w:lineRule="auto"/>
        <w:ind w:firstLine="420" w:firstLineChars="200"/>
        <w:rPr>
          <w:rFonts w:ascii="宋体" w:hAnsi="宋体" w:cs="宋体"/>
        </w:rPr>
      </w:pPr>
      <w:r>
        <w:rPr>
          <w:rFonts w:hint="eastAsia" w:ascii="宋体" w:hAnsi="宋体" w:cs="宋体"/>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700449F8">
      <w:pPr>
        <w:spacing w:line="360" w:lineRule="auto"/>
        <w:ind w:firstLine="420" w:firstLineChars="200"/>
        <w:rPr>
          <w:rFonts w:ascii="宋体" w:hAnsi="宋体" w:cs="宋体"/>
        </w:rPr>
      </w:pPr>
      <w:r>
        <w:rPr>
          <w:rFonts w:hint="eastAsia" w:ascii="宋体" w:hAnsi="宋体" w:cs="宋体"/>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F727427">
      <w:pPr>
        <w:spacing w:line="360" w:lineRule="auto"/>
        <w:ind w:firstLine="420" w:firstLineChars="200"/>
        <w:rPr>
          <w:rFonts w:ascii="宋体" w:hAnsi="宋体" w:cs="宋体"/>
        </w:rPr>
      </w:pPr>
      <w:r>
        <w:rPr>
          <w:rFonts w:hint="eastAsia" w:ascii="宋体" w:hAnsi="宋体" w:cs="宋体"/>
        </w:rPr>
        <w:t>1.6中小企业享受扶持政策获得政府采购合同的，小微企业不得将合同分包给大中型企业，中型企业不得将合同分包给大型企业。</w:t>
      </w:r>
    </w:p>
    <w:p w14:paraId="508CEE20">
      <w:pPr>
        <w:spacing w:line="360" w:lineRule="auto"/>
        <w:ind w:firstLine="420" w:firstLineChars="200"/>
        <w:rPr>
          <w:rFonts w:ascii="宋体" w:hAnsi="宋体" w:cs="宋体"/>
        </w:rPr>
      </w:pPr>
      <w:r>
        <w:rPr>
          <w:rFonts w:hint="eastAsia" w:ascii="宋体" w:hAnsi="宋体" w:cs="宋体"/>
        </w:rPr>
        <w:t>2、信贷政策</w:t>
      </w:r>
    </w:p>
    <w:p w14:paraId="0E005545">
      <w:pPr>
        <w:spacing w:line="360" w:lineRule="auto"/>
        <w:ind w:firstLine="420" w:firstLineChars="200"/>
        <w:rPr>
          <w:rFonts w:ascii="宋体" w:hAnsi="宋体" w:cs="宋体"/>
        </w:rPr>
      </w:pPr>
      <w:r>
        <w:rPr>
          <w:rFonts w:hint="eastAsia" w:ascii="宋体" w:hAnsi="宋体" w:cs="宋体"/>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288"/>
        <w:gridCol w:w="1689"/>
      </w:tblGrid>
      <w:tr w14:paraId="3550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897" w:type="dxa"/>
            <w:gridSpan w:val="4"/>
          </w:tcPr>
          <w:p w14:paraId="0D78DE48">
            <w:pPr>
              <w:jc w:val="center"/>
              <w:rPr>
                <w:rFonts w:ascii="Times New Roman" w:hAnsi="Times New Roman"/>
                <w:bCs/>
                <w:szCs w:val="21"/>
              </w:rPr>
            </w:pPr>
            <w:r>
              <w:rPr>
                <w:rFonts w:hint="eastAsia" w:ascii="Times New Roman" w:hAnsi="Times New Roman"/>
                <w:bCs/>
                <w:szCs w:val="21"/>
              </w:rPr>
              <w:t>舟山市政府采购信用融资合作银行</w:t>
            </w:r>
          </w:p>
        </w:tc>
      </w:tr>
      <w:tr w14:paraId="7FE3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vAlign w:val="center"/>
          </w:tcPr>
          <w:p w14:paraId="40907632">
            <w:pPr>
              <w:pStyle w:val="84"/>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银行名称</w:t>
            </w:r>
          </w:p>
        </w:tc>
        <w:tc>
          <w:tcPr>
            <w:tcW w:w="3547" w:type="dxa"/>
            <w:vAlign w:val="center"/>
          </w:tcPr>
          <w:p w14:paraId="016CBF88">
            <w:pPr>
              <w:pStyle w:val="84"/>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产品特点</w:t>
            </w:r>
          </w:p>
        </w:tc>
        <w:tc>
          <w:tcPr>
            <w:tcW w:w="1288" w:type="dxa"/>
            <w:vAlign w:val="center"/>
          </w:tcPr>
          <w:p w14:paraId="1F05522E">
            <w:pPr>
              <w:pStyle w:val="84"/>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经办人</w:t>
            </w:r>
          </w:p>
        </w:tc>
        <w:tc>
          <w:tcPr>
            <w:tcW w:w="1689" w:type="dxa"/>
            <w:vAlign w:val="center"/>
          </w:tcPr>
          <w:p w14:paraId="1AE5CD2E">
            <w:pPr>
              <w:jc w:val="center"/>
              <w:rPr>
                <w:rFonts w:ascii="Times New Roman" w:hAnsi="Times New Roman"/>
                <w:bCs/>
                <w:szCs w:val="21"/>
              </w:rPr>
            </w:pPr>
            <w:r>
              <w:rPr>
                <w:rFonts w:hint="eastAsia" w:ascii="Times New Roman" w:hAnsi="Times New Roman"/>
                <w:bCs/>
                <w:szCs w:val="21"/>
              </w:rPr>
              <w:t>联系方式</w:t>
            </w:r>
          </w:p>
        </w:tc>
      </w:tr>
      <w:tr w14:paraId="7347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7CCA8BE">
            <w:pPr>
              <w:pStyle w:val="84"/>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中国工商银行股份有限公司舟山分行</w:t>
            </w:r>
          </w:p>
        </w:tc>
        <w:tc>
          <w:tcPr>
            <w:tcW w:w="3547" w:type="dxa"/>
          </w:tcPr>
          <w:p w14:paraId="64AFB7FF">
            <w:pPr>
              <w:rPr>
                <w:rFonts w:ascii="Times New Roman" w:hAnsi="Times New Roman"/>
                <w:bCs/>
                <w:szCs w:val="21"/>
              </w:rPr>
            </w:pPr>
            <w:r>
              <w:rPr>
                <w:rFonts w:hint="eastAsia" w:ascii="Times New Roman" w:hAnsi="Times New Roman"/>
                <w:bCs/>
                <w:szCs w:val="21"/>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288" w:type="dxa"/>
            <w:vAlign w:val="center"/>
          </w:tcPr>
          <w:p w14:paraId="06584570">
            <w:pPr>
              <w:pStyle w:val="84"/>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柳超颖</w:t>
            </w:r>
          </w:p>
        </w:tc>
        <w:tc>
          <w:tcPr>
            <w:tcW w:w="1689" w:type="dxa"/>
            <w:vAlign w:val="center"/>
          </w:tcPr>
          <w:p w14:paraId="5005CE4E">
            <w:pPr>
              <w:jc w:val="center"/>
              <w:rPr>
                <w:rFonts w:ascii="Times New Roman" w:hAnsi="Times New Roman"/>
                <w:bCs/>
                <w:szCs w:val="21"/>
              </w:rPr>
            </w:pPr>
            <w:r>
              <w:rPr>
                <w:rFonts w:hint="eastAsia" w:ascii="Times New Roman" w:hAnsi="Times New Roman"/>
                <w:bCs/>
                <w:szCs w:val="21"/>
              </w:rPr>
              <w:t>15858076468</w:t>
            </w:r>
          </w:p>
        </w:tc>
      </w:tr>
      <w:tr w14:paraId="13A3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tcPr>
          <w:p w14:paraId="562E5323">
            <w:pPr>
              <w:rPr>
                <w:rFonts w:ascii="Times New Roman" w:hAnsi="Times New Roman"/>
                <w:bCs/>
                <w:szCs w:val="21"/>
              </w:rPr>
            </w:pPr>
            <w:r>
              <w:rPr>
                <w:rFonts w:hint="eastAsia" w:ascii="Times New Roman" w:hAnsi="Times New Roman"/>
                <w:bCs/>
                <w:szCs w:val="21"/>
              </w:rPr>
              <w:t>中国建设银行股份有限公司舟山分行</w:t>
            </w:r>
          </w:p>
        </w:tc>
        <w:tc>
          <w:tcPr>
            <w:tcW w:w="3547" w:type="dxa"/>
          </w:tcPr>
          <w:p w14:paraId="1979EF45">
            <w:pPr>
              <w:rPr>
                <w:rFonts w:ascii="Times New Roman" w:hAnsi="Times New Roman"/>
                <w:bCs/>
                <w:szCs w:val="21"/>
              </w:rPr>
            </w:pPr>
            <w:r>
              <w:rPr>
                <w:rFonts w:hint="eastAsia" w:ascii="Times New Roman" w:hAnsi="Times New Roman"/>
                <w:bCs/>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288" w:type="dxa"/>
            <w:vAlign w:val="center"/>
          </w:tcPr>
          <w:p w14:paraId="3CDBB786">
            <w:pPr>
              <w:rPr>
                <w:rFonts w:ascii="Times New Roman" w:hAnsi="Times New Roman"/>
                <w:bCs/>
                <w:szCs w:val="21"/>
              </w:rPr>
            </w:pPr>
            <w:r>
              <w:rPr>
                <w:rFonts w:hint="eastAsia" w:ascii="Times New Roman" w:hAnsi="Times New Roman"/>
                <w:bCs/>
                <w:szCs w:val="21"/>
              </w:rPr>
              <w:t>普陀片区：蔡妮妮</w:t>
            </w:r>
          </w:p>
          <w:p w14:paraId="6EEB533D">
            <w:pPr>
              <w:rPr>
                <w:rFonts w:ascii="Times New Roman" w:hAnsi="Times New Roman"/>
                <w:bCs/>
                <w:szCs w:val="21"/>
              </w:rPr>
            </w:pPr>
            <w:r>
              <w:rPr>
                <w:rFonts w:hint="eastAsia" w:ascii="Times New Roman" w:hAnsi="Times New Roman"/>
                <w:bCs/>
                <w:szCs w:val="21"/>
              </w:rPr>
              <w:t>定海片区：杨莹</w:t>
            </w:r>
          </w:p>
          <w:p w14:paraId="67930F21">
            <w:pPr>
              <w:rPr>
                <w:rFonts w:ascii="Times New Roman" w:hAnsi="Times New Roman"/>
                <w:bCs/>
                <w:szCs w:val="21"/>
              </w:rPr>
            </w:pPr>
            <w:r>
              <w:rPr>
                <w:rFonts w:hint="eastAsia" w:ascii="Times New Roman" w:hAnsi="Times New Roman"/>
                <w:bCs/>
                <w:szCs w:val="21"/>
              </w:rPr>
              <w:t>自贸区片区：郑佳奇</w:t>
            </w:r>
          </w:p>
        </w:tc>
        <w:tc>
          <w:tcPr>
            <w:tcW w:w="1689" w:type="dxa"/>
            <w:vAlign w:val="center"/>
          </w:tcPr>
          <w:p w14:paraId="5400CB8D">
            <w:pPr>
              <w:rPr>
                <w:rFonts w:ascii="Times New Roman" w:hAnsi="Times New Roman"/>
                <w:bCs/>
                <w:szCs w:val="21"/>
              </w:rPr>
            </w:pPr>
            <w:r>
              <w:rPr>
                <w:rFonts w:hint="eastAsia" w:ascii="Times New Roman" w:hAnsi="Times New Roman"/>
                <w:bCs/>
                <w:szCs w:val="21"/>
              </w:rPr>
              <w:t>普陀片区：13957201791</w:t>
            </w:r>
          </w:p>
          <w:p w14:paraId="4C69353C">
            <w:pPr>
              <w:rPr>
                <w:rFonts w:ascii="Times New Roman" w:hAnsi="Times New Roman"/>
                <w:bCs/>
                <w:szCs w:val="21"/>
              </w:rPr>
            </w:pPr>
            <w:r>
              <w:rPr>
                <w:rFonts w:hint="eastAsia" w:ascii="Times New Roman" w:hAnsi="Times New Roman"/>
                <w:bCs/>
                <w:szCs w:val="21"/>
              </w:rPr>
              <w:t>定海片区：13655803997</w:t>
            </w:r>
          </w:p>
          <w:p w14:paraId="4748E519">
            <w:pPr>
              <w:rPr>
                <w:rFonts w:ascii="Times New Roman" w:hAnsi="Times New Roman"/>
                <w:bCs/>
                <w:szCs w:val="21"/>
              </w:rPr>
            </w:pPr>
            <w:r>
              <w:rPr>
                <w:rFonts w:hint="eastAsia" w:ascii="Times New Roman" w:hAnsi="Times New Roman"/>
                <w:bCs/>
                <w:szCs w:val="21"/>
              </w:rPr>
              <w:t>自贸区片区：13857208408</w:t>
            </w:r>
          </w:p>
        </w:tc>
      </w:tr>
      <w:tr w14:paraId="0F83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EA7B747">
            <w:pPr>
              <w:pStyle w:val="84"/>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杭州银行股份有限公司舟山市分行</w:t>
            </w:r>
          </w:p>
        </w:tc>
        <w:tc>
          <w:tcPr>
            <w:tcW w:w="3547" w:type="dxa"/>
          </w:tcPr>
          <w:p w14:paraId="5064BBD5">
            <w:pPr>
              <w:rPr>
                <w:rFonts w:ascii="Times New Roman" w:hAnsi="Times New Roman"/>
                <w:bCs/>
                <w:szCs w:val="21"/>
              </w:rPr>
            </w:pPr>
            <w:r>
              <w:rPr>
                <w:rFonts w:hint="eastAsia" w:ascii="Times New Roman" w:hAnsi="Times New Roman"/>
                <w:bCs/>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288" w:type="dxa"/>
            <w:vAlign w:val="center"/>
          </w:tcPr>
          <w:p w14:paraId="7B7440DE">
            <w:pPr>
              <w:jc w:val="center"/>
              <w:rPr>
                <w:rFonts w:ascii="Times New Roman" w:hAnsi="Times New Roman"/>
                <w:bCs/>
                <w:szCs w:val="21"/>
              </w:rPr>
            </w:pPr>
            <w:r>
              <w:rPr>
                <w:rFonts w:hint="eastAsia" w:ascii="Times New Roman" w:hAnsi="Times New Roman"/>
                <w:bCs/>
                <w:szCs w:val="21"/>
              </w:rPr>
              <w:t>方经理</w:t>
            </w:r>
          </w:p>
        </w:tc>
        <w:tc>
          <w:tcPr>
            <w:tcW w:w="1689" w:type="dxa"/>
            <w:vAlign w:val="center"/>
          </w:tcPr>
          <w:p w14:paraId="0E73E240">
            <w:pPr>
              <w:jc w:val="center"/>
              <w:rPr>
                <w:rFonts w:ascii="Times New Roman" w:hAnsi="Times New Roman"/>
                <w:bCs/>
                <w:szCs w:val="21"/>
              </w:rPr>
            </w:pPr>
            <w:r>
              <w:rPr>
                <w:rFonts w:hint="eastAsia" w:ascii="Times New Roman" w:hAnsi="Times New Roman"/>
                <w:bCs/>
                <w:szCs w:val="21"/>
              </w:rPr>
              <w:t>0580-2185201、18205800451</w:t>
            </w:r>
          </w:p>
        </w:tc>
      </w:tr>
      <w:tr w14:paraId="7701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1653A6B">
            <w:pPr>
              <w:pStyle w:val="84"/>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招商银行股份有限公司浙江自贸试验区舟山分行</w:t>
            </w:r>
          </w:p>
        </w:tc>
        <w:tc>
          <w:tcPr>
            <w:tcW w:w="3547" w:type="dxa"/>
          </w:tcPr>
          <w:p w14:paraId="08CBEDA8">
            <w:pPr>
              <w:rPr>
                <w:rFonts w:ascii="Times New Roman" w:hAnsi="Times New Roman"/>
                <w:bCs/>
                <w:szCs w:val="21"/>
              </w:rPr>
            </w:pPr>
            <w:r>
              <w:rPr>
                <w:rFonts w:hint="eastAsia" w:ascii="Times New Roman" w:hAnsi="Times New Roman"/>
                <w:bCs/>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288" w:type="dxa"/>
            <w:vAlign w:val="center"/>
          </w:tcPr>
          <w:p w14:paraId="5D5050EB">
            <w:pPr>
              <w:jc w:val="center"/>
              <w:rPr>
                <w:rFonts w:ascii="Times New Roman" w:hAnsi="Times New Roman"/>
                <w:bCs/>
                <w:szCs w:val="21"/>
              </w:rPr>
            </w:pPr>
            <w:r>
              <w:rPr>
                <w:rFonts w:hint="eastAsia" w:ascii="Times New Roman" w:hAnsi="Times New Roman"/>
                <w:bCs/>
                <w:szCs w:val="21"/>
              </w:rPr>
              <w:t>李玲</w:t>
            </w:r>
          </w:p>
        </w:tc>
        <w:tc>
          <w:tcPr>
            <w:tcW w:w="1689" w:type="dxa"/>
            <w:vAlign w:val="center"/>
          </w:tcPr>
          <w:p w14:paraId="6E9E0002">
            <w:pPr>
              <w:jc w:val="center"/>
              <w:rPr>
                <w:rFonts w:ascii="Times New Roman" w:hAnsi="Times New Roman"/>
                <w:bCs/>
                <w:szCs w:val="21"/>
              </w:rPr>
            </w:pPr>
            <w:r>
              <w:rPr>
                <w:rFonts w:hint="eastAsia" w:ascii="Times New Roman" w:hAnsi="Times New Roman"/>
                <w:bCs/>
                <w:szCs w:val="21"/>
              </w:rPr>
              <w:t>0580-2061710、13957227971</w:t>
            </w:r>
          </w:p>
        </w:tc>
      </w:tr>
      <w:tr w14:paraId="4E2E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373" w:type="dxa"/>
          </w:tcPr>
          <w:p w14:paraId="4A176862">
            <w:pPr>
              <w:pStyle w:val="84"/>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温州银行股份有限公司舟山市分行</w:t>
            </w:r>
          </w:p>
        </w:tc>
        <w:tc>
          <w:tcPr>
            <w:tcW w:w="3547" w:type="dxa"/>
          </w:tcPr>
          <w:p w14:paraId="2BFD332E">
            <w:pPr>
              <w:rPr>
                <w:rFonts w:ascii="Times New Roman" w:hAnsi="Times New Roman"/>
                <w:bCs/>
                <w:szCs w:val="21"/>
              </w:rPr>
            </w:pPr>
            <w:r>
              <w:rPr>
                <w:rFonts w:hint="eastAsia" w:ascii="Times New Roman" w:hAnsi="Times New Roman"/>
                <w:bCs/>
                <w:szCs w:val="21"/>
              </w:rPr>
              <w:t>“政采订单贷” ：单户授信最高为500万，单笔申请最高可按中标金额0.8折，贷款期限最少三个月、最长一年，可通过政采云平台向本行发起政采订单贷业务申请</w:t>
            </w:r>
          </w:p>
        </w:tc>
        <w:tc>
          <w:tcPr>
            <w:tcW w:w="1288" w:type="dxa"/>
            <w:vAlign w:val="center"/>
          </w:tcPr>
          <w:p w14:paraId="3FAC1607">
            <w:pPr>
              <w:jc w:val="center"/>
              <w:rPr>
                <w:rFonts w:ascii="Times New Roman" w:hAnsi="Times New Roman"/>
                <w:bCs/>
                <w:szCs w:val="21"/>
              </w:rPr>
            </w:pPr>
            <w:r>
              <w:rPr>
                <w:rFonts w:hint="eastAsia" w:ascii="Times New Roman" w:hAnsi="Times New Roman"/>
                <w:bCs/>
                <w:szCs w:val="21"/>
              </w:rPr>
              <w:t>郑贤栋</w:t>
            </w:r>
          </w:p>
        </w:tc>
        <w:tc>
          <w:tcPr>
            <w:tcW w:w="1689" w:type="dxa"/>
            <w:vAlign w:val="center"/>
          </w:tcPr>
          <w:p w14:paraId="745283F8">
            <w:pPr>
              <w:jc w:val="center"/>
              <w:rPr>
                <w:rFonts w:ascii="Times New Roman" w:hAnsi="Times New Roman"/>
                <w:bCs/>
                <w:szCs w:val="21"/>
              </w:rPr>
            </w:pPr>
            <w:r>
              <w:rPr>
                <w:rFonts w:ascii="Times New Roman" w:hAnsi="Times New Roman"/>
                <w:bCs/>
                <w:szCs w:val="21"/>
              </w:rPr>
              <w:t>0580—8866086</w:t>
            </w:r>
          </w:p>
        </w:tc>
      </w:tr>
      <w:tr w14:paraId="4F27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FEF0357">
            <w:pPr>
              <w:pStyle w:val="84"/>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交通银行股份有限公司舟山分行</w:t>
            </w:r>
          </w:p>
        </w:tc>
        <w:tc>
          <w:tcPr>
            <w:tcW w:w="3547" w:type="dxa"/>
          </w:tcPr>
          <w:p w14:paraId="4BA4ADC5">
            <w:pPr>
              <w:autoSpaceDE w:val="0"/>
              <w:autoSpaceDN w:val="0"/>
              <w:adjustRightInd w:val="0"/>
              <w:rPr>
                <w:rFonts w:ascii="Times New Roman" w:hAnsi="Times New Roman"/>
                <w:bCs/>
                <w:szCs w:val="21"/>
              </w:rPr>
            </w:pPr>
            <w:r>
              <w:rPr>
                <w:rFonts w:hint="eastAsia" w:ascii="Times New Roman" w:hAnsi="Times New Roman"/>
                <w:bCs/>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288" w:type="dxa"/>
            <w:vAlign w:val="center"/>
          </w:tcPr>
          <w:p w14:paraId="0FFC5BA2">
            <w:pPr>
              <w:jc w:val="center"/>
              <w:rPr>
                <w:rFonts w:ascii="Times New Roman" w:hAnsi="Times New Roman"/>
                <w:bCs/>
                <w:szCs w:val="21"/>
              </w:rPr>
            </w:pPr>
            <w:r>
              <w:rPr>
                <w:rFonts w:hint="eastAsia" w:ascii="Times New Roman" w:hAnsi="Times New Roman"/>
                <w:bCs/>
                <w:szCs w:val="21"/>
              </w:rPr>
              <w:t>赵争艳</w:t>
            </w:r>
          </w:p>
        </w:tc>
        <w:tc>
          <w:tcPr>
            <w:tcW w:w="1689" w:type="dxa"/>
            <w:vAlign w:val="center"/>
          </w:tcPr>
          <w:p w14:paraId="1B0FD6F5">
            <w:pPr>
              <w:jc w:val="center"/>
              <w:rPr>
                <w:rFonts w:ascii="Times New Roman" w:hAnsi="Times New Roman"/>
                <w:bCs/>
                <w:szCs w:val="21"/>
              </w:rPr>
            </w:pPr>
            <w:r>
              <w:rPr>
                <w:rFonts w:hint="eastAsia" w:ascii="Times New Roman" w:hAnsi="Times New Roman"/>
                <w:bCs/>
                <w:szCs w:val="21"/>
              </w:rPr>
              <w:t>0580-2260728,13758007280</w:t>
            </w:r>
          </w:p>
        </w:tc>
      </w:tr>
      <w:tr w14:paraId="40AE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5A882D0B">
            <w:pPr>
              <w:pStyle w:val="84"/>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中信银行股份有限公司舟山分行</w:t>
            </w:r>
          </w:p>
        </w:tc>
        <w:tc>
          <w:tcPr>
            <w:tcW w:w="3547" w:type="dxa"/>
          </w:tcPr>
          <w:p w14:paraId="7D611A62">
            <w:pPr>
              <w:rPr>
                <w:rFonts w:ascii="Times New Roman" w:hAnsi="Times New Roman"/>
                <w:bCs/>
                <w:szCs w:val="21"/>
              </w:rPr>
            </w:pPr>
            <w:r>
              <w:rPr>
                <w:rFonts w:hint="eastAsia" w:ascii="Times New Roman" w:hAnsi="Times New Roman"/>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288" w:type="dxa"/>
            <w:vAlign w:val="center"/>
          </w:tcPr>
          <w:p w14:paraId="3F3C0E1C">
            <w:pPr>
              <w:jc w:val="center"/>
              <w:rPr>
                <w:rFonts w:ascii="Times New Roman" w:hAnsi="Times New Roman"/>
                <w:bCs/>
                <w:szCs w:val="21"/>
              </w:rPr>
            </w:pPr>
            <w:r>
              <w:rPr>
                <w:rFonts w:hint="eastAsia" w:ascii="Times New Roman" w:hAnsi="Times New Roman"/>
                <w:bCs/>
                <w:szCs w:val="21"/>
              </w:rPr>
              <w:t>杨莉丹</w:t>
            </w:r>
          </w:p>
        </w:tc>
        <w:tc>
          <w:tcPr>
            <w:tcW w:w="1689" w:type="dxa"/>
            <w:vAlign w:val="center"/>
          </w:tcPr>
          <w:p w14:paraId="591E16A1">
            <w:pPr>
              <w:jc w:val="center"/>
              <w:rPr>
                <w:rFonts w:ascii="Times New Roman" w:hAnsi="Times New Roman"/>
                <w:bCs/>
                <w:szCs w:val="21"/>
              </w:rPr>
            </w:pPr>
            <w:r>
              <w:rPr>
                <w:rFonts w:ascii="Times New Roman" w:hAnsi="Times New Roman"/>
                <w:bCs/>
                <w:szCs w:val="21"/>
              </w:rPr>
              <w:t>13905809681</w:t>
            </w:r>
          </w:p>
        </w:tc>
      </w:tr>
      <w:tr w14:paraId="46F5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2AD8532D">
            <w:pPr>
              <w:pStyle w:val="84"/>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泰隆银行舟山市分行</w:t>
            </w:r>
          </w:p>
        </w:tc>
        <w:tc>
          <w:tcPr>
            <w:tcW w:w="3547" w:type="dxa"/>
          </w:tcPr>
          <w:p w14:paraId="4328B4FF">
            <w:pPr>
              <w:rPr>
                <w:rFonts w:ascii="Times New Roman" w:hAnsi="Times New Roman"/>
                <w:bCs/>
                <w:szCs w:val="21"/>
              </w:rPr>
            </w:pPr>
            <w:r>
              <w:rPr>
                <w:rFonts w:hint="eastAsia" w:ascii="Times New Roman" w:hAnsi="Times New Roman"/>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432E474B">
            <w:pPr>
              <w:rPr>
                <w:rFonts w:ascii="Times New Roman" w:hAnsi="Times New Roman"/>
                <w:bCs/>
                <w:szCs w:val="21"/>
              </w:rPr>
            </w:pPr>
            <w:r>
              <w:rPr>
                <w:rFonts w:hint="eastAsia" w:ascii="Times New Roman" w:hAnsi="Times New Roman"/>
                <w:bCs/>
                <w:szCs w:val="21"/>
              </w:rPr>
              <w:t>贷至合同付款日。</w:t>
            </w:r>
          </w:p>
        </w:tc>
        <w:tc>
          <w:tcPr>
            <w:tcW w:w="1288" w:type="dxa"/>
            <w:vAlign w:val="center"/>
          </w:tcPr>
          <w:p w14:paraId="617AC018">
            <w:pPr>
              <w:jc w:val="center"/>
              <w:rPr>
                <w:rFonts w:ascii="Times New Roman" w:hAnsi="Times New Roman"/>
                <w:bCs/>
                <w:szCs w:val="21"/>
              </w:rPr>
            </w:pPr>
            <w:r>
              <w:rPr>
                <w:rFonts w:hint="eastAsia" w:ascii="Times New Roman" w:hAnsi="Times New Roman"/>
                <w:bCs/>
                <w:szCs w:val="21"/>
              </w:rPr>
              <w:t>胡亢宇</w:t>
            </w:r>
          </w:p>
        </w:tc>
        <w:tc>
          <w:tcPr>
            <w:tcW w:w="1689" w:type="dxa"/>
            <w:vAlign w:val="center"/>
          </w:tcPr>
          <w:p w14:paraId="0A28ABFE">
            <w:pPr>
              <w:jc w:val="center"/>
              <w:rPr>
                <w:rFonts w:ascii="Times New Roman" w:hAnsi="Times New Roman"/>
                <w:bCs/>
                <w:szCs w:val="21"/>
              </w:rPr>
            </w:pPr>
            <w:r>
              <w:rPr>
                <w:rFonts w:ascii="Times New Roman" w:hAnsi="Times New Roman"/>
                <w:bCs/>
                <w:szCs w:val="21"/>
              </w:rPr>
              <w:t>17605868703</w:t>
            </w:r>
          </w:p>
        </w:tc>
      </w:tr>
      <w:tr w14:paraId="2A06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6F70B646">
            <w:pPr>
              <w:pStyle w:val="84"/>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中国农业银行股份有限公司舟山分行</w:t>
            </w:r>
          </w:p>
        </w:tc>
        <w:tc>
          <w:tcPr>
            <w:tcW w:w="3547" w:type="dxa"/>
          </w:tcPr>
          <w:p w14:paraId="1BA8771B">
            <w:pPr>
              <w:rPr>
                <w:rFonts w:ascii="Times New Roman" w:hAnsi="Times New Roman"/>
                <w:bCs/>
                <w:szCs w:val="21"/>
              </w:rPr>
            </w:pPr>
            <w:r>
              <w:rPr>
                <w:rFonts w:hint="eastAsia" w:ascii="Times New Roman" w:hAnsi="Times New Roman"/>
                <w:bCs/>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288" w:type="dxa"/>
            <w:vAlign w:val="center"/>
          </w:tcPr>
          <w:p w14:paraId="720D8FFD">
            <w:pPr>
              <w:jc w:val="center"/>
              <w:rPr>
                <w:rFonts w:ascii="Times New Roman" w:hAnsi="Times New Roman"/>
                <w:bCs/>
                <w:szCs w:val="21"/>
              </w:rPr>
            </w:pPr>
            <w:r>
              <w:rPr>
                <w:rFonts w:hint="eastAsia" w:ascii="Times New Roman" w:hAnsi="Times New Roman"/>
                <w:bCs/>
                <w:szCs w:val="21"/>
              </w:rPr>
              <w:t>邵琼</w:t>
            </w:r>
          </w:p>
        </w:tc>
        <w:tc>
          <w:tcPr>
            <w:tcW w:w="1689" w:type="dxa"/>
            <w:vAlign w:val="center"/>
          </w:tcPr>
          <w:p w14:paraId="68CD26B9">
            <w:pPr>
              <w:jc w:val="center"/>
              <w:rPr>
                <w:rFonts w:ascii="Times New Roman" w:hAnsi="Times New Roman"/>
                <w:bCs/>
                <w:szCs w:val="21"/>
              </w:rPr>
            </w:pPr>
            <w:r>
              <w:rPr>
                <w:rFonts w:hint="eastAsia" w:ascii="Times New Roman" w:hAnsi="Times New Roman"/>
                <w:bCs/>
                <w:szCs w:val="21"/>
              </w:rPr>
              <w:t>13587049595</w:t>
            </w:r>
          </w:p>
        </w:tc>
      </w:tr>
      <w:tr w14:paraId="79A9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71AC4A75">
            <w:pPr>
              <w:pStyle w:val="84"/>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中国邮政储蓄银行股份有限公司舟山市分行</w:t>
            </w:r>
          </w:p>
        </w:tc>
        <w:tc>
          <w:tcPr>
            <w:tcW w:w="3547" w:type="dxa"/>
          </w:tcPr>
          <w:p w14:paraId="4CE31A83">
            <w:pPr>
              <w:rPr>
                <w:rFonts w:ascii="Times New Roman" w:hAnsi="Times New Roman"/>
                <w:bCs/>
                <w:szCs w:val="21"/>
              </w:rPr>
            </w:pPr>
            <w:r>
              <w:rPr>
                <w:rFonts w:hint="eastAsia" w:ascii="Times New Roman" w:hAnsi="Times New Roman"/>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288" w:type="dxa"/>
            <w:vAlign w:val="center"/>
          </w:tcPr>
          <w:p w14:paraId="5A7F86D9">
            <w:pPr>
              <w:jc w:val="center"/>
              <w:rPr>
                <w:rFonts w:ascii="Times New Roman" w:hAnsi="Times New Roman"/>
                <w:bCs/>
                <w:szCs w:val="21"/>
              </w:rPr>
            </w:pPr>
            <w:r>
              <w:rPr>
                <w:rFonts w:hint="eastAsia" w:ascii="Times New Roman" w:hAnsi="Times New Roman"/>
                <w:bCs/>
                <w:szCs w:val="21"/>
              </w:rPr>
              <w:t>曾超</w:t>
            </w:r>
          </w:p>
        </w:tc>
        <w:tc>
          <w:tcPr>
            <w:tcW w:w="1689" w:type="dxa"/>
            <w:vAlign w:val="center"/>
          </w:tcPr>
          <w:p w14:paraId="505EE4DE">
            <w:pPr>
              <w:jc w:val="center"/>
              <w:rPr>
                <w:rFonts w:ascii="Times New Roman" w:hAnsi="Times New Roman"/>
                <w:bCs/>
                <w:szCs w:val="21"/>
              </w:rPr>
            </w:pPr>
            <w:r>
              <w:rPr>
                <w:rFonts w:hint="eastAsia" w:ascii="Times New Roman" w:hAnsi="Times New Roman"/>
                <w:bCs/>
                <w:szCs w:val="21"/>
              </w:rPr>
              <w:t>15924008387</w:t>
            </w:r>
          </w:p>
        </w:tc>
      </w:tr>
    </w:tbl>
    <w:p w14:paraId="115DD18D">
      <w:pPr>
        <w:spacing w:line="360" w:lineRule="auto"/>
        <w:rPr>
          <w:rFonts w:ascii="Times New Roman" w:hAnsi="Times New Roman"/>
          <w:bCs/>
          <w:szCs w:val="21"/>
        </w:rPr>
      </w:pPr>
      <w:r>
        <w:rPr>
          <w:rFonts w:hint="eastAsia" w:ascii="Times New Roman" w:hAnsi="Times New Roman"/>
          <w:bCs/>
          <w:szCs w:val="21"/>
        </w:rPr>
        <w:t>2.2一般步骤</w:t>
      </w:r>
    </w:p>
    <w:p w14:paraId="035D3FC9">
      <w:pPr>
        <w:spacing w:line="360" w:lineRule="auto"/>
        <w:rPr>
          <w:rFonts w:ascii="Times New Roman" w:hAnsi="Times New Roman"/>
          <w:bCs/>
          <w:szCs w:val="21"/>
        </w:rPr>
      </w:pPr>
      <w:r>
        <w:rPr>
          <w:rFonts w:hint="eastAsia" w:ascii="Times New Roman" w:hAnsi="Times New Roman"/>
          <w:bCs/>
          <w:szCs w:val="21"/>
        </w:rPr>
        <w:t>（1）供应商先与银行对接，办理融资前期手续；</w:t>
      </w:r>
    </w:p>
    <w:p w14:paraId="33F0DF1A">
      <w:pPr>
        <w:spacing w:line="360" w:lineRule="auto"/>
        <w:rPr>
          <w:rFonts w:ascii="Times New Roman" w:hAnsi="Times New Roman"/>
          <w:bCs/>
          <w:szCs w:val="21"/>
        </w:rPr>
      </w:pPr>
      <w:r>
        <w:rPr>
          <w:rFonts w:hint="eastAsia" w:ascii="Times New Roman" w:hAnsi="Times New Roman"/>
          <w:bCs/>
          <w:szCs w:val="21"/>
        </w:rPr>
        <w:t>（2）供应商中标后，凭中标通知书等材料，向相关合作银行发出融资申请；</w:t>
      </w:r>
    </w:p>
    <w:p w14:paraId="406BFFD1">
      <w:pPr>
        <w:spacing w:line="360" w:lineRule="auto"/>
        <w:rPr>
          <w:rFonts w:ascii="Times New Roman" w:hAnsi="Times New Roman"/>
          <w:bCs/>
          <w:szCs w:val="21"/>
        </w:rPr>
      </w:pPr>
      <w:r>
        <w:rPr>
          <w:rFonts w:hint="eastAsia" w:ascii="Times New Roman" w:hAnsi="Times New Roman"/>
          <w:bCs/>
          <w:szCs w:val="21"/>
        </w:rPr>
        <w:t>（3）银行、供应商线上办理审批、放贷事宜。</w:t>
      </w:r>
    </w:p>
    <w:p w14:paraId="45AC0716">
      <w:pPr>
        <w:spacing w:line="360" w:lineRule="auto"/>
        <w:rPr>
          <w:rFonts w:ascii="Times New Roman" w:hAnsi="Times New Roman"/>
          <w:bCs/>
          <w:szCs w:val="21"/>
        </w:rPr>
      </w:pPr>
      <w:r>
        <w:rPr>
          <w:rFonts w:hint="eastAsia" w:ascii="Times New Roman" w:hAnsi="Times New Roman"/>
          <w:bCs/>
          <w:szCs w:val="21"/>
        </w:rPr>
        <w:t>2.3注意事项</w:t>
      </w:r>
    </w:p>
    <w:p w14:paraId="19B141FD">
      <w:pPr>
        <w:spacing w:line="360" w:lineRule="auto"/>
        <w:rPr>
          <w:rFonts w:ascii="Times New Roman" w:hAnsi="Times New Roman"/>
          <w:bCs/>
          <w:szCs w:val="21"/>
        </w:rPr>
      </w:pPr>
      <w:r>
        <w:rPr>
          <w:rFonts w:hint="eastAsia" w:ascii="Times New Roman" w:hAnsi="Times New Roman"/>
          <w:bCs/>
          <w:szCs w:val="21"/>
        </w:rPr>
        <w:t>（1）中标供应商需确保政府采购合同的收款账户与融资银行开户账户一致。</w:t>
      </w:r>
    </w:p>
    <w:p w14:paraId="2FD64F7D">
      <w:pPr>
        <w:spacing w:line="360" w:lineRule="auto"/>
        <w:rPr>
          <w:rFonts w:ascii="Times New Roman" w:hAnsi="Times New Roman"/>
          <w:bCs/>
          <w:szCs w:val="21"/>
        </w:rPr>
      </w:pPr>
      <w:r>
        <w:rPr>
          <w:rFonts w:hint="eastAsia" w:ascii="Times New Roman" w:hAnsi="Times New Roman"/>
          <w:bCs/>
          <w:szCs w:val="21"/>
        </w:rPr>
        <w:t>（2）用于政府采购信用融资的政府采购合同，应当包含如下条款：“第   条：政府采购合同贷款</w:t>
      </w:r>
    </w:p>
    <w:p w14:paraId="1489CC04">
      <w:pPr>
        <w:spacing w:line="360" w:lineRule="auto"/>
        <w:ind w:firstLine="420" w:firstLineChars="200"/>
        <w:rPr>
          <w:rFonts w:ascii="Times New Roman" w:hAnsi="Times New Roman"/>
          <w:bCs/>
          <w:szCs w:val="21"/>
        </w:rPr>
      </w:pPr>
      <w:r>
        <w:rPr>
          <w:rFonts w:hint="eastAsia" w:ascii="Times New Roman" w:hAnsi="Times New Roman"/>
          <w:bCs/>
          <w:szCs w:val="21"/>
        </w:rPr>
        <w:t>本合同同时用于乙方向</w:t>
      </w:r>
      <w:r>
        <w:rPr>
          <w:rFonts w:hint="eastAsia" w:ascii="Times New Roman" w:hAnsi="Times New Roman"/>
          <w:bCs/>
          <w:szCs w:val="21"/>
          <w:u w:val="single"/>
        </w:rPr>
        <w:t xml:space="preserve">      </w:t>
      </w:r>
      <w:r>
        <w:rPr>
          <w:rFonts w:hint="eastAsia" w:ascii="Times New Roman" w:hAnsi="Times New Roman"/>
          <w:bCs/>
          <w:szCs w:val="21"/>
        </w:rPr>
        <w:t>银行（金融机构）申请政府采购信用贷款。</w:t>
      </w:r>
    </w:p>
    <w:p w14:paraId="281018AC">
      <w:pPr>
        <w:spacing w:line="360" w:lineRule="auto"/>
        <w:ind w:firstLine="420" w:firstLineChars="200"/>
        <w:rPr>
          <w:rFonts w:ascii="黑体" w:hAnsi="宋体" w:eastAsia="黑体"/>
        </w:rPr>
      </w:pPr>
      <w:r>
        <w:rPr>
          <w:rFonts w:hint="eastAsia" w:ascii="Times New Roman" w:hAnsi="Times New Roman"/>
          <w:bCs/>
          <w:szCs w:val="21"/>
        </w:rPr>
        <w:t>本合同一经签订，原则上不得更改乙方收款账户信息。确须更改的，乙方应取得原合同收款账户开户银行书面同意，否则修改后的合同不予备案，采购资金不予支付。”</w:t>
      </w:r>
      <w:bookmarkEnd w:id="14"/>
    </w:p>
    <w:p w14:paraId="5C1A8586">
      <w:pPr>
        <w:pStyle w:val="39"/>
        <w:snapToGrid w:val="0"/>
        <w:spacing w:before="120" w:after="120" w:line="360" w:lineRule="auto"/>
        <w:ind w:right="-87"/>
        <w:jc w:val="center"/>
        <w:rPr>
          <w:rFonts w:ascii="黑体" w:hAnsi="宋体" w:eastAsia="黑体"/>
        </w:rPr>
      </w:pPr>
    </w:p>
    <w:p w14:paraId="4871E247">
      <w:pPr>
        <w:pStyle w:val="39"/>
        <w:snapToGrid w:val="0"/>
        <w:spacing w:before="120" w:after="120" w:line="360" w:lineRule="auto"/>
        <w:ind w:right="-87"/>
        <w:jc w:val="center"/>
        <w:rPr>
          <w:rFonts w:ascii="黑体" w:hAnsi="宋体" w:eastAsia="黑体"/>
        </w:rPr>
      </w:pPr>
    </w:p>
    <w:p w14:paraId="47121378">
      <w:pPr>
        <w:pStyle w:val="39"/>
        <w:snapToGrid w:val="0"/>
        <w:spacing w:before="120" w:after="120" w:line="360" w:lineRule="auto"/>
        <w:ind w:right="-87"/>
        <w:jc w:val="center"/>
        <w:rPr>
          <w:rFonts w:ascii="黑体" w:hAnsi="宋体" w:eastAsia="黑体"/>
        </w:rPr>
      </w:pPr>
    </w:p>
    <w:p w14:paraId="7FC57BC1">
      <w:pPr>
        <w:pStyle w:val="39"/>
        <w:snapToGrid w:val="0"/>
        <w:spacing w:before="120" w:after="120" w:line="360" w:lineRule="auto"/>
        <w:ind w:right="-87"/>
        <w:jc w:val="center"/>
        <w:rPr>
          <w:rFonts w:ascii="黑体" w:hAnsi="宋体" w:eastAsia="黑体"/>
        </w:rPr>
      </w:pPr>
    </w:p>
    <w:p w14:paraId="27BCE271">
      <w:pPr>
        <w:pStyle w:val="39"/>
        <w:snapToGrid w:val="0"/>
        <w:spacing w:before="120" w:after="120" w:line="360" w:lineRule="auto"/>
        <w:ind w:right="-87"/>
        <w:jc w:val="center"/>
        <w:rPr>
          <w:rFonts w:ascii="黑体" w:hAnsi="宋体" w:eastAsia="黑体"/>
        </w:rPr>
      </w:pPr>
    </w:p>
    <w:p w14:paraId="73268DFE">
      <w:pPr>
        <w:pStyle w:val="39"/>
        <w:snapToGrid w:val="0"/>
        <w:spacing w:before="120" w:after="120" w:line="360" w:lineRule="auto"/>
        <w:ind w:right="-87"/>
        <w:jc w:val="center"/>
        <w:rPr>
          <w:rFonts w:ascii="黑体" w:hAnsi="宋体" w:eastAsia="黑体"/>
        </w:rPr>
      </w:pPr>
    </w:p>
    <w:p w14:paraId="238C1357">
      <w:pPr>
        <w:pStyle w:val="39"/>
        <w:snapToGrid w:val="0"/>
        <w:spacing w:before="120" w:after="120" w:line="360" w:lineRule="auto"/>
        <w:ind w:right="-87"/>
        <w:jc w:val="center"/>
        <w:rPr>
          <w:rFonts w:ascii="黑体" w:hAnsi="宋体" w:eastAsia="黑体"/>
        </w:rPr>
      </w:pPr>
    </w:p>
    <w:p w14:paraId="5C0BFFAD">
      <w:pPr>
        <w:pStyle w:val="39"/>
        <w:snapToGrid w:val="0"/>
        <w:spacing w:before="120" w:after="120" w:line="360" w:lineRule="auto"/>
        <w:ind w:right="-87"/>
        <w:jc w:val="center"/>
        <w:rPr>
          <w:rFonts w:ascii="黑体" w:hAnsi="宋体" w:eastAsia="黑体"/>
        </w:rPr>
      </w:pPr>
    </w:p>
    <w:p w14:paraId="5663590A">
      <w:pPr>
        <w:pStyle w:val="39"/>
        <w:snapToGrid w:val="0"/>
        <w:spacing w:before="120" w:after="120" w:line="360" w:lineRule="auto"/>
        <w:ind w:right="-87"/>
        <w:jc w:val="center"/>
        <w:rPr>
          <w:rFonts w:ascii="黑体" w:hAnsi="宋体" w:eastAsia="黑体"/>
        </w:rPr>
      </w:pPr>
    </w:p>
    <w:p w14:paraId="06E4C646">
      <w:pPr>
        <w:pStyle w:val="39"/>
        <w:snapToGrid w:val="0"/>
        <w:spacing w:before="120" w:after="120" w:line="360" w:lineRule="auto"/>
        <w:ind w:right="-87"/>
        <w:jc w:val="center"/>
        <w:rPr>
          <w:rFonts w:ascii="黑体" w:hAnsi="宋体" w:eastAsia="黑体"/>
        </w:rPr>
      </w:pPr>
    </w:p>
    <w:p w14:paraId="3CCBF197">
      <w:pPr>
        <w:pStyle w:val="39"/>
        <w:snapToGrid w:val="0"/>
        <w:spacing w:before="120" w:after="120" w:line="360" w:lineRule="auto"/>
        <w:ind w:right="-87"/>
        <w:jc w:val="center"/>
        <w:rPr>
          <w:rFonts w:ascii="黑体" w:hAnsi="宋体" w:eastAsia="黑体"/>
        </w:rPr>
      </w:pPr>
    </w:p>
    <w:p w14:paraId="22BCB120">
      <w:pPr>
        <w:pStyle w:val="39"/>
        <w:snapToGrid w:val="0"/>
        <w:spacing w:before="120" w:after="120" w:line="360" w:lineRule="auto"/>
        <w:ind w:right="-87"/>
        <w:jc w:val="center"/>
        <w:rPr>
          <w:rFonts w:ascii="黑体" w:hAnsi="宋体" w:eastAsia="黑体"/>
        </w:rPr>
      </w:pPr>
    </w:p>
    <w:p w14:paraId="6D266FAB">
      <w:pPr>
        <w:pStyle w:val="39"/>
        <w:snapToGrid w:val="0"/>
        <w:spacing w:before="120" w:after="120" w:line="360" w:lineRule="auto"/>
        <w:ind w:right="-87"/>
        <w:jc w:val="center"/>
        <w:rPr>
          <w:rFonts w:ascii="黑体" w:hAnsi="宋体" w:eastAsia="黑体"/>
        </w:rPr>
      </w:pPr>
    </w:p>
    <w:p w14:paraId="6F88D096">
      <w:pPr>
        <w:pStyle w:val="39"/>
        <w:snapToGrid w:val="0"/>
        <w:spacing w:before="120" w:after="120" w:line="360" w:lineRule="auto"/>
        <w:ind w:right="-87"/>
        <w:jc w:val="center"/>
        <w:rPr>
          <w:rFonts w:ascii="黑体" w:hAnsi="宋体" w:eastAsia="黑体"/>
        </w:rPr>
      </w:pPr>
    </w:p>
    <w:p w14:paraId="5726F2A1">
      <w:pPr>
        <w:pStyle w:val="39"/>
        <w:snapToGrid w:val="0"/>
        <w:spacing w:before="120" w:after="120" w:line="360" w:lineRule="auto"/>
        <w:ind w:right="-87"/>
        <w:jc w:val="center"/>
        <w:rPr>
          <w:rFonts w:ascii="黑体" w:hAnsi="宋体" w:eastAsia="黑体"/>
        </w:rPr>
      </w:pPr>
    </w:p>
    <w:p w14:paraId="200E8CDF">
      <w:pPr>
        <w:pStyle w:val="39"/>
        <w:snapToGrid w:val="0"/>
        <w:spacing w:before="120" w:after="120" w:line="360" w:lineRule="auto"/>
        <w:ind w:right="-87"/>
        <w:jc w:val="center"/>
        <w:rPr>
          <w:rFonts w:ascii="黑体" w:hAnsi="宋体" w:eastAsia="黑体"/>
        </w:rPr>
      </w:pPr>
    </w:p>
    <w:p w14:paraId="063E6E7C">
      <w:pPr>
        <w:pStyle w:val="39"/>
        <w:snapToGrid w:val="0"/>
        <w:spacing w:before="120" w:after="120" w:line="360" w:lineRule="auto"/>
        <w:ind w:right="-87"/>
        <w:jc w:val="center"/>
        <w:rPr>
          <w:rFonts w:ascii="黑体" w:hAnsi="宋体" w:eastAsia="黑体"/>
        </w:rPr>
      </w:pPr>
    </w:p>
    <w:p w14:paraId="5B013A48">
      <w:pPr>
        <w:pStyle w:val="39"/>
        <w:snapToGrid w:val="0"/>
        <w:spacing w:before="120" w:after="120" w:line="360" w:lineRule="auto"/>
        <w:ind w:right="-87"/>
        <w:rPr>
          <w:rFonts w:ascii="黑体" w:hAnsi="宋体" w:eastAsia="黑体"/>
        </w:rPr>
      </w:pPr>
    </w:p>
    <w:p w14:paraId="15ABEAB8">
      <w:pPr>
        <w:pStyle w:val="39"/>
        <w:snapToGrid w:val="0"/>
        <w:spacing w:before="120" w:after="120" w:line="360" w:lineRule="auto"/>
        <w:ind w:right="-87"/>
        <w:jc w:val="center"/>
        <w:rPr>
          <w:rFonts w:hAnsi="宋体" w:cs="宋体"/>
          <w:color w:val="FF0000"/>
        </w:rPr>
      </w:pPr>
      <w:r>
        <w:rPr>
          <w:rFonts w:hint="eastAsia" w:ascii="黑体" w:hAnsi="宋体" w:eastAsia="黑体"/>
        </w:rPr>
        <w:t>第四章评标办法及评分标准</w:t>
      </w:r>
    </w:p>
    <w:p w14:paraId="3FAD1F08">
      <w:pPr>
        <w:spacing w:line="360" w:lineRule="auto"/>
        <w:ind w:firstLine="440" w:firstLineChars="200"/>
        <w:rPr>
          <w:rFonts w:hint="eastAsia" w:ascii="宋体" w:hAnsi="宋体" w:cs="宋体"/>
          <w:sz w:val="22"/>
          <w:szCs w:val="22"/>
        </w:rPr>
      </w:pPr>
      <w:r>
        <w:rPr>
          <w:rFonts w:hint="eastAsia" w:ascii="宋体" w:hAnsi="宋体" w:cs="宋体"/>
          <w:sz w:val="22"/>
          <w:szCs w:val="22"/>
        </w:rPr>
        <w:t>为公正、公平、科学地选择成交人，根据《中华人民共和国政府采购法》等有关法律法规的规定，并结合本项目的实际，制定本办法，本办法适用本项目的评标。</w:t>
      </w:r>
    </w:p>
    <w:p w14:paraId="065DB77C">
      <w:pPr>
        <w:autoSpaceDE w:val="0"/>
        <w:autoSpaceDN w:val="0"/>
        <w:adjustRightInd w:val="0"/>
        <w:spacing w:line="360" w:lineRule="auto"/>
        <w:outlineLvl w:val="1"/>
        <w:rPr>
          <w:rFonts w:ascii="宋体" w:hAnsi="宋体" w:cs="宋体"/>
          <w:b/>
          <w:szCs w:val="21"/>
        </w:rPr>
      </w:pPr>
      <w:r>
        <w:rPr>
          <w:rFonts w:hint="eastAsia" w:ascii="宋体" w:hAnsi="宋体" w:cs="宋体"/>
          <w:b/>
          <w:szCs w:val="21"/>
        </w:rPr>
        <w:t>一、资格审查</w:t>
      </w:r>
    </w:p>
    <w:p w14:paraId="1E18B11D">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1、由招标代理机构对投标人的资格进行审查。</w:t>
      </w:r>
    </w:p>
    <w:p w14:paraId="2F6D60DC">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23"/>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6678"/>
        <w:gridCol w:w="2136"/>
      </w:tblGrid>
      <w:tr w14:paraId="14C7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324" w:type="dxa"/>
            <w:vAlign w:val="center"/>
          </w:tcPr>
          <w:p w14:paraId="669BA72B">
            <w:pPr>
              <w:spacing w:line="336" w:lineRule="auto"/>
              <w:jc w:val="center"/>
              <w:rPr>
                <w:rFonts w:ascii="宋体" w:hAnsi="宋体" w:cs="宋体"/>
                <w:b/>
                <w:szCs w:val="21"/>
              </w:rPr>
            </w:pPr>
            <w:r>
              <w:rPr>
                <w:rFonts w:hint="eastAsia" w:ascii="宋体" w:hAnsi="宋体" w:cs="宋体"/>
                <w:b/>
                <w:szCs w:val="21"/>
              </w:rPr>
              <w:t>序号</w:t>
            </w:r>
          </w:p>
        </w:tc>
        <w:tc>
          <w:tcPr>
            <w:tcW w:w="6678" w:type="dxa"/>
            <w:tcBorders>
              <w:tl2br w:val="single" w:color="auto" w:sz="4" w:space="0"/>
            </w:tcBorders>
          </w:tcPr>
          <w:p w14:paraId="6675589D">
            <w:pPr>
              <w:spacing w:line="336" w:lineRule="auto"/>
              <w:jc w:val="right"/>
              <w:rPr>
                <w:rFonts w:ascii="宋体" w:hAnsi="宋体" w:cs="宋体"/>
                <w:b/>
                <w:szCs w:val="21"/>
              </w:rPr>
            </w:pPr>
            <w:r>
              <w:rPr>
                <w:rFonts w:hint="eastAsia" w:ascii="宋体" w:hAnsi="宋体" w:cs="宋体"/>
                <w:b/>
                <w:szCs w:val="21"/>
              </w:rPr>
              <w:t>投标人</w:t>
            </w:r>
          </w:p>
          <w:p w14:paraId="08402A68">
            <w:pPr>
              <w:spacing w:line="336" w:lineRule="auto"/>
              <w:rPr>
                <w:rFonts w:ascii="宋体" w:hAnsi="宋体" w:cs="宋体"/>
                <w:b/>
                <w:szCs w:val="21"/>
              </w:rPr>
            </w:pPr>
            <w:r>
              <w:rPr>
                <w:rFonts w:hint="eastAsia" w:ascii="宋体" w:hAnsi="宋体" w:cs="宋体"/>
                <w:b/>
                <w:szCs w:val="21"/>
              </w:rPr>
              <w:t>内容</w:t>
            </w:r>
          </w:p>
        </w:tc>
        <w:tc>
          <w:tcPr>
            <w:tcW w:w="2136" w:type="dxa"/>
            <w:vAlign w:val="center"/>
          </w:tcPr>
          <w:p w14:paraId="6881F76F">
            <w:pPr>
              <w:spacing w:line="336" w:lineRule="auto"/>
              <w:jc w:val="center"/>
              <w:rPr>
                <w:rFonts w:ascii="宋体" w:hAnsi="宋体" w:cs="宋体"/>
                <w:b/>
                <w:szCs w:val="21"/>
              </w:rPr>
            </w:pPr>
            <w:r>
              <w:rPr>
                <w:rFonts w:hint="eastAsia" w:ascii="宋体" w:hAnsi="宋体" w:cs="宋体"/>
                <w:b/>
                <w:szCs w:val="21"/>
              </w:rPr>
              <w:t>审核标准</w:t>
            </w:r>
          </w:p>
        </w:tc>
      </w:tr>
      <w:tr w14:paraId="4E3B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324" w:type="dxa"/>
            <w:vAlign w:val="center"/>
          </w:tcPr>
          <w:p w14:paraId="4E7DCB78">
            <w:pPr>
              <w:spacing w:line="336" w:lineRule="auto"/>
              <w:jc w:val="center"/>
              <w:rPr>
                <w:rFonts w:ascii="宋体" w:hAnsi="宋体" w:cs="宋体"/>
                <w:szCs w:val="21"/>
              </w:rPr>
            </w:pPr>
            <w:r>
              <w:rPr>
                <w:rFonts w:hint="eastAsia" w:ascii="宋体" w:hAnsi="宋体"/>
                <w:szCs w:val="21"/>
              </w:rPr>
              <w:t>1</w:t>
            </w:r>
          </w:p>
        </w:tc>
        <w:tc>
          <w:tcPr>
            <w:tcW w:w="6678" w:type="dxa"/>
            <w:vAlign w:val="center"/>
          </w:tcPr>
          <w:p w14:paraId="788BD075">
            <w:pPr>
              <w:rPr>
                <w:rFonts w:ascii="宋体" w:hAnsi="宋体" w:cs="宋体"/>
                <w:szCs w:val="21"/>
              </w:rPr>
            </w:pPr>
            <w:r>
              <w:rPr>
                <w:rFonts w:hint="eastAsia" w:ascii="宋体" w:hAnsi="宋体"/>
                <w:szCs w:val="21"/>
              </w:rPr>
              <w:t>投标人具有独立承担民事责任的能力证明资料</w:t>
            </w:r>
          </w:p>
        </w:tc>
        <w:tc>
          <w:tcPr>
            <w:tcW w:w="2136" w:type="dxa"/>
            <w:vAlign w:val="center"/>
          </w:tcPr>
          <w:p w14:paraId="54D7EE78">
            <w:pPr>
              <w:spacing w:line="336" w:lineRule="auto"/>
              <w:jc w:val="center"/>
              <w:rPr>
                <w:rFonts w:ascii="宋体" w:hAnsi="宋体" w:cs="宋体"/>
                <w:szCs w:val="21"/>
              </w:rPr>
            </w:pPr>
          </w:p>
        </w:tc>
      </w:tr>
      <w:tr w14:paraId="25FE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24" w:type="dxa"/>
            <w:vAlign w:val="center"/>
          </w:tcPr>
          <w:p w14:paraId="1B521B9A">
            <w:pPr>
              <w:spacing w:line="336" w:lineRule="auto"/>
              <w:jc w:val="center"/>
              <w:rPr>
                <w:rFonts w:ascii="宋体" w:hAnsi="宋体" w:cs="宋体"/>
                <w:szCs w:val="21"/>
              </w:rPr>
            </w:pPr>
            <w:r>
              <w:rPr>
                <w:rFonts w:hint="eastAsia" w:ascii="宋体" w:hAnsi="宋体"/>
                <w:szCs w:val="21"/>
              </w:rPr>
              <w:t>2</w:t>
            </w:r>
          </w:p>
        </w:tc>
        <w:tc>
          <w:tcPr>
            <w:tcW w:w="6678" w:type="dxa"/>
            <w:vAlign w:val="center"/>
          </w:tcPr>
          <w:p w14:paraId="67A5D4DC">
            <w:pPr>
              <w:rPr>
                <w:rFonts w:ascii="宋体" w:hAnsi="宋体" w:cs="宋体"/>
                <w:szCs w:val="21"/>
              </w:rPr>
            </w:pPr>
            <w:r>
              <w:rPr>
                <w:rFonts w:hint="eastAsia" w:ascii="宋体" w:hAnsi="宋体"/>
                <w:szCs w:val="21"/>
              </w:rPr>
              <w:t>投标人法定代表人身份证复印件</w:t>
            </w:r>
          </w:p>
        </w:tc>
        <w:tc>
          <w:tcPr>
            <w:tcW w:w="2136" w:type="dxa"/>
            <w:vAlign w:val="center"/>
          </w:tcPr>
          <w:p w14:paraId="49A31C94">
            <w:pPr>
              <w:spacing w:line="336" w:lineRule="auto"/>
              <w:jc w:val="center"/>
              <w:rPr>
                <w:rFonts w:ascii="宋体" w:hAnsi="宋体" w:cs="宋体"/>
                <w:szCs w:val="21"/>
              </w:rPr>
            </w:pPr>
          </w:p>
        </w:tc>
      </w:tr>
      <w:tr w14:paraId="17B0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4" w:type="dxa"/>
            <w:vAlign w:val="center"/>
          </w:tcPr>
          <w:p w14:paraId="1C89ED6F">
            <w:pPr>
              <w:spacing w:line="336" w:lineRule="auto"/>
              <w:jc w:val="center"/>
              <w:rPr>
                <w:rFonts w:ascii="宋体" w:hAnsi="宋体" w:cs="宋体"/>
                <w:szCs w:val="21"/>
              </w:rPr>
            </w:pPr>
            <w:r>
              <w:rPr>
                <w:rFonts w:hint="eastAsia" w:ascii="宋体" w:hAnsi="宋体"/>
                <w:szCs w:val="21"/>
              </w:rPr>
              <w:t>3</w:t>
            </w:r>
          </w:p>
        </w:tc>
        <w:tc>
          <w:tcPr>
            <w:tcW w:w="6678" w:type="dxa"/>
            <w:vAlign w:val="center"/>
          </w:tcPr>
          <w:p w14:paraId="4D6E61DF">
            <w:pPr>
              <w:rPr>
                <w:rFonts w:ascii="宋体" w:hAnsi="宋体" w:cs="宋体"/>
                <w:szCs w:val="21"/>
              </w:rPr>
            </w:pPr>
            <w:r>
              <w:rPr>
                <w:rFonts w:hint="eastAsia" w:ascii="宋体" w:hAnsi="宋体"/>
                <w:szCs w:val="21"/>
              </w:rPr>
              <w:t>法定代表人授权函，非法定代表人参加投标时提供</w:t>
            </w:r>
          </w:p>
        </w:tc>
        <w:tc>
          <w:tcPr>
            <w:tcW w:w="2136" w:type="dxa"/>
            <w:vAlign w:val="center"/>
          </w:tcPr>
          <w:p w14:paraId="04FDF932">
            <w:pPr>
              <w:spacing w:line="336" w:lineRule="auto"/>
              <w:jc w:val="center"/>
              <w:rPr>
                <w:rFonts w:ascii="宋体" w:hAnsi="宋体" w:cs="宋体"/>
                <w:szCs w:val="21"/>
              </w:rPr>
            </w:pPr>
          </w:p>
        </w:tc>
      </w:tr>
      <w:tr w14:paraId="413C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4" w:type="dxa"/>
            <w:vAlign w:val="center"/>
          </w:tcPr>
          <w:p w14:paraId="562B8C64">
            <w:pPr>
              <w:spacing w:line="336" w:lineRule="auto"/>
              <w:jc w:val="center"/>
              <w:rPr>
                <w:rFonts w:ascii="宋体" w:hAnsi="宋体" w:cs="宋体"/>
                <w:szCs w:val="21"/>
              </w:rPr>
            </w:pPr>
            <w:r>
              <w:rPr>
                <w:rFonts w:hint="eastAsia" w:ascii="宋体" w:hAnsi="宋体"/>
                <w:szCs w:val="21"/>
              </w:rPr>
              <w:t>4</w:t>
            </w:r>
          </w:p>
        </w:tc>
        <w:tc>
          <w:tcPr>
            <w:tcW w:w="6678" w:type="dxa"/>
            <w:vAlign w:val="center"/>
          </w:tcPr>
          <w:p w14:paraId="6542813E">
            <w:pPr>
              <w:rPr>
                <w:rFonts w:ascii="Calibri" w:hAnsi="宋体" w:cs="宋体"/>
                <w:szCs w:val="21"/>
              </w:rPr>
            </w:pPr>
            <w:r>
              <w:rPr>
                <w:rFonts w:ascii="宋体" w:hAnsi="宋体"/>
                <w:szCs w:val="21"/>
              </w:rPr>
              <w:t>投标人代表身份证复印件，非法定代表人参加投标时提供</w:t>
            </w:r>
          </w:p>
        </w:tc>
        <w:tc>
          <w:tcPr>
            <w:tcW w:w="2136" w:type="dxa"/>
            <w:vAlign w:val="center"/>
          </w:tcPr>
          <w:p w14:paraId="4B569502">
            <w:pPr>
              <w:spacing w:line="336" w:lineRule="auto"/>
              <w:jc w:val="center"/>
              <w:rPr>
                <w:rFonts w:ascii="宋体" w:hAnsi="宋体" w:cs="宋体"/>
                <w:szCs w:val="21"/>
              </w:rPr>
            </w:pPr>
          </w:p>
        </w:tc>
      </w:tr>
      <w:tr w14:paraId="203B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4" w:type="dxa"/>
            <w:vAlign w:val="center"/>
          </w:tcPr>
          <w:p w14:paraId="6AACF192">
            <w:pPr>
              <w:spacing w:line="336" w:lineRule="auto"/>
              <w:jc w:val="center"/>
              <w:rPr>
                <w:rFonts w:ascii="宋体" w:hAnsi="宋体" w:cs="宋体"/>
                <w:szCs w:val="21"/>
              </w:rPr>
            </w:pPr>
            <w:r>
              <w:rPr>
                <w:rFonts w:hint="eastAsia" w:ascii="宋体" w:hAnsi="宋体"/>
                <w:szCs w:val="21"/>
              </w:rPr>
              <w:t>5</w:t>
            </w:r>
          </w:p>
        </w:tc>
        <w:tc>
          <w:tcPr>
            <w:tcW w:w="6678" w:type="dxa"/>
            <w:vAlign w:val="center"/>
          </w:tcPr>
          <w:p w14:paraId="7E8C8E61">
            <w:pPr>
              <w:rPr>
                <w:rFonts w:ascii="宋体" w:hAnsi="宋体" w:cs="宋体"/>
                <w:szCs w:val="21"/>
              </w:rPr>
            </w:pPr>
            <w:r>
              <w:rPr>
                <w:rFonts w:hint="eastAsia" w:ascii="宋体" w:hAnsi="宋体"/>
                <w:szCs w:val="21"/>
              </w:rPr>
              <w:t>投标函</w:t>
            </w:r>
          </w:p>
        </w:tc>
        <w:tc>
          <w:tcPr>
            <w:tcW w:w="2136" w:type="dxa"/>
            <w:vAlign w:val="center"/>
          </w:tcPr>
          <w:p w14:paraId="2553034D">
            <w:pPr>
              <w:spacing w:line="336" w:lineRule="auto"/>
              <w:jc w:val="center"/>
              <w:rPr>
                <w:rFonts w:ascii="宋体" w:hAnsi="宋体" w:cs="宋体"/>
                <w:szCs w:val="21"/>
              </w:rPr>
            </w:pPr>
          </w:p>
        </w:tc>
      </w:tr>
      <w:tr w14:paraId="1D72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002" w:type="dxa"/>
            <w:gridSpan w:val="2"/>
          </w:tcPr>
          <w:p w14:paraId="39BC48E1">
            <w:pPr>
              <w:pStyle w:val="14"/>
              <w:spacing w:line="336" w:lineRule="auto"/>
              <w:ind w:left="0" w:firstLine="0" w:firstLineChars="0"/>
              <w:jc w:val="center"/>
              <w:rPr>
                <w:rFonts w:ascii="宋体" w:hAnsi="宋体" w:cs="宋体"/>
                <w:b/>
                <w:sz w:val="21"/>
                <w:szCs w:val="21"/>
              </w:rPr>
            </w:pPr>
            <w:r>
              <w:rPr>
                <w:rFonts w:hint="eastAsia" w:ascii="宋体" w:hAnsi="宋体" w:cs="宋体"/>
                <w:b/>
                <w:sz w:val="21"/>
                <w:szCs w:val="21"/>
              </w:rPr>
              <w:t>结   论</w:t>
            </w:r>
          </w:p>
        </w:tc>
        <w:tc>
          <w:tcPr>
            <w:tcW w:w="2136" w:type="dxa"/>
            <w:vAlign w:val="center"/>
          </w:tcPr>
          <w:p w14:paraId="3B93F39C">
            <w:pPr>
              <w:spacing w:line="336" w:lineRule="auto"/>
              <w:ind w:left="180"/>
              <w:jc w:val="center"/>
              <w:rPr>
                <w:rFonts w:ascii="宋体" w:hAnsi="宋体" w:cs="宋体"/>
                <w:b/>
                <w:szCs w:val="21"/>
              </w:rPr>
            </w:pPr>
          </w:p>
        </w:tc>
      </w:tr>
    </w:tbl>
    <w:p w14:paraId="3BB485FD">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r>
        <w:rPr>
          <w:rFonts w:hint="eastAsia" w:ascii="宋体" w:hAnsi="宋体" w:cs="宋体"/>
          <w:szCs w:val="21"/>
          <w:lang w:val="zh-CN"/>
        </w:rPr>
        <w:t>2、在结论栏中填写“合格”或“不合格”。</w:t>
      </w:r>
    </w:p>
    <w:p w14:paraId="6EE1780A">
      <w:pPr>
        <w:spacing w:line="360" w:lineRule="auto"/>
        <w:ind w:firstLine="440" w:firstLineChars="200"/>
        <w:rPr>
          <w:rFonts w:hint="eastAsia" w:ascii="宋体" w:hAnsi="宋体" w:cs="宋体"/>
          <w:sz w:val="22"/>
          <w:szCs w:val="22"/>
        </w:rPr>
      </w:pPr>
    </w:p>
    <w:p w14:paraId="205C6E05">
      <w:pPr>
        <w:autoSpaceDE w:val="0"/>
        <w:autoSpaceDN w:val="0"/>
        <w:adjustRightInd w:val="0"/>
        <w:spacing w:line="360" w:lineRule="auto"/>
        <w:rPr>
          <w:rFonts w:ascii="宋体" w:hAnsi="宋体" w:cs="宋体"/>
          <w:b/>
          <w:sz w:val="22"/>
          <w:szCs w:val="22"/>
        </w:rPr>
      </w:pPr>
      <w:r>
        <w:rPr>
          <w:rFonts w:hint="eastAsia" w:ascii="宋体" w:hAnsi="宋体" w:cs="宋体"/>
          <w:b/>
          <w:sz w:val="22"/>
          <w:szCs w:val="22"/>
          <w:lang w:val="en-US" w:eastAsia="zh-CN"/>
        </w:rPr>
        <w:t>二</w:t>
      </w:r>
      <w:r>
        <w:rPr>
          <w:rFonts w:hint="eastAsia" w:ascii="宋体" w:hAnsi="宋体" w:cs="宋体"/>
          <w:b/>
          <w:sz w:val="22"/>
          <w:szCs w:val="22"/>
        </w:rPr>
        <w:t>、中标候选人的选取</w:t>
      </w:r>
    </w:p>
    <w:p w14:paraId="00DD3582">
      <w:pPr>
        <w:spacing w:line="360" w:lineRule="auto"/>
        <w:ind w:firstLine="440" w:firstLineChars="200"/>
        <w:rPr>
          <w:rFonts w:ascii="宋体" w:hAnsi="宋体" w:cs="宋体"/>
          <w:b/>
          <w:sz w:val="22"/>
          <w:szCs w:val="22"/>
          <w:lang w:val="zh-CN"/>
        </w:rPr>
      </w:pPr>
      <w:r>
        <w:rPr>
          <w:rFonts w:hint="eastAsia" w:ascii="宋体" w:hAnsi="宋体" w:cs="宋体"/>
          <w:sz w:val="22"/>
          <w:szCs w:val="22"/>
        </w:rPr>
        <w:t>将综合评估分从高到低排序，得出参投标人名次,按照综合评估分名次推荐中标候选人3名。得分相同时，按投标报价由低到高顺序排列，得分且投标报价相同的，按技术指标优劣顺序排列。</w:t>
      </w:r>
    </w:p>
    <w:p w14:paraId="39016F76">
      <w:pPr>
        <w:spacing w:line="360" w:lineRule="auto"/>
        <w:rPr>
          <w:rFonts w:ascii="宋体" w:hAnsi="宋体" w:cs="宋体"/>
          <w:b/>
          <w:sz w:val="22"/>
          <w:szCs w:val="22"/>
        </w:rPr>
      </w:pPr>
      <w:r>
        <w:rPr>
          <w:rFonts w:hint="eastAsia" w:ascii="宋体" w:hAnsi="宋体" w:cs="宋体"/>
          <w:b/>
          <w:sz w:val="22"/>
          <w:szCs w:val="22"/>
          <w:lang w:val="en-US" w:eastAsia="zh-CN"/>
        </w:rPr>
        <w:t>三</w:t>
      </w:r>
      <w:r>
        <w:rPr>
          <w:rFonts w:hint="eastAsia" w:ascii="宋体" w:hAnsi="宋体" w:cs="宋体"/>
          <w:b/>
          <w:sz w:val="22"/>
          <w:szCs w:val="22"/>
        </w:rPr>
        <w:t>、成交人选取依据</w:t>
      </w:r>
    </w:p>
    <w:p w14:paraId="4D118E2D">
      <w:pPr>
        <w:spacing w:line="360" w:lineRule="auto"/>
        <w:ind w:firstLine="440" w:firstLineChars="200"/>
        <w:rPr>
          <w:rFonts w:ascii="宋体" w:hAnsi="宋体" w:cs="宋体"/>
          <w:sz w:val="22"/>
          <w:szCs w:val="22"/>
        </w:rPr>
      </w:pPr>
      <w:r>
        <w:rPr>
          <w:rFonts w:hint="eastAsia" w:ascii="宋体" w:hAnsi="宋体" w:cs="宋体"/>
          <w:sz w:val="22"/>
          <w:szCs w:val="22"/>
        </w:rPr>
        <w:t>评审小组根据综合评估分得分排序，推荐第一名中标候选人为中标人，经采购人确认后，确定项目中标人，同时发布采购结果公告，发出中标通知书。</w:t>
      </w:r>
    </w:p>
    <w:p w14:paraId="67F52CC7">
      <w:pPr>
        <w:spacing w:line="360" w:lineRule="auto"/>
        <w:rPr>
          <w:rFonts w:ascii="宋体" w:hAnsi="宋体" w:cs="宋体"/>
          <w:b/>
          <w:sz w:val="22"/>
          <w:szCs w:val="22"/>
        </w:rPr>
      </w:pPr>
      <w:r>
        <w:rPr>
          <w:rFonts w:hint="eastAsia" w:ascii="宋体" w:hAnsi="宋体" w:cs="宋体"/>
          <w:b/>
          <w:sz w:val="22"/>
          <w:szCs w:val="22"/>
          <w:lang w:val="en-US" w:eastAsia="zh-CN"/>
        </w:rPr>
        <w:t>四</w:t>
      </w:r>
      <w:r>
        <w:rPr>
          <w:rFonts w:hint="eastAsia" w:ascii="宋体" w:hAnsi="宋体" w:cs="宋体"/>
          <w:b/>
          <w:sz w:val="22"/>
          <w:szCs w:val="22"/>
        </w:rPr>
        <w:t>、综合评估分计分方法</w:t>
      </w:r>
    </w:p>
    <w:p w14:paraId="3939DAFC">
      <w:pPr>
        <w:autoSpaceDE w:val="0"/>
        <w:autoSpaceDN w:val="0"/>
        <w:adjustRightInd w:val="0"/>
        <w:spacing w:line="360" w:lineRule="auto"/>
        <w:ind w:firstLine="440" w:firstLineChars="200"/>
        <w:rPr>
          <w:rFonts w:hint="eastAsia" w:ascii="宋体" w:hAnsi="宋体" w:cs="宋体"/>
          <w:sz w:val="22"/>
          <w:szCs w:val="22"/>
          <w:lang w:val="zh-CN"/>
        </w:rPr>
      </w:pPr>
      <w:r>
        <w:rPr>
          <w:rFonts w:hint="eastAsia" w:ascii="宋体" w:hAnsi="宋体" w:cs="宋体"/>
          <w:sz w:val="22"/>
          <w:szCs w:val="22"/>
          <w:lang w:val="zh-CN"/>
        </w:rPr>
        <w:t>满足采购文件要求且投标价格最低的投标报价为评标基准价，其价格分为满分，其他投标人的价格分按下列公式计算：投标报价得分＝（评标基准价</w:t>
      </w:r>
      <w:r>
        <w:rPr>
          <w:rFonts w:ascii="宋体" w:hAnsi="宋体" w:cs="宋体"/>
          <w:sz w:val="22"/>
          <w:szCs w:val="22"/>
          <w:lang w:val="zh-CN"/>
        </w:rPr>
        <w:t>/</w:t>
      </w:r>
      <w:r>
        <w:rPr>
          <w:rFonts w:hint="eastAsia" w:ascii="宋体" w:hAnsi="宋体" w:cs="宋体"/>
          <w:sz w:val="22"/>
          <w:szCs w:val="22"/>
          <w:lang w:val="zh-CN"/>
        </w:rPr>
        <w:t>投标报价）×价格权重×</w:t>
      </w:r>
      <w:r>
        <w:rPr>
          <w:rFonts w:ascii="宋体" w:hAnsi="宋体" w:cs="宋体"/>
          <w:sz w:val="22"/>
          <w:szCs w:val="22"/>
          <w:lang w:val="zh-CN"/>
        </w:rPr>
        <w:t>100</w:t>
      </w:r>
      <w:r>
        <w:rPr>
          <w:rFonts w:hint="eastAsia" w:ascii="宋体" w:hAnsi="宋体" w:cs="宋体"/>
          <w:sz w:val="22"/>
          <w:szCs w:val="22"/>
          <w:lang w:val="zh-CN"/>
        </w:rPr>
        <w:t>。</w:t>
      </w:r>
    </w:p>
    <w:p w14:paraId="7076CCD7">
      <w:pPr>
        <w:autoSpaceDE w:val="0"/>
        <w:autoSpaceDN w:val="0"/>
        <w:adjustRightInd w:val="0"/>
        <w:spacing w:line="360" w:lineRule="auto"/>
        <w:ind w:firstLine="440" w:firstLineChars="200"/>
        <w:rPr>
          <w:rFonts w:hint="eastAsia" w:ascii="宋体" w:hAnsi="宋体" w:cs="宋体"/>
          <w:sz w:val="22"/>
          <w:szCs w:val="22"/>
          <w:lang w:val="zh-CN"/>
        </w:rPr>
      </w:pPr>
      <w:r>
        <w:rPr>
          <w:rFonts w:hint="eastAsia" w:ascii="宋体" w:hAnsi="宋体" w:cs="宋体"/>
          <w:sz w:val="22"/>
          <w:szCs w:val="22"/>
          <w:lang w:val="zh-CN"/>
        </w:rPr>
        <w:t>根据《政府采购促进中小企业发展暂行办法》第五条的规定，本项目针对小型和微型企业产品的价格给予10%的扣除的优惠，用扣除后的价格参与评审。同时小型、微型企业提供中型企业制造的货物的，视同为中型企业。即小型或微型企业的评审报价=投标报价×90%；其他企业产品的评审报价=投标报价。</w:t>
      </w:r>
    </w:p>
    <w:p w14:paraId="586C258A">
      <w:pPr>
        <w:autoSpaceDE w:val="0"/>
        <w:autoSpaceDN w:val="0"/>
        <w:adjustRightInd w:val="0"/>
        <w:spacing w:line="360" w:lineRule="auto"/>
        <w:ind w:firstLine="420" w:firstLineChars="200"/>
        <w:rPr>
          <w:rFonts w:ascii="宋体" w:hAnsi="宋体" w:cs="宋体"/>
          <w:sz w:val="22"/>
          <w:szCs w:val="22"/>
          <w:lang w:val="zh-CN"/>
        </w:rPr>
      </w:pPr>
      <w:r>
        <w:rPr>
          <w:rFonts w:hint="eastAsia" w:ascii="宋体" w:hAnsi="宋体" w:cs="宋体"/>
          <w:szCs w:val="21"/>
          <w:lang w:val="zh-CN"/>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7AE4C6">
      <w:pPr>
        <w:autoSpaceDE w:val="0"/>
        <w:autoSpaceDN w:val="0"/>
        <w:adjustRightInd w:val="0"/>
        <w:spacing w:line="360" w:lineRule="auto"/>
        <w:ind w:firstLine="440" w:firstLineChars="200"/>
        <w:rPr>
          <w:rFonts w:ascii="宋体" w:hAnsi="宋体" w:cs="宋体"/>
          <w:sz w:val="22"/>
          <w:szCs w:val="22"/>
        </w:rPr>
      </w:pPr>
      <w:r>
        <w:rPr>
          <w:rFonts w:ascii="宋体" w:hAnsi="宋体"/>
          <w:sz w:val="22"/>
          <w:szCs w:val="22"/>
        </w:rPr>
        <w:t>在评分时，各投标人投标报价得分保留小数点后二位，第三位四舍五入。</w:t>
      </w:r>
      <w:r>
        <w:rPr>
          <w:rFonts w:hint="eastAsia" w:ascii="宋体" w:hAnsi="宋体"/>
          <w:sz w:val="22"/>
          <w:szCs w:val="22"/>
        </w:rPr>
        <w:t>评审专家打分准确到小数点后一位，</w:t>
      </w:r>
      <w:r>
        <w:rPr>
          <w:rFonts w:hint="eastAsia" w:ascii="宋体" w:hAnsi="宋体" w:cs="宋体"/>
          <w:sz w:val="22"/>
          <w:szCs w:val="22"/>
        </w:rPr>
        <w:t>综合评估分=商务技术部分得分＋投标报价得分，商务技术部分得分为所有评委评分的算术平均值，</w:t>
      </w:r>
      <w:r>
        <w:rPr>
          <w:rFonts w:ascii="宋体" w:hAnsi="宋体" w:cs="宋体"/>
          <w:sz w:val="22"/>
          <w:szCs w:val="22"/>
        </w:rPr>
        <w:t>得分保留小数点后二位。</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4"/>
        <w:gridCol w:w="3082"/>
      </w:tblGrid>
      <w:tr w14:paraId="73F6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298" w:type="pct"/>
            <w:tcBorders>
              <w:top w:val="single" w:color="auto" w:sz="4" w:space="0"/>
              <w:left w:val="single" w:color="auto" w:sz="4" w:space="0"/>
              <w:bottom w:val="single" w:color="auto" w:sz="4" w:space="0"/>
              <w:right w:val="single" w:color="auto" w:sz="4" w:space="0"/>
            </w:tcBorders>
            <w:vAlign w:val="center"/>
          </w:tcPr>
          <w:p w14:paraId="30EFC1FB">
            <w:pPr>
              <w:spacing w:line="360" w:lineRule="auto"/>
              <w:ind w:firstLine="630" w:firstLineChars="300"/>
              <w:rPr>
                <w:rFonts w:ascii="Times New Roman" w:hAnsi="Times New Roman"/>
                <w:szCs w:val="21"/>
              </w:rPr>
            </w:pPr>
            <w:r>
              <w:rPr>
                <w:rFonts w:ascii="Times New Roman" w:hAnsi="Times New Roman"/>
                <w:szCs w:val="21"/>
              </w:rPr>
              <w:t>评价指标和各评价权重指标：评标指标</w:t>
            </w:r>
          </w:p>
        </w:tc>
        <w:tc>
          <w:tcPr>
            <w:tcW w:w="1701" w:type="pct"/>
            <w:tcBorders>
              <w:top w:val="single" w:color="auto" w:sz="4" w:space="0"/>
              <w:left w:val="nil"/>
              <w:bottom w:val="single" w:color="auto" w:sz="4" w:space="0"/>
              <w:right w:val="single" w:color="auto" w:sz="4" w:space="0"/>
            </w:tcBorders>
            <w:vAlign w:val="center"/>
          </w:tcPr>
          <w:p w14:paraId="77A36261">
            <w:pPr>
              <w:spacing w:line="360" w:lineRule="auto"/>
              <w:jc w:val="center"/>
              <w:rPr>
                <w:rFonts w:ascii="Times New Roman" w:hAnsi="Times New Roman"/>
                <w:szCs w:val="21"/>
              </w:rPr>
            </w:pPr>
            <w:r>
              <w:rPr>
                <w:rFonts w:ascii="Times New Roman" w:hAnsi="Times New Roman"/>
                <w:szCs w:val="21"/>
              </w:rPr>
              <w:t>权重（％）</w:t>
            </w:r>
          </w:p>
        </w:tc>
      </w:tr>
      <w:tr w14:paraId="26C4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298" w:type="pct"/>
            <w:tcBorders>
              <w:top w:val="single" w:color="auto" w:sz="4" w:space="0"/>
              <w:left w:val="single" w:color="auto" w:sz="4" w:space="0"/>
              <w:bottom w:val="single" w:color="auto" w:sz="4" w:space="0"/>
              <w:right w:val="single" w:color="auto" w:sz="4" w:space="0"/>
            </w:tcBorders>
            <w:vAlign w:val="center"/>
          </w:tcPr>
          <w:p w14:paraId="795AC414">
            <w:pPr>
              <w:spacing w:line="360" w:lineRule="auto"/>
              <w:jc w:val="center"/>
              <w:rPr>
                <w:rFonts w:ascii="Times New Roman" w:hAnsi="Times New Roman"/>
                <w:szCs w:val="21"/>
              </w:rPr>
            </w:pPr>
            <w:r>
              <w:rPr>
                <w:rFonts w:ascii="Times New Roman" w:hAnsi="Times New Roman"/>
                <w:szCs w:val="21"/>
              </w:rPr>
              <w:t>投标报价</w:t>
            </w:r>
          </w:p>
        </w:tc>
        <w:tc>
          <w:tcPr>
            <w:tcW w:w="1701" w:type="pct"/>
            <w:tcBorders>
              <w:top w:val="single" w:color="auto" w:sz="4" w:space="0"/>
              <w:left w:val="nil"/>
              <w:bottom w:val="single" w:color="auto" w:sz="4" w:space="0"/>
              <w:right w:val="single" w:color="auto" w:sz="4" w:space="0"/>
            </w:tcBorders>
            <w:vAlign w:val="center"/>
          </w:tcPr>
          <w:p w14:paraId="03FFD752">
            <w:pPr>
              <w:spacing w:line="360" w:lineRule="auto"/>
              <w:jc w:val="center"/>
              <w:rPr>
                <w:rFonts w:ascii="宋体" w:hAnsi="宋体"/>
                <w:szCs w:val="21"/>
              </w:rPr>
            </w:pPr>
            <w:r>
              <w:rPr>
                <w:rFonts w:hint="eastAsia" w:ascii="宋体" w:hAnsi="宋体"/>
                <w:szCs w:val="21"/>
              </w:rPr>
              <w:t>30</w:t>
            </w:r>
          </w:p>
        </w:tc>
      </w:tr>
      <w:tr w14:paraId="6A8D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298" w:type="pct"/>
            <w:tcBorders>
              <w:top w:val="single" w:color="auto" w:sz="4" w:space="0"/>
              <w:left w:val="single" w:color="auto" w:sz="4" w:space="0"/>
              <w:bottom w:val="single" w:color="auto" w:sz="4" w:space="0"/>
              <w:right w:val="single" w:color="auto" w:sz="4" w:space="0"/>
            </w:tcBorders>
            <w:vAlign w:val="center"/>
          </w:tcPr>
          <w:p w14:paraId="3A6F7BD8">
            <w:pPr>
              <w:spacing w:line="360" w:lineRule="auto"/>
              <w:jc w:val="center"/>
              <w:rPr>
                <w:rFonts w:hint="default" w:ascii="Times New Roman" w:hAnsi="Times New Roman" w:eastAsia="宋体"/>
                <w:szCs w:val="21"/>
                <w:lang w:val="en-US" w:eastAsia="zh-CN"/>
              </w:rPr>
            </w:pPr>
            <w:r>
              <w:rPr>
                <w:rFonts w:ascii="Times New Roman" w:hAnsi="Times New Roman"/>
                <w:szCs w:val="21"/>
              </w:rPr>
              <w:t>商务</w:t>
            </w:r>
            <w:r>
              <w:rPr>
                <w:rFonts w:hint="eastAsia" w:ascii="Times New Roman" w:hAnsi="Times New Roman"/>
                <w:szCs w:val="21"/>
              </w:rPr>
              <w:t>部分</w:t>
            </w:r>
            <w:r>
              <w:rPr>
                <w:rFonts w:hint="eastAsia" w:ascii="Times New Roman" w:hAnsi="Times New Roman"/>
                <w:szCs w:val="21"/>
                <w:lang w:eastAsia="zh-CN"/>
              </w:rPr>
              <w:t>、</w:t>
            </w:r>
            <w:r>
              <w:rPr>
                <w:rFonts w:hint="eastAsia" w:ascii="Times New Roman" w:hAnsi="Times New Roman"/>
                <w:szCs w:val="21"/>
                <w:lang w:val="en-US" w:eastAsia="zh-CN"/>
              </w:rPr>
              <w:t>技术部分</w:t>
            </w:r>
          </w:p>
        </w:tc>
        <w:tc>
          <w:tcPr>
            <w:tcW w:w="1701" w:type="pct"/>
            <w:tcBorders>
              <w:top w:val="single" w:color="auto" w:sz="4" w:space="0"/>
              <w:left w:val="nil"/>
              <w:bottom w:val="single" w:color="auto" w:sz="4" w:space="0"/>
              <w:right w:val="single" w:color="auto" w:sz="4" w:space="0"/>
            </w:tcBorders>
            <w:vAlign w:val="center"/>
          </w:tcPr>
          <w:p w14:paraId="1551AEA0">
            <w:pPr>
              <w:spacing w:line="360" w:lineRule="auto"/>
              <w:jc w:val="center"/>
              <w:rPr>
                <w:rFonts w:hint="default" w:ascii="宋体" w:hAnsi="宋体" w:eastAsia="宋体"/>
                <w:szCs w:val="21"/>
                <w:lang w:val="en-US" w:eastAsia="zh-CN"/>
              </w:rPr>
            </w:pPr>
            <w:r>
              <w:rPr>
                <w:rFonts w:hint="eastAsia" w:ascii="宋体" w:hAnsi="宋体"/>
                <w:szCs w:val="21"/>
                <w:lang w:val="en-US" w:eastAsia="zh-CN"/>
              </w:rPr>
              <w:t>70</w:t>
            </w:r>
          </w:p>
        </w:tc>
      </w:tr>
      <w:tr w14:paraId="72E3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98" w:type="pct"/>
            <w:tcBorders>
              <w:top w:val="single" w:color="auto" w:sz="4" w:space="0"/>
              <w:left w:val="single" w:color="auto" w:sz="4" w:space="0"/>
              <w:bottom w:val="single" w:color="auto" w:sz="4" w:space="0"/>
              <w:right w:val="single" w:color="auto" w:sz="4" w:space="0"/>
            </w:tcBorders>
            <w:vAlign w:val="center"/>
          </w:tcPr>
          <w:p w14:paraId="0BC509EC">
            <w:pPr>
              <w:spacing w:line="360" w:lineRule="auto"/>
              <w:jc w:val="center"/>
              <w:rPr>
                <w:rFonts w:ascii="Times New Roman" w:hAnsi="Times New Roman"/>
                <w:szCs w:val="21"/>
              </w:rPr>
            </w:pPr>
            <w:r>
              <w:rPr>
                <w:rFonts w:ascii="Times New Roman" w:hAnsi="Times New Roman"/>
                <w:szCs w:val="21"/>
              </w:rPr>
              <w:t>合计</w:t>
            </w:r>
          </w:p>
        </w:tc>
        <w:tc>
          <w:tcPr>
            <w:tcW w:w="1701" w:type="pct"/>
            <w:tcBorders>
              <w:top w:val="single" w:color="auto" w:sz="4" w:space="0"/>
              <w:left w:val="nil"/>
              <w:bottom w:val="single" w:color="auto" w:sz="4" w:space="0"/>
              <w:right w:val="single" w:color="auto" w:sz="4" w:space="0"/>
            </w:tcBorders>
            <w:vAlign w:val="center"/>
          </w:tcPr>
          <w:p w14:paraId="51B6F9AA">
            <w:pPr>
              <w:spacing w:line="360" w:lineRule="auto"/>
              <w:jc w:val="center"/>
              <w:rPr>
                <w:rFonts w:ascii="宋体" w:hAnsi="宋体"/>
                <w:szCs w:val="21"/>
              </w:rPr>
            </w:pPr>
            <w:r>
              <w:rPr>
                <w:rFonts w:ascii="宋体" w:hAnsi="宋体"/>
                <w:szCs w:val="21"/>
              </w:rPr>
              <w:t>100</w:t>
            </w:r>
          </w:p>
        </w:tc>
      </w:tr>
    </w:tbl>
    <w:p w14:paraId="00BD1FCA">
      <w:pPr>
        <w:pStyle w:val="12"/>
        <w:numPr>
          <w:ilvl w:val="0"/>
          <w:numId w:val="0"/>
        </w:numPr>
        <w:snapToGrid w:val="0"/>
        <w:spacing w:line="360" w:lineRule="auto"/>
        <w:rPr>
          <w:rFonts w:hint="eastAsia" w:hAnsi="宋体" w:eastAsia="宋体" w:cs="宋体"/>
          <w:b/>
          <w:sz w:val="22"/>
          <w:szCs w:val="22"/>
          <w:lang w:val="en-US" w:eastAsia="zh-CN"/>
        </w:rPr>
      </w:pPr>
    </w:p>
    <w:p w14:paraId="0DAB803C">
      <w:pPr>
        <w:pStyle w:val="12"/>
        <w:numPr>
          <w:ilvl w:val="0"/>
          <w:numId w:val="0"/>
        </w:numPr>
        <w:snapToGrid w:val="0"/>
        <w:spacing w:line="360" w:lineRule="auto"/>
        <w:rPr>
          <w:rFonts w:hAnsi="宋体" w:eastAsia="宋体" w:cs="宋体"/>
          <w:b/>
          <w:sz w:val="22"/>
          <w:szCs w:val="22"/>
        </w:rPr>
      </w:pPr>
      <w:r>
        <w:rPr>
          <w:rFonts w:hint="eastAsia" w:hAnsi="宋体" w:eastAsia="宋体" w:cs="宋体"/>
          <w:b/>
          <w:sz w:val="22"/>
          <w:szCs w:val="22"/>
          <w:lang w:val="en-US" w:eastAsia="zh-CN"/>
        </w:rPr>
        <w:t>五、</w:t>
      </w:r>
      <w:r>
        <w:rPr>
          <w:rFonts w:hint="eastAsia" w:hAnsi="宋体" w:eastAsia="宋体" w:cs="宋体"/>
          <w:b/>
          <w:sz w:val="22"/>
          <w:szCs w:val="22"/>
        </w:rPr>
        <w:t>评标内容及标准</w:t>
      </w:r>
    </w:p>
    <w:tbl>
      <w:tblPr>
        <w:tblStyle w:val="23"/>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4"/>
        <w:gridCol w:w="7110"/>
        <w:gridCol w:w="876"/>
      </w:tblGrid>
      <w:tr w14:paraId="4E44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104" w:type="dxa"/>
            <w:noWrap/>
            <w:vAlign w:val="center"/>
          </w:tcPr>
          <w:p w14:paraId="3F43A548">
            <w:pPr>
              <w:jc w:val="center"/>
              <w:rPr>
                <w:rFonts w:ascii="宋体" w:hAnsi="Times New Roman" w:eastAsia="宋体" w:cs="Times New Roman"/>
                <w:szCs w:val="21"/>
              </w:rPr>
            </w:pPr>
            <w:r>
              <w:rPr>
                <w:rFonts w:hint="eastAsia" w:ascii="宋体" w:hAnsi="宋体" w:eastAsia="宋体" w:cs="宋体"/>
                <w:szCs w:val="21"/>
              </w:rPr>
              <w:t>评审项目</w:t>
            </w:r>
          </w:p>
        </w:tc>
        <w:tc>
          <w:tcPr>
            <w:tcW w:w="1134" w:type="dxa"/>
            <w:noWrap/>
            <w:vAlign w:val="center"/>
          </w:tcPr>
          <w:p w14:paraId="2128942C">
            <w:pPr>
              <w:jc w:val="center"/>
              <w:rPr>
                <w:rFonts w:ascii="宋体" w:hAnsi="Times New Roman" w:eastAsia="宋体" w:cs="Times New Roman"/>
                <w:szCs w:val="21"/>
              </w:rPr>
            </w:pPr>
            <w:r>
              <w:rPr>
                <w:rFonts w:hint="eastAsia" w:ascii="宋体" w:hAnsi="宋体" w:eastAsia="宋体" w:cs="宋体"/>
                <w:szCs w:val="21"/>
              </w:rPr>
              <w:t>评审内容</w:t>
            </w:r>
          </w:p>
        </w:tc>
        <w:tc>
          <w:tcPr>
            <w:tcW w:w="7110" w:type="dxa"/>
            <w:noWrap/>
            <w:vAlign w:val="center"/>
          </w:tcPr>
          <w:p w14:paraId="2CC92DBC">
            <w:pPr>
              <w:ind w:firstLine="210" w:firstLineChars="100"/>
              <w:jc w:val="center"/>
              <w:rPr>
                <w:rFonts w:ascii="宋体" w:hAnsi="Times New Roman" w:eastAsia="宋体" w:cs="Times New Roman"/>
                <w:szCs w:val="21"/>
              </w:rPr>
            </w:pPr>
            <w:r>
              <w:rPr>
                <w:rFonts w:hint="eastAsia" w:ascii="宋体" w:hAnsi="宋体" w:eastAsia="宋体" w:cs="宋体"/>
                <w:szCs w:val="21"/>
              </w:rPr>
              <w:t>评分标准</w:t>
            </w:r>
          </w:p>
        </w:tc>
        <w:tc>
          <w:tcPr>
            <w:tcW w:w="876" w:type="dxa"/>
            <w:noWrap/>
            <w:vAlign w:val="center"/>
          </w:tcPr>
          <w:p w14:paraId="3CEC3F4B">
            <w:pPr>
              <w:jc w:val="center"/>
              <w:rPr>
                <w:rFonts w:ascii="宋体" w:hAnsi="Times New Roman" w:eastAsia="宋体" w:cs="Times New Roman"/>
                <w:szCs w:val="21"/>
              </w:rPr>
            </w:pPr>
            <w:r>
              <w:rPr>
                <w:rFonts w:hint="eastAsia" w:ascii="宋体" w:hAnsi="宋体" w:eastAsia="宋体" w:cs="宋体"/>
                <w:szCs w:val="21"/>
              </w:rPr>
              <w:t>得分</w:t>
            </w:r>
          </w:p>
        </w:tc>
      </w:tr>
      <w:tr w14:paraId="0CE9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4" w:type="dxa"/>
            <w:vMerge w:val="restart"/>
            <w:noWrap/>
            <w:vAlign w:val="center"/>
          </w:tcPr>
          <w:p w14:paraId="44DF4AD3">
            <w:pPr>
              <w:spacing w:line="288" w:lineRule="auto"/>
              <w:jc w:val="center"/>
              <w:rPr>
                <w:rFonts w:ascii="宋体" w:hAnsi="Times New Roman" w:eastAsia="宋体" w:cs="Times New Roman"/>
                <w:szCs w:val="21"/>
              </w:rPr>
            </w:pPr>
            <w:r>
              <w:rPr>
                <w:rFonts w:hint="eastAsia" w:ascii="宋体" w:hAnsi="宋体" w:eastAsia="宋体" w:cs="宋体"/>
                <w:szCs w:val="21"/>
              </w:rPr>
              <w:t>商务技术</w:t>
            </w:r>
          </w:p>
          <w:p w14:paraId="4546491C">
            <w:pPr>
              <w:spacing w:line="288" w:lineRule="auto"/>
              <w:jc w:val="center"/>
              <w:rPr>
                <w:rFonts w:ascii="宋体" w:hAnsi="Times New Roman" w:eastAsia="宋体" w:cs="Times New Roman"/>
                <w:szCs w:val="21"/>
              </w:rPr>
            </w:pPr>
            <w:r>
              <w:rPr>
                <w:rFonts w:hint="eastAsia" w:ascii="宋体" w:hAnsi="宋体" w:eastAsia="宋体" w:cs="宋体"/>
                <w:szCs w:val="21"/>
              </w:rPr>
              <w:t>得分</w:t>
            </w:r>
          </w:p>
          <w:p w14:paraId="346F8373">
            <w:pPr>
              <w:spacing w:line="288" w:lineRule="auto"/>
              <w:jc w:val="center"/>
              <w:rPr>
                <w:rFonts w:ascii="宋体" w:hAnsi="Times New Roman" w:eastAsia="宋体" w:cs="Times New Roman"/>
                <w:szCs w:val="21"/>
              </w:rPr>
            </w:pPr>
            <w:r>
              <w:rPr>
                <w:rFonts w:hint="eastAsia" w:ascii="宋体" w:hAnsi="宋体" w:eastAsia="宋体" w:cs="宋体"/>
                <w:szCs w:val="21"/>
              </w:rPr>
              <w:t>（</w:t>
            </w:r>
            <w:r>
              <w:rPr>
                <w:rFonts w:ascii="宋体" w:hAnsi="宋体" w:eastAsia="宋体" w:cs="宋体"/>
                <w:szCs w:val="21"/>
              </w:rPr>
              <w:t>70</w:t>
            </w:r>
            <w:r>
              <w:rPr>
                <w:rFonts w:hint="eastAsia" w:ascii="宋体" w:hAnsi="宋体" w:eastAsia="宋体" w:cs="宋体"/>
                <w:szCs w:val="21"/>
              </w:rPr>
              <w:t>分）</w:t>
            </w:r>
          </w:p>
        </w:tc>
        <w:tc>
          <w:tcPr>
            <w:tcW w:w="1134" w:type="dxa"/>
            <w:noWrap/>
            <w:vAlign w:val="center"/>
          </w:tcPr>
          <w:p w14:paraId="3512A92C">
            <w:pPr>
              <w:spacing w:line="288" w:lineRule="auto"/>
              <w:jc w:val="center"/>
              <w:rPr>
                <w:rFonts w:ascii="宋体" w:hAnsi="Times New Roman" w:eastAsia="宋体" w:cs="Times New Roman"/>
                <w:szCs w:val="21"/>
              </w:rPr>
            </w:pPr>
            <w:r>
              <w:rPr>
                <w:rFonts w:hint="eastAsia" w:ascii="宋体" w:hAnsi="宋体" w:eastAsia="宋体" w:cs="宋体"/>
                <w:szCs w:val="21"/>
              </w:rPr>
              <w:t>成功案例（</w:t>
            </w:r>
            <w:r>
              <w:rPr>
                <w:rFonts w:ascii="宋体" w:hAnsi="宋体" w:eastAsia="宋体" w:cs="宋体"/>
                <w:szCs w:val="21"/>
              </w:rPr>
              <w:t>3</w:t>
            </w:r>
            <w:r>
              <w:rPr>
                <w:rFonts w:hint="eastAsia" w:ascii="宋体" w:hAnsi="宋体" w:eastAsia="宋体" w:cs="宋体"/>
                <w:szCs w:val="21"/>
              </w:rPr>
              <w:t>分）</w:t>
            </w:r>
          </w:p>
        </w:tc>
        <w:tc>
          <w:tcPr>
            <w:tcW w:w="7110" w:type="dxa"/>
            <w:shd w:val="clear" w:color="auto" w:fill="FFFFFF"/>
            <w:noWrap/>
            <w:vAlign w:val="center"/>
          </w:tcPr>
          <w:p w14:paraId="27F0C105">
            <w:pPr>
              <w:spacing w:line="288" w:lineRule="auto"/>
              <w:rPr>
                <w:rFonts w:ascii="宋体" w:hAnsi="Times New Roman" w:eastAsia="宋体" w:cs="Times New Roman"/>
                <w:szCs w:val="21"/>
              </w:rPr>
            </w:pPr>
            <w:r>
              <w:rPr>
                <w:rFonts w:ascii="宋体" w:hAnsi="宋体" w:eastAsia="宋体" w:cs="宋体"/>
                <w:szCs w:val="21"/>
              </w:rPr>
              <w:t>202</w:t>
            </w:r>
            <w:r>
              <w:rPr>
                <w:rFonts w:hint="eastAsia" w:ascii="宋体" w:hAnsi="宋体" w:eastAsia="宋体" w:cs="宋体"/>
                <w:szCs w:val="21"/>
              </w:rPr>
              <w:t>1年</w:t>
            </w:r>
            <w:r>
              <w:rPr>
                <w:rFonts w:ascii="宋体" w:hAnsi="宋体" w:eastAsia="宋体" w:cs="宋体"/>
                <w:szCs w:val="21"/>
              </w:rPr>
              <w:t>1</w:t>
            </w:r>
            <w:r>
              <w:rPr>
                <w:rFonts w:hint="eastAsia" w:ascii="宋体" w:hAnsi="宋体" w:eastAsia="宋体" w:cs="宋体"/>
                <w:szCs w:val="21"/>
              </w:rPr>
              <w:t>月</w:t>
            </w:r>
            <w:r>
              <w:rPr>
                <w:rFonts w:ascii="宋体" w:hAnsi="宋体" w:eastAsia="宋体" w:cs="宋体"/>
                <w:szCs w:val="21"/>
              </w:rPr>
              <w:t>1</w:t>
            </w:r>
            <w:r>
              <w:rPr>
                <w:rFonts w:hint="eastAsia" w:ascii="宋体" w:hAnsi="宋体" w:eastAsia="宋体" w:cs="宋体"/>
                <w:szCs w:val="21"/>
              </w:rPr>
              <w:t>日以来同类项目成功案例，每提供一个得</w:t>
            </w:r>
            <w:r>
              <w:rPr>
                <w:rFonts w:ascii="宋体" w:hAnsi="宋体" w:eastAsia="宋体" w:cs="宋体"/>
                <w:szCs w:val="21"/>
              </w:rPr>
              <w:t>1</w:t>
            </w:r>
            <w:r>
              <w:rPr>
                <w:rFonts w:hint="eastAsia" w:ascii="宋体" w:hAnsi="宋体" w:eastAsia="宋体" w:cs="宋体"/>
                <w:szCs w:val="21"/>
              </w:rPr>
              <w:t>分，最高得</w:t>
            </w:r>
            <w:r>
              <w:rPr>
                <w:rFonts w:ascii="宋体" w:hAnsi="宋体" w:eastAsia="宋体" w:cs="宋体"/>
                <w:szCs w:val="21"/>
              </w:rPr>
              <w:t>3</w:t>
            </w:r>
            <w:r>
              <w:rPr>
                <w:rFonts w:hint="eastAsia" w:ascii="宋体" w:hAnsi="宋体" w:eastAsia="宋体" w:cs="宋体"/>
                <w:szCs w:val="21"/>
              </w:rPr>
              <w:t>分。</w:t>
            </w:r>
            <w:r>
              <w:rPr>
                <w:rFonts w:hint="eastAsia" w:ascii="宋体" w:hAnsi="宋体" w:eastAsia="宋体" w:cs="宋体"/>
                <w:b/>
                <w:bCs/>
                <w:szCs w:val="21"/>
              </w:rPr>
              <w:t>（提供中标通知书（如有）、合同协议书及投标人认为需要提交的其他证明材料证实，复印件加盖公章，须提供重要页面，能够体现项目内容）</w:t>
            </w:r>
          </w:p>
        </w:tc>
        <w:tc>
          <w:tcPr>
            <w:tcW w:w="876" w:type="dxa"/>
            <w:noWrap/>
            <w:vAlign w:val="center"/>
          </w:tcPr>
          <w:p w14:paraId="5A29B3F5">
            <w:pPr>
              <w:ind w:firstLine="210" w:firstLineChars="100"/>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 xml:space="preserve"> </w:t>
            </w:r>
          </w:p>
        </w:tc>
      </w:tr>
      <w:tr w14:paraId="33D8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104" w:type="dxa"/>
            <w:vMerge w:val="continue"/>
            <w:noWrap/>
            <w:vAlign w:val="center"/>
          </w:tcPr>
          <w:p w14:paraId="79E01AB7">
            <w:pPr>
              <w:spacing w:line="288" w:lineRule="auto"/>
              <w:jc w:val="center"/>
              <w:rPr>
                <w:rFonts w:ascii="宋体" w:hAnsi="Times New Roman" w:eastAsia="宋体" w:cs="Times New Roman"/>
                <w:szCs w:val="21"/>
              </w:rPr>
            </w:pPr>
          </w:p>
        </w:tc>
        <w:tc>
          <w:tcPr>
            <w:tcW w:w="1134" w:type="dxa"/>
            <w:vMerge w:val="restart"/>
            <w:noWrap/>
            <w:vAlign w:val="center"/>
          </w:tcPr>
          <w:p w14:paraId="256DC595">
            <w:pPr>
              <w:spacing w:line="288" w:lineRule="auto"/>
              <w:jc w:val="center"/>
              <w:rPr>
                <w:rFonts w:ascii="宋体" w:hAnsi="Times New Roman" w:eastAsia="宋体" w:cs="Times New Roman"/>
                <w:szCs w:val="21"/>
              </w:rPr>
            </w:pPr>
            <w:r>
              <w:rPr>
                <w:rFonts w:hint="eastAsia" w:ascii="宋体" w:hAnsi="宋体" w:eastAsia="宋体" w:cs="宋体"/>
                <w:szCs w:val="21"/>
              </w:rPr>
              <w:t>投标产品的性能与需求的吻合程度</w:t>
            </w:r>
          </w:p>
          <w:p w14:paraId="7F41BC91">
            <w:pPr>
              <w:spacing w:line="288" w:lineRule="auto"/>
              <w:jc w:val="center"/>
              <w:rPr>
                <w:rFonts w:ascii="宋体" w:hAnsi="Times New Roman" w:eastAsia="宋体" w:cs="Times New Roman"/>
                <w:szCs w:val="21"/>
              </w:rPr>
            </w:pPr>
            <w:r>
              <w:rPr>
                <w:rFonts w:hint="eastAsia" w:ascii="宋体" w:hAnsi="宋体" w:eastAsia="宋体" w:cs="宋体"/>
                <w:szCs w:val="21"/>
              </w:rPr>
              <w:t>（4</w:t>
            </w:r>
            <w:r>
              <w:rPr>
                <w:rFonts w:hint="eastAsia" w:ascii="宋体" w:hAnsi="宋体" w:cs="宋体"/>
                <w:szCs w:val="21"/>
                <w:lang w:val="en-US" w:eastAsia="zh-CN"/>
              </w:rPr>
              <w:t>7</w:t>
            </w:r>
            <w:r>
              <w:rPr>
                <w:rFonts w:hint="eastAsia" w:ascii="宋体" w:hAnsi="宋体" w:eastAsia="宋体" w:cs="宋体"/>
                <w:szCs w:val="21"/>
              </w:rPr>
              <w:t>分）</w:t>
            </w:r>
          </w:p>
        </w:tc>
        <w:tc>
          <w:tcPr>
            <w:tcW w:w="7110" w:type="dxa"/>
            <w:noWrap/>
            <w:vAlign w:val="center"/>
          </w:tcPr>
          <w:p w14:paraId="4C8B6FB2">
            <w:pPr>
              <w:rPr>
                <w:rFonts w:hint="default" w:ascii="Times New Roman" w:hAnsi="Times New Roman" w:eastAsia="宋体" w:cs="宋体"/>
                <w:szCs w:val="21"/>
                <w:lang w:val="en-US" w:eastAsia="zh-CN"/>
              </w:rPr>
            </w:pPr>
            <w:r>
              <w:rPr>
                <w:rFonts w:hint="eastAsia"/>
                <w:color w:val="000000"/>
              </w:rPr>
              <w:t>对照</w:t>
            </w:r>
            <w:r>
              <w:rPr>
                <w:rFonts w:hint="eastAsia"/>
                <w:color w:val="000000"/>
                <w:lang w:val="en-US" w:eastAsia="zh-CN"/>
              </w:rPr>
              <w:t>参数</w:t>
            </w:r>
            <w:r>
              <w:rPr>
                <w:rFonts w:hint="eastAsia"/>
                <w:color w:val="000000"/>
              </w:rPr>
              <w:t>偏离表，对各投标人提供的产品对业主的使用需求响应性及偏离情况进行综合评议，最高40分。标有“▲”指标为实质性要求，有负偏离将作为无效投标；其中每出现一项“★”负偏离，在基准分的基础上扣</w:t>
            </w:r>
            <w:r>
              <w:rPr>
                <w:rFonts w:hint="eastAsia"/>
                <w:color w:val="000000"/>
                <w:lang w:val="en-US" w:eastAsia="zh-CN"/>
              </w:rPr>
              <w:t>3</w:t>
            </w:r>
            <w:r>
              <w:rPr>
                <w:rFonts w:hint="eastAsia"/>
                <w:color w:val="000000"/>
              </w:rPr>
              <w:t>分/项；其他项若有负偏离，在基准分的基础上扣2分/项，扣完为止。严重负偏离且影响产品性能的，经半数以上评委认定，本项不得分</w:t>
            </w:r>
          </w:p>
        </w:tc>
        <w:tc>
          <w:tcPr>
            <w:tcW w:w="876" w:type="dxa"/>
            <w:noWrap/>
            <w:vAlign w:val="center"/>
          </w:tcPr>
          <w:p w14:paraId="1C48E724">
            <w:pPr>
              <w:ind w:firstLine="210" w:firstLineChars="100"/>
              <w:rPr>
                <w:rFonts w:ascii="宋体" w:hAnsi="Times New Roman" w:eastAsia="宋体" w:cs="Times New Roman"/>
                <w:szCs w:val="21"/>
              </w:rPr>
            </w:pPr>
            <w:r>
              <w:rPr>
                <w:rFonts w:hint="eastAsia" w:ascii="宋体" w:hAnsi="Times New Roman" w:eastAsia="宋体" w:cs="Times New Roman"/>
                <w:szCs w:val="21"/>
                <w:lang w:val="en-US" w:eastAsia="zh-CN"/>
              </w:rPr>
              <w:t xml:space="preserve"> </w:t>
            </w:r>
          </w:p>
        </w:tc>
      </w:tr>
      <w:tr w14:paraId="7607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jc w:val="center"/>
        </w:trPr>
        <w:tc>
          <w:tcPr>
            <w:tcW w:w="1104" w:type="dxa"/>
            <w:vMerge w:val="continue"/>
            <w:noWrap/>
            <w:vAlign w:val="center"/>
          </w:tcPr>
          <w:p w14:paraId="05E9D843">
            <w:pPr>
              <w:spacing w:line="288" w:lineRule="auto"/>
              <w:jc w:val="center"/>
              <w:rPr>
                <w:rFonts w:ascii="宋体" w:hAnsi="Times New Roman" w:eastAsia="宋体" w:cs="Times New Roman"/>
                <w:szCs w:val="21"/>
              </w:rPr>
            </w:pPr>
          </w:p>
        </w:tc>
        <w:tc>
          <w:tcPr>
            <w:tcW w:w="1134" w:type="dxa"/>
            <w:vMerge w:val="continue"/>
            <w:noWrap/>
            <w:vAlign w:val="center"/>
          </w:tcPr>
          <w:p w14:paraId="771A4805">
            <w:pPr>
              <w:spacing w:line="288" w:lineRule="auto"/>
              <w:jc w:val="center"/>
              <w:rPr>
                <w:rFonts w:hint="eastAsia" w:ascii="宋体" w:hAnsi="宋体" w:eastAsia="宋体" w:cs="宋体"/>
                <w:szCs w:val="21"/>
              </w:rPr>
            </w:pPr>
          </w:p>
        </w:tc>
        <w:tc>
          <w:tcPr>
            <w:tcW w:w="7110" w:type="dxa"/>
            <w:noWrap/>
            <w:vAlign w:val="center"/>
          </w:tcPr>
          <w:p w14:paraId="4649E52C">
            <w:pPr>
              <w:rPr>
                <w:rFonts w:ascii="Times New Roman" w:hAnsi="Times New Roman" w:eastAsia="宋体" w:cs="宋体"/>
                <w:szCs w:val="21"/>
                <w:lang w:val="zh-CN"/>
              </w:rPr>
            </w:pPr>
            <w:r>
              <w:rPr>
                <w:rFonts w:hint="eastAsia" w:ascii="Times New Roman" w:hAnsi="Times New Roman" w:eastAsia="宋体" w:cs="宋体"/>
                <w:szCs w:val="21"/>
                <w:lang w:val="zh-CN"/>
              </w:rPr>
              <w:t>技术方案条理清晰，层次分明，操作性强</w:t>
            </w:r>
            <w:r>
              <w:rPr>
                <w:rFonts w:ascii="Times New Roman" w:hAnsi="Times New Roman" w:eastAsia="宋体" w:cs="宋体"/>
                <w:szCs w:val="21"/>
                <w:lang w:val="zh-CN"/>
              </w:rPr>
              <w:t>, 其配置和性能完全满足本项目需求的，得</w:t>
            </w:r>
            <w:r>
              <w:rPr>
                <w:rFonts w:hint="eastAsia" w:ascii="Times New Roman" w:hAnsi="Times New Roman" w:eastAsia="宋体" w:cs="宋体"/>
                <w:szCs w:val="21"/>
              </w:rPr>
              <w:t>7</w:t>
            </w:r>
            <w:r>
              <w:rPr>
                <w:rFonts w:ascii="Times New Roman" w:hAnsi="Times New Roman" w:eastAsia="宋体" w:cs="宋体"/>
                <w:szCs w:val="21"/>
                <w:lang w:val="zh-CN"/>
              </w:rPr>
              <w:t>分；</w:t>
            </w:r>
          </w:p>
          <w:p w14:paraId="1BE99E7B">
            <w:pPr>
              <w:rPr>
                <w:rFonts w:ascii="Times New Roman" w:hAnsi="Times New Roman" w:eastAsia="宋体" w:cs="宋体"/>
                <w:szCs w:val="21"/>
                <w:lang w:val="zh-CN"/>
              </w:rPr>
            </w:pPr>
            <w:r>
              <w:rPr>
                <w:rFonts w:hint="eastAsia" w:ascii="Times New Roman" w:hAnsi="Times New Roman" w:eastAsia="宋体" w:cs="宋体"/>
                <w:szCs w:val="21"/>
                <w:lang w:val="zh-CN"/>
              </w:rPr>
              <w:t>技术方案条理较清晰，基本能满足招标要求的，得</w:t>
            </w:r>
            <w:r>
              <w:rPr>
                <w:rFonts w:hint="eastAsia" w:ascii="Times New Roman" w:hAnsi="Times New Roman" w:eastAsia="宋体" w:cs="宋体"/>
                <w:szCs w:val="21"/>
              </w:rPr>
              <w:t>5</w:t>
            </w:r>
            <w:r>
              <w:rPr>
                <w:rFonts w:ascii="Times New Roman" w:hAnsi="Times New Roman" w:eastAsia="宋体" w:cs="宋体"/>
                <w:szCs w:val="21"/>
                <w:lang w:val="zh-CN"/>
              </w:rPr>
              <w:t>分；</w:t>
            </w:r>
          </w:p>
          <w:p w14:paraId="6C7191D3">
            <w:pPr>
              <w:rPr>
                <w:rFonts w:ascii="Times New Roman" w:hAnsi="Times New Roman" w:eastAsia="宋体" w:cs="宋体"/>
                <w:szCs w:val="21"/>
                <w:lang w:val="zh-CN"/>
              </w:rPr>
            </w:pPr>
            <w:r>
              <w:rPr>
                <w:rFonts w:hint="eastAsia" w:ascii="Times New Roman" w:hAnsi="Times New Roman" w:eastAsia="宋体" w:cs="宋体"/>
                <w:szCs w:val="21"/>
                <w:lang w:val="zh-CN"/>
              </w:rPr>
              <w:t>技术方案</w:t>
            </w:r>
            <w:r>
              <w:rPr>
                <w:rFonts w:hint="eastAsia" w:ascii="Times New Roman" w:hAnsi="Times New Roman" w:eastAsia="宋体" w:cs="宋体"/>
                <w:szCs w:val="21"/>
              </w:rPr>
              <w:t>简单</w:t>
            </w:r>
            <w:r>
              <w:rPr>
                <w:rFonts w:hint="eastAsia" w:ascii="Times New Roman" w:hAnsi="Times New Roman" w:eastAsia="宋体" w:cs="宋体"/>
                <w:szCs w:val="21"/>
                <w:lang w:val="zh-CN"/>
              </w:rPr>
              <w:t>的，得2</w:t>
            </w:r>
            <w:r>
              <w:rPr>
                <w:rFonts w:ascii="Times New Roman" w:hAnsi="Times New Roman" w:eastAsia="宋体" w:cs="宋体"/>
                <w:szCs w:val="21"/>
                <w:lang w:val="zh-CN"/>
              </w:rPr>
              <w:t>分；</w:t>
            </w:r>
          </w:p>
          <w:p w14:paraId="5BF42DE2">
            <w:pPr>
              <w:rPr>
                <w:rFonts w:ascii="Times New Roman" w:hAnsi="Times New Roman" w:eastAsia="宋体" w:cs="宋体"/>
                <w:szCs w:val="21"/>
                <w:lang w:val="zh-CN"/>
              </w:rPr>
            </w:pPr>
            <w:r>
              <w:rPr>
                <w:rFonts w:hint="eastAsia" w:ascii="Times New Roman" w:hAnsi="Times New Roman" w:eastAsia="宋体" w:cs="宋体"/>
                <w:szCs w:val="21"/>
                <w:lang w:val="zh-CN"/>
              </w:rPr>
              <w:t>完全不满足的不得分。</w:t>
            </w:r>
          </w:p>
        </w:tc>
        <w:tc>
          <w:tcPr>
            <w:tcW w:w="876" w:type="dxa"/>
            <w:noWrap/>
            <w:vAlign w:val="center"/>
          </w:tcPr>
          <w:p w14:paraId="41911609">
            <w:pPr>
              <w:ind w:firstLine="210" w:firstLineChars="100"/>
              <w:rPr>
                <w:rFonts w:ascii="宋体" w:hAnsi="Times New Roman" w:eastAsia="宋体" w:cs="Times New Roman"/>
                <w:szCs w:val="21"/>
              </w:rPr>
            </w:pPr>
          </w:p>
        </w:tc>
      </w:tr>
      <w:tr w14:paraId="7736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104" w:type="dxa"/>
            <w:vMerge w:val="continue"/>
            <w:noWrap/>
            <w:vAlign w:val="center"/>
          </w:tcPr>
          <w:p w14:paraId="0DBFE7AA">
            <w:pPr>
              <w:spacing w:line="288" w:lineRule="auto"/>
              <w:jc w:val="center"/>
              <w:rPr>
                <w:rFonts w:ascii="宋体" w:hAnsi="Times New Roman" w:eastAsia="宋体" w:cs="Times New Roman"/>
                <w:szCs w:val="21"/>
              </w:rPr>
            </w:pPr>
          </w:p>
        </w:tc>
        <w:tc>
          <w:tcPr>
            <w:tcW w:w="1134" w:type="dxa"/>
            <w:noWrap/>
            <w:vAlign w:val="center"/>
          </w:tcPr>
          <w:p w14:paraId="1627262C">
            <w:pPr>
              <w:jc w:val="center"/>
              <w:rPr>
                <w:rFonts w:ascii="Times New Roman" w:hAnsi="Times New Roman" w:eastAsia="宋体"/>
              </w:rPr>
            </w:pPr>
            <w:r>
              <w:rPr>
                <w:rFonts w:hint="eastAsia" w:ascii="Times New Roman" w:hAnsi="Times New Roman" w:eastAsia="宋体"/>
              </w:rPr>
              <w:t>组织实施方案</w:t>
            </w:r>
          </w:p>
          <w:p w14:paraId="76F02F69">
            <w:pPr>
              <w:spacing w:line="288" w:lineRule="auto"/>
              <w:jc w:val="center"/>
              <w:rPr>
                <w:rFonts w:hint="eastAsia" w:ascii="宋体" w:hAnsi="宋体" w:eastAsia="宋体" w:cs="Times New Roman"/>
                <w:szCs w:val="21"/>
              </w:rPr>
            </w:pPr>
            <w:r>
              <w:rPr>
                <w:rFonts w:hint="eastAsia" w:ascii="Times New Roman" w:hAnsi="Times New Roman" w:eastAsia="宋体"/>
              </w:rPr>
              <w:t>（5分）</w:t>
            </w:r>
          </w:p>
        </w:tc>
        <w:tc>
          <w:tcPr>
            <w:tcW w:w="7110" w:type="dxa"/>
            <w:shd w:val="clear" w:color="auto" w:fill="FFFFFF"/>
            <w:noWrap/>
            <w:vAlign w:val="center"/>
          </w:tcPr>
          <w:p w14:paraId="7757CFA5">
            <w:pPr>
              <w:adjustRightInd w:val="0"/>
              <w:snapToGrid w:val="0"/>
              <w:rPr>
                <w:rFonts w:ascii="Times New Roman" w:hAnsi="Times New Roman" w:eastAsia="宋体"/>
                <w:szCs w:val="21"/>
              </w:rPr>
            </w:pPr>
            <w:r>
              <w:rPr>
                <w:rFonts w:hint="eastAsia" w:ascii="Times New Roman" w:hAnsi="Times New Roman"/>
                <w:szCs w:val="21"/>
                <w:lang w:val="en-US" w:eastAsia="zh-CN"/>
              </w:rPr>
              <w:t>根据</w:t>
            </w:r>
            <w:r>
              <w:rPr>
                <w:rFonts w:hint="eastAsia" w:ascii="Times New Roman" w:hAnsi="Times New Roman" w:eastAsia="宋体"/>
                <w:szCs w:val="21"/>
              </w:rPr>
              <w:t>投标人</w:t>
            </w:r>
            <w:r>
              <w:rPr>
                <w:rFonts w:hint="eastAsia" w:ascii="Times New Roman" w:hAnsi="Times New Roman"/>
                <w:szCs w:val="21"/>
                <w:lang w:val="en-US" w:eastAsia="zh-CN"/>
              </w:rPr>
              <w:t>提供的</w:t>
            </w:r>
            <w:r>
              <w:rPr>
                <w:rFonts w:hint="eastAsia" w:ascii="Times New Roman" w:hAnsi="Times New Roman" w:eastAsia="宋体"/>
                <w:szCs w:val="21"/>
              </w:rPr>
              <w:t>组织实施方案的完整性、合理性、规范性和可操作性，包括产品供货、验货、安装调试等内容</w:t>
            </w:r>
            <w:r>
              <w:rPr>
                <w:rFonts w:hint="eastAsia" w:ascii="Times New Roman" w:hAnsi="Times New Roman"/>
                <w:szCs w:val="21"/>
                <w:lang w:val="en-US" w:eastAsia="zh-CN"/>
              </w:rPr>
              <w:t>进行综合打分</w:t>
            </w:r>
            <w:r>
              <w:rPr>
                <w:rFonts w:hint="eastAsia" w:ascii="Times New Roman" w:hAnsi="Times New Roman" w:eastAsia="宋体"/>
                <w:szCs w:val="21"/>
              </w:rPr>
              <w:t>：</w:t>
            </w:r>
          </w:p>
          <w:p w14:paraId="7EC5DA8F">
            <w:pPr>
              <w:jc w:val="both"/>
              <w:rPr>
                <w:rFonts w:ascii="Times New Roman" w:hAnsi="Times New Roman" w:eastAsia="宋体"/>
                <w:szCs w:val="21"/>
              </w:rPr>
            </w:pPr>
            <w:r>
              <w:rPr>
                <w:rFonts w:hint="eastAsia" w:ascii="Times New Roman" w:hAnsi="Times New Roman" w:eastAsia="宋体"/>
              </w:rPr>
              <w:t>组织实施方案</w:t>
            </w:r>
            <w:r>
              <w:rPr>
                <w:rFonts w:hint="eastAsia" w:ascii="Times New Roman" w:hAnsi="Times New Roman" w:eastAsia="宋体"/>
                <w:szCs w:val="21"/>
              </w:rPr>
              <w:t>完整、合理，完全满足招标文件要求的，得5分;</w:t>
            </w:r>
          </w:p>
          <w:p w14:paraId="075E9644">
            <w:pPr>
              <w:adjustRightInd w:val="0"/>
              <w:snapToGrid w:val="0"/>
              <w:rPr>
                <w:rFonts w:ascii="Times New Roman" w:hAnsi="Times New Roman" w:eastAsia="宋体"/>
                <w:szCs w:val="21"/>
              </w:rPr>
            </w:pPr>
            <w:r>
              <w:rPr>
                <w:rFonts w:hint="eastAsia" w:ascii="Times New Roman" w:hAnsi="Times New Roman" w:eastAsia="宋体"/>
              </w:rPr>
              <w:t>组织实施</w:t>
            </w:r>
            <w:r>
              <w:rPr>
                <w:rFonts w:hint="eastAsia" w:ascii="Times New Roman" w:hAnsi="Times New Roman" w:eastAsia="宋体"/>
                <w:szCs w:val="21"/>
              </w:rPr>
              <w:t>方案较完整合理，基本满足招标文件要求的，得3分;</w:t>
            </w:r>
          </w:p>
          <w:p w14:paraId="52B75AFC">
            <w:pPr>
              <w:adjustRightInd w:val="0"/>
              <w:snapToGrid w:val="0"/>
              <w:rPr>
                <w:rFonts w:hint="eastAsia" w:ascii="宋体" w:hAnsi="宋体" w:eastAsia="宋体" w:cs="Times New Roman"/>
                <w:szCs w:val="21"/>
              </w:rPr>
            </w:pPr>
            <w:r>
              <w:rPr>
                <w:rFonts w:hint="eastAsia" w:ascii="Times New Roman" w:hAnsi="Times New Roman" w:eastAsia="宋体"/>
              </w:rPr>
              <w:t>组织实施</w:t>
            </w:r>
            <w:r>
              <w:rPr>
                <w:rFonts w:hint="eastAsia" w:ascii="Times New Roman" w:hAnsi="Times New Roman" w:eastAsia="宋体"/>
                <w:szCs w:val="21"/>
              </w:rPr>
              <w:t>方案简单的，得1分；不满足或未提及不得分。</w:t>
            </w:r>
          </w:p>
        </w:tc>
        <w:tc>
          <w:tcPr>
            <w:tcW w:w="876" w:type="dxa"/>
            <w:noWrap/>
            <w:vAlign w:val="center"/>
          </w:tcPr>
          <w:p w14:paraId="5F2A5CCC">
            <w:pPr>
              <w:ind w:firstLine="210" w:firstLineChars="100"/>
              <w:rPr>
                <w:rFonts w:ascii="宋体" w:hAnsi="Times New Roman" w:eastAsia="宋体" w:cs="Times New Roman"/>
                <w:szCs w:val="21"/>
              </w:rPr>
            </w:pPr>
          </w:p>
        </w:tc>
      </w:tr>
      <w:tr w14:paraId="5F08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04" w:type="dxa"/>
            <w:vMerge w:val="continue"/>
            <w:noWrap/>
            <w:vAlign w:val="center"/>
          </w:tcPr>
          <w:p w14:paraId="0FC20309">
            <w:pPr>
              <w:spacing w:line="288" w:lineRule="auto"/>
              <w:jc w:val="center"/>
              <w:rPr>
                <w:rFonts w:ascii="宋体" w:hAnsi="Times New Roman" w:eastAsia="宋体" w:cs="Times New Roman"/>
                <w:szCs w:val="21"/>
              </w:rPr>
            </w:pPr>
          </w:p>
        </w:tc>
        <w:tc>
          <w:tcPr>
            <w:tcW w:w="1134" w:type="dxa"/>
            <w:noWrap/>
            <w:vAlign w:val="center"/>
          </w:tcPr>
          <w:p w14:paraId="20FB34D5">
            <w:pPr>
              <w:jc w:val="center"/>
              <w:rPr>
                <w:rFonts w:ascii="Times New Roman" w:hAnsi="Times New Roman" w:eastAsia="宋体"/>
              </w:rPr>
            </w:pPr>
            <w:r>
              <w:rPr>
                <w:rFonts w:hint="eastAsia" w:ascii="Times New Roman" w:hAnsi="Times New Roman" w:eastAsia="宋体"/>
              </w:rPr>
              <w:t>质量保证措施和交货情况</w:t>
            </w:r>
          </w:p>
          <w:p w14:paraId="60268A92">
            <w:pPr>
              <w:spacing w:line="288" w:lineRule="auto"/>
              <w:jc w:val="center"/>
              <w:rPr>
                <w:rFonts w:hint="eastAsia" w:ascii="宋体" w:hAnsi="宋体" w:eastAsia="宋体" w:cs="宋体"/>
                <w:szCs w:val="21"/>
              </w:rPr>
            </w:pPr>
            <w:r>
              <w:rPr>
                <w:rFonts w:hint="eastAsia" w:ascii="Times New Roman" w:hAnsi="Times New Roman" w:eastAsia="宋体"/>
              </w:rPr>
              <w:t>（5分）</w:t>
            </w:r>
          </w:p>
        </w:tc>
        <w:tc>
          <w:tcPr>
            <w:tcW w:w="7110" w:type="dxa"/>
            <w:shd w:val="clear" w:color="auto" w:fill="FFFFFF"/>
            <w:noWrap/>
            <w:vAlign w:val="center"/>
          </w:tcPr>
          <w:p w14:paraId="419EEFE9">
            <w:pPr>
              <w:jc w:val="both"/>
              <w:rPr>
                <w:rFonts w:hint="eastAsia" w:ascii="宋体" w:hAnsi="宋体" w:eastAsia="宋体"/>
                <w:szCs w:val="21"/>
              </w:rPr>
            </w:pPr>
            <w:r>
              <w:rPr>
                <w:rFonts w:hint="eastAsia" w:ascii="宋体" w:hAnsi="宋体"/>
                <w:szCs w:val="21"/>
                <w:lang w:val="en-US" w:eastAsia="zh-CN"/>
              </w:rPr>
              <w:t>根据投标人提供的</w:t>
            </w:r>
            <w:r>
              <w:rPr>
                <w:rFonts w:hint="eastAsia" w:ascii="Times New Roman" w:hAnsi="Times New Roman" w:eastAsia="宋体"/>
              </w:rPr>
              <w:t>质量保证措施和交货情况</w:t>
            </w:r>
            <w:r>
              <w:rPr>
                <w:rFonts w:hint="eastAsia" w:ascii="Times New Roman" w:hAnsi="Times New Roman"/>
                <w:lang w:eastAsia="zh-CN"/>
              </w:rPr>
              <w:t>，</w:t>
            </w:r>
            <w:r>
              <w:rPr>
                <w:rFonts w:hint="eastAsia" w:ascii="宋体" w:hAnsi="宋体" w:eastAsia="宋体"/>
                <w:szCs w:val="21"/>
              </w:rPr>
              <w:t>有明确的建设质量目标，按期完成设备供货、运行、验收等措施</w:t>
            </w:r>
            <w:r>
              <w:rPr>
                <w:rFonts w:hint="eastAsia" w:ascii="Times New Roman" w:hAnsi="Times New Roman"/>
                <w:szCs w:val="21"/>
                <w:lang w:val="en-US" w:eastAsia="zh-CN"/>
              </w:rPr>
              <w:t>进行综合打分</w:t>
            </w:r>
            <w:r>
              <w:rPr>
                <w:rFonts w:hint="eastAsia" w:ascii="宋体" w:hAnsi="宋体" w:eastAsia="宋体"/>
                <w:szCs w:val="21"/>
              </w:rPr>
              <w:t>：</w:t>
            </w:r>
          </w:p>
          <w:p w14:paraId="09669491">
            <w:pPr>
              <w:rPr>
                <w:rFonts w:hint="eastAsia" w:ascii="宋体" w:hAnsi="宋体" w:eastAsia="宋体"/>
                <w:szCs w:val="21"/>
              </w:rPr>
            </w:pPr>
            <w:r>
              <w:rPr>
                <w:rFonts w:hint="eastAsia" w:ascii="宋体" w:hAnsi="宋体"/>
                <w:szCs w:val="21"/>
                <w:lang w:val="en-US" w:eastAsia="zh-CN"/>
              </w:rPr>
              <w:t>投标人提供的质量建设目标明确、对设备的供货、运行、验收流程方案完善合理的得5分</w:t>
            </w:r>
            <w:r>
              <w:rPr>
                <w:rFonts w:hint="eastAsia" w:ascii="宋体" w:hAnsi="宋体" w:eastAsia="宋体"/>
                <w:szCs w:val="21"/>
              </w:rPr>
              <w:t>；</w:t>
            </w:r>
          </w:p>
          <w:p w14:paraId="3F5E26C3">
            <w:pPr>
              <w:adjustRightInd w:val="0"/>
              <w:snapToGrid w:val="0"/>
              <w:rPr>
                <w:rFonts w:hint="eastAsia" w:ascii="宋体" w:hAnsi="宋体" w:eastAsia="宋体"/>
                <w:szCs w:val="21"/>
              </w:rPr>
            </w:pPr>
            <w:r>
              <w:rPr>
                <w:rFonts w:hint="eastAsia" w:ascii="宋体" w:hAnsi="宋体"/>
                <w:szCs w:val="21"/>
                <w:lang w:val="en-US" w:eastAsia="zh-CN"/>
              </w:rPr>
              <w:t>投标人提供的质量建设目标较明确、对设备的供货、运行、验收流程方案较完善合理的得5分</w:t>
            </w:r>
            <w:r>
              <w:rPr>
                <w:rFonts w:hint="eastAsia" w:ascii="宋体" w:hAnsi="宋体" w:eastAsia="宋体"/>
                <w:szCs w:val="21"/>
              </w:rPr>
              <w:t>；</w:t>
            </w:r>
          </w:p>
          <w:p w14:paraId="1A01E780">
            <w:pPr>
              <w:adjustRightInd w:val="0"/>
              <w:snapToGrid w:val="0"/>
              <w:rPr>
                <w:rFonts w:hint="eastAsia" w:ascii="宋体" w:hAnsi="宋体" w:eastAsia="宋体"/>
                <w:szCs w:val="21"/>
              </w:rPr>
            </w:pPr>
            <w:r>
              <w:rPr>
                <w:rFonts w:hint="eastAsia" w:ascii="宋体" w:hAnsi="宋体" w:eastAsia="宋体"/>
                <w:szCs w:val="21"/>
              </w:rPr>
              <w:t>内容简单的，得1分。未提及不得分。</w:t>
            </w:r>
          </w:p>
        </w:tc>
        <w:tc>
          <w:tcPr>
            <w:tcW w:w="876" w:type="dxa"/>
            <w:noWrap/>
            <w:vAlign w:val="center"/>
          </w:tcPr>
          <w:p w14:paraId="561AD91D">
            <w:pPr>
              <w:ind w:firstLine="210" w:firstLineChars="100"/>
              <w:rPr>
                <w:rFonts w:ascii="宋体" w:hAnsi="Times New Roman" w:eastAsia="宋体" w:cs="Times New Roman"/>
                <w:szCs w:val="21"/>
              </w:rPr>
            </w:pPr>
          </w:p>
        </w:tc>
      </w:tr>
      <w:tr w14:paraId="33AD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04" w:type="dxa"/>
            <w:vMerge w:val="continue"/>
            <w:noWrap/>
            <w:vAlign w:val="center"/>
          </w:tcPr>
          <w:p w14:paraId="53491173">
            <w:pPr>
              <w:spacing w:line="288" w:lineRule="auto"/>
              <w:jc w:val="center"/>
              <w:rPr>
                <w:rFonts w:ascii="宋体" w:hAnsi="Times New Roman" w:eastAsia="宋体" w:cs="Times New Roman"/>
                <w:szCs w:val="21"/>
              </w:rPr>
            </w:pPr>
          </w:p>
        </w:tc>
        <w:tc>
          <w:tcPr>
            <w:tcW w:w="1134" w:type="dxa"/>
            <w:noWrap/>
            <w:vAlign w:val="center"/>
          </w:tcPr>
          <w:p w14:paraId="352F4D55">
            <w:pPr>
              <w:jc w:val="center"/>
              <w:rPr>
                <w:rFonts w:ascii="Times New Roman" w:hAnsi="Times New Roman" w:eastAsia="宋体"/>
              </w:rPr>
            </w:pPr>
            <w:r>
              <w:rPr>
                <w:rFonts w:hint="eastAsia" w:ascii="Times New Roman" w:hAnsi="Times New Roman" w:eastAsia="宋体"/>
              </w:rPr>
              <w:t>应急保障方案</w:t>
            </w:r>
          </w:p>
          <w:p w14:paraId="72B68693">
            <w:pPr>
              <w:jc w:val="center"/>
              <w:rPr>
                <w:rFonts w:ascii="Times New Roman" w:hAnsi="Times New Roman" w:eastAsia="宋体"/>
              </w:rPr>
            </w:pPr>
            <w:r>
              <w:rPr>
                <w:rFonts w:hint="eastAsia" w:ascii="宋体" w:hAnsi="宋体" w:eastAsia="宋体"/>
              </w:rPr>
              <w:t>（3分）</w:t>
            </w:r>
          </w:p>
        </w:tc>
        <w:tc>
          <w:tcPr>
            <w:tcW w:w="711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55A74B">
            <w:pPr>
              <w:adjustRightInd w:val="0"/>
              <w:snapToGrid w:val="0"/>
              <w:spacing w:line="288" w:lineRule="auto"/>
              <w:rPr>
                <w:rFonts w:ascii="宋体" w:hAnsi="Times New Roman" w:eastAsia="宋体"/>
                <w:szCs w:val="21"/>
              </w:rPr>
            </w:pPr>
            <w:r>
              <w:rPr>
                <w:rFonts w:hint="eastAsia" w:ascii="宋体" w:hAnsi="宋体"/>
                <w:szCs w:val="21"/>
                <w:lang w:val="en-US" w:eastAsia="zh-CN"/>
              </w:rPr>
              <w:t>根据</w:t>
            </w:r>
            <w:r>
              <w:rPr>
                <w:rFonts w:hint="eastAsia" w:ascii="Times New Roman" w:hAnsi="Times New Roman" w:eastAsia="宋体"/>
              </w:rPr>
              <w:t>投标人提供的应急保障方案（包括供货遇突发事件应急保证措施），对其方案制定的可操作性、响应速度、应急能力等方面</w:t>
            </w:r>
            <w:r>
              <w:rPr>
                <w:rFonts w:hint="eastAsia" w:ascii="Times New Roman" w:hAnsi="Times New Roman"/>
                <w:szCs w:val="21"/>
                <w:lang w:val="en-US" w:eastAsia="zh-CN"/>
              </w:rPr>
              <w:t>进行综合打分</w:t>
            </w:r>
            <w:r>
              <w:rPr>
                <w:rFonts w:hint="eastAsia" w:ascii="Times New Roman" w:hAnsi="Times New Roman" w:eastAsia="宋体"/>
              </w:rPr>
              <w:t>：</w:t>
            </w:r>
          </w:p>
          <w:p w14:paraId="73FFC5AE">
            <w:pPr>
              <w:adjustRightInd w:val="0"/>
              <w:snapToGrid w:val="0"/>
              <w:spacing w:line="288" w:lineRule="auto"/>
              <w:rPr>
                <w:rFonts w:ascii="宋体" w:hAnsi="Times New Roman" w:eastAsia="宋体"/>
                <w:szCs w:val="21"/>
              </w:rPr>
            </w:pPr>
            <w:r>
              <w:rPr>
                <w:rFonts w:hint="eastAsia" w:ascii="宋体" w:hAnsi="宋体" w:eastAsia="宋体"/>
                <w:szCs w:val="21"/>
              </w:rPr>
              <w:t>应急保障方案完整，</w:t>
            </w:r>
            <w:r>
              <w:rPr>
                <w:rFonts w:hint="eastAsia" w:ascii="宋体" w:hAnsi="宋体"/>
                <w:szCs w:val="21"/>
                <w:lang w:val="en-US" w:eastAsia="zh-CN"/>
              </w:rPr>
              <w:t>对突发情况有完善应急措施</w:t>
            </w:r>
            <w:r>
              <w:rPr>
                <w:rFonts w:hint="eastAsia" w:ascii="宋体" w:hAnsi="宋体" w:eastAsia="宋体"/>
                <w:szCs w:val="21"/>
              </w:rPr>
              <w:t>得3分；</w:t>
            </w:r>
          </w:p>
          <w:p w14:paraId="364F9175">
            <w:pPr>
              <w:widowControl/>
              <w:rPr>
                <w:rFonts w:ascii="Times New Roman" w:hAnsi="Times New Roman" w:eastAsia="宋体"/>
              </w:rPr>
            </w:pPr>
            <w:r>
              <w:rPr>
                <w:rFonts w:hint="eastAsia" w:ascii="宋体" w:hAnsi="宋体" w:eastAsia="宋体"/>
                <w:szCs w:val="21"/>
              </w:rPr>
              <w:t>应急保障方案</w:t>
            </w:r>
            <w:r>
              <w:rPr>
                <w:rFonts w:hint="eastAsia" w:ascii="宋体" w:hAnsi="宋体" w:eastAsia="宋体" w:cs="宋体"/>
                <w:kern w:val="0"/>
                <w:szCs w:val="21"/>
              </w:rPr>
              <w:t>基本完整的，</w:t>
            </w:r>
            <w:r>
              <w:rPr>
                <w:rFonts w:hint="eastAsia" w:ascii="宋体" w:hAnsi="宋体" w:cs="宋体"/>
                <w:kern w:val="0"/>
                <w:szCs w:val="21"/>
                <w:lang w:val="en-US" w:eastAsia="zh-CN"/>
              </w:rPr>
              <w:t>对突发情况有一定预案</w:t>
            </w:r>
            <w:r>
              <w:rPr>
                <w:rFonts w:hint="eastAsia" w:ascii="宋体" w:hAnsi="宋体" w:eastAsia="宋体" w:cs="宋体"/>
                <w:kern w:val="0"/>
                <w:szCs w:val="21"/>
              </w:rPr>
              <w:t>得1分；</w:t>
            </w:r>
          </w:p>
          <w:p w14:paraId="258C090D">
            <w:pPr>
              <w:rPr>
                <w:rFonts w:hint="eastAsia" w:ascii="宋体" w:hAnsi="宋体" w:eastAsia="宋体"/>
                <w:szCs w:val="21"/>
              </w:rPr>
            </w:pPr>
            <w:r>
              <w:rPr>
                <w:rFonts w:hint="eastAsia" w:ascii="宋体" w:hAnsi="宋体"/>
                <w:szCs w:val="21"/>
                <w:lang w:val="en-US" w:eastAsia="zh-CN"/>
              </w:rPr>
              <w:t>未提供不得分</w:t>
            </w:r>
            <w:r>
              <w:rPr>
                <w:rFonts w:hint="eastAsia" w:ascii="宋体" w:hAnsi="宋体" w:eastAsia="宋体"/>
                <w:szCs w:val="21"/>
              </w:rPr>
              <w:t>。</w:t>
            </w:r>
          </w:p>
        </w:tc>
        <w:tc>
          <w:tcPr>
            <w:tcW w:w="876" w:type="dxa"/>
            <w:noWrap/>
            <w:vAlign w:val="center"/>
          </w:tcPr>
          <w:p w14:paraId="0843FF82">
            <w:pPr>
              <w:ind w:firstLine="210" w:firstLineChars="100"/>
              <w:rPr>
                <w:rFonts w:ascii="宋体" w:hAnsi="Times New Roman" w:eastAsia="宋体" w:cs="Times New Roman"/>
                <w:szCs w:val="21"/>
              </w:rPr>
            </w:pPr>
          </w:p>
        </w:tc>
      </w:tr>
      <w:tr w14:paraId="6059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1104" w:type="dxa"/>
            <w:vMerge w:val="continue"/>
            <w:noWrap/>
            <w:vAlign w:val="center"/>
          </w:tcPr>
          <w:p w14:paraId="2E63F74A">
            <w:pPr>
              <w:spacing w:line="288" w:lineRule="auto"/>
              <w:jc w:val="center"/>
              <w:rPr>
                <w:rFonts w:ascii="宋体" w:hAnsi="Times New Roman" w:eastAsia="宋体" w:cs="Times New Roman"/>
                <w:szCs w:val="21"/>
              </w:rPr>
            </w:pPr>
          </w:p>
        </w:tc>
        <w:tc>
          <w:tcPr>
            <w:tcW w:w="1134" w:type="dxa"/>
            <w:vMerge w:val="restart"/>
            <w:noWrap/>
            <w:vAlign w:val="center"/>
          </w:tcPr>
          <w:p w14:paraId="4C12928C">
            <w:pPr>
              <w:jc w:val="center"/>
              <w:rPr>
                <w:rFonts w:ascii="宋体" w:hAnsi="Times New Roman" w:eastAsia="宋体" w:cs="Times New Roman"/>
                <w:szCs w:val="21"/>
              </w:rPr>
            </w:pPr>
            <w:r>
              <w:rPr>
                <w:rFonts w:hint="eastAsia" w:ascii="Times New Roman" w:hAnsi="Calibri" w:eastAsia="宋体"/>
                <w:kern w:val="0"/>
              </w:rPr>
              <w:t>售后服务方案情况（</w:t>
            </w:r>
            <w:r>
              <w:rPr>
                <w:rFonts w:hint="eastAsia" w:ascii="Times New Roman"/>
                <w:kern w:val="0"/>
                <w:lang w:val="en-US" w:eastAsia="zh-CN"/>
              </w:rPr>
              <w:t>5</w:t>
            </w:r>
            <w:r>
              <w:rPr>
                <w:rFonts w:hint="eastAsia" w:ascii="Times New Roman" w:hAnsi="Calibri" w:eastAsia="宋体"/>
                <w:kern w:val="0"/>
              </w:rPr>
              <w:t>分）</w:t>
            </w:r>
          </w:p>
        </w:tc>
        <w:tc>
          <w:tcPr>
            <w:tcW w:w="7110" w:type="dxa"/>
            <w:shd w:val="clear" w:color="auto" w:fill="FFFFFF"/>
            <w:noWrap/>
            <w:vAlign w:val="center"/>
          </w:tcPr>
          <w:p w14:paraId="7F8CD554">
            <w:pPr>
              <w:adjustRightInd w:val="0"/>
              <w:snapToGrid w:val="0"/>
              <w:rPr>
                <w:rFonts w:ascii="Times New Roman" w:hAnsi="Times New Roman" w:eastAsia="宋体"/>
                <w:szCs w:val="21"/>
              </w:rPr>
            </w:pPr>
            <w:r>
              <w:rPr>
                <w:rFonts w:hint="eastAsia" w:ascii="宋体" w:hAnsi="宋体"/>
                <w:szCs w:val="21"/>
                <w:lang w:val="en-US" w:eastAsia="zh-CN"/>
              </w:rPr>
              <w:t>根据</w:t>
            </w:r>
            <w:r>
              <w:rPr>
                <w:rFonts w:hint="eastAsia" w:ascii="Times New Roman" w:hAnsi="Times New Roman" w:eastAsia="宋体"/>
                <w:szCs w:val="21"/>
              </w:rPr>
              <w:t>投标人提供服务响应时间、售后维护机构和人员等情况，售后服务承诺的可行性、完整性以及服务承诺落实的保障措施等情况；对该项目提供全程的维修服务和保障</w:t>
            </w:r>
            <w:r>
              <w:rPr>
                <w:rFonts w:hint="eastAsia" w:ascii="Times New Roman" w:hAnsi="Times New Roman"/>
                <w:szCs w:val="21"/>
                <w:lang w:val="en-US" w:eastAsia="zh-CN"/>
              </w:rPr>
              <w:t>等进行综合打分</w:t>
            </w:r>
            <w:r>
              <w:rPr>
                <w:rFonts w:hint="eastAsia" w:ascii="Times New Roman" w:hAnsi="Times New Roman" w:eastAsia="宋体"/>
                <w:szCs w:val="21"/>
              </w:rPr>
              <w:t>。</w:t>
            </w:r>
          </w:p>
          <w:p w14:paraId="58E0FADD">
            <w:pPr>
              <w:adjustRightInd w:val="0"/>
              <w:snapToGrid w:val="0"/>
              <w:rPr>
                <w:rFonts w:ascii="Times New Roman" w:hAnsi="Times New Roman" w:eastAsia="宋体"/>
                <w:szCs w:val="21"/>
              </w:rPr>
            </w:pPr>
            <w:r>
              <w:rPr>
                <w:rFonts w:hint="eastAsia" w:ascii="Times New Roman" w:hAnsi="Times New Roman"/>
                <w:szCs w:val="21"/>
                <w:lang w:val="en-US" w:eastAsia="zh-CN"/>
              </w:rPr>
              <w:t>投标人提供的</w:t>
            </w:r>
            <w:r>
              <w:rPr>
                <w:rFonts w:hint="eastAsia" w:ascii="Times New Roman" w:hAnsi="Times New Roman" w:eastAsia="宋体"/>
                <w:szCs w:val="21"/>
              </w:rPr>
              <w:t>售后服务承诺可行，完整，保障措施全面的，得2分；</w:t>
            </w:r>
          </w:p>
          <w:p w14:paraId="4A04DA29">
            <w:pPr>
              <w:adjustRightInd w:val="0"/>
              <w:snapToGrid w:val="0"/>
              <w:rPr>
                <w:rFonts w:ascii="Times New Roman" w:hAnsi="Times New Roman" w:eastAsia="宋体"/>
                <w:szCs w:val="21"/>
              </w:rPr>
            </w:pPr>
            <w:r>
              <w:rPr>
                <w:rFonts w:hint="eastAsia" w:ascii="Times New Roman" w:hAnsi="Times New Roman"/>
                <w:szCs w:val="21"/>
                <w:lang w:val="en-US" w:eastAsia="zh-CN"/>
              </w:rPr>
              <w:t>投标人提供的</w:t>
            </w:r>
            <w:r>
              <w:rPr>
                <w:rFonts w:hint="eastAsia" w:ascii="Times New Roman" w:hAnsi="Times New Roman" w:eastAsia="宋体"/>
                <w:szCs w:val="21"/>
              </w:rPr>
              <w:t>售后服务承诺较可行，完整，保障措施较全面的，得1分；</w:t>
            </w:r>
          </w:p>
          <w:p w14:paraId="3732239F">
            <w:pPr>
              <w:adjustRightInd w:val="0"/>
              <w:snapToGrid w:val="0"/>
              <w:rPr>
                <w:rFonts w:ascii="Times New Roman" w:hAnsi="Times New Roman" w:eastAsia="宋体" w:cs="Times New Roman"/>
                <w:szCs w:val="21"/>
              </w:rPr>
            </w:pPr>
            <w:r>
              <w:rPr>
                <w:rFonts w:hint="eastAsia" w:ascii="Times New Roman" w:hAnsi="Times New Roman" w:eastAsia="宋体"/>
                <w:szCs w:val="21"/>
              </w:rPr>
              <w:t>不满足招标文件要求或未提及的不得分。</w:t>
            </w:r>
          </w:p>
        </w:tc>
        <w:tc>
          <w:tcPr>
            <w:tcW w:w="876" w:type="dxa"/>
            <w:noWrap/>
            <w:vAlign w:val="center"/>
          </w:tcPr>
          <w:p w14:paraId="198D649A">
            <w:pPr>
              <w:ind w:firstLine="210" w:firstLineChars="100"/>
              <w:rPr>
                <w:rFonts w:ascii="宋体" w:hAnsi="Times New Roman" w:eastAsia="宋体" w:cs="Times New Roman"/>
                <w:szCs w:val="21"/>
              </w:rPr>
            </w:pPr>
          </w:p>
        </w:tc>
      </w:tr>
      <w:tr w14:paraId="2343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1104" w:type="dxa"/>
            <w:vMerge w:val="continue"/>
            <w:noWrap/>
            <w:vAlign w:val="center"/>
          </w:tcPr>
          <w:p w14:paraId="5A043BC9">
            <w:pPr>
              <w:spacing w:line="288" w:lineRule="auto"/>
              <w:jc w:val="center"/>
              <w:rPr>
                <w:rFonts w:ascii="宋体" w:hAnsi="Times New Roman" w:eastAsia="宋体" w:cs="Times New Roman"/>
                <w:szCs w:val="21"/>
              </w:rPr>
            </w:pPr>
          </w:p>
        </w:tc>
        <w:tc>
          <w:tcPr>
            <w:tcW w:w="1134" w:type="dxa"/>
            <w:vMerge w:val="continue"/>
            <w:noWrap/>
            <w:vAlign w:val="center"/>
          </w:tcPr>
          <w:p w14:paraId="6F76829B">
            <w:pPr>
              <w:jc w:val="center"/>
              <w:rPr>
                <w:rFonts w:hint="eastAsia" w:ascii="宋体" w:hAnsi="宋体" w:eastAsia="宋体" w:cs="宋体"/>
                <w:szCs w:val="21"/>
              </w:rPr>
            </w:pPr>
          </w:p>
        </w:tc>
        <w:tc>
          <w:tcPr>
            <w:tcW w:w="7110" w:type="dxa"/>
            <w:shd w:val="clear" w:color="auto" w:fill="FFFFFF"/>
            <w:noWrap/>
            <w:vAlign w:val="center"/>
          </w:tcPr>
          <w:p w14:paraId="307D666D">
            <w:pPr>
              <w:adjustRightInd w:val="0"/>
              <w:snapToGrid w:val="0"/>
              <w:rPr>
                <w:rFonts w:ascii="Times New Roman" w:hAnsi="Times New Roman" w:eastAsia="宋体"/>
                <w:szCs w:val="21"/>
              </w:rPr>
            </w:pPr>
            <w:r>
              <w:rPr>
                <w:rFonts w:hint="eastAsia" w:ascii="宋体" w:hAnsi="宋体"/>
                <w:szCs w:val="21"/>
                <w:lang w:val="en-US" w:eastAsia="zh-CN"/>
              </w:rPr>
              <w:t>根据</w:t>
            </w:r>
            <w:r>
              <w:rPr>
                <w:rFonts w:hint="eastAsia" w:ascii="Times New Roman" w:hAnsi="Times New Roman" w:eastAsia="宋体"/>
                <w:szCs w:val="21"/>
              </w:rPr>
              <w:t>投标人维护机构情况，具有较强的服务能力，并能提供快速的维护服务响应：</w:t>
            </w:r>
          </w:p>
          <w:p w14:paraId="55CF2FA6">
            <w:pPr>
              <w:adjustRightInd w:val="0"/>
              <w:snapToGrid w:val="0"/>
              <w:rPr>
                <w:rFonts w:ascii="Times New Roman" w:hAnsi="Times New Roman" w:eastAsia="宋体"/>
                <w:szCs w:val="21"/>
              </w:rPr>
            </w:pPr>
            <w:r>
              <w:rPr>
                <w:rFonts w:hint="eastAsia" w:ascii="Times New Roman" w:hAnsi="Times New Roman" w:eastAsia="宋体"/>
                <w:szCs w:val="21"/>
              </w:rPr>
              <w:t>能够1个小时（含）内到达现场进行维修的，得</w:t>
            </w:r>
            <w:r>
              <w:rPr>
                <w:rFonts w:hint="eastAsia" w:ascii="Times New Roman" w:hAnsi="Times New Roman"/>
                <w:szCs w:val="21"/>
                <w:lang w:val="en-US" w:eastAsia="zh-CN"/>
              </w:rPr>
              <w:t>3</w:t>
            </w:r>
            <w:r>
              <w:rPr>
                <w:rFonts w:ascii="Times New Roman" w:hAnsi="Times New Roman" w:eastAsia="宋体"/>
                <w:szCs w:val="21"/>
              </w:rPr>
              <w:t>分；</w:t>
            </w:r>
          </w:p>
          <w:p w14:paraId="0863DB29">
            <w:pPr>
              <w:adjustRightInd w:val="0"/>
              <w:snapToGrid w:val="0"/>
              <w:rPr>
                <w:rFonts w:ascii="Times New Roman" w:hAnsi="Times New Roman" w:eastAsia="宋体"/>
                <w:szCs w:val="21"/>
              </w:rPr>
            </w:pPr>
            <w:r>
              <w:rPr>
                <w:rFonts w:hint="eastAsia" w:ascii="Times New Roman" w:hAnsi="Times New Roman" w:eastAsia="宋体"/>
                <w:szCs w:val="21"/>
              </w:rPr>
              <w:t>能够2</w:t>
            </w:r>
            <w:r>
              <w:rPr>
                <w:rFonts w:ascii="Times New Roman" w:hAnsi="Times New Roman" w:eastAsia="宋体"/>
                <w:szCs w:val="21"/>
              </w:rPr>
              <w:t>个小时（含）内到达现场进行维修的，得</w:t>
            </w:r>
            <w:r>
              <w:rPr>
                <w:rFonts w:hint="eastAsia" w:ascii="Times New Roman" w:hAnsi="Times New Roman"/>
                <w:szCs w:val="21"/>
                <w:lang w:val="en-US" w:eastAsia="zh-CN"/>
              </w:rPr>
              <w:t>2</w:t>
            </w:r>
            <w:r>
              <w:rPr>
                <w:rFonts w:ascii="Times New Roman" w:hAnsi="Times New Roman" w:eastAsia="宋体"/>
                <w:szCs w:val="21"/>
              </w:rPr>
              <w:t>分；</w:t>
            </w:r>
          </w:p>
          <w:p w14:paraId="79DB5DED">
            <w:pPr>
              <w:adjustRightInd w:val="0"/>
              <w:snapToGrid w:val="0"/>
              <w:rPr>
                <w:rFonts w:ascii="Times New Roman" w:hAnsi="Times New Roman" w:eastAsia="宋体"/>
                <w:szCs w:val="21"/>
              </w:rPr>
            </w:pPr>
            <w:r>
              <w:rPr>
                <w:rFonts w:hint="eastAsia" w:ascii="Times New Roman" w:hAnsi="Times New Roman" w:eastAsia="宋体"/>
                <w:szCs w:val="21"/>
              </w:rPr>
              <w:t>能够3</w:t>
            </w:r>
            <w:r>
              <w:rPr>
                <w:rFonts w:ascii="Times New Roman" w:hAnsi="Times New Roman" w:eastAsia="宋体"/>
                <w:szCs w:val="21"/>
              </w:rPr>
              <w:t>个小时（含）内到达现场进行维修的，得</w:t>
            </w:r>
            <w:r>
              <w:rPr>
                <w:rFonts w:hint="eastAsia" w:ascii="Times New Roman" w:hAnsi="Times New Roman" w:eastAsia="宋体"/>
                <w:szCs w:val="21"/>
              </w:rPr>
              <w:t>1</w:t>
            </w:r>
            <w:r>
              <w:rPr>
                <w:rFonts w:ascii="Times New Roman" w:hAnsi="Times New Roman" w:eastAsia="宋体"/>
                <w:szCs w:val="21"/>
              </w:rPr>
              <w:t>分；</w:t>
            </w:r>
          </w:p>
          <w:p w14:paraId="6FAF497A">
            <w:pPr>
              <w:adjustRightInd w:val="0"/>
              <w:snapToGrid w:val="0"/>
              <w:rPr>
                <w:rFonts w:ascii="Times New Roman" w:hAnsi="Times New Roman" w:eastAsia="宋体"/>
                <w:szCs w:val="21"/>
              </w:rPr>
            </w:pPr>
            <w:r>
              <w:rPr>
                <w:rFonts w:hint="eastAsia" w:ascii="Times New Roman" w:hAnsi="Times New Roman" w:eastAsia="宋体"/>
                <w:szCs w:val="21"/>
              </w:rPr>
              <w:t>其它不得分。</w:t>
            </w:r>
          </w:p>
          <w:p w14:paraId="32A2BB3E">
            <w:pPr>
              <w:rPr>
                <w:rFonts w:ascii="Times New Roman" w:hAnsi="Times New Roman" w:eastAsia="宋体" w:cs="Times New Roman"/>
                <w:szCs w:val="21"/>
              </w:rPr>
            </w:pPr>
            <w:r>
              <w:rPr>
                <w:rFonts w:hint="eastAsia" w:ascii="Times New Roman" w:hAnsi="Times New Roman" w:eastAsia="宋体"/>
                <w:szCs w:val="21"/>
              </w:rPr>
              <w:t>（需承诺或提供相关证明文件，未承诺或不提供不得分；已承诺，中标公告期限届满之日内（</w:t>
            </w:r>
            <w:r>
              <w:rPr>
                <w:rFonts w:ascii="Times New Roman" w:hAnsi="Times New Roman" w:eastAsia="宋体"/>
                <w:szCs w:val="21"/>
              </w:rPr>
              <w:t>7个工作日内）</w:t>
            </w:r>
            <w:r>
              <w:rPr>
                <w:rFonts w:hint="eastAsia" w:ascii="Times New Roman" w:hAnsi="Times New Roman" w:eastAsia="宋体"/>
                <w:szCs w:val="21"/>
              </w:rPr>
              <w:t>提供证明文件，无法提供，视为放弃中标（成交）资格，并承担相关责任）</w:t>
            </w:r>
          </w:p>
        </w:tc>
        <w:tc>
          <w:tcPr>
            <w:tcW w:w="876" w:type="dxa"/>
            <w:noWrap/>
            <w:vAlign w:val="center"/>
          </w:tcPr>
          <w:p w14:paraId="27F5FEFC">
            <w:pPr>
              <w:ind w:firstLine="210" w:firstLineChars="100"/>
              <w:rPr>
                <w:rFonts w:ascii="宋体" w:hAnsi="Times New Roman" w:eastAsia="宋体" w:cs="Times New Roman"/>
                <w:szCs w:val="21"/>
              </w:rPr>
            </w:pPr>
            <w:r>
              <w:rPr>
                <w:rFonts w:hint="eastAsia" w:ascii="宋体" w:hAnsi="Times New Roman" w:eastAsia="宋体" w:cs="Times New Roman"/>
                <w:szCs w:val="21"/>
                <w:lang w:val="en-US" w:eastAsia="zh-CN"/>
              </w:rPr>
              <w:t xml:space="preserve"> </w:t>
            </w:r>
          </w:p>
        </w:tc>
      </w:tr>
      <w:tr w14:paraId="3141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04" w:type="dxa"/>
            <w:vMerge w:val="continue"/>
            <w:noWrap/>
            <w:vAlign w:val="center"/>
          </w:tcPr>
          <w:p w14:paraId="7AE7E7A1">
            <w:pPr>
              <w:spacing w:line="288" w:lineRule="auto"/>
              <w:jc w:val="center"/>
              <w:rPr>
                <w:rFonts w:ascii="宋体" w:hAnsi="Times New Roman" w:eastAsia="宋体" w:cs="Times New Roman"/>
                <w:szCs w:val="21"/>
              </w:rPr>
            </w:pPr>
          </w:p>
        </w:tc>
        <w:tc>
          <w:tcPr>
            <w:tcW w:w="1134" w:type="dxa"/>
            <w:noWrap/>
            <w:vAlign w:val="center"/>
          </w:tcPr>
          <w:p w14:paraId="2DAE0D44">
            <w:pPr>
              <w:jc w:val="center"/>
              <w:rPr>
                <w:rFonts w:ascii="宋体" w:hAnsi="Times New Roman" w:eastAsia="宋体" w:cs="Times New Roman"/>
                <w:szCs w:val="21"/>
              </w:rPr>
            </w:pPr>
            <w:r>
              <w:rPr>
                <w:rFonts w:hint="eastAsia" w:ascii="Times New Roman" w:hAnsi="Times New Roman" w:eastAsia="宋体"/>
              </w:rPr>
              <w:t>培训、测试、（2分）</w:t>
            </w:r>
          </w:p>
        </w:tc>
        <w:tc>
          <w:tcPr>
            <w:tcW w:w="7110" w:type="dxa"/>
            <w:noWrap/>
            <w:vAlign w:val="center"/>
          </w:tcPr>
          <w:p w14:paraId="093FB443">
            <w:pPr>
              <w:rPr>
                <w:rFonts w:hint="eastAsia" w:ascii="宋体" w:hAnsi="宋体" w:eastAsia="宋体"/>
                <w:szCs w:val="21"/>
              </w:rPr>
            </w:pPr>
            <w:r>
              <w:rPr>
                <w:rFonts w:hint="eastAsia" w:ascii="宋体" w:hAnsi="宋体"/>
                <w:szCs w:val="21"/>
                <w:lang w:val="en-US" w:eastAsia="zh-CN"/>
              </w:rPr>
              <w:t>根据</w:t>
            </w:r>
            <w:r>
              <w:rPr>
                <w:rFonts w:hint="eastAsia" w:ascii="宋体" w:hAnsi="宋体" w:eastAsia="宋体"/>
                <w:szCs w:val="21"/>
              </w:rPr>
              <w:t>投标人提出的功能测试、培训计划完整合理</w:t>
            </w:r>
            <w:r>
              <w:rPr>
                <w:rFonts w:hint="eastAsia" w:ascii="宋体" w:hAnsi="宋体"/>
                <w:szCs w:val="21"/>
                <w:lang w:val="en-US" w:eastAsia="zh-CN"/>
              </w:rPr>
              <w:t>性</w:t>
            </w:r>
            <w:r>
              <w:rPr>
                <w:rFonts w:hint="eastAsia" w:ascii="Times New Roman" w:hAnsi="Times New Roman"/>
                <w:szCs w:val="21"/>
                <w:lang w:val="en-US" w:eastAsia="zh-CN"/>
              </w:rPr>
              <w:t>进行综合打分</w:t>
            </w:r>
            <w:r>
              <w:rPr>
                <w:rFonts w:hint="eastAsia" w:ascii="宋体" w:hAnsi="宋体" w:eastAsia="宋体"/>
                <w:szCs w:val="21"/>
              </w:rPr>
              <w:t>；</w:t>
            </w:r>
          </w:p>
          <w:p w14:paraId="05471B8E">
            <w:pPr>
              <w:rPr>
                <w:rFonts w:hint="eastAsia" w:ascii="宋体" w:hAnsi="宋体" w:eastAsia="宋体"/>
                <w:szCs w:val="21"/>
                <w:lang w:val="en-US" w:eastAsia="zh-CN"/>
              </w:rPr>
            </w:pPr>
            <w:r>
              <w:rPr>
                <w:rFonts w:hint="eastAsia" w:ascii="Times New Roman" w:hAnsi="Times New Roman" w:cs="Times New Roman"/>
                <w:szCs w:val="21"/>
                <w:lang w:val="en-US" w:eastAsia="zh-CN"/>
              </w:rPr>
              <w:t>投</w:t>
            </w:r>
            <w:r>
              <w:rPr>
                <w:rFonts w:hint="eastAsia" w:ascii="宋体" w:hAnsi="宋体" w:eastAsia="宋体"/>
                <w:szCs w:val="21"/>
                <w:lang w:val="en-US" w:eastAsia="zh-CN"/>
              </w:rPr>
              <w:t>标人提供的功能测试及培训计划完整符合实际的得2分；</w:t>
            </w:r>
          </w:p>
          <w:p w14:paraId="7FC450A3">
            <w:pPr>
              <w:rPr>
                <w:rFonts w:hint="eastAsia" w:ascii="宋体" w:hAnsi="宋体" w:eastAsia="宋体"/>
                <w:szCs w:val="21"/>
                <w:lang w:val="en-US" w:eastAsia="zh-CN"/>
              </w:rPr>
            </w:pPr>
            <w:r>
              <w:rPr>
                <w:rFonts w:hint="eastAsia" w:ascii="宋体" w:hAnsi="宋体" w:eastAsia="宋体"/>
                <w:szCs w:val="21"/>
                <w:lang w:val="en-US" w:eastAsia="zh-CN"/>
              </w:rPr>
              <w:t>投标人提供的功能测试及培训计划较可行得1分；</w:t>
            </w:r>
          </w:p>
          <w:p w14:paraId="2E5574EC">
            <w:pPr>
              <w:rPr>
                <w:rFonts w:hint="default"/>
                <w:lang w:val="en-US" w:eastAsia="zh-CN"/>
              </w:rPr>
            </w:pPr>
            <w:r>
              <w:rPr>
                <w:rFonts w:hint="eastAsia" w:ascii="宋体" w:hAnsi="宋体" w:eastAsia="宋体"/>
                <w:szCs w:val="21"/>
                <w:lang w:val="en-US" w:eastAsia="zh-CN"/>
              </w:rPr>
              <w:t>未提供不得分。</w:t>
            </w:r>
          </w:p>
        </w:tc>
        <w:tc>
          <w:tcPr>
            <w:tcW w:w="876" w:type="dxa"/>
            <w:noWrap/>
            <w:vAlign w:val="center"/>
          </w:tcPr>
          <w:p w14:paraId="4BC720C6">
            <w:pPr>
              <w:ind w:firstLine="210" w:firstLineChars="100"/>
              <w:rPr>
                <w:rFonts w:ascii="宋体" w:hAnsi="Times New Roman" w:eastAsia="宋体" w:cs="Times New Roman"/>
                <w:szCs w:val="21"/>
              </w:rPr>
            </w:pPr>
          </w:p>
        </w:tc>
      </w:tr>
      <w:tr w14:paraId="3414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104" w:type="dxa"/>
            <w:noWrap/>
            <w:vAlign w:val="center"/>
          </w:tcPr>
          <w:p w14:paraId="2BE84184">
            <w:pPr>
              <w:widowControl/>
              <w:spacing w:line="288" w:lineRule="auto"/>
              <w:ind w:right="-341"/>
              <w:rPr>
                <w:rFonts w:ascii="宋体" w:hAnsi="Times New Roman" w:eastAsia="宋体" w:cs="Times New Roman"/>
                <w:szCs w:val="21"/>
              </w:rPr>
            </w:pPr>
            <w:r>
              <w:rPr>
                <w:rFonts w:hint="eastAsia" w:ascii="宋体" w:hAnsi="宋体" w:eastAsia="宋体" w:cs="宋体"/>
                <w:szCs w:val="21"/>
              </w:rPr>
              <w:t>价格得分</w:t>
            </w:r>
          </w:p>
          <w:p w14:paraId="082627DE">
            <w:pPr>
              <w:widowControl/>
              <w:spacing w:line="288" w:lineRule="auto"/>
              <w:ind w:right="-341"/>
              <w:rPr>
                <w:rFonts w:ascii="宋体" w:hAnsi="Times New Roman" w:eastAsia="宋体" w:cs="Times New Roman"/>
                <w:szCs w:val="21"/>
              </w:rPr>
            </w:pPr>
            <w:r>
              <w:rPr>
                <w:rFonts w:hint="eastAsia" w:ascii="宋体" w:hAnsi="宋体" w:eastAsia="宋体" w:cs="宋体"/>
                <w:szCs w:val="21"/>
              </w:rPr>
              <w:t>（</w:t>
            </w:r>
            <w:r>
              <w:rPr>
                <w:rFonts w:ascii="宋体" w:hAnsi="宋体" w:eastAsia="宋体" w:cs="宋体"/>
                <w:szCs w:val="21"/>
              </w:rPr>
              <w:t>30</w:t>
            </w:r>
            <w:r>
              <w:rPr>
                <w:rFonts w:hint="eastAsia" w:ascii="宋体" w:hAnsi="宋体" w:eastAsia="宋体" w:cs="宋体"/>
                <w:szCs w:val="21"/>
              </w:rPr>
              <w:t>分）</w:t>
            </w:r>
          </w:p>
        </w:tc>
        <w:tc>
          <w:tcPr>
            <w:tcW w:w="8244" w:type="dxa"/>
            <w:gridSpan w:val="2"/>
            <w:noWrap/>
            <w:vAlign w:val="center"/>
          </w:tcPr>
          <w:p w14:paraId="3AD42AFE">
            <w:pPr>
              <w:spacing w:line="288" w:lineRule="auto"/>
              <w:ind w:right="-341"/>
              <w:rPr>
                <w:rFonts w:ascii="宋体" w:hAnsi="Times New Roman" w:eastAsia="宋体" w:cs="Times New Roman"/>
                <w:szCs w:val="21"/>
              </w:rPr>
            </w:pPr>
            <w:r>
              <w:rPr>
                <w:rFonts w:hint="eastAsia" w:ascii="宋体" w:hAnsi="宋体" w:eastAsia="宋体" w:cs="宋体"/>
                <w:szCs w:val="21"/>
              </w:rPr>
              <w:t>满足招标文件要求且价格最低的投标价为基准价，其价格分为满分。其他投标人的价格分统一按照下列公式计算：价格分</w:t>
            </w:r>
            <w:r>
              <w:rPr>
                <w:rFonts w:ascii="宋体" w:hAnsi="宋体" w:eastAsia="宋体" w:cs="宋体"/>
                <w:szCs w:val="21"/>
              </w:rPr>
              <w:t>=(</w:t>
            </w:r>
            <w:r>
              <w:rPr>
                <w:rFonts w:hint="eastAsia" w:ascii="宋体" w:hAnsi="宋体" w:eastAsia="宋体" w:cs="宋体"/>
                <w:szCs w:val="21"/>
              </w:rPr>
              <w:t>基准价／投标报价</w:t>
            </w:r>
            <w:r>
              <w:rPr>
                <w:rFonts w:ascii="宋体" w:hAnsi="宋体" w:eastAsia="宋体" w:cs="宋体"/>
                <w:szCs w:val="21"/>
              </w:rPr>
              <w:t>)</w:t>
            </w:r>
            <w:r>
              <w:rPr>
                <w:rFonts w:hint="eastAsia" w:ascii="宋体" w:hAnsi="宋体" w:eastAsia="宋体" w:cs="宋体"/>
                <w:szCs w:val="21"/>
              </w:rPr>
              <w:t>×价格权值×</w:t>
            </w:r>
            <w:r>
              <w:rPr>
                <w:rFonts w:ascii="宋体" w:hAnsi="宋体" w:eastAsia="宋体" w:cs="宋体"/>
                <w:szCs w:val="21"/>
              </w:rPr>
              <w:t>100</w:t>
            </w:r>
            <w:r>
              <w:rPr>
                <w:rFonts w:hint="eastAsia" w:ascii="宋体" w:hAnsi="宋体" w:eastAsia="宋体" w:cs="宋体"/>
                <w:szCs w:val="21"/>
              </w:rPr>
              <w:t>。</w:t>
            </w:r>
          </w:p>
        </w:tc>
        <w:tc>
          <w:tcPr>
            <w:tcW w:w="876" w:type="dxa"/>
            <w:noWrap/>
          </w:tcPr>
          <w:p w14:paraId="788226B7">
            <w:pPr>
              <w:ind w:firstLine="210" w:firstLineChars="100"/>
              <w:rPr>
                <w:rFonts w:ascii="宋体" w:hAnsi="Times New Roman" w:eastAsia="宋体" w:cs="Times New Roman"/>
                <w:szCs w:val="21"/>
              </w:rPr>
            </w:pPr>
          </w:p>
        </w:tc>
      </w:tr>
    </w:tbl>
    <w:p w14:paraId="056FD0AB">
      <w:pPr>
        <w:tabs>
          <w:tab w:val="left" w:pos="1440"/>
        </w:tabs>
        <w:spacing w:line="360" w:lineRule="auto"/>
        <w:ind w:firstLine="602"/>
        <w:rPr>
          <w:rFonts w:ascii="Times New Roman" w:hAnsi="Times New Roman" w:eastAsia="黑体" w:cs="Times New Roman"/>
          <w:sz w:val="30"/>
        </w:rPr>
      </w:pPr>
    </w:p>
    <w:p w14:paraId="3C71D516">
      <w:pPr>
        <w:pStyle w:val="12"/>
        <w:numPr>
          <w:ilvl w:val="0"/>
          <w:numId w:val="0"/>
        </w:numPr>
        <w:snapToGrid w:val="0"/>
        <w:spacing w:line="360" w:lineRule="auto"/>
        <w:rPr>
          <w:rFonts w:hAnsi="宋体" w:eastAsia="宋体" w:cs="宋体"/>
          <w:b/>
          <w:sz w:val="22"/>
          <w:szCs w:val="22"/>
        </w:rPr>
      </w:pPr>
    </w:p>
    <w:p w14:paraId="2CBFC077">
      <w:pPr>
        <w:pStyle w:val="8"/>
        <w:rPr>
          <w:rFonts w:ascii="宋体" w:hAnsi="宋体" w:cs="宋体"/>
          <w:szCs w:val="21"/>
        </w:rPr>
      </w:pPr>
    </w:p>
    <w:p w14:paraId="51EA01D2">
      <w:pPr>
        <w:tabs>
          <w:tab w:val="left" w:pos="0"/>
        </w:tabs>
        <w:spacing w:line="360" w:lineRule="auto"/>
        <w:rPr>
          <w:rFonts w:ascii="宋体" w:hAnsi="宋体"/>
          <w:b/>
          <w:bCs/>
          <w:sz w:val="32"/>
          <w:szCs w:val="32"/>
        </w:rPr>
      </w:pPr>
    </w:p>
    <w:p w14:paraId="4F0F3F71">
      <w:pPr>
        <w:pStyle w:val="22"/>
        <w:numPr>
          <w:ilvl w:val="0"/>
          <w:numId w:val="0"/>
        </w:numPr>
      </w:pPr>
    </w:p>
    <w:p w14:paraId="4C78E6E9">
      <w:pPr>
        <w:rPr>
          <w:rFonts w:ascii="宋体" w:hAnsi="宋体"/>
          <w:b/>
          <w:bCs/>
          <w:sz w:val="32"/>
          <w:szCs w:val="32"/>
        </w:rPr>
      </w:pPr>
    </w:p>
    <w:p w14:paraId="42574C98">
      <w:pPr>
        <w:pStyle w:val="22"/>
        <w:numPr>
          <w:ilvl w:val="0"/>
          <w:numId w:val="0"/>
        </w:numPr>
      </w:pPr>
    </w:p>
    <w:p w14:paraId="48FFFDF6">
      <w:pPr>
        <w:pStyle w:val="22"/>
        <w:numPr>
          <w:ilvl w:val="0"/>
          <w:numId w:val="0"/>
        </w:numPr>
      </w:pPr>
    </w:p>
    <w:p w14:paraId="476FBE3E"/>
    <w:p w14:paraId="53017CE3">
      <w:pPr>
        <w:pStyle w:val="11"/>
        <w:numPr>
          <w:ilvl w:val="0"/>
          <w:numId w:val="0"/>
        </w:numPr>
      </w:pPr>
    </w:p>
    <w:p w14:paraId="7434F581"/>
    <w:p w14:paraId="10360A1F"/>
    <w:p w14:paraId="31CAA77E"/>
    <w:p w14:paraId="56693870"/>
    <w:p w14:paraId="3A6539D4"/>
    <w:p w14:paraId="0888923B">
      <w:pPr>
        <w:pStyle w:val="22"/>
        <w:numPr>
          <w:ilvl w:val="0"/>
          <w:numId w:val="0"/>
        </w:numPr>
      </w:pPr>
    </w:p>
    <w:p w14:paraId="4695A859"/>
    <w:p w14:paraId="5AD57C08"/>
    <w:p w14:paraId="2391D3B8">
      <w:pPr>
        <w:tabs>
          <w:tab w:val="left" w:pos="0"/>
        </w:tabs>
        <w:spacing w:line="360" w:lineRule="auto"/>
        <w:jc w:val="center"/>
        <w:rPr>
          <w:rFonts w:ascii="宋体" w:hAnsi="宋体"/>
          <w:b/>
          <w:bCs/>
          <w:sz w:val="32"/>
          <w:szCs w:val="32"/>
        </w:rPr>
      </w:pPr>
    </w:p>
    <w:p w14:paraId="78E5DD1D">
      <w:pPr>
        <w:tabs>
          <w:tab w:val="left" w:pos="0"/>
        </w:tabs>
        <w:spacing w:line="360" w:lineRule="auto"/>
        <w:jc w:val="center"/>
        <w:rPr>
          <w:rFonts w:ascii="宋体" w:hAnsi="宋体"/>
          <w:b/>
          <w:bCs/>
          <w:sz w:val="32"/>
          <w:szCs w:val="32"/>
        </w:rPr>
      </w:pPr>
    </w:p>
    <w:p w14:paraId="7382A0CC">
      <w:pPr>
        <w:tabs>
          <w:tab w:val="left" w:pos="0"/>
        </w:tabs>
        <w:spacing w:line="360" w:lineRule="auto"/>
        <w:jc w:val="center"/>
        <w:rPr>
          <w:rFonts w:ascii="宋体" w:hAnsi="宋体"/>
          <w:b/>
          <w:bCs/>
          <w:sz w:val="32"/>
          <w:szCs w:val="32"/>
        </w:rPr>
      </w:pPr>
    </w:p>
    <w:p w14:paraId="0EA363D2">
      <w:pPr>
        <w:tabs>
          <w:tab w:val="left" w:pos="0"/>
        </w:tabs>
        <w:spacing w:line="360" w:lineRule="auto"/>
        <w:ind w:firstLine="2891" w:firstLineChars="900"/>
        <w:jc w:val="both"/>
        <w:rPr>
          <w:rFonts w:ascii="宋体" w:hAnsi="宋体"/>
          <w:sz w:val="28"/>
          <w:szCs w:val="28"/>
        </w:rPr>
      </w:pPr>
      <w:r>
        <w:rPr>
          <w:rFonts w:ascii="宋体" w:hAnsi="宋体"/>
          <w:b/>
          <w:bCs/>
          <w:sz w:val="32"/>
          <w:szCs w:val="32"/>
        </w:rPr>
        <w:t>第五章</w:t>
      </w:r>
      <w:r>
        <w:rPr>
          <w:rFonts w:hint="eastAsia" w:ascii="宋体" w:hAnsi="宋体"/>
          <w:b/>
          <w:sz w:val="32"/>
          <w:szCs w:val="32"/>
        </w:rPr>
        <w:t>政府采购合同范本</w:t>
      </w:r>
    </w:p>
    <w:p w14:paraId="53F621C5">
      <w:pPr>
        <w:tabs>
          <w:tab w:val="left" w:pos="0"/>
        </w:tabs>
        <w:spacing w:line="360" w:lineRule="auto"/>
        <w:jc w:val="center"/>
        <w:rPr>
          <w:rFonts w:ascii="宋体" w:hAnsi="宋体"/>
          <w:szCs w:val="21"/>
        </w:rPr>
      </w:pPr>
      <w:r>
        <w:rPr>
          <w:rFonts w:hint="eastAsia" w:ascii="宋体" w:hAnsi="宋体"/>
          <w:szCs w:val="21"/>
        </w:rPr>
        <w:t>（具体文本以实际签署的为准）</w:t>
      </w:r>
    </w:p>
    <w:p w14:paraId="238879EA">
      <w:pPr>
        <w:spacing w:line="360" w:lineRule="auto"/>
        <w:rPr>
          <w:rFonts w:ascii="宋体" w:hAnsi="宋体" w:cs="宋体"/>
          <w:szCs w:val="21"/>
        </w:rPr>
      </w:pPr>
    </w:p>
    <w:p w14:paraId="510853D9">
      <w:pPr>
        <w:spacing w:line="360" w:lineRule="auto"/>
        <w:jc w:val="left"/>
        <w:rPr>
          <w:rFonts w:ascii="宋体" w:hAnsi="宋体" w:cs="宋体"/>
          <w:szCs w:val="21"/>
        </w:rPr>
      </w:pPr>
      <w:r>
        <w:rPr>
          <w:rFonts w:hint="eastAsia" w:ascii="宋体" w:hAnsi="宋体" w:cs="宋体"/>
          <w:szCs w:val="21"/>
        </w:rPr>
        <w:t>项目名称：                                  采购编号：</w:t>
      </w:r>
    </w:p>
    <w:p w14:paraId="37C42BB6">
      <w:pPr>
        <w:spacing w:line="360" w:lineRule="auto"/>
        <w:ind w:right="3"/>
        <w:rPr>
          <w:rFonts w:ascii="宋体" w:hAnsi="宋体"/>
          <w:spacing w:val="4"/>
          <w:szCs w:val="21"/>
        </w:rPr>
      </w:pPr>
      <w:r>
        <w:rPr>
          <w:rFonts w:hint="eastAsia" w:ascii="宋体" w:hAnsi="宋体"/>
          <w:spacing w:val="4"/>
          <w:szCs w:val="21"/>
        </w:rPr>
        <w:t>甲方（采购人）：</w:t>
      </w:r>
      <w:r>
        <w:rPr>
          <w:rFonts w:hint="eastAsia" w:ascii="Times New Roman" w:hAnsi="Times New Roman"/>
          <w:szCs w:val="21"/>
        </w:rPr>
        <w:t>岱山县公安局</w:t>
      </w:r>
    </w:p>
    <w:p w14:paraId="668C79E6">
      <w:pPr>
        <w:spacing w:line="360" w:lineRule="auto"/>
        <w:ind w:right="3"/>
        <w:rPr>
          <w:rFonts w:ascii="宋体" w:hAnsi="宋体"/>
          <w:spacing w:val="4"/>
          <w:szCs w:val="21"/>
        </w:rPr>
      </w:pPr>
      <w:r>
        <w:rPr>
          <w:rFonts w:hint="eastAsia" w:ascii="宋体" w:hAnsi="宋体"/>
          <w:spacing w:val="4"/>
          <w:szCs w:val="21"/>
        </w:rPr>
        <w:t>乙方（成交人）：</w:t>
      </w:r>
    </w:p>
    <w:p w14:paraId="53350364">
      <w:pPr>
        <w:spacing w:line="360" w:lineRule="auto"/>
        <w:ind w:firstLine="420" w:firstLineChars="200"/>
        <w:rPr>
          <w:rFonts w:ascii="宋体" w:hAnsi="宋体" w:cs="宋体"/>
          <w:szCs w:val="21"/>
        </w:rPr>
      </w:pPr>
      <w:r>
        <w:rPr>
          <w:rFonts w:hint="eastAsia" w:ascii="宋体" w:hAnsi="宋体" w:cs="宋体"/>
          <w:szCs w:val="21"/>
        </w:rPr>
        <w:t>根</w:t>
      </w:r>
      <w:r>
        <w:rPr>
          <w:rFonts w:hint="eastAsia" w:ascii="宋体" w:hAnsi="宋体" w:cs="宋体"/>
          <w:bCs/>
          <w:szCs w:val="21"/>
        </w:rPr>
        <w:t>据《中华人民共和国民法典》等法律法规和</w:t>
      </w:r>
      <w:r>
        <w:rPr>
          <w:rFonts w:hint="eastAsia" w:ascii="宋体" w:hAnsi="宋体" w:cs="宋体"/>
          <w:bCs/>
          <w:szCs w:val="21"/>
          <w:u w:val="single"/>
        </w:rPr>
        <w:t>（项目编号：）</w:t>
      </w:r>
      <w:r>
        <w:rPr>
          <w:rFonts w:hint="eastAsia" w:ascii="宋体" w:hAnsi="宋体" w:cs="宋体"/>
          <w:bCs/>
          <w:szCs w:val="21"/>
        </w:rPr>
        <w:t>的采购结果，</w:t>
      </w:r>
      <w:r>
        <w:rPr>
          <w:rFonts w:hint="eastAsia" w:ascii="宋体" w:hAnsi="宋体" w:cs="宋体"/>
          <w:szCs w:val="21"/>
        </w:rPr>
        <w:t>甲乙双方现就实施，经协商达成一致，签订本合同并共同遵守。</w:t>
      </w:r>
    </w:p>
    <w:p w14:paraId="26B202F7">
      <w:pPr>
        <w:tabs>
          <w:tab w:val="left" w:pos="795"/>
        </w:tabs>
        <w:snapToGrid w:val="0"/>
        <w:spacing w:line="360" w:lineRule="auto"/>
        <w:rPr>
          <w:rFonts w:ascii="宋体" w:hAnsi="宋体"/>
          <w:b/>
          <w:szCs w:val="21"/>
        </w:rPr>
      </w:pPr>
      <w:r>
        <w:rPr>
          <w:rFonts w:ascii="宋体" w:hAnsi="宋体"/>
          <w:spacing w:val="4"/>
          <w:szCs w:val="21"/>
        </w:rPr>
        <w:t>一、</w:t>
      </w:r>
      <w:r>
        <w:rPr>
          <w:rFonts w:hint="eastAsia" w:ascii="宋体" w:hAnsi="宋体"/>
          <w:b/>
          <w:szCs w:val="21"/>
        </w:rPr>
        <w:t>合同文件</w:t>
      </w:r>
    </w:p>
    <w:p w14:paraId="19AE8D49">
      <w:pPr>
        <w:spacing w:line="360" w:lineRule="auto"/>
        <w:ind w:firstLine="420" w:firstLineChars="200"/>
        <w:rPr>
          <w:rFonts w:ascii="宋体" w:hAnsi="宋体" w:cs="宋体"/>
          <w:szCs w:val="21"/>
        </w:rPr>
      </w:pPr>
      <w:r>
        <w:rPr>
          <w:rFonts w:hint="eastAsia" w:ascii="宋体" w:hAnsi="宋体" w:cs="宋体"/>
          <w:szCs w:val="21"/>
        </w:rPr>
        <w:t>下列文件构成本合同的组成部分，应该认为是一个整体，彼此相互解释，相互补充。组成合同的多个文件的优先支配地位的次序如下：</w:t>
      </w:r>
    </w:p>
    <w:p w14:paraId="277F7A0C">
      <w:pPr>
        <w:spacing w:line="360" w:lineRule="auto"/>
        <w:rPr>
          <w:rFonts w:ascii="宋体" w:hAnsi="宋体" w:cs="宋体"/>
          <w:szCs w:val="21"/>
        </w:rPr>
      </w:pPr>
      <w:r>
        <w:rPr>
          <w:rFonts w:hint="eastAsia" w:ascii="宋体" w:hAnsi="宋体" w:cs="宋体"/>
          <w:szCs w:val="21"/>
        </w:rPr>
        <w:t xml:space="preserve">    a.本合同书　</w:t>
      </w:r>
    </w:p>
    <w:p w14:paraId="12FD1BB9">
      <w:pPr>
        <w:spacing w:line="360" w:lineRule="auto"/>
        <w:rPr>
          <w:rFonts w:ascii="宋体" w:hAnsi="宋体" w:cs="宋体"/>
          <w:szCs w:val="21"/>
        </w:rPr>
      </w:pPr>
      <w:r>
        <w:rPr>
          <w:rFonts w:hint="eastAsia" w:ascii="宋体" w:hAnsi="宋体" w:cs="宋体"/>
          <w:szCs w:val="21"/>
        </w:rPr>
        <w:t xml:space="preserve">    b.中标通知书</w:t>
      </w:r>
      <w:r>
        <w:rPr>
          <w:rFonts w:hint="eastAsia" w:ascii="宋体" w:hAnsi="宋体" w:cs="宋体"/>
          <w:szCs w:val="21"/>
        </w:rPr>
        <w:tab/>
      </w:r>
    </w:p>
    <w:p w14:paraId="46C13CBF">
      <w:pPr>
        <w:spacing w:line="360" w:lineRule="auto"/>
        <w:rPr>
          <w:rFonts w:ascii="宋体" w:hAnsi="宋体" w:cs="宋体"/>
          <w:szCs w:val="21"/>
        </w:rPr>
      </w:pPr>
      <w:r>
        <w:rPr>
          <w:rFonts w:hint="eastAsia" w:ascii="宋体" w:hAnsi="宋体" w:cs="宋体"/>
          <w:szCs w:val="21"/>
        </w:rPr>
        <w:t xml:space="preserve">    c.变更补充文件</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14:paraId="5C78E6F9">
      <w:pPr>
        <w:spacing w:line="360" w:lineRule="auto"/>
        <w:rPr>
          <w:rFonts w:ascii="宋体" w:hAnsi="宋体" w:cs="宋体"/>
          <w:szCs w:val="21"/>
        </w:rPr>
      </w:pPr>
      <w:r>
        <w:rPr>
          <w:rFonts w:hint="eastAsia" w:ascii="宋体" w:hAnsi="宋体" w:cs="宋体"/>
          <w:szCs w:val="21"/>
        </w:rPr>
        <w:t xml:space="preserve">    d.招标文件</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(含澄清修改文件)</w:t>
      </w:r>
    </w:p>
    <w:p w14:paraId="275BE3C9">
      <w:pPr>
        <w:spacing w:line="360" w:lineRule="auto"/>
        <w:rPr>
          <w:rFonts w:ascii="宋体" w:hAnsi="宋体"/>
          <w:spacing w:val="4"/>
          <w:szCs w:val="21"/>
        </w:rPr>
      </w:pPr>
      <w:r>
        <w:rPr>
          <w:rFonts w:hint="eastAsia" w:ascii="宋体" w:hAnsi="宋体" w:cs="宋体"/>
          <w:szCs w:val="21"/>
        </w:rPr>
        <w:t xml:space="preserve">    e.投标文件</w:t>
      </w:r>
      <w:r>
        <w:rPr>
          <w:rFonts w:hint="eastAsia" w:ascii="宋体" w:hAnsi="宋体" w:cs="宋体"/>
          <w:szCs w:val="21"/>
        </w:rPr>
        <w:tab/>
      </w:r>
      <w:r>
        <w:rPr>
          <w:rFonts w:hint="eastAsia" w:ascii="宋体" w:hAnsi="宋体" w:cs="宋体"/>
          <w:szCs w:val="21"/>
        </w:rPr>
        <w:t xml:space="preserve">        (含澄清内容)</w:t>
      </w:r>
    </w:p>
    <w:p w14:paraId="4A91F38D">
      <w:pPr>
        <w:numPr>
          <w:ilvl w:val="0"/>
          <w:numId w:val="6"/>
        </w:numPr>
        <w:snapToGrid w:val="0"/>
        <w:spacing w:before="119" w:line="419" w:lineRule="atLeast"/>
        <w:rPr>
          <w:rFonts w:ascii="宋体" w:hAnsi="宋体"/>
          <w:b/>
          <w:szCs w:val="21"/>
        </w:rPr>
      </w:pPr>
      <w:r>
        <w:rPr>
          <w:rFonts w:hint="eastAsia" w:ascii="宋体" w:hAnsi="宋体"/>
          <w:b/>
          <w:szCs w:val="21"/>
        </w:rPr>
        <w:t>服务内容及要求</w:t>
      </w:r>
    </w:p>
    <w:p w14:paraId="41CD2482">
      <w:pPr>
        <w:snapToGrid w:val="0"/>
        <w:spacing w:line="419" w:lineRule="atLeast"/>
        <w:ind w:firstLine="420" w:firstLineChars="200"/>
        <w:rPr>
          <w:rFonts w:ascii="宋体" w:hAnsi="宋体" w:cs="宋体"/>
          <w:szCs w:val="21"/>
        </w:rPr>
      </w:pPr>
      <w:r>
        <w:rPr>
          <w:rFonts w:hint="eastAsia" w:ascii="宋体" w:hAnsi="宋体" w:cs="宋体"/>
          <w:szCs w:val="21"/>
        </w:rPr>
        <w:t>详见采购需求。</w:t>
      </w:r>
    </w:p>
    <w:p w14:paraId="519FB30A">
      <w:pPr>
        <w:pStyle w:val="3"/>
        <w:rPr>
          <w:rFonts w:ascii="宋体" w:hAnsi="宋体"/>
          <w:b/>
          <w:sz w:val="21"/>
          <w:szCs w:val="21"/>
        </w:rPr>
      </w:pPr>
    </w:p>
    <w:p w14:paraId="5576F2FF">
      <w:pPr>
        <w:tabs>
          <w:tab w:val="left" w:pos="795"/>
        </w:tabs>
        <w:snapToGrid w:val="0"/>
        <w:spacing w:line="360" w:lineRule="auto"/>
        <w:rPr>
          <w:rFonts w:ascii="宋体" w:hAnsi="宋体"/>
          <w:b/>
          <w:szCs w:val="21"/>
        </w:rPr>
      </w:pPr>
      <w:r>
        <w:rPr>
          <w:rFonts w:hint="eastAsia" w:ascii="宋体" w:hAnsi="宋体"/>
          <w:b/>
          <w:szCs w:val="21"/>
        </w:rPr>
        <w:t>三、合同金额</w:t>
      </w:r>
    </w:p>
    <w:p w14:paraId="6359AE34">
      <w:pPr>
        <w:spacing w:line="360" w:lineRule="auto"/>
        <w:rPr>
          <w:rFonts w:ascii="宋体" w:hAnsi="宋体"/>
          <w:spacing w:val="4"/>
          <w:szCs w:val="21"/>
        </w:rPr>
      </w:pPr>
      <w:r>
        <w:rPr>
          <w:rFonts w:hint="eastAsia" w:ascii="宋体" w:hAnsi="宋体"/>
          <w:szCs w:val="21"/>
        </w:rPr>
        <w:t>合同总价为</w:t>
      </w:r>
      <w:r>
        <w:rPr>
          <w:rFonts w:hint="eastAsia" w:ascii="宋体" w:hAnsi="宋体"/>
          <w:szCs w:val="21"/>
          <w:u w:val="single"/>
        </w:rPr>
        <w:t xml:space="preserve">      </w:t>
      </w:r>
      <w:r>
        <w:rPr>
          <w:rFonts w:hint="eastAsia" w:ascii="宋体" w:hAnsi="宋体"/>
          <w:szCs w:val="21"/>
        </w:rPr>
        <w:t xml:space="preserve"> </w:t>
      </w:r>
      <w:r>
        <w:rPr>
          <w:rFonts w:hint="eastAsia"/>
        </w:rPr>
        <w:t>元</w:t>
      </w:r>
      <w:bookmarkStart w:id="15" w:name="_Hlk9504509"/>
    </w:p>
    <w:p w14:paraId="1F05169A">
      <w:pPr>
        <w:tabs>
          <w:tab w:val="left" w:pos="795"/>
        </w:tabs>
        <w:snapToGrid w:val="0"/>
        <w:spacing w:line="360" w:lineRule="auto"/>
        <w:rPr>
          <w:rFonts w:ascii="宋体" w:hAnsi="宋体"/>
          <w:b/>
          <w:szCs w:val="21"/>
        </w:rPr>
      </w:pPr>
      <w:r>
        <w:rPr>
          <w:rFonts w:hint="eastAsia" w:ascii="宋体" w:hAnsi="宋体"/>
          <w:b/>
          <w:szCs w:val="21"/>
        </w:rPr>
        <w:t>四、实施时间及服务期限</w:t>
      </w:r>
    </w:p>
    <w:p w14:paraId="00D0A5E2">
      <w:pPr>
        <w:pStyle w:val="79"/>
        <w:spacing w:line="420" w:lineRule="exact"/>
        <w:ind w:firstLine="455" w:firstLineChars="217"/>
        <w:rPr>
          <w:rFonts w:ascii="宋体" w:hAnsi="宋体"/>
          <w:kern w:val="2"/>
          <w:sz w:val="21"/>
          <w:szCs w:val="21"/>
        </w:rPr>
      </w:pPr>
      <w:r>
        <w:rPr>
          <w:rFonts w:hint="eastAsia" w:ascii="宋体" w:hAnsi="宋体"/>
          <w:sz w:val="21"/>
          <w:szCs w:val="21"/>
        </w:rPr>
        <w:t>实施时间：</w:t>
      </w:r>
    </w:p>
    <w:p w14:paraId="47C30101">
      <w:pPr>
        <w:spacing w:line="360" w:lineRule="auto"/>
        <w:ind w:firstLine="436" w:firstLineChars="200"/>
        <w:rPr>
          <w:rFonts w:ascii="宋体" w:hAnsi="宋体"/>
          <w:spacing w:val="4"/>
          <w:szCs w:val="21"/>
        </w:rPr>
      </w:pPr>
      <w:r>
        <w:rPr>
          <w:rFonts w:hint="eastAsia" w:ascii="宋体" w:hAnsi="宋体"/>
          <w:spacing w:val="4"/>
          <w:szCs w:val="21"/>
        </w:rPr>
        <w:t>服务期限：年月－年月。</w:t>
      </w:r>
    </w:p>
    <w:bookmarkEnd w:id="15"/>
    <w:p w14:paraId="56947114">
      <w:pPr>
        <w:spacing w:line="360" w:lineRule="auto"/>
        <w:rPr>
          <w:rFonts w:ascii="宋体" w:hAnsi="宋体"/>
          <w:b/>
          <w:spacing w:val="4"/>
          <w:szCs w:val="21"/>
        </w:rPr>
      </w:pPr>
      <w:r>
        <w:rPr>
          <w:rFonts w:hint="eastAsia" w:ascii="宋体" w:hAnsi="宋体"/>
          <w:b/>
          <w:spacing w:val="4"/>
          <w:szCs w:val="21"/>
        </w:rPr>
        <w:t>五</w:t>
      </w:r>
      <w:r>
        <w:rPr>
          <w:rFonts w:ascii="宋体" w:hAnsi="宋体"/>
          <w:b/>
          <w:spacing w:val="4"/>
          <w:szCs w:val="21"/>
        </w:rPr>
        <w:t>、技术资料</w:t>
      </w:r>
    </w:p>
    <w:p w14:paraId="391E5EAB">
      <w:pPr>
        <w:spacing w:line="360" w:lineRule="auto"/>
        <w:rPr>
          <w:rFonts w:ascii="宋体" w:hAnsi="宋体"/>
          <w:spacing w:val="4"/>
          <w:szCs w:val="21"/>
        </w:rPr>
      </w:pPr>
      <w:r>
        <w:rPr>
          <w:rFonts w:hint="eastAsia" w:ascii="宋体" w:hAnsi="宋体"/>
          <w:spacing w:val="4"/>
          <w:szCs w:val="21"/>
        </w:rPr>
        <w:t xml:space="preserve">    1.</w:t>
      </w:r>
      <w:r>
        <w:rPr>
          <w:rFonts w:ascii="宋体" w:hAnsi="宋体"/>
          <w:spacing w:val="4"/>
          <w:szCs w:val="21"/>
        </w:rPr>
        <w:t>乙方应按招标文件规定的时间向甲方提供使用货物的有关技术资料。</w:t>
      </w:r>
    </w:p>
    <w:p w14:paraId="48C8932A">
      <w:pPr>
        <w:spacing w:line="360" w:lineRule="auto"/>
        <w:rPr>
          <w:rFonts w:ascii="宋体" w:hAnsi="宋体"/>
          <w:spacing w:val="4"/>
          <w:szCs w:val="21"/>
        </w:rPr>
      </w:pPr>
      <w:r>
        <w:rPr>
          <w:rFonts w:hint="eastAsia" w:ascii="宋体" w:hAnsi="宋体"/>
          <w:spacing w:val="4"/>
          <w:szCs w:val="21"/>
        </w:rPr>
        <w:t xml:space="preserve">    2.</w:t>
      </w:r>
      <w:r>
        <w:rPr>
          <w:rFonts w:ascii="宋体" w:hAnsi="宋体"/>
          <w:spacing w:val="4"/>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6C98CE0">
      <w:pPr>
        <w:spacing w:line="360" w:lineRule="auto"/>
        <w:rPr>
          <w:rFonts w:ascii="宋体" w:hAnsi="宋体"/>
          <w:b/>
          <w:spacing w:val="4"/>
          <w:szCs w:val="21"/>
        </w:rPr>
      </w:pPr>
      <w:r>
        <w:rPr>
          <w:rFonts w:hint="eastAsia" w:ascii="宋体" w:hAnsi="宋体"/>
          <w:b/>
          <w:spacing w:val="4"/>
          <w:szCs w:val="21"/>
        </w:rPr>
        <w:t>六</w:t>
      </w:r>
      <w:r>
        <w:rPr>
          <w:rFonts w:ascii="宋体" w:hAnsi="宋体"/>
          <w:b/>
          <w:spacing w:val="4"/>
          <w:szCs w:val="21"/>
        </w:rPr>
        <w:t>、知识产权</w:t>
      </w:r>
    </w:p>
    <w:p w14:paraId="4E21FC46">
      <w:pPr>
        <w:spacing w:line="360" w:lineRule="auto"/>
        <w:ind w:firstLine="436" w:firstLineChars="200"/>
        <w:rPr>
          <w:rFonts w:ascii="宋体" w:hAnsi="宋体"/>
          <w:spacing w:val="4"/>
          <w:szCs w:val="21"/>
        </w:rPr>
      </w:pPr>
      <w:r>
        <w:rPr>
          <w:rFonts w:ascii="宋体" w:hAnsi="宋体"/>
          <w:spacing w:val="4"/>
          <w:szCs w:val="21"/>
        </w:rPr>
        <w:t>乙方应保证所提供的货物或其任何一部分均不会侵犯任何第三方的知识产权。</w:t>
      </w:r>
    </w:p>
    <w:p w14:paraId="2898E477">
      <w:pPr>
        <w:spacing w:line="360" w:lineRule="auto"/>
        <w:rPr>
          <w:rFonts w:ascii="宋体" w:hAnsi="宋体"/>
          <w:b/>
          <w:spacing w:val="4"/>
          <w:szCs w:val="21"/>
        </w:rPr>
      </w:pPr>
      <w:r>
        <w:rPr>
          <w:rFonts w:hint="eastAsia" w:ascii="宋体" w:hAnsi="宋体"/>
          <w:b/>
          <w:spacing w:val="4"/>
          <w:szCs w:val="21"/>
        </w:rPr>
        <w:t>七</w:t>
      </w:r>
      <w:r>
        <w:rPr>
          <w:rFonts w:ascii="宋体" w:hAnsi="宋体"/>
          <w:b/>
          <w:spacing w:val="4"/>
          <w:szCs w:val="21"/>
        </w:rPr>
        <w:t>、产权担保</w:t>
      </w:r>
    </w:p>
    <w:p w14:paraId="3A73713D">
      <w:pPr>
        <w:spacing w:line="360" w:lineRule="auto"/>
        <w:ind w:firstLine="436" w:firstLineChars="200"/>
        <w:rPr>
          <w:rFonts w:ascii="宋体" w:hAnsi="宋体"/>
          <w:spacing w:val="4"/>
          <w:szCs w:val="21"/>
        </w:rPr>
      </w:pPr>
      <w:r>
        <w:rPr>
          <w:rFonts w:ascii="宋体" w:hAnsi="宋体"/>
          <w:spacing w:val="4"/>
          <w:szCs w:val="21"/>
        </w:rPr>
        <w:t>乙方保证所交付的货物的所有权完全属于乙方且无任何抵押、查封等产权瑕疵。</w:t>
      </w:r>
    </w:p>
    <w:p w14:paraId="7128E1CE">
      <w:pPr>
        <w:spacing w:line="360" w:lineRule="auto"/>
        <w:rPr>
          <w:rFonts w:ascii="宋体" w:hAnsi="宋体"/>
          <w:b/>
          <w:spacing w:val="4"/>
          <w:szCs w:val="21"/>
        </w:rPr>
      </w:pPr>
      <w:r>
        <w:rPr>
          <w:rFonts w:hint="eastAsia" w:ascii="宋体" w:hAnsi="宋体"/>
          <w:b/>
          <w:spacing w:val="4"/>
          <w:szCs w:val="21"/>
        </w:rPr>
        <w:t>八</w:t>
      </w:r>
      <w:r>
        <w:rPr>
          <w:rFonts w:ascii="宋体" w:hAnsi="宋体"/>
          <w:b/>
          <w:spacing w:val="4"/>
          <w:szCs w:val="21"/>
        </w:rPr>
        <w:t>、转包或分包</w:t>
      </w:r>
    </w:p>
    <w:p w14:paraId="5A7493C2">
      <w:pPr>
        <w:spacing w:line="360" w:lineRule="auto"/>
        <w:ind w:firstLine="436" w:firstLineChars="200"/>
        <w:rPr>
          <w:rFonts w:ascii="宋体" w:hAnsi="宋体"/>
          <w:spacing w:val="4"/>
          <w:szCs w:val="21"/>
        </w:rPr>
      </w:pPr>
      <w:r>
        <w:rPr>
          <w:rFonts w:ascii="宋体" w:hAnsi="宋体"/>
          <w:spacing w:val="4"/>
          <w:szCs w:val="21"/>
        </w:rPr>
        <w:t>1.本合同范围的货物，应由乙方直接供应，不得转让他人供应；</w:t>
      </w:r>
    </w:p>
    <w:p w14:paraId="56B5B87F">
      <w:pPr>
        <w:spacing w:line="360" w:lineRule="auto"/>
        <w:ind w:firstLine="436" w:firstLineChars="200"/>
        <w:rPr>
          <w:rFonts w:ascii="宋体" w:hAnsi="宋体"/>
          <w:spacing w:val="4"/>
          <w:szCs w:val="21"/>
        </w:rPr>
      </w:pPr>
      <w:r>
        <w:rPr>
          <w:rFonts w:ascii="宋体" w:hAnsi="宋体"/>
          <w:spacing w:val="4"/>
          <w:szCs w:val="21"/>
        </w:rPr>
        <w:t>2.除非得到甲方的书面同意，乙方不得将本合同范围的货物全部或部分分包给他人供应；</w:t>
      </w:r>
    </w:p>
    <w:p w14:paraId="7277C606">
      <w:pPr>
        <w:spacing w:line="360" w:lineRule="auto"/>
        <w:ind w:firstLine="436" w:firstLineChars="200"/>
        <w:rPr>
          <w:rFonts w:ascii="宋体" w:hAnsi="宋体"/>
          <w:spacing w:val="4"/>
          <w:szCs w:val="21"/>
        </w:rPr>
      </w:pPr>
      <w:r>
        <w:rPr>
          <w:rFonts w:ascii="宋体" w:hAnsi="宋体"/>
          <w:spacing w:val="4"/>
          <w:szCs w:val="21"/>
        </w:rPr>
        <w:t>3.如有转让和未经甲方同意的分包行为，甲方有权解除合同并追究乙方的违约责任。</w:t>
      </w:r>
    </w:p>
    <w:p w14:paraId="5F9F9767">
      <w:pPr>
        <w:spacing w:line="360" w:lineRule="auto"/>
        <w:rPr>
          <w:rFonts w:ascii="宋体" w:hAnsi="宋体"/>
          <w:b/>
          <w:spacing w:val="4"/>
          <w:szCs w:val="21"/>
        </w:rPr>
      </w:pPr>
      <w:r>
        <w:rPr>
          <w:rFonts w:hint="eastAsia" w:ascii="宋体" w:hAnsi="宋体"/>
          <w:b/>
          <w:spacing w:val="4"/>
          <w:szCs w:val="21"/>
        </w:rPr>
        <w:t>九</w:t>
      </w:r>
      <w:r>
        <w:rPr>
          <w:rFonts w:ascii="宋体" w:hAnsi="宋体"/>
          <w:b/>
          <w:spacing w:val="4"/>
          <w:szCs w:val="21"/>
        </w:rPr>
        <w:t>、交货方式及交货地点</w:t>
      </w:r>
    </w:p>
    <w:p w14:paraId="52392434">
      <w:pPr>
        <w:spacing w:line="360" w:lineRule="auto"/>
        <w:ind w:firstLine="436" w:firstLineChars="200"/>
        <w:rPr>
          <w:rFonts w:ascii="宋体" w:hAnsi="宋体"/>
          <w:spacing w:val="4"/>
          <w:szCs w:val="21"/>
        </w:rPr>
      </w:pPr>
      <w:r>
        <w:rPr>
          <w:rFonts w:hint="eastAsia" w:ascii="宋体" w:hAnsi="宋体"/>
          <w:spacing w:val="4"/>
          <w:szCs w:val="21"/>
        </w:rPr>
        <w:t>1</w:t>
      </w:r>
      <w:r>
        <w:rPr>
          <w:rFonts w:ascii="宋体" w:hAnsi="宋体"/>
          <w:spacing w:val="4"/>
          <w:szCs w:val="21"/>
        </w:rPr>
        <w:t>.交货方式：</w:t>
      </w:r>
    </w:p>
    <w:p w14:paraId="391A9F86">
      <w:pPr>
        <w:spacing w:line="360" w:lineRule="auto"/>
        <w:ind w:firstLine="436" w:firstLineChars="200"/>
        <w:rPr>
          <w:rFonts w:ascii="宋体" w:hAnsi="宋体"/>
          <w:spacing w:val="4"/>
          <w:szCs w:val="21"/>
        </w:rPr>
      </w:pPr>
      <w:r>
        <w:rPr>
          <w:rFonts w:hint="eastAsia" w:ascii="宋体" w:hAnsi="宋体"/>
          <w:spacing w:val="4"/>
          <w:szCs w:val="21"/>
        </w:rPr>
        <w:t>2</w:t>
      </w:r>
      <w:r>
        <w:rPr>
          <w:rFonts w:ascii="宋体" w:hAnsi="宋体"/>
          <w:spacing w:val="4"/>
          <w:szCs w:val="21"/>
        </w:rPr>
        <w:t>.交货地点：</w:t>
      </w:r>
    </w:p>
    <w:p w14:paraId="5B4D57E1">
      <w:pPr>
        <w:spacing w:line="360" w:lineRule="auto"/>
        <w:rPr>
          <w:rFonts w:ascii="宋体" w:hAnsi="宋体"/>
          <w:b/>
          <w:spacing w:val="4"/>
          <w:szCs w:val="21"/>
        </w:rPr>
      </w:pPr>
      <w:r>
        <w:rPr>
          <w:rFonts w:hint="eastAsia" w:ascii="宋体" w:hAnsi="宋体"/>
          <w:b/>
          <w:spacing w:val="4"/>
          <w:szCs w:val="21"/>
        </w:rPr>
        <w:t>十</w:t>
      </w:r>
      <w:r>
        <w:rPr>
          <w:rFonts w:ascii="宋体" w:hAnsi="宋体"/>
          <w:b/>
          <w:spacing w:val="4"/>
          <w:szCs w:val="21"/>
        </w:rPr>
        <w:t>、货款支付</w:t>
      </w:r>
    </w:p>
    <w:p w14:paraId="07687356">
      <w:pPr>
        <w:spacing w:line="360" w:lineRule="auto"/>
        <w:ind w:firstLine="420" w:firstLineChars="200"/>
        <w:rPr>
          <w:rFonts w:hint="eastAsia" w:eastAsia="宋体"/>
          <w:lang w:eastAsia="zh-CN"/>
        </w:rPr>
      </w:pPr>
      <w:r>
        <w:rPr>
          <w:rFonts w:hint="eastAsia"/>
        </w:rPr>
        <w:t>1.付款方式：</w:t>
      </w:r>
      <w:r>
        <w:rPr>
          <w:rFonts w:hint="eastAsia"/>
          <w:lang w:eastAsia="zh-CN"/>
        </w:rPr>
        <w:t>本项目分二笔进行支付，付款方式：合同签订后7个工作日内付合同价的</w:t>
      </w:r>
      <w:r>
        <w:rPr>
          <w:rFonts w:hint="eastAsia"/>
          <w:lang w:val="en-US" w:eastAsia="zh-CN"/>
        </w:rPr>
        <w:t>4</w:t>
      </w:r>
      <w:r>
        <w:rPr>
          <w:rFonts w:hint="eastAsia"/>
          <w:lang w:eastAsia="zh-CN"/>
        </w:rPr>
        <w:t>0%，中标人完成产品供货、安装、调试及验收合格后支付余款。</w:t>
      </w:r>
    </w:p>
    <w:p w14:paraId="2ECC612D">
      <w:pPr>
        <w:spacing w:line="360" w:lineRule="auto"/>
        <w:rPr>
          <w:b/>
          <w:bCs/>
        </w:rPr>
      </w:pPr>
      <w:r>
        <w:rPr>
          <w:rFonts w:hint="eastAsia"/>
          <w:b/>
          <w:bCs/>
        </w:rPr>
        <w:t>十一、税费</w:t>
      </w:r>
    </w:p>
    <w:p w14:paraId="053352F1">
      <w:pPr>
        <w:spacing w:line="360" w:lineRule="auto"/>
        <w:ind w:firstLine="436" w:firstLineChars="200"/>
        <w:rPr>
          <w:rFonts w:ascii="宋体" w:hAnsi="宋体"/>
          <w:spacing w:val="4"/>
          <w:szCs w:val="21"/>
        </w:rPr>
      </w:pPr>
      <w:r>
        <w:rPr>
          <w:rFonts w:ascii="宋体" w:hAnsi="宋体"/>
          <w:spacing w:val="4"/>
          <w:szCs w:val="21"/>
        </w:rPr>
        <w:t>本合同执行中相关的一切税费均由乙方负担。</w:t>
      </w:r>
    </w:p>
    <w:p w14:paraId="09F07533">
      <w:pPr>
        <w:spacing w:line="360" w:lineRule="auto"/>
        <w:rPr>
          <w:rFonts w:ascii="宋体" w:hAnsi="宋体"/>
          <w:b/>
          <w:spacing w:val="4"/>
          <w:szCs w:val="21"/>
        </w:rPr>
      </w:pPr>
      <w:r>
        <w:rPr>
          <w:rFonts w:ascii="宋体" w:hAnsi="宋体"/>
          <w:b/>
          <w:spacing w:val="4"/>
          <w:szCs w:val="21"/>
        </w:rPr>
        <w:t>十</w:t>
      </w:r>
      <w:r>
        <w:rPr>
          <w:rFonts w:hint="eastAsia" w:ascii="宋体" w:hAnsi="宋体"/>
          <w:b/>
          <w:spacing w:val="4"/>
          <w:szCs w:val="21"/>
        </w:rPr>
        <w:t>二</w:t>
      </w:r>
      <w:r>
        <w:rPr>
          <w:rFonts w:ascii="宋体" w:hAnsi="宋体"/>
          <w:b/>
          <w:spacing w:val="4"/>
          <w:szCs w:val="21"/>
        </w:rPr>
        <w:t>、质量保证及售后服务</w:t>
      </w:r>
    </w:p>
    <w:p w14:paraId="710DBE63">
      <w:pPr>
        <w:spacing w:line="360" w:lineRule="auto"/>
        <w:ind w:firstLine="436" w:firstLineChars="200"/>
        <w:rPr>
          <w:rFonts w:ascii="宋体" w:hAnsi="宋体"/>
          <w:spacing w:val="4"/>
          <w:szCs w:val="21"/>
        </w:rPr>
      </w:pPr>
      <w:r>
        <w:rPr>
          <w:rFonts w:ascii="宋体" w:hAnsi="宋体"/>
          <w:spacing w:val="4"/>
          <w:szCs w:val="21"/>
        </w:rPr>
        <w:t>1.</w:t>
      </w:r>
      <w:r>
        <w:rPr>
          <w:rFonts w:hint="eastAsia" w:ascii="宋体" w:hAnsi="宋体" w:cs="宋体"/>
          <w:szCs w:val="21"/>
        </w:rPr>
        <w:t>乙方应按采购文件规定的系统功能、产品性能、技术要求、服务质量标准向甲方提供服务和产品，必须符合相关的国家、省、市的标准、规范或文件规定。</w:t>
      </w:r>
    </w:p>
    <w:p w14:paraId="56193F85">
      <w:pPr>
        <w:spacing w:line="360" w:lineRule="auto"/>
        <w:ind w:firstLine="436" w:firstLineChars="200"/>
        <w:rPr>
          <w:rFonts w:ascii="宋体" w:hAnsi="宋体"/>
          <w:spacing w:val="4"/>
          <w:szCs w:val="21"/>
        </w:rPr>
      </w:pPr>
      <w:r>
        <w:rPr>
          <w:rFonts w:ascii="宋体" w:hAnsi="宋体"/>
          <w:spacing w:val="4"/>
          <w:szCs w:val="21"/>
        </w:rPr>
        <w:t>2.乙方提供的货物在质保期内因货物本身的质量问题发生故障，乙方应负责免费更换。对达不到技术要求者，根据实际情况，经双方协商，可按以下办法处理：</w:t>
      </w:r>
    </w:p>
    <w:p w14:paraId="361713A9">
      <w:pPr>
        <w:spacing w:line="360" w:lineRule="auto"/>
        <w:ind w:firstLine="436" w:firstLineChars="200"/>
        <w:rPr>
          <w:rFonts w:ascii="宋体" w:hAnsi="宋体"/>
          <w:spacing w:val="4"/>
          <w:szCs w:val="21"/>
        </w:rPr>
      </w:pPr>
      <w:r>
        <w:rPr>
          <w:rFonts w:hint="eastAsia" w:ascii="宋体" w:hAnsi="宋体"/>
          <w:spacing w:val="4"/>
          <w:szCs w:val="21"/>
        </w:rPr>
        <w:t>⑴</w:t>
      </w:r>
      <w:r>
        <w:rPr>
          <w:rFonts w:ascii="宋体" w:hAnsi="宋体"/>
          <w:spacing w:val="4"/>
          <w:szCs w:val="21"/>
        </w:rPr>
        <w:t>更换：由乙方承担所发生的全部费用。</w:t>
      </w:r>
    </w:p>
    <w:p w14:paraId="5DD7483C">
      <w:pPr>
        <w:spacing w:line="360" w:lineRule="auto"/>
        <w:ind w:firstLine="436" w:firstLineChars="200"/>
        <w:rPr>
          <w:rFonts w:ascii="宋体" w:hAnsi="宋体"/>
          <w:spacing w:val="4"/>
          <w:szCs w:val="21"/>
        </w:rPr>
      </w:pPr>
      <w:r>
        <w:rPr>
          <w:rFonts w:hint="eastAsia" w:ascii="宋体" w:hAnsi="宋体"/>
          <w:spacing w:val="4"/>
          <w:szCs w:val="21"/>
        </w:rPr>
        <w:t>⑵</w:t>
      </w:r>
      <w:r>
        <w:rPr>
          <w:rFonts w:ascii="宋体" w:hAnsi="宋体"/>
          <w:spacing w:val="4"/>
          <w:szCs w:val="21"/>
        </w:rPr>
        <w:t>贬值处理：由甲乙双方合议定价。</w:t>
      </w:r>
    </w:p>
    <w:p w14:paraId="50313430">
      <w:pPr>
        <w:spacing w:line="360" w:lineRule="auto"/>
        <w:ind w:firstLine="436" w:firstLineChars="200"/>
        <w:rPr>
          <w:rFonts w:ascii="宋体" w:hAnsi="宋体"/>
          <w:spacing w:val="4"/>
          <w:szCs w:val="21"/>
        </w:rPr>
      </w:pPr>
      <w:r>
        <w:rPr>
          <w:rFonts w:hint="eastAsia" w:ascii="宋体" w:hAnsi="宋体"/>
          <w:spacing w:val="4"/>
          <w:szCs w:val="21"/>
        </w:rPr>
        <w:t>⑶</w:t>
      </w:r>
      <w:r>
        <w:rPr>
          <w:rFonts w:ascii="宋体" w:hAnsi="宋体"/>
          <w:spacing w:val="4"/>
          <w:szCs w:val="21"/>
        </w:rPr>
        <w:t>退货处理：乙方应退还甲方支付的合同款，同时应承担该货物的直接费用（运输、保险、检验、货款利息及银行手续费等）。</w:t>
      </w:r>
    </w:p>
    <w:p w14:paraId="62FFC42B">
      <w:pPr>
        <w:spacing w:line="360" w:lineRule="auto"/>
        <w:ind w:firstLine="436" w:firstLineChars="200"/>
        <w:rPr>
          <w:rFonts w:ascii="宋体" w:hAnsi="宋体"/>
          <w:spacing w:val="4"/>
          <w:szCs w:val="21"/>
        </w:rPr>
      </w:pPr>
      <w:r>
        <w:rPr>
          <w:rFonts w:ascii="宋体" w:hAnsi="宋体"/>
          <w:spacing w:val="4"/>
          <w:szCs w:val="21"/>
        </w:rPr>
        <w:t>3.如在使用过程中发生质量问题，乙方在接到甲方通知后在</w:t>
      </w:r>
      <w:r>
        <w:rPr>
          <w:rFonts w:hint="eastAsia" w:ascii="宋体" w:hAnsi="宋体"/>
          <w:spacing w:val="4"/>
          <w:szCs w:val="21"/>
        </w:rPr>
        <w:t>24</w:t>
      </w:r>
      <w:r>
        <w:rPr>
          <w:rFonts w:ascii="宋体" w:hAnsi="宋体"/>
          <w:spacing w:val="4"/>
          <w:szCs w:val="21"/>
        </w:rPr>
        <w:t>小时内到达甲方现场。</w:t>
      </w:r>
    </w:p>
    <w:p w14:paraId="79D6F2AF">
      <w:pPr>
        <w:spacing w:line="360" w:lineRule="auto"/>
        <w:ind w:firstLine="436" w:firstLineChars="200"/>
        <w:rPr>
          <w:rFonts w:ascii="宋体" w:hAnsi="宋体"/>
          <w:spacing w:val="4"/>
          <w:szCs w:val="21"/>
        </w:rPr>
      </w:pPr>
      <w:r>
        <w:rPr>
          <w:rFonts w:ascii="宋体" w:hAnsi="宋体"/>
          <w:spacing w:val="4"/>
          <w:szCs w:val="21"/>
        </w:rPr>
        <w:t>4.在质保期内，乙方应对货物出现的质量及安全问题负责处理解决并承担一切费用。</w:t>
      </w:r>
    </w:p>
    <w:p w14:paraId="16157E0D">
      <w:pPr>
        <w:spacing w:line="360" w:lineRule="auto"/>
        <w:ind w:firstLine="436" w:firstLineChars="200"/>
        <w:rPr>
          <w:rFonts w:ascii="宋体" w:hAnsi="宋体"/>
          <w:spacing w:val="4"/>
          <w:szCs w:val="21"/>
        </w:rPr>
      </w:pPr>
      <w:r>
        <w:rPr>
          <w:rFonts w:ascii="宋体" w:hAnsi="宋体"/>
          <w:spacing w:val="4"/>
          <w:szCs w:val="21"/>
        </w:rPr>
        <w:t>5.</w:t>
      </w:r>
      <w:r>
        <w:rPr>
          <w:rFonts w:hint="eastAsia" w:ascii="宋体" w:hAnsi="宋体"/>
          <w:spacing w:val="4"/>
          <w:szCs w:val="21"/>
        </w:rPr>
        <w:t>乙方所提供的</w:t>
      </w:r>
      <w:r>
        <w:rPr>
          <w:rFonts w:ascii="宋体" w:hAnsi="宋体"/>
          <w:spacing w:val="4"/>
          <w:szCs w:val="21"/>
        </w:rPr>
        <w:t>货物免费保修期为</w:t>
      </w:r>
      <w:r>
        <w:rPr>
          <w:rFonts w:hint="eastAsia" w:ascii="宋体" w:hAnsi="宋体"/>
          <w:spacing w:val="4"/>
          <w:szCs w:val="21"/>
        </w:rPr>
        <w:t xml:space="preserve">      </w:t>
      </w:r>
      <w:r>
        <w:rPr>
          <w:rFonts w:ascii="宋体" w:hAnsi="宋体"/>
          <w:spacing w:val="4"/>
          <w:szCs w:val="21"/>
        </w:rPr>
        <w:t>年，</w:t>
      </w:r>
      <w:r>
        <w:rPr>
          <w:rFonts w:hint="eastAsia" w:ascii="宋体" w:hAnsi="宋体"/>
          <w:spacing w:val="4"/>
          <w:szCs w:val="21"/>
        </w:rPr>
        <w:t>因投标人原因导致系统和设备的安装运行出现问题的，由投标人负责解决并承担一切费用</w:t>
      </w:r>
      <w:r>
        <w:rPr>
          <w:rFonts w:ascii="宋体" w:hAnsi="宋体"/>
          <w:spacing w:val="4"/>
          <w:szCs w:val="21"/>
        </w:rPr>
        <w:t>。超过保修期的设备，终生维修，维修时只收部件成本费。</w:t>
      </w:r>
      <w:r>
        <w:rPr>
          <w:rFonts w:hint="eastAsia" w:ascii="宋体" w:hAnsi="宋体"/>
          <w:spacing w:val="4"/>
          <w:szCs w:val="21"/>
        </w:rPr>
        <w:t>质保期满后，甲方有权选择售后服务商，无论结果如何，乙方也必须配合甲方做好后续衔接工作。</w:t>
      </w:r>
    </w:p>
    <w:p w14:paraId="74B1610B">
      <w:pPr>
        <w:spacing w:line="360" w:lineRule="auto"/>
        <w:rPr>
          <w:rFonts w:ascii="宋体" w:hAnsi="宋体"/>
          <w:b/>
          <w:spacing w:val="4"/>
          <w:szCs w:val="21"/>
        </w:rPr>
      </w:pPr>
      <w:r>
        <w:rPr>
          <w:rFonts w:ascii="宋体" w:hAnsi="宋体"/>
          <w:b/>
          <w:spacing w:val="4"/>
          <w:szCs w:val="21"/>
        </w:rPr>
        <w:t>十</w:t>
      </w:r>
      <w:r>
        <w:rPr>
          <w:rFonts w:hint="eastAsia" w:ascii="宋体" w:hAnsi="宋体"/>
          <w:b/>
          <w:spacing w:val="4"/>
          <w:szCs w:val="21"/>
        </w:rPr>
        <w:t>三</w:t>
      </w:r>
      <w:r>
        <w:rPr>
          <w:rFonts w:ascii="宋体" w:hAnsi="宋体"/>
          <w:b/>
          <w:spacing w:val="4"/>
          <w:szCs w:val="21"/>
        </w:rPr>
        <w:t>、调试和验收</w:t>
      </w:r>
    </w:p>
    <w:p w14:paraId="3BD7226E">
      <w:pPr>
        <w:spacing w:line="360" w:lineRule="auto"/>
        <w:ind w:firstLine="436" w:firstLineChars="200"/>
        <w:rPr>
          <w:rFonts w:ascii="宋体" w:hAnsi="宋体"/>
          <w:spacing w:val="4"/>
          <w:szCs w:val="21"/>
        </w:rPr>
      </w:pPr>
      <w:r>
        <w:rPr>
          <w:rFonts w:ascii="宋体" w:hAnsi="宋体"/>
          <w:spacing w:val="4"/>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1D22687C">
      <w:pPr>
        <w:spacing w:line="360" w:lineRule="auto"/>
        <w:ind w:firstLine="436" w:firstLineChars="200"/>
        <w:rPr>
          <w:rFonts w:ascii="宋体" w:hAnsi="宋体"/>
          <w:spacing w:val="4"/>
          <w:szCs w:val="21"/>
        </w:rPr>
      </w:pPr>
      <w:r>
        <w:rPr>
          <w:rFonts w:ascii="宋体" w:hAnsi="宋体"/>
          <w:spacing w:val="4"/>
          <w:szCs w:val="21"/>
        </w:rPr>
        <w:t>2.乙方交货前应对产品作出全面检查和对验收文件进行整理，并列出清单，作为甲方收货验收和使用的技术条件依据，检验的结果应随货物交甲方。</w:t>
      </w:r>
    </w:p>
    <w:p w14:paraId="0C648D98">
      <w:pPr>
        <w:spacing w:line="360" w:lineRule="auto"/>
        <w:ind w:firstLine="436" w:firstLineChars="200"/>
        <w:rPr>
          <w:rFonts w:ascii="宋体" w:hAnsi="宋体"/>
          <w:spacing w:val="4"/>
          <w:szCs w:val="21"/>
        </w:rPr>
      </w:pPr>
      <w:r>
        <w:rPr>
          <w:rFonts w:ascii="宋体" w:hAnsi="宋体"/>
          <w:spacing w:val="4"/>
          <w:szCs w:val="21"/>
        </w:rPr>
        <w:t>3.甲方对乙方提供的货物在使用前进行调试时，乙方需负责安装并培训甲方的使用操作人员，并协助甲方一起调试，直到符合技术要求，甲方才做最终验收。</w:t>
      </w:r>
    </w:p>
    <w:p w14:paraId="720BDEFA">
      <w:pPr>
        <w:spacing w:line="360" w:lineRule="auto"/>
        <w:ind w:firstLine="436" w:firstLineChars="200"/>
        <w:rPr>
          <w:rFonts w:ascii="宋体" w:hAnsi="宋体"/>
          <w:spacing w:val="4"/>
          <w:szCs w:val="21"/>
        </w:rPr>
      </w:pPr>
      <w:r>
        <w:rPr>
          <w:rFonts w:ascii="宋体" w:hAnsi="宋体"/>
          <w:spacing w:val="4"/>
          <w:szCs w:val="21"/>
        </w:rPr>
        <w:t>4.对技术复杂的货物，甲方应请国家认可的专业检测机构参与初步验收及最终验收，并由其出具质量检测报告。</w:t>
      </w:r>
    </w:p>
    <w:p w14:paraId="7E61BA51">
      <w:pPr>
        <w:spacing w:line="360" w:lineRule="auto"/>
        <w:ind w:firstLine="436" w:firstLineChars="200"/>
        <w:rPr>
          <w:rFonts w:ascii="宋体" w:hAnsi="宋体"/>
          <w:spacing w:val="4"/>
          <w:szCs w:val="21"/>
        </w:rPr>
      </w:pPr>
      <w:r>
        <w:rPr>
          <w:rFonts w:ascii="宋体" w:hAnsi="宋体"/>
          <w:spacing w:val="4"/>
          <w:szCs w:val="21"/>
        </w:rPr>
        <w:t>5.验收时乙方必须在现场，验收完毕后作出验收结果报告；验收费用由乙方负责。</w:t>
      </w:r>
    </w:p>
    <w:p w14:paraId="7D74D3B5">
      <w:pPr>
        <w:spacing w:line="360" w:lineRule="auto"/>
        <w:rPr>
          <w:rFonts w:ascii="宋体" w:hAnsi="宋体"/>
          <w:b/>
          <w:spacing w:val="4"/>
          <w:szCs w:val="21"/>
        </w:rPr>
      </w:pPr>
      <w:r>
        <w:rPr>
          <w:rFonts w:ascii="宋体" w:hAnsi="宋体"/>
          <w:b/>
          <w:spacing w:val="4"/>
          <w:szCs w:val="21"/>
        </w:rPr>
        <w:t>十</w:t>
      </w:r>
      <w:r>
        <w:rPr>
          <w:rFonts w:hint="eastAsia" w:ascii="宋体" w:hAnsi="宋体"/>
          <w:b/>
          <w:spacing w:val="4"/>
          <w:szCs w:val="21"/>
        </w:rPr>
        <w:t>四</w:t>
      </w:r>
      <w:r>
        <w:rPr>
          <w:rFonts w:ascii="宋体" w:hAnsi="宋体"/>
          <w:b/>
          <w:spacing w:val="4"/>
          <w:szCs w:val="21"/>
        </w:rPr>
        <w:t>、货物包装、发运及运输</w:t>
      </w:r>
    </w:p>
    <w:p w14:paraId="69F5CA7D">
      <w:pPr>
        <w:spacing w:line="360" w:lineRule="auto"/>
        <w:ind w:firstLine="436" w:firstLineChars="200"/>
        <w:rPr>
          <w:rFonts w:ascii="宋体" w:hAnsi="宋体"/>
          <w:spacing w:val="4"/>
          <w:szCs w:val="21"/>
        </w:rPr>
      </w:pPr>
      <w:r>
        <w:rPr>
          <w:rFonts w:ascii="宋体" w:hAnsi="宋体"/>
          <w:spacing w:val="4"/>
          <w:szCs w:val="21"/>
        </w:rPr>
        <w:t>1.乙方应在货物发运前对其进行满足运输距离、防潮、防震、防锈和防破损装卸等要求包装，以保证货物安全运达甲方指定地点。</w:t>
      </w:r>
    </w:p>
    <w:p w14:paraId="1BF8DDC8">
      <w:pPr>
        <w:spacing w:line="360" w:lineRule="auto"/>
        <w:ind w:firstLine="436" w:firstLineChars="200"/>
        <w:rPr>
          <w:rFonts w:ascii="宋体" w:hAnsi="宋体"/>
          <w:spacing w:val="4"/>
          <w:szCs w:val="21"/>
        </w:rPr>
      </w:pPr>
      <w:r>
        <w:rPr>
          <w:rFonts w:ascii="宋体" w:hAnsi="宋体"/>
          <w:spacing w:val="4"/>
          <w:szCs w:val="21"/>
        </w:rPr>
        <w:t>2.使用说明书、质量检验证明书、随配附件和工具以及清单一并附于货物内。</w:t>
      </w:r>
    </w:p>
    <w:p w14:paraId="7AE8BFE8">
      <w:pPr>
        <w:spacing w:line="360" w:lineRule="auto"/>
        <w:ind w:firstLine="436" w:firstLineChars="200"/>
        <w:rPr>
          <w:rFonts w:ascii="宋体" w:hAnsi="宋体"/>
          <w:spacing w:val="4"/>
          <w:szCs w:val="21"/>
        </w:rPr>
      </w:pPr>
      <w:r>
        <w:rPr>
          <w:rFonts w:ascii="宋体" w:hAnsi="宋体"/>
          <w:spacing w:val="4"/>
          <w:szCs w:val="21"/>
        </w:rPr>
        <w:t>3.乙方在货物发运手续办理完毕后24小时内或货到甲方48小时前通知甲方，以准备接货。</w:t>
      </w:r>
    </w:p>
    <w:p w14:paraId="7FAE7B75">
      <w:pPr>
        <w:spacing w:line="360" w:lineRule="auto"/>
        <w:ind w:firstLine="436" w:firstLineChars="200"/>
        <w:rPr>
          <w:rFonts w:ascii="宋体" w:hAnsi="宋体"/>
          <w:spacing w:val="4"/>
          <w:szCs w:val="21"/>
        </w:rPr>
      </w:pPr>
      <w:r>
        <w:rPr>
          <w:rFonts w:ascii="宋体" w:hAnsi="宋体"/>
          <w:spacing w:val="4"/>
          <w:szCs w:val="21"/>
        </w:rPr>
        <w:t>4.货物在交付甲方前发生的风险均由乙方负责。</w:t>
      </w:r>
    </w:p>
    <w:p w14:paraId="0EA9C740">
      <w:pPr>
        <w:spacing w:line="360" w:lineRule="auto"/>
        <w:ind w:firstLine="436" w:firstLineChars="200"/>
        <w:rPr>
          <w:rFonts w:ascii="宋体" w:hAnsi="宋体"/>
          <w:spacing w:val="4"/>
          <w:szCs w:val="21"/>
        </w:rPr>
      </w:pPr>
      <w:r>
        <w:rPr>
          <w:rFonts w:ascii="宋体" w:hAnsi="宋体"/>
          <w:spacing w:val="4"/>
          <w:szCs w:val="21"/>
        </w:rPr>
        <w:t>5.货物在规定的交付期限内由乙方送达甲方指定的地点视为交付，乙方同时需通知甲方货物已送达。</w:t>
      </w:r>
    </w:p>
    <w:p w14:paraId="249EEBD5">
      <w:pPr>
        <w:spacing w:line="360" w:lineRule="auto"/>
        <w:rPr>
          <w:rFonts w:ascii="宋体" w:hAnsi="宋体"/>
          <w:b/>
          <w:spacing w:val="4"/>
          <w:szCs w:val="21"/>
        </w:rPr>
      </w:pPr>
      <w:r>
        <w:rPr>
          <w:rFonts w:ascii="宋体" w:hAnsi="宋体"/>
          <w:b/>
          <w:spacing w:val="4"/>
          <w:szCs w:val="21"/>
        </w:rPr>
        <w:t>十</w:t>
      </w:r>
      <w:r>
        <w:rPr>
          <w:rFonts w:hint="eastAsia" w:ascii="宋体" w:hAnsi="宋体"/>
          <w:b/>
          <w:spacing w:val="4"/>
          <w:szCs w:val="21"/>
        </w:rPr>
        <w:t>五</w:t>
      </w:r>
      <w:r>
        <w:rPr>
          <w:rFonts w:ascii="宋体" w:hAnsi="宋体"/>
          <w:b/>
          <w:spacing w:val="4"/>
          <w:szCs w:val="21"/>
        </w:rPr>
        <w:t>、违约责任</w:t>
      </w:r>
    </w:p>
    <w:p w14:paraId="3B7E8F8F">
      <w:pPr>
        <w:spacing w:line="360" w:lineRule="auto"/>
        <w:ind w:firstLine="436" w:firstLineChars="200"/>
        <w:rPr>
          <w:rFonts w:ascii="宋体" w:hAnsi="宋体"/>
          <w:spacing w:val="4"/>
          <w:szCs w:val="21"/>
        </w:rPr>
      </w:pPr>
      <w:r>
        <w:rPr>
          <w:rFonts w:ascii="宋体" w:hAnsi="宋体"/>
          <w:spacing w:val="4"/>
          <w:szCs w:val="21"/>
        </w:rPr>
        <w:t>1.甲方无正当理由</w:t>
      </w:r>
      <w:r>
        <w:rPr>
          <w:rFonts w:hint="eastAsia" w:ascii="宋体" w:hAnsi="宋体" w:cs="宋体"/>
          <w:szCs w:val="21"/>
        </w:rPr>
        <w:t>拒收服务或</w:t>
      </w:r>
      <w:r>
        <w:rPr>
          <w:rFonts w:ascii="宋体" w:hAnsi="宋体"/>
          <w:spacing w:val="4"/>
          <w:szCs w:val="21"/>
        </w:rPr>
        <w:t>货物的，甲方向乙方偿付</w:t>
      </w:r>
      <w:r>
        <w:rPr>
          <w:rFonts w:hint="eastAsia" w:ascii="宋体" w:hAnsi="宋体"/>
          <w:spacing w:val="4"/>
          <w:szCs w:val="21"/>
        </w:rPr>
        <w:t>合同</w:t>
      </w:r>
      <w:r>
        <w:rPr>
          <w:rFonts w:ascii="宋体" w:hAnsi="宋体"/>
          <w:spacing w:val="4"/>
          <w:szCs w:val="21"/>
        </w:rPr>
        <w:t>总值的百分之五违约金。</w:t>
      </w:r>
    </w:p>
    <w:p w14:paraId="2BC7F6CC">
      <w:pPr>
        <w:spacing w:line="360" w:lineRule="auto"/>
        <w:ind w:firstLine="436" w:firstLineChars="200"/>
        <w:rPr>
          <w:rFonts w:ascii="宋体" w:hAnsi="宋体"/>
          <w:spacing w:val="4"/>
          <w:szCs w:val="21"/>
        </w:rPr>
      </w:pPr>
      <w:r>
        <w:rPr>
          <w:rFonts w:ascii="宋体" w:hAnsi="宋体"/>
          <w:spacing w:val="4"/>
          <w:szCs w:val="21"/>
        </w:rPr>
        <w:t>2.甲方无故逾期验收和办理货款支付手续的，甲方应按逾期付款总额每日万分之五向乙方支付违约金。</w:t>
      </w:r>
    </w:p>
    <w:p w14:paraId="692E8904">
      <w:pPr>
        <w:spacing w:line="360" w:lineRule="auto"/>
        <w:ind w:firstLine="436" w:firstLineChars="200"/>
        <w:rPr>
          <w:rFonts w:ascii="宋体" w:hAnsi="宋体"/>
          <w:spacing w:val="4"/>
          <w:szCs w:val="21"/>
        </w:rPr>
      </w:pPr>
      <w:r>
        <w:rPr>
          <w:rFonts w:ascii="宋体" w:hAnsi="宋体"/>
          <w:spacing w:val="4"/>
          <w:szCs w:val="21"/>
        </w:rPr>
        <w:t>3.乙方逾期</w:t>
      </w:r>
      <w:r>
        <w:rPr>
          <w:rFonts w:hint="eastAsia" w:ascii="宋体" w:hAnsi="宋体"/>
          <w:spacing w:val="4"/>
          <w:szCs w:val="21"/>
        </w:rPr>
        <w:t>提供服务</w:t>
      </w:r>
      <w:r>
        <w:rPr>
          <w:rFonts w:ascii="宋体" w:hAnsi="宋体"/>
          <w:spacing w:val="4"/>
          <w:szCs w:val="21"/>
        </w:rPr>
        <w:t>的，乙方应按</w:t>
      </w:r>
      <w:r>
        <w:rPr>
          <w:rFonts w:hint="eastAsia" w:ascii="宋体" w:hAnsi="宋体"/>
          <w:spacing w:val="4"/>
          <w:szCs w:val="21"/>
        </w:rPr>
        <w:t>合同</w:t>
      </w:r>
      <w:r>
        <w:rPr>
          <w:rFonts w:ascii="宋体" w:hAnsi="宋体"/>
          <w:spacing w:val="4"/>
          <w:szCs w:val="21"/>
        </w:rPr>
        <w:t>总额每日千分之六向甲方支付违约金，由甲方从待付款</w:t>
      </w:r>
      <w:r>
        <w:rPr>
          <w:rFonts w:hint="eastAsia" w:ascii="宋体" w:hAnsi="宋体"/>
          <w:spacing w:val="4"/>
          <w:szCs w:val="21"/>
        </w:rPr>
        <w:t>项</w:t>
      </w:r>
      <w:r>
        <w:rPr>
          <w:rFonts w:ascii="宋体" w:hAnsi="宋体"/>
          <w:spacing w:val="4"/>
          <w:szCs w:val="21"/>
        </w:rPr>
        <w:t>中扣除。逾期超过约定日期10个工作日不能</w:t>
      </w:r>
      <w:r>
        <w:rPr>
          <w:rFonts w:hint="eastAsia" w:ascii="宋体" w:hAnsi="宋体"/>
          <w:spacing w:val="4"/>
          <w:szCs w:val="21"/>
        </w:rPr>
        <w:t>提供服务</w:t>
      </w:r>
      <w:r>
        <w:rPr>
          <w:rFonts w:ascii="宋体" w:hAnsi="宋体"/>
          <w:spacing w:val="4"/>
          <w:szCs w:val="21"/>
        </w:rPr>
        <w:t>的，甲方可解除本合同。乙方因逾期</w:t>
      </w:r>
      <w:r>
        <w:rPr>
          <w:rFonts w:hint="eastAsia" w:ascii="宋体" w:hAnsi="宋体"/>
          <w:spacing w:val="4"/>
          <w:szCs w:val="21"/>
        </w:rPr>
        <w:t>提供服务</w:t>
      </w:r>
      <w:r>
        <w:rPr>
          <w:rFonts w:ascii="宋体" w:hAnsi="宋体"/>
          <w:spacing w:val="4"/>
          <w:szCs w:val="21"/>
        </w:rPr>
        <w:t>或因其他违约行为导致甲方解除合同的，乙方应向甲方支付合同总值百分之五的违约金，如造成甲方损失超过违约金的，超出部分由乙方继续承担赔偿责任。</w:t>
      </w:r>
    </w:p>
    <w:p w14:paraId="7EA9B300">
      <w:pPr>
        <w:spacing w:line="360" w:lineRule="auto"/>
        <w:ind w:firstLine="436" w:firstLineChars="200"/>
        <w:rPr>
          <w:rFonts w:ascii="宋体" w:hAnsi="宋体"/>
          <w:spacing w:val="4"/>
          <w:szCs w:val="21"/>
        </w:rPr>
      </w:pPr>
      <w:r>
        <w:rPr>
          <w:rFonts w:ascii="宋体" w:hAnsi="宋体"/>
          <w:spacing w:val="4"/>
          <w:szCs w:val="21"/>
        </w:rPr>
        <w:t>4.</w:t>
      </w:r>
      <w:r>
        <w:rPr>
          <w:rFonts w:hint="eastAsia" w:ascii="宋体" w:hAnsi="宋体"/>
          <w:spacing w:val="4"/>
          <w:szCs w:val="21"/>
        </w:rPr>
        <w:t>乙方所交的服务不符合合同规定及采购文件规定标准的，甲方有权拒收该服务，乙方愿意调整但逾期交付的，按乙方逾期交付处理。乙方拒绝调整的，甲方可解除本合同。</w:t>
      </w:r>
    </w:p>
    <w:p w14:paraId="1C19FF07">
      <w:pPr>
        <w:spacing w:line="360" w:lineRule="auto"/>
        <w:ind w:firstLine="436" w:firstLineChars="200"/>
        <w:rPr>
          <w:rFonts w:ascii="宋体" w:hAnsi="宋体"/>
          <w:spacing w:val="4"/>
          <w:szCs w:val="21"/>
        </w:rPr>
      </w:pPr>
      <w:r>
        <w:rPr>
          <w:rFonts w:ascii="宋体" w:hAnsi="宋体"/>
          <w:spacing w:val="4"/>
          <w:szCs w:val="21"/>
        </w:rPr>
        <w:t>5</w:t>
      </w:r>
      <w:r>
        <w:rPr>
          <w:rFonts w:hint="eastAsia" w:ascii="宋体" w:hAnsi="宋体"/>
          <w:spacing w:val="4"/>
          <w:szCs w:val="21"/>
        </w:rPr>
        <w:t>、运营人员配置情况不满足乙方所承诺的人数时，每发现一次扣5000元，并补足配置人数。</w:t>
      </w:r>
    </w:p>
    <w:p w14:paraId="22320A23">
      <w:pPr>
        <w:spacing w:line="360" w:lineRule="auto"/>
        <w:rPr>
          <w:rFonts w:ascii="宋体" w:hAnsi="宋体"/>
          <w:b/>
          <w:spacing w:val="4"/>
          <w:szCs w:val="21"/>
        </w:rPr>
      </w:pPr>
      <w:r>
        <w:rPr>
          <w:rFonts w:ascii="宋体" w:hAnsi="宋体"/>
          <w:b/>
          <w:spacing w:val="4"/>
          <w:szCs w:val="21"/>
        </w:rPr>
        <w:t>十</w:t>
      </w:r>
      <w:r>
        <w:rPr>
          <w:rFonts w:hint="eastAsia" w:ascii="宋体" w:hAnsi="宋体"/>
          <w:b/>
          <w:spacing w:val="4"/>
          <w:szCs w:val="21"/>
        </w:rPr>
        <w:t>六</w:t>
      </w:r>
      <w:r>
        <w:rPr>
          <w:rFonts w:ascii="宋体" w:hAnsi="宋体"/>
          <w:b/>
          <w:spacing w:val="4"/>
          <w:szCs w:val="21"/>
        </w:rPr>
        <w:t>、不可抗力事件处理</w:t>
      </w:r>
    </w:p>
    <w:p w14:paraId="48839435">
      <w:pPr>
        <w:spacing w:line="360" w:lineRule="auto"/>
        <w:ind w:firstLine="436" w:firstLineChars="200"/>
        <w:rPr>
          <w:rFonts w:ascii="宋体" w:hAnsi="宋体"/>
          <w:spacing w:val="4"/>
          <w:szCs w:val="21"/>
        </w:rPr>
      </w:pPr>
      <w:r>
        <w:rPr>
          <w:rFonts w:ascii="宋体" w:hAnsi="宋体"/>
          <w:spacing w:val="4"/>
          <w:szCs w:val="21"/>
        </w:rPr>
        <w:t>1.在合同有效期内，任何一方因不可抗力事件导致不能履行合同，则合同履行期可延长，其延长期与不可抗力影响期相同。</w:t>
      </w:r>
    </w:p>
    <w:p w14:paraId="4106C3B3">
      <w:pPr>
        <w:spacing w:line="360" w:lineRule="auto"/>
        <w:ind w:firstLine="436" w:firstLineChars="200"/>
        <w:rPr>
          <w:rFonts w:ascii="宋体" w:hAnsi="宋体"/>
          <w:spacing w:val="4"/>
          <w:szCs w:val="21"/>
        </w:rPr>
      </w:pPr>
      <w:r>
        <w:rPr>
          <w:rFonts w:ascii="宋体" w:hAnsi="宋体"/>
          <w:spacing w:val="4"/>
          <w:szCs w:val="21"/>
        </w:rPr>
        <w:t>2.不可抗力事件发生后，应立即通知对方，并寄送有关权威机构出具的证明。</w:t>
      </w:r>
    </w:p>
    <w:p w14:paraId="71CB7DFE">
      <w:pPr>
        <w:spacing w:line="360" w:lineRule="auto"/>
        <w:ind w:firstLine="436" w:firstLineChars="200"/>
        <w:rPr>
          <w:rFonts w:ascii="宋体" w:hAnsi="宋体"/>
          <w:spacing w:val="4"/>
          <w:szCs w:val="21"/>
        </w:rPr>
      </w:pPr>
      <w:r>
        <w:rPr>
          <w:rFonts w:ascii="宋体" w:hAnsi="宋体"/>
          <w:spacing w:val="4"/>
          <w:szCs w:val="21"/>
        </w:rPr>
        <w:t>3.不可抗力事件延续120天以上，双方应通过友好协商，确定是否继续履行合同。</w:t>
      </w:r>
    </w:p>
    <w:p w14:paraId="2EDA98CF">
      <w:pPr>
        <w:spacing w:line="360" w:lineRule="auto"/>
        <w:rPr>
          <w:rFonts w:ascii="宋体" w:hAnsi="宋体"/>
          <w:b/>
          <w:spacing w:val="4"/>
          <w:szCs w:val="21"/>
        </w:rPr>
      </w:pPr>
      <w:r>
        <w:rPr>
          <w:rFonts w:ascii="宋体" w:hAnsi="宋体"/>
          <w:b/>
          <w:spacing w:val="4"/>
          <w:szCs w:val="21"/>
        </w:rPr>
        <w:t>十</w:t>
      </w:r>
      <w:r>
        <w:rPr>
          <w:rFonts w:hint="eastAsia" w:ascii="宋体" w:hAnsi="宋体"/>
          <w:b/>
          <w:spacing w:val="4"/>
          <w:szCs w:val="21"/>
        </w:rPr>
        <w:t>七</w:t>
      </w:r>
      <w:r>
        <w:rPr>
          <w:rFonts w:ascii="宋体" w:hAnsi="宋体"/>
          <w:b/>
          <w:spacing w:val="4"/>
          <w:szCs w:val="21"/>
        </w:rPr>
        <w:t>、诉讼</w:t>
      </w:r>
    </w:p>
    <w:p w14:paraId="076333E8">
      <w:pPr>
        <w:spacing w:line="360" w:lineRule="auto"/>
        <w:ind w:firstLine="436" w:firstLineChars="200"/>
        <w:rPr>
          <w:rFonts w:ascii="宋体" w:hAnsi="宋体"/>
          <w:spacing w:val="4"/>
          <w:szCs w:val="21"/>
        </w:rPr>
      </w:pPr>
      <w:r>
        <w:rPr>
          <w:rFonts w:ascii="宋体" w:hAnsi="宋体"/>
          <w:spacing w:val="4"/>
          <w:szCs w:val="21"/>
        </w:rPr>
        <w:t>双方在执行合同中所发生的一切争议，应通过协商解决。如协商不成，可向甲方所在地法院起诉。</w:t>
      </w:r>
    </w:p>
    <w:p w14:paraId="460D2E8F">
      <w:pPr>
        <w:spacing w:line="360" w:lineRule="auto"/>
        <w:rPr>
          <w:rFonts w:ascii="宋体" w:hAnsi="宋体"/>
          <w:b/>
          <w:spacing w:val="4"/>
          <w:szCs w:val="21"/>
        </w:rPr>
      </w:pPr>
      <w:r>
        <w:rPr>
          <w:rFonts w:ascii="宋体" w:hAnsi="宋体"/>
          <w:b/>
          <w:spacing w:val="4"/>
          <w:szCs w:val="21"/>
        </w:rPr>
        <w:t>十</w:t>
      </w:r>
      <w:r>
        <w:rPr>
          <w:rFonts w:hint="eastAsia" w:ascii="宋体" w:hAnsi="宋体"/>
          <w:b/>
          <w:spacing w:val="4"/>
          <w:szCs w:val="21"/>
        </w:rPr>
        <w:t>八</w:t>
      </w:r>
      <w:r>
        <w:rPr>
          <w:rFonts w:ascii="宋体" w:hAnsi="宋体"/>
          <w:b/>
          <w:spacing w:val="4"/>
          <w:szCs w:val="21"/>
        </w:rPr>
        <w:t>、合同生效及其它</w:t>
      </w:r>
    </w:p>
    <w:p w14:paraId="5CE8B17A">
      <w:pPr>
        <w:spacing w:line="360" w:lineRule="auto"/>
        <w:ind w:firstLine="436" w:firstLineChars="200"/>
        <w:rPr>
          <w:rFonts w:ascii="宋体" w:hAnsi="宋体"/>
          <w:spacing w:val="4"/>
          <w:szCs w:val="21"/>
        </w:rPr>
      </w:pPr>
      <w:r>
        <w:rPr>
          <w:rFonts w:ascii="宋体" w:hAnsi="宋体"/>
          <w:spacing w:val="4"/>
          <w:szCs w:val="21"/>
        </w:rPr>
        <w:t>1.合同经双方法定代表人或全权代表签字并加盖单位公章后生效。</w:t>
      </w:r>
    </w:p>
    <w:p w14:paraId="4FEF13A7">
      <w:pPr>
        <w:spacing w:line="360" w:lineRule="auto"/>
        <w:ind w:firstLine="436" w:firstLineChars="200"/>
        <w:rPr>
          <w:rFonts w:ascii="宋体" w:hAnsi="宋体"/>
          <w:spacing w:val="4"/>
          <w:szCs w:val="21"/>
        </w:rPr>
      </w:pPr>
      <w:r>
        <w:rPr>
          <w:rFonts w:ascii="宋体" w:hAnsi="宋体"/>
          <w:spacing w:val="4"/>
          <w:szCs w:val="21"/>
        </w:rPr>
        <w:t>2.合同执行中涉及采购资金和采购内容修改或补充的，须经财政部门审批，并签书面补充协议报政府采购监督管理部门备案，方可作为主合同不可分割的一部分。</w:t>
      </w:r>
    </w:p>
    <w:p w14:paraId="5E26F671">
      <w:pPr>
        <w:spacing w:line="360" w:lineRule="auto"/>
        <w:ind w:firstLine="436" w:firstLineChars="200"/>
        <w:rPr>
          <w:rFonts w:ascii="宋体" w:hAnsi="宋体"/>
          <w:spacing w:val="4"/>
          <w:szCs w:val="21"/>
        </w:rPr>
      </w:pPr>
      <w:r>
        <w:rPr>
          <w:rFonts w:ascii="宋体" w:hAnsi="宋体"/>
          <w:spacing w:val="4"/>
          <w:szCs w:val="21"/>
        </w:rPr>
        <w:t>3.本合同未尽事宜，遵照《</w:t>
      </w:r>
      <w:r>
        <w:rPr>
          <w:rFonts w:hint="eastAsia" w:ascii="宋体" w:hAnsi="宋体"/>
          <w:spacing w:val="4"/>
          <w:szCs w:val="21"/>
        </w:rPr>
        <w:t>中华人民共和国民法典</w:t>
      </w:r>
      <w:r>
        <w:rPr>
          <w:rFonts w:ascii="宋体" w:hAnsi="宋体"/>
          <w:spacing w:val="4"/>
          <w:szCs w:val="21"/>
        </w:rPr>
        <w:t>》有关条文执行。</w:t>
      </w:r>
    </w:p>
    <w:p w14:paraId="4F8C340C">
      <w:pPr>
        <w:spacing w:line="360" w:lineRule="auto"/>
        <w:ind w:firstLine="436" w:firstLineChars="200"/>
        <w:rPr>
          <w:rFonts w:ascii="宋体" w:hAnsi="宋体"/>
          <w:spacing w:val="4"/>
          <w:szCs w:val="21"/>
        </w:rPr>
      </w:pPr>
      <w:r>
        <w:rPr>
          <w:rFonts w:ascii="宋体" w:hAnsi="宋体"/>
          <w:spacing w:val="4"/>
          <w:szCs w:val="21"/>
        </w:rPr>
        <w:t>4.</w:t>
      </w:r>
      <w:r>
        <w:rPr>
          <w:rFonts w:hint="eastAsia" w:ascii="宋体" w:hAnsi="宋体" w:cs="宋体"/>
          <w:szCs w:val="21"/>
        </w:rPr>
        <w:t>本合同正本一式X份，具有同等法律效力，甲乙双方各执X份。</w:t>
      </w:r>
    </w:p>
    <w:p w14:paraId="03138F53">
      <w:pPr>
        <w:pStyle w:val="2"/>
        <w:ind w:firstLine="0"/>
        <w:rPr>
          <w:lang w:val="en-US"/>
        </w:rPr>
      </w:pPr>
    </w:p>
    <w:p w14:paraId="73548FB6">
      <w:pPr>
        <w:tabs>
          <w:tab w:val="left" w:pos="5670"/>
        </w:tabs>
        <w:spacing w:line="360" w:lineRule="auto"/>
        <w:ind w:left="685" w:leftChars="326"/>
        <w:rPr>
          <w:rFonts w:ascii="宋体" w:hAnsi="宋体"/>
          <w:spacing w:val="4"/>
          <w:szCs w:val="21"/>
        </w:rPr>
      </w:pPr>
      <w:r>
        <w:rPr>
          <w:rFonts w:ascii="宋体" w:hAnsi="宋体"/>
          <w:spacing w:val="4"/>
          <w:szCs w:val="21"/>
        </w:rPr>
        <w:t>甲方：</w:t>
      </w:r>
      <w:r>
        <w:rPr>
          <w:rFonts w:ascii="宋体" w:hAnsi="宋体"/>
          <w:spacing w:val="4"/>
          <w:szCs w:val="21"/>
        </w:rPr>
        <w:tab/>
      </w:r>
      <w:r>
        <w:rPr>
          <w:rFonts w:ascii="宋体" w:hAnsi="宋体"/>
          <w:spacing w:val="4"/>
          <w:szCs w:val="21"/>
        </w:rPr>
        <w:t>乙方：</w:t>
      </w:r>
    </w:p>
    <w:p w14:paraId="7A1E7D2F">
      <w:pPr>
        <w:tabs>
          <w:tab w:val="left" w:pos="5670"/>
        </w:tabs>
        <w:spacing w:line="360" w:lineRule="auto"/>
        <w:ind w:left="685" w:leftChars="326"/>
        <w:rPr>
          <w:rFonts w:ascii="宋体" w:hAnsi="宋体"/>
          <w:spacing w:val="4"/>
          <w:szCs w:val="21"/>
        </w:rPr>
      </w:pPr>
      <w:r>
        <w:rPr>
          <w:rFonts w:ascii="宋体" w:hAnsi="宋体"/>
          <w:spacing w:val="4"/>
          <w:szCs w:val="21"/>
        </w:rPr>
        <w:t>地址：</w:t>
      </w:r>
      <w:r>
        <w:rPr>
          <w:rFonts w:ascii="宋体" w:hAnsi="宋体"/>
          <w:spacing w:val="4"/>
          <w:szCs w:val="21"/>
        </w:rPr>
        <w:tab/>
      </w:r>
      <w:r>
        <w:rPr>
          <w:rFonts w:ascii="宋体" w:hAnsi="宋体"/>
          <w:spacing w:val="4"/>
          <w:szCs w:val="21"/>
        </w:rPr>
        <w:t>地址：</w:t>
      </w:r>
    </w:p>
    <w:p w14:paraId="047DD1C7">
      <w:pPr>
        <w:tabs>
          <w:tab w:val="left" w:pos="5670"/>
        </w:tabs>
        <w:spacing w:line="360" w:lineRule="auto"/>
        <w:ind w:left="685" w:leftChars="326"/>
        <w:rPr>
          <w:rFonts w:ascii="宋体" w:hAnsi="宋体"/>
          <w:spacing w:val="4"/>
          <w:szCs w:val="21"/>
        </w:rPr>
      </w:pPr>
      <w:r>
        <w:rPr>
          <w:rFonts w:ascii="宋体" w:hAnsi="宋体"/>
          <w:spacing w:val="4"/>
          <w:szCs w:val="21"/>
        </w:rPr>
        <w:t>法定代表人（或全权代表）：</w:t>
      </w:r>
      <w:r>
        <w:rPr>
          <w:rFonts w:ascii="宋体" w:hAnsi="宋体"/>
          <w:spacing w:val="4"/>
          <w:szCs w:val="21"/>
        </w:rPr>
        <w:tab/>
      </w:r>
      <w:r>
        <w:rPr>
          <w:rFonts w:ascii="宋体" w:hAnsi="宋体"/>
          <w:spacing w:val="4"/>
          <w:szCs w:val="21"/>
        </w:rPr>
        <w:t>法定代表人（或全权代表）：</w:t>
      </w:r>
    </w:p>
    <w:p w14:paraId="212B6E02">
      <w:pPr>
        <w:tabs>
          <w:tab w:val="left" w:pos="5670"/>
        </w:tabs>
        <w:spacing w:line="360" w:lineRule="auto"/>
        <w:ind w:left="685" w:leftChars="326"/>
        <w:rPr>
          <w:rFonts w:ascii="宋体" w:hAnsi="宋体"/>
          <w:spacing w:val="4"/>
          <w:szCs w:val="21"/>
        </w:rPr>
      </w:pPr>
      <w:r>
        <w:rPr>
          <w:rFonts w:ascii="宋体" w:hAnsi="宋体"/>
          <w:spacing w:val="4"/>
          <w:szCs w:val="21"/>
        </w:rPr>
        <w:t>签字日期：年月日</w:t>
      </w:r>
      <w:r>
        <w:rPr>
          <w:rFonts w:ascii="宋体" w:hAnsi="宋体"/>
          <w:spacing w:val="4"/>
          <w:szCs w:val="21"/>
        </w:rPr>
        <w:tab/>
      </w:r>
      <w:r>
        <w:rPr>
          <w:rFonts w:ascii="宋体" w:hAnsi="宋体"/>
          <w:spacing w:val="4"/>
          <w:szCs w:val="21"/>
        </w:rPr>
        <w:t>签字日期：年月日</w:t>
      </w:r>
    </w:p>
    <w:p w14:paraId="0D5ED760">
      <w:pPr>
        <w:tabs>
          <w:tab w:val="left" w:pos="5670"/>
        </w:tabs>
        <w:spacing w:line="360" w:lineRule="auto"/>
        <w:ind w:left="685" w:leftChars="326"/>
        <w:rPr>
          <w:rFonts w:ascii="宋体" w:hAnsi="宋体"/>
          <w:spacing w:val="4"/>
          <w:szCs w:val="21"/>
        </w:rPr>
      </w:pPr>
    </w:p>
    <w:p w14:paraId="36BB86FD">
      <w:pPr>
        <w:spacing w:line="360" w:lineRule="auto"/>
        <w:jc w:val="left"/>
        <w:rPr>
          <w:rFonts w:ascii="宋体" w:hAnsi="宋体"/>
          <w:szCs w:val="21"/>
        </w:rPr>
      </w:pPr>
    </w:p>
    <w:p w14:paraId="76C2E230">
      <w:pPr>
        <w:pStyle w:val="12"/>
        <w:snapToGrid w:val="0"/>
        <w:spacing w:before="120" w:after="120" w:line="360" w:lineRule="auto"/>
        <w:jc w:val="center"/>
        <w:outlineLvl w:val="0"/>
        <w:rPr>
          <w:rFonts w:hAnsi="宋体" w:eastAsia="宋体"/>
          <w:b/>
          <w:szCs w:val="30"/>
        </w:rPr>
      </w:pPr>
    </w:p>
    <w:p w14:paraId="6EDE59B4">
      <w:pPr>
        <w:pStyle w:val="12"/>
        <w:snapToGrid w:val="0"/>
        <w:spacing w:before="120" w:after="120" w:line="360" w:lineRule="auto"/>
        <w:jc w:val="center"/>
        <w:outlineLvl w:val="0"/>
        <w:rPr>
          <w:rFonts w:hAnsi="宋体" w:eastAsia="宋体"/>
          <w:b/>
          <w:szCs w:val="30"/>
        </w:rPr>
      </w:pPr>
    </w:p>
    <w:p w14:paraId="798F70EC">
      <w:pPr>
        <w:pStyle w:val="12"/>
        <w:snapToGrid w:val="0"/>
        <w:spacing w:before="120" w:after="120" w:line="360" w:lineRule="auto"/>
        <w:jc w:val="center"/>
        <w:outlineLvl w:val="0"/>
        <w:rPr>
          <w:rFonts w:hAnsi="宋体" w:eastAsia="宋体"/>
          <w:b/>
          <w:szCs w:val="30"/>
        </w:rPr>
      </w:pPr>
    </w:p>
    <w:p w14:paraId="2CCF8B21">
      <w:pPr>
        <w:pStyle w:val="12"/>
        <w:snapToGrid w:val="0"/>
        <w:spacing w:before="120" w:after="120" w:line="360" w:lineRule="auto"/>
        <w:jc w:val="center"/>
        <w:outlineLvl w:val="0"/>
        <w:rPr>
          <w:rFonts w:hAnsi="宋体" w:eastAsia="宋体"/>
          <w:b/>
          <w:szCs w:val="30"/>
        </w:rPr>
      </w:pPr>
    </w:p>
    <w:p w14:paraId="5AB3E9E3">
      <w:pPr>
        <w:pStyle w:val="12"/>
        <w:snapToGrid w:val="0"/>
        <w:spacing w:before="120" w:after="120" w:line="360" w:lineRule="auto"/>
        <w:jc w:val="center"/>
        <w:outlineLvl w:val="0"/>
        <w:rPr>
          <w:rFonts w:hAnsi="宋体" w:eastAsia="宋体"/>
          <w:b/>
          <w:szCs w:val="30"/>
        </w:rPr>
      </w:pPr>
    </w:p>
    <w:p w14:paraId="651A435F">
      <w:pPr>
        <w:pStyle w:val="12"/>
        <w:snapToGrid w:val="0"/>
        <w:spacing w:before="120" w:after="120" w:line="360" w:lineRule="auto"/>
        <w:jc w:val="center"/>
        <w:outlineLvl w:val="0"/>
        <w:rPr>
          <w:rFonts w:hAnsi="宋体" w:eastAsia="宋体"/>
          <w:b/>
          <w:szCs w:val="30"/>
        </w:rPr>
      </w:pPr>
    </w:p>
    <w:p w14:paraId="671B5AE5">
      <w:pPr>
        <w:pStyle w:val="12"/>
        <w:snapToGrid w:val="0"/>
        <w:spacing w:before="120" w:after="120" w:line="360" w:lineRule="auto"/>
        <w:jc w:val="center"/>
        <w:outlineLvl w:val="0"/>
        <w:rPr>
          <w:rFonts w:hAnsi="宋体" w:eastAsia="宋体"/>
          <w:b/>
          <w:szCs w:val="30"/>
        </w:rPr>
      </w:pPr>
    </w:p>
    <w:p w14:paraId="4E27BF8D">
      <w:pPr>
        <w:pStyle w:val="12"/>
        <w:snapToGrid w:val="0"/>
        <w:spacing w:before="120" w:after="120" w:line="360" w:lineRule="auto"/>
        <w:jc w:val="center"/>
        <w:outlineLvl w:val="0"/>
        <w:rPr>
          <w:rFonts w:hAnsi="宋体" w:eastAsia="宋体"/>
          <w:b/>
          <w:szCs w:val="30"/>
        </w:rPr>
      </w:pPr>
    </w:p>
    <w:p w14:paraId="295B1F77">
      <w:pPr>
        <w:pStyle w:val="12"/>
        <w:snapToGrid w:val="0"/>
        <w:spacing w:before="120" w:after="120" w:line="360" w:lineRule="auto"/>
        <w:jc w:val="center"/>
        <w:outlineLvl w:val="0"/>
        <w:rPr>
          <w:rFonts w:hAnsi="宋体" w:eastAsia="宋体"/>
          <w:b/>
          <w:szCs w:val="30"/>
        </w:rPr>
      </w:pPr>
    </w:p>
    <w:p w14:paraId="33D8CBC7">
      <w:pPr>
        <w:pStyle w:val="12"/>
        <w:snapToGrid w:val="0"/>
        <w:spacing w:before="120" w:after="120" w:line="360" w:lineRule="auto"/>
        <w:jc w:val="center"/>
        <w:outlineLvl w:val="0"/>
        <w:rPr>
          <w:rFonts w:hAnsi="宋体" w:eastAsia="宋体"/>
          <w:b/>
          <w:szCs w:val="30"/>
        </w:rPr>
      </w:pPr>
    </w:p>
    <w:p w14:paraId="3C4F525F">
      <w:pPr>
        <w:pStyle w:val="12"/>
        <w:snapToGrid w:val="0"/>
        <w:spacing w:before="120" w:after="120" w:line="360" w:lineRule="auto"/>
        <w:jc w:val="center"/>
        <w:outlineLvl w:val="0"/>
        <w:rPr>
          <w:rFonts w:hAnsi="宋体" w:eastAsia="宋体"/>
          <w:b/>
          <w:szCs w:val="30"/>
        </w:rPr>
      </w:pPr>
    </w:p>
    <w:p w14:paraId="3FD6F6B0">
      <w:pPr>
        <w:pStyle w:val="12"/>
        <w:snapToGrid w:val="0"/>
        <w:spacing w:before="120" w:after="120" w:line="360" w:lineRule="auto"/>
        <w:jc w:val="center"/>
        <w:outlineLvl w:val="0"/>
        <w:rPr>
          <w:rFonts w:hAnsi="宋体" w:eastAsia="宋体"/>
          <w:b/>
          <w:szCs w:val="30"/>
        </w:rPr>
      </w:pPr>
    </w:p>
    <w:p w14:paraId="2CCF648A">
      <w:pPr>
        <w:pStyle w:val="12"/>
        <w:snapToGrid w:val="0"/>
        <w:spacing w:before="120" w:after="120" w:line="360" w:lineRule="auto"/>
        <w:jc w:val="center"/>
        <w:outlineLvl w:val="0"/>
        <w:rPr>
          <w:rFonts w:hAnsi="宋体" w:eastAsia="宋体"/>
          <w:b/>
          <w:szCs w:val="30"/>
        </w:rPr>
      </w:pPr>
    </w:p>
    <w:p w14:paraId="3DA5093B">
      <w:pPr>
        <w:pStyle w:val="12"/>
        <w:snapToGrid w:val="0"/>
        <w:spacing w:before="120" w:after="120" w:line="360" w:lineRule="auto"/>
        <w:jc w:val="center"/>
        <w:outlineLvl w:val="0"/>
        <w:rPr>
          <w:rFonts w:hAnsi="宋体" w:eastAsia="宋体"/>
          <w:b/>
          <w:szCs w:val="30"/>
        </w:rPr>
      </w:pPr>
    </w:p>
    <w:p w14:paraId="0A7067DB">
      <w:pPr>
        <w:pStyle w:val="12"/>
        <w:snapToGrid w:val="0"/>
        <w:spacing w:before="120" w:after="120" w:line="360" w:lineRule="auto"/>
        <w:jc w:val="center"/>
        <w:outlineLvl w:val="0"/>
        <w:rPr>
          <w:rFonts w:hAnsi="宋体" w:eastAsia="宋体"/>
          <w:b/>
          <w:szCs w:val="30"/>
        </w:rPr>
      </w:pPr>
    </w:p>
    <w:p w14:paraId="00354815"/>
    <w:p w14:paraId="5FD21C5E">
      <w:pPr>
        <w:pStyle w:val="12"/>
        <w:snapToGrid w:val="0"/>
        <w:spacing w:before="120" w:after="120" w:line="360" w:lineRule="auto"/>
        <w:jc w:val="center"/>
        <w:outlineLvl w:val="0"/>
        <w:rPr>
          <w:rFonts w:hAnsi="宋体" w:eastAsia="宋体" w:cs="宋体"/>
          <w:szCs w:val="21"/>
        </w:rPr>
      </w:pPr>
      <w:r>
        <w:rPr>
          <w:rFonts w:hAnsi="宋体" w:eastAsia="宋体"/>
          <w:b/>
          <w:szCs w:val="30"/>
        </w:rPr>
        <w:t>第六章</w:t>
      </w:r>
      <w:r>
        <w:rPr>
          <w:rFonts w:hint="eastAsia" w:hAnsi="宋体" w:eastAsia="宋体"/>
          <w:b/>
          <w:szCs w:val="30"/>
        </w:rPr>
        <w:t xml:space="preserve"> 投标</w:t>
      </w:r>
      <w:r>
        <w:rPr>
          <w:rFonts w:hAnsi="宋体" w:eastAsia="宋体"/>
          <w:b/>
          <w:szCs w:val="30"/>
        </w:rPr>
        <w:t>文件格式</w:t>
      </w:r>
    </w:p>
    <w:p w14:paraId="2D44DE98">
      <w:pPr>
        <w:pStyle w:val="39"/>
        <w:numPr>
          <w:ilvl w:val="255"/>
          <w:numId w:val="0"/>
        </w:numPr>
        <w:spacing w:before="120" w:after="120"/>
        <w:ind w:right="-506" w:rightChars="-241" w:firstLine="420" w:firstLineChars="200"/>
        <w:rPr>
          <w:rFonts w:hAnsi="宋体" w:eastAsia="宋体" w:cs="宋体"/>
          <w:b/>
          <w:sz w:val="21"/>
        </w:rPr>
      </w:pPr>
      <w:r>
        <w:rPr>
          <w:rFonts w:hint="eastAsia" w:hAnsi="宋体" w:eastAsia="宋体" w:cs="宋体"/>
          <w:sz w:val="21"/>
        </w:rPr>
        <w:t>投标文件由资格响应文件、商务及技术响应文件、报价文件三部份组成。</w:t>
      </w:r>
      <w:r>
        <w:rPr>
          <w:rFonts w:hint="eastAsia" w:hAnsi="宋体" w:eastAsia="宋体" w:cs="宋体"/>
          <w:b/>
          <w:sz w:val="21"/>
        </w:rPr>
        <w:t>投标文件中涉及的有关内容均须提供合法有效的证明材料扫描件件。</w:t>
      </w:r>
      <w:r>
        <w:rPr>
          <w:rFonts w:hint="eastAsia" w:hAnsi="宋体" w:eastAsia="宋体" w:cs="宋体"/>
          <w:sz w:val="21"/>
        </w:rPr>
        <w:t>电子投标文件中所须加盖公章部分均采用CA签章。</w:t>
      </w:r>
      <w:r>
        <w:rPr>
          <w:rFonts w:hint="eastAsia" w:hAnsi="宋体" w:eastAsia="宋体" w:cs="宋体"/>
          <w:b/>
          <w:sz w:val="21"/>
        </w:rPr>
        <w:t>有▲标识的条款为必须提交的资料。</w:t>
      </w:r>
    </w:p>
    <w:p w14:paraId="42C4DAED">
      <w:pPr>
        <w:pStyle w:val="39"/>
        <w:snapToGrid w:val="0"/>
        <w:spacing w:before="120" w:after="120" w:line="360" w:lineRule="auto"/>
        <w:ind w:right="-506" w:rightChars="-241" w:firstLine="422" w:firstLineChars="200"/>
        <w:rPr>
          <w:rFonts w:hAnsi="宋体" w:eastAsia="宋体"/>
          <w:b/>
          <w:bCs/>
          <w:sz w:val="21"/>
        </w:rPr>
      </w:pPr>
      <w:r>
        <w:rPr>
          <w:rFonts w:hint="eastAsia" w:hAnsi="宋体" w:eastAsia="宋体"/>
          <w:b/>
          <w:bCs/>
          <w:sz w:val="21"/>
        </w:rPr>
        <w:t>▲1、资格响应部份：</w:t>
      </w:r>
    </w:p>
    <w:p w14:paraId="3A3811D3">
      <w:pPr>
        <w:snapToGrid w:val="0"/>
        <w:spacing w:line="360" w:lineRule="auto"/>
        <w:ind w:firstLine="420" w:firstLineChars="200"/>
        <w:jc w:val="left"/>
        <w:rPr>
          <w:rFonts w:ascii="宋体" w:hAnsi="宋体" w:cs="宋体"/>
          <w:szCs w:val="21"/>
        </w:rPr>
      </w:pPr>
      <w:r>
        <w:rPr>
          <w:rFonts w:hint="eastAsia" w:ascii="宋体" w:hAnsi="宋体" w:cs="宋体"/>
          <w:szCs w:val="21"/>
        </w:rPr>
        <w:t>基本资格条件：符合《中华人民共和国政府采购法》第二十二条的规定；</w:t>
      </w:r>
    </w:p>
    <w:p w14:paraId="6F40B15C">
      <w:pPr>
        <w:snapToGrid w:val="0"/>
        <w:spacing w:line="360" w:lineRule="auto"/>
        <w:ind w:firstLine="420" w:firstLineChars="200"/>
        <w:jc w:val="left"/>
        <w:rPr>
          <w:rFonts w:ascii="宋体" w:hAnsi="宋体" w:cs="宋体"/>
          <w:szCs w:val="21"/>
        </w:rPr>
      </w:pPr>
      <w:r>
        <w:rPr>
          <w:rFonts w:hint="eastAsia" w:ascii="宋体" w:hAnsi="宋体" w:cs="宋体"/>
          <w:szCs w:val="21"/>
        </w:rPr>
        <w:t>1.1营业执照复印件；</w:t>
      </w:r>
    </w:p>
    <w:p w14:paraId="46C2773A">
      <w:pPr>
        <w:snapToGrid w:val="0"/>
        <w:spacing w:line="360" w:lineRule="auto"/>
        <w:ind w:firstLine="420" w:firstLineChars="200"/>
        <w:jc w:val="left"/>
        <w:rPr>
          <w:rFonts w:ascii="宋体" w:hAnsi="宋体" w:cs="宋体"/>
          <w:szCs w:val="21"/>
        </w:rPr>
      </w:pPr>
      <w:r>
        <w:rPr>
          <w:rFonts w:ascii="宋体" w:hAnsi="宋体" w:cs="宋体"/>
          <w:szCs w:val="21"/>
        </w:rPr>
        <w:t>1.1</w:t>
      </w:r>
      <w:r>
        <w:rPr>
          <w:rFonts w:hint="eastAsia" w:ascii="宋体" w:hAnsi="宋体" w:cs="宋体"/>
          <w:szCs w:val="21"/>
        </w:rPr>
        <w:t>基本资格条件：符合《中华人民共和国政府采购法》第二十二条的规定；</w:t>
      </w:r>
    </w:p>
    <w:p w14:paraId="0ABAA03A">
      <w:pPr>
        <w:snapToGrid w:val="0"/>
        <w:spacing w:line="360" w:lineRule="auto"/>
        <w:ind w:firstLine="420" w:firstLineChars="200"/>
        <w:jc w:val="left"/>
        <w:rPr>
          <w:rFonts w:ascii="宋体" w:hAnsi="宋体" w:cs="宋体"/>
          <w:szCs w:val="21"/>
        </w:rPr>
      </w:pPr>
      <w:r>
        <w:rPr>
          <w:rFonts w:hint="eastAsia" w:ascii="宋体" w:hAnsi="宋体" w:cs="宋体"/>
          <w:szCs w:val="21"/>
        </w:rPr>
        <w:t>（以下是第二十二条要求及对应证明材料的具体内容，各投标人须在投标文件中出具对应证明材料）</w:t>
      </w:r>
    </w:p>
    <w:p w14:paraId="6547AA61">
      <w:pPr>
        <w:snapToGrid w:val="0"/>
        <w:spacing w:line="360" w:lineRule="auto"/>
        <w:ind w:firstLine="420" w:firstLineChars="200"/>
        <w:jc w:val="left"/>
        <w:rPr>
          <w:rFonts w:ascii="宋体" w:hAnsi="宋体" w:cs="宋体"/>
          <w:szCs w:val="21"/>
        </w:rPr>
      </w:pPr>
      <w:r>
        <w:rPr>
          <w:rFonts w:ascii="宋体" w:hAnsi="宋体" w:cs="宋体"/>
          <w:szCs w:val="21"/>
        </w:rPr>
        <w:t>A.</w:t>
      </w:r>
      <w:r>
        <w:rPr>
          <w:rFonts w:hint="eastAsia" w:ascii="宋体" w:hAnsi="宋体" w:cs="宋体"/>
          <w:szCs w:val="21"/>
        </w:rPr>
        <w:t>具有独立承担民事责任的能力：</w:t>
      </w:r>
    </w:p>
    <w:p w14:paraId="4C696A2D">
      <w:pPr>
        <w:snapToGrid w:val="0"/>
        <w:spacing w:line="360" w:lineRule="auto"/>
        <w:ind w:firstLine="420" w:firstLineChars="200"/>
        <w:jc w:val="left"/>
        <w:rPr>
          <w:rFonts w:ascii="宋体" w:hAnsi="宋体" w:cs="宋体"/>
          <w:szCs w:val="21"/>
        </w:rPr>
      </w:pPr>
      <w:r>
        <w:rPr>
          <w:rFonts w:hint="eastAsia" w:ascii="宋体" w:hAnsi="宋体" w:cs="宋体"/>
          <w:szCs w:val="21"/>
        </w:rPr>
        <w:t>投标人须在投标文件中出具符合以下情况的证明材料复印件（五选一）：</w:t>
      </w:r>
    </w:p>
    <w:p w14:paraId="044F1C2B">
      <w:pPr>
        <w:snapToGrid w:val="0"/>
        <w:spacing w:line="360" w:lineRule="auto"/>
        <w:ind w:firstLine="420" w:firstLineChars="200"/>
        <w:jc w:val="left"/>
        <w:rPr>
          <w:rFonts w:ascii="宋体" w:hAnsi="宋体" w:cs="宋体"/>
          <w:szCs w:val="21"/>
        </w:rPr>
      </w:pPr>
      <w:r>
        <w:rPr>
          <w:rFonts w:ascii="宋体" w:hAnsi="宋体" w:cs="宋体"/>
          <w:szCs w:val="21"/>
        </w:rPr>
        <w:fldChar w:fldCharType="begin"/>
      </w:r>
      <w:r>
        <w:rPr>
          <w:rFonts w:ascii="宋体" w:hAnsi="宋体" w:cs="宋体"/>
          <w:szCs w:val="21"/>
        </w:rPr>
        <w:instrText xml:space="preserve"> EQ \o\ac(</w:instrText>
      </w:r>
      <w:r>
        <w:rPr>
          <w:rFonts w:hint="eastAsia" w:ascii="宋体" w:hAnsi="宋体" w:cs="宋体"/>
          <w:szCs w:val="21"/>
        </w:rPr>
        <w:instrText xml:space="preserve">○</w:instrText>
      </w:r>
      <w:r>
        <w:rPr>
          <w:rFonts w:ascii="宋体" w:hAnsi="宋体" w:cs="宋体"/>
          <w:szCs w:val="21"/>
        </w:rPr>
        <w:instrText xml:space="preserve">,1)</w:instrText>
      </w:r>
      <w:r>
        <w:rPr>
          <w:rFonts w:ascii="宋体" w:hAnsi="宋体" w:cs="宋体"/>
          <w:szCs w:val="21"/>
        </w:rPr>
        <w:fldChar w:fldCharType="end"/>
      </w:r>
      <w:r>
        <w:rPr>
          <w:rFonts w:hint="eastAsia" w:ascii="宋体" w:hAnsi="宋体" w:cs="宋体"/>
          <w:szCs w:val="21"/>
        </w:rPr>
        <w:t>如投标人是企业（包括合伙企业），提供在工商部门注册的有效“企业法人营业执照”或“营业执照”；</w:t>
      </w:r>
    </w:p>
    <w:p w14:paraId="53CB848B">
      <w:pPr>
        <w:snapToGrid w:val="0"/>
        <w:spacing w:line="360" w:lineRule="auto"/>
        <w:ind w:firstLine="420" w:firstLineChars="200"/>
        <w:jc w:val="left"/>
        <w:rPr>
          <w:rFonts w:ascii="宋体" w:hAnsi="宋体" w:cs="宋体"/>
          <w:szCs w:val="21"/>
        </w:rPr>
      </w:pPr>
      <w:r>
        <w:rPr>
          <w:rFonts w:ascii="宋体" w:hAnsi="宋体" w:cs="宋体"/>
          <w:szCs w:val="21"/>
        </w:rPr>
        <w:fldChar w:fldCharType="begin"/>
      </w:r>
      <w:r>
        <w:rPr>
          <w:rFonts w:ascii="宋体" w:hAnsi="宋体" w:cs="宋体"/>
          <w:szCs w:val="21"/>
        </w:rPr>
        <w:instrText xml:space="preserve"> EQ \o\ac(</w:instrText>
      </w:r>
      <w:r>
        <w:rPr>
          <w:rFonts w:hint="eastAsia" w:ascii="宋体" w:hAnsi="宋体" w:cs="宋体"/>
          <w:szCs w:val="21"/>
        </w:rPr>
        <w:instrText xml:space="preserve">○</w:instrText>
      </w:r>
      <w:r>
        <w:rPr>
          <w:rFonts w:ascii="宋体" w:hAnsi="宋体" w:cs="宋体"/>
          <w:szCs w:val="21"/>
        </w:rPr>
        <w:instrText xml:space="preserve">,2)</w:instrText>
      </w:r>
      <w:r>
        <w:rPr>
          <w:rFonts w:ascii="宋体" w:hAnsi="宋体" w:cs="宋体"/>
          <w:szCs w:val="21"/>
        </w:rPr>
        <w:fldChar w:fldCharType="end"/>
      </w:r>
      <w:r>
        <w:rPr>
          <w:rFonts w:hint="eastAsia" w:ascii="宋体" w:hAnsi="宋体" w:cs="宋体"/>
          <w:szCs w:val="21"/>
        </w:rPr>
        <w:t>如投标人是事业单位，提供有效的“事业单位法人证书”；</w:t>
      </w:r>
    </w:p>
    <w:p w14:paraId="777E90D3">
      <w:pPr>
        <w:snapToGrid w:val="0"/>
        <w:spacing w:line="360" w:lineRule="auto"/>
        <w:ind w:firstLine="420" w:firstLineChars="200"/>
        <w:jc w:val="left"/>
        <w:rPr>
          <w:rFonts w:ascii="宋体" w:hAnsi="宋体" w:cs="宋体"/>
          <w:szCs w:val="21"/>
        </w:rPr>
      </w:pPr>
      <w:r>
        <w:rPr>
          <w:rFonts w:ascii="宋体" w:hAnsi="宋体" w:cs="宋体"/>
          <w:szCs w:val="21"/>
        </w:rPr>
        <w:fldChar w:fldCharType="begin"/>
      </w:r>
      <w:r>
        <w:rPr>
          <w:rFonts w:ascii="宋体" w:hAnsi="宋体" w:cs="宋体"/>
          <w:szCs w:val="21"/>
        </w:rPr>
        <w:instrText xml:space="preserve"> EQ \o\ac(</w:instrText>
      </w:r>
      <w:r>
        <w:rPr>
          <w:rFonts w:hint="eastAsia" w:ascii="宋体" w:hAnsi="宋体" w:cs="宋体"/>
          <w:szCs w:val="21"/>
        </w:rPr>
        <w:instrText xml:space="preserve">○</w:instrText>
      </w:r>
      <w:r>
        <w:rPr>
          <w:rFonts w:ascii="宋体" w:hAnsi="宋体" w:cs="宋体"/>
          <w:szCs w:val="21"/>
        </w:rPr>
        <w:instrText xml:space="preserve">,3)</w:instrText>
      </w:r>
      <w:r>
        <w:rPr>
          <w:rFonts w:ascii="宋体" w:hAnsi="宋体" w:cs="宋体"/>
          <w:szCs w:val="21"/>
        </w:rPr>
        <w:fldChar w:fldCharType="end"/>
      </w:r>
      <w:r>
        <w:rPr>
          <w:rFonts w:hint="eastAsia" w:ascii="宋体" w:hAnsi="宋体" w:cs="宋体"/>
          <w:szCs w:val="21"/>
        </w:rPr>
        <w:t>如投标人是非企业专业服务机构的，提供执业许可证等证明文件等证明文件；</w:t>
      </w:r>
    </w:p>
    <w:p w14:paraId="557F7E6E">
      <w:pPr>
        <w:snapToGrid w:val="0"/>
        <w:spacing w:line="360" w:lineRule="auto"/>
        <w:ind w:firstLine="420" w:firstLineChars="200"/>
        <w:jc w:val="left"/>
        <w:rPr>
          <w:rFonts w:ascii="宋体" w:hAnsi="宋体" w:cs="宋体"/>
          <w:szCs w:val="21"/>
        </w:rPr>
      </w:pPr>
      <w:r>
        <w:rPr>
          <w:rFonts w:ascii="宋体" w:hAnsi="宋体" w:cs="宋体"/>
          <w:szCs w:val="21"/>
        </w:rPr>
        <w:fldChar w:fldCharType="begin"/>
      </w:r>
      <w:r>
        <w:rPr>
          <w:rFonts w:ascii="宋体" w:hAnsi="宋体" w:cs="宋体"/>
          <w:szCs w:val="21"/>
        </w:rPr>
        <w:instrText xml:space="preserve"> EQ \o\ac(</w:instrText>
      </w:r>
      <w:r>
        <w:rPr>
          <w:rFonts w:hint="eastAsia" w:ascii="宋体" w:hAnsi="宋体" w:cs="宋体"/>
          <w:szCs w:val="21"/>
        </w:rPr>
        <w:instrText xml:space="preserve">○</w:instrText>
      </w:r>
      <w:r>
        <w:rPr>
          <w:rFonts w:ascii="宋体" w:hAnsi="宋体" w:cs="宋体"/>
          <w:szCs w:val="21"/>
        </w:rPr>
        <w:instrText xml:space="preserve">,4)</w:instrText>
      </w:r>
      <w:r>
        <w:rPr>
          <w:rFonts w:ascii="宋体" w:hAnsi="宋体" w:cs="宋体"/>
          <w:szCs w:val="21"/>
        </w:rPr>
        <w:fldChar w:fldCharType="end"/>
      </w:r>
      <w:r>
        <w:rPr>
          <w:rFonts w:hint="eastAsia" w:ascii="宋体" w:hAnsi="宋体" w:cs="宋体"/>
          <w:szCs w:val="21"/>
        </w:rPr>
        <w:t>如投标人是个体工商户，提供有效的“个体工商户营业执照”；</w:t>
      </w:r>
    </w:p>
    <w:p w14:paraId="25D56217">
      <w:pPr>
        <w:snapToGrid w:val="0"/>
        <w:spacing w:line="360" w:lineRule="auto"/>
        <w:ind w:firstLine="420" w:firstLineChars="200"/>
        <w:rPr>
          <w:rFonts w:hint="eastAsia" w:ascii="宋体" w:hAnsi="宋体" w:cs="宋体"/>
          <w:szCs w:val="21"/>
        </w:rPr>
      </w:pPr>
      <w:r>
        <w:rPr>
          <w:rFonts w:ascii="宋体" w:hAnsi="宋体" w:cs="宋体"/>
          <w:szCs w:val="21"/>
        </w:rPr>
        <w:fldChar w:fldCharType="begin"/>
      </w:r>
      <w:r>
        <w:rPr>
          <w:rFonts w:ascii="宋体" w:hAnsi="宋体" w:cs="宋体"/>
          <w:szCs w:val="21"/>
        </w:rPr>
        <w:instrText xml:space="preserve"> EQ \o\ac(</w:instrText>
      </w:r>
      <w:r>
        <w:rPr>
          <w:rFonts w:hint="eastAsia" w:ascii="宋体" w:hAnsi="宋体" w:cs="宋体"/>
          <w:szCs w:val="21"/>
        </w:rPr>
        <w:instrText xml:space="preserve">○</w:instrText>
      </w:r>
      <w:r>
        <w:rPr>
          <w:rFonts w:ascii="宋体" w:hAnsi="宋体" w:cs="宋体"/>
          <w:szCs w:val="21"/>
        </w:rPr>
        <w:instrText xml:space="preserve">,5)</w:instrText>
      </w:r>
      <w:r>
        <w:rPr>
          <w:rFonts w:ascii="宋体" w:hAnsi="宋体" w:cs="宋体"/>
          <w:szCs w:val="21"/>
        </w:rPr>
        <w:fldChar w:fldCharType="end"/>
      </w:r>
      <w:r>
        <w:rPr>
          <w:rFonts w:hint="eastAsia" w:ascii="宋体" w:hAnsi="宋体" w:cs="宋体"/>
          <w:szCs w:val="21"/>
        </w:rPr>
        <w:t>如投标人是自然人，提供有效的自然人身份证明（居民身份证正反面或公安机关出具的临时居民身份证正反面或港澳台胞证或证照）。</w:t>
      </w:r>
    </w:p>
    <w:p w14:paraId="0FEA5476">
      <w:pPr>
        <w:snapToGrid w:val="0"/>
        <w:spacing w:line="360" w:lineRule="auto"/>
        <w:ind w:firstLine="422" w:firstLineChars="200"/>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B.具有良好的商业信誉和健全的财务会计制度</w:t>
      </w:r>
      <w:r>
        <w:rPr>
          <w:rFonts w:hint="eastAsia" w:ascii="宋体" w:hAnsi="宋体" w:cs="宋体"/>
          <w:b/>
          <w:bCs/>
          <w:color w:val="auto"/>
          <w:szCs w:val="21"/>
          <w:lang w:eastAsia="zh-CN"/>
        </w:rPr>
        <w:t>，</w:t>
      </w:r>
      <w:r>
        <w:rPr>
          <w:rFonts w:hint="eastAsia" w:ascii="宋体" w:hAnsi="宋体" w:eastAsia="宋体" w:cs="宋体"/>
          <w:b/>
          <w:bCs/>
          <w:color w:val="auto"/>
          <w:szCs w:val="21"/>
        </w:rPr>
        <w:t>具有履行合同所必需的设备和专业技术能力</w:t>
      </w:r>
      <w:r>
        <w:rPr>
          <w:rFonts w:hint="eastAsia" w:ascii="宋体" w:hAnsi="宋体" w:cs="宋体"/>
          <w:b/>
          <w:bCs/>
          <w:color w:val="auto"/>
          <w:szCs w:val="21"/>
          <w:lang w:eastAsia="zh-CN"/>
        </w:rPr>
        <w:t>，</w:t>
      </w:r>
      <w:r>
        <w:rPr>
          <w:rFonts w:hint="eastAsia" w:ascii="宋体" w:hAnsi="宋体" w:eastAsia="宋体" w:cs="宋体"/>
          <w:b/>
          <w:bCs/>
          <w:color w:val="auto"/>
          <w:szCs w:val="21"/>
        </w:rPr>
        <w:t>有依法缴纳税收和社会保障资金的良好记录</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参加政府采购活动前三年内，在经营活动中没有重大违法记录</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s="宋体"/>
          <w:b/>
          <w:bCs/>
          <w:color w:val="auto"/>
          <w:szCs w:val="21"/>
        </w:rPr>
        <w:t>未被“信用中国”（www.creditchina.gov.cn)、中国政府采购网（www.ccgp.gov.cn）列入失信被执行人、重大税收违法案件当事人名单、政府采购严重违法失信行为记录名单。</w:t>
      </w:r>
      <w:r>
        <w:rPr>
          <w:rFonts w:hint="eastAsia" w:ascii="宋体" w:hAnsi="宋体" w:eastAsia="宋体" w:cs="宋体"/>
          <w:b/>
          <w:bCs/>
          <w:color w:val="auto"/>
          <w:szCs w:val="21"/>
          <w:lang w:val="en-US" w:eastAsia="zh-CN"/>
        </w:rPr>
        <w:t>提供投标函；</w:t>
      </w:r>
    </w:p>
    <w:p w14:paraId="79E38E8D">
      <w:pPr>
        <w:pageBreakBefore w:val="0"/>
        <w:kinsoku/>
        <w:wordWrap/>
        <w:overflowPunct/>
        <w:topLinePunct w:val="0"/>
        <w:bidi w:val="0"/>
        <w:snapToGrid w:val="0"/>
        <w:spacing w:line="360" w:lineRule="exact"/>
        <w:ind w:firstLine="424" w:firstLineChars="202"/>
        <w:jc w:val="left"/>
        <w:rPr>
          <w:rFonts w:hint="default" w:eastAsia="宋体"/>
          <w:color w:val="auto"/>
          <w:lang w:val="en-US"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法定代表人身份证</w:t>
      </w:r>
      <w:r>
        <w:rPr>
          <w:rFonts w:hint="eastAsia" w:ascii="宋体" w:hAnsi="宋体" w:cs="宋体"/>
          <w:color w:val="auto"/>
          <w:szCs w:val="21"/>
          <w:lang w:val="en-US" w:eastAsia="zh-CN"/>
        </w:rPr>
        <w:t>原件扫描件</w:t>
      </w:r>
      <w:r>
        <w:rPr>
          <w:rFonts w:hint="eastAsia" w:ascii="宋体" w:hAnsi="宋体" w:eastAsia="宋体" w:cs="宋体"/>
          <w:color w:val="auto"/>
          <w:szCs w:val="21"/>
          <w:lang w:val="en-US" w:eastAsia="zh-CN"/>
        </w:rPr>
        <w:t>加盖公章；</w:t>
      </w:r>
    </w:p>
    <w:p w14:paraId="1280291E">
      <w:pPr>
        <w:pageBreakBefore w:val="0"/>
        <w:kinsoku/>
        <w:wordWrap/>
        <w:overflowPunct/>
        <w:topLinePunct w:val="0"/>
        <w:bidi w:val="0"/>
        <w:snapToGrid w:val="0"/>
        <w:spacing w:line="360" w:lineRule="exact"/>
        <w:ind w:firstLine="424" w:firstLineChars="202"/>
        <w:jc w:val="left"/>
        <w:rPr>
          <w:rFonts w:hint="default"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cs="宋体"/>
          <w:color w:val="auto"/>
          <w:szCs w:val="21"/>
          <w:lang w:val="en-US" w:eastAsia="zh-CN"/>
        </w:rPr>
        <w:t>2</w:t>
      </w:r>
      <w:r>
        <w:rPr>
          <w:rFonts w:hint="eastAsia" w:ascii="宋体" w:hAnsi="宋体" w:eastAsia="宋体" w:cs="宋体"/>
          <w:color w:val="auto"/>
          <w:szCs w:val="21"/>
        </w:rPr>
        <w:t>《法定代表人授权函》原件</w:t>
      </w:r>
      <w:r>
        <w:rPr>
          <w:rFonts w:hint="eastAsia" w:ascii="宋体" w:hAnsi="宋体" w:cs="宋体"/>
          <w:color w:val="auto"/>
          <w:szCs w:val="21"/>
          <w:lang w:eastAsia="zh-CN"/>
        </w:rPr>
        <w:t>（格式见第六章）</w:t>
      </w:r>
      <w:r>
        <w:rPr>
          <w:rFonts w:hint="eastAsia" w:ascii="宋体" w:hAnsi="宋体" w:eastAsia="宋体" w:cs="宋体"/>
          <w:color w:val="auto"/>
          <w:szCs w:val="21"/>
          <w:lang w:eastAsia="zh-CN"/>
        </w:rPr>
        <w:t>及授权人身份证</w:t>
      </w:r>
      <w:r>
        <w:rPr>
          <w:rFonts w:hint="eastAsia" w:ascii="宋体" w:hAnsi="宋体" w:cs="宋体"/>
          <w:color w:val="auto"/>
          <w:szCs w:val="21"/>
          <w:lang w:eastAsia="zh-CN"/>
        </w:rPr>
        <w:t>原件扫描件</w:t>
      </w:r>
      <w:r>
        <w:rPr>
          <w:rFonts w:hint="eastAsia" w:ascii="宋体" w:hAnsi="宋体" w:eastAsia="宋体" w:cs="宋体"/>
          <w:color w:val="auto"/>
          <w:szCs w:val="21"/>
          <w:lang w:eastAsia="zh-CN"/>
        </w:rPr>
        <w:t>加盖公章（</w:t>
      </w:r>
      <w:r>
        <w:rPr>
          <w:rFonts w:hint="eastAsia" w:ascii="宋体" w:hAnsi="宋体" w:eastAsia="宋体" w:cs="宋体"/>
          <w:color w:val="auto"/>
          <w:szCs w:val="21"/>
        </w:rPr>
        <w:t>非法定代表人参加投标时用</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w:t>
      </w:r>
    </w:p>
    <w:p w14:paraId="5374808D">
      <w:pPr>
        <w:snapToGrid w:val="0"/>
        <w:spacing w:line="360" w:lineRule="auto"/>
        <w:ind w:firstLine="420" w:firstLineChars="200"/>
        <w:jc w:val="left"/>
        <w:rPr>
          <w:rFonts w:ascii="宋体" w:hAnsi="宋体" w:cs="宋体"/>
          <w:szCs w:val="21"/>
        </w:rPr>
      </w:pPr>
    </w:p>
    <w:p w14:paraId="7427B07A">
      <w:pPr>
        <w:pStyle w:val="12"/>
        <w:snapToGrid w:val="0"/>
        <w:spacing w:line="360" w:lineRule="auto"/>
        <w:ind w:firstLine="417" w:firstLineChars="198"/>
        <w:rPr>
          <w:rFonts w:hAnsi="宋体" w:eastAsia="宋体"/>
          <w:b/>
          <w:sz w:val="21"/>
          <w:szCs w:val="21"/>
        </w:rPr>
      </w:pPr>
      <w:r>
        <w:rPr>
          <w:rFonts w:hint="eastAsia" w:hAnsi="宋体" w:eastAsia="宋体"/>
          <w:b/>
          <w:sz w:val="21"/>
          <w:szCs w:val="21"/>
        </w:rPr>
        <w:t>2、</w:t>
      </w:r>
      <w:r>
        <w:rPr>
          <w:rFonts w:hAnsi="宋体" w:eastAsia="宋体"/>
          <w:b/>
          <w:sz w:val="21"/>
          <w:szCs w:val="21"/>
        </w:rPr>
        <w:t>商务</w:t>
      </w:r>
      <w:r>
        <w:rPr>
          <w:rFonts w:hint="eastAsia" w:hAnsi="宋体" w:eastAsia="宋体"/>
          <w:b/>
          <w:sz w:val="21"/>
          <w:szCs w:val="21"/>
        </w:rPr>
        <w:t>及技术部分</w:t>
      </w:r>
      <w:r>
        <w:rPr>
          <w:rFonts w:hAnsi="宋体" w:eastAsia="宋体"/>
          <w:b/>
          <w:sz w:val="21"/>
          <w:szCs w:val="21"/>
        </w:rPr>
        <w:t>：</w:t>
      </w:r>
    </w:p>
    <w:p w14:paraId="6FE8DFA9">
      <w:pPr>
        <w:spacing w:line="360" w:lineRule="auto"/>
        <w:ind w:firstLine="420" w:firstLineChars="200"/>
        <w:rPr>
          <w:rFonts w:ascii="宋体" w:hAnsi="宋体"/>
        </w:rPr>
      </w:pPr>
      <w:r>
        <w:rPr>
          <w:rFonts w:hint="eastAsia" w:ascii="宋体" w:hAnsi="宋体"/>
        </w:rPr>
        <w:t>2.1供应商自评表（格式见附件）；</w:t>
      </w:r>
    </w:p>
    <w:p w14:paraId="066A8282">
      <w:pPr>
        <w:spacing w:line="360" w:lineRule="auto"/>
        <w:ind w:firstLine="420" w:firstLineChars="200"/>
        <w:rPr>
          <w:rFonts w:ascii="宋体" w:hAnsi="宋体"/>
        </w:rPr>
      </w:pPr>
      <w:r>
        <w:rPr>
          <w:rFonts w:hint="eastAsia" w:ascii="宋体" w:hAnsi="宋体"/>
        </w:rPr>
        <w:t>2.2投标人相关认证证书复印件；</w:t>
      </w:r>
    </w:p>
    <w:p w14:paraId="2BBC23B4">
      <w:pPr>
        <w:spacing w:line="360" w:lineRule="auto"/>
        <w:ind w:firstLine="420" w:firstLineChars="200"/>
        <w:rPr>
          <w:rFonts w:ascii="宋体" w:hAnsi="宋体"/>
        </w:rPr>
      </w:pPr>
      <w:r>
        <w:rPr>
          <w:rFonts w:hint="eastAsia" w:ascii="宋体" w:hAnsi="宋体"/>
        </w:rPr>
        <w:t>2.3项目人员配备一览表（格式见附件）；</w:t>
      </w:r>
    </w:p>
    <w:p w14:paraId="67A7FD92">
      <w:pPr>
        <w:spacing w:line="360" w:lineRule="auto"/>
        <w:ind w:firstLine="420" w:firstLineChars="200"/>
        <w:rPr>
          <w:rFonts w:ascii="宋体" w:hAnsi="宋体"/>
        </w:rPr>
      </w:pPr>
      <w:r>
        <w:rPr>
          <w:rFonts w:hint="eastAsia" w:ascii="宋体" w:hAnsi="宋体"/>
        </w:rPr>
        <w:t>2.4项目类似业绩表（格式见附件）；</w:t>
      </w:r>
    </w:p>
    <w:p w14:paraId="44DEB663">
      <w:pPr>
        <w:spacing w:line="360" w:lineRule="auto"/>
        <w:ind w:firstLine="420" w:firstLineChars="200"/>
        <w:rPr>
          <w:rFonts w:ascii="宋体" w:hAnsi="宋体"/>
        </w:rPr>
      </w:pPr>
      <w:r>
        <w:rPr>
          <w:rFonts w:hint="eastAsia" w:ascii="宋体" w:hAnsi="宋体"/>
        </w:rPr>
        <w:t>▲2.5商务条款响应表（格式见附件）</w:t>
      </w:r>
    </w:p>
    <w:p w14:paraId="1E406B12">
      <w:pPr>
        <w:spacing w:line="360" w:lineRule="auto"/>
        <w:ind w:firstLine="420" w:firstLineChars="200"/>
        <w:rPr>
          <w:rFonts w:ascii="宋体" w:hAnsi="宋体"/>
        </w:rPr>
      </w:pPr>
      <w:r>
        <w:rPr>
          <w:rFonts w:hint="eastAsia" w:ascii="宋体" w:hAnsi="宋体"/>
        </w:rPr>
        <w:t>▲2.</w:t>
      </w:r>
      <w:r>
        <w:rPr>
          <w:rFonts w:hint="eastAsia" w:ascii="宋体" w:hAnsi="宋体"/>
          <w:lang w:val="en-US" w:eastAsia="zh-CN"/>
        </w:rPr>
        <w:t>6</w:t>
      </w:r>
      <w:r>
        <w:rPr>
          <w:rFonts w:hint="eastAsia" w:ascii="宋体" w:hAnsi="宋体"/>
        </w:rPr>
        <w:t>功能及技术参数偏离表（格式见附件）；</w:t>
      </w:r>
    </w:p>
    <w:p w14:paraId="7B998CC5">
      <w:pPr>
        <w:spacing w:line="360" w:lineRule="auto"/>
        <w:ind w:firstLine="420" w:firstLineChars="200"/>
        <w:rPr>
          <w:rFonts w:ascii="宋体" w:hAnsi="宋体"/>
        </w:rPr>
      </w:pPr>
      <w:r>
        <w:rPr>
          <w:rFonts w:hint="eastAsia" w:ascii="宋体" w:hAnsi="宋体"/>
        </w:rPr>
        <w:t>2.</w:t>
      </w:r>
      <w:r>
        <w:rPr>
          <w:rFonts w:hint="eastAsia" w:ascii="宋体" w:hAnsi="宋体"/>
          <w:lang w:val="en-US" w:eastAsia="zh-CN"/>
        </w:rPr>
        <w:t>7</w:t>
      </w:r>
      <w:r>
        <w:rPr>
          <w:rFonts w:hint="eastAsia" w:ascii="宋体" w:hAnsi="宋体"/>
        </w:rPr>
        <w:t>按评分标准依序提供相关材料、方案；（格式自拟）</w:t>
      </w:r>
    </w:p>
    <w:p w14:paraId="7B9FF147">
      <w:pPr>
        <w:spacing w:line="360" w:lineRule="auto"/>
        <w:ind w:firstLine="420" w:firstLineChars="200"/>
        <w:rPr>
          <w:rFonts w:ascii="宋体" w:hAnsi="宋体"/>
        </w:rPr>
      </w:pPr>
      <w:r>
        <w:rPr>
          <w:rFonts w:hint="eastAsia" w:ascii="宋体" w:hAnsi="宋体"/>
        </w:rPr>
        <w:t>2.</w:t>
      </w:r>
      <w:r>
        <w:rPr>
          <w:rFonts w:hint="eastAsia" w:ascii="宋体" w:hAnsi="宋体"/>
          <w:lang w:val="en-US" w:eastAsia="zh-CN"/>
        </w:rPr>
        <w:t>8</w:t>
      </w:r>
      <w:r>
        <w:rPr>
          <w:rFonts w:hint="eastAsia" w:ascii="宋体" w:hAnsi="宋体"/>
        </w:rPr>
        <w:t>本采购文件要求提供的和投标人认为需要提供的其它说明和资料/文件。</w:t>
      </w:r>
    </w:p>
    <w:p w14:paraId="08341D23">
      <w:pPr>
        <w:spacing w:line="360" w:lineRule="auto"/>
        <w:ind w:firstLine="420" w:firstLineChars="200"/>
        <w:rPr>
          <w:rFonts w:ascii="宋体" w:hAnsi="宋体"/>
        </w:rPr>
      </w:pPr>
      <w:r>
        <w:rPr>
          <w:rFonts w:hint="eastAsia" w:ascii="宋体" w:hAnsi="宋体"/>
        </w:rPr>
        <w:t>2.</w:t>
      </w:r>
      <w:r>
        <w:rPr>
          <w:rFonts w:hint="eastAsia" w:ascii="宋体" w:hAnsi="宋体"/>
          <w:lang w:val="en-US" w:eastAsia="zh-CN"/>
        </w:rPr>
        <w:t>9</w:t>
      </w:r>
      <w:r>
        <w:rPr>
          <w:rFonts w:hint="eastAsia" w:ascii="宋体" w:hAnsi="宋体"/>
        </w:rPr>
        <w:t>对本项目的其他合理化建议、要求（若有）；</w:t>
      </w:r>
    </w:p>
    <w:p w14:paraId="771C0A24">
      <w:pPr>
        <w:pStyle w:val="39"/>
        <w:snapToGrid w:val="0"/>
        <w:spacing w:before="120" w:after="120" w:line="360" w:lineRule="auto"/>
        <w:ind w:firstLine="422" w:firstLineChars="200"/>
        <w:rPr>
          <w:rFonts w:hAnsi="宋体" w:eastAsia="宋体" w:cs="Times New Roman"/>
          <w:b/>
          <w:sz w:val="21"/>
        </w:rPr>
      </w:pPr>
      <w:r>
        <w:rPr>
          <w:rFonts w:hint="eastAsia" w:hAnsi="宋体" w:eastAsia="宋体" w:cs="Times New Roman"/>
          <w:b/>
          <w:sz w:val="21"/>
        </w:rPr>
        <w:t>3、报价部分：</w:t>
      </w:r>
    </w:p>
    <w:p w14:paraId="07BA87DB">
      <w:pPr>
        <w:snapToGrid w:val="0"/>
        <w:spacing w:line="360" w:lineRule="auto"/>
        <w:ind w:firstLine="420" w:firstLineChars="200"/>
        <w:jc w:val="left"/>
        <w:rPr>
          <w:rFonts w:ascii="宋体"/>
        </w:rPr>
      </w:pPr>
      <w:r>
        <w:rPr>
          <w:rFonts w:hint="eastAsia" w:ascii="宋体" w:cs="宋体"/>
        </w:rPr>
        <w:t>▲</w:t>
      </w:r>
      <w:r>
        <w:rPr>
          <w:rFonts w:ascii="宋体" w:hAnsi="宋体" w:cs="宋体"/>
        </w:rPr>
        <w:t>3.1</w:t>
      </w:r>
      <w:r>
        <w:rPr>
          <w:rFonts w:hint="eastAsia" w:ascii="宋体" w:hAnsi="宋体" w:cs="宋体"/>
        </w:rPr>
        <w:t>投标报价一览表（格式见附件）；</w:t>
      </w:r>
    </w:p>
    <w:p w14:paraId="0A831393">
      <w:pPr>
        <w:snapToGrid w:val="0"/>
        <w:spacing w:line="360" w:lineRule="auto"/>
        <w:ind w:firstLine="420" w:firstLineChars="200"/>
        <w:jc w:val="left"/>
        <w:rPr>
          <w:rFonts w:hint="eastAsia" w:ascii="宋体" w:hAnsi="宋体" w:cs="宋体"/>
        </w:rPr>
      </w:pPr>
      <w:r>
        <w:rPr>
          <w:rFonts w:hint="eastAsia" w:ascii="宋体" w:cs="宋体"/>
        </w:rPr>
        <w:t>▲</w:t>
      </w:r>
      <w:r>
        <w:rPr>
          <w:rFonts w:ascii="宋体" w:hAnsi="宋体" w:cs="宋体"/>
        </w:rPr>
        <w:t>3.2</w:t>
      </w:r>
      <w:r>
        <w:rPr>
          <w:rFonts w:hint="eastAsia" w:ascii="宋体" w:hAnsi="宋体" w:cs="宋体"/>
        </w:rPr>
        <w:t>报价明细表（格式见附件）；</w:t>
      </w:r>
    </w:p>
    <w:p w14:paraId="003C6303">
      <w:pPr>
        <w:snapToGrid w:val="0"/>
        <w:spacing w:line="360" w:lineRule="auto"/>
        <w:ind w:firstLine="420" w:firstLineChars="200"/>
        <w:jc w:val="left"/>
        <w:rPr>
          <w:rFonts w:ascii="宋体" w:hAnsi="宋体" w:cs="宋体"/>
          <w:szCs w:val="21"/>
        </w:rPr>
      </w:pPr>
      <w:r>
        <w:rPr>
          <w:rFonts w:hint="eastAsia" w:ascii="宋体" w:hAnsi="宋体" w:cs="宋体"/>
          <w:lang w:val="en-US" w:eastAsia="zh-CN"/>
        </w:rPr>
        <w:t>3.3</w:t>
      </w:r>
      <w:r>
        <w:rPr>
          <w:rFonts w:hint="eastAsia" w:ascii="宋体" w:hAnsi="宋体" w:cs="宋体"/>
          <w:szCs w:val="21"/>
        </w:rPr>
        <w:t>享受政策相关证明文件（符合以下三个子项中的任意一项要求即可）。</w:t>
      </w:r>
    </w:p>
    <w:p w14:paraId="52C316CD">
      <w:pPr>
        <w:snapToGrid w:val="0"/>
        <w:spacing w:line="360" w:lineRule="auto"/>
        <w:ind w:firstLine="420" w:firstLineChars="200"/>
        <w:jc w:val="left"/>
        <w:rPr>
          <w:rFonts w:ascii="宋体" w:hAnsi="宋体" w:cs="宋体"/>
          <w:szCs w:val="21"/>
        </w:rPr>
      </w:pPr>
      <w:r>
        <w:rPr>
          <w:rFonts w:hint="eastAsia" w:ascii="宋体" w:hAnsi="宋体" w:cs="宋体"/>
          <w:szCs w:val="21"/>
        </w:rPr>
        <w:t>A.小微企业：《中小企业声明函》（格式见附件）</w:t>
      </w:r>
    </w:p>
    <w:p w14:paraId="22634378">
      <w:pPr>
        <w:snapToGrid w:val="0"/>
        <w:spacing w:line="360" w:lineRule="auto"/>
        <w:ind w:firstLine="420" w:firstLineChars="200"/>
        <w:jc w:val="left"/>
        <w:rPr>
          <w:rFonts w:ascii="宋体" w:hAnsi="宋体" w:cs="宋体"/>
          <w:szCs w:val="21"/>
        </w:rPr>
      </w:pPr>
      <w:r>
        <w:rPr>
          <w:rFonts w:hint="eastAsia" w:ascii="宋体" w:hAnsi="宋体" w:cs="宋体"/>
          <w:szCs w:val="21"/>
        </w:rPr>
        <w:t>B.监狱企业：由省级以上监狱管理局、戒毒管理局（含新疆生产建设兵团）出具的属于监狱企业的证明文件</w:t>
      </w:r>
    </w:p>
    <w:p w14:paraId="707A0065">
      <w:pPr>
        <w:snapToGrid w:val="0"/>
        <w:spacing w:line="360" w:lineRule="auto"/>
        <w:ind w:firstLine="420" w:firstLineChars="200"/>
        <w:jc w:val="left"/>
        <w:rPr>
          <w:rFonts w:hint="default" w:ascii="宋体" w:hAnsi="宋体" w:eastAsia="宋体" w:cs="宋体"/>
          <w:lang w:val="en-US" w:eastAsia="zh-CN"/>
        </w:rPr>
      </w:pPr>
      <w:r>
        <w:rPr>
          <w:rFonts w:hint="eastAsia" w:ascii="宋体" w:hAnsi="宋体" w:cs="宋体"/>
          <w:szCs w:val="21"/>
        </w:rPr>
        <w:t>C.残疾人福利性单位：《残疾人福利性单位声明函》（格式见附件）</w:t>
      </w:r>
    </w:p>
    <w:p w14:paraId="5221B433">
      <w:pPr>
        <w:snapToGrid w:val="0"/>
        <w:spacing w:line="360" w:lineRule="auto"/>
        <w:ind w:firstLine="420" w:firstLineChars="200"/>
        <w:jc w:val="left"/>
        <w:rPr>
          <w:rFonts w:ascii="宋体"/>
        </w:rPr>
      </w:pPr>
      <w:r>
        <w:rPr>
          <w:rFonts w:ascii="宋体" w:hAnsi="宋体" w:cs="宋体"/>
        </w:rPr>
        <w:t>3.</w:t>
      </w:r>
      <w:r>
        <w:rPr>
          <w:rFonts w:hint="eastAsia" w:ascii="宋体" w:hAnsi="宋体" w:cs="宋体"/>
          <w:lang w:val="en-US" w:eastAsia="zh-CN"/>
        </w:rPr>
        <w:t>4</w:t>
      </w:r>
      <w:r>
        <w:rPr>
          <w:rFonts w:hint="eastAsia" w:ascii="宋体" w:hAnsi="宋体" w:cs="宋体"/>
        </w:rPr>
        <w:t>投标人针对报价需要说明的其他文件和说明（如有，格式自拟）。</w:t>
      </w:r>
    </w:p>
    <w:p w14:paraId="7261AD74">
      <w:pPr>
        <w:pStyle w:val="2"/>
        <w:rPr>
          <w:rFonts w:hAnsi="宋体"/>
          <w:b/>
          <w:szCs w:val="30"/>
        </w:rPr>
      </w:pPr>
    </w:p>
    <w:p w14:paraId="7E68379C"/>
    <w:p w14:paraId="19FEFB97">
      <w:pPr>
        <w:autoSpaceDE w:val="0"/>
        <w:autoSpaceDN w:val="0"/>
        <w:adjustRightInd w:val="0"/>
        <w:spacing w:line="360" w:lineRule="auto"/>
        <w:outlineLvl w:val="1"/>
        <w:rPr>
          <w:rFonts w:ascii="宋体" w:hAnsi="宋体"/>
          <w:b/>
          <w:bCs/>
          <w:sz w:val="24"/>
        </w:rPr>
      </w:pPr>
    </w:p>
    <w:p w14:paraId="3101DBA7">
      <w:pPr>
        <w:autoSpaceDE w:val="0"/>
        <w:autoSpaceDN w:val="0"/>
        <w:adjustRightInd w:val="0"/>
        <w:spacing w:line="360" w:lineRule="auto"/>
        <w:outlineLvl w:val="1"/>
        <w:rPr>
          <w:rFonts w:ascii="宋体" w:hAnsi="宋体"/>
          <w:b/>
          <w:bCs/>
          <w:sz w:val="24"/>
        </w:rPr>
      </w:pPr>
    </w:p>
    <w:p w14:paraId="6210A61D">
      <w:pPr>
        <w:autoSpaceDE w:val="0"/>
        <w:autoSpaceDN w:val="0"/>
        <w:adjustRightInd w:val="0"/>
        <w:spacing w:line="360" w:lineRule="auto"/>
        <w:outlineLvl w:val="1"/>
        <w:rPr>
          <w:rFonts w:ascii="宋体" w:hAnsi="宋体"/>
          <w:b/>
          <w:bCs/>
          <w:sz w:val="24"/>
        </w:rPr>
      </w:pPr>
    </w:p>
    <w:p w14:paraId="4603CAC0">
      <w:pPr>
        <w:autoSpaceDE w:val="0"/>
        <w:autoSpaceDN w:val="0"/>
        <w:adjustRightInd w:val="0"/>
        <w:spacing w:line="360" w:lineRule="auto"/>
        <w:outlineLvl w:val="1"/>
        <w:rPr>
          <w:rFonts w:ascii="宋体" w:hAnsi="宋体"/>
          <w:b/>
          <w:bCs/>
          <w:sz w:val="24"/>
        </w:rPr>
      </w:pPr>
    </w:p>
    <w:p w14:paraId="6DB57389">
      <w:pPr>
        <w:pStyle w:val="2"/>
        <w:rPr>
          <w:rFonts w:ascii="宋体" w:hAnsi="宋体"/>
          <w:b/>
          <w:bCs/>
          <w:sz w:val="24"/>
        </w:rPr>
      </w:pPr>
    </w:p>
    <w:p w14:paraId="063454F4">
      <w:pPr>
        <w:rPr>
          <w:rFonts w:ascii="宋体" w:hAnsi="宋体"/>
          <w:b/>
          <w:bCs/>
          <w:sz w:val="24"/>
        </w:rPr>
      </w:pPr>
    </w:p>
    <w:p w14:paraId="691083D8">
      <w:pPr>
        <w:pStyle w:val="2"/>
        <w:rPr>
          <w:rFonts w:ascii="宋体" w:hAnsi="宋体"/>
          <w:b/>
          <w:bCs/>
          <w:sz w:val="24"/>
        </w:rPr>
      </w:pPr>
    </w:p>
    <w:p w14:paraId="7590B457">
      <w:pPr>
        <w:rPr>
          <w:rFonts w:ascii="宋体" w:hAnsi="宋体"/>
          <w:b/>
          <w:bCs/>
          <w:sz w:val="24"/>
        </w:rPr>
      </w:pPr>
    </w:p>
    <w:p w14:paraId="1664CC2A">
      <w:pPr>
        <w:pStyle w:val="2"/>
        <w:rPr>
          <w:rFonts w:ascii="宋体" w:hAnsi="宋体"/>
          <w:b/>
          <w:bCs/>
          <w:sz w:val="24"/>
        </w:rPr>
      </w:pPr>
    </w:p>
    <w:p w14:paraId="210867CD">
      <w:pPr>
        <w:rPr>
          <w:rFonts w:ascii="宋体" w:hAnsi="宋体"/>
          <w:b/>
          <w:bCs/>
          <w:sz w:val="24"/>
        </w:rPr>
      </w:pPr>
    </w:p>
    <w:p w14:paraId="219907B9">
      <w:pPr>
        <w:pStyle w:val="2"/>
        <w:rPr>
          <w:rFonts w:ascii="宋体" w:hAnsi="宋体"/>
          <w:b/>
          <w:bCs/>
          <w:sz w:val="24"/>
        </w:rPr>
      </w:pPr>
    </w:p>
    <w:p w14:paraId="38E60E2F">
      <w:pPr>
        <w:rPr>
          <w:rFonts w:ascii="宋体" w:hAnsi="宋体"/>
          <w:b/>
          <w:bCs/>
          <w:sz w:val="24"/>
        </w:rPr>
      </w:pPr>
    </w:p>
    <w:p w14:paraId="59F9678C">
      <w:pPr>
        <w:pStyle w:val="2"/>
      </w:pPr>
    </w:p>
    <w:p w14:paraId="4E3D539D">
      <w:pPr>
        <w:autoSpaceDE w:val="0"/>
        <w:autoSpaceDN w:val="0"/>
        <w:adjustRightInd w:val="0"/>
        <w:spacing w:line="360" w:lineRule="auto"/>
        <w:outlineLvl w:val="1"/>
        <w:rPr>
          <w:rFonts w:ascii="宋体" w:hAnsi="宋体"/>
          <w:b/>
          <w:bCs/>
          <w:sz w:val="24"/>
        </w:rPr>
      </w:pPr>
    </w:p>
    <w:p w14:paraId="653B301A">
      <w:pPr>
        <w:autoSpaceDE w:val="0"/>
        <w:autoSpaceDN w:val="0"/>
        <w:adjustRightInd w:val="0"/>
        <w:spacing w:line="360" w:lineRule="auto"/>
        <w:outlineLvl w:val="1"/>
        <w:rPr>
          <w:rFonts w:ascii="宋体"/>
          <w:b/>
          <w:bCs/>
          <w:sz w:val="24"/>
        </w:rPr>
      </w:pPr>
      <w:r>
        <w:rPr>
          <w:rFonts w:hint="eastAsia" w:ascii="宋体" w:hAnsi="宋体"/>
          <w:b/>
          <w:bCs/>
          <w:sz w:val="24"/>
        </w:rPr>
        <w:t>一、</w:t>
      </w:r>
      <w:r>
        <w:rPr>
          <w:rFonts w:hint="eastAsia" w:ascii="宋体" w:hAnsi="宋体" w:cs="宋体"/>
          <w:b/>
          <w:sz w:val="30"/>
        </w:rPr>
        <w:t>电子投标文件封面</w:t>
      </w:r>
    </w:p>
    <w:p w14:paraId="6BB2B6BB">
      <w:pPr>
        <w:autoSpaceDE w:val="0"/>
        <w:autoSpaceDN w:val="0"/>
        <w:adjustRightInd w:val="0"/>
        <w:spacing w:line="360" w:lineRule="auto"/>
        <w:jc w:val="center"/>
        <w:rPr>
          <w:rFonts w:ascii="宋体"/>
          <w:b/>
          <w:sz w:val="32"/>
          <w:szCs w:val="32"/>
        </w:rPr>
      </w:pPr>
    </w:p>
    <w:p w14:paraId="4180F95B">
      <w:pPr>
        <w:pStyle w:val="3"/>
      </w:pPr>
    </w:p>
    <w:p w14:paraId="24D689F4">
      <w:pPr>
        <w:pStyle w:val="3"/>
        <w:jc w:val="center"/>
        <w:rPr>
          <w:rFonts w:ascii="宋体"/>
          <w:b/>
          <w:sz w:val="44"/>
          <w:szCs w:val="44"/>
        </w:rPr>
      </w:pPr>
      <w:r>
        <w:rPr>
          <w:rFonts w:hint="eastAsia" w:ascii="宋体" w:hAnsi="宋体"/>
          <w:b/>
          <w:sz w:val="44"/>
          <w:szCs w:val="44"/>
        </w:rPr>
        <w:t>项目名称</w:t>
      </w:r>
    </w:p>
    <w:p w14:paraId="5B216F0F">
      <w:pPr>
        <w:pStyle w:val="3"/>
        <w:rPr>
          <w:rFonts w:ascii="宋体"/>
          <w:b/>
          <w:sz w:val="32"/>
          <w:szCs w:val="32"/>
        </w:rPr>
      </w:pPr>
    </w:p>
    <w:p w14:paraId="59D7FB7B">
      <w:pPr>
        <w:pStyle w:val="3"/>
        <w:rPr>
          <w:rFonts w:ascii="宋体"/>
          <w:b/>
          <w:sz w:val="32"/>
          <w:szCs w:val="32"/>
        </w:rPr>
      </w:pPr>
    </w:p>
    <w:p w14:paraId="50DB57A2">
      <w:pPr>
        <w:spacing w:line="360" w:lineRule="auto"/>
        <w:jc w:val="center"/>
        <w:rPr>
          <w:rFonts w:ascii="宋体"/>
          <w:spacing w:val="40"/>
          <w:w w:val="90"/>
          <w:sz w:val="96"/>
          <w:szCs w:val="96"/>
        </w:rPr>
      </w:pPr>
      <w:r>
        <w:rPr>
          <w:rFonts w:hint="eastAsia" w:ascii="宋体" w:hAnsi="宋体"/>
          <w:spacing w:val="40"/>
          <w:w w:val="90"/>
          <w:sz w:val="96"/>
          <w:szCs w:val="96"/>
        </w:rPr>
        <w:t>投</w:t>
      </w:r>
      <w:r>
        <w:rPr>
          <w:rFonts w:ascii="宋体" w:hAnsi="宋体"/>
          <w:spacing w:val="40"/>
          <w:w w:val="90"/>
          <w:sz w:val="96"/>
          <w:szCs w:val="96"/>
        </w:rPr>
        <w:t xml:space="preserve"> </w:t>
      </w:r>
      <w:r>
        <w:rPr>
          <w:rFonts w:hint="eastAsia" w:ascii="宋体" w:hAnsi="宋体"/>
          <w:spacing w:val="40"/>
          <w:w w:val="90"/>
          <w:sz w:val="96"/>
          <w:szCs w:val="96"/>
        </w:rPr>
        <w:t>标</w:t>
      </w:r>
      <w:r>
        <w:rPr>
          <w:rFonts w:ascii="宋体" w:hAnsi="宋体"/>
          <w:spacing w:val="40"/>
          <w:w w:val="90"/>
          <w:sz w:val="96"/>
          <w:szCs w:val="96"/>
        </w:rPr>
        <w:t xml:space="preserve"> </w:t>
      </w:r>
      <w:r>
        <w:rPr>
          <w:rFonts w:hint="eastAsia" w:ascii="宋体" w:hAnsi="宋体"/>
          <w:spacing w:val="40"/>
          <w:w w:val="90"/>
          <w:sz w:val="96"/>
          <w:szCs w:val="96"/>
        </w:rPr>
        <w:t>文</w:t>
      </w:r>
      <w:r>
        <w:rPr>
          <w:rFonts w:ascii="宋体" w:hAnsi="宋体"/>
          <w:spacing w:val="40"/>
          <w:w w:val="90"/>
          <w:sz w:val="96"/>
          <w:szCs w:val="96"/>
        </w:rPr>
        <w:t xml:space="preserve"> </w:t>
      </w:r>
      <w:r>
        <w:rPr>
          <w:rFonts w:hint="eastAsia" w:ascii="宋体" w:hAnsi="宋体"/>
          <w:spacing w:val="40"/>
          <w:w w:val="90"/>
          <w:sz w:val="96"/>
          <w:szCs w:val="96"/>
        </w:rPr>
        <w:t>件</w:t>
      </w:r>
    </w:p>
    <w:p w14:paraId="13E6EF8B">
      <w:pPr>
        <w:autoSpaceDE w:val="0"/>
        <w:autoSpaceDN w:val="0"/>
        <w:adjustRightInd w:val="0"/>
        <w:spacing w:line="360" w:lineRule="auto"/>
        <w:rPr>
          <w:rFonts w:ascii="宋体"/>
          <w:b/>
          <w:sz w:val="32"/>
          <w:szCs w:val="32"/>
        </w:rPr>
      </w:pPr>
    </w:p>
    <w:p w14:paraId="5810D5E8">
      <w:pPr>
        <w:autoSpaceDE w:val="0"/>
        <w:autoSpaceDN w:val="0"/>
        <w:adjustRightInd w:val="0"/>
        <w:spacing w:line="360" w:lineRule="auto"/>
        <w:rPr>
          <w:rFonts w:ascii="宋体"/>
          <w:b/>
          <w:sz w:val="32"/>
          <w:szCs w:val="32"/>
        </w:rPr>
      </w:pPr>
    </w:p>
    <w:p w14:paraId="7970E876">
      <w:pPr>
        <w:pStyle w:val="3"/>
      </w:pPr>
    </w:p>
    <w:p w14:paraId="0D501D06">
      <w:pPr>
        <w:autoSpaceDE w:val="0"/>
        <w:autoSpaceDN w:val="0"/>
        <w:adjustRightInd w:val="0"/>
        <w:spacing w:line="360" w:lineRule="auto"/>
        <w:rPr>
          <w:rFonts w:ascii="宋体"/>
          <w:b/>
          <w:sz w:val="32"/>
          <w:szCs w:val="32"/>
        </w:rPr>
      </w:pPr>
    </w:p>
    <w:p w14:paraId="7EBE38A7">
      <w:pPr>
        <w:spacing w:before="120"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项目编号： </w:t>
      </w:r>
    </w:p>
    <w:p w14:paraId="0B7F7102">
      <w:pPr>
        <w:spacing w:before="120"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项目名称： </w:t>
      </w:r>
    </w:p>
    <w:p w14:paraId="4F2E02BD">
      <w:pPr>
        <w:spacing w:before="120"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采购人： </w:t>
      </w:r>
    </w:p>
    <w:p w14:paraId="285F3EA5">
      <w:pPr>
        <w:spacing w:before="120" w:beforeLines="50" w:line="360" w:lineRule="auto"/>
        <w:ind w:left="897" w:leftChars="284" w:hanging="301" w:hangingChars="100"/>
        <w:rPr>
          <w:rFonts w:ascii="宋体" w:hAnsi="宋体"/>
          <w:b/>
          <w:sz w:val="30"/>
          <w:szCs w:val="72"/>
        </w:rPr>
      </w:pPr>
      <w:r>
        <w:rPr>
          <w:rFonts w:hint="eastAsia" w:ascii="宋体" w:hAnsi="宋体"/>
          <w:b/>
          <w:sz w:val="30"/>
          <w:szCs w:val="72"/>
        </w:rPr>
        <w:t xml:space="preserve">供应商： </w:t>
      </w:r>
    </w:p>
    <w:p w14:paraId="51AA3979">
      <w:pPr>
        <w:spacing w:before="120" w:beforeLines="50" w:line="360" w:lineRule="auto"/>
        <w:ind w:left="897" w:leftChars="284" w:hanging="301" w:hangingChars="100"/>
        <w:rPr>
          <w:rFonts w:ascii="宋体" w:hAnsi="宋体"/>
          <w:b/>
          <w:sz w:val="30"/>
          <w:szCs w:val="72"/>
        </w:rPr>
      </w:pPr>
      <w:r>
        <w:rPr>
          <w:rFonts w:hint="eastAsia" w:ascii="宋体" w:hAnsi="宋体"/>
          <w:b/>
          <w:sz w:val="30"/>
          <w:szCs w:val="72"/>
        </w:rPr>
        <w:t>时    间： 年  月  日</w:t>
      </w:r>
    </w:p>
    <w:p w14:paraId="38895C58">
      <w:pPr>
        <w:spacing w:before="120" w:beforeLines="50" w:line="360" w:lineRule="auto"/>
        <w:ind w:left="897" w:leftChars="284" w:hanging="301" w:hangingChars="100"/>
        <w:rPr>
          <w:rFonts w:ascii="宋体" w:hAnsi="宋体"/>
          <w:b/>
          <w:sz w:val="30"/>
          <w:szCs w:val="72"/>
        </w:rPr>
      </w:pPr>
    </w:p>
    <w:p w14:paraId="32975106">
      <w:pPr>
        <w:pStyle w:val="31"/>
      </w:pPr>
    </w:p>
    <w:p w14:paraId="07E122B3">
      <w:pPr>
        <w:autoSpaceDE w:val="0"/>
        <w:autoSpaceDN w:val="0"/>
        <w:adjustRightInd w:val="0"/>
        <w:spacing w:line="360" w:lineRule="auto"/>
        <w:outlineLvl w:val="1"/>
        <w:rPr>
          <w:rFonts w:ascii="宋体" w:hAnsi="宋体"/>
          <w:b/>
          <w:bCs/>
          <w:sz w:val="24"/>
        </w:rPr>
      </w:pPr>
    </w:p>
    <w:p w14:paraId="762EC31E">
      <w:pPr>
        <w:pStyle w:val="3"/>
      </w:pPr>
    </w:p>
    <w:p w14:paraId="1C515749">
      <w:pPr>
        <w:pStyle w:val="3"/>
      </w:pPr>
    </w:p>
    <w:p w14:paraId="55D740E9">
      <w:pPr>
        <w:pStyle w:val="3"/>
      </w:pPr>
    </w:p>
    <w:p w14:paraId="6F16E94E">
      <w:pPr>
        <w:pStyle w:val="3"/>
      </w:pPr>
    </w:p>
    <w:p w14:paraId="48CFAE3E">
      <w:pPr>
        <w:autoSpaceDE w:val="0"/>
        <w:autoSpaceDN w:val="0"/>
        <w:adjustRightInd w:val="0"/>
        <w:spacing w:line="360" w:lineRule="auto"/>
        <w:outlineLvl w:val="1"/>
        <w:rPr>
          <w:rFonts w:ascii="宋体"/>
          <w:b/>
          <w:bCs/>
          <w:sz w:val="24"/>
        </w:rPr>
      </w:pPr>
      <w:r>
        <w:rPr>
          <w:rFonts w:hint="eastAsia" w:ascii="宋体" w:hAnsi="宋体"/>
          <w:b/>
          <w:bCs/>
          <w:sz w:val="24"/>
        </w:rPr>
        <w:t>二、备份电子投标文件包装封面（格式供参考）</w:t>
      </w:r>
    </w:p>
    <w:p w14:paraId="2A243D2E">
      <w:pPr>
        <w:autoSpaceDE w:val="0"/>
        <w:autoSpaceDN w:val="0"/>
        <w:adjustRightInd w:val="0"/>
        <w:spacing w:line="360" w:lineRule="auto"/>
        <w:jc w:val="center"/>
        <w:rPr>
          <w:rFonts w:ascii="宋体"/>
          <w:b/>
          <w:sz w:val="32"/>
          <w:szCs w:val="32"/>
        </w:rPr>
      </w:pPr>
      <w:bookmarkStart w:id="16" w:name="_Toc297472068"/>
    </w:p>
    <w:p w14:paraId="02332BF8">
      <w:pPr>
        <w:pStyle w:val="3"/>
      </w:pPr>
    </w:p>
    <w:p w14:paraId="6E7DF59E">
      <w:pPr>
        <w:pStyle w:val="3"/>
        <w:jc w:val="center"/>
        <w:rPr>
          <w:rFonts w:ascii="宋体"/>
          <w:b/>
          <w:sz w:val="32"/>
          <w:szCs w:val="32"/>
        </w:rPr>
      </w:pPr>
      <w:r>
        <w:rPr>
          <w:rFonts w:hint="eastAsia" w:ascii="宋体" w:hAnsi="宋体"/>
          <w:b/>
          <w:sz w:val="44"/>
          <w:szCs w:val="44"/>
        </w:rPr>
        <w:t>项目名称</w:t>
      </w:r>
    </w:p>
    <w:p w14:paraId="30C20158">
      <w:pPr>
        <w:pStyle w:val="3"/>
        <w:rPr>
          <w:rFonts w:ascii="宋体"/>
          <w:b/>
          <w:sz w:val="32"/>
          <w:szCs w:val="32"/>
        </w:rPr>
      </w:pPr>
    </w:p>
    <w:p w14:paraId="02DA8B0D">
      <w:pPr>
        <w:spacing w:line="360" w:lineRule="auto"/>
        <w:jc w:val="center"/>
        <w:rPr>
          <w:rFonts w:ascii="宋体"/>
          <w:spacing w:val="40"/>
          <w:w w:val="90"/>
          <w:sz w:val="96"/>
          <w:szCs w:val="96"/>
        </w:rPr>
      </w:pPr>
      <w:r>
        <w:rPr>
          <w:rFonts w:hint="eastAsia" w:ascii="宋体" w:hAnsi="宋体"/>
          <w:spacing w:val="40"/>
          <w:w w:val="90"/>
          <w:sz w:val="96"/>
          <w:szCs w:val="96"/>
        </w:rPr>
        <w:t>备份投标文件</w:t>
      </w:r>
    </w:p>
    <w:p w14:paraId="4AD5A166">
      <w:pPr>
        <w:autoSpaceDE w:val="0"/>
        <w:autoSpaceDN w:val="0"/>
        <w:adjustRightInd w:val="0"/>
        <w:spacing w:line="360" w:lineRule="auto"/>
        <w:rPr>
          <w:rFonts w:ascii="宋体"/>
          <w:b/>
          <w:sz w:val="32"/>
          <w:szCs w:val="32"/>
        </w:rPr>
      </w:pPr>
    </w:p>
    <w:p w14:paraId="39F8B9BA">
      <w:pPr>
        <w:autoSpaceDE w:val="0"/>
        <w:autoSpaceDN w:val="0"/>
        <w:adjustRightInd w:val="0"/>
        <w:spacing w:line="360" w:lineRule="auto"/>
        <w:rPr>
          <w:rFonts w:ascii="宋体"/>
          <w:b/>
          <w:sz w:val="32"/>
          <w:szCs w:val="32"/>
        </w:rPr>
      </w:pPr>
    </w:p>
    <w:p w14:paraId="089FC08D">
      <w:pPr>
        <w:autoSpaceDE w:val="0"/>
        <w:autoSpaceDN w:val="0"/>
        <w:adjustRightInd w:val="0"/>
        <w:spacing w:line="360" w:lineRule="auto"/>
        <w:rPr>
          <w:rFonts w:ascii="宋体"/>
          <w:b/>
          <w:sz w:val="32"/>
          <w:szCs w:val="32"/>
        </w:rPr>
      </w:pPr>
    </w:p>
    <w:p w14:paraId="6677A8DE">
      <w:pPr>
        <w:pStyle w:val="72"/>
        <w:spacing w:line="360" w:lineRule="auto"/>
        <w:ind w:left="0" w:right="-252"/>
        <w:rPr>
          <w:rFonts w:hint="default" w:ascii="宋体"/>
          <w:sz w:val="32"/>
          <w:szCs w:val="32"/>
          <w:u w:val="single"/>
        </w:rPr>
      </w:pPr>
      <w:r>
        <w:rPr>
          <w:rFonts w:ascii="宋体" w:hAnsi="宋体"/>
          <w:sz w:val="32"/>
          <w:szCs w:val="32"/>
        </w:rPr>
        <w:t>投标人名称：（公章）</w:t>
      </w:r>
    </w:p>
    <w:p w14:paraId="63ECB25B">
      <w:pPr>
        <w:pStyle w:val="3"/>
        <w:rPr>
          <w:rFonts w:ascii="宋体"/>
          <w:b/>
          <w:sz w:val="32"/>
          <w:szCs w:val="32"/>
        </w:rPr>
      </w:pPr>
    </w:p>
    <w:p w14:paraId="4C28A05F">
      <w:pPr>
        <w:pStyle w:val="3"/>
        <w:rPr>
          <w:rFonts w:ascii="宋体"/>
          <w:b/>
          <w:sz w:val="32"/>
          <w:szCs w:val="32"/>
        </w:rPr>
      </w:pPr>
    </w:p>
    <w:p w14:paraId="16D539CE">
      <w:pPr>
        <w:pStyle w:val="3"/>
        <w:rPr>
          <w:rFonts w:ascii="宋体"/>
          <w:b/>
          <w:sz w:val="32"/>
          <w:szCs w:val="32"/>
        </w:rPr>
      </w:pPr>
    </w:p>
    <w:p w14:paraId="23EA3B98">
      <w:pPr>
        <w:spacing w:line="360" w:lineRule="auto"/>
        <w:jc w:val="center"/>
        <w:rPr>
          <w:rFonts w:ascii="宋体"/>
          <w:b/>
          <w:sz w:val="30"/>
          <w:szCs w:val="30"/>
        </w:rPr>
      </w:pPr>
      <w:r>
        <w:rPr>
          <w:rFonts w:hint="eastAsia" w:ascii="宋体" w:hAnsi="宋体"/>
          <w:b/>
          <w:sz w:val="30"/>
          <w:szCs w:val="30"/>
        </w:rPr>
        <w:t>在年月日之前不得启封</w:t>
      </w:r>
      <w:bookmarkEnd w:id="16"/>
    </w:p>
    <w:p w14:paraId="75A409EF">
      <w:pPr>
        <w:spacing w:line="360" w:lineRule="auto"/>
        <w:jc w:val="center"/>
        <w:rPr>
          <w:rFonts w:ascii="宋体" w:hAnsi="宋体"/>
          <w:b/>
          <w:szCs w:val="21"/>
        </w:rPr>
      </w:pPr>
      <w:r>
        <w:rPr>
          <w:rFonts w:ascii="宋体" w:hAnsi="宋体"/>
          <w:b/>
          <w:sz w:val="24"/>
        </w:rPr>
        <w:br w:type="page"/>
      </w:r>
    </w:p>
    <w:p w14:paraId="0CAFFB8C">
      <w:pPr>
        <w:spacing w:line="360" w:lineRule="auto"/>
        <w:ind w:firstLine="2249" w:firstLineChars="700"/>
        <w:rPr>
          <w:rFonts w:ascii="宋体" w:hAnsi="宋体"/>
          <w:b/>
          <w:bCs/>
          <w:sz w:val="32"/>
          <w:szCs w:val="32"/>
        </w:rPr>
      </w:pPr>
      <w:r>
        <w:rPr>
          <w:rFonts w:hint="eastAsia" w:ascii="宋体" w:hAnsi="宋体"/>
          <w:b/>
          <w:sz w:val="32"/>
          <w:szCs w:val="32"/>
        </w:rPr>
        <w:t>三、投标报价一览表</w:t>
      </w:r>
      <w:r>
        <w:rPr>
          <w:rFonts w:ascii="宋体" w:hAnsi="宋体"/>
          <w:b/>
          <w:sz w:val="32"/>
          <w:szCs w:val="32"/>
        </w:rPr>
        <w:t>格式:</w:t>
      </w:r>
    </w:p>
    <w:p w14:paraId="10DA6D1A">
      <w:pPr>
        <w:snapToGrid w:val="0"/>
        <w:spacing w:before="50" w:after="50" w:line="360" w:lineRule="auto"/>
        <w:ind w:firstLine="630" w:firstLineChars="300"/>
        <w:rPr>
          <w:rFonts w:ascii="宋体" w:hAnsi="宋体"/>
          <w:szCs w:val="21"/>
          <w:u w:val="single"/>
        </w:rPr>
      </w:pPr>
      <w:r>
        <w:rPr>
          <w:rFonts w:hint="eastAsia" w:ascii="宋体" w:hAnsi="宋体"/>
          <w:szCs w:val="21"/>
        </w:rPr>
        <w:t>招标编号：</w:t>
      </w:r>
    </w:p>
    <w:p w14:paraId="173E2A76">
      <w:pPr>
        <w:snapToGrid w:val="0"/>
        <w:spacing w:before="50" w:after="50" w:line="360" w:lineRule="auto"/>
        <w:ind w:right="480" w:firstLine="630" w:firstLineChars="300"/>
        <w:rPr>
          <w:rFonts w:ascii="宋体" w:hAnsi="宋体"/>
          <w:szCs w:val="21"/>
        </w:rPr>
      </w:pPr>
      <w:r>
        <w:rPr>
          <w:rFonts w:hint="eastAsia" w:ascii="宋体" w:hAnsi="宋体"/>
          <w:szCs w:val="21"/>
        </w:rPr>
        <w:t>投标人名称：                                       金额单位：人民币（元）</w:t>
      </w:r>
    </w:p>
    <w:tbl>
      <w:tblPr>
        <w:tblStyle w:val="23"/>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804"/>
      </w:tblGrid>
      <w:tr w14:paraId="5D66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701" w:type="dxa"/>
            <w:vAlign w:val="center"/>
          </w:tcPr>
          <w:p w14:paraId="0D1F89CB">
            <w:pPr>
              <w:jc w:val="center"/>
              <w:rPr>
                <w:rFonts w:ascii="宋体"/>
                <w:bCs/>
                <w:sz w:val="24"/>
              </w:rPr>
            </w:pPr>
            <w:r>
              <w:rPr>
                <w:rFonts w:hint="eastAsia" w:ascii="宋体" w:hAnsi="宋体"/>
                <w:sz w:val="24"/>
              </w:rPr>
              <w:t>项目名称</w:t>
            </w:r>
          </w:p>
        </w:tc>
        <w:tc>
          <w:tcPr>
            <w:tcW w:w="6804" w:type="dxa"/>
            <w:vAlign w:val="center"/>
          </w:tcPr>
          <w:p w14:paraId="4479576C">
            <w:pPr>
              <w:jc w:val="center"/>
              <w:rPr>
                <w:rFonts w:ascii="宋体"/>
                <w:bCs/>
                <w:sz w:val="24"/>
              </w:rPr>
            </w:pPr>
          </w:p>
        </w:tc>
      </w:tr>
      <w:tr w14:paraId="1725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701" w:type="dxa"/>
            <w:vAlign w:val="center"/>
          </w:tcPr>
          <w:p w14:paraId="79602250">
            <w:pPr>
              <w:jc w:val="center"/>
              <w:rPr>
                <w:rFonts w:ascii="宋体"/>
                <w:sz w:val="24"/>
              </w:rPr>
            </w:pPr>
            <w:r>
              <w:rPr>
                <w:rFonts w:hint="eastAsia" w:ascii="宋体" w:hAnsi="宋体"/>
                <w:sz w:val="24"/>
              </w:rPr>
              <w:t>项目编号</w:t>
            </w:r>
          </w:p>
        </w:tc>
        <w:tc>
          <w:tcPr>
            <w:tcW w:w="6804" w:type="dxa"/>
            <w:vAlign w:val="center"/>
          </w:tcPr>
          <w:p w14:paraId="16BCEDF5">
            <w:pPr>
              <w:jc w:val="center"/>
              <w:rPr>
                <w:rFonts w:ascii="宋体"/>
                <w:bCs/>
                <w:sz w:val="24"/>
              </w:rPr>
            </w:pPr>
          </w:p>
        </w:tc>
      </w:tr>
      <w:tr w14:paraId="212F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701" w:type="dxa"/>
            <w:vAlign w:val="center"/>
          </w:tcPr>
          <w:p w14:paraId="1857A2D0">
            <w:pPr>
              <w:jc w:val="center"/>
              <w:rPr>
                <w:rFonts w:ascii="宋体"/>
                <w:sz w:val="24"/>
              </w:rPr>
            </w:pPr>
            <w:r>
              <w:rPr>
                <w:rFonts w:hint="eastAsia" w:ascii="宋体" w:hAnsi="宋体"/>
                <w:sz w:val="24"/>
              </w:rPr>
              <w:t>投标报价</w:t>
            </w:r>
          </w:p>
        </w:tc>
        <w:tc>
          <w:tcPr>
            <w:tcW w:w="6804" w:type="dxa"/>
            <w:vAlign w:val="center"/>
          </w:tcPr>
          <w:p w14:paraId="3DECF192">
            <w:pPr>
              <w:spacing w:line="360" w:lineRule="auto"/>
              <w:rPr>
                <w:rFonts w:ascii="宋体"/>
                <w:bCs/>
                <w:sz w:val="24"/>
              </w:rPr>
            </w:pPr>
            <w:r>
              <w:rPr>
                <w:rFonts w:hint="eastAsia" w:ascii="宋体" w:hAnsi="宋体"/>
                <w:bCs/>
                <w:sz w:val="24"/>
              </w:rPr>
              <w:t>（大写）人民币                    元</w:t>
            </w:r>
          </w:p>
          <w:p w14:paraId="3C797BFD">
            <w:pPr>
              <w:spacing w:line="360" w:lineRule="auto"/>
              <w:rPr>
                <w:rFonts w:ascii="宋体"/>
                <w:bCs/>
                <w:sz w:val="24"/>
              </w:rPr>
            </w:pPr>
            <w:r>
              <w:rPr>
                <w:rFonts w:hint="eastAsia" w:ascii="宋体" w:hAnsi="宋体"/>
                <w:bCs/>
                <w:sz w:val="24"/>
              </w:rPr>
              <w:t>（小写）人民币                    元</w:t>
            </w:r>
          </w:p>
        </w:tc>
      </w:tr>
    </w:tbl>
    <w:p w14:paraId="0BE6D745">
      <w:pPr>
        <w:snapToGrid w:val="0"/>
        <w:rPr>
          <w:rFonts w:ascii="宋体" w:hAnsi="宋体" w:cs="宋体"/>
          <w:b/>
          <w:kern w:val="0"/>
          <w:szCs w:val="21"/>
          <w:lang w:val="zh-CN"/>
        </w:rPr>
      </w:pPr>
    </w:p>
    <w:p w14:paraId="47108AB4">
      <w:pPr>
        <w:snapToGrid w:val="0"/>
        <w:spacing w:before="50" w:after="50"/>
        <w:jc w:val="left"/>
        <w:rPr>
          <w:rFonts w:ascii="宋体" w:hAnsi="宋体"/>
          <w:b/>
          <w:szCs w:val="21"/>
        </w:rPr>
      </w:pPr>
      <w:r>
        <w:rPr>
          <w:rFonts w:hint="eastAsia" w:ascii="宋体" w:hAnsi="宋体"/>
          <w:b/>
          <w:szCs w:val="21"/>
        </w:rPr>
        <w:t>注</w:t>
      </w:r>
      <w:r>
        <w:rPr>
          <w:rFonts w:ascii="宋体" w:hAnsi="宋体"/>
          <w:b/>
          <w:szCs w:val="21"/>
        </w:rPr>
        <w:t>:</w:t>
      </w:r>
      <w:r>
        <w:rPr>
          <w:rFonts w:hint="eastAsia" w:ascii="宋体" w:hAnsi="宋体"/>
          <w:b/>
          <w:szCs w:val="21"/>
        </w:rPr>
        <w:t xml:space="preserve"> 1.报价一经涂改，应在涂改处加盖单位公章或者由法定代表人或授权委托人签字或盖章，否则其投标作无效标处理。</w:t>
      </w:r>
    </w:p>
    <w:p w14:paraId="05E0412C">
      <w:pPr>
        <w:ind w:firstLine="422" w:firstLineChars="200"/>
        <w:jc w:val="left"/>
        <w:rPr>
          <w:rFonts w:ascii="宋体" w:hAnsi="宋体" w:cs="宋体"/>
          <w:b/>
          <w:kern w:val="0"/>
          <w:szCs w:val="21"/>
          <w:lang w:val="zh-CN"/>
        </w:rPr>
      </w:pPr>
      <w:r>
        <w:rPr>
          <w:rFonts w:hint="eastAsia" w:ascii="宋体" w:hAnsi="宋体"/>
          <w:b/>
          <w:szCs w:val="21"/>
        </w:rPr>
        <w:t>2.投标报价包含完成本项目的所有费用。超过最高限价做无效投标处理。</w:t>
      </w:r>
    </w:p>
    <w:p w14:paraId="034E1613">
      <w:pPr>
        <w:snapToGrid w:val="0"/>
        <w:spacing w:before="50" w:after="50"/>
        <w:jc w:val="left"/>
        <w:rPr>
          <w:rFonts w:ascii="宋体" w:hAnsi="宋体"/>
          <w:b/>
          <w:szCs w:val="21"/>
        </w:rPr>
      </w:pPr>
    </w:p>
    <w:p w14:paraId="5B4EDA13">
      <w:pPr>
        <w:snapToGrid w:val="0"/>
        <w:spacing w:before="50" w:after="50"/>
        <w:ind w:left="-23" w:leftChars="-11" w:right="-817" w:rightChars="-389"/>
        <w:jc w:val="right"/>
        <w:rPr>
          <w:rFonts w:ascii="宋体" w:hAnsi="宋体" w:cs="宋体"/>
          <w:szCs w:val="21"/>
        </w:rPr>
      </w:pPr>
    </w:p>
    <w:p w14:paraId="27194C1C">
      <w:pPr>
        <w:snapToGrid w:val="0"/>
        <w:spacing w:before="50" w:after="50"/>
        <w:ind w:left="-23" w:leftChars="-11" w:right="-817" w:rightChars="-389"/>
        <w:jc w:val="center"/>
        <w:rPr>
          <w:rFonts w:ascii="宋体" w:hAnsi="宋体" w:cs="宋体"/>
          <w:szCs w:val="21"/>
        </w:rPr>
      </w:pPr>
    </w:p>
    <w:p w14:paraId="754BD61E">
      <w:pPr>
        <w:snapToGrid w:val="0"/>
        <w:spacing w:before="50" w:after="50"/>
        <w:ind w:left="-23" w:leftChars="-11" w:right="-817" w:rightChars="-389"/>
        <w:jc w:val="center"/>
        <w:rPr>
          <w:rFonts w:ascii="宋体" w:hAnsi="宋体" w:cs="宋体"/>
          <w:szCs w:val="21"/>
        </w:rPr>
      </w:pPr>
      <w:r>
        <w:rPr>
          <w:rFonts w:hint="eastAsia" w:ascii="宋体" w:hAnsi="宋体" w:cs="宋体"/>
          <w:szCs w:val="21"/>
        </w:rPr>
        <w:t>法定代表人或授权代表（签字或盖章）：</w:t>
      </w:r>
    </w:p>
    <w:p w14:paraId="38C6971F">
      <w:pPr>
        <w:snapToGrid w:val="0"/>
        <w:spacing w:before="50" w:after="50"/>
        <w:ind w:left="-23" w:leftChars="-11" w:right="-817" w:rightChars="-389"/>
        <w:jc w:val="center"/>
        <w:rPr>
          <w:rFonts w:ascii="宋体" w:hAnsi="宋体" w:cs="宋体"/>
          <w:szCs w:val="21"/>
        </w:rPr>
      </w:pPr>
      <w:r>
        <w:rPr>
          <w:rFonts w:hint="eastAsia" w:ascii="宋体" w:hAnsi="宋体" w:cs="宋体"/>
          <w:szCs w:val="21"/>
        </w:rPr>
        <w:t>投标人（盖章）：</w:t>
      </w:r>
    </w:p>
    <w:p w14:paraId="01277C09">
      <w:pPr>
        <w:snapToGrid w:val="0"/>
        <w:spacing w:before="50" w:after="50"/>
        <w:ind w:left="-23" w:leftChars="-11" w:right="-817" w:rightChars="-389"/>
        <w:jc w:val="center"/>
        <w:rPr>
          <w:rFonts w:ascii="宋体" w:hAnsi="宋体" w:cs="宋体"/>
          <w:szCs w:val="21"/>
        </w:rPr>
      </w:pPr>
    </w:p>
    <w:p w14:paraId="608D8CFB">
      <w:pPr>
        <w:snapToGrid w:val="0"/>
        <w:spacing w:before="50" w:after="50"/>
        <w:jc w:val="right"/>
        <w:rPr>
          <w:rFonts w:ascii="宋体" w:hAnsi="宋体" w:cs="宋体"/>
          <w:szCs w:val="21"/>
        </w:rPr>
      </w:pPr>
      <w:r>
        <w:rPr>
          <w:rFonts w:hint="eastAsia" w:ascii="宋体" w:hAnsi="宋体" w:cs="宋体"/>
          <w:szCs w:val="21"/>
        </w:rPr>
        <w:t>日期：年月日</w:t>
      </w:r>
    </w:p>
    <w:p w14:paraId="1EF86960">
      <w:pPr>
        <w:autoSpaceDE w:val="0"/>
        <w:autoSpaceDN w:val="0"/>
        <w:adjustRightInd w:val="0"/>
        <w:rPr>
          <w:rFonts w:ascii="宋体" w:hAnsi="宋体"/>
          <w:b/>
          <w:bCs/>
          <w:szCs w:val="21"/>
        </w:rPr>
      </w:pPr>
    </w:p>
    <w:p w14:paraId="0ADC0819">
      <w:pPr>
        <w:autoSpaceDE w:val="0"/>
        <w:autoSpaceDN w:val="0"/>
        <w:adjustRightInd w:val="0"/>
        <w:rPr>
          <w:rFonts w:ascii="宋体" w:hAnsi="宋体"/>
          <w:b/>
          <w:bCs/>
          <w:szCs w:val="21"/>
        </w:rPr>
      </w:pPr>
    </w:p>
    <w:p w14:paraId="30F5D124">
      <w:pPr>
        <w:autoSpaceDE w:val="0"/>
        <w:autoSpaceDN w:val="0"/>
        <w:adjustRightInd w:val="0"/>
        <w:rPr>
          <w:rFonts w:ascii="宋体" w:hAnsi="宋体"/>
          <w:b/>
          <w:bCs/>
          <w:szCs w:val="21"/>
        </w:rPr>
      </w:pPr>
    </w:p>
    <w:p w14:paraId="10174DC2">
      <w:pPr>
        <w:autoSpaceDE w:val="0"/>
        <w:autoSpaceDN w:val="0"/>
        <w:adjustRightInd w:val="0"/>
        <w:rPr>
          <w:rFonts w:ascii="宋体" w:hAnsi="宋体"/>
          <w:b/>
          <w:bCs/>
          <w:szCs w:val="21"/>
        </w:rPr>
      </w:pPr>
    </w:p>
    <w:p w14:paraId="21912B93">
      <w:pPr>
        <w:autoSpaceDE w:val="0"/>
        <w:autoSpaceDN w:val="0"/>
        <w:adjustRightInd w:val="0"/>
        <w:rPr>
          <w:rFonts w:ascii="宋体" w:hAnsi="宋体"/>
          <w:b/>
          <w:bCs/>
          <w:szCs w:val="21"/>
        </w:rPr>
      </w:pPr>
    </w:p>
    <w:p w14:paraId="6AB7ABE6">
      <w:pPr>
        <w:autoSpaceDE w:val="0"/>
        <w:autoSpaceDN w:val="0"/>
        <w:adjustRightInd w:val="0"/>
        <w:rPr>
          <w:rFonts w:ascii="宋体" w:hAnsi="宋体"/>
          <w:b/>
          <w:bCs/>
          <w:szCs w:val="21"/>
        </w:rPr>
      </w:pPr>
    </w:p>
    <w:p w14:paraId="5586E264">
      <w:pPr>
        <w:autoSpaceDE w:val="0"/>
        <w:autoSpaceDN w:val="0"/>
        <w:adjustRightInd w:val="0"/>
        <w:rPr>
          <w:rFonts w:ascii="宋体" w:hAnsi="宋体"/>
          <w:b/>
          <w:bCs/>
          <w:szCs w:val="21"/>
        </w:rPr>
      </w:pPr>
    </w:p>
    <w:p w14:paraId="57B051EE">
      <w:pPr>
        <w:autoSpaceDE w:val="0"/>
        <w:autoSpaceDN w:val="0"/>
        <w:adjustRightInd w:val="0"/>
        <w:rPr>
          <w:rFonts w:ascii="宋体" w:hAnsi="宋体"/>
          <w:b/>
          <w:bCs/>
          <w:szCs w:val="21"/>
        </w:rPr>
      </w:pPr>
    </w:p>
    <w:p w14:paraId="36251869">
      <w:pPr>
        <w:autoSpaceDE w:val="0"/>
        <w:autoSpaceDN w:val="0"/>
        <w:adjustRightInd w:val="0"/>
        <w:rPr>
          <w:rFonts w:ascii="宋体" w:hAnsi="宋体"/>
          <w:b/>
          <w:bCs/>
          <w:szCs w:val="21"/>
        </w:rPr>
      </w:pPr>
    </w:p>
    <w:p w14:paraId="260C0215">
      <w:pPr>
        <w:autoSpaceDE w:val="0"/>
        <w:autoSpaceDN w:val="0"/>
        <w:adjustRightInd w:val="0"/>
        <w:rPr>
          <w:rFonts w:ascii="宋体" w:hAnsi="宋体"/>
          <w:b/>
          <w:bCs/>
          <w:szCs w:val="21"/>
        </w:rPr>
      </w:pPr>
    </w:p>
    <w:p w14:paraId="7BF8F131">
      <w:pPr>
        <w:autoSpaceDE w:val="0"/>
        <w:autoSpaceDN w:val="0"/>
        <w:adjustRightInd w:val="0"/>
        <w:rPr>
          <w:rFonts w:ascii="宋体" w:hAnsi="宋体"/>
          <w:b/>
          <w:bCs/>
          <w:szCs w:val="21"/>
        </w:rPr>
      </w:pPr>
    </w:p>
    <w:p w14:paraId="33300BD8">
      <w:pPr>
        <w:autoSpaceDE w:val="0"/>
        <w:autoSpaceDN w:val="0"/>
        <w:adjustRightInd w:val="0"/>
        <w:rPr>
          <w:rFonts w:ascii="宋体" w:hAnsi="宋体"/>
          <w:b/>
          <w:bCs/>
          <w:szCs w:val="21"/>
        </w:rPr>
      </w:pPr>
    </w:p>
    <w:p w14:paraId="551455AD">
      <w:pPr>
        <w:autoSpaceDE w:val="0"/>
        <w:autoSpaceDN w:val="0"/>
        <w:adjustRightInd w:val="0"/>
        <w:rPr>
          <w:rFonts w:ascii="宋体" w:hAnsi="宋体"/>
          <w:b/>
          <w:bCs/>
          <w:szCs w:val="21"/>
        </w:rPr>
      </w:pPr>
    </w:p>
    <w:p w14:paraId="39ABC91A">
      <w:pPr>
        <w:autoSpaceDE w:val="0"/>
        <w:autoSpaceDN w:val="0"/>
        <w:adjustRightInd w:val="0"/>
        <w:rPr>
          <w:rFonts w:ascii="宋体" w:hAnsi="宋体"/>
          <w:b/>
          <w:bCs/>
          <w:szCs w:val="21"/>
        </w:rPr>
      </w:pPr>
    </w:p>
    <w:p w14:paraId="15AF6654">
      <w:pPr>
        <w:autoSpaceDE w:val="0"/>
        <w:autoSpaceDN w:val="0"/>
        <w:adjustRightInd w:val="0"/>
        <w:rPr>
          <w:rFonts w:ascii="宋体" w:hAnsi="宋体"/>
          <w:b/>
          <w:bCs/>
          <w:szCs w:val="21"/>
        </w:rPr>
      </w:pPr>
    </w:p>
    <w:p w14:paraId="675FE11A">
      <w:pPr>
        <w:autoSpaceDE w:val="0"/>
        <w:autoSpaceDN w:val="0"/>
        <w:adjustRightInd w:val="0"/>
        <w:rPr>
          <w:rFonts w:ascii="宋体" w:hAnsi="宋体"/>
          <w:b/>
          <w:bCs/>
          <w:szCs w:val="21"/>
        </w:rPr>
      </w:pPr>
    </w:p>
    <w:p w14:paraId="0EEE0222">
      <w:pPr>
        <w:pStyle w:val="32"/>
        <w:rPr>
          <w:rFonts w:ascii="宋体" w:hAnsi="宋体"/>
          <w:b/>
          <w:bCs/>
          <w:szCs w:val="21"/>
        </w:rPr>
      </w:pPr>
    </w:p>
    <w:p w14:paraId="6C212A76">
      <w:pPr>
        <w:pStyle w:val="32"/>
        <w:rPr>
          <w:rFonts w:ascii="宋体" w:hAnsi="宋体"/>
          <w:b/>
          <w:bCs/>
          <w:szCs w:val="21"/>
        </w:rPr>
      </w:pPr>
    </w:p>
    <w:p w14:paraId="48BA781C">
      <w:pPr>
        <w:pStyle w:val="32"/>
        <w:rPr>
          <w:rFonts w:ascii="宋体" w:hAnsi="宋体"/>
          <w:b/>
          <w:bCs/>
          <w:szCs w:val="21"/>
        </w:rPr>
      </w:pPr>
    </w:p>
    <w:p w14:paraId="01AF693C">
      <w:pPr>
        <w:pStyle w:val="32"/>
        <w:rPr>
          <w:rFonts w:ascii="宋体" w:hAnsi="宋体"/>
          <w:b/>
          <w:bCs/>
          <w:szCs w:val="21"/>
        </w:rPr>
      </w:pPr>
    </w:p>
    <w:p w14:paraId="26C1543C">
      <w:pPr>
        <w:autoSpaceDE w:val="0"/>
        <w:autoSpaceDN w:val="0"/>
        <w:adjustRightInd w:val="0"/>
        <w:rPr>
          <w:rFonts w:ascii="宋体" w:hAnsi="宋体"/>
          <w:b/>
          <w:bCs/>
          <w:szCs w:val="21"/>
        </w:rPr>
      </w:pPr>
    </w:p>
    <w:p w14:paraId="07FAC3D6">
      <w:pPr>
        <w:autoSpaceDE w:val="0"/>
        <w:autoSpaceDN w:val="0"/>
        <w:adjustRightInd w:val="0"/>
        <w:rPr>
          <w:rFonts w:ascii="宋体" w:hAnsi="宋体"/>
          <w:b/>
          <w:bCs/>
          <w:szCs w:val="21"/>
        </w:rPr>
      </w:pPr>
    </w:p>
    <w:p w14:paraId="29D0C442">
      <w:pPr>
        <w:autoSpaceDE w:val="0"/>
        <w:autoSpaceDN w:val="0"/>
        <w:adjustRightInd w:val="0"/>
        <w:jc w:val="center"/>
        <w:rPr>
          <w:rFonts w:ascii="宋体" w:hAnsi="宋体"/>
          <w:b/>
          <w:bCs/>
          <w:sz w:val="32"/>
          <w:szCs w:val="32"/>
        </w:rPr>
      </w:pPr>
    </w:p>
    <w:p w14:paraId="092C6F8C">
      <w:pPr>
        <w:autoSpaceDE w:val="0"/>
        <w:autoSpaceDN w:val="0"/>
        <w:adjustRightInd w:val="0"/>
        <w:jc w:val="center"/>
        <w:rPr>
          <w:rFonts w:ascii="宋体" w:hAnsi="宋体"/>
          <w:bCs/>
          <w:sz w:val="32"/>
          <w:szCs w:val="32"/>
        </w:rPr>
      </w:pPr>
      <w:r>
        <w:rPr>
          <w:rFonts w:hint="eastAsia" w:ascii="宋体" w:hAnsi="宋体"/>
          <w:b/>
          <w:bCs/>
          <w:sz w:val="32"/>
          <w:szCs w:val="32"/>
        </w:rPr>
        <w:t>四、</w:t>
      </w:r>
      <w:r>
        <w:rPr>
          <w:rFonts w:ascii="宋体" w:hAnsi="宋体"/>
          <w:b/>
          <w:bCs/>
          <w:sz w:val="32"/>
          <w:szCs w:val="32"/>
        </w:rPr>
        <w:t>投标报价明细表</w:t>
      </w:r>
    </w:p>
    <w:p w14:paraId="652142B5">
      <w:pPr>
        <w:adjustRightInd w:val="0"/>
        <w:jc w:val="center"/>
        <w:textAlignment w:val="baseline"/>
        <w:rPr>
          <w:rFonts w:ascii="宋体" w:hAnsi="宋体"/>
          <w:b/>
          <w:szCs w:val="21"/>
        </w:rPr>
      </w:pPr>
    </w:p>
    <w:p w14:paraId="6614A0BA">
      <w:pPr>
        <w:adjustRightInd w:val="0"/>
        <w:spacing w:line="360" w:lineRule="auto"/>
        <w:textAlignment w:val="baseline"/>
        <w:rPr>
          <w:rFonts w:ascii="宋体" w:hAnsi="宋体"/>
          <w:szCs w:val="21"/>
          <w:u w:val="single"/>
        </w:rPr>
      </w:pPr>
      <w:r>
        <w:rPr>
          <w:rFonts w:hint="eastAsia" w:ascii="宋体" w:hAnsi="宋体"/>
          <w:szCs w:val="21"/>
        </w:rPr>
        <w:t>招标编号：</w:t>
      </w:r>
    </w:p>
    <w:p w14:paraId="5056FA2E">
      <w:pPr>
        <w:adjustRightInd w:val="0"/>
        <w:spacing w:line="360" w:lineRule="auto"/>
        <w:jc w:val="left"/>
        <w:textAlignment w:val="baseline"/>
        <w:rPr>
          <w:rFonts w:ascii="宋体" w:hAnsi="宋体"/>
          <w:szCs w:val="21"/>
        </w:rPr>
      </w:pPr>
      <w:r>
        <w:rPr>
          <w:rFonts w:hint="eastAsia" w:ascii="宋体" w:hAnsi="宋体"/>
          <w:szCs w:val="21"/>
        </w:rPr>
        <w:t>项目名称：                                               金额单位：人民币（元）</w:t>
      </w:r>
    </w:p>
    <w:tbl>
      <w:tblPr>
        <w:tblStyle w:val="23"/>
        <w:tblpPr w:leftFromText="180" w:rightFromText="180" w:vertAnchor="text" w:horzAnchor="page" w:tblpX="1594" w:tblpY="46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2048"/>
        <w:gridCol w:w="1344"/>
        <w:gridCol w:w="1089"/>
        <w:gridCol w:w="1170"/>
        <w:gridCol w:w="1118"/>
        <w:gridCol w:w="868"/>
        <w:gridCol w:w="839"/>
      </w:tblGrid>
      <w:tr w14:paraId="0982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20" w:type="pct"/>
            <w:shd w:val="clear" w:color="000000" w:fill="auto"/>
            <w:vAlign w:val="center"/>
          </w:tcPr>
          <w:p w14:paraId="1D4F0C27">
            <w:pPr>
              <w:widowControl/>
              <w:spacing w:line="360" w:lineRule="auto"/>
              <w:jc w:val="center"/>
              <w:rPr>
                <w:rFonts w:ascii="宋体" w:hAnsi="宋体" w:cs="宋体"/>
                <w:b/>
                <w:color w:val="000000"/>
              </w:rPr>
            </w:pPr>
            <w:r>
              <w:rPr>
                <w:rFonts w:hint="eastAsia" w:ascii="宋体" w:hAnsi="宋体" w:cs="宋体"/>
                <w:b/>
                <w:color w:val="000000"/>
              </w:rPr>
              <w:t>序号</w:t>
            </w:r>
          </w:p>
        </w:tc>
        <w:tc>
          <w:tcPr>
            <w:tcW w:w="1131" w:type="pct"/>
            <w:shd w:val="clear" w:color="000000" w:fill="auto"/>
            <w:vAlign w:val="center"/>
          </w:tcPr>
          <w:p w14:paraId="0A6E43C3">
            <w:pPr>
              <w:widowControl/>
              <w:spacing w:line="360" w:lineRule="auto"/>
              <w:jc w:val="center"/>
              <w:rPr>
                <w:rFonts w:ascii="宋体" w:hAnsi="宋体" w:cs="宋体"/>
                <w:b/>
                <w:color w:val="000000"/>
              </w:rPr>
            </w:pPr>
            <w:r>
              <w:rPr>
                <w:rFonts w:hint="eastAsia" w:ascii="宋体" w:hAnsi="宋体" w:cs="宋体"/>
                <w:b/>
                <w:color w:val="000000"/>
                <w:lang w:eastAsia="zh-CN"/>
              </w:rPr>
              <w:t>产品</w:t>
            </w:r>
            <w:r>
              <w:rPr>
                <w:rFonts w:hint="eastAsia" w:ascii="宋体" w:hAnsi="宋体" w:cs="宋体"/>
                <w:b/>
                <w:color w:val="000000"/>
              </w:rPr>
              <w:t>名称</w:t>
            </w:r>
          </w:p>
        </w:tc>
        <w:tc>
          <w:tcPr>
            <w:tcW w:w="742" w:type="pct"/>
            <w:shd w:val="clear" w:color="000000" w:fill="auto"/>
            <w:vAlign w:val="center"/>
          </w:tcPr>
          <w:p w14:paraId="0F75FEC2">
            <w:pPr>
              <w:widowControl/>
              <w:spacing w:line="360" w:lineRule="auto"/>
              <w:jc w:val="center"/>
              <w:rPr>
                <w:rFonts w:hint="eastAsia" w:ascii="宋体" w:hAnsi="宋体" w:cs="宋体"/>
                <w:b/>
                <w:color w:val="000000"/>
                <w:lang w:eastAsia="zh-CN"/>
              </w:rPr>
            </w:pPr>
            <w:r>
              <w:rPr>
                <w:rFonts w:hint="eastAsia" w:ascii="宋体" w:hAnsi="宋体" w:cs="宋体"/>
                <w:b/>
                <w:color w:val="000000"/>
                <w:lang w:eastAsia="zh-CN"/>
              </w:rPr>
              <w:t>品牌及型号</w:t>
            </w:r>
          </w:p>
        </w:tc>
        <w:tc>
          <w:tcPr>
            <w:tcW w:w="601" w:type="pct"/>
            <w:shd w:val="clear" w:color="000000" w:fill="auto"/>
            <w:vAlign w:val="center"/>
          </w:tcPr>
          <w:p w14:paraId="5B44BBC1">
            <w:pPr>
              <w:spacing w:line="360" w:lineRule="auto"/>
              <w:jc w:val="center"/>
              <w:rPr>
                <w:rFonts w:ascii="宋体" w:hAnsi="宋体" w:cs="宋体"/>
                <w:b/>
                <w:color w:val="000000"/>
              </w:rPr>
            </w:pPr>
            <w:r>
              <w:rPr>
                <w:rFonts w:hint="eastAsia" w:ascii="宋体" w:hAnsi="宋体" w:cs="宋体"/>
                <w:b/>
                <w:color w:val="000000"/>
              </w:rPr>
              <w:t>单价</w:t>
            </w:r>
          </w:p>
        </w:tc>
        <w:tc>
          <w:tcPr>
            <w:tcW w:w="646" w:type="pct"/>
            <w:shd w:val="clear" w:color="000000" w:fill="auto"/>
            <w:vAlign w:val="center"/>
          </w:tcPr>
          <w:p w14:paraId="4EBBCA2B">
            <w:pPr>
              <w:spacing w:line="360" w:lineRule="auto"/>
              <w:jc w:val="center"/>
              <w:rPr>
                <w:rFonts w:ascii="宋体" w:hAnsi="宋体" w:cs="宋体"/>
                <w:b/>
                <w:color w:val="000000"/>
              </w:rPr>
            </w:pPr>
            <w:r>
              <w:rPr>
                <w:rFonts w:hint="eastAsia" w:ascii="宋体" w:hAnsi="宋体" w:cs="宋体"/>
                <w:b/>
                <w:color w:val="000000"/>
              </w:rPr>
              <w:t>数量</w:t>
            </w:r>
          </w:p>
        </w:tc>
        <w:tc>
          <w:tcPr>
            <w:tcW w:w="617" w:type="pct"/>
            <w:shd w:val="clear" w:color="000000" w:fill="auto"/>
            <w:vAlign w:val="center"/>
          </w:tcPr>
          <w:p w14:paraId="33CF872E">
            <w:pPr>
              <w:spacing w:line="360" w:lineRule="auto"/>
              <w:ind w:left="12"/>
              <w:jc w:val="center"/>
              <w:rPr>
                <w:rFonts w:ascii="宋体" w:hAnsi="宋体" w:cs="宋体"/>
                <w:b/>
                <w:color w:val="000000"/>
              </w:rPr>
            </w:pPr>
            <w:r>
              <w:rPr>
                <w:rFonts w:hint="eastAsia" w:ascii="宋体" w:hAnsi="宋体" w:cs="宋体"/>
                <w:b/>
                <w:color w:val="000000"/>
              </w:rPr>
              <w:t>单位</w:t>
            </w:r>
          </w:p>
        </w:tc>
        <w:tc>
          <w:tcPr>
            <w:tcW w:w="479" w:type="pct"/>
            <w:shd w:val="clear" w:color="000000" w:fill="auto"/>
            <w:vAlign w:val="center"/>
          </w:tcPr>
          <w:p w14:paraId="459B9702">
            <w:pPr>
              <w:widowControl/>
              <w:spacing w:line="360" w:lineRule="auto"/>
              <w:jc w:val="center"/>
              <w:rPr>
                <w:rFonts w:ascii="宋体" w:hAnsi="宋体" w:cs="宋体"/>
                <w:b/>
                <w:color w:val="000000"/>
              </w:rPr>
            </w:pPr>
            <w:r>
              <w:rPr>
                <w:rFonts w:hint="eastAsia" w:ascii="宋体" w:hAnsi="宋体" w:cs="宋体"/>
                <w:b/>
                <w:color w:val="000000"/>
              </w:rPr>
              <w:t>合价</w:t>
            </w:r>
          </w:p>
        </w:tc>
        <w:tc>
          <w:tcPr>
            <w:tcW w:w="461" w:type="pct"/>
            <w:shd w:val="clear" w:color="000000" w:fill="auto"/>
            <w:vAlign w:val="center"/>
          </w:tcPr>
          <w:p w14:paraId="4B74B738">
            <w:pPr>
              <w:spacing w:line="360" w:lineRule="auto"/>
              <w:jc w:val="center"/>
              <w:rPr>
                <w:rFonts w:ascii="宋体" w:hAnsi="宋体" w:cs="宋体"/>
                <w:b/>
                <w:color w:val="000000"/>
              </w:rPr>
            </w:pPr>
            <w:r>
              <w:rPr>
                <w:rFonts w:hint="eastAsia" w:ascii="宋体" w:hAnsi="宋体" w:cs="宋体"/>
                <w:b/>
                <w:color w:val="000000"/>
              </w:rPr>
              <w:t>备注</w:t>
            </w:r>
          </w:p>
        </w:tc>
      </w:tr>
      <w:tr w14:paraId="0A17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20" w:type="pct"/>
            <w:vAlign w:val="center"/>
          </w:tcPr>
          <w:p w14:paraId="10827344">
            <w:pPr>
              <w:widowControl/>
              <w:spacing w:line="360" w:lineRule="auto"/>
              <w:jc w:val="center"/>
              <w:rPr>
                <w:rFonts w:ascii="宋体" w:hAnsi="宋体" w:cs="宋体"/>
                <w:color w:val="000000"/>
              </w:rPr>
            </w:pPr>
          </w:p>
        </w:tc>
        <w:tc>
          <w:tcPr>
            <w:tcW w:w="1131" w:type="pct"/>
            <w:vAlign w:val="center"/>
          </w:tcPr>
          <w:p w14:paraId="709BACF3">
            <w:pPr>
              <w:widowControl/>
              <w:jc w:val="center"/>
              <w:rPr>
                <w:rFonts w:ascii="宋体" w:hAnsi="宋体" w:cs="宋体"/>
                <w:color w:val="000000"/>
              </w:rPr>
            </w:pPr>
          </w:p>
        </w:tc>
        <w:tc>
          <w:tcPr>
            <w:tcW w:w="742" w:type="pct"/>
            <w:vAlign w:val="center"/>
          </w:tcPr>
          <w:p w14:paraId="497BF5AB">
            <w:pPr>
              <w:widowControl/>
              <w:jc w:val="center"/>
              <w:rPr>
                <w:rFonts w:ascii="宋体" w:hAnsi="宋体" w:cs="宋体"/>
                <w:color w:val="000000"/>
              </w:rPr>
            </w:pPr>
          </w:p>
        </w:tc>
        <w:tc>
          <w:tcPr>
            <w:tcW w:w="601" w:type="pct"/>
            <w:vAlign w:val="center"/>
          </w:tcPr>
          <w:p w14:paraId="63222E5A">
            <w:pPr>
              <w:jc w:val="center"/>
              <w:rPr>
                <w:rFonts w:ascii="宋体" w:hAnsi="宋体" w:cs="宋体"/>
                <w:color w:val="000000"/>
              </w:rPr>
            </w:pPr>
          </w:p>
        </w:tc>
        <w:tc>
          <w:tcPr>
            <w:tcW w:w="646" w:type="pct"/>
            <w:vAlign w:val="center"/>
          </w:tcPr>
          <w:p w14:paraId="173CEBA1">
            <w:pPr>
              <w:jc w:val="center"/>
              <w:rPr>
                <w:rFonts w:ascii="宋体" w:hAnsi="宋体" w:cs="宋体"/>
                <w:color w:val="000000"/>
              </w:rPr>
            </w:pPr>
          </w:p>
        </w:tc>
        <w:tc>
          <w:tcPr>
            <w:tcW w:w="617" w:type="pct"/>
            <w:vAlign w:val="center"/>
          </w:tcPr>
          <w:p w14:paraId="1EC9073B">
            <w:pPr>
              <w:jc w:val="center"/>
              <w:rPr>
                <w:rFonts w:ascii="宋体" w:hAnsi="宋体" w:cs="宋体"/>
                <w:color w:val="000000"/>
              </w:rPr>
            </w:pPr>
          </w:p>
        </w:tc>
        <w:tc>
          <w:tcPr>
            <w:tcW w:w="479" w:type="pct"/>
            <w:vAlign w:val="center"/>
          </w:tcPr>
          <w:p w14:paraId="7585A8C9">
            <w:pPr>
              <w:widowControl/>
              <w:spacing w:line="360" w:lineRule="auto"/>
              <w:jc w:val="center"/>
              <w:rPr>
                <w:rFonts w:ascii="宋体" w:hAnsi="宋体" w:cs="宋体"/>
                <w:color w:val="000000"/>
              </w:rPr>
            </w:pPr>
          </w:p>
        </w:tc>
        <w:tc>
          <w:tcPr>
            <w:tcW w:w="461" w:type="pct"/>
            <w:vAlign w:val="center"/>
          </w:tcPr>
          <w:p w14:paraId="6F23EBE4">
            <w:pPr>
              <w:widowControl/>
              <w:spacing w:line="360" w:lineRule="auto"/>
              <w:jc w:val="center"/>
              <w:rPr>
                <w:rFonts w:ascii="宋体" w:hAnsi="宋体" w:cs="宋体"/>
                <w:color w:val="000000"/>
              </w:rPr>
            </w:pPr>
          </w:p>
        </w:tc>
      </w:tr>
      <w:tr w14:paraId="5F73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20" w:type="pct"/>
            <w:vAlign w:val="center"/>
          </w:tcPr>
          <w:p w14:paraId="65345DFF">
            <w:pPr>
              <w:widowControl/>
              <w:spacing w:line="360" w:lineRule="auto"/>
              <w:jc w:val="center"/>
              <w:rPr>
                <w:rFonts w:ascii="宋体" w:hAnsi="宋体" w:cs="宋体"/>
                <w:color w:val="000000"/>
              </w:rPr>
            </w:pPr>
          </w:p>
        </w:tc>
        <w:tc>
          <w:tcPr>
            <w:tcW w:w="1131" w:type="pct"/>
            <w:vAlign w:val="center"/>
          </w:tcPr>
          <w:p w14:paraId="0393B67D">
            <w:pPr>
              <w:widowControl/>
              <w:jc w:val="center"/>
              <w:rPr>
                <w:rFonts w:ascii="宋体" w:hAnsi="宋体" w:cs="宋体"/>
                <w:color w:val="000000"/>
              </w:rPr>
            </w:pPr>
          </w:p>
        </w:tc>
        <w:tc>
          <w:tcPr>
            <w:tcW w:w="742" w:type="pct"/>
            <w:vAlign w:val="center"/>
          </w:tcPr>
          <w:p w14:paraId="5123B9E3">
            <w:pPr>
              <w:widowControl/>
              <w:jc w:val="center"/>
              <w:rPr>
                <w:rFonts w:ascii="宋体" w:hAnsi="宋体" w:cs="宋体"/>
                <w:color w:val="000000"/>
              </w:rPr>
            </w:pPr>
          </w:p>
        </w:tc>
        <w:tc>
          <w:tcPr>
            <w:tcW w:w="601" w:type="pct"/>
            <w:vAlign w:val="center"/>
          </w:tcPr>
          <w:p w14:paraId="4AB2D1CE">
            <w:pPr>
              <w:jc w:val="center"/>
              <w:rPr>
                <w:rFonts w:ascii="宋体" w:hAnsi="宋体" w:cs="宋体"/>
                <w:color w:val="000000"/>
              </w:rPr>
            </w:pPr>
          </w:p>
        </w:tc>
        <w:tc>
          <w:tcPr>
            <w:tcW w:w="646" w:type="pct"/>
            <w:vAlign w:val="center"/>
          </w:tcPr>
          <w:p w14:paraId="24BA33ED">
            <w:pPr>
              <w:jc w:val="center"/>
              <w:rPr>
                <w:rFonts w:ascii="宋体" w:hAnsi="宋体" w:cs="宋体"/>
                <w:color w:val="000000"/>
              </w:rPr>
            </w:pPr>
          </w:p>
        </w:tc>
        <w:tc>
          <w:tcPr>
            <w:tcW w:w="617" w:type="pct"/>
            <w:vAlign w:val="center"/>
          </w:tcPr>
          <w:p w14:paraId="1D250784">
            <w:pPr>
              <w:jc w:val="center"/>
              <w:rPr>
                <w:rFonts w:ascii="宋体" w:hAnsi="宋体" w:cs="宋体"/>
                <w:color w:val="000000"/>
              </w:rPr>
            </w:pPr>
          </w:p>
        </w:tc>
        <w:tc>
          <w:tcPr>
            <w:tcW w:w="479" w:type="pct"/>
            <w:vAlign w:val="center"/>
          </w:tcPr>
          <w:p w14:paraId="11D788B4">
            <w:pPr>
              <w:widowControl/>
              <w:spacing w:line="360" w:lineRule="auto"/>
              <w:jc w:val="center"/>
              <w:rPr>
                <w:rFonts w:ascii="宋体" w:hAnsi="宋体" w:cs="宋体"/>
                <w:color w:val="000000"/>
              </w:rPr>
            </w:pPr>
          </w:p>
        </w:tc>
        <w:tc>
          <w:tcPr>
            <w:tcW w:w="461" w:type="pct"/>
            <w:vAlign w:val="center"/>
          </w:tcPr>
          <w:p w14:paraId="638E0D95">
            <w:pPr>
              <w:widowControl/>
              <w:spacing w:line="360" w:lineRule="auto"/>
              <w:jc w:val="center"/>
              <w:rPr>
                <w:rFonts w:ascii="宋体" w:hAnsi="宋体" w:cs="宋体"/>
                <w:color w:val="000000"/>
              </w:rPr>
            </w:pPr>
          </w:p>
        </w:tc>
      </w:tr>
      <w:tr w14:paraId="7635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trPr>
        <w:tc>
          <w:tcPr>
            <w:tcW w:w="320" w:type="pct"/>
            <w:vAlign w:val="center"/>
          </w:tcPr>
          <w:p w14:paraId="7ED88E2A">
            <w:pPr>
              <w:widowControl/>
              <w:spacing w:line="360" w:lineRule="auto"/>
              <w:jc w:val="center"/>
              <w:rPr>
                <w:rFonts w:ascii="宋体" w:hAnsi="宋体" w:cs="宋体"/>
                <w:color w:val="000000"/>
              </w:rPr>
            </w:pPr>
          </w:p>
        </w:tc>
        <w:tc>
          <w:tcPr>
            <w:tcW w:w="1131" w:type="pct"/>
            <w:vAlign w:val="center"/>
          </w:tcPr>
          <w:p w14:paraId="4E178EDD">
            <w:pPr>
              <w:widowControl/>
              <w:jc w:val="center"/>
              <w:rPr>
                <w:rFonts w:ascii="宋体" w:hAnsi="宋体" w:cs="宋体"/>
                <w:color w:val="000000"/>
              </w:rPr>
            </w:pPr>
          </w:p>
        </w:tc>
        <w:tc>
          <w:tcPr>
            <w:tcW w:w="742" w:type="pct"/>
            <w:vAlign w:val="center"/>
          </w:tcPr>
          <w:p w14:paraId="07F41A6E">
            <w:pPr>
              <w:widowControl/>
              <w:jc w:val="center"/>
              <w:rPr>
                <w:rFonts w:ascii="宋体" w:hAnsi="宋体" w:cs="宋体"/>
                <w:color w:val="000000"/>
              </w:rPr>
            </w:pPr>
          </w:p>
        </w:tc>
        <w:tc>
          <w:tcPr>
            <w:tcW w:w="601" w:type="pct"/>
            <w:vAlign w:val="center"/>
          </w:tcPr>
          <w:p w14:paraId="5BCA6ABF">
            <w:pPr>
              <w:jc w:val="center"/>
              <w:rPr>
                <w:rFonts w:ascii="宋体" w:hAnsi="宋体" w:cs="宋体"/>
                <w:color w:val="000000"/>
              </w:rPr>
            </w:pPr>
          </w:p>
        </w:tc>
        <w:tc>
          <w:tcPr>
            <w:tcW w:w="646" w:type="pct"/>
            <w:vAlign w:val="center"/>
          </w:tcPr>
          <w:p w14:paraId="2351C480">
            <w:pPr>
              <w:jc w:val="center"/>
              <w:rPr>
                <w:rFonts w:ascii="宋体" w:hAnsi="宋体" w:cs="宋体"/>
                <w:color w:val="000000"/>
              </w:rPr>
            </w:pPr>
          </w:p>
        </w:tc>
        <w:tc>
          <w:tcPr>
            <w:tcW w:w="617" w:type="pct"/>
            <w:vAlign w:val="center"/>
          </w:tcPr>
          <w:p w14:paraId="7459B67A">
            <w:pPr>
              <w:jc w:val="center"/>
              <w:rPr>
                <w:rFonts w:ascii="宋体" w:hAnsi="宋体" w:cs="宋体"/>
                <w:color w:val="000000"/>
              </w:rPr>
            </w:pPr>
          </w:p>
        </w:tc>
        <w:tc>
          <w:tcPr>
            <w:tcW w:w="479" w:type="pct"/>
            <w:vAlign w:val="center"/>
          </w:tcPr>
          <w:p w14:paraId="26ED0AC1">
            <w:pPr>
              <w:widowControl/>
              <w:spacing w:line="360" w:lineRule="auto"/>
              <w:jc w:val="center"/>
              <w:rPr>
                <w:rFonts w:ascii="宋体" w:hAnsi="宋体" w:cs="宋体"/>
                <w:color w:val="000000"/>
              </w:rPr>
            </w:pPr>
          </w:p>
        </w:tc>
        <w:tc>
          <w:tcPr>
            <w:tcW w:w="461" w:type="pct"/>
            <w:vAlign w:val="center"/>
          </w:tcPr>
          <w:p w14:paraId="406861BF">
            <w:pPr>
              <w:widowControl/>
              <w:spacing w:line="360" w:lineRule="auto"/>
              <w:jc w:val="center"/>
              <w:rPr>
                <w:rFonts w:ascii="宋体" w:hAnsi="宋体" w:cs="宋体"/>
                <w:color w:val="000000"/>
              </w:rPr>
            </w:pPr>
          </w:p>
        </w:tc>
      </w:tr>
      <w:tr w14:paraId="299B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20" w:type="pct"/>
            <w:vAlign w:val="center"/>
          </w:tcPr>
          <w:p w14:paraId="2C13C317">
            <w:pPr>
              <w:widowControl/>
              <w:spacing w:line="360" w:lineRule="auto"/>
              <w:jc w:val="center"/>
              <w:rPr>
                <w:rFonts w:ascii="宋体" w:hAnsi="宋体" w:cs="宋体"/>
                <w:color w:val="000000"/>
              </w:rPr>
            </w:pPr>
          </w:p>
        </w:tc>
        <w:tc>
          <w:tcPr>
            <w:tcW w:w="1131" w:type="pct"/>
            <w:vAlign w:val="center"/>
          </w:tcPr>
          <w:p w14:paraId="78856D32">
            <w:pPr>
              <w:widowControl/>
              <w:jc w:val="center"/>
              <w:rPr>
                <w:rFonts w:ascii="宋体" w:hAnsi="宋体" w:cs="宋体"/>
                <w:color w:val="000000"/>
              </w:rPr>
            </w:pPr>
            <w:r>
              <w:rPr>
                <w:rFonts w:hint="eastAsia" w:ascii="宋体" w:hAnsi="宋体" w:cs="宋体"/>
                <w:color w:val="000000"/>
              </w:rPr>
              <w:t>合计</w:t>
            </w:r>
          </w:p>
        </w:tc>
        <w:tc>
          <w:tcPr>
            <w:tcW w:w="742" w:type="pct"/>
            <w:vAlign w:val="center"/>
          </w:tcPr>
          <w:p w14:paraId="5A4F1FA3">
            <w:pPr>
              <w:widowControl/>
              <w:jc w:val="center"/>
              <w:rPr>
                <w:rFonts w:hint="eastAsia" w:ascii="宋体" w:hAnsi="宋体" w:cs="宋体"/>
                <w:color w:val="000000"/>
              </w:rPr>
            </w:pPr>
          </w:p>
        </w:tc>
        <w:tc>
          <w:tcPr>
            <w:tcW w:w="601" w:type="pct"/>
            <w:vAlign w:val="center"/>
          </w:tcPr>
          <w:p w14:paraId="1C43D9A1">
            <w:pPr>
              <w:jc w:val="center"/>
              <w:rPr>
                <w:rFonts w:ascii="宋体" w:hAnsi="宋体" w:cs="宋体"/>
                <w:color w:val="000000"/>
              </w:rPr>
            </w:pPr>
          </w:p>
        </w:tc>
        <w:tc>
          <w:tcPr>
            <w:tcW w:w="646" w:type="pct"/>
            <w:vAlign w:val="center"/>
          </w:tcPr>
          <w:p w14:paraId="75CE837F">
            <w:pPr>
              <w:jc w:val="center"/>
              <w:rPr>
                <w:rFonts w:ascii="宋体" w:hAnsi="宋体" w:cs="宋体"/>
                <w:color w:val="000000"/>
              </w:rPr>
            </w:pPr>
          </w:p>
        </w:tc>
        <w:tc>
          <w:tcPr>
            <w:tcW w:w="617" w:type="pct"/>
            <w:vAlign w:val="center"/>
          </w:tcPr>
          <w:p w14:paraId="5496F817">
            <w:pPr>
              <w:jc w:val="center"/>
              <w:rPr>
                <w:rFonts w:ascii="宋体" w:hAnsi="宋体" w:cs="宋体"/>
                <w:color w:val="000000"/>
              </w:rPr>
            </w:pPr>
          </w:p>
        </w:tc>
        <w:tc>
          <w:tcPr>
            <w:tcW w:w="479" w:type="pct"/>
            <w:vAlign w:val="center"/>
          </w:tcPr>
          <w:p w14:paraId="18BAE6E7">
            <w:pPr>
              <w:widowControl/>
              <w:spacing w:line="360" w:lineRule="auto"/>
              <w:jc w:val="center"/>
              <w:rPr>
                <w:rFonts w:ascii="宋体" w:hAnsi="宋体" w:cs="宋体"/>
                <w:color w:val="000000"/>
              </w:rPr>
            </w:pPr>
          </w:p>
        </w:tc>
        <w:tc>
          <w:tcPr>
            <w:tcW w:w="461" w:type="pct"/>
            <w:vAlign w:val="center"/>
          </w:tcPr>
          <w:p w14:paraId="073E89EA">
            <w:pPr>
              <w:widowControl/>
              <w:spacing w:line="360" w:lineRule="auto"/>
              <w:jc w:val="center"/>
              <w:rPr>
                <w:rFonts w:ascii="宋体" w:hAnsi="宋体" w:cs="宋体"/>
                <w:color w:val="000000"/>
              </w:rPr>
            </w:pPr>
          </w:p>
        </w:tc>
      </w:tr>
      <w:tr w14:paraId="6268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20" w:type="pct"/>
            <w:shd w:val="clear" w:color="000000" w:fill="FFFFFF"/>
            <w:vAlign w:val="center"/>
          </w:tcPr>
          <w:p w14:paraId="68E2F54F">
            <w:pPr>
              <w:widowControl/>
              <w:spacing w:line="360" w:lineRule="auto"/>
              <w:jc w:val="center"/>
              <w:rPr>
                <w:rFonts w:ascii="宋体" w:hAnsi="宋体" w:cs="宋体"/>
                <w:color w:val="000000"/>
              </w:rPr>
            </w:pPr>
            <w:r>
              <w:rPr>
                <w:rFonts w:hint="eastAsia" w:ascii="宋体" w:hAnsi="宋体"/>
                <w:sz w:val="24"/>
              </w:rPr>
              <w:t>投标总报价</w:t>
            </w:r>
          </w:p>
        </w:tc>
        <w:tc>
          <w:tcPr>
            <w:tcW w:w="4679" w:type="pct"/>
            <w:gridSpan w:val="7"/>
            <w:shd w:val="clear" w:color="000000" w:fill="FFFFFF"/>
            <w:vAlign w:val="center"/>
          </w:tcPr>
          <w:p w14:paraId="1E2A471B">
            <w:pPr>
              <w:widowControl/>
              <w:spacing w:line="360" w:lineRule="auto"/>
            </w:pPr>
            <w:r>
              <w:rPr>
                <w:rFonts w:hint="eastAsia"/>
              </w:rPr>
              <w:t>（小写）元</w:t>
            </w:r>
          </w:p>
          <w:p w14:paraId="314AD5D0">
            <w:pPr>
              <w:spacing w:after="120"/>
              <w:rPr>
                <w:rFonts w:hint="eastAsia"/>
              </w:rPr>
            </w:pPr>
            <w:r>
              <w:rPr>
                <w:rFonts w:hint="eastAsia"/>
              </w:rPr>
              <w:t>（大写）元</w:t>
            </w:r>
          </w:p>
        </w:tc>
      </w:tr>
    </w:tbl>
    <w:p w14:paraId="12020B72">
      <w:pPr>
        <w:adjustRightInd w:val="0"/>
        <w:spacing w:line="360" w:lineRule="auto"/>
        <w:jc w:val="right"/>
        <w:textAlignment w:val="baseline"/>
        <w:rPr>
          <w:rFonts w:ascii="宋体" w:hAnsi="宋体"/>
          <w:szCs w:val="21"/>
        </w:rPr>
      </w:pPr>
    </w:p>
    <w:p w14:paraId="4BFBC06B">
      <w:pPr>
        <w:spacing w:line="360" w:lineRule="auto"/>
        <w:rPr>
          <w:rFonts w:ascii="宋体" w:hAnsi="宋体"/>
          <w:szCs w:val="21"/>
        </w:rPr>
      </w:pPr>
    </w:p>
    <w:p w14:paraId="3FDE0D30">
      <w:pPr>
        <w:snapToGrid w:val="0"/>
        <w:spacing w:before="50" w:after="50" w:line="360" w:lineRule="auto"/>
        <w:rPr>
          <w:rFonts w:ascii="宋体" w:hAnsi="宋体"/>
          <w:szCs w:val="21"/>
        </w:rPr>
      </w:pPr>
      <w:r>
        <w:rPr>
          <w:rFonts w:hint="eastAsia"/>
          <w:szCs w:val="21"/>
        </w:rPr>
        <w:t>注：项目费用包括材料价、加工制作价、损耗价、运至业主指定地点的运输费、装卸费、保险费、制作、安装、加固、调试等配套工程及税金等一切费用。</w:t>
      </w:r>
    </w:p>
    <w:p w14:paraId="27B03379">
      <w:pPr>
        <w:snapToGrid w:val="0"/>
        <w:spacing w:before="50" w:after="50" w:line="360" w:lineRule="auto"/>
        <w:rPr>
          <w:rFonts w:ascii="宋体" w:hAnsi="宋体"/>
          <w:szCs w:val="21"/>
        </w:rPr>
      </w:pPr>
    </w:p>
    <w:p w14:paraId="6C45BAFF">
      <w:pPr>
        <w:snapToGrid w:val="0"/>
        <w:spacing w:before="50" w:after="50" w:line="360" w:lineRule="auto"/>
        <w:rPr>
          <w:rFonts w:ascii="宋体" w:hAnsi="宋体"/>
          <w:szCs w:val="21"/>
        </w:rPr>
      </w:pPr>
    </w:p>
    <w:p w14:paraId="25D1DFC2">
      <w:pPr>
        <w:snapToGrid w:val="0"/>
        <w:spacing w:before="50" w:after="50" w:line="360" w:lineRule="auto"/>
        <w:rPr>
          <w:rFonts w:ascii="宋体" w:hAnsi="宋体"/>
          <w:spacing w:val="20"/>
          <w:szCs w:val="21"/>
          <w:u w:val="single"/>
        </w:rPr>
      </w:pPr>
      <w:r>
        <w:rPr>
          <w:rFonts w:hint="eastAsia" w:ascii="宋体" w:hAnsi="宋体" w:cs="宋体"/>
          <w:szCs w:val="21"/>
        </w:rPr>
        <w:t>法定代表人或授权代表（签字或盖章）</w:t>
      </w:r>
      <w:r>
        <w:rPr>
          <w:rFonts w:hint="eastAsia" w:ascii="宋体" w:hAnsi="宋体"/>
          <w:spacing w:val="20"/>
          <w:szCs w:val="21"/>
        </w:rPr>
        <w:t>：</w:t>
      </w:r>
    </w:p>
    <w:p w14:paraId="2562AD6A">
      <w:pPr>
        <w:snapToGrid w:val="0"/>
        <w:spacing w:before="50" w:after="50"/>
        <w:rPr>
          <w:rFonts w:ascii="宋体" w:hAnsi="宋体"/>
          <w:spacing w:val="20"/>
          <w:szCs w:val="21"/>
        </w:rPr>
      </w:pPr>
      <w:r>
        <w:rPr>
          <w:rFonts w:hint="eastAsia" w:ascii="宋体" w:hAnsi="宋体"/>
          <w:spacing w:val="20"/>
          <w:szCs w:val="21"/>
        </w:rPr>
        <w:t>投标人（盖章）：</w:t>
      </w:r>
    </w:p>
    <w:p w14:paraId="0DE25868">
      <w:pPr>
        <w:snapToGrid w:val="0"/>
        <w:spacing w:before="50" w:after="50"/>
        <w:rPr>
          <w:rFonts w:ascii="宋体" w:hAnsi="宋体"/>
          <w:spacing w:val="20"/>
          <w:szCs w:val="21"/>
        </w:rPr>
      </w:pPr>
    </w:p>
    <w:p w14:paraId="17AF9ECC">
      <w:pPr>
        <w:spacing w:after="120"/>
        <w:rPr>
          <w:sz w:val="24"/>
        </w:rPr>
      </w:pPr>
      <w:r>
        <w:rPr>
          <w:rFonts w:hint="eastAsia"/>
          <w:sz w:val="24"/>
          <w:szCs w:val="21"/>
        </w:rPr>
        <w:t>日期：年月日</w:t>
      </w:r>
    </w:p>
    <w:p w14:paraId="47ED0DB7">
      <w:pPr>
        <w:spacing w:after="120"/>
        <w:ind w:firstLine="210" w:firstLineChars="100"/>
        <w:rPr>
          <w:rFonts w:ascii="Times New Roman"/>
        </w:rPr>
      </w:pPr>
    </w:p>
    <w:p w14:paraId="00687C74">
      <w:pPr>
        <w:spacing w:after="120"/>
        <w:ind w:firstLine="210" w:firstLineChars="100"/>
        <w:rPr>
          <w:rFonts w:ascii="Times New Roman"/>
        </w:rPr>
      </w:pPr>
    </w:p>
    <w:p w14:paraId="201488A2">
      <w:pPr>
        <w:spacing w:after="120"/>
        <w:ind w:firstLine="210" w:firstLineChars="100"/>
        <w:rPr>
          <w:rFonts w:ascii="Times New Roman"/>
        </w:rPr>
      </w:pPr>
    </w:p>
    <w:p w14:paraId="0590183F">
      <w:pPr>
        <w:pStyle w:val="32"/>
        <w:rPr>
          <w:rFonts w:ascii="Times New Roman"/>
        </w:rPr>
      </w:pPr>
    </w:p>
    <w:p w14:paraId="00619941">
      <w:pPr>
        <w:pStyle w:val="32"/>
        <w:rPr>
          <w:rFonts w:ascii="Times New Roman"/>
        </w:rPr>
      </w:pPr>
    </w:p>
    <w:p w14:paraId="1ED6FA5E">
      <w:pPr>
        <w:pStyle w:val="32"/>
        <w:rPr>
          <w:rFonts w:ascii="Times New Roman"/>
        </w:rPr>
      </w:pPr>
    </w:p>
    <w:p w14:paraId="3BBB3CC8">
      <w:pPr>
        <w:pStyle w:val="32"/>
        <w:rPr>
          <w:rFonts w:ascii="Times New Roman"/>
        </w:rPr>
      </w:pPr>
    </w:p>
    <w:p w14:paraId="48B0757C">
      <w:pPr>
        <w:pStyle w:val="32"/>
        <w:rPr>
          <w:rFonts w:ascii="Times New Roman"/>
        </w:rPr>
      </w:pPr>
    </w:p>
    <w:p w14:paraId="26798A39">
      <w:pPr>
        <w:pStyle w:val="32"/>
        <w:rPr>
          <w:rFonts w:ascii="Times New Roman"/>
        </w:rPr>
      </w:pPr>
    </w:p>
    <w:p w14:paraId="00A6790C">
      <w:pPr>
        <w:pStyle w:val="32"/>
        <w:rPr>
          <w:rFonts w:ascii="Times New Roman"/>
        </w:rPr>
      </w:pPr>
    </w:p>
    <w:p w14:paraId="1802053A">
      <w:pPr>
        <w:pStyle w:val="32"/>
        <w:rPr>
          <w:rFonts w:ascii="Times New Roman"/>
        </w:rPr>
      </w:pPr>
    </w:p>
    <w:p w14:paraId="1DD0D8A5">
      <w:pPr>
        <w:pStyle w:val="32"/>
        <w:rPr>
          <w:rFonts w:ascii="Times New Roman"/>
        </w:rPr>
      </w:pPr>
    </w:p>
    <w:p w14:paraId="52F10D24">
      <w:pPr>
        <w:spacing w:after="120"/>
        <w:ind w:firstLine="210" w:firstLineChars="100"/>
        <w:rPr>
          <w:rFonts w:ascii="Times New Roman"/>
        </w:rPr>
      </w:pPr>
    </w:p>
    <w:p w14:paraId="4FD87ADE">
      <w:pPr>
        <w:widowControl/>
        <w:ind w:firstLine="2570" w:firstLineChars="800"/>
        <w:rPr>
          <w:rFonts w:ascii="宋体" w:hAnsi="宋体"/>
          <w:b/>
          <w:sz w:val="32"/>
        </w:rPr>
      </w:pPr>
      <w:r>
        <w:rPr>
          <w:rFonts w:hint="eastAsia" w:asciiTheme="minorEastAsia" w:hAnsiTheme="minorEastAsia" w:eastAsiaTheme="minorEastAsia"/>
          <w:b/>
          <w:sz w:val="32"/>
        </w:rPr>
        <w:t>五、</w:t>
      </w:r>
      <w:r>
        <w:rPr>
          <w:rFonts w:hint="eastAsia" w:ascii="宋体" w:hAnsi="宋体"/>
          <w:b/>
          <w:sz w:val="32"/>
        </w:rPr>
        <w:t>中小企业声明函（货物）</w:t>
      </w:r>
    </w:p>
    <w:p w14:paraId="42BF5A86">
      <w:pPr>
        <w:pStyle w:val="11"/>
        <w:numPr>
          <w:ilvl w:val="0"/>
          <w:numId w:val="0"/>
        </w:numPr>
      </w:pPr>
    </w:p>
    <w:p w14:paraId="0BB0190A">
      <w:pPr>
        <w:widowControl/>
        <w:spacing w:line="480" w:lineRule="auto"/>
        <w:ind w:firstLine="420" w:firstLineChars="200"/>
        <w:rPr>
          <w:rFonts w:ascii="宋体" w:hAnsi="宋体" w:cs="宋体"/>
          <w:szCs w:val="21"/>
        </w:rPr>
      </w:pPr>
      <w:r>
        <w:rPr>
          <w:rFonts w:hint="eastAsia" w:ascii="宋体" w:hAnsi="宋体" w:cs="宋体"/>
          <w:kern w:val="0"/>
          <w:szCs w:val="21"/>
        </w:rPr>
        <w:t>本公司郑重声明，根据《政府采购促进中小企业发展管理办法》（财库﹝2020﹞46 号）的规定，本公司参加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采购活动，提供的货物全部由符合政策要求的中小企业制造。相关企业的具体情况如下：</w:t>
      </w:r>
    </w:p>
    <w:tbl>
      <w:tblPr>
        <w:tblStyle w:val="24"/>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1183"/>
        <w:gridCol w:w="1423"/>
        <w:gridCol w:w="936"/>
        <w:gridCol w:w="1239"/>
        <w:gridCol w:w="1134"/>
        <w:gridCol w:w="1824"/>
      </w:tblGrid>
      <w:tr w14:paraId="180D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Align w:val="center"/>
          </w:tcPr>
          <w:p w14:paraId="3BAF0B0A">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标的名称</w:t>
            </w:r>
          </w:p>
          <w:p w14:paraId="5A836D01">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c>
          <w:tcPr>
            <w:tcW w:w="1183" w:type="dxa"/>
            <w:vAlign w:val="center"/>
          </w:tcPr>
          <w:p w14:paraId="23836486">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采购文件中明确的所属行业</w:t>
            </w:r>
          </w:p>
        </w:tc>
        <w:tc>
          <w:tcPr>
            <w:tcW w:w="1423" w:type="dxa"/>
            <w:vAlign w:val="center"/>
          </w:tcPr>
          <w:p w14:paraId="7839379E">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制造商</w:t>
            </w:r>
          </w:p>
          <w:p w14:paraId="2BF8D35C">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（企业名称）</w:t>
            </w:r>
          </w:p>
        </w:tc>
        <w:tc>
          <w:tcPr>
            <w:tcW w:w="936" w:type="dxa"/>
            <w:vAlign w:val="center"/>
          </w:tcPr>
          <w:p w14:paraId="33794A7E">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从业人员（人）</w:t>
            </w:r>
          </w:p>
        </w:tc>
        <w:tc>
          <w:tcPr>
            <w:tcW w:w="1239" w:type="dxa"/>
            <w:vAlign w:val="center"/>
          </w:tcPr>
          <w:p w14:paraId="7E36C753">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营业收入（万元）</w:t>
            </w:r>
          </w:p>
        </w:tc>
        <w:tc>
          <w:tcPr>
            <w:tcW w:w="1134" w:type="dxa"/>
            <w:vAlign w:val="center"/>
          </w:tcPr>
          <w:p w14:paraId="3F94B0EA">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资产总额（万元）</w:t>
            </w:r>
          </w:p>
        </w:tc>
        <w:tc>
          <w:tcPr>
            <w:tcW w:w="1824" w:type="dxa"/>
            <w:vAlign w:val="center"/>
          </w:tcPr>
          <w:p w14:paraId="654D5DF0">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属于</w:t>
            </w:r>
          </w:p>
          <w:p w14:paraId="6ACD727E">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（中型企业、小型企业、微型企业）</w:t>
            </w:r>
          </w:p>
        </w:tc>
      </w:tr>
      <w:tr w14:paraId="237D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Align w:val="center"/>
          </w:tcPr>
          <w:p w14:paraId="456ABA8B">
            <w:pPr>
              <w:widowControl/>
              <w:spacing w:line="480" w:lineRule="auto"/>
              <w:ind w:firstLine="420"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s="宋体"/>
                <w:kern w:val="0"/>
                <w:szCs w:val="21"/>
              </w:rPr>
              <w:t>……</w:t>
            </w:r>
          </w:p>
        </w:tc>
        <w:tc>
          <w:tcPr>
            <w:tcW w:w="1183" w:type="dxa"/>
            <w:vAlign w:val="center"/>
          </w:tcPr>
          <w:p w14:paraId="0825FBEE">
            <w:pPr>
              <w:jc w:val="center"/>
              <w:rPr>
                <w:rFonts w:hint="eastAsia" w:ascii="宋体" w:hAnsi="宋体" w:eastAsia="宋体" w:cs="宋体"/>
                <w:color w:val="000000" w:themeColor="text1"/>
                <w:kern w:val="0"/>
                <w:sz w:val="21"/>
                <w:szCs w:val="21"/>
                <w14:textFill>
                  <w14:solidFill>
                    <w14:schemeClr w14:val="tx1"/>
                  </w14:solidFill>
                </w14:textFill>
              </w:rPr>
            </w:pPr>
          </w:p>
        </w:tc>
        <w:tc>
          <w:tcPr>
            <w:tcW w:w="1423" w:type="dxa"/>
            <w:vAlign w:val="center"/>
          </w:tcPr>
          <w:p w14:paraId="5BAFF2F8">
            <w:pPr>
              <w:widowControl/>
              <w:spacing w:line="276"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936" w:type="dxa"/>
          </w:tcPr>
          <w:p w14:paraId="5743B2D7">
            <w:pPr>
              <w:pStyle w:val="99"/>
              <w:rPr>
                <w:rFonts w:hint="eastAsia" w:ascii="宋体" w:hAnsi="宋体" w:eastAsia="宋体" w:cs="宋体"/>
                <w:color w:val="000000" w:themeColor="text1"/>
                <w:kern w:val="0"/>
                <w:sz w:val="21"/>
                <w:szCs w:val="21"/>
                <w14:textFill>
                  <w14:solidFill>
                    <w14:schemeClr w14:val="tx1"/>
                  </w14:solidFill>
                </w14:textFill>
              </w:rPr>
            </w:pPr>
          </w:p>
        </w:tc>
        <w:tc>
          <w:tcPr>
            <w:tcW w:w="1239" w:type="dxa"/>
          </w:tcPr>
          <w:p w14:paraId="3EEA3767">
            <w:pPr>
              <w:pStyle w:val="99"/>
              <w:rPr>
                <w:rFonts w:hint="eastAsia" w:ascii="宋体" w:hAnsi="宋体" w:eastAsia="宋体" w:cs="宋体"/>
                <w:color w:val="000000" w:themeColor="text1"/>
                <w:kern w:val="0"/>
                <w:sz w:val="21"/>
                <w:szCs w:val="21"/>
                <w14:textFill>
                  <w14:solidFill>
                    <w14:schemeClr w14:val="tx1"/>
                  </w14:solidFill>
                </w14:textFill>
              </w:rPr>
            </w:pPr>
          </w:p>
        </w:tc>
        <w:tc>
          <w:tcPr>
            <w:tcW w:w="1134" w:type="dxa"/>
          </w:tcPr>
          <w:p w14:paraId="7F4A6951">
            <w:pPr>
              <w:pStyle w:val="99"/>
              <w:rPr>
                <w:rFonts w:hint="eastAsia" w:ascii="宋体" w:hAnsi="宋体" w:eastAsia="宋体" w:cs="宋体"/>
                <w:color w:val="000000" w:themeColor="text1"/>
                <w:kern w:val="0"/>
                <w:sz w:val="21"/>
                <w:szCs w:val="21"/>
                <w14:textFill>
                  <w14:solidFill>
                    <w14:schemeClr w14:val="tx1"/>
                  </w14:solidFill>
                </w14:textFill>
              </w:rPr>
            </w:pPr>
          </w:p>
        </w:tc>
        <w:tc>
          <w:tcPr>
            <w:tcW w:w="1824" w:type="dxa"/>
          </w:tcPr>
          <w:p w14:paraId="242F7B01">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r>
      <w:tr w14:paraId="07DF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Align w:val="center"/>
          </w:tcPr>
          <w:p w14:paraId="04CD06DA">
            <w:pPr>
              <w:spacing w:line="440" w:lineRule="exact"/>
              <w:rPr>
                <w:rFonts w:hint="eastAsia" w:ascii="宋体" w:hAnsi="宋体" w:eastAsia="宋体" w:cs="宋体"/>
                <w:color w:val="000000" w:themeColor="text1"/>
                <w:kern w:val="0"/>
                <w:sz w:val="21"/>
                <w:szCs w:val="21"/>
                <w14:textFill>
                  <w14:solidFill>
                    <w14:schemeClr w14:val="tx1"/>
                  </w14:solidFill>
                </w14:textFill>
              </w:rPr>
            </w:pPr>
          </w:p>
        </w:tc>
        <w:tc>
          <w:tcPr>
            <w:tcW w:w="1183" w:type="dxa"/>
            <w:vAlign w:val="center"/>
          </w:tcPr>
          <w:p w14:paraId="474E47F5">
            <w:pPr>
              <w:jc w:val="center"/>
              <w:rPr>
                <w:rFonts w:hint="eastAsia" w:ascii="宋体" w:hAnsi="宋体" w:eastAsia="宋体" w:cs="宋体"/>
                <w:color w:val="000000" w:themeColor="text1"/>
                <w:kern w:val="0"/>
                <w:sz w:val="21"/>
                <w:szCs w:val="21"/>
                <w14:textFill>
                  <w14:solidFill>
                    <w14:schemeClr w14:val="tx1"/>
                  </w14:solidFill>
                </w14:textFill>
              </w:rPr>
            </w:pPr>
          </w:p>
        </w:tc>
        <w:tc>
          <w:tcPr>
            <w:tcW w:w="1423" w:type="dxa"/>
            <w:vAlign w:val="center"/>
          </w:tcPr>
          <w:p w14:paraId="5FF9A437">
            <w:pPr>
              <w:widowControl/>
              <w:spacing w:line="276"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936" w:type="dxa"/>
          </w:tcPr>
          <w:p w14:paraId="7B3CFEE1">
            <w:pPr>
              <w:pStyle w:val="99"/>
              <w:rPr>
                <w:rFonts w:hint="eastAsia" w:ascii="宋体" w:hAnsi="宋体" w:eastAsia="宋体" w:cs="宋体"/>
                <w:color w:val="000000" w:themeColor="text1"/>
                <w:kern w:val="0"/>
                <w:sz w:val="21"/>
                <w:szCs w:val="21"/>
                <w14:textFill>
                  <w14:solidFill>
                    <w14:schemeClr w14:val="tx1"/>
                  </w14:solidFill>
                </w14:textFill>
              </w:rPr>
            </w:pPr>
          </w:p>
        </w:tc>
        <w:tc>
          <w:tcPr>
            <w:tcW w:w="1239" w:type="dxa"/>
          </w:tcPr>
          <w:p w14:paraId="06BD000A">
            <w:pPr>
              <w:pStyle w:val="99"/>
              <w:rPr>
                <w:rFonts w:hint="eastAsia" w:ascii="宋体" w:hAnsi="宋体" w:eastAsia="宋体" w:cs="宋体"/>
                <w:color w:val="000000" w:themeColor="text1"/>
                <w:kern w:val="0"/>
                <w:sz w:val="21"/>
                <w:szCs w:val="21"/>
                <w14:textFill>
                  <w14:solidFill>
                    <w14:schemeClr w14:val="tx1"/>
                  </w14:solidFill>
                </w14:textFill>
              </w:rPr>
            </w:pPr>
          </w:p>
        </w:tc>
        <w:tc>
          <w:tcPr>
            <w:tcW w:w="1134" w:type="dxa"/>
          </w:tcPr>
          <w:p w14:paraId="0A709C82">
            <w:pPr>
              <w:pStyle w:val="99"/>
              <w:rPr>
                <w:rFonts w:hint="eastAsia" w:ascii="宋体" w:hAnsi="宋体" w:eastAsia="宋体" w:cs="宋体"/>
                <w:color w:val="000000" w:themeColor="text1"/>
                <w:kern w:val="0"/>
                <w:sz w:val="21"/>
                <w:szCs w:val="21"/>
                <w14:textFill>
                  <w14:solidFill>
                    <w14:schemeClr w14:val="tx1"/>
                  </w14:solidFill>
                </w14:textFill>
              </w:rPr>
            </w:pPr>
          </w:p>
        </w:tc>
        <w:tc>
          <w:tcPr>
            <w:tcW w:w="1824" w:type="dxa"/>
          </w:tcPr>
          <w:p w14:paraId="758C4DAC">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r>
      <w:tr w14:paraId="25DB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Align w:val="center"/>
          </w:tcPr>
          <w:p w14:paraId="7C662256">
            <w:pPr>
              <w:spacing w:line="440" w:lineRule="exact"/>
              <w:rPr>
                <w:rFonts w:hint="eastAsia" w:ascii="宋体" w:hAnsi="宋体" w:eastAsia="宋体" w:cs="宋体"/>
                <w:color w:val="000000" w:themeColor="text1"/>
                <w:kern w:val="0"/>
                <w:sz w:val="21"/>
                <w:szCs w:val="21"/>
                <w14:textFill>
                  <w14:solidFill>
                    <w14:schemeClr w14:val="tx1"/>
                  </w14:solidFill>
                </w14:textFill>
              </w:rPr>
            </w:pPr>
          </w:p>
        </w:tc>
        <w:tc>
          <w:tcPr>
            <w:tcW w:w="1183" w:type="dxa"/>
            <w:vAlign w:val="center"/>
          </w:tcPr>
          <w:p w14:paraId="10CE4C27">
            <w:pPr>
              <w:jc w:val="center"/>
              <w:rPr>
                <w:rFonts w:hint="eastAsia" w:ascii="宋体" w:hAnsi="宋体" w:eastAsia="宋体" w:cs="宋体"/>
                <w:color w:val="000000" w:themeColor="text1"/>
                <w:kern w:val="0"/>
                <w:sz w:val="21"/>
                <w:szCs w:val="21"/>
                <w14:textFill>
                  <w14:solidFill>
                    <w14:schemeClr w14:val="tx1"/>
                  </w14:solidFill>
                </w14:textFill>
              </w:rPr>
            </w:pPr>
          </w:p>
        </w:tc>
        <w:tc>
          <w:tcPr>
            <w:tcW w:w="1423" w:type="dxa"/>
            <w:vAlign w:val="center"/>
          </w:tcPr>
          <w:p w14:paraId="0D358AAF">
            <w:pPr>
              <w:widowControl/>
              <w:spacing w:line="276"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936" w:type="dxa"/>
          </w:tcPr>
          <w:p w14:paraId="022F4C8C">
            <w:pPr>
              <w:pStyle w:val="99"/>
              <w:rPr>
                <w:rFonts w:hint="eastAsia" w:ascii="宋体" w:hAnsi="宋体" w:eastAsia="宋体" w:cs="宋体"/>
                <w:color w:val="000000" w:themeColor="text1"/>
                <w:kern w:val="0"/>
                <w:sz w:val="21"/>
                <w:szCs w:val="21"/>
                <w14:textFill>
                  <w14:solidFill>
                    <w14:schemeClr w14:val="tx1"/>
                  </w14:solidFill>
                </w14:textFill>
              </w:rPr>
            </w:pPr>
          </w:p>
        </w:tc>
        <w:tc>
          <w:tcPr>
            <w:tcW w:w="1239" w:type="dxa"/>
          </w:tcPr>
          <w:p w14:paraId="02DF77BB">
            <w:pPr>
              <w:pStyle w:val="99"/>
              <w:rPr>
                <w:rFonts w:hint="eastAsia" w:ascii="宋体" w:hAnsi="宋体" w:eastAsia="宋体" w:cs="宋体"/>
                <w:color w:val="000000" w:themeColor="text1"/>
                <w:kern w:val="0"/>
                <w:sz w:val="21"/>
                <w:szCs w:val="21"/>
                <w14:textFill>
                  <w14:solidFill>
                    <w14:schemeClr w14:val="tx1"/>
                  </w14:solidFill>
                </w14:textFill>
              </w:rPr>
            </w:pPr>
          </w:p>
        </w:tc>
        <w:tc>
          <w:tcPr>
            <w:tcW w:w="1134" w:type="dxa"/>
          </w:tcPr>
          <w:p w14:paraId="731B7FAD">
            <w:pPr>
              <w:pStyle w:val="99"/>
              <w:rPr>
                <w:rFonts w:hint="eastAsia" w:ascii="宋体" w:hAnsi="宋体" w:eastAsia="宋体" w:cs="宋体"/>
                <w:color w:val="000000" w:themeColor="text1"/>
                <w:kern w:val="0"/>
                <w:sz w:val="21"/>
                <w:szCs w:val="21"/>
                <w14:textFill>
                  <w14:solidFill>
                    <w14:schemeClr w14:val="tx1"/>
                  </w14:solidFill>
                </w14:textFill>
              </w:rPr>
            </w:pPr>
          </w:p>
        </w:tc>
        <w:tc>
          <w:tcPr>
            <w:tcW w:w="1824" w:type="dxa"/>
          </w:tcPr>
          <w:p w14:paraId="4F7B16C7">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r>
      <w:tr w14:paraId="58AF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Align w:val="center"/>
          </w:tcPr>
          <w:p w14:paraId="728C4208">
            <w:pPr>
              <w:spacing w:line="440" w:lineRule="exact"/>
              <w:rPr>
                <w:rFonts w:hint="eastAsia" w:ascii="宋体" w:hAnsi="宋体" w:eastAsia="宋体" w:cs="宋体"/>
                <w:color w:val="000000" w:themeColor="text1"/>
                <w:sz w:val="21"/>
                <w:szCs w:val="21"/>
                <w14:textFill>
                  <w14:solidFill>
                    <w14:schemeClr w14:val="tx1"/>
                  </w14:solidFill>
                </w14:textFill>
              </w:rPr>
            </w:pPr>
          </w:p>
        </w:tc>
        <w:tc>
          <w:tcPr>
            <w:tcW w:w="1183" w:type="dxa"/>
            <w:vAlign w:val="center"/>
          </w:tcPr>
          <w:p w14:paraId="54318948">
            <w:pPr>
              <w:jc w:val="center"/>
              <w:rPr>
                <w:rFonts w:hint="eastAsia" w:ascii="宋体" w:hAnsi="宋体" w:eastAsia="宋体" w:cs="宋体"/>
                <w:color w:val="000000" w:themeColor="text1"/>
                <w:kern w:val="0"/>
                <w:sz w:val="21"/>
                <w:szCs w:val="21"/>
                <w14:textFill>
                  <w14:solidFill>
                    <w14:schemeClr w14:val="tx1"/>
                  </w14:solidFill>
                </w14:textFill>
              </w:rPr>
            </w:pPr>
          </w:p>
        </w:tc>
        <w:tc>
          <w:tcPr>
            <w:tcW w:w="1423" w:type="dxa"/>
            <w:vAlign w:val="center"/>
          </w:tcPr>
          <w:p w14:paraId="57CBCE7F">
            <w:pPr>
              <w:widowControl/>
              <w:spacing w:line="276"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936" w:type="dxa"/>
          </w:tcPr>
          <w:p w14:paraId="7476F207">
            <w:pPr>
              <w:pStyle w:val="99"/>
              <w:rPr>
                <w:rFonts w:hint="eastAsia" w:ascii="宋体" w:hAnsi="宋体" w:eastAsia="宋体" w:cs="宋体"/>
                <w:color w:val="000000" w:themeColor="text1"/>
                <w:kern w:val="0"/>
                <w:sz w:val="21"/>
                <w:szCs w:val="21"/>
                <w14:textFill>
                  <w14:solidFill>
                    <w14:schemeClr w14:val="tx1"/>
                  </w14:solidFill>
                </w14:textFill>
              </w:rPr>
            </w:pPr>
          </w:p>
        </w:tc>
        <w:tc>
          <w:tcPr>
            <w:tcW w:w="1239" w:type="dxa"/>
          </w:tcPr>
          <w:p w14:paraId="6A9F147B">
            <w:pPr>
              <w:pStyle w:val="99"/>
              <w:rPr>
                <w:rFonts w:hint="eastAsia" w:ascii="宋体" w:hAnsi="宋体" w:eastAsia="宋体" w:cs="宋体"/>
                <w:color w:val="000000" w:themeColor="text1"/>
                <w:kern w:val="0"/>
                <w:sz w:val="21"/>
                <w:szCs w:val="21"/>
                <w14:textFill>
                  <w14:solidFill>
                    <w14:schemeClr w14:val="tx1"/>
                  </w14:solidFill>
                </w14:textFill>
              </w:rPr>
            </w:pPr>
          </w:p>
        </w:tc>
        <w:tc>
          <w:tcPr>
            <w:tcW w:w="1134" w:type="dxa"/>
          </w:tcPr>
          <w:p w14:paraId="6E680AB7">
            <w:pPr>
              <w:pStyle w:val="99"/>
              <w:rPr>
                <w:rFonts w:hint="eastAsia" w:ascii="宋体" w:hAnsi="宋体" w:eastAsia="宋体" w:cs="宋体"/>
                <w:color w:val="000000" w:themeColor="text1"/>
                <w:kern w:val="0"/>
                <w:sz w:val="21"/>
                <w:szCs w:val="21"/>
                <w14:textFill>
                  <w14:solidFill>
                    <w14:schemeClr w14:val="tx1"/>
                  </w14:solidFill>
                </w14:textFill>
              </w:rPr>
            </w:pPr>
          </w:p>
        </w:tc>
        <w:tc>
          <w:tcPr>
            <w:tcW w:w="1824" w:type="dxa"/>
          </w:tcPr>
          <w:p w14:paraId="531FA1CD">
            <w:pPr>
              <w:pStyle w:val="99"/>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p>
        </w:tc>
      </w:tr>
      <w:tr w14:paraId="2826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Align w:val="center"/>
          </w:tcPr>
          <w:p w14:paraId="507AF277">
            <w:pPr>
              <w:spacing w:line="440" w:lineRule="exact"/>
              <w:rPr>
                <w:rFonts w:hint="eastAsia" w:ascii="宋体" w:hAnsi="宋体" w:eastAsia="宋体" w:cs="宋体"/>
                <w:color w:val="000000" w:themeColor="text1"/>
                <w:kern w:val="0"/>
                <w:sz w:val="21"/>
                <w:szCs w:val="21"/>
                <w14:textFill>
                  <w14:solidFill>
                    <w14:schemeClr w14:val="tx1"/>
                  </w14:solidFill>
                </w14:textFill>
              </w:rPr>
            </w:pPr>
          </w:p>
        </w:tc>
        <w:tc>
          <w:tcPr>
            <w:tcW w:w="1183" w:type="dxa"/>
            <w:vAlign w:val="center"/>
          </w:tcPr>
          <w:p w14:paraId="7FB25490">
            <w:pPr>
              <w:jc w:val="center"/>
              <w:rPr>
                <w:rFonts w:hint="eastAsia" w:ascii="宋体" w:hAnsi="宋体" w:eastAsia="宋体" w:cs="宋体"/>
                <w:color w:val="000000" w:themeColor="text1"/>
                <w:kern w:val="0"/>
                <w:sz w:val="21"/>
                <w:szCs w:val="21"/>
                <w14:textFill>
                  <w14:solidFill>
                    <w14:schemeClr w14:val="tx1"/>
                  </w14:solidFill>
                </w14:textFill>
              </w:rPr>
            </w:pPr>
          </w:p>
        </w:tc>
        <w:tc>
          <w:tcPr>
            <w:tcW w:w="1423" w:type="dxa"/>
            <w:vAlign w:val="center"/>
          </w:tcPr>
          <w:p w14:paraId="67274492">
            <w:pPr>
              <w:widowControl/>
              <w:spacing w:line="276"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936" w:type="dxa"/>
          </w:tcPr>
          <w:p w14:paraId="08E511BE">
            <w:pPr>
              <w:pStyle w:val="99"/>
              <w:rPr>
                <w:rFonts w:hint="eastAsia" w:ascii="宋体" w:hAnsi="宋体" w:eastAsia="宋体" w:cs="宋体"/>
                <w:color w:val="000000" w:themeColor="text1"/>
                <w:kern w:val="0"/>
                <w:sz w:val="21"/>
                <w:szCs w:val="21"/>
                <w14:textFill>
                  <w14:solidFill>
                    <w14:schemeClr w14:val="tx1"/>
                  </w14:solidFill>
                </w14:textFill>
              </w:rPr>
            </w:pPr>
          </w:p>
        </w:tc>
        <w:tc>
          <w:tcPr>
            <w:tcW w:w="1239" w:type="dxa"/>
          </w:tcPr>
          <w:p w14:paraId="3C04B904">
            <w:pPr>
              <w:pStyle w:val="99"/>
              <w:rPr>
                <w:rFonts w:hint="eastAsia" w:ascii="宋体" w:hAnsi="宋体" w:eastAsia="宋体" w:cs="宋体"/>
                <w:color w:val="000000" w:themeColor="text1"/>
                <w:kern w:val="0"/>
                <w:sz w:val="21"/>
                <w:szCs w:val="21"/>
                <w14:textFill>
                  <w14:solidFill>
                    <w14:schemeClr w14:val="tx1"/>
                  </w14:solidFill>
                </w14:textFill>
              </w:rPr>
            </w:pPr>
          </w:p>
        </w:tc>
        <w:tc>
          <w:tcPr>
            <w:tcW w:w="1134" w:type="dxa"/>
          </w:tcPr>
          <w:p w14:paraId="1813E354">
            <w:pPr>
              <w:pStyle w:val="99"/>
              <w:rPr>
                <w:rFonts w:hint="eastAsia" w:ascii="宋体" w:hAnsi="宋体" w:eastAsia="宋体" w:cs="宋体"/>
                <w:color w:val="000000" w:themeColor="text1"/>
                <w:kern w:val="0"/>
                <w:sz w:val="21"/>
                <w:szCs w:val="21"/>
                <w14:textFill>
                  <w14:solidFill>
                    <w14:schemeClr w14:val="tx1"/>
                  </w14:solidFill>
                </w14:textFill>
              </w:rPr>
            </w:pPr>
          </w:p>
        </w:tc>
        <w:tc>
          <w:tcPr>
            <w:tcW w:w="1824" w:type="dxa"/>
          </w:tcPr>
          <w:p w14:paraId="3BD6119B">
            <w:pPr>
              <w:pStyle w:val="99"/>
              <w:rPr>
                <w:rFonts w:hint="eastAsia" w:ascii="宋体" w:hAnsi="宋体" w:eastAsia="宋体" w:cs="宋体"/>
                <w:color w:val="000000" w:themeColor="text1"/>
                <w:kern w:val="0"/>
                <w:sz w:val="21"/>
                <w:szCs w:val="21"/>
                <w14:textFill>
                  <w14:solidFill>
                    <w14:schemeClr w14:val="tx1"/>
                  </w14:solidFill>
                </w14:textFill>
              </w:rPr>
            </w:pPr>
          </w:p>
        </w:tc>
      </w:tr>
      <w:tr w14:paraId="1C86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vAlign w:val="center"/>
          </w:tcPr>
          <w:p w14:paraId="28C3E4F7">
            <w:pPr>
              <w:spacing w:line="440" w:lineRule="exact"/>
              <w:rPr>
                <w:rFonts w:hint="eastAsia" w:ascii="宋体" w:hAnsi="宋体" w:eastAsia="宋体" w:cs="宋体"/>
                <w:color w:val="000000" w:themeColor="text1"/>
                <w:kern w:val="0"/>
                <w:sz w:val="21"/>
                <w:szCs w:val="21"/>
                <w14:textFill>
                  <w14:solidFill>
                    <w14:schemeClr w14:val="tx1"/>
                  </w14:solidFill>
                </w14:textFill>
              </w:rPr>
            </w:pPr>
          </w:p>
        </w:tc>
        <w:tc>
          <w:tcPr>
            <w:tcW w:w="1183" w:type="dxa"/>
            <w:vAlign w:val="center"/>
          </w:tcPr>
          <w:p w14:paraId="52C91433">
            <w:pPr>
              <w:jc w:val="center"/>
              <w:rPr>
                <w:rFonts w:hint="eastAsia" w:ascii="宋体" w:hAnsi="宋体" w:eastAsia="宋体" w:cs="宋体"/>
                <w:color w:val="000000" w:themeColor="text1"/>
                <w:kern w:val="0"/>
                <w:sz w:val="21"/>
                <w:szCs w:val="21"/>
                <w14:textFill>
                  <w14:solidFill>
                    <w14:schemeClr w14:val="tx1"/>
                  </w14:solidFill>
                </w14:textFill>
              </w:rPr>
            </w:pPr>
          </w:p>
        </w:tc>
        <w:tc>
          <w:tcPr>
            <w:tcW w:w="1423" w:type="dxa"/>
            <w:vAlign w:val="center"/>
          </w:tcPr>
          <w:p w14:paraId="669282A1">
            <w:pPr>
              <w:widowControl/>
              <w:spacing w:line="276"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936" w:type="dxa"/>
          </w:tcPr>
          <w:p w14:paraId="547B54F9">
            <w:pPr>
              <w:pStyle w:val="99"/>
              <w:rPr>
                <w:rFonts w:hint="eastAsia" w:ascii="宋体" w:hAnsi="宋体" w:eastAsia="宋体" w:cs="宋体"/>
                <w:color w:val="000000" w:themeColor="text1"/>
                <w:kern w:val="0"/>
                <w:sz w:val="21"/>
                <w:szCs w:val="21"/>
                <w14:textFill>
                  <w14:solidFill>
                    <w14:schemeClr w14:val="tx1"/>
                  </w14:solidFill>
                </w14:textFill>
              </w:rPr>
            </w:pPr>
          </w:p>
        </w:tc>
        <w:tc>
          <w:tcPr>
            <w:tcW w:w="1239" w:type="dxa"/>
          </w:tcPr>
          <w:p w14:paraId="597E4A22">
            <w:pPr>
              <w:pStyle w:val="99"/>
              <w:rPr>
                <w:rFonts w:hint="eastAsia" w:ascii="宋体" w:hAnsi="宋体" w:eastAsia="宋体" w:cs="宋体"/>
                <w:color w:val="000000" w:themeColor="text1"/>
                <w:kern w:val="0"/>
                <w:sz w:val="21"/>
                <w:szCs w:val="21"/>
                <w14:textFill>
                  <w14:solidFill>
                    <w14:schemeClr w14:val="tx1"/>
                  </w14:solidFill>
                </w14:textFill>
              </w:rPr>
            </w:pPr>
          </w:p>
        </w:tc>
        <w:tc>
          <w:tcPr>
            <w:tcW w:w="1134" w:type="dxa"/>
          </w:tcPr>
          <w:p w14:paraId="7A8F2A6E">
            <w:pPr>
              <w:pStyle w:val="99"/>
              <w:rPr>
                <w:rFonts w:hint="eastAsia" w:ascii="宋体" w:hAnsi="宋体" w:eastAsia="宋体" w:cs="宋体"/>
                <w:color w:val="000000" w:themeColor="text1"/>
                <w:kern w:val="0"/>
                <w:sz w:val="21"/>
                <w:szCs w:val="21"/>
                <w14:textFill>
                  <w14:solidFill>
                    <w14:schemeClr w14:val="tx1"/>
                  </w14:solidFill>
                </w14:textFill>
              </w:rPr>
            </w:pPr>
          </w:p>
        </w:tc>
        <w:tc>
          <w:tcPr>
            <w:tcW w:w="1824" w:type="dxa"/>
          </w:tcPr>
          <w:p w14:paraId="13704C62">
            <w:pPr>
              <w:pStyle w:val="99"/>
              <w:rPr>
                <w:rFonts w:hint="eastAsia" w:ascii="宋体" w:hAnsi="宋体" w:eastAsia="宋体" w:cs="宋体"/>
                <w:color w:val="000000" w:themeColor="text1"/>
                <w:kern w:val="0"/>
                <w:sz w:val="21"/>
                <w:szCs w:val="21"/>
                <w14:textFill>
                  <w14:solidFill>
                    <w14:schemeClr w14:val="tx1"/>
                  </w14:solidFill>
                </w14:textFill>
              </w:rPr>
            </w:pPr>
          </w:p>
        </w:tc>
      </w:tr>
      <w:tr w14:paraId="7E36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24" w:type="dxa"/>
            <w:vAlign w:val="center"/>
          </w:tcPr>
          <w:p w14:paraId="324ADE0D">
            <w:pPr>
              <w:spacing w:line="440" w:lineRule="exact"/>
              <w:rPr>
                <w:rFonts w:hint="eastAsia" w:ascii="宋体" w:hAnsi="宋体" w:eastAsia="宋体" w:cs="宋体"/>
                <w:color w:val="000000" w:themeColor="text1"/>
                <w:sz w:val="21"/>
                <w:szCs w:val="21"/>
                <w14:textFill>
                  <w14:solidFill>
                    <w14:schemeClr w14:val="tx1"/>
                  </w14:solidFill>
                </w14:textFill>
              </w:rPr>
            </w:pPr>
          </w:p>
        </w:tc>
        <w:tc>
          <w:tcPr>
            <w:tcW w:w="1183" w:type="dxa"/>
            <w:vAlign w:val="center"/>
          </w:tcPr>
          <w:p w14:paraId="77A92A3F">
            <w:pPr>
              <w:jc w:val="center"/>
              <w:rPr>
                <w:rFonts w:hint="eastAsia" w:ascii="宋体" w:hAnsi="宋体" w:eastAsia="宋体" w:cs="宋体"/>
                <w:color w:val="000000" w:themeColor="text1"/>
                <w:kern w:val="0"/>
                <w:sz w:val="21"/>
                <w:szCs w:val="21"/>
                <w14:textFill>
                  <w14:solidFill>
                    <w14:schemeClr w14:val="tx1"/>
                  </w14:solidFill>
                </w14:textFill>
              </w:rPr>
            </w:pPr>
          </w:p>
        </w:tc>
        <w:tc>
          <w:tcPr>
            <w:tcW w:w="1423" w:type="dxa"/>
          </w:tcPr>
          <w:p w14:paraId="7E781DA9">
            <w:pPr>
              <w:pStyle w:val="99"/>
              <w:rPr>
                <w:rFonts w:hint="eastAsia" w:ascii="宋体" w:hAnsi="宋体" w:eastAsia="宋体" w:cs="宋体"/>
                <w:color w:val="000000" w:themeColor="text1"/>
                <w:kern w:val="0"/>
                <w:sz w:val="21"/>
                <w:szCs w:val="21"/>
                <w14:textFill>
                  <w14:solidFill>
                    <w14:schemeClr w14:val="tx1"/>
                  </w14:solidFill>
                </w14:textFill>
              </w:rPr>
            </w:pPr>
          </w:p>
        </w:tc>
        <w:tc>
          <w:tcPr>
            <w:tcW w:w="936" w:type="dxa"/>
          </w:tcPr>
          <w:p w14:paraId="3681018D">
            <w:pPr>
              <w:pStyle w:val="99"/>
              <w:rPr>
                <w:rFonts w:hint="eastAsia" w:ascii="宋体" w:hAnsi="宋体" w:eastAsia="宋体" w:cs="宋体"/>
                <w:color w:val="000000" w:themeColor="text1"/>
                <w:kern w:val="0"/>
                <w:sz w:val="21"/>
                <w:szCs w:val="21"/>
                <w14:textFill>
                  <w14:solidFill>
                    <w14:schemeClr w14:val="tx1"/>
                  </w14:solidFill>
                </w14:textFill>
              </w:rPr>
            </w:pPr>
          </w:p>
        </w:tc>
        <w:tc>
          <w:tcPr>
            <w:tcW w:w="1239" w:type="dxa"/>
          </w:tcPr>
          <w:p w14:paraId="5FD5F208">
            <w:pPr>
              <w:pStyle w:val="99"/>
              <w:rPr>
                <w:rFonts w:hint="eastAsia" w:ascii="宋体" w:hAnsi="宋体" w:eastAsia="宋体" w:cs="宋体"/>
                <w:color w:val="000000" w:themeColor="text1"/>
                <w:kern w:val="0"/>
                <w:sz w:val="21"/>
                <w:szCs w:val="21"/>
                <w14:textFill>
                  <w14:solidFill>
                    <w14:schemeClr w14:val="tx1"/>
                  </w14:solidFill>
                </w14:textFill>
              </w:rPr>
            </w:pPr>
          </w:p>
        </w:tc>
        <w:tc>
          <w:tcPr>
            <w:tcW w:w="1134" w:type="dxa"/>
          </w:tcPr>
          <w:p w14:paraId="1A7C63ED">
            <w:pPr>
              <w:pStyle w:val="99"/>
              <w:rPr>
                <w:rFonts w:hint="eastAsia" w:ascii="宋体" w:hAnsi="宋体" w:eastAsia="宋体" w:cs="宋体"/>
                <w:color w:val="000000" w:themeColor="text1"/>
                <w:kern w:val="0"/>
                <w:sz w:val="21"/>
                <w:szCs w:val="21"/>
                <w14:textFill>
                  <w14:solidFill>
                    <w14:schemeClr w14:val="tx1"/>
                  </w14:solidFill>
                </w14:textFill>
              </w:rPr>
            </w:pPr>
          </w:p>
        </w:tc>
        <w:tc>
          <w:tcPr>
            <w:tcW w:w="1824" w:type="dxa"/>
          </w:tcPr>
          <w:p w14:paraId="1150D25F">
            <w:pPr>
              <w:pStyle w:val="99"/>
              <w:rPr>
                <w:rFonts w:hint="eastAsia" w:ascii="宋体" w:hAnsi="宋体" w:eastAsia="宋体" w:cs="宋体"/>
                <w:color w:val="000000" w:themeColor="text1"/>
                <w:kern w:val="0"/>
                <w:sz w:val="21"/>
                <w:szCs w:val="21"/>
                <w14:textFill>
                  <w14:solidFill>
                    <w14:schemeClr w14:val="tx1"/>
                  </w14:solidFill>
                </w14:textFill>
              </w:rPr>
            </w:pPr>
          </w:p>
        </w:tc>
      </w:tr>
      <w:tr w14:paraId="7339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024" w:type="dxa"/>
            <w:vAlign w:val="center"/>
          </w:tcPr>
          <w:p w14:paraId="1A01BC94">
            <w:pPr>
              <w:pStyle w:val="31"/>
              <w:ind w:firstLine="0" w:firstLineChars="0"/>
              <w:rPr>
                <w:rFonts w:hint="eastAsia" w:ascii="宋体" w:hAnsi="宋体" w:eastAsia="宋体" w:cs="宋体"/>
                <w:color w:val="000000" w:themeColor="text1"/>
                <w:sz w:val="21"/>
                <w:szCs w:val="21"/>
                <w14:textFill>
                  <w14:solidFill>
                    <w14:schemeClr w14:val="tx1"/>
                  </w14:solidFill>
                </w14:textFill>
              </w:rPr>
            </w:pPr>
          </w:p>
        </w:tc>
        <w:tc>
          <w:tcPr>
            <w:tcW w:w="1183" w:type="dxa"/>
            <w:vAlign w:val="center"/>
          </w:tcPr>
          <w:p w14:paraId="59737272">
            <w:pPr>
              <w:jc w:val="center"/>
              <w:rPr>
                <w:rFonts w:hint="eastAsia" w:ascii="宋体" w:hAnsi="宋体" w:eastAsia="宋体" w:cs="宋体"/>
                <w:color w:val="000000" w:themeColor="text1"/>
                <w:kern w:val="0"/>
                <w:sz w:val="21"/>
                <w:szCs w:val="21"/>
                <w14:textFill>
                  <w14:solidFill>
                    <w14:schemeClr w14:val="tx1"/>
                  </w14:solidFill>
                </w14:textFill>
              </w:rPr>
            </w:pPr>
          </w:p>
        </w:tc>
        <w:tc>
          <w:tcPr>
            <w:tcW w:w="1423" w:type="dxa"/>
          </w:tcPr>
          <w:p w14:paraId="4B29D757">
            <w:pPr>
              <w:pStyle w:val="99"/>
              <w:rPr>
                <w:rFonts w:hint="eastAsia" w:ascii="宋体" w:hAnsi="宋体" w:eastAsia="宋体" w:cs="宋体"/>
                <w:color w:val="000000" w:themeColor="text1"/>
                <w:kern w:val="0"/>
                <w:sz w:val="21"/>
                <w:szCs w:val="21"/>
                <w14:textFill>
                  <w14:solidFill>
                    <w14:schemeClr w14:val="tx1"/>
                  </w14:solidFill>
                </w14:textFill>
              </w:rPr>
            </w:pPr>
          </w:p>
        </w:tc>
        <w:tc>
          <w:tcPr>
            <w:tcW w:w="936" w:type="dxa"/>
          </w:tcPr>
          <w:p w14:paraId="5F0D564E">
            <w:pPr>
              <w:pStyle w:val="99"/>
              <w:rPr>
                <w:rFonts w:hint="eastAsia" w:ascii="宋体" w:hAnsi="宋体" w:eastAsia="宋体" w:cs="宋体"/>
                <w:color w:val="000000" w:themeColor="text1"/>
                <w:kern w:val="0"/>
                <w:sz w:val="21"/>
                <w:szCs w:val="21"/>
                <w14:textFill>
                  <w14:solidFill>
                    <w14:schemeClr w14:val="tx1"/>
                  </w14:solidFill>
                </w14:textFill>
              </w:rPr>
            </w:pPr>
          </w:p>
        </w:tc>
        <w:tc>
          <w:tcPr>
            <w:tcW w:w="1239" w:type="dxa"/>
          </w:tcPr>
          <w:p w14:paraId="434BF7C6">
            <w:pPr>
              <w:pStyle w:val="99"/>
              <w:rPr>
                <w:rFonts w:hint="eastAsia" w:ascii="宋体" w:hAnsi="宋体" w:eastAsia="宋体" w:cs="宋体"/>
                <w:color w:val="000000" w:themeColor="text1"/>
                <w:kern w:val="0"/>
                <w:sz w:val="21"/>
                <w:szCs w:val="21"/>
                <w14:textFill>
                  <w14:solidFill>
                    <w14:schemeClr w14:val="tx1"/>
                  </w14:solidFill>
                </w14:textFill>
              </w:rPr>
            </w:pPr>
          </w:p>
        </w:tc>
        <w:tc>
          <w:tcPr>
            <w:tcW w:w="1134" w:type="dxa"/>
          </w:tcPr>
          <w:p w14:paraId="3DD326D4">
            <w:pPr>
              <w:pStyle w:val="99"/>
              <w:rPr>
                <w:rFonts w:hint="eastAsia" w:ascii="宋体" w:hAnsi="宋体" w:eastAsia="宋体" w:cs="宋体"/>
                <w:color w:val="000000" w:themeColor="text1"/>
                <w:kern w:val="0"/>
                <w:sz w:val="21"/>
                <w:szCs w:val="21"/>
                <w14:textFill>
                  <w14:solidFill>
                    <w14:schemeClr w14:val="tx1"/>
                  </w14:solidFill>
                </w14:textFill>
              </w:rPr>
            </w:pPr>
          </w:p>
        </w:tc>
        <w:tc>
          <w:tcPr>
            <w:tcW w:w="1824" w:type="dxa"/>
          </w:tcPr>
          <w:p w14:paraId="04BFC1C2">
            <w:pPr>
              <w:pStyle w:val="99"/>
              <w:rPr>
                <w:rFonts w:hint="eastAsia" w:ascii="宋体" w:hAnsi="宋体" w:eastAsia="宋体" w:cs="宋体"/>
                <w:color w:val="000000" w:themeColor="text1"/>
                <w:kern w:val="0"/>
                <w:sz w:val="21"/>
                <w:szCs w:val="21"/>
                <w14:textFill>
                  <w14:solidFill>
                    <w14:schemeClr w14:val="tx1"/>
                  </w14:solidFill>
                </w14:textFill>
              </w:rPr>
            </w:pPr>
          </w:p>
        </w:tc>
      </w:tr>
    </w:tbl>
    <w:p w14:paraId="0A435DE7">
      <w:pPr>
        <w:widowControl/>
        <w:spacing w:line="480" w:lineRule="auto"/>
        <w:ind w:firstLine="420" w:firstLineChars="200"/>
        <w:rPr>
          <w:rFonts w:ascii="宋体" w:hAnsi="宋体" w:cs="宋体"/>
          <w:szCs w:val="21"/>
        </w:rPr>
      </w:pPr>
      <w:r>
        <w:rPr>
          <w:rFonts w:hint="eastAsia" w:ascii="宋体" w:hAnsi="宋体" w:cs="宋体"/>
          <w:kern w:val="0"/>
          <w:szCs w:val="21"/>
        </w:rPr>
        <w:t xml:space="preserve"> </w:t>
      </w:r>
    </w:p>
    <w:p w14:paraId="06869F4B">
      <w:pPr>
        <w:widowControl/>
        <w:spacing w:line="480" w:lineRule="auto"/>
        <w:ind w:firstLine="420" w:firstLineChars="200"/>
        <w:rPr>
          <w:rFonts w:ascii="宋体" w:hAnsi="宋体" w:cs="宋体"/>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1C74B437">
      <w:pPr>
        <w:widowControl/>
        <w:spacing w:line="480" w:lineRule="auto"/>
        <w:ind w:firstLine="420" w:firstLineChars="200"/>
        <w:rPr>
          <w:rFonts w:ascii="宋体" w:hAnsi="宋体" w:cs="宋体"/>
          <w:szCs w:val="21"/>
        </w:rPr>
      </w:pPr>
      <w:r>
        <w:rPr>
          <w:rFonts w:hint="eastAsia" w:ascii="宋体" w:hAnsi="宋体" w:cs="宋体"/>
          <w:kern w:val="0"/>
          <w:szCs w:val="21"/>
        </w:rPr>
        <w:t xml:space="preserve">本企业对上述声明内容的真实性负责。如有虚假，将依法承担相应责任。 </w:t>
      </w:r>
    </w:p>
    <w:p w14:paraId="16313516">
      <w:pPr>
        <w:widowControl/>
        <w:spacing w:line="480" w:lineRule="auto"/>
        <w:ind w:firstLine="2520" w:firstLineChars="1200"/>
        <w:rPr>
          <w:rFonts w:ascii="宋体" w:hAnsi="宋体" w:cs="宋体"/>
          <w:szCs w:val="21"/>
        </w:rPr>
      </w:pPr>
      <w:r>
        <w:rPr>
          <w:rFonts w:hint="eastAsia" w:ascii="宋体" w:hAnsi="宋体" w:cs="宋体"/>
          <w:kern w:val="0"/>
          <w:szCs w:val="21"/>
        </w:rPr>
        <w:t xml:space="preserve">企业名称（盖章）： </w:t>
      </w:r>
    </w:p>
    <w:p w14:paraId="73E971EB">
      <w:pPr>
        <w:widowControl/>
        <w:spacing w:line="480" w:lineRule="auto"/>
        <w:ind w:firstLine="2520" w:firstLineChars="1200"/>
        <w:rPr>
          <w:rFonts w:ascii="宋体" w:hAnsi="宋体" w:cs="宋体"/>
          <w:szCs w:val="21"/>
        </w:rPr>
      </w:pPr>
      <w:r>
        <w:rPr>
          <w:rFonts w:hint="eastAsia" w:ascii="宋体" w:hAnsi="宋体" w:cs="宋体"/>
          <w:kern w:val="0"/>
          <w:szCs w:val="21"/>
        </w:rPr>
        <w:t xml:space="preserve">日 期： </w:t>
      </w:r>
    </w:p>
    <w:p w14:paraId="13201A67">
      <w:pPr>
        <w:spacing w:line="360" w:lineRule="auto"/>
        <w:rPr>
          <w:rFonts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14:paraId="7F7D6E7A">
      <w:pPr>
        <w:snapToGrid w:val="0"/>
        <w:spacing w:line="360" w:lineRule="auto"/>
        <w:ind w:firstLine="422" w:firstLineChars="200"/>
        <w:rPr>
          <w:rFonts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14:paraId="184C4212">
      <w:pPr>
        <w:snapToGrid w:val="0"/>
        <w:spacing w:line="360" w:lineRule="auto"/>
        <w:ind w:firstLine="422" w:firstLineChars="200"/>
        <w:rPr>
          <w:rFonts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3F8EC4AC">
      <w:pPr>
        <w:snapToGrid w:val="0"/>
        <w:spacing w:line="360" w:lineRule="auto"/>
        <w:ind w:firstLine="422" w:firstLineChars="200"/>
        <w:rPr>
          <w:rFonts w:ascii="宋体" w:hAnsi="宋体" w:cs="宋体"/>
          <w:b/>
          <w:szCs w:val="21"/>
        </w:rPr>
      </w:pPr>
    </w:p>
    <w:p w14:paraId="4E8F8042">
      <w:pPr>
        <w:pStyle w:val="3"/>
        <w:jc w:val="both"/>
        <w:rPr>
          <w:rFonts w:asciiTheme="minorEastAsia" w:hAnsiTheme="minorEastAsia" w:eastAsiaTheme="minorEastAsia"/>
          <w:b/>
          <w:sz w:val="32"/>
          <w:highlight w:val="yellow"/>
        </w:rPr>
      </w:pPr>
    </w:p>
    <w:p w14:paraId="6280613B">
      <w:pPr>
        <w:pStyle w:val="3"/>
        <w:jc w:val="center"/>
        <w:rPr>
          <w:rFonts w:ascii="宋体" w:hAnsi="宋体"/>
          <w:b/>
          <w:sz w:val="32"/>
        </w:rPr>
      </w:pPr>
      <w:r>
        <w:rPr>
          <w:rFonts w:hint="eastAsia" w:ascii="宋体" w:hAnsi="宋体"/>
          <w:b/>
          <w:sz w:val="32"/>
        </w:rPr>
        <w:t>残疾人福利性单位声明函（货物）</w:t>
      </w:r>
    </w:p>
    <w:p w14:paraId="2E94B57A">
      <w:pPr>
        <w:widowControl/>
        <w:spacing w:before="240"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B059EE3">
      <w:pPr>
        <w:widowControl/>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14:paraId="01525670">
      <w:pPr>
        <w:widowControl/>
        <w:spacing w:line="500" w:lineRule="exact"/>
        <w:rPr>
          <w:rFonts w:ascii="宋体" w:hAnsi="宋体" w:cs="宋体"/>
          <w:spacing w:val="6"/>
          <w:kern w:val="0"/>
          <w:szCs w:val="21"/>
        </w:rPr>
      </w:pPr>
    </w:p>
    <w:p w14:paraId="7ABC6F30">
      <w:pPr>
        <w:widowControl/>
        <w:spacing w:line="500" w:lineRule="exact"/>
        <w:ind w:right="1560" w:firstLine="600"/>
        <w:jc w:val="center"/>
        <w:rPr>
          <w:rFonts w:ascii="宋体" w:hAnsi="宋体" w:cs="宋体"/>
          <w:szCs w:val="21"/>
        </w:rPr>
      </w:pPr>
      <w:r>
        <w:rPr>
          <w:rFonts w:hint="eastAsia" w:ascii="宋体" w:hAnsi="宋体" w:cs="宋体"/>
          <w:szCs w:val="21"/>
        </w:rPr>
        <w:t>单位名称（盖章）：</w:t>
      </w:r>
    </w:p>
    <w:p w14:paraId="2C9CBA4F">
      <w:pPr>
        <w:widowControl/>
        <w:spacing w:line="500" w:lineRule="exact"/>
        <w:ind w:right="1560" w:firstLine="600"/>
        <w:jc w:val="center"/>
        <w:rPr>
          <w:rFonts w:ascii="宋体" w:hAnsi="宋体" w:cs="宋体"/>
          <w:szCs w:val="21"/>
        </w:rPr>
      </w:pPr>
      <w:r>
        <w:rPr>
          <w:rFonts w:hint="eastAsia" w:ascii="宋体" w:hAnsi="宋体" w:cs="宋体"/>
          <w:szCs w:val="21"/>
        </w:rPr>
        <w:t xml:space="preserve">       日  期：</w:t>
      </w:r>
    </w:p>
    <w:p w14:paraId="4E2E1698">
      <w:pPr>
        <w:spacing w:before="240" w:beforeLines="100" w:line="440" w:lineRule="atLeast"/>
        <w:ind w:firstLine="444" w:firstLineChars="200"/>
        <w:rPr>
          <w:rFonts w:ascii="宋体" w:hAnsi="宋体" w:cs="宋体"/>
          <w:spacing w:val="6"/>
          <w:szCs w:val="21"/>
        </w:rPr>
      </w:pPr>
    </w:p>
    <w:p w14:paraId="32386C67">
      <w:pPr>
        <w:spacing w:before="240" w:beforeLines="100" w:line="440" w:lineRule="atLeast"/>
        <w:ind w:firstLine="444" w:firstLineChars="200"/>
        <w:rPr>
          <w:rFonts w:ascii="宋体" w:hAnsi="宋体" w:cs="宋体"/>
          <w:spacing w:val="6"/>
          <w:szCs w:val="21"/>
        </w:rPr>
      </w:pPr>
    </w:p>
    <w:p w14:paraId="51407358">
      <w:pPr>
        <w:spacing w:line="360" w:lineRule="auto"/>
        <w:rPr>
          <w:rFonts w:ascii="宋体" w:hAnsi="宋体" w:cs="宋体"/>
          <w:b/>
          <w:spacing w:val="20"/>
          <w:szCs w:val="21"/>
        </w:rPr>
      </w:pPr>
      <w:r>
        <w:rPr>
          <w:rFonts w:hint="eastAsia" w:ascii="宋体" w:hAnsi="宋体" w:cs="宋体"/>
          <w:b/>
          <w:spacing w:val="20"/>
          <w:szCs w:val="21"/>
        </w:rPr>
        <w:t>注：</w:t>
      </w:r>
    </w:p>
    <w:p w14:paraId="78406264">
      <w:pPr>
        <w:snapToGrid w:val="0"/>
        <w:spacing w:line="360" w:lineRule="auto"/>
        <w:ind w:firstLine="422" w:firstLineChars="200"/>
        <w:jc w:val="left"/>
        <w:rPr>
          <w:rFonts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043BA331">
      <w:pPr>
        <w:snapToGrid w:val="0"/>
        <w:spacing w:line="360" w:lineRule="auto"/>
        <w:ind w:firstLine="422" w:firstLineChars="200"/>
        <w:jc w:val="left"/>
        <w:rPr>
          <w:rFonts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14:paraId="475D877C">
      <w:pPr>
        <w:ind w:firstLine="420"/>
        <w:jc w:val="center"/>
        <w:rPr>
          <w:rFonts w:ascii="宋体" w:hAnsi="宋体"/>
          <w:b/>
          <w:sz w:val="32"/>
        </w:rPr>
      </w:pPr>
    </w:p>
    <w:p w14:paraId="0532CEF6">
      <w:pPr>
        <w:pStyle w:val="4"/>
        <w:tabs>
          <w:tab w:val="left" w:pos="420"/>
        </w:tabs>
        <w:ind w:left="-431"/>
      </w:pPr>
    </w:p>
    <w:p w14:paraId="74FB8D63">
      <w:pPr>
        <w:snapToGrid w:val="0"/>
        <w:spacing w:line="312" w:lineRule="auto"/>
        <w:ind w:right="-341"/>
        <w:rPr>
          <w:rFonts w:asciiTheme="minorEastAsia" w:hAnsiTheme="minorEastAsia" w:eastAsiaTheme="minorEastAsia"/>
          <w:b/>
        </w:rPr>
      </w:pPr>
    </w:p>
    <w:p w14:paraId="36306323">
      <w:pPr>
        <w:snapToGrid w:val="0"/>
        <w:spacing w:line="312" w:lineRule="auto"/>
        <w:ind w:right="-341"/>
        <w:rPr>
          <w:rFonts w:asciiTheme="minorEastAsia" w:hAnsiTheme="minorEastAsia" w:eastAsiaTheme="minorEastAsia"/>
          <w:b/>
        </w:rPr>
      </w:pPr>
    </w:p>
    <w:p w14:paraId="745763FB">
      <w:pPr>
        <w:snapToGrid w:val="0"/>
        <w:spacing w:line="312" w:lineRule="auto"/>
        <w:ind w:right="-341"/>
        <w:rPr>
          <w:rFonts w:asciiTheme="minorEastAsia" w:hAnsiTheme="minorEastAsia" w:eastAsiaTheme="minorEastAsia"/>
          <w:b/>
        </w:rPr>
      </w:pPr>
    </w:p>
    <w:p w14:paraId="45C2A2D3">
      <w:pPr>
        <w:snapToGrid w:val="0"/>
        <w:spacing w:line="312" w:lineRule="auto"/>
        <w:ind w:right="-341"/>
        <w:rPr>
          <w:rFonts w:asciiTheme="minorEastAsia" w:hAnsiTheme="minorEastAsia" w:eastAsiaTheme="minorEastAsia"/>
          <w:b/>
        </w:rPr>
      </w:pPr>
    </w:p>
    <w:p w14:paraId="3E882334">
      <w:pPr>
        <w:pStyle w:val="32"/>
      </w:pPr>
    </w:p>
    <w:p w14:paraId="65A36CCC">
      <w:pPr>
        <w:pStyle w:val="3"/>
        <w:rPr>
          <w:rFonts w:asciiTheme="minorEastAsia" w:hAnsiTheme="minorEastAsia" w:eastAsiaTheme="minorEastAsia"/>
          <w:b/>
        </w:rPr>
      </w:pPr>
    </w:p>
    <w:p w14:paraId="55CDA898">
      <w:pPr>
        <w:pStyle w:val="3"/>
        <w:rPr>
          <w:rFonts w:asciiTheme="minorEastAsia" w:hAnsiTheme="minorEastAsia" w:eastAsiaTheme="minorEastAsia"/>
          <w:b/>
          <w:sz w:val="32"/>
        </w:rPr>
      </w:pPr>
    </w:p>
    <w:p w14:paraId="2F01C372">
      <w:pPr>
        <w:rPr>
          <w:rFonts w:asciiTheme="minorEastAsia" w:hAnsiTheme="minorEastAsia" w:eastAsiaTheme="minorEastAsia"/>
          <w:b/>
          <w:sz w:val="32"/>
        </w:rPr>
      </w:pPr>
    </w:p>
    <w:p w14:paraId="560E09A7">
      <w:pPr>
        <w:pStyle w:val="32"/>
        <w:rPr>
          <w:rFonts w:asciiTheme="minorEastAsia" w:hAnsiTheme="minorEastAsia" w:eastAsiaTheme="minorEastAsia"/>
          <w:b/>
          <w:sz w:val="32"/>
        </w:rPr>
      </w:pPr>
    </w:p>
    <w:p w14:paraId="4A3D6B94">
      <w:pPr>
        <w:pStyle w:val="32"/>
        <w:rPr>
          <w:rFonts w:asciiTheme="minorEastAsia" w:hAnsiTheme="minorEastAsia" w:eastAsiaTheme="minorEastAsia"/>
          <w:b/>
          <w:sz w:val="32"/>
        </w:rPr>
      </w:pPr>
    </w:p>
    <w:p w14:paraId="36EE45A7">
      <w:pPr>
        <w:pStyle w:val="3"/>
        <w:jc w:val="center"/>
        <w:rPr>
          <w:rFonts w:asciiTheme="minorEastAsia" w:hAnsiTheme="minorEastAsia" w:eastAsiaTheme="minorEastAsia"/>
          <w:b/>
          <w:sz w:val="32"/>
        </w:rPr>
      </w:pPr>
      <w:r>
        <w:rPr>
          <w:rFonts w:hint="eastAsia" w:asciiTheme="minorEastAsia" w:hAnsiTheme="minorEastAsia" w:eastAsiaTheme="minorEastAsia"/>
          <w:b/>
          <w:sz w:val="32"/>
        </w:rPr>
        <w:t>监狱企业声明函（货物）</w:t>
      </w:r>
    </w:p>
    <w:p w14:paraId="508B23CF">
      <w:pPr>
        <w:spacing w:line="360" w:lineRule="auto"/>
        <w:ind w:firstLine="2880" w:firstLineChars="1200"/>
        <w:rPr>
          <w:rFonts w:asciiTheme="minorEastAsia" w:hAnsiTheme="minorEastAsia" w:eastAsiaTheme="minorEastAsia"/>
          <w:sz w:val="24"/>
        </w:rPr>
      </w:pPr>
      <w:r>
        <w:rPr>
          <w:rFonts w:hint="eastAsia" w:asciiTheme="minorEastAsia" w:hAnsiTheme="minorEastAsia" w:eastAsiaTheme="minorEastAsia"/>
          <w:sz w:val="24"/>
        </w:rPr>
        <w:t>【非监狱企业不用提供】</w:t>
      </w:r>
    </w:p>
    <w:p w14:paraId="2BD2C005">
      <w:pPr>
        <w:spacing w:line="360" w:lineRule="auto"/>
        <w:ind w:firstLine="480"/>
        <w:rPr>
          <w:rFonts w:asciiTheme="minorEastAsia" w:hAnsiTheme="minorEastAsia" w:eastAsiaTheme="minorEastAsia"/>
          <w:szCs w:val="21"/>
        </w:rPr>
      </w:pPr>
    </w:p>
    <w:p w14:paraId="49FF5993">
      <w:pPr>
        <w:spacing w:line="360"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监狱企业参加政府采购活动时，应当提供由省级以上监狱管理本企业郑重声明，根据《关于政府采购支持监狱企业发展有关问题的通知》（财库[2014]68号）的规定，本企业为监狱企业。</w:t>
      </w:r>
    </w:p>
    <w:p w14:paraId="51A15167">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根据上述标准，我企业属于监狱企业的理由为：。</w:t>
      </w:r>
    </w:p>
    <w:p w14:paraId="3412EDB6">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本企业为参加（项目名称： ）（项目编号： ）采购活动提供本企业的产品。</w:t>
      </w:r>
    </w:p>
    <w:p w14:paraId="6ACE54E0">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本企业对上述声明的真实性负责。如有虚假，将依法承担相应责任。</w:t>
      </w:r>
    </w:p>
    <w:p w14:paraId="3DD4272B">
      <w:pPr>
        <w:spacing w:line="360" w:lineRule="auto"/>
        <w:ind w:firstLine="480"/>
        <w:rPr>
          <w:rFonts w:asciiTheme="minorEastAsia" w:hAnsiTheme="minorEastAsia" w:eastAsiaTheme="minorEastAsia"/>
          <w:szCs w:val="21"/>
        </w:rPr>
      </w:pPr>
    </w:p>
    <w:p w14:paraId="4E9EBA71">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投标人名称（盖章）：</w:t>
      </w:r>
    </w:p>
    <w:p w14:paraId="2846C7F3">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日期： 年 月 日</w:t>
      </w:r>
    </w:p>
    <w:p w14:paraId="76A061EC">
      <w:pPr>
        <w:spacing w:line="360" w:lineRule="auto"/>
        <w:ind w:firstLine="480"/>
        <w:rPr>
          <w:rFonts w:asciiTheme="minorEastAsia" w:hAnsiTheme="minorEastAsia" w:eastAsiaTheme="minorEastAsia"/>
          <w:szCs w:val="21"/>
        </w:rPr>
      </w:pPr>
    </w:p>
    <w:p w14:paraId="0387417F">
      <w:pPr>
        <w:spacing w:line="360" w:lineRule="auto"/>
        <w:ind w:firstLine="480"/>
        <w:rPr>
          <w:rFonts w:asciiTheme="minorEastAsia" w:hAnsiTheme="minorEastAsia" w:eastAsiaTheme="minorEastAsia"/>
          <w:szCs w:val="21"/>
        </w:rPr>
      </w:pPr>
    </w:p>
    <w:p w14:paraId="4114BF7D">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投标人为监狱企业的提供此函。</w:t>
      </w:r>
    </w:p>
    <w:p w14:paraId="46E6AC00">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局、戒毒管理局（含新疆生产建设兵团）出具的属于监狱企业的证明文件。</w:t>
      </w:r>
    </w:p>
    <w:p w14:paraId="5630F275">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5B64576">
      <w:pPr>
        <w:pStyle w:val="12"/>
        <w:snapToGrid w:val="0"/>
        <w:spacing w:before="120" w:line="312" w:lineRule="auto"/>
        <w:ind w:right="-341"/>
        <w:jc w:val="center"/>
        <w:rPr>
          <w:rFonts w:asciiTheme="minorEastAsia" w:hAnsiTheme="minorEastAsia" w:eastAsiaTheme="minorEastAsia"/>
          <w:b/>
          <w:sz w:val="32"/>
        </w:rPr>
      </w:pPr>
    </w:p>
    <w:p w14:paraId="3A21CE06">
      <w:pPr>
        <w:pStyle w:val="12"/>
        <w:snapToGrid w:val="0"/>
        <w:spacing w:before="120" w:line="312" w:lineRule="auto"/>
        <w:ind w:right="-341"/>
        <w:jc w:val="center"/>
        <w:rPr>
          <w:rFonts w:asciiTheme="minorEastAsia" w:hAnsiTheme="minorEastAsia" w:eastAsiaTheme="minorEastAsia"/>
          <w:b/>
          <w:sz w:val="32"/>
        </w:rPr>
      </w:pPr>
    </w:p>
    <w:p w14:paraId="260DBE45">
      <w:pPr>
        <w:pStyle w:val="12"/>
        <w:snapToGrid w:val="0"/>
        <w:spacing w:before="120" w:line="312" w:lineRule="auto"/>
        <w:ind w:right="-341"/>
        <w:jc w:val="center"/>
        <w:rPr>
          <w:rFonts w:asciiTheme="minorEastAsia" w:hAnsiTheme="minorEastAsia" w:eastAsiaTheme="minorEastAsia"/>
          <w:b/>
          <w:sz w:val="32"/>
        </w:rPr>
      </w:pPr>
    </w:p>
    <w:p w14:paraId="4A4218F9">
      <w:pPr>
        <w:pStyle w:val="12"/>
        <w:snapToGrid w:val="0"/>
        <w:spacing w:before="120" w:line="312" w:lineRule="auto"/>
        <w:ind w:right="-341"/>
        <w:jc w:val="center"/>
        <w:rPr>
          <w:rFonts w:asciiTheme="minorEastAsia" w:hAnsiTheme="minorEastAsia" w:eastAsiaTheme="minorEastAsia"/>
          <w:b/>
          <w:sz w:val="32"/>
        </w:rPr>
      </w:pPr>
    </w:p>
    <w:p w14:paraId="550676EA">
      <w:pPr>
        <w:rPr>
          <w:rFonts w:asciiTheme="minorEastAsia" w:hAnsiTheme="minorEastAsia" w:eastAsiaTheme="minorEastAsia"/>
          <w:b/>
          <w:sz w:val="32"/>
        </w:rPr>
      </w:pPr>
    </w:p>
    <w:p w14:paraId="0D62FB74">
      <w:pPr>
        <w:pStyle w:val="31"/>
        <w:rPr>
          <w:rFonts w:asciiTheme="minorEastAsia" w:hAnsiTheme="minorEastAsia" w:eastAsiaTheme="minorEastAsia"/>
          <w:b/>
          <w:sz w:val="32"/>
        </w:rPr>
      </w:pPr>
    </w:p>
    <w:p w14:paraId="53D0E51D">
      <w:pPr>
        <w:pStyle w:val="3"/>
        <w:rPr>
          <w:rFonts w:asciiTheme="minorEastAsia" w:hAnsiTheme="minorEastAsia" w:eastAsiaTheme="minorEastAsia"/>
          <w:b/>
          <w:sz w:val="32"/>
        </w:rPr>
      </w:pPr>
    </w:p>
    <w:p w14:paraId="3F48A0C4">
      <w:pPr>
        <w:pStyle w:val="2"/>
        <w:ind w:firstLine="210"/>
      </w:pPr>
    </w:p>
    <w:p w14:paraId="1923E247">
      <w:pPr>
        <w:pStyle w:val="32"/>
      </w:pPr>
    </w:p>
    <w:p w14:paraId="56F19C63">
      <w:pPr>
        <w:pStyle w:val="12"/>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六、投 标 函</w:t>
      </w:r>
    </w:p>
    <w:p w14:paraId="202242F1">
      <w:pPr>
        <w:snapToGrid w:val="0"/>
        <w:spacing w:line="312" w:lineRule="auto"/>
        <w:ind w:right="-341"/>
        <w:rPr>
          <w:rFonts w:ascii="宋体" w:hAnsi="宋体"/>
        </w:rPr>
      </w:pPr>
      <w:r>
        <w:rPr>
          <w:rFonts w:hint="eastAsia" w:ascii="宋体" w:hAnsi="宋体"/>
        </w:rPr>
        <w:t>致：</w:t>
      </w:r>
      <w:r>
        <w:rPr>
          <w:rFonts w:hint="eastAsia" w:ascii="宋体" w:hAnsi="宋体"/>
          <w:szCs w:val="21"/>
          <w:u w:val="single"/>
        </w:rPr>
        <w:t>（招标机构、采购单位名称）</w:t>
      </w:r>
    </w:p>
    <w:p w14:paraId="46EAE8FD">
      <w:pPr>
        <w:snapToGrid w:val="0"/>
        <w:spacing w:line="312" w:lineRule="auto"/>
        <w:ind w:right="-341" w:firstLine="480"/>
        <w:rPr>
          <w:rFonts w:ascii="宋体" w:hAnsi="宋体"/>
        </w:rPr>
      </w:pPr>
      <w:r>
        <w:rPr>
          <w:rFonts w:hint="eastAsia" w:ascii="宋体" w:hAnsi="宋体"/>
        </w:rPr>
        <w:t>根据贵方为项目的招标公告（项目编号：），签字代表（全名）经正式授权并代表投标人（投标人名称）提交投标报价文件、资格证明/商务技术文件。</w:t>
      </w:r>
    </w:p>
    <w:p w14:paraId="54DD97CA">
      <w:pPr>
        <w:snapToGrid w:val="0"/>
        <w:spacing w:line="360" w:lineRule="auto"/>
        <w:ind w:right="-341" w:firstLine="420" w:firstLineChars="200"/>
        <w:rPr>
          <w:rFonts w:ascii="宋体"/>
        </w:rPr>
      </w:pPr>
      <w:r>
        <w:rPr>
          <w:rFonts w:hint="eastAsia" w:ascii="宋体" w:hAnsi="宋体"/>
        </w:rPr>
        <w:t>据此函，签字代表宣布同意如下：</w:t>
      </w:r>
    </w:p>
    <w:p w14:paraId="112B1C8F">
      <w:pPr>
        <w:pStyle w:val="11"/>
      </w:pPr>
      <w:r>
        <w:rPr>
          <w:rFonts w:hint="eastAsia"/>
        </w:rPr>
        <w:t>1、我方已详细审查了采购文件的全部内容及其相关补充文件（若有），并完全清晰理解全部内容及相关的补充文件（若有），不存在任何误解之处，同意放弃提出异议和质疑的权利。</w:t>
      </w:r>
    </w:p>
    <w:p w14:paraId="30576BB9">
      <w:pPr>
        <w:spacing w:line="360" w:lineRule="auto"/>
        <w:ind w:right="-341" w:firstLine="404" w:firstLineChars="200"/>
        <w:jc w:val="left"/>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2、我方遵守《中华人民共和国政府采购法》及相关法律法规的规定。同意采购文件中所提到的无效标条款，并服从有关开标现场的会议纪律。否则，同意被废除投标资格。</w:t>
      </w:r>
    </w:p>
    <w:p w14:paraId="20EF7D19">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3、我方所提供的一次性投标产品报价均具充分的合理性和准确性，保证不存在低于成本的恶意报价行为，同时清楚理解到报价最低并非意味着必定获得合同授予资格。</w:t>
      </w:r>
    </w:p>
    <w:p w14:paraId="142B67E0">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4、投标有效期为自开标之日起</w:t>
      </w:r>
      <w:r>
        <w:rPr>
          <w:rFonts w:hint="eastAsia" w:cs="宋体" w:asciiTheme="minorEastAsia" w:hAnsiTheme="minorEastAsia" w:eastAsiaTheme="minorEastAsia"/>
          <w:spacing w:val="-4"/>
          <w:szCs w:val="21"/>
          <w:u w:val="single"/>
        </w:rPr>
        <w:t>90</w:t>
      </w:r>
      <w:r>
        <w:rPr>
          <w:rFonts w:hint="eastAsia" w:cs="宋体" w:asciiTheme="minorEastAsia" w:hAnsiTheme="minorEastAsia" w:eastAsiaTheme="minorEastAsia"/>
          <w:spacing w:val="-4"/>
          <w:szCs w:val="21"/>
        </w:rPr>
        <w:t>天内，如在投标有效期内撤回投标，我方同意被废除投标资格。</w:t>
      </w:r>
    </w:p>
    <w:p w14:paraId="791B5F0C">
      <w:pPr>
        <w:snapToGrid w:val="0"/>
        <w:spacing w:line="360" w:lineRule="auto"/>
        <w:ind w:firstLine="840" w:firstLineChars="400"/>
        <w:rPr>
          <w:rFonts w:hint="default" w:ascii="宋体" w:hAnsi="宋体" w:cs="宋体"/>
          <w:kern w:val="0"/>
          <w:sz w:val="21"/>
          <w:szCs w:val="21"/>
          <w:lang w:val="en-US" w:eastAsia="zh-CN"/>
        </w:rPr>
      </w:pPr>
      <w:r>
        <w:rPr>
          <w:rFonts w:hint="eastAsia" w:ascii="宋体" w:hAnsi="宋体" w:cs="宋体"/>
          <w:kern w:val="0"/>
          <w:sz w:val="21"/>
          <w:szCs w:val="21"/>
          <w:lang w:val="en-US" w:eastAsia="zh-CN"/>
        </w:rPr>
        <w:t>我方承诺;</w:t>
      </w:r>
    </w:p>
    <w:p w14:paraId="452CB5F0">
      <w:pPr>
        <w:snapToGrid w:val="0"/>
        <w:spacing w:line="360" w:lineRule="auto"/>
        <w:ind w:firstLine="840" w:firstLineChars="400"/>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w:t>
      </w:r>
      <w:r>
        <w:rPr>
          <w:rFonts w:hint="eastAsia" w:ascii="宋体" w:hAnsi="宋体" w:cs="宋体"/>
          <w:kern w:val="0"/>
          <w:sz w:val="21"/>
          <w:szCs w:val="21"/>
        </w:rPr>
        <w:t>1</w:t>
      </w:r>
      <w:r>
        <w:rPr>
          <w:rFonts w:hint="eastAsia" w:ascii="宋体" w:hAnsi="宋体" w:cs="宋体"/>
          <w:kern w:val="0"/>
          <w:sz w:val="21"/>
          <w:szCs w:val="21"/>
          <w:lang w:val="en-US" w:eastAsia="zh-CN"/>
        </w:rPr>
        <w:t>)</w:t>
      </w:r>
      <w:r>
        <w:rPr>
          <w:rFonts w:hint="eastAsia" w:ascii="宋体" w:hAnsi="宋体" w:cs="宋体"/>
          <w:kern w:val="0"/>
          <w:sz w:val="21"/>
          <w:szCs w:val="21"/>
        </w:rPr>
        <w:t>、具有独立承担民事责任的能力；</w:t>
      </w:r>
    </w:p>
    <w:p w14:paraId="2D298F0F">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w:t>
      </w:r>
      <w:r>
        <w:rPr>
          <w:rFonts w:hint="eastAsia" w:ascii="宋体" w:hAnsi="宋体" w:cs="宋体"/>
          <w:kern w:val="0"/>
          <w:sz w:val="21"/>
          <w:szCs w:val="21"/>
          <w:lang w:val="en-US" w:eastAsia="zh-CN"/>
        </w:rPr>
        <w:t>(2)</w:t>
      </w:r>
      <w:r>
        <w:rPr>
          <w:rFonts w:hint="eastAsia" w:ascii="宋体" w:hAnsi="宋体" w:cs="宋体"/>
          <w:kern w:val="0"/>
          <w:sz w:val="21"/>
          <w:szCs w:val="21"/>
        </w:rPr>
        <w:t>、具有良好的商业信誉和健全的财务会计制度；</w:t>
      </w:r>
    </w:p>
    <w:p w14:paraId="23B774CD">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w:t>
      </w:r>
      <w:r>
        <w:rPr>
          <w:rFonts w:hint="eastAsia" w:ascii="宋体" w:hAnsi="宋体" w:cs="宋体"/>
          <w:kern w:val="0"/>
          <w:sz w:val="21"/>
          <w:szCs w:val="21"/>
          <w:lang w:val="en-US" w:eastAsia="zh-CN"/>
        </w:rPr>
        <w:t>(3)</w:t>
      </w:r>
      <w:r>
        <w:rPr>
          <w:rFonts w:hint="eastAsia" w:ascii="宋体" w:hAnsi="宋体" w:cs="宋体"/>
          <w:kern w:val="0"/>
          <w:sz w:val="21"/>
          <w:szCs w:val="21"/>
        </w:rPr>
        <w:t>、具有履行合同所必需的设备和专业技术能力；</w:t>
      </w:r>
    </w:p>
    <w:p w14:paraId="7C7D2F72">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w:t>
      </w:r>
      <w:r>
        <w:rPr>
          <w:rFonts w:hint="eastAsia" w:ascii="宋体" w:hAnsi="宋体" w:cs="宋体"/>
          <w:kern w:val="0"/>
          <w:sz w:val="21"/>
          <w:szCs w:val="21"/>
          <w:lang w:val="en-US" w:eastAsia="zh-CN"/>
        </w:rPr>
        <w:t>(4)</w:t>
      </w:r>
      <w:r>
        <w:rPr>
          <w:rFonts w:hint="eastAsia" w:ascii="宋体" w:hAnsi="宋体" w:cs="宋体"/>
          <w:kern w:val="0"/>
          <w:sz w:val="21"/>
          <w:szCs w:val="21"/>
        </w:rPr>
        <w:t>、有依法缴纳税收和社会保障资金的良好记录；</w:t>
      </w:r>
    </w:p>
    <w:p w14:paraId="218210E5">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  </w:t>
      </w:r>
      <w:r>
        <w:rPr>
          <w:rFonts w:hint="eastAsia" w:ascii="宋体" w:hAnsi="宋体" w:cs="宋体"/>
          <w:kern w:val="0"/>
          <w:sz w:val="21"/>
          <w:szCs w:val="21"/>
          <w:lang w:val="en-US" w:eastAsia="zh-CN"/>
        </w:rPr>
        <w:t>(5)</w:t>
      </w:r>
      <w:r>
        <w:rPr>
          <w:rFonts w:hint="eastAsia" w:ascii="宋体" w:hAnsi="宋体" w:cs="宋体"/>
          <w:kern w:val="0"/>
          <w:sz w:val="21"/>
          <w:szCs w:val="21"/>
        </w:rPr>
        <w:t>、参加政府采购活动前三年内，在经营活动中没有重大违法记录</w:t>
      </w:r>
      <w:r>
        <w:rPr>
          <w:rFonts w:hint="eastAsia" w:ascii="宋体" w:hAnsi="宋体" w:eastAsia="宋体" w:cs="Times New Roman"/>
          <w:kern w:val="2"/>
          <w:sz w:val="21"/>
          <w:szCs w:val="21"/>
          <w:lang w:val="en-US" w:eastAsia="zh-CN" w:bidi="ar-SA"/>
        </w:rPr>
        <w:t>（没有因违法经营受到刑事处罚，没有被责令停产停业、被吊销许可证或者执照、被处以较大数额罚款等行政处罚，没有因违法经营被禁止参加政府采购活动的期限未满情形）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 w:val="21"/>
          <w:szCs w:val="21"/>
        </w:rPr>
        <w:t>；</w:t>
      </w:r>
    </w:p>
    <w:p w14:paraId="5CB1CF42">
      <w:pPr>
        <w:snapToGrid w:val="0"/>
        <w:spacing w:line="360" w:lineRule="auto"/>
        <w:ind w:firstLine="840" w:firstLineChars="400"/>
        <w:rPr>
          <w:rFonts w:hint="eastAsia" w:ascii="宋体" w:hAnsi="宋体" w:cs="宋体"/>
          <w:kern w:val="0"/>
          <w:sz w:val="21"/>
          <w:szCs w:val="21"/>
        </w:rPr>
      </w:pPr>
      <w:r>
        <w:rPr>
          <w:rFonts w:hint="eastAsia" w:ascii="宋体" w:hAnsi="宋体" w:cs="宋体"/>
          <w:kern w:val="0"/>
          <w:sz w:val="21"/>
          <w:szCs w:val="21"/>
          <w:lang w:val="en-US" w:eastAsia="zh-CN"/>
        </w:rPr>
        <w:t>(6)</w:t>
      </w:r>
      <w:r>
        <w:rPr>
          <w:rFonts w:hint="eastAsia" w:ascii="宋体" w:hAnsi="宋体" w:cs="宋体"/>
          <w:kern w:val="0"/>
          <w:sz w:val="21"/>
          <w:szCs w:val="21"/>
        </w:rPr>
        <w:t>未被“信用中国”（www.creditchina.gov.cn)、中国政府采购网（www.ccgp.gov.cn）列入失信被执行人、重大税收违法案件当事人名单、政府采购严重违法失信行为记录名单。</w:t>
      </w:r>
    </w:p>
    <w:p w14:paraId="0D7A6F05">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lang w:val="en-US" w:eastAsia="zh-CN"/>
        </w:rPr>
        <w:t>5</w:t>
      </w:r>
      <w:r>
        <w:rPr>
          <w:rFonts w:hint="eastAsia" w:cs="宋体" w:asciiTheme="minorEastAsia" w:hAnsiTheme="minorEastAsia" w:eastAsiaTheme="minorEastAsia"/>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35EAC479">
      <w:pPr>
        <w:snapToGrid w:val="0"/>
        <w:spacing w:line="360" w:lineRule="auto"/>
        <w:ind w:right="-341" w:firstLine="420" w:firstLineChars="200"/>
        <w:rPr>
          <w:rFonts w:asciiTheme="minorEastAsia" w:hAnsiTheme="minorEastAsia" w:eastAsiaTheme="minorEastAsia"/>
        </w:rPr>
      </w:pPr>
      <w:r>
        <w:rPr>
          <w:rFonts w:hint="eastAsia" w:asciiTheme="minorEastAsia" w:hAnsiTheme="minorEastAsia" w:eastAsiaTheme="minorEastAsia"/>
          <w:lang w:val="en-US" w:eastAsia="zh-CN"/>
        </w:rPr>
        <w:t>6</w:t>
      </w:r>
      <w:r>
        <w:rPr>
          <w:rFonts w:hint="eastAsia" w:asciiTheme="minorEastAsia" w:hAnsiTheme="minorEastAsia" w:eastAsiaTheme="minorEastAsia"/>
        </w:rPr>
        <w:t>、与本投标有关的一切正式往来信函请寄：</w:t>
      </w:r>
    </w:p>
    <w:p w14:paraId="24E22225">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地址：___________________ 邮编：__________   电话：______________</w:t>
      </w:r>
    </w:p>
    <w:p w14:paraId="50704B98">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传真：______________投标人代表姓名 ___________  职务：_____________</w:t>
      </w:r>
    </w:p>
    <w:p w14:paraId="2BF0B052">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投标人名称(公章):___________________</w:t>
      </w:r>
    </w:p>
    <w:p w14:paraId="5D683C44">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开户银行：          银行帐号：</w:t>
      </w:r>
    </w:p>
    <w:p w14:paraId="71269B29">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613F4A26">
      <w:pPr>
        <w:snapToGrid w:val="0"/>
        <w:spacing w:line="312" w:lineRule="auto"/>
        <w:ind w:right="-341"/>
        <w:rPr>
          <w:rFonts w:asciiTheme="minorEastAsia" w:hAnsiTheme="minorEastAsia" w:eastAsiaTheme="minorEastAsia"/>
        </w:rPr>
      </w:pPr>
    </w:p>
    <w:p w14:paraId="2B85F7C4">
      <w:pPr>
        <w:pStyle w:val="12"/>
        <w:snapToGrid w:val="0"/>
        <w:spacing w:before="120" w:line="312" w:lineRule="auto"/>
        <w:ind w:right="-341" w:firstLine="3045" w:firstLineChars="1450"/>
        <w:rPr>
          <w:rFonts w:asciiTheme="minorEastAsia" w:hAnsiTheme="minorEastAsia" w:eastAsiaTheme="minorEastAsia"/>
          <w:sz w:val="21"/>
        </w:rPr>
      </w:pPr>
      <w:r>
        <w:rPr>
          <w:rFonts w:hint="eastAsia" w:asciiTheme="minorEastAsia" w:hAnsiTheme="minorEastAsia" w:eastAsiaTheme="minorEastAsia"/>
          <w:sz w:val="21"/>
        </w:rPr>
        <w:t xml:space="preserve">                 日期:_____年___月___日</w:t>
      </w:r>
    </w:p>
    <w:p w14:paraId="73923442">
      <w:pPr>
        <w:snapToGrid w:val="0"/>
        <w:spacing w:line="312" w:lineRule="auto"/>
        <w:ind w:right="-341"/>
        <w:jc w:val="left"/>
        <w:rPr>
          <w:rFonts w:asciiTheme="minorEastAsia" w:hAnsiTheme="minorEastAsia" w:eastAsiaTheme="minorEastAsia"/>
          <w:b/>
          <w:sz w:val="32"/>
        </w:rPr>
      </w:pPr>
    </w:p>
    <w:p w14:paraId="697AA179">
      <w:pPr>
        <w:pStyle w:val="12"/>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七</w:t>
      </w:r>
      <w:r>
        <w:rPr>
          <w:rFonts w:hint="eastAsia" w:asciiTheme="minorEastAsia" w:hAnsiTheme="minorEastAsia" w:eastAsiaTheme="minorEastAsia"/>
          <w:b/>
          <w:sz w:val="32"/>
        </w:rPr>
        <w:t>、法定代表人授权委托书</w:t>
      </w:r>
    </w:p>
    <w:p w14:paraId="6FA5CA4A">
      <w:pPr>
        <w:snapToGrid w:val="0"/>
        <w:spacing w:line="312" w:lineRule="auto"/>
        <w:ind w:right="55"/>
        <w:rPr>
          <w:rFonts w:asciiTheme="minorEastAsia" w:hAnsiTheme="minorEastAsia" w:eastAsiaTheme="minorEastAsia"/>
        </w:rPr>
      </w:pPr>
    </w:p>
    <w:p w14:paraId="176788E5">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致：</w:t>
      </w:r>
      <w:r>
        <w:rPr>
          <w:rFonts w:hint="eastAsia" w:ascii="宋体" w:hAnsi="宋体"/>
          <w:szCs w:val="21"/>
          <w:u w:val="single"/>
        </w:rPr>
        <w:t>（招标机构、采购单位名称）</w:t>
      </w:r>
    </w:p>
    <w:p w14:paraId="31AD76FF">
      <w:pPr>
        <w:snapToGrid w:val="0"/>
        <w:spacing w:line="312" w:lineRule="auto"/>
        <w:ind w:right="55" w:firstLine="630" w:firstLineChars="300"/>
        <w:rPr>
          <w:rFonts w:asciiTheme="minorEastAsia" w:hAnsiTheme="minorEastAsia" w:eastAsiaTheme="minorEastAsia"/>
        </w:rPr>
      </w:pPr>
      <w:r>
        <w:rPr>
          <w:rFonts w:hint="eastAsia" w:asciiTheme="minorEastAsia" w:hAnsiTheme="minorEastAsia" w:eastAsiaTheme="minorEastAsia"/>
        </w:rPr>
        <w:t>我（姓名）系（投标人名称）的法定代表人（负责人），现授权委托本单位在职职工 （姓名）以我方的名义参加项目的投标活动，并代表我方全权办理针对上述项目的投标、开标、评标、签约等具体事务和签署相关文件。</w:t>
      </w:r>
    </w:p>
    <w:p w14:paraId="4392E35B">
      <w:pPr>
        <w:snapToGrid w:val="0"/>
        <w:spacing w:line="312" w:lineRule="auto"/>
        <w:ind w:right="55"/>
        <w:rPr>
          <w:rFonts w:asciiTheme="minorEastAsia" w:hAnsiTheme="minorEastAsia" w:eastAsiaTheme="minorEastAsia"/>
        </w:rPr>
      </w:pPr>
      <w:r>
        <w:rPr>
          <w:rFonts w:hint="eastAsia" w:asciiTheme="minorEastAsia" w:hAnsiTheme="minorEastAsia" w:eastAsiaTheme="minorEastAsia"/>
        </w:rPr>
        <w:t xml:space="preserve">    我方对被授权人的签名事项负全部责任。</w:t>
      </w:r>
    </w:p>
    <w:p w14:paraId="06C478A9">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u w:val="single"/>
        </w:rPr>
        <w:t>在撤销授权的书面通知以前，本授权书一直有效。</w:t>
      </w:r>
      <w:r>
        <w:rPr>
          <w:rFonts w:hint="eastAsia" w:asciiTheme="minorEastAsia" w:hAnsiTheme="minorEastAsia" w:eastAsiaTheme="minorEastAsia"/>
        </w:rPr>
        <w:t>被授权人在授权书有效期内签署的所有文件不因授权的撤销而失效。</w:t>
      </w:r>
    </w:p>
    <w:p w14:paraId="2736EC83">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rPr>
        <w:t>被授权人无转委托权，特此委托。</w:t>
      </w:r>
    </w:p>
    <w:p w14:paraId="6C9660E4">
      <w:pPr>
        <w:snapToGrid w:val="0"/>
        <w:spacing w:line="312" w:lineRule="auto"/>
        <w:ind w:right="55"/>
        <w:rPr>
          <w:rFonts w:asciiTheme="minorEastAsia" w:hAnsiTheme="minorEastAsia" w:eastAsiaTheme="minorEastAsia"/>
        </w:rPr>
      </w:pPr>
    </w:p>
    <w:p w14:paraId="01EB56C2">
      <w:pPr>
        <w:snapToGrid w:val="0"/>
        <w:spacing w:line="312" w:lineRule="auto"/>
        <w:ind w:right="55"/>
        <w:rPr>
          <w:rFonts w:asciiTheme="minorEastAsia" w:hAnsiTheme="minorEastAsia" w:eastAsiaTheme="minorEastAsia"/>
          <w:u w:val="single"/>
        </w:rPr>
      </w:pPr>
      <w:r>
        <w:rPr>
          <w:rFonts w:hint="eastAsia" w:asciiTheme="minorEastAsia" w:hAnsiTheme="minorEastAsia" w:eastAsiaTheme="minorEastAsia"/>
        </w:rPr>
        <w:t>被授权人签名：                 法定代表人（负责人）签名：</w:t>
      </w:r>
    </w:p>
    <w:p w14:paraId="2A9AA7B1">
      <w:pPr>
        <w:snapToGrid w:val="0"/>
        <w:spacing w:line="312" w:lineRule="auto"/>
        <w:ind w:right="55" w:firstLine="840" w:firstLineChars="400"/>
        <w:rPr>
          <w:rFonts w:asciiTheme="minorEastAsia" w:hAnsiTheme="minorEastAsia" w:eastAsiaTheme="minorEastAsia"/>
        </w:rPr>
      </w:pPr>
      <w:r>
        <w:rPr>
          <w:rFonts w:hint="eastAsia" w:asciiTheme="minorEastAsia" w:hAnsiTheme="minorEastAsia" w:eastAsiaTheme="minorEastAsia"/>
        </w:rPr>
        <w:t>职务：                                职务：</w:t>
      </w:r>
    </w:p>
    <w:p w14:paraId="1A9E3CE1">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被授权人身份证号码：</w:t>
      </w:r>
      <w:r>
        <w:rPr>
          <w:rFonts w:hint="eastAsia" w:asciiTheme="minorEastAsia" w:hAnsiTheme="minorEastAsia" w:eastAsiaTheme="minorEastAsia"/>
          <w:u w:val="single"/>
        </w:rPr>
        <w:t xml:space="preserve">                            （</w:t>
      </w:r>
      <w:r>
        <w:rPr>
          <w:rFonts w:hint="eastAsia" w:asciiTheme="minorEastAsia" w:hAnsiTheme="minorEastAsia" w:eastAsiaTheme="minorEastAsia"/>
          <w:b/>
          <w:spacing w:val="-4"/>
        </w:rPr>
        <w:t xml:space="preserve">附被授权人是本单位在职职工的有效身份证明，如劳动合同、社会保险、身份证复印件等）  </w:t>
      </w:r>
    </w:p>
    <w:p w14:paraId="0814303D">
      <w:pPr>
        <w:snapToGrid w:val="0"/>
        <w:spacing w:line="312" w:lineRule="auto"/>
        <w:ind w:right="55"/>
        <w:rPr>
          <w:rFonts w:asciiTheme="minorEastAsia" w:hAnsiTheme="minorEastAsia" w:eastAsiaTheme="minorEastAsia"/>
        </w:rPr>
      </w:pPr>
    </w:p>
    <w:p w14:paraId="52E21D3C">
      <w:pPr>
        <w:snapToGrid w:val="0"/>
        <w:spacing w:line="312" w:lineRule="auto"/>
        <w:ind w:right="-341" w:firstLine="5355" w:firstLineChars="2550"/>
        <w:rPr>
          <w:rFonts w:asciiTheme="minorEastAsia" w:hAnsiTheme="minorEastAsia" w:eastAsiaTheme="minorEastAsia"/>
        </w:rPr>
      </w:pPr>
    </w:p>
    <w:p w14:paraId="33E57577">
      <w:pPr>
        <w:snapToGrid w:val="0"/>
        <w:spacing w:line="312" w:lineRule="auto"/>
        <w:ind w:right="-341" w:firstLine="5355" w:firstLineChars="2550"/>
        <w:rPr>
          <w:rFonts w:asciiTheme="minorEastAsia" w:hAnsiTheme="minorEastAsia" w:eastAsiaTheme="minorEastAsia"/>
        </w:rPr>
      </w:pPr>
    </w:p>
    <w:p w14:paraId="1AFBA61C">
      <w:pPr>
        <w:snapToGrid w:val="0"/>
        <w:spacing w:line="312" w:lineRule="auto"/>
        <w:ind w:right="-341" w:firstLine="5355" w:firstLineChars="2550"/>
        <w:rPr>
          <w:rFonts w:asciiTheme="minorEastAsia" w:hAnsiTheme="minorEastAsia" w:eastAsiaTheme="minorEastAsia"/>
        </w:rPr>
      </w:pPr>
      <w:r>
        <w:rPr>
          <w:rFonts w:hint="eastAsia" w:asciiTheme="minorEastAsia" w:hAnsiTheme="minorEastAsia" w:eastAsiaTheme="minorEastAsia"/>
        </w:rPr>
        <w:t xml:space="preserve"> 投标人公章：</w:t>
      </w:r>
    </w:p>
    <w:p w14:paraId="70504D18">
      <w:pPr>
        <w:snapToGrid w:val="0"/>
        <w:spacing w:line="312" w:lineRule="auto"/>
        <w:ind w:right="-341"/>
        <w:jc w:val="center"/>
        <w:rPr>
          <w:rFonts w:asciiTheme="minorEastAsia" w:hAnsiTheme="minorEastAsia" w:eastAsiaTheme="minorEastAsia"/>
        </w:rPr>
      </w:pPr>
      <w:r>
        <w:rPr>
          <w:rFonts w:hint="eastAsia" w:asciiTheme="minorEastAsia" w:hAnsiTheme="minorEastAsia" w:eastAsiaTheme="minorEastAsia"/>
        </w:rPr>
        <w:t xml:space="preserve">                                        年    月    日</w:t>
      </w:r>
    </w:p>
    <w:p w14:paraId="66BDC1B4">
      <w:pPr>
        <w:snapToGrid w:val="0"/>
        <w:spacing w:line="312" w:lineRule="auto"/>
        <w:ind w:right="-341"/>
        <w:rPr>
          <w:rFonts w:asciiTheme="minorEastAsia" w:hAnsiTheme="minorEastAsia" w:eastAsiaTheme="minorEastAsia"/>
          <w:sz w:val="24"/>
          <w:u w:val="single"/>
        </w:rPr>
      </w:pPr>
    </w:p>
    <w:p w14:paraId="4B4EC362">
      <w:pPr>
        <w:snapToGrid w:val="0"/>
        <w:spacing w:line="312" w:lineRule="auto"/>
        <w:ind w:right="-341" w:firstLine="404" w:firstLineChars="200"/>
        <w:jc w:val="left"/>
        <w:rPr>
          <w:rFonts w:asciiTheme="minorEastAsia" w:hAnsiTheme="minorEastAsia" w:eastAsiaTheme="minorEastAsia"/>
          <w:spacing w:val="-4"/>
        </w:rPr>
        <w:sectPr>
          <w:pgSz w:w="11906" w:h="16838"/>
          <w:pgMar w:top="1106" w:right="1531" w:bottom="1304" w:left="1531" w:header="1304" w:footer="1304" w:gutter="0"/>
          <w:cols w:space="0" w:num="1"/>
        </w:sectPr>
      </w:pPr>
    </w:p>
    <w:p w14:paraId="17BEED37">
      <w:pPr>
        <w:pStyle w:val="12"/>
        <w:snapToGrid w:val="0"/>
        <w:spacing w:before="120" w:line="312" w:lineRule="auto"/>
        <w:ind w:right="-341"/>
        <w:jc w:val="center"/>
        <w:rPr>
          <w:rFonts w:asciiTheme="minorEastAsia" w:hAnsiTheme="minorEastAsia" w:eastAsiaTheme="minorEastAsia"/>
          <w:b/>
          <w:sz w:val="32"/>
        </w:rPr>
      </w:pPr>
    </w:p>
    <w:p w14:paraId="41409E25">
      <w:pPr>
        <w:spacing w:line="380" w:lineRule="exact"/>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八</w:t>
      </w:r>
      <w:r>
        <w:rPr>
          <w:rFonts w:hint="eastAsia" w:asciiTheme="minorEastAsia" w:hAnsiTheme="minorEastAsia" w:eastAsiaTheme="minorEastAsia"/>
          <w:b/>
          <w:sz w:val="32"/>
        </w:rPr>
        <w:t>、商务条款响应表</w:t>
      </w:r>
    </w:p>
    <w:p w14:paraId="0A7217E6">
      <w:pPr>
        <w:snapToGrid w:val="0"/>
        <w:spacing w:before="50" w:after="50"/>
        <w:rPr>
          <w:rFonts w:ascii="宋体" w:cs="宋体"/>
        </w:rPr>
      </w:pPr>
    </w:p>
    <w:p w14:paraId="0C1B28D6">
      <w:pPr>
        <w:spacing w:line="560" w:lineRule="exact"/>
        <w:rPr>
          <w:rFonts w:ascii="宋体" w:hAnsi="宋体"/>
          <w:bCs/>
          <w:szCs w:val="21"/>
        </w:rPr>
      </w:pPr>
      <w:r>
        <w:rPr>
          <w:rFonts w:hint="eastAsia" w:ascii="宋体" w:hAnsi="宋体" w:cs="宋体"/>
          <w:szCs w:val="21"/>
        </w:rPr>
        <w:t>招标编号：</w:t>
      </w:r>
      <w:r>
        <w:rPr>
          <w:rFonts w:ascii="宋体" w:hAnsi="宋体"/>
          <w:bCs/>
          <w:szCs w:val="21"/>
        </w:rPr>
        <w:t xml:space="preserve">项目名称： </w:t>
      </w:r>
    </w:p>
    <w:tbl>
      <w:tblPr>
        <w:tblStyle w:val="2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581"/>
        <w:gridCol w:w="1672"/>
        <w:gridCol w:w="1976"/>
        <w:gridCol w:w="1680"/>
      </w:tblGrid>
      <w:tr w14:paraId="6380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9" w:type="dxa"/>
            <w:vAlign w:val="center"/>
          </w:tcPr>
          <w:p w14:paraId="0F5421AC">
            <w:pPr>
              <w:jc w:val="center"/>
              <w:rPr>
                <w:rFonts w:ascii="宋体" w:hAnsi="宋体"/>
                <w:bCs/>
                <w:szCs w:val="21"/>
              </w:rPr>
            </w:pPr>
            <w:r>
              <w:rPr>
                <w:rFonts w:ascii="宋体" w:hAnsi="宋体"/>
                <w:bCs/>
                <w:szCs w:val="21"/>
              </w:rPr>
              <w:t>内   容</w:t>
            </w:r>
          </w:p>
        </w:tc>
        <w:tc>
          <w:tcPr>
            <w:tcW w:w="2581" w:type="dxa"/>
            <w:vAlign w:val="center"/>
          </w:tcPr>
          <w:p w14:paraId="18CC25D6">
            <w:pPr>
              <w:jc w:val="center"/>
              <w:rPr>
                <w:rFonts w:ascii="宋体" w:hAnsi="宋体"/>
                <w:bCs/>
                <w:szCs w:val="21"/>
              </w:rPr>
            </w:pPr>
            <w:r>
              <w:rPr>
                <w:rFonts w:ascii="宋体" w:hAnsi="宋体"/>
                <w:bCs/>
                <w:szCs w:val="21"/>
              </w:rPr>
              <w:t>采购要求</w:t>
            </w:r>
          </w:p>
        </w:tc>
        <w:tc>
          <w:tcPr>
            <w:tcW w:w="1672" w:type="dxa"/>
            <w:vAlign w:val="center"/>
          </w:tcPr>
          <w:p w14:paraId="6C534E76">
            <w:pPr>
              <w:jc w:val="center"/>
              <w:rPr>
                <w:rFonts w:ascii="宋体" w:hAnsi="宋体"/>
                <w:bCs/>
                <w:szCs w:val="21"/>
              </w:rPr>
            </w:pPr>
            <w:r>
              <w:rPr>
                <w:rFonts w:ascii="宋体" w:hAnsi="宋体"/>
                <w:bCs/>
                <w:szCs w:val="21"/>
              </w:rPr>
              <w:t>投标响应</w:t>
            </w:r>
          </w:p>
        </w:tc>
        <w:tc>
          <w:tcPr>
            <w:tcW w:w="1976" w:type="dxa"/>
            <w:vAlign w:val="center"/>
          </w:tcPr>
          <w:p w14:paraId="356C3B23">
            <w:pPr>
              <w:jc w:val="center"/>
              <w:rPr>
                <w:rFonts w:ascii="宋体" w:hAnsi="宋体"/>
                <w:bCs/>
                <w:szCs w:val="21"/>
              </w:rPr>
            </w:pPr>
            <w:r>
              <w:rPr>
                <w:rFonts w:ascii="宋体" w:hAnsi="宋体"/>
                <w:bCs/>
                <w:szCs w:val="21"/>
              </w:rPr>
              <w:t>偏离</w:t>
            </w:r>
          </w:p>
        </w:tc>
        <w:tc>
          <w:tcPr>
            <w:tcW w:w="1680" w:type="dxa"/>
            <w:vAlign w:val="center"/>
          </w:tcPr>
          <w:p w14:paraId="1F38B685">
            <w:pPr>
              <w:jc w:val="center"/>
              <w:rPr>
                <w:rFonts w:ascii="宋体" w:hAnsi="宋体"/>
                <w:bCs/>
                <w:szCs w:val="21"/>
              </w:rPr>
            </w:pPr>
            <w:r>
              <w:rPr>
                <w:rFonts w:ascii="宋体" w:hAnsi="宋体"/>
                <w:bCs/>
                <w:szCs w:val="21"/>
              </w:rPr>
              <w:t>说   明</w:t>
            </w:r>
          </w:p>
        </w:tc>
      </w:tr>
      <w:tr w14:paraId="06EF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29" w:type="dxa"/>
            <w:vMerge w:val="restart"/>
            <w:vAlign w:val="center"/>
          </w:tcPr>
          <w:p w14:paraId="3417E1F9">
            <w:pPr>
              <w:jc w:val="center"/>
              <w:rPr>
                <w:rFonts w:ascii="宋体" w:hAnsi="宋体"/>
                <w:bCs/>
                <w:szCs w:val="21"/>
              </w:rPr>
            </w:pPr>
            <w:r>
              <w:rPr>
                <w:rFonts w:ascii="宋体" w:hAnsi="宋体"/>
                <w:bCs/>
                <w:szCs w:val="21"/>
              </w:rPr>
              <w:t>商务条款</w:t>
            </w:r>
          </w:p>
        </w:tc>
        <w:tc>
          <w:tcPr>
            <w:tcW w:w="2581" w:type="dxa"/>
          </w:tcPr>
          <w:p w14:paraId="372B1207">
            <w:pPr>
              <w:snapToGrid w:val="0"/>
              <w:spacing w:before="120" w:beforeLines="50"/>
              <w:jc w:val="left"/>
              <w:rPr>
                <w:rFonts w:ascii="宋体" w:hAnsi="宋体"/>
                <w:bCs/>
                <w:szCs w:val="21"/>
              </w:rPr>
            </w:pPr>
            <w:r>
              <w:rPr>
                <w:rFonts w:hint="eastAsia" w:ascii="宋体" w:hAnsi="宋体"/>
                <w:szCs w:val="21"/>
              </w:rPr>
              <w:t>质保期</w:t>
            </w:r>
          </w:p>
        </w:tc>
        <w:tc>
          <w:tcPr>
            <w:tcW w:w="1672" w:type="dxa"/>
            <w:vAlign w:val="center"/>
          </w:tcPr>
          <w:p w14:paraId="1D9AFD56">
            <w:pPr>
              <w:jc w:val="center"/>
              <w:rPr>
                <w:rFonts w:ascii="宋体" w:hAnsi="宋体"/>
                <w:bCs/>
                <w:szCs w:val="21"/>
              </w:rPr>
            </w:pPr>
          </w:p>
        </w:tc>
        <w:tc>
          <w:tcPr>
            <w:tcW w:w="1976" w:type="dxa"/>
            <w:vAlign w:val="center"/>
          </w:tcPr>
          <w:p w14:paraId="655E5FC3">
            <w:pPr>
              <w:jc w:val="center"/>
              <w:rPr>
                <w:rFonts w:ascii="宋体" w:hAnsi="宋体"/>
                <w:bCs/>
                <w:szCs w:val="21"/>
              </w:rPr>
            </w:pPr>
          </w:p>
        </w:tc>
        <w:tc>
          <w:tcPr>
            <w:tcW w:w="1680" w:type="dxa"/>
            <w:vAlign w:val="center"/>
          </w:tcPr>
          <w:p w14:paraId="1937E21E">
            <w:pPr>
              <w:jc w:val="center"/>
              <w:rPr>
                <w:rFonts w:ascii="宋体" w:hAnsi="宋体"/>
                <w:bCs/>
                <w:szCs w:val="21"/>
              </w:rPr>
            </w:pPr>
          </w:p>
        </w:tc>
      </w:tr>
      <w:tr w14:paraId="0F03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29" w:type="dxa"/>
            <w:vMerge w:val="continue"/>
            <w:vAlign w:val="center"/>
          </w:tcPr>
          <w:p w14:paraId="3C46BF1D">
            <w:pPr>
              <w:jc w:val="center"/>
              <w:rPr>
                <w:rFonts w:ascii="宋体" w:hAnsi="宋体"/>
                <w:bCs/>
                <w:szCs w:val="21"/>
              </w:rPr>
            </w:pPr>
          </w:p>
        </w:tc>
        <w:tc>
          <w:tcPr>
            <w:tcW w:w="2581" w:type="dxa"/>
          </w:tcPr>
          <w:p w14:paraId="5F15C8F5">
            <w:pPr>
              <w:snapToGrid w:val="0"/>
              <w:spacing w:before="120" w:beforeLines="50"/>
              <w:jc w:val="left"/>
              <w:rPr>
                <w:rFonts w:ascii="宋体" w:hAnsi="宋体"/>
                <w:bCs/>
                <w:szCs w:val="21"/>
              </w:rPr>
            </w:pPr>
          </w:p>
        </w:tc>
        <w:tc>
          <w:tcPr>
            <w:tcW w:w="1672" w:type="dxa"/>
            <w:vAlign w:val="center"/>
          </w:tcPr>
          <w:p w14:paraId="3C5EFDE2">
            <w:pPr>
              <w:jc w:val="center"/>
              <w:rPr>
                <w:rFonts w:ascii="宋体" w:hAnsi="宋体"/>
                <w:bCs/>
                <w:szCs w:val="21"/>
              </w:rPr>
            </w:pPr>
          </w:p>
        </w:tc>
        <w:tc>
          <w:tcPr>
            <w:tcW w:w="1976" w:type="dxa"/>
            <w:vAlign w:val="center"/>
          </w:tcPr>
          <w:p w14:paraId="4385BF49">
            <w:pPr>
              <w:jc w:val="center"/>
              <w:rPr>
                <w:rFonts w:ascii="宋体" w:hAnsi="宋体"/>
                <w:bCs/>
                <w:szCs w:val="21"/>
              </w:rPr>
            </w:pPr>
          </w:p>
        </w:tc>
        <w:tc>
          <w:tcPr>
            <w:tcW w:w="1680" w:type="dxa"/>
            <w:vAlign w:val="center"/>
          </w:tcPr>
          <w:p w14:paraId="2DD6F0DE">
            <w:pPr>
              <w:jc w:val="center"/>
              <w:rPr>
                <w:rFonts w:ascii="宋体" w:hAnsi="宋体"/>
                <w:bCs/>
                <w:szCs w:val="21"/>
              </w:rPr>
            </w:pPr>
          </w:p>
        </w:tc>
      </w:tr>
      <w:tr w14:paraId="44CA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29" w:type="dxa"/>
            <w:vMerge w:val="continue"/>
            <w:vAlign w:val="center"/>
          </w:tcPr>
          <w:p w14:paraId="2261DC21">
            <w:pPr>
              <w:jc w:val="center"/>
              <w:rPr>
                <w:rFonts w:ascii="宋体" w:hAnsi="宋体"/>
                <w:bCs/>
                <w:szCs w:val="21"/>
              </w:rPr>
            </w:pPr>
          </w:p>
        </w:tc>
        <w:tc>
          <w:tcPr>
            <w:tcW w:w="2581" w:type="dxa"/>
            <w:vAlign w:val="center"/>
          </w:tcPr>
          <w:p w14:paraId="1547099A">
            <w:pPr>
              <w:pStyle w:val="62"/>
              <w:widowControl/>
              <w:tabs>
                <w:tab w:val="clear" w:pos="1418"/>
              </w:tabs>
              <w:overflowPunct w:val="0"/>
              <w:autoSpaceDE w:val="0"/>
              <w:autoSpaceDN w:val="0"/>
              <w:adjustRightInd w:val="0"/>
              <w:snapToGrid w:val="0"/>
              <w:spacing w:line="360" w:lineRule="exact"/>
              <w:jc w:val="left"/>
              <w:textAlignment w:val="baseline"/>
              <w:rPr>
                <w:rFonts w:ascii="宋体" w:hAnsi="宋体"/>
                <w:bCs/>
                <w:sz w:val="21"/>
                <w:szCs w:val="21"/>
              </w:rPr>
            </w:pPr>
          </w:p>
        </w:tc>
        <w:tc>
          <w:tcPr>
            <w:tcW w:w="1672" w:type="dxa"/>
            <w:vAlign w:val="center"/>
          </w:tcPr>
          <w:p w14:paraId="02424B20">
            <w:pPr>
              <w:jc w:val="center"/>
              <w:rPr>
                <w:rFonts w:ascii="宋体" w:hAnsi="宋体"/>
                <w:bCs/>
                <w:szCs w:val="21"/>
              </w:rPr>
            </w:pPr>
          </w:p>
        </w:tc>
        <w:tc>
          <w:tcPr>
            <w:tcW w:w="1976" w:type="dxa"/>
            <w:vAlign w:val="center"/>
          </w:tcPr>
          <w:p w14:paraId="42455A10">
            <w:pPr>
              <w:jc w:val="center"/>
              <w:rPr>
                <w:rFonts w:ascii="宋体" w:hAnsi="宋体"/>
                <w:bCs/>
                <w:szCs w:val="21"/>
              </w:rPr>
            </w:pPr>
          </w:p>
        </w:tc>
        <w:tc>
          <w:tcPr>
            <w:tcW w:w="1680" w:type="dxa"/>
            <w:vAlign w:val="center"/>
          </w:tcPr>
          <w:p w14:paraId="133FA6F8">
            <w:pPr>
              <w:jc w:val="center"/>
              <w:rPr>
                <w:rFonts w:ascii="宋体" w:hAnsi="宋体"/>
                <w:bCs/>
                <w:szCs w:val="21"/>
              </w:rPr>
            </w:pPr>
          </w:p>
        </w:tc>
      </w:tr>
      <w:tr w14:paraId="25AE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29" w:type="dxa"/>
            <w:vMerge w:val="continue"/>
            <w:vAlign w:val="center"/>
          </w:tcPr>
          <w:p w14:paraId="076B2CF3">
            <w:pPr>
              <w:jc w:val="center"/>
              <w:rPr>
                <w:rFonts w:ascii="宋体" w:hAnsi="宋体"/>
                <w:bCs/>
                <w:szCs w:val="21"/>
              </w:rPr>
            </w:pPr>
          </w:p>
        </w:tc>
        <w:tc>
          <w:tcPr>
            <w:tcW w:w="2581" w:type="dxa"/>
            <w:vAlign w:val="center"/>
          </w:tcPr>
          <w:p w14:paraId="23AC9A73">
            <w:pPr>
              <w:snapToGrid w:val="0"/>
              <w:spacing w:before="120" w:beforeLines="50"/>
              <w:jc w:val="left"/>
              <w:rPr>
                <w:rFonts w:ascii="宋体" w:hAnsi="宋体" w:cs="宋体"/>
                <w:szCs w:val="21"/>
              </w:rPr>
            </w:pPr>
          </w:p>
        </w:tc>
        <w:tc>
          <w:tcPr>
            <w:tcW w:w="1672" w:type="dxa"/>
            <w:vAlign w:val="center"/>
          </w:tcPr>
          <w:p w14:paraId="6C548892">
            <w:pPr>
              <w:jc w:val="center"/>
              <w:rPr>
                <w:rFonts w:ascii="宋体" w:hAnsi="宋体"/>
                <w:bCs/>
                <w:szCs w:val="21"/>
              </w:rPr>
            </w:pPr>
          </w:p>
        </w:tc>
        <w:tc>
          <w:tcPr>
            <w:tcW w:w="1976" w:type="dxa"/>
            <w:vAlign w:val="center"/>
          </w:tcPr>
          <w:p w14:paraId="1B64E223">
            <w:pPr>
              <w:jc w:val="center"/>
              <w:rPr>
                <w:rFonts w:ascii="宋体" w:hAnsi="宋体"/>
                <w:bCs/>
                <w:szCs w:val="21"/>
              </w:rPr>
            </w:pPr>
          </w:p>
        </w:tc>
        <w:tc>
          <w:tcPr>
            <w:tcW w:w="1680" w:type="dxa"/>
            <w:vAlign w:val="center"/>
          </w:tcPr>
          <w:p w14:paraId="0AC26D62">
            <w:pPr>
              <w:jc w:val="center"/>
              <w:rPr>
                <w:rFonts w:ascii="宋体" w:hAnsi="宋体"/>
                <w:bCs/>
                <w:szCs w:val="21"/>
              </w:rPr>
            </w:pPr>
          </w:p>
        </w:tc>
      </w:tr>
      <w:tr w14:paraId="43A1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29" w:type="dxa"/>
            <w:vMerge w:val="continue"/>
            <w:vAlign w:val="center"/>
          </w:tcPr>
          <w:p w14:paraId="021FC60F">
            <w:pPr>
              <w:jc w:val="center"/>
              <w:rPr>
                <w:rFonts w:ascii="宋体" w:hAnsi="宋体"/>
                <w:bCs/>
                <w:szCs w:val="21"/>
              </w:rPr>
            </w:pPr>
          </w:p>
        </w:tc>
        <w:tc>
          <w:tcPr>
            <w:tcW w:w="2581" w:type="dxa"/>
            <w:vAlign w:val="center"/>
          </w:tcPr>
          <w:p w14:paraId="56D2F887">
            <w:pPr>
              <w:snapToGrid w:val="0"/>
              <w:spacing w:before="120" w:beforeLines="50"/>
              <w:jc w:val="left"/>
              <w:rPr>
                <w:rFonts w:ascii="宋体" w:hAnsi="宋体" w:cs="宋体"/>
                <w:szCs w:val="21"/>
              </w:rPr>
            </w:pPr>
          </w:p>
        </w:tc>
        <w:tc>
          <w:tcPr>
            <w:tcW w:w="1672" w:type="dxa"/>
            <w:vAlign w:val="center"/>
          </w:tcPr>
          <w:p w14:paraId="2DB35A62">
            <w:pPr>
              <w:jc w:val="center"/>
              <w:rPr>
                <w:rFonts w:ascii="宋体" w:hAnsi="宋体"/>
                <w:bCs/>
                <w:szCs w:val="21"/>
              </w:rPr>
            </w:pPr>
          </w:p>
        </w:tc>
        <w:tc>
          <w:tcPr>
            <w:tcW w:w="1976" w:type="dxa"/>
            <w:vAlign w:val="center"/>
          </w:tcPr>
          <w:p w14:paraId="683ABBA6">
            <w:pPr>
              <w:jc w:val="center"/>
              <w:rPr>
                <w:rFonts w:ascii="宋体" w:hAnsi="宋体"/>
                <w:bCs/>
                <w:szCs w:val="21"/>
              </w:rPr>
            </w:pPr>
          </w:p>
        </w:tc>
        <w:tc>
          <w:tcPr>
            <w:tcW w:w="1680" w:type="dxa"/>
            <w:vAlign w:val="center"/>
          </w:tcPr>
          <w:p w14:paraId="7EAB9D7A">
            <w:pPr>
              <w:jc w:val="center"/>
              <w:rPr>
                <w:rFonts w:ascii="宋体" w:hAnsi="宋体"/>
                <w:bCs/>
                <w:szCs w:val="21"/>
              </w:rPr>
            </w:pPr>
          </w:p>
        </w:tc>
      </w:tr>
      <w:tr w14:paraId="1C7F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29" w:type="dxa"/>
            <w:vMerge w:val="continue"/>
            <w:vAlign w:val="center"/>
          </w:tcPr>
          <w:p w14:paraId="582878A1">
            <w:pPr>
              <w:jc w:val="center"/>
              <w:rPr>
                <w:rFonts w:ascii="宋体" w:hAnsi="宋体"/>
                <w:bCs/>
                <w:szCs w:val="21"/>
              </w:rPr>
            </w:pPr>
          </w:p>
        </w:tc>
        <w:tc>
          <w:tcPr>
            <w:tcW w:w="2581" w:type="dxa"/>
            <w:vAlign w:val="center"/>
          </w:tcPr>
          <w:p w14:paraId="13E5BA27">
            <w:pPr>
              <w:snapToGrid w:val="0"/>
              <w:spacing w:before="120" w:beforeLines="50"/>
              <w:jc w:val="left"/>
              <w:rPr>
                <w:rFonts w:ascii="宋体" w:hAnsi="宋体" w:cs="宋体"/>
                <w:szCs w:val="21"/>
              </w:rPr>
            </w:pPr>
          </w:p>
        </w:tc>
        <w:tc>
          <w:tcPr>
            <w:tcW w:w="1672" w:type="dxa"/>
            <w:vAlign w:val="center"/>
          </w:tcPr>
          <w:p w14:paraId="765714AF">
            <w:pPr>
              <w:jc w:val="center"/>
              <w:rPr>
                <w:rFonts w:ascii="宋体" w:hAnsi="宋体"/>
                <w:bCs/>
                <w:szCs w:val="21"/>
              </w:rPr>
            </w:pPr>
          </w:p>
        </w:tc>
        <w:tc>
          <w:tcPr>
            <w:tcW w:w="1976" w:type="dxa"/>
            <w:vAlign w:val="center"/>
          </w:tcPr>
          <w:p w14:paraId="71A82BBA">
            <w:pPr>
              <w:jc w:val="center"/>
              <w:rPr>
                <w:rFonts w:ascii="宋体" w:hAnsi="宋体"/>
                <w:bCs/>
                <w:szCs w:val="21"/>
              </w:rPr>
            </w:pPr>
          </w:p>
        </w:tc>
        <w:tc>
          <w:tcPr>
            <w:tcW w:w="1680" w:type="dxa"/>
            <w:vAlign w:val="center"/>
          </w:tcPr>
          <w:p w14:paraId="5C63FA59">
            <w:pPr>
              <w:jc w:val="center"/>
              <w:rPr>
                <w:rFonts w:ascii="宋体" w:hAnsi="宋体"/>
                <w:bCs/>
                <w:szCs w:val="21"/>
              </w:rPr>
            </w:pPr>
          </w:p>
        </w:tc>
      </w:tr>
      <w:tr w14:paraId="1825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29" w:type="dxa"/>
            <w:vMerge w:val="continue"/>
            <w:vAlign w:val="center"/>
          </w:tcPr>
          <w:p w14:paraId="6E88D3F5">
            <w:pPr>
              <w:jc w:val="center"/>
              <w:rPr>
                <w:rFonts w:ascii="宋体" w:hAnsi="宋体"/>
                <w:bCs/>
                <w:szCs w:val="21"/>
              </w:rPr>
            </w:pPr>
          </w:p>
        </w:tc>
        <w:tc>
          <w:tcPr>
            <w:tcW w:w="2581" w:type="dxa"/>
            <w:vAlign w:val="center"/>
          </w:tcPr>
          <w:p w14:paraId="47DCA970">
            <w:pPr>
              <w:snapToGrid w:val="0"/>
              <w:spacing w:before="120" w:beforeLines="50"/>
              <w:jc w:val="left"/>
              <w:rPr>
                <w:rFonts w:ascii="宋体" w:hAnsi="宋体" w:cs="宋体"/>
                <w:szCs w:val="21"/>
              </w:rPr>
            </w:pPr>
            <w:r>
              <w:rPr>
                <w:rFonts w:hint="eastAsia" w:ascii="宋体" w:hAnsi="宋体" w:cs="宋体"/>
                <w:szCs w:val="21"/>
              </w:rPr>
              <w:t>采购需求中所有的“▲”商务条款</w:t>
            </w:r>
          </w:p>
        </w:tc>
        <w:tc>
          <w:tcPr>
            <w:tcW w:w="1672" w:type="dxa"/>
            <w:vAlign w:val="center"/>
          </w:tcPr>
          <w:p w14:paraId="15AD4C3E">
            <w:pPr>
              <w:jc w:val="center"/>
              <w:rPr>
                <w:rFonts w:ascii="宋体" w:hAnsi="宋体"/>
                <w:bCs/>
                <w:szCs w:val="21"/>
              </w:rPr>
            </w:pPr>
          </w:p>
        </w:tc>
        <w:tc>
          <w:tcPr>
            <w:tcW w:w="1976" w:type="dxa"/>
            <w:vAlign w:val="center"/>
          </w:tcPr>
          <w:p w14:paraId="38C65BFB">
            <w:pPr>
              <w:jc w:val="center"/>
              <w:rPr>
                <w:rFonts w:ascii="宋体" w:hAnsi="宋体"/>
                <w:bCs/>
                <w:szCs w:val="21"/>
              </w:rPr>
            </w:pPr>
          </w:p>
        </w:tc>
        <w:tc>
          <w:tcPr>
            <w:tcW w:w="1680" w:type="dxa"/>
            <w:vAlign w:val="center"/>
          </w:tcPr>
          <w:p w14:paraId="7F579614">
            <w:pPr>
              <w:jc w:val="center"/>
              <w:rPr>
                <w:rFonts w:ascii="宋体" w:hAnsi="宋体"/>
                <w:bCs/>
                <w:szCs w:val="21"/>
              </w:rPr>
            </w:pPr>
          </w:p>
        </w:tc>
      </w:tr>
      <w:tr w14:paraId="0C9B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29" w:type="dxa"/>
            <w:vMerge w:val="continue"/>
            <w:vAlign w:val="center"/>
          </w:tcPr>
          <w:p w14:paraId="048B4D6A">
            <w:pPr>
              <w:jc w:val="center"/>
              <w:rPr>
                <w:rFonts w:ascii="宋体" w:hAnsi="宋体"/>
                <w:bCs/>
                <w:szCs w:val="21"/>
              </w:rPr>
            </w:pPr>
          </w:p>
        </w:tc>
        <w:tc>
          <w:tcPr>
            <w:tcW w:w="2581" w:type="dxa"/>
            <w:vAlign w:val="center"/>
          </w:tcPr>
          <w:p w14:paraId="10A85A8F">
            <w:pPr>
              <w:snapToGrid w:val="0"/>
              <w:spacing w:before="120" w:beforeLines="50"/>
              <w:jc w:val="left"/>
              <w:rPr>
                <w:rFonts w:ascii="宋体" w:hAnsi="宋体" w:cs="宋体"/>
                <w:szCs w:val="21"/>
              </w:rPr>
            </w:pPr>
            <w:r>
              <w:rPr>
                <w:rFonts w:hint="eastAsia" w:ascii="宋体" w:hAnsi="宋体" w:cs="宋体"/>
                <w:szCs w:val="21"/>
              </w:rPr>
              <w:t>……</w:t>
            </w:r>
          </w:p>
        </w:tc>
        <w:tc>
          <w:tcPr>
            <w:tcW w:w="1672" w:type="dxa"/>
            <w:vAlign w:val="center"/>
          </w:tcPr>
          <w:p w14:paraId="63D456E9">
            <w:pPr>
              <w:jc w:val="center"/>
              <w:rPr>
                <w:rFonts w:ascii="宋体" w:hAnsi="宋体"/>
                <w:bCs/>
                <w:szCs w:val="21"/>
              </w:rPr>
            </w:pPr>
          </w:p>
        </w:tc>
        <w:tc>
          <w:tcPr>
            <w:tcW w:w="1976" w:type="dxa"/>
            <w:vAlign w:val="center"/>
          </w:tcPr>
          <w:p w14:paraId="071CF632">
            <w:pPr>
              <w:jc w:val="center"/>
              <w:rPr>
                <w:rFonts w:ascii="宋体" w:hAnsi="宋体"/>
                <w:bCs/>
                <w:szCs w:val="21"/>
              </w:rPr>
            </w:pPr>
          </w:p>
        </w:tc>
        <w:tc>
          <w:tcPr>
            <w:tcW w:w="1680" w:type="dxa"/>
            <w:vAlign w:val="center"/>
          </w:tcPr>
          <w:p w14:paraId="60D0AD4B">
            <w:pPr>
              <w:jc w:val="center"/>
              <w:rPr>
                <w:rFonts w:ascii="宋体" w:hAnsi="宋体"/>
                <w:bCs/>
                <w:szCs w:val="21"/>
              </w:rPr>
            </w:pPr>
          </w:p>
        </w:tc>
      </w:tr>
      <w:tr w14:paraId="56CD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29" w:type="dxa"/>
            <w:vMerge w:val="continue"/>
            <w:vAlign w:val="center"/>
          </w:tcPr>
          <w:p w14:paraId="527CB408">
            <w:pPr>
              <w:jc w:val="center"/>
              <w:rPr>
                <w:rFonts w:ascii="宋体" w:hAnsi="宋体"/>
                <w:bCs/>
                <w:szCs w:val="21"/>
              </w:rPr>
            </w:pPr>
          </w:p>
        </w:tc>
        <w:tc>
          <w:tcPr>
            <w:tcW w:w="2581" w:type="dxa"/>
            <w:vAlign w:val="center"/>
          </w:tcPr>
          <w:p w14:paraId="7C8063EA">
            <w:pPr>
              <w:snapToGrid w:val="0"/>
              <w:spacing w:line="360" w:lineRule="exact"/>
              <w:jc w:val="left"/>
              <w:rPr>
                <w:rFonts w:ascii="宋体" w:hAnsi="宋体"/>
                <w:b/>
                <w:szCs w:val="21"/>
              </w:rPr>
            </w:pPr>
          </w:p>
        </w:tc>
        <w:tc>
          <w:tcPr>
            <w:tcW w:w="1672" w:type="dxa"/>
            <w:vAlign w:val="center"/>
          </w:tcPr>
          <w:p w14:paraId="71100A2B">
            <w:pPr>
              <w:jc w:val="center"/>
              <w:rPr>
                <w:rFonts w:ascii="宋体" w:hAnsi="宋体"/>
                <w:bCs/>
                <w:szCs w:val="21"/>
              </w:rPr>
            </w:pPr>
          </w:p>
        </w:tc>
        <w:tc>
          <w:tcPr>
            <w:tcW w:w="1976" w:type="dxa"/>
            <w:vAlign w:val="center"/>
          </w:tcPr>
          <w:p w14:paraId="6AE7CA5F">
            <w:pPr>
              <w:jc w:val="center"/>
              <w:rPr>
                <w:rFonts w:ascii="宋体" w:hAnsi="宋体"/>
                <w:bCs/>
                <w:szCs w:val="21"/>
              </w:rPr>
            </w:pPr>
          </w:p>
        </w:tc>
        <w:tc>
          <w:tcPr>
            <w:tcW w:w="1680" w:type="dxa"/>
            <w:vAlign w:val="center"/>
          </w:tcPr>
          <w:p w14:paraId="15770C1B">
            <w:pPr>
              <w:jc w:val="center"/>
              <w:rPr>
                <w:rFonts w:ascii="宋体" w:hAnsi="宋体"/>
                <w:bCs/>
                <w:szCs w:val="21"/>
              </w:rPr>
            </w:pPr>
          </w:p>
        </w:tc>
      </w:tr>
    </w:tbl>
    <w:p w14:paraId="456B8ACB">
      <w:pPr>
        <w:pStyle w:val="61"/>
        <w:spacing w:line="400" w:lineRule="atLeast"/>
        <w:ind w:left="537" w:hanging="537" w:hangingChars="243"/>
        <w:rPr>
          <w:rFonts w:hAnsi="宋体" w:eastAsia="宋体"/>
          <w:b/>
          <w:sz w:val="22"/>
          <w:szCs w:val="22"/>
        </w:rPr>
      </w:pPr>
      <w:r>
        <w:rPr>
          <w:rFonts w:hAnsi="宋体" w:eastAsia="宋体"/>
          <w:b/>
          <w:sz w:val="22"/>
          <w:szCs w:val="22"/>
        </w:rPr>
        <w:t>注： 如有偏离，必须在偏离表中进行详细对比说明并注明正偏离（负偏离），如此表不填或填写为无偏离或不说明偏离情况，视为完全响应招标文件要求。</w:t>
      </w:r>
    </w:p>
    <w:p w14:paraId="7BA513DE">
      <w:pPr>
        <w:autoSpaceDE w:val="0"/>
        <w:autoSpaceDN w:val="0"/>
        <w:adjustRightInd w:val="0"/>
        <w:spacing w:line="360" w:lineRule="auto"/>
        <w:jc w:val="center"/>
        <w:rPr>
          <w:rFonts w:ascii="宋体" w:hAnsi="宋体" w:cs="宋体"/>
        </w:rPr>
      </w:pPr>
    </w:p>
    <w:p w14:paraId="26BF40C0">
      <w:pPr>
        <w:autoSpaceDE w:val="0"/>
        <w:autoSpaceDN w:val="0"/>
        <w:adjustRightInd w:val="0"/>
        <w:spacing w:line="360" w:lineRule="auto"/>
        <w:jc w:val="center"/>
        <w:rPr>
          <w:rFonts w:ascii="宋体" w:cs="宋体"/>
          <w:lang w:val="zh-CN"/>
        </w:rPr>
      </w:pPr>
      <w:r>
        <w:rPr>
          <w:rFonts w:hint="eastAsia" w:ascii="宋体" w:hAnsi="宋体" w:cs="宋体"/>
          <w:lang w:val="zh-CN"/>
        </w:rPr>
        <w:t>投标人（公章）：</w:t>
      </w:r>
    </w:p>
    <w:p w14:paraId="5621618D">
      <w:pPr>
        <w:autoSpaceDE w:val="0"/>
        <w:autoSpaceDN w:val="0"/>
        <w:adjustRightInd w:val="0"/>
        <w:spacing w:line="360" w:lineRule="auto"/>
        <w:jc w:val="right"/>
        <w:rPr>
          <w:rFonts w:ascii="宋体" w:cs="宋体"/>
          <w:lang w:val="zh-CN"/>
        </w:rPr>
      </w:pPr>
      <w:r>
        <w:rPr>
          <w:rFonts w:hint="eastAsia" w:ascii="宋体" w:hAnsi="宋体" w:cs="宋体"/>
          <w:lang w:val="zh-CN"/>
        </w:rPr>
        <w:t>法定代表（签字或盖章）：</w:t>
      </w:r>
    </w:p>
    <w:p w14:paraId="73EBA47A">
      <w:pPr>
        <w:autoSpaceDE w:val="0"/>
        <w:autoSpaceDN w:val="0"/>
        <w:adjustRightInd w:val="0"/>
        <w:spacing w:line="360" w:lineRule="auto"/>
        <w:ind w:firstLine="7035" w:firstLineChars="3350"/>
        <w:jc w:val="left"/>
        <w:rPr>
          <w:rFonts w:ascii="宋体" w:cs="宋体"/>
          <w:lang w:val="zh-CN"/>
        </w:rPr>
      </w:pPr>
      <w:r>
        <w:rPr>
          <w:rFonts w:hint="eastAsia" w:ascii="宋体" w:hAnsi="宋体" w:cs="宋体"/>
          <w:lang w:val="zh-CN"/>
        </w:rPr>
        <w:t>年月日</w:t>
      </w:r>
    </w:p>
    <w:p w14:paraId="4F508E7C">
      <w:pPr>
        <w:spacing w:line="380" w:lineRule="exact"/>
        <w:jc w:val="left"/>
        <w:rPr>
          <w:rFonts w:ascii="宋体" w:hAnsi="宋体" w:cs="宋体"/>
          <w:b/>
          <w:sz w:val="24"/>
          <w:lang w:val="zh-CN"/>
        </w:rPr>
      </w:pPr>
    </w:p>
    <w:p w14:paraId="4C9D2F8F">
      <w:pPr>
        <w:spacing w:line="380" w:lineRule="exact"/>
        <w:jc w:val="left"/>
        <w:rPr>
          <w:rFonts w:ascii="宋体" w:hAnsi="宋体" w:cs="宋体"/>
          <w:b/>
          <w:sz w:val="24"/>
          <w:lang w:val="zh-CN"/>
        </w:rPr>
      </w:pPr>
    </w:p>
    <w:p w14:paraId="407EE61D">
      <w:pPr>
        <w:spacing w:line="380" w:lineRule="exact"/>
        <w:jc w:val="left"/>
        <w:rPr>
          <w:rFonts w:ascii="宋体" w:hAnsi="宋体" w:cs="宋体"/>
          <w:b/>
          <w:sz w:val="24"/>
          <w:lang w:val="zh-CN"/>
        </w:rPr>
      </w:pPr>
    </w:p>
    <w:p w14:paraId="34798437">
      <w:pPr>
        <w:pStyle w:val="3"/>
        <w:rPr>
          <w:rFonts w:ascii="宋体" w:hAnsi="宋体" w:cs="宋体"/>
          <w:b/>
          <w:lang w:val="zh-CN"/>
        </w:rPr>
      </w:pPr>
    </w:p>
    <w:p w14:paraId="4378CC4A">
      <w:pPr>
        <w:pStyle w:val="2"/>
        <w:ind w:firstLine="210"/>
      </w:pPr>
    </w:p>
    <w:p w14:paraId="232962BA">
      <w:pPr>
        <w:spacing w:line="380" w:lineRule="exact"/>
        <w:jc w:val="left"/>
        <w:rPr>
          <w:rFonts w:ascii="宋体" w:hAnsi="宋体" w:cs="宋体"/>
          <w:b/>
          <w:sz w:val="24"/>
          <w:lang w:val="zh-CN"/>
        </w:rPr>
      </w:pPr>
    </w:p>
    <w:p w14:paraId="061F1974">
      <w:pPr>
        <w:pStyle w:val="39"/>
        <w:snapToGrid w:val="0"/>
        <w:spacing w:before="120" w:after="120" w:line="500" w:lineRule="exact"/>
        <w:jc w:val="left"/>
        <w:rPr>
          <w:rFonts w:cs="宋体"/>
          <w:b/>
          <w:sz w:val="24"/>
          <w:szCs w:val="24"/>
          <w:lang w:val="zh-CN"/>
        </w:rPr>
      </w:pPr>
    </w:p>
    <w:p w14:paraId="41C869E9">
      <w:pPr>
        <w:pStyle w:val="3"/>
        <w:rPr>
          <w:rFonts w:ascii="宋体" w:hAnsi="宋体"/>
          <w:b/>
          <w:bCs/>
          <w:szCs w:val="21"/>
          <w:lang w:val="zh-CN"/>
        </w:rPr>
      </w:pPr>
    </w:p>
    <w:p w14:paraId="6641D77B">
      <w:pPr>
        <w:pStyle w:val="3"/>
        <w:rPr>
          <w:rFonts w:ascii="宋体" w:hAnsi="宋体"/>
          <w:b/>
          <w:bCs/>
          <w:szCs w:val="21"/>
          <w:lang w:val="zh-CN"/>
        </w:rPr>
      </w:pPr>
    </w:p>
    <w:p w14:paraId="30D2FB77">
      <w:pPr>
        <w:pStyle w:val="3"/>
        <w:jc w:val="center"/>
        <w:rPr>
          <w:rFonts w:asciiTheme="minorEastAsia" w:hAnsiTheme="minorEastAsia" w:eastAsiaTheme="minorEastAsia"/>
          <w:b/>
          <w:sz w:val="32"/>
          <w:lang w:val="zh-CN"/>
        </w:rPr>
      </w:pPr>
      <w:r>
        <w:rPr>
          <w:rFonts w:hint="eastAsia" w:asciiTheme="minorEastAsia" w:hAnsiTheme="minorEastAsia" w:eastAsiaTheme="minorEastAsia"/>
          <w:b/>
          <w:sz w:val="32"/>
          <w:lang w:val="en-US" w:eastAsia="zh-CN"/>
        </w:rPr>
        <w:t>九</w:t>
      </w:r>
      <w:r>
        <w:rPr>
          <w:rFonts w:hint="eastAsia" w:asciiTheme="minorEastAsia" w:hAnsiTheme="minorEastAsia" w:eastAsiaTheme="minorEastAsia"/>
          <w:b/>
          <w:sz w:val="32"/>
        </w:rPr>
        <w:t>、功能及技术参数偏离表</w:t>
      </w:r>
    </w:p>
    <w:p w14:paraId="6BB1061E">
      <w:pPr>
        <w:pStyle w:val="3"/>
        <w:ind w:firstLine="1606" w:firstLineChars="500"/>
        <w:rPr>
          <w:rFonts w:asciiTheme="minorEastAsia" w:hAnsiTheme="minorEastAsia" w:eastAsiaTheme="minorEastAsia"/>
          <w:b/>
          <w:sz w:val="32"/>
          <w:lang w:val="zh-CN"/>
        </w:rPr>
      </w:pPr>
      <w:r>
        <w:rPr>
          <w:rFonts w:hint="eastAsia" w:asciiTheme="minorEastAsia" w:hAnsiTheme="minorEastAsia" w:eastAsiaTheme="minorEastAsia"/>
          <w:b/>
          <w:sz w:val="32"/>
          <w:lang w:val="zh-CN"/>
        </w:rPr>
        <w:t>（应针对第二章采购需求逐项对应填写）：</w:t>
      </w:r>
    </w:p>
    <w:p w14:paraId="16537575">
      <w:pPr>
        <w:snapToGrid w:val="0"/>
        <w:spacing w:before="50" w:after="120" w:afterLines="50"/>
        <w:jc w:val="left"/>
        <w:rPr>
          <w:rFonts w:ascii="宋体" w:hAnsi="宋体"/>
        </w:rPr>
      </w:pPr>
    </w:p>
    <w:p w14:paraId="08A56E01">
      <w:pPr>
        <w:snapToGrid w:val="0"/>
        <w:spacing w:before="50" w:after="120" w:afterLines="50"/>
        <w:jc w:val="left"/>
        <w:rPr>
          <w:rFonts w:ascii="宋体" w:hAnsi="宋体" w:cs="宋体"/>
          <w:szCs w:val="21"/>
        </w:rPr>
      </w:pPr>
      <w:r>
        <w:rPr>
          <w:rFonts w:hint="eastAsia" w:ascii="宋体" w:hAnsi="宋体" w:cs="宋体"/>
          <w:szCs w:val="21"/>
        </w:rPr>
        <w:t xml:space="preserve">项目名称：                     项目编号：                 </w:t>
      </w:r>
    </w:p>
    <w:tbl>
      <w:tblPr>
        <w:tblStyle w:val="23"/>
        <w:tblW w:w="9233"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3"/>
        <w:gridCol w:w="3057"/>
        <w:gridCol w:w="1093"/>
        <w:gridCol w:w="1028"/>
        <w:gridCol w:w="1851"/>
        <w:gridCol w:w="1601"/>
      </w:tblGrid>
      <w:tr w14:paraId="0ABA5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603" w:type="dxa"/>
            <w:tcBorders>
              <w:top w:val="single" w:color="auto" w:sz="4" w:space="0"/>
              <w:left w:val="single" w:color="auto" w:sz="4" w:space="0"/>
              <w:bottom w:val="single" w:color="auto" w:sz="4" w:space="0"/>
              <w:right w:val="single" w:color="auto" w:sz="4" w:space="0"/>
            </w:tcBorders>
            <w:vAlign w:val="center"/>
          </w:tcPr>
          <w:p w14:paraId="56893378">
            <w:pPr>
              <w:pStyle w:val="12"/>
              <w:snapToGrid w:val="0"/>
              <w:spacing w:before="295" w:after="295"/>
              <w:jc w:val="center"/>
              <w:outlineLvl w:val="0"/>
              <w:rPr>
                <w:rFonts w:hAnsi="宋体" w:eastAsia="宋体" w:cs="宋体"/>
                <w:b/>
                <w:sz w:val="21"/>
                <w:szCs w:val="21"/>
              </w:rPr>
            </w:pPr>
            <w:r>
              <w:rPr>
                <w:rFonts w:hint="eastAsia" w:hAnsi="宋体" w:eastAsia="宋体" w:cs="宋体"/>
                <w:b/>
                <w:sz w:val="21"/>
                <w:szCs w:val="21"/>
              </w:rPr>
              <w:t>序号</w:t>
            </w:r>
          </w:p>
        </w:tc>
        <w:tc>
          <w:tcPr>
            <w:tcW w:w="3057" w:type="dxa"/>
            <w:tcBorders>
              <w:top w:val="single" w:color="auto" w:sz="4" w:space="0"/>
              <w:left w:val="single" w:color="auto" w:sz="4" w:space="0"/>
              <w:bottom w:val="single" w:color="auto" w:sz="4" w:space="0"/>
              <w:right w:val="single" w:color="auto" w:sz="4" w:space="0"/>
            </w:tcBorders>
            <w:vAlign w:val="center"/>
          </w:tcPr>
          <w:p w14:paraId="7B49B192">
            <w:pPr>
              <w:pStyle w:val="12"/>
              <w:snapToGrid w:val="0"/>
              <w:spacing w:before="120" w:after="120" w:line="120" w:lineRule="exact"/>
              <w:jc w:val="center"/>
              <w:outlineLvl w:val="0"/>
              <w:rPr>
                <w:rFonts w:hAnsi="宋体" w:eastAsia="宋体" w:cs="宋体"/>
                <w:b/>
                <w:sz w:val="21"/>
                <w:szCs w:val="21"/>
              </w:rPr>
            </w:pPr>
            <w:r>
              <w:rPr>
                <w:rFonts w:hint="eastAsia" w:hAnsi="宋体" w:eastAsia="宋体" w:cs="宋体"/>
                <w:b/>
                <w:sz w:val="21"/>
                <w:szCs w:val="21"/>
                <w:lang w:eastAsia="zh-CN"/>
              </w:rPr>
              <w:t>产品</w:t>
            </w:r>
            <w:r>
              <w:rPr>
                <w:rFonts w:hint="eastAsia" w:hAnsi="宋体" w:eastAsia="宋体" w:cs="宋体"/>
                <w:b/>
                <w:sz w:val="21"/>
                <w:szCs w:val="21"/>
              </w:rPr>
              <w:t>名称</w:t>
            </w:r>
          </w:p>
        </w:tc>
        <w:tc>
          <w:tcPr>
            <w:tcW w:w="1093" w:type="dxa"/>
            <w:tcBorders>
              <w:top w:val="single" w:color="auto" w:sz="4" w:space="0"/>
              <w:left w:val="single" w:color="auto" w:sz="4" w:space="0"/>
              <w:bottom w:val="single" w:color="auto" w:sz="4" w:space="0"/>
              <w:right w:val="single" w:color="auto" w:sz="4" w:space="0"/>
            </w:tcBorders>
            <w:vAlign w:val="center"/>
          </w:tcPr>
          <w:p w14:paraId="1AB0594F">
            <w:pPr>
              <w:pStyle w:val="12"/>
              <w:snapToGrid w:val="0"/>
              <w:spacing w:before="120" w:after="120"/>
              <w:jc w:val="center"/>
              <w:outlineLvl w:val="0"/>
              <w:rPr>
                <w:rFonts w:hAnsi="宋体" w:eastAsia="宋体" w:cs="宋体"/>
                <w:b/>
                <w:sz w:val="21"/>
                <w:szCs w:val="21"/>
              </w:rPr>
            </w:pPr>
            <w:r>
              <w:rPr>
                <w:rFonts w:hint="eastAsia" w:hAnsi="宋体" w:eastAsia="宋体" w:cs="宋体"/>
                <w:b/>
                <w:sz w:val="21"/>
                <w:szCs w:val="21"/>
              </w:rPr>
              <w:t>招标文件要求</w:t>
            </w:r>
          </w:p>
        </w:tc>
        <w:tc>
          <w:tcPr>
            <w:tcW w:w="1028" w:type="dxa"/>
            <w:tcBorders>
              <w:top w:val="single" w:color="auto" w:sz="4" w:space="0"/>
              <w:left w:val="single" w:color="auto" w:sz="4" w:space="0"/>
              <w:bottom w:val="single" w:color="auto" w:sz="4" w:space="0"/>
              <w:right w:val="single" w:color="auto" w:sz="4" w:space="0"/>
            </w:tcBorders>
            <w:vAlign w:val="center"/>
          </w:tcPr>
          <w:p w14:paraId="62DAFAAD">
            <w:pPr>
              <w:pStyle w:val="12"/>
              <w:snapToGrid w:val="0"/>
              <w:spacing w:before="295" w:after="295"/>
              <w:jc w:val="center"/>
              <w:outlineLvl w:val="0"/>
              <w:rPr>
                <w:rFonts w:hAnsi="宋体" w:eastAsia="宋体" w:cs="宋体"/>
                <w:b/>
                <w:sz w:val="21"/>
                <w:szCs w:val="21"/>
              </w:rPr>
            </w:pPr>
            <w:r>
              <w:rPr>
                <w:rFonts w:hint="eastAsia" w:hAnsi="宋体" w:eastAsia="宋体" w:cs="宋体"/>
                <w:b/>
                <w:sz w:val="21"/>
                <w:szCs w:val="21"/>
              </w:rPr>
              <w:t>投标文件响应</w:t>
            </w:r>
          </w:p>
        </w:tc>
        <w:tc>
          <w:tcPr>
            <w:tcW w:w="1851" w:type="dxa"/>
            <w:tcBorders>
              <w:top w:val="single" w:color="auto" w:sz="4" w:space="0"/>
              <w:left w:val="single" w:color="auto" w:sz="4" w:space="0"/>
              <w:bottom w:val="single" w:color="auto" w:sz="4" w:space="0"/>
              <w:right w:val="single" w:color="auto" w:sz="4" w:space="0"/>
            </w:tcBorders>
            <w:vAlign w:val="center"/>
          </w:tcPr>
          <w:p w14:paraId="009566C7">
            <w:pPr>
              <w:pStyle w:val="12"/>
              <w:snapToGrid w:val="0"/>
              <w:spacing w:before="120" w:after="120"/>
              <w:jc w:val="center"/>
              <w:outlineLvl w:val="0"/>
              <w:rPr>
                <w:rFonts w:hint="eastAsia" w:hAnsi="宋体" w:eastAsia="宋体" w:cs="宋体"/>
                <w:b/>
                <w:sz w:val="21"/>
                <w:szCs w:val="21"/>
                <w:lang w:eastAsia="zh-CN"/>
              </w:rPr>
            </w:pPr>
            <w:r>
              <w:rPr>
                <w:rFonts w:hint="eastAsia" w:hAnsi="宋体" w:eastAsia="宋体" w:cs="宋体"/>
                <w:b/>
                <w:sz w:val="21"/>
                <w:szCs w:val="21"/>
                <w:lang w:eastAsia="zh-CN"/>
              </w:rPr>
              <w:t>品牌及型号</w:t>
            </w:r>
          </w:p>
        </w:tc>
        <w:tc>
          <w:tcPr>
            <w:tcW w:w="1601" w:type="dxa"/>
            <w:tcBorders>
              <w:top w:val="single" w:color="auto" w:sz="4" w:space="0"/>
              <w:left w:val="single" w:color="auto" w:sz="4" w:space="0"/>
              <w:bottom w:val="single" w:color="auto" w:sz="4" w:space="0"/>
              <w:right w:val="single" w:color="auto" w:sz="4" w:space="0"/>
            </w:tcBorders>
            <w:vAlign w:val="center"/>
          </w:tcPr>
          <w:p w14:paraId="57EA4077">
            <w:pPr>
              <w:pStyle w:val="12"/>
              <w:snapToGrid w:val="0"/>
              <w:spacing w:before="120" w:after="120"/>
              <w:jc w:val="center"/>
              <w:outlineLvl w:val="0"/>
              <w:rPr>
                <w:rFonts w:hint="eastAsia" w:hAnsi="宋体" w:eastAsia="宋体" w:cs="宋体"/>
                <w:b/>
                <w:sz w:val="21"/>
                <w:szCs w:val="21"/>
              </w:rPr>
            </w:pPr>
            <w:r>
              <w:rPr>
                <w:rFonts w:hint="eastAsia" w:hAnsi="宋体" w:eastAsia="宋体" w:cs="宋体"/>
                <w:b/>
                <w:sz w:val="21"/>
                <w:szCs w:val="21"/>
              </w:rPr>
              <w:t>偏离情况（填：“正偏离”、“负偏离”、“无”、“正、负偏离都有”</w:t>
            </w:r>
          </w:p>
        </w:tc>
      </w:tr>
      <w:tr w14:paraId="71038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03" w:type="dxa"/>
            <w:tcBorders>
              <w:top w:val="single" w:color="auto" w:sz="4" w:space="0"/>
              <w:left w:val="single" w:color="auto" w:sz="4" w:space="0"/>
              <w:bottom w:val="single" w:color="auto" w:sz="4" w:space="0"/>
              <w:right w:val="single" w:color="auto" w:sz="4" w:space="0"/>
            </w:tcBorders>
            <w:vAlign w:val="center"/>
          </w:tcPr>
          <w:p w14:paraId="3962ADDB">
            <w:pPr>
              <w:widowControl/>
              <w:spacing w:line="360" w:lineRule="auto"/>
              <w:jc w:val="center"/>
              <w:rPr>
                <w:rFonts w:ascii="宋体" w:hAnsi="宋体" w:cs="宋体"/>
                <w:szCs w:val="21"/>
              </w:rPr>
            </w:pPr>
          </w:p>
        </w:tc>
        <w:tc>
          <w:tcPr>
            <w:tcW w:w="3057" w:type="dxa"/>
            <w:tcBorders>
              <w:top w:val="single" w:color="auto" w:sz="4" w:space="0"/>
              <w:left w:val="single" w:color="auto" w:sz="4" w:space="0"/>
              <w:bottom w:val="single" w:color="auto" w:sz="4" w:space="0"/>
              <w:right w:val="single" w:color="auto" w:sz="4" w:space="0"/>
            </w:tcBorders>
            <w:vAlign w:val="center"/>
          </w:tcPr>
          <w:p w14:paraId="482F8BDD">
            <w:pPr>
              <w:widowControl/>
              <w:jc w:val="center"/>
              <w:rPr>
                <w:rFonts w:ascii="宋体" w:hAnsi="宋体" w:cs="宋体"/>
                <w:szCs w:val="21"/>
              </w:rPr>
            </w:pPr>
            <w:r>
              <w:rPr>
                <w:rFonts w:hint="eastAsia" w:ascii="宋体" w:hAnsi="宋体" w:cs="宋体"/>
                <w:szCs w:val="21"/>
              </w:rPr>
              <w:t>……</w:t>
            </w:r>
          </w:p>
        </w:tc>
        <w:tc>
          <w:tcPr>
            <w:tcW w:w="1093" w:type="dxa"/>
            <w:tcBorders>
              <w:top w:val="single" w:color="auto" w:sz="4" w:space="0"/>
              <w:left w:val="single" w:color="auto" w:sz="4" w:space="0"/>
              <w:bottom w:val="single" w:color="auto" w:sz="4" w:space="0"/>
              <w:right w:val="single" w:color="auto" w:sz="4" w:space="0"/>
            </w:tcBorders>
          </w:tcPr>
          <w:p w14:paraId="036CBFF2">
            <w:pPr>
              <w:pStyle w:val="12"/>
              <w:snapToGrid w:val="0"/>
              <w:spacing w:before="295" w:after="295" w:line="120" w:lineRule="exact"/>
              <w:jc w:val="center"/>
              <w:outlineLvl w:val="0"/>
              <w:rPr>
                <w:rFonts w:hAnsi="宋体" w:eastAsia="宋体" w:cs="宋体"/>
                <w:sz w:val="21"/>
                <w:szCs w:val="21"/>
              </w:rPr>
            </w:pPr>
          </w:p>
        </w:tc>
        <w:tc>
          <w:tcPr>
            <w:tcW w:w="1028" w:type="dxa"/>
            <w:tcBorders>
              <w:top w:val="single" w:color="auto" w:sz="4" w:space="0"/>
              <w:left w:val="single" w:color="auto" w:sz="4" w:space="0"/>
              <w:bottom w:val="single" w:color="auto" w:sz="4" w:space="0"/>
              <w:right w:val="single" w:color="auto" w:sz="4" w:space="0"/>
            </w:tcBorders>
          </w:tcPr>
          <w:p w14:paraId="4D748AE7">
            <w:pPr>
              <w:pStyle w:val="12"/>
              <w:snapToGrid w:val="0"/>
              <w:spacing w:before="295" w:after="295" w:line="240" w:lineRule="exact"/>
              <w:outlineLvl w:val="0"/>
              <w:rPr>
                <w:rFonts w:hAnsi="宋体" w:eastAsia="宋体" w:cs="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14:paraId="639CDEEA">
            <w:pPr>
              <w:pStyle w:val="12"/>
              <w:snapToGrid w:val="0"/>
              <w:spacing w:before="120" w:after="120"/>
              <w:outlineLvl w:val="0"/>
              <w:rPr>
                <w:rFonts w:hAnsi="宋体" w:eastAsia="宋体" w:cs="宋体"/>
                <w:sz w:val="21"/>
                <w:szCs w:val="21"/>
              </w:rPr>
            </w:pPr>
          </w:p>
        </w:tc>
        <w:tc>
          <w:tcPr>
            <w:tcW w:w="1601" w:type="dxa"/>
            <w:tcBorders>
              <w:top w:val="single" w:color="auto" w:sz="4" w:space="0"/>
              <w:left w:val="single" w:color="auto" w:sz="4" w:space="0"/>
              <w:bottom w:val="single" w:color="auto" w:sz="4" w:space="0"/>
              <w:right w:val="single" w:color="auto" w:sz="4" w:space="0"/>
            </w:tcBorders>
            <w:vAlign w:val="center"/>
          </w:tcPr>
          <w:p w14:paraId="3179BE2A">
            <w:pPr>
              <w:pStyle w:val="12"/>
              <w:snapToGrid w:val="0"/>
              <w:spacing w:before="120" w:after="120"/>
              <w:outlineLvl w:val="0"/>
              <w:rPr>
                <w:rFonts w:hAnsi="宋体" w:eastAsia="宋体" w:cs="宋体"/>
                <w:sz w:val="21"/>
                <w:szCs w:val="21"/>
              </w:rPr>
            </w:pPr>
          </w:p>
        </w:tc>
      </w:tr>
      <w:tr w14:paraId="0B80C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03" w:type="dxa"/>
            <w:tcBorders>
              <w:top w:val="single" w:color="auto" w:sz="4" w:space="0"/>
              <w:left w:val="single" w:color="auto" w:sz="4" w:space="0"/>
              <w:bottom w:val="single" w:color="auto" w:sz="4" w:space="0"/>
              <w:right w:val="single" w:color="auto" w:sz="4" w:space="0"/>
            </w:tcBorders>
            <w:vAlign w:val="center"/>
          </w:tcPr>
          <w:p w14:paraId="536F8FCF">
            <w:pPr>
              <w:widowControl/>
              <w:spacing w:line="360" w:lineRule="auto"/>
              <w:jc w:val="center"/>
              <w:rPr>
                <w:rFonts w:ascii="宋体" w:hAnsi="宋体" w:cs="宋体"/>
              </w:rPr>
            </w:pPr>
          </w:p>
        </w:tc>
        <w:tc>
          <w:tcPr>
            <w:tcW w:w="3057" w:type="dxa"/>
            <w:tcBorders>
              <w:top w:val="single" w:color="auto" w:sz="4" w:space="0"/>
              <w:left w:val="single" w:color="auto" w:sz="4" w:space="0"/>
              <w:bottom w:val="single" w:color="auto" w:sz="4" w:space="0"/>
              <w:right w:val="single" w:color="auto" w:sz="4" w:space="0"/>
            </w:tcBorders>
            <w:vAlign w:val="center"/>
          </w:tcPr>
          <w:p w14:paraId="0B520975">
            <w:pPr>
              <w:widowControl/>
              <w:jc w:val="center"/>
              <w:rPr>
                <w:rFonts w:ascii="宋体" w:hAnsi="宋体" w:cs="宋体"/>
              </w:rPr>
            </w:pPr>
            <w:r>
              <w:rPr>
                <w:rFonts w:hint="eastAsia" w:ascii="宋体" w:hAnsi="宋体" w:cs="宋体"/>
                <w:szCs w:val="21"/>
              </w:rPr>
              <w:t>采购需求中所有的“▲”技术条款</w:t>
            </w:r>
          </w:p>
        </w:tc>
        <w:tc>
          <w:tcPr>
            <w:tcW w:w="1093" w:type="dxa"/>
            <w:tcBorders>
              <w:top w:val="single" w:color="auto" w:sz="4" w:space="0"/>
              <w:left w:val="single" w:color="auto" w:sz="4" w:space="0"/>
              <w:bottom w:val="single" w:color="auto" w:sz="4" w:space="0"/>
              <w:right w:val="single" w:color="auto" w:sz="4" w:space="0"/>
            </w:tcBorders>
          </w:tcPr>
          <w:p w14:paraId="518AB21F">
            <w:pPr>
              <w:pStyle w:val="12"/>
              <w:snapToGrid w:val="0"/>
              <w:spacing w:before="295" w:after="295" w:line="120" w:lineRule="exact"/>
              <w:jc w:val="center"/>
              <w:outlineLvl w:val="0"/>
              <w:rPr>
                <w:rFonts w:hAnsi="宋体"/>
                <w:sz w:val="21"/>
                <w:szCs w:val="21"/>
              </w:rPr>
            </w:pPr>
          </w:p>
        </w:tc>
        <w:tc>
          <w:tcPr>
            <w:tcW w:w="1028" w:type="dxa"/>
            <w:tcBorders>
              <w:top w:val="single" w:color="auto" w:sz="4" w:space="0"/>
              <w:left w:val="single" w:color="auto" w:sz="4" w:space="0"/>
              <w:bottom w:val="single" w:color="auto" w:sz="4" w:space="0"/>
              <w:right w:val="single" w:color="auto" w:sz="4" w:space="0"/>
            </w:tcBorders>
          </w:tcPr>
          <w:p w14:paraId="5498BC9F">
            <w:pPr>
              <w:pStyle w:val="12"/>
              <w:snapToGrid w:val="0"/>
              <w:spacing w:before="120" w:after="120" w:line="260" w:lineRule="exact"/>
              <w:outlineLvl w:val="0"/>
              <w:rPr>
                <w:rFonts w:hAnsi="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14:paraId="5ACF16C4">
            <w:pPr>
              <w:spacing w:line="120" w:lineRule="exact"/>
              <w:jc w:val="left"/>
              <w:rPr>
                <w:rFonts w:ascii="宋体" w:hAnsi="宋体"/>
                <w:szCs w:val="21"/>
              </w:rPr>
            </w:pPr>
          </w:p>
        </w:tc>
        <w:tc>
          <w:tcPr>
            <w:tcW w:w="1601" w:type="dxa"/>
            <w:tcBorders>
              <w:top w:val="single" w:color="auto" w:sz="4" w:space="0"/>
              <w:left w:val="single" w:color="auto" w:sz="4" w:space="0"/>
              <w:bottom w:val="single" w:color="auto" w:sz="4" w:space="0"/>
              <w:right w:val="single" w:color="auto" w:sz="4" w:space="0"/>
            </w:tcBorders>
            <w:vAlign w:val="center"/>
          </w:tcPr>
          <w:p w14:paraId="01649D5C">
            <w:pPr>
              <w:spacing w:line="120" w:lineRule="exact"/>
              <w:jc w:val="left"/>
              <w:rPr>
                <w:rFonts w:ascii="宋体" w:hAnsi="宋体"/>
                <w:szCs w:val="21"/>
              </w:rPr>
            </w:pPr>
          </w:p>
        </w:tc>
      </w:tr>
      <w:tr w14:paraId="28A8E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03" w:type="dxa"/>
            <w:tcBorders>
              <w:top w:val="single" w:color="auto" w:sz="4" w:space="0"/>
              <w:left w:val="single" w:color="auto" w:sz="4" w:space="0"/>
              <w:bottom w:val="single" w:color="auto" w:sz="4" w:space="0"/>
              <w:right w:val="single" w:color="auto" w:sz="4" w:space="0"/>
            </w:tcBorders>
            <w:vAlign w:val="center"/>
          </w:tcPr>
          <w:p w14:paraId="68BC3DB5">
            <w:pPr>
              <w:widowControl/>
              <w:spacing w:line="360" w:lineRule="auto"/>
              <w:jc w:val="center"/>
              <w:rPr>
                <w:rFonts w:ascii="宋体" w:hAnsi="宋体" w:cs="宋体"/>
              </w:rPr>
            </w:pPr>
          </w:p>
        </w:tc>
        <w:tc>
          <w:tcPr>
            <w:tcW w:w="3057" w:type="dxa"/>
            <w:tcBorders>
              <w:top w:val="single" w:color="auto" w:sz="4" w:space="0"/>
              <w:left w:val="single" w:color="auto" w:sz="4" w:space="0"/>
              <w:bottom w:val="single" w:color="auto" w:sz="4" w:space="0"/>
              <w:right w:val="single" w:color="auto" w:sz="4" w:space="0"/>
            </w:tcBorders>
            <w:vAlign w:val="center"/>
          </w:tcPr>
          <w:p w14:paraId="12A01E53">
            <w:pPr>
              <w:widowControl/>
              <w:jc w:val="center"/>
              <w:rPr>
                <w:rFonts w:ascii="宋体" w:hAnsi="宋体" w:cs="宋体"/>
              </w:rPr>
            </w:pPr>
          </w:p>
        </w:tc>
        <w:tc>
          <w:tcPr>
            <w:tcW w:w="1093" w:type="dxa"/>
            <w:tcBorders>
              <w:top w:val="single" w:color="auto" w:sz="4" w:space="0"/>
              <w:left w:val="single" w:color="auto" w:sz="4" w:space="0"/>
              <w:bottom w:val="single" w:color="auto" w:sz="4" w:space="0"/>
              <w:right w:val="single" w:color="auto" w:sz="4" w:space="0"/>
            </w:tcBorders>
          </w:tcPr>
          <w:p w14:paraId="4F275D7D">
            <w:pPr>
              <w:pStyle w:val="12"/>
              <w:snapToGrid w:val="0"/>
              <w:spacing w:before="295" w:after="295" w:line="120" w:lineRule="exact"/>
              <w:jc w:val="center"/>
              <w:outlineLvl w:val="0"/>
              <w:rPr>
                <w:rFonts w:hAnsi="宋体"/>
                <w:sz w:val="21"/>
                <w:szCs w:val="21"/>
              </w:rPr>
            </w:pPr>
          </w:p>
        </w:tc>
        <w:tc>
          <w:tcPr>
            <w:tcW w:w="1028" w:type="dxa"/>
            <w:tcBorders>
              <w:top w:val="single" w:color="auto" w:sz="4" w:space="0"/>
              <w:left w:val="single" w:color="auto" w:sz="4" w:space="0"/>
              <w:bottom w:val="single" w:color="auto" w:sz="4" w:space="0"/>
              <w:right w:val="single" w:color="auto" w:sz="4" w:space="0"/>
            </w:tcBorders>
          </w:tcPr>
          <w:p w14:paraId="5F09B58D">
            <w:pPr>
              <w:pStyle w:val="12"/>
              <w:snapToGrid w:val="0"/>
              <w:spacing w:before="120" w:after="120" w:line="260" w:lineRule="exact"/>
              <w:outlineLvl w:val="0"/>
              <w:rPr>
                <w:rFonts w:hAnsi="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14:paraId="50A12DB9">
            <w:pPr>
              <w:spacing w:line="120" w:lineRule="exact"/>
              <w:jc w:val="left"/>
              <w:rPr>
                <w:rFonts w:ascii="宋体" w:hAnsi="宋体"/>
                <w:szCs w:val="21"/>
              </w:rPr>
            </w:pPr>
          </w:p>
        </w:tc>
        <w:tc>
          <w:tcPr>
            <w:tcW w:w="1601" w:type="dxa"/>
            <w:tcBorders>
              <w:top w:val="single" w:color="auto" w:sz="4" w:space="0"/>
              <w:left w:val="single" w:color="auto" w:sz="4" w:space="0"/>
              <w:bottom w:val="single" w:color="auto" w:sz="4" w:space="0"/>
              <w:right w:val="single" w:color="auto" w:sz="4" w:space="0"/>
            </w:tcBorders>
            <w:vAlign w:val="center"/>
          </w:tcPr>
          <w:p w14:paraId="2444FEAB">
            <w:pPr>
              <w:spacing w:line="120" w:lineRule="exact"/>
              <w:jc w:val="left"/>
              <w:rPr>
                <w:rFonts w:ascii="宋体" w:hAnsi="宋体"/>
                <w:szCs w:val="21"/>
              </w:rPr>
            </w:pPr>
          </w:p>
        </w:tc>
      </w:tr>
      <w:tr w14:paraId="33DAB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03" w:type="dxa"/>
            <w:tcBorders>
              <w:top w:val="single" w:color="auto" w:sz="4" w:space="0"/>
              <w:left w:val="single" w:color="auto" w:sz="4" w:space="0"/>
              <w:bottom w:val="single" w:color="auto" w:sz="4" w:space="0"/>
              <w:right w:val="single" w:color="auto" w:sz="4" w:space="0"/>
            </w:tcBorders>
            <w:vAlign w:val="center"/>
          </w:tcPr>
          <w:p w14:paraId="650AB276">
            <w:pPr>
              <w:widowControl/>
              <w:spacing w:line="360" w:lineRule="auto"/>
              <w:jc w:val="center"/>
              <w:rPr>
                <w:rFonts w:ascii="宋体" w:hAnsi="宋体" w:cs="宋体"/>
              </w:rPr>
            </w:pPr>
          </w:p>
        </w:tc>
        <w:tc>
          <w:tcPr>
            <w:tcW w:w="3057" w:type="dxa"/>
            <w:tcBorders>
              <w:top w:val="single" w:color="auto" w:sz="4" w:space="0"/>
              <w:left w:val="single" w:color="auto" w:sz="4" w:space="0"/>
              <w:bottom w:val="single" w:color="auto" w:sz="4" w:space="0"/>
              <w:right w:val="single" w:color="auto" w:sz="4" w:space="0"/>
            </w:tcBorders>
            <w:vAlign w:val="center"/>
          </w:tcPr>
          <w:p w14:paraId="1E7A6049">
            <w:pPr>
              <w:widowControl/>
              <w:jc w:val="center"/>
              <w:rPr>
                <w:rFonts w:ascii="宋体" w:hAnsi="宋体" w:cs="宋体"/>
              </w:rPr>
            </w:pPr>
          </w:p>
        </w:tc>
        <w:tc>
          <w:tcPr>
            <w:tcW w:w="1093" w:type="dxa"/>
            <w:tcBorders>
              <w:top w:val="single" w:color="auto" w:sz="4" w:space="0"/>
              <w:left w:val="single" w:color="auto" w:sz="4" w:space="0"/>
              <w:bottom w:val="single" w:color="auto" w:sz="4" w:space="0"/>
              <w:right w:val="single" w:color="auto" w:sz="4" w:space="0"/>
            </w:tcBorders>
          </w:tcPr>
          <w:p w14:paraId="56D2C8CC">
            <w:pPr>
              <w:pStyle w:val="12"/>
              <w:snapToGrid w:val="0"/>
              <w:spacing w:before="295" w:after="295" w:line="120" w:lineRule="exact"/>
              <w:jc w:val="center"/>
              <w:outlineLvl w:val="0"/>
              <w:rPr>
                <w:rFonts w:hAnsi="宋体"/>
                <w:sz w:val="21"/>
                <w:szCs w:val="21"/>
              </w:rPr>
            </w:pPr>
          </w:p>
        </w:tc>
        <w:tc>
          <w:tcPr>
            <w:tcW w:w="1028" w:type="dxa"/>
            <w:tcBorders>
              <w:top w:val="single" w:color="auto" w:sz="4" w:space="0"/>
              <w:left w:val="single" w:color="auto" w:sz="4" w:space="0"/>
              <w:bottom w:val="single" w:color="auto" w:sz="4" w:space="0"/>
              <w:right w:val="single" w:color="auto" w:sz="4" w:space="0"/>
            </w:tcBorders>
          </w:tcPr>
          <w:p w14:paraId="6D836C31">
            <w:pPr>
              <w:pStyle w:val="12"/>
              <w:snapToGrid w:val="0"/>
              <w:spacing w:before="120" w:after="120" w:line="260" w:lineRule="exact"/>
              <w:outlineLvl w:val="0"/>
              <w:rPr>
                <w:rFonts w:hAnsi="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14:paraId="683E23A8">
            <w:pPr>
              <w:spacing w:line="120" w:lineRule="exact"/>
              <w:jc w:val="left"/>
              <w:rPr>
                <w:rFonts w:ascii="宋体" w:hAnsi="宋体"/>
                <w:szCs w:val="21"/>
              </w:rPr>
            </w:pPr>
          </w:p>
        </w:tc>
        <w:tc>
          <w:tcPr>
            <w:tcW w:w="1601" w:type="dxa"/>
            <w:tcBorders>
              <w:top w:val="single" w:color="auto" w:sz="4" w:space="0"/>
              <w:left w:val="single" w:color="auto" w:sz="4" w:space="0"/>
              <w:bottom w:val="single" w:color="auto" w:sz="4" w:space="0"/>
              <w:right w:val="single" w:color="auto" w:sz="4" w:space="0"/>
            </w:tcBorders>
            <w:vAlign w:val="center"/>
          </w:tcPr>
          <w:p w14:paraId="11743FFE">
            <w:pPr>
              <w:spacing w:line="120" w:lineRule="exact"/>
              <w:jc w:val="left"/>
              <w:rPr>
                <w:rFonts w:ascii="宋体" w:hAnsi="宋体"/>
                <w:szCs w:val="21"/>
              </w:rPr>
            </w:pPr>
          </w:p>
        </w:tc>
      </w:tr>
      <w:tr w14:paraId="3D1D2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03" w:type="dxa"/>
            <w:tcBorders>
              <w:top w:val="single" w:color="auto" w:sz="4" w:space="0"/>
              <w:left w:val="single" w:color="auto" w:sz="4" w:space="0"/>
              <w:bottom w:val="single" w:color="auto" w:sz="4" w:space="0"/>
              <w:right w:val="single" w:color="auto" w:sz="4" w:space="0"/>
            </w:tcBorders>
            <w:vAlign w:val="center"/>
          </w:tcPr>
          <w:p w14:paraId="24BB052A">
            <w:pPr>
              <w:widowControl/>
              <w:spacing w:line="360" w:lineRule="auto"/>
              <w:jc w:val="center"/>
              <w:rPr>
                <w:rFonts w:ascii="宋体" w:hAnsi="宋体" w:cs="宋体"/>
              </w:rPr>
            </w:pPr>
          </w:p>
        </w:tc>
        <w:tc>
          <w:tcPr>
            <w:tcW w:w="3057" w:type="dxa"/>
            <w:tcBorders>
              <w:top w:val="single" w:color="auto" w:sz="4" w:space="0"/>
              <w:left w:val="single" w:color="auto" w:sz="4" w:space="0"/>
              <w:bottom w:val="single" w:color="auto" w:sz="4" w:space="0"/>
              <w:right w:val="single" w:color="auto" w:sz="4" w:space="0"/>
            </w:tcBorders>
            <w:vAlign w:val="center"/>
          </w:tcPr>
          <w:p w14:paraId="3904A6B7">
            <w:pPr>
              <w:widowControl/>
              <w:jc w:val="center"/>
              <w:rPr>
                <w:rFonts w:ascii="宋体" w:hAnsi="宋体" w:cs="宋体"/>
              </w:rPr>
            </w:pPr>
          </w:p>
        </w:tc>
        <w:tc>
          <w:tcPr>
            <w:tcW w:w="1093" w:type="dxa"/>
            <w:tcBorders>
              <w:top w:val="single" w:color="auto" w:sz="4" w:space="0"/>
              <w:left w:val="single" w:color="auto" w:sz="4" w:space="0"/>
              <w:bottom w:val="single" w:color="auto" w:sz="4" w:space="0"/>
              <w:right w:val="single" w:color="auto" w:sz="4" w:space="0"/>
            </w:tcBorders>
          </w:tcPr>
          <w:p w14:paraId="701F1108">
            <w:pPr>
              <w:pStyle w:val="12"/>
              <w:snapToGrid w:val="0"/>
              <w:spacing w:before="295" w:after="295" w:line="120" w:lineRule="exact"/>
              <w:jc w:val="center"/>
              <w:outlineLvl w:val="0"/>
              <w:rPr>
                <w:rFonts w:hAnsi="宋体"/>
                <w:sz w:val="21"/>
                <w:szCs w:val="21"/>
              </w:rPr>
            </w:pPr>
          </w:p>
        </w:tc>
        <w:tc>
          <w:tcPr>
            <w:tcW w:w="1028" w:type="dxa"/>
            <w:tcBorders>
              <w:top w:val="single" w:color="auto" w:sz="4" w:space="0"/>
              <w:left w:val="single" w:color="auto" w:sz="4" w:space="0"/>
              <w:bottom w:val="single" w:color="auto" w:sz="4" w:space="0"/>
              <w:right w:val="single" w:color="auto" w:sz="4" w:space="0"/>
            </w:tcBorders>
          </w:tcPr>
          <w:p w14:paraId="026F2921">
            <w:pPr>
              <w:pStyle w:val="12"/>
              <w:snapToGrid w:val="0"/>
              <w:spacing w:before="120" w:after="120" w:line="260" w:lineRule="exact"/>
              <w:outlineLvl w:val="0"/>
              <w:rPr>
                <w:rFonts w:hAnsi="宋体"/>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14:paraId="63D1B58E">
            <w:pPr>
              <w:spacing w:line="120" w:lineRule="exact"/>
              <w:jc w:val="left"/>
              <w:rPr>
                <w:rFonts w:ascii="宋体" w:hAnsi="宋体"/>
                <w:szCs w:val="21"/>
              </w:rPr>
            </w:pPr>
          </w:p>
        </w:tc>
        <w:tc>
          <w:tcPr>
            <w:tcW w:w="1601" w:type="dxa"/>
            <w:tcBorders>
              <w:top w:val="single" w:color="auto" w:sz="4" w:space="0"/>
              <w:left w:val="single" w:color="auto" w:sz="4" w:space="0"/>
              <w:bottom w:val="single" w:color="auto" w:sz="4" w:space="0"/>
              <w:right w:val="single" w:color="auto" w:sz="4" w:space="0"/>
            </w:tcBorders>
            <w:vAlign w:val="center"/>
          </w:tcPr>
          <w:p w14:paraId="019D1169">
            <w:pPr>
              <w:spacing w:line="120" w:lineRule="exact"/>
              <w:jc w:val="left"/>
              <w:rPr>
                <w:rFonts w:ascii="宋体" w:hAnsi="宋体"/>
                <w:szCs w:val="21"/>
              </w:rPr>
            </w:pPr>
          </w:p>
        </w:tc>
      </w:tr>
      <w:tr w14:paraId="7B86D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603" w:type="dxa"/>
            <w:tcBorders>
              <w:top w:val="single" w:color="auto" w:sz="4" w:space="0"/>
              <w:left w:val="single" w:color="auto" w:sz="4" w:space="0"/>
              <w:bottom w:val="single" w:color="auto" w:sz="4" w:space="0"/>
              <w:right w:val="single" w:color="auto" w:sz="4" w:space="0"/>
            </w:tcBorders>
            <w:vAlign w:val="center"/>
          </w:tcPr>
          <w:p w14:paraId="39E88A05">
            <w:pPr>
              <w:widowControl/>
              <w:spacing w:line="360" w:lineRule="auto"/>
              <w:jc w:val="center"/>
              <w:rPr>
                <w:rFonts w:ascii="宋体" w:hAnsi="宋体" w:cs="宋体"/>
              </w:rPr>
            </w:pPr>
          </w:p>
        </w:tc>
        <w:tc>
          <w:tcPr>
            <w:tcW w:w="3057" w:type="dxa"/>
            <w:tcBorders>
              <w:top w:val="single" w:color="auto" w:sz="4" w:space="0"/>
              <w:left w:val="single" w:color="auto" w:sz="4" w:space="0"/>
              <w:bottom w:val="single" w:color="auto" w:sz="4" w:space="0"/>
              <w:right w:val="single" w:color="auto" w:sz="4" w:space="0"/>
            </w:tcBorders>
            <w:vAlign w:val="center"/>
          </w:tcPr>
          <w:p w14:paraId="4537B3ED">
            <w:pPr>
              <w:jc w:val="center"/>
              <w:rPr>
                <w:rFonts w:ascii="宋体" w:hAnsi="宋体"/>
              </w:rPr>
            </w:pPr>
          </w:p>
        </w:tc>
        <w:tc>
          <w:tcPr>
            <w:tcW w:w="1093" w:type="dxa"/>
            <w:tcBorders>
              <w:top w:val="single" w:color="auto" w:sz="4" w:space="0"/>
              <w:left w:val="single" w:color="auto" w:sz="4" w:space="0"/>
              <w:bottom w:val="single" w:color="auto" w:sz="4" w:space="0"/>
              <w:right w:val="single" w:color="auto" w:sz="4" w:space="0"/>
            </w:tcBorders>
          </w:tcPr>
          <w:p w14:paraId="36CBE0D1">
            <w:pPr>
              <w:pStyle w:val="12"/>
              <w:snapToGrid w:val="0"/>
              <w:spacing w:before="295" w:after="295" w:line="120" w:lineRule="exact"/>
              <w:jc w:val="center"/>
              <w:outlineLvl w:val="0"/>
              <w:rPr>
                <w:rFonts w:hAnsi="宋体"/>
                <w:sz w:val="21"/>
                <w:szCs w:val="21"/>
              </w:rPr>
            </w:pPr>
          </w:p>
        </w:tc>
        <w:tc>
          <w:tcPr>
            <w:tcW w:w="1028" w:type="dxa"/>
            <w:tcBorders>
              <w:top w:val="single" w:color="auto" w:sz="4" w:space="0"/>
              <w:left w:val="single" w:color="auto" w:sz="4" w:space="0"/>
              <w:bottom w:val="single" w:color="auto" w:sz="4" w:space="0"/>
              <w:right w:val="single" w:color="auto" w:sz="4" w:space="0"/>
            </w:tcBorders>
          </w:tcPr>
          <w:p w14:paraId="49435EE4">
            <w:pPr>
              <w:pStyle w:val="12"/>
              <w:snapToGrid w:val="0"/>
              <w:spacing w:before="120" w:after="120" w:line="260" w:lineRule="exact"/>
              <w:outlineLvl w:val="0"/>
              <w:rPr>
                <w:rFonts w:hAnsi="宋体"/>
                <w:sz w:val="21"/>
                <w:szCs w:val="21"/>
              </w:rPr>
            </w:pPr>
          </w:p>
        </w:tc>
        <w:tc>
          <w:tcPr>
            <w:tcW w:w="1851" w:type="dxa"/>
            <w:tcBorders>
              <w:left w:val="single" w:color="auto" w:sz="4" w:space="0"/>
              <w:bottom w:val="single" w:color="auto" w:sz="4" w:space="0"/>
              <w:right w:val="single" w:color="auto" w:sz="4" w:space="0"/>
            </w:tcBorders>
            <w:vAlign w:val="center"/>
          </w:tcPr>
          <w:p w14:paraId="4EC3A03A">
            <w:pPr>
              <w:spacing w:line="120" w:lineRule="exact"/>
              <w:jc w:val="left"/>
              <w:rPr>
                <w:rFonts w:ascii="宋体" w:hAnsi="宋体"/>
                <w:szCs w:val="21"/>
              </w:rPr>
            </w:pPr>
          </w:p>
        </w:tc>
        <w:tc>
          <w:tcPr>
            <w:tcW w:w="1601" w:type="dxa"/>
            <w:tcBorders>
              <w:left w:val="single" w:color="auto" w:sz="4" w:space="0"/>
              <w:bottom w:val="single" w:color="auto" w:sz="4" w:space="0"/>
              <w:right w:val="single" w:color="auto" w:sz="4" w:space="0"/>
            </w:tcBorders>
            <w:vAlign w:val="center"/>
          </w:tcPr>
          <w:p w14:paraId="76BF240A">
            <w:pPr>
              <w:spacing w:line="120" w:lineRule="exact"/>
              <w:jc w:val="left"/>
              <w:rPr>
                <w:rFonts w:ascii="宋体" w:hAnsi="宋体"/>
                <w:szCs w:val="21"/>
              </w:rPr>
            </w:pPr>
          </w:p>
        </w:tc>
      </w:tr>
    </w:tbl>
    <w:p w14:paraId="0D372258">
      <w:pPr>
        <w:autoSpaceDE w:val="0"/>
        <w:autoSpaceDN w:val="0"/>
        <w:adjustRightInd w:val="0"/>
        <w:spacing w:line="360" w:lineRule="auto"/>
        <w:jc w:val="center"/>
        <w:rPr>
          <w:rFonts w:ascii="宋体" w:cs="宋体"/>
          <w:lang w:val="zh-CN"/>
        </w:rPr>
      </w:pPr>
      <w:r>
        <w:rPr>
          <w:rFonts w:hint="eastAsia" w:ascii="宋体" w:hAnsi="宋体" w:cs="宋体"/>
          <w:lang w:val="en-US" w:eastAsia="zh-CN"/>
        </w:rPr>
        <w:t xml:space="preserve">                                                     </w:t>
      </w:r>
      <w:r>
        <w:rPr>
          <w:rFonts w:hint="eastAsia" w:ascii="宋体" w:hAnsi="宋体" w:cs="宋体"/>
          <w:lang w:val="zh-CN"/>
        </w:rPr>
        <w:t>投标人（公章）：</w:t>
      </w:r>
    </w:p>
    <w:p w14:paraId="3EB94EFF">
      <w:pPr>
        <w:autoSpaceDE w:val="0"/>
        <w:autoSpaceDN w:val="0"/>
        <w:adjustRightInd w:val="0"/>
        <w:spacing w:line="360" w:lineRule="auto"/>
        <w:jc w:val="right"/>
        <w:rPr>
          <w:rFonts w:ascii="宋体" w:cs="宋体"/>
          <w:lang w:val="zh-CN"/>
        </w:rPr>
      </w:pPr>
      <w:r>
        <w:rPr>
          <w:rFonts w:hint="eastAsia" w:ascii="宋体" w:hAnsi="宋体" w:cs="宋体"/>
          <w:lang w:val="zh-CN"/>
        </w:rPr>
        <w:t>法定代表（签字或盖章）：</w:t>
      </w:r>
    </w:p>
    <w:p w14:paraId="6288CC82">
      <w:pPr>
        <w:autoSpaceDE w:val="0"/>
        <w:autoSpaceDN w:val="0"/>
        <w:adjustRightInd w:val="0"/>
        <w:spacing w:line="360" w:lineRule="auto"/>
        <w:ind w:firstLine="7035" w:firstLineChars="3350"/>
        <w:jc w:val="left"/>
        <w:sectPr>
          <w:pgSz w:w="11906" w:h="16838"/>
          <w:pgMar w:top="1106" w:right="1531" w:bottom="1304" w:left="1531" w:header="1304" w:footer="1304" w:gutter="0"/>
          <w:cols w:space="0" w:num="1"/>
        </w:sectPr>
      </w:pPr>
      <w:r>
        <w:rPr>
          <w:rFonts w:hint="eastAsia" w:ascii="宋体" w:hAnsi="宋体" w:cs="宋体"/>
          <w:lang w:val="zh-CN"/>
        </w:rPr>
        <w:t>年月日</w:t>
      </w:r>
    </w:p>
    <w:p w14:paraId="28CA1826">
      <w:pPr>
        <w:widowControl/>
        <w:rPr>
          <w:rFonts w:asciiTheme="minorEastAsia" w:hAnsiTheme="minorEastAsia" w:eastAsiaTheme="minorEastAsia"/>
          <w:b/>
          <w:sz w:val="32"/>
        </w:rPr>
      </w:pPr>
    </w:p>
    <w:p w14:paraId="61D4F43C">
      <w:pPr>
        <w:spacing w:line="560" w:lineRule="exact"/>
        <w:jc w:val="center"/>
        <w:rPr>
          <w:rFonts w:asciiTheme="minorEastAsia" w:hAnsiTheme="minorEastAsia" w:eastAsiaTheme="minorEastAsia"/>
          <w:b/>
          <w:sz w:val="32"/>
        </w:rPr>
      </w:pPr>
      <w:r>
        <w:rPr>
          <w:rFonts w:hint="eastAsia" w:asciiTheme="minorEastAsia" w:hAnsiTheme="minorEastAsia" w:eastAsiaTheme="minorEastAsia"/>
          <w:b/>
          <w:sz w:val="32"/>
        </w:rPr>
        <w:t>十、拟参加本项目组人员情况表</w:t>
      </w:r>
    </w:p>
    <w:p w14:paraId="382E533E">
      <w:pPr>
        <w:pStyle w:val="3"/>
      </w:pPr>
    </w:p>
    <w:tbl>
      <w:tblPr>
        <w:tblStyle w:val="23"/>
        <w:tblW w:w="90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9"/>
        <w:gridCol w:w="1230"/>
        <w:gridCol w:w="1308"/>
        <w:gridCol w:w="1136"/>
        <w:gridCol w:w="1785"/>
        <w:gridCol w:w="1777"/>
        <w:gridCol w:w="1143"/>
      </w:tblGrid>
      <w:tr w14:paraId="4E931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669" w:type="dxa"/>
            <w:tcBorders>
              <w:top w:val="single" w:color="auto" w:sz="4" w:space="0"/>
              <w:left w:val="single" w:color="auto" w:sz="4" w:space="0"/>
              <w:bottom w:val="single" w:color="auto" w:sz="4" w:space="0"/>
              <w:right w:val="single" w:color="auto" w:sz="4" w:space="0"/>
            </w:tcBorders>
            <w:vAlign w:val="center"/>
          </w:tcPr>
          <w:p w14:paraId="34A267D8">
            <w:pPr>
              <w:jc w:val="center"/>
              <w:rPr>
                <w:rFonts w:ascii="宋体" w:hAnsi="宋体" w:cs="Calibri"/>
              </w:rPr>
            </w:pPr>
            <w:r>
              <w:rPr>
                <w:rFonts w:hint="eastAsia" w:ascii="宋体" w:hAnsi="宋体" w:cs="Calibri"/>
              </w:rPr>
              <w:t>序号</w:t>
            </w:r>
          </w:p>
        </w:tc>
        <w:tc>
          <w:tcPr>
            <w:tcW w:w="1230" w:type="dxa"/>
            <w:tcBorders>
              <w:top w:val="single" w:color="auto" w:sz="4" w:space="0"/>
              <w:left w:val="single" w:color="auto" w:sz="4" w:space="0"/>
              <w:bottom w:val="single" w:color="auto" w:sz="4" w:space="0"/>
              <w:right w:val="single" w:color="auto" w:sz="4" w:space="0"/>
            </w:tcBorders>
            <w:vAlign w:val="center"/>
          </w:tcPr>
          <w:p w14:paraId="151B8746">
            <w:pPr>
              <w:jc w:val="center"/>
              <w:rPr>
                <w:rFonts w:ascii="宋体" w:hAnsi="宋体" w:cs="Calibri"/>
              </w:rPr>
            </w:pPr>
            <w:r>
              <w:rPr>
                <w:rFonts w:hint="eastAsia" w:ascii="宋体" w:hAnsi="宋体" w:cs="Calibri"/>
              </w:rPr>
              <w:t>项目组所任职务</w:t>
            </w:r>
          </w:p>
        </w:tc>
        <w:tc>
          <w:tcPr>
            <w:tcW w:w="1308" w:type="dxa"/>
            <w:tcBorders>
              <w:top w:val="single" w:color="auto" w:sz="4" w:space="0"/>
              <w:left w:val="single" w:color="auto" w:sz="4" w:space="0"/>
              <w:bottom w:val="single" w:color="auto" w:sz="4" w:space="0"/>
              <w:right w:val="single" w:color="auto" w:sz="4" w:space="0"/>
            </w:tcBorders>
            <w:vAlign w:val="center"/>
          </w:tcPr>
          <w:p w14:paraId="79AFBA7D">
            <w:pPr>
              <w:jc w:val="center"/>
              <w:rPr>
                <w:rFonts w:ascii="宋体" w:hAnsi="宋体" w:cs="Calibri"/>
              </w:rPr>
            </w:pPr>
            <w:r>
              <w:rPr>
                <w:rFonts w:hint="eastAsia" w:ascii="宋体" w:hAnsi="宋体" w:cs="Calibri"/>
              </w:rPr>
              <w:t>姓名</w:t>
            </w:r>
          </w:p>
        </w:tc>
        <w:tc>
          <w:tcPr>
            <w:tcW w:w="1136" w:type="dxa"/>
            <w:tcBorders>
              <w:top w:val="single" w:color="auto" w:sz="4" w:space="0"/>
              <w:left w:val="single" w:color="auto" w:sz="4" w:space="0"/>
              <w:bottom w:val="single" w:color="auto" w:sz="4" w:space="0"/>
              <w:right w:val="single" w:color="auto" w:sz="4" w:space="0"/>
            </w:tcBorders>
            <w:vAlign w:val="center"/>
          </w:tcPr>
          <w:p w14:paraId="296DF355">
            <w:pPr>
              <w:jc w:val="center"/>
              <w:rPr>
                <w:rFonts w:ascii="宋体" w:hAnsi="宋体" w:cs="Calibri"/>
              </w:rPr>
            </w:pPr>
            <w:r>
              <w:rPr>
                <w:rFonts w:hint="eastAsia" w:ascii="宋体" w:hAnsi="宋体" w:cs="Calibri"/>
              </w:rPr>
              <w:t>项目经历</w:t>
            </w:r>
          </w:p>
        </w:tc>
        <w:tc>
          <w:tcPr>
            <w:tcW w:w="1785" w:type="dxa"/>
            <w:tcBorders>
              <w:top w:val="single" w:color="auto" w:sz="4" w:space="0"/>
              <w:left w:val="single" w:color="auto" w:sz="4" w:space="0"/>
              <w:bottom w:val="single" w:color="auto" w:sz="4" w:space="0"/>
              <w:right w:val="single" w:color="auto" w:sz="4" w:space="0"/>
            </w:tcBorders>
            <w:vAlign w:val="center"/>
          </w:tcPr>
          <w:p w14:paraId="7E3626AD">
            <w:pPr>
              <w:jc w:val="center"/>
              <w:rPr>
                <w:rFonts w:ascii="宋体" w:hAnsi="宋体" w:cs="Calibri"/>
              </w:rPr>
            </w:pPr>
            <w:r>
              <w:rPr>
                <w:rFonts w:hint="eastAsia" w:ascii="宋体" w:hAnsi="宋体" w:cs="Calibri"/>
              </w:rPr>
              <w:t>项目人员证书</w:t>
            </w:r>
          </w:p>
        </w:tc>
        <w:tc>
          <w:tcPr>
            <w:tcW w:w="1777" w:type="dxa"/>
            <w:tcBorders>
              <w:top w:val="single" w:color="auto" w:sz="4" w:space="0"/>
              <w:left w:val="single" w:color="auto" w:sz="4" w:space="0"/>
              <w:bottom w:val="single" w:color="auto" w:sz="4" w:space="0"/>
              <w:right w:val="single" w:color="auto" w:sz="4" w:space="0"/>
            </w:tcBorders>
            <w:vAlign w:val="center"/>
          </w:tcPr>
          <w:p w14:paraId="7A0FFCAC">
            <w:pPr>
              <w:jc w:val="center"/>
              <w:rPr>
                <w:rFonts w:ascii="宋体" w:hAnsi="宋体" w:cs="Calibri"/>
              </w:rPr>
            </w:pPr>
            <w:r>
              <w:rPr>
                <w:rFonts w:hint="eastAsia" w:ascii="宋体" w:hAnsi="宋体" w:cs="Calibri"/>
              </w:rPr>
              <w:t>从事本工作时间</w:t>
            </w:r>
          </w:p>
        </w:tc>
        <w:tc>
          <w:tcPr>
            <w:tcW w:w="1143" w:type="dxa"/>
            <w:tcBorders>
              <w:top w:val="single" w:color="auto" w:sz="4" w:space="0"/>
              <w:left w:val="single" w:color="auto" w:sz="4" w:space="0"/>
              <w:bottom w:val="single" w:color="auto" w:sz="4" w:space="0"/>
              <w:right w:val="single" w:color="auto" w:sz="4" w:space="0"/>
            </w:tcBorders>
            <w:vAlign w:val="center"/>
          </w:tcPr>
          <w:p w14:paraId="7BC28279">
            <w:pPr>
              <w:jc w:val="center"/>
              <w:rPr>
                <w:rFonts w:ascii="宋体" w:hAnsi="宋体" w:cs="Calibri"/>
              </w:rPr>
            </w:pPr>
            <w:r>
              <w:rPr>
                <w:rFonts w:hint="eastAsia" w:ascii="宋体" w:hAnsi="宋体" w:cs="Calibri"/>
              </w:rPr>
              <w:t>联系电话</w:t>
            </w:r>
          </w:p>
        </w:tc>
      </w:tr>
      <w:tr w14:paraId="27C33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69" w:type="dxa"/>
            <w:tcBorders>
              <w:top w:val="single" w:color="auto" w:sz="4" w:space="0"/>
              <w:left w:val="single" w:color="auto" w:sz="4" w:space="0"/>
              <w:bottom w:val="single" w:color="auto" w:sz="4" w:space="0"/>
              <w:right w:val="single" w:color="auto" w:sz="4" w:space="0"/>
            </w:tcBorders>
            <w:vAlign w:val="center"/>
          </w:tcPr>
          <w:p w14:paraId="53EC5097">
            <w:pPr>
              <w:jc w:val="center"/>
              <w:rPr>
                <w:rFonts w:ascii="宋体" w:hAnsi="宋体" w:cs="Calibri"/>
              </w:rPr>
            </w:pPr>
            <w:r>
              <w:rPr>
                <w:rFonts w:hint="eastAsia" w:ascii="宋体" w:hAnsi="宋体" w:cs="Calibri"/>
              </w:rPr>
              <w:t>1</w:t>
            </w:r>
          </w:p>
        </w:tc>
        <w:tc>
          <w:tcPr>
            <w:tcW w:w="1230" w:type="dxa"/>
            <w:tcBorders>
              <w:top w:val="single" w:color="auto" w:sz="4" w:space="0"/>
              <w:left w:val="single" w:color="auto" w:sz="4" w:space="0"/>
              <w:bottom w:val="single" w:color="auto" w:sz="4" w:space="0"/>
              <w:right w:val="single" w:color="auto" w:sz="4" w:space="0"/>
            </w:tcBorders>
            <w:vAlign w:val="center"/>
          </w:tcPr>
          <w:p w14:paraId="0D426234">
            <w:pPr>
              <w:jc w:val="center"/>
              <w:rPr>
                <w:rFonts w:ascii="宋体" w:hAnsi="宋体" w:cs="Calibri"/>
              </w:rPr>
            </w:pPr>
          </w:p>
        </w:tc>
        <w:tc>
          <w:tcPr>
            <w:tcW w:w="1308" w:type="dxa"/>
            <w:tcBorders>
              <w:top w:val="single" w:color="auto" w:sz="4" w:space="0"/>
              <w:left w:val="single" w:color="auto" w:sz="4" w:space="0"/>
              <w:bottom w:val="single" w:color="auto" w:sz="4" w:space="0"/>
              <w:right w:val="single" w:color="auto" w:sz="4" w:space="0"/>
            </w:tcBorders>
            <w:vAlign w:val="center"/>
          </w:tcPr>
          <w:p w14:paraId="27C45522">
            <w:pPr>
              <w:jc w:val="center"/>
              <w:rPr>
                <w:rFonts w:ascii="宋体" w:hAnsi="宋体" w:cs="Calibri"/>
              </w:rPr>
            </w:pPr>
          </w:p>
        </w:tc>
        <w:tc>
          <w:tcPr>
            <w:tcW w:w="1136" w:type="dxa"/>
            <w:tcBorders>
              <w:top w:val="single" w:color="auto" w:sz="4" w:space="0"/>
              <w:left w:val="single" w:color="auto" w:sz="4" w:space="0"/>
              <w:bottom w:val="single" w:color="auto" w:sz="4" w:space="0"/>
              <w:right w:val="single" w:color="auto" w:sz="4" w:space="0"/>
            </w:tcBorders>
            <w:vAlign w:val="center"/>
          </w:tcPr>
          <w:p w14:paraId="48F5640E">
            <w:pPr>
              <w:jc w:val="center"/>
              <w:rPr>
                <w:rFonts w:ascii="宋体" w:hAnsi="宋体" w:cs="Calibri"/>
              </w:rPr>
            </w:pPr>
          </w:p>
        </w:tc>
        <w:tc>
          <w:tcPr>
            <w:tcW w:w="1785" w:type="dxa"/>
            <w:tcBorders>
              <w:top w:val="single" w:color="auto" w:sz="4" w:space="0"/>
              <w:left w:val="single" w:color="auto" w:sz="4" w:space="0"/>
              <w:bottom w:val="single" w:color="auto" w:sz="4" w:space="0"/>
              <w:right w:val="single" w:color="auto" w:sz="4" w:space="0"/>
            </w:tcBorders>
          </w:tcPr>
          <w:p w14:paraId="27BFDEE2">
            <w:pPr>
              <w:jc w:val="center"/>
              <w:rPr>
                <w:rFonts w:ascii="宋体" w:hAnsi="宋体" w:cs="Calibri"/>
              </w:rPr>
            </w:pPr>
          </w:p>
        </w:tc>
        <w:tc>
          <w:tcPr>
            <w:tcW w:w="1777" w:type="dxa"/>
            <w:tcBorders>
              <w:top w:val="single" w:color="auto" w:sz="4" w:space="0"/>
              <w:left w:val="single" w:color="auto" w:sz="4" w:space="0"/>
              <w:bottom w:val="single" w:color="auto" w:sz="4" w:space="0"/>
              <w:right w:val="single" w:color="auto" w:sz="4" w:space="0"/>
            </w:tcBorders>
            <w:vAlign w:val="center"/>
          </w:tcPr>
          <w:p w14:paraId="6CB20D51">
            <w:pPr>
              <w:jc w:val="center"/>
              <w:rPr>
                <w:rFonts w:ascii="宋体" w:hAnsi="宋体" w:cs="Calibri"/>
              </w:rPr>
            </w:pPr>
          </w:p>
        </w:tc>
        <w:tc>
          <w:tcPr>
            <w:tcW w:w="1143" w:type="dxa"/>
            <w:tcBorders>
              <w:top w:val="single" w:color="auto" w:sz="4" w:space="0"/>
              <w:left w:val="single" w:color="auto" w:sz="4" w:space="0"/>
              <w:bottom w:val="single" w:color="auto" w:sz="4" w:space="0"/>
              <w:right w:val="single" w:color="auto" w:sz="4" w:space="0"/>
            </w:tcBorders>
            <w:vAlign w:val="center"/>
          </w:tcPr>
          <w:p w14:paraId="14576E95">
            <w:pPr>
              <w:jc w:val="center"/>
              <w:rPr>
                <w:rFonts w:ascii="宋体" w:hAnsi="宋体" w:cs="Calibri"/>
              </w:rPr>
            </w:pPr>
          </w:p>
        </w:tc>
      </w:tr>
      <w:tr w14:paraId="0BA55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69" w:type="dxa"/>
            <w:tcBorders>
              <w:top w:val="single" w:color="auto" w:sz="4" w:space="0"/>
              <w:left w:val="single" w:color="auto" w:sz="4" w:space="0"/>
              <w:bottom w:val="single" w:color="auto" w:sz="4" w:space="0"/>
              <w:right w:val="single" w:color="auto" w:sz="4" w:space="0"/>
            </w:tcBorders>
            <w:vAlign w:val="center"/>
          </w:tcPr>
          <w:p w14:paraId="4300C8C4">
            <w:pPr>
              <w:jc w:val="center"/>
              <w:rPr>
                <w:rFonts w:ascii="宋体" w:hAnsi="宋体" w:cs="Calibri"/>
              </w:rPr>
            </w:pPr>
            <w:r>
              <w:rPr>
                <w:rFonts w:hint="eastAsia" w:ascii="宋体" w:hAnsi="宋体" w:cs="Calibri"/>
              </w:rPr>
              <w:t>2</w:t>
            </w:r>
          </w:p>
        </w:tc>
        <w:tc>
          <w:tcPr>
            <w:tcW w:w="1230" w:type="dxa"/>
            <w:tcBorders>
              <w:top w:val="single" w:color="auto" w:sz="4" w:space="0"/>
              <w:left w:val="single" w:color="auto" w:sz="4" w:space="0"/>
              <w:bottom w:val="single" w:color="auto" w:sz="4" w:space="0"/>
              <w:right w:val="single" w:color="auto" w:sz="4" w:space="0"/>
            </w:tcBorders>
            <w:vAlign w:val="center"/>
          </w:tcPr>
          <w:p w14:paraId="5C1B3E95">
            <w:pPr>
              <w:jc w:val="center"/>
              <w:rPr>
                <w:rFonts w:ascii="宋体" w:hAnsi="宋体" w:cs="Calibri"/>
              </w:rPr>
            </w:pPr>
          </w:p>
        </w:tc>
        <w:tc>
          <w:tcPr>
            <w:tcW w:w="1308" w:type="dxa"/>
            <w:tcBorders>
              <w:top w:val="single" w:color="auto" w:sz="4" w:space="0"/>
              <w:left w:val="single" w:color="auto" w:sz="4" w:space="0"/>
              <w:bottom w:val="single" w:color="auto" w:sz="4" w:space="0"/>
              <w:right w:val="single" w:color="auto" w:sz="4" w:space="0"/>
            </w:tcBorders>
            <w:vAlign w:val="center"/>
          </w:tcPr>
          <w:p w14:paraId="5DCA1033">
            <w:pPr>
              <w:jc w:val="center"/>
              <w:rPr>
                <w:rFonts w:ascii="宋体" w:hAnsi="宋体" w:cs="Calibri"/>
              </w:rPr>
            </w:pPr>
          </w:p>
        </w:tc>
        <w:tc>
          <w:tcPr>
            <w:tcW w:w="1136" w:type="dxa"/>
            <w:tcBorders>
              <w:top w:val="single" w:color="auto" w:sz="4" w:space="0"/>
              <w:left w:val="single" w:color="auto" w:sz="4" w:space="0"/>
              <w:bottom w:val="single" w:color="auto" w:sz="4" w:space="0"/>
              <w:right w:val="single" w:color="auto" w:sz="4" w:space="0"/>
            </w:tcBorders>
            <w:vAlign w:val="center"/>
          </w:tcPr>
          <w:p w14:paraId="342E4F99">
            <w:pPr>
              <w:jc w:val="center"/>
              <w:rPr>
                <w:rFonts w:ascii="宋体" w:hAnsi="宋体" w:cs="Calibri"/>
              </w:rPr>
            </w:pPr>
          </w:p>
        </w:tc>
        <w:tc>
          <w:tcPr>
            <w:tcW w:w="1785" w:type="dxa"/>
            <w:tcBorders>
              <w:top w:val="single" w:color="auto" w:sz="4" w:space="0"/>
              <w:left w:val="single" w:color="auto" w:sz="4" w:space="0"/>
              <w:bottom w:val="single" w:color="auto" w:sz="4" w:space="0"/>
              <w:right w:val="single" w:color="auto" w:sz="4" w:space="0"/>
            </w:tcBorders>
          </w:tcPr>
          <w:p w14:paraId="1C4AD421">
            <w:pPr>
              <w:jc w:val="center"/>
              <w:rPr>
                <w:rFonts w:ascii="宋体" w:hAnsi="宋体" w:cs="Calibri"/>
              </w:rPr>
            </w:pPr>
          </w:p>
        </w:tc>
        <w:tc>
          <w:tcPr>
            <w:tcW w:w="1777" w:type="dxa"/>
            <w:tcBorders>
              <w:top w:val="single" w:color="auto" w:sz="4" w:space="0"/>
              <w:left w:val="single" w:color="auto" w:sz="4" w:space="0"/>
              <w:bottom w:val="single" w:color="auto" w:sz="4" w:space="0"/>
              <w:right w:val="single" w:color="auto" w:sz="4" w:space="0"/>
            </w:tcBorders>
            <w:vAlign w:val="center"/>
          </w:tcPr>
          <w:p w14:paraId="3313AC51">
            <w:pPr>
              <w:jc w:val="center"/>
              <w:rPr>
                <w:rFonts w:ascii="宋体" w:hAnsi="宋体" w:cs="Calibri"/>
              </w:rPr>
            </w:pPr>
          </w:p>
        </w:tc>
        <w:tc>
          <w:tcPr>
            <w:tcW w:w="1143" w:type="dxa"/>
            <w:tcBorders>
              <w:top w:val="single" w:color="auto" w:sz="4" w:space="0"/>
              <w:left w:val="single" w:color="auto" w:sz="4" w:space="0"/>
              <w:bottom w:val="single" w:color="auto" w:sz="4" w:space="0"/>
              <w:right w:val="single" w:color="auto" w:sz="4" w:space="0"/>
            </w:tcBorders>
            <w:vAlign w:val="center"/>
          </w:tcPr>
          <w:p w14:paraId="21C40772">
            <w:pPr>
              <w:jc w:val="center"/>
              <w:rPr>
                <w:rFonts w:ascii="宋体" w:hAnsi="宋体" w:cs="Calibri"/>
              </w:rPr>
            </w:pPr>
          </w:p>
        </w:tc>
      </w:tr>
      <w:tr w14:paraId="6155D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69" w:type="dxa"/>
            <w:tcBorders>
              <w:top w:val="single" w:color="auto" w:sz="4" w:space="0"/>
              <w:left w:val="single" w:color="auto" w:sz="4" w:space="0"/>
              <w:bottom w:val="single" w:color="auto" w:sz="4" w:space="0"/>
              <w:right w:val="single" w:color="auto" w:sz="4" w:space="0"/>
            </w:tcBorders>
            <w:vAlign w:val="center"/>
          </w:tcPr>
          <w:p w14:paraId="36739DFA">
            <w:pPr>
              <w:jc w:val="center"/>
              <w:rPr>
                <w:rFonts w:ascii="宋体" w:hAnsi="宋体" w:cs="Calibri"/>
              </w:rPr>
            </w:pPr>
            <w:r>
              <w:rPr>
                <w:rFonts w:hint="eastAsia" w:ascii="宋体" w:hAnsi="宋体" w:cs="Calibri"/>
              </w:rPr>
              <w:t>3</w:t>
            </w:r>
          </w:p>
        </w:tc>
        <w:tc>
          <w:tcPr>
            <w:tcW w:w="1230" w:type="dxa"/>
            <w:tcBorders>
              <w:top w:val="single" w:color="auto" w:sz="4" w:space="0"/>
              <w:left w:val="single" w:color="auto" w:sz="4" w:space="0"/>
              <w:bottom w:val="single" w:color="auto" w:sz="4" w:space="0"/>
              <w:right w:val="single" w:color="auto" w:sz="4" w:space="0"/>
            </w:tcBorders>
            <w:vAlign w:val="center"/>
          </w:tcPr>
          <w:p w14:paraId="3F0355B5">
            <w:pPr>
              <w:jc w:val="center"/>
              <w:rPr>
                <w:rFonts w:ascii="宋体" w:hAnsi="宋体" w:cs="Calibri"/>
              </w:rPr>
            </w:pPr>
          </w:p>
        </w:tc>
        <w:tc>
          <w:tcPr>
            <w:tcW w:w="1308" w:type="dxa"/>
            <w:tcBorders>
              <w:top w:val="single" w:color="auto" w:sz="4" w:space="0"/>
              <w:left w:val="single" w:color="auto" w:sz="4" w:space="0"/>
              <w:bottom w:val="single" w:color="auto" w:sz="4" w:space="0"/>
              <w:right w:val="single" w:color="auto" w:sz="4" w:space="0"/>
            </w:tcBorders>
            <w:vAlign w:val="center"/>
          </w:tcPr>
          <w:p w14:paraId="0439E575">
            <w:pPr>
              <w:jc w:val="center"/>
              <w:rPr>
                <w:rFonts w:ascii="宋体" w:hAnsi="宋体" w:cs="Calibri"/>
              </w:rPr>
            </w:pPr>
          </w:p>
        </w:tc>
        <w:tc>
          <w:tcPr>
            <w:tcW w:w="1136" w:type="dxa"/>
            <w:tcBorders>
              <w:top w:val="single" w:color="auto" w:sz="4" w:space="0"/>
              <w:left w:val="single" w:color="auto" w:sz="4" w:space="0"/>
              <w:bottom w:val="single" w:color="auto" w:sz="4" w:space="0"/>
              <w:right w:val="single" w:color="auto" w:sz="4" w:space="0"/>
            </w:tcBorders>
            <w:vAlign w:val="center"/>
          </w:tcPr>
          <w:p w14:paraId="7DE00C5F">
            <w:pPr>
              <w:jc w:val="center"/>
              <w:rPr>
                <w:rFonts w:ascii="宋体" w:hAnsi="宋体" w:cs="Calibri"/>
              </w:rPr>
            </w:pPr>
          </w:p>
        </w:tc>
        <w:tc>
          <w:tcPr>
            <w:tcW w:w="1785" w:type="dxa"/>
            <w:tcBorders>
              <w:top w:val="single" w:color="auto" w:sz="4" w:space="0"/>
              <w:left w:val="single" w:color="auto" w:sz="4" w:space="0"/>
              <w:bottom w:val="single" w:color="auto" w:sz="4" w:space="0"/>
              <w:right w:val="single" w:color="auto" w:sz="4" w:space="0"/>
            </w:tcBorders>
          </w:tcPr>
          <w:p w14:paraId="01BDF6A3">
            <w:pPr>
              <w:jc w:val="center"/>
              <w:rPr>
                <w:rFonts w:ascii="宋体" w:hAnsi="宋体" w:cs="Calibri"/>
              </w:rPr>
            </w:pPr>
          </w:p>
        </w:tc>
        <w:tc>
          <w:tcPr>
            <w:tcW w:w="1777" w:type="dxa"/>
            <w:tcBorders>
              <w:top w:val="single" w:color="auto" w:sz="4" w:space="0"/>
              <w:left w:val="single" w:color="auto" w:sz="4" w:space="0"/>
              <w:bottom w:val="single" w:color="auto" w:sz="4" w:space="0"/>
              <w:right w:val="single" w:color="auto" w:sz="4" w:space="0"/>
            </w:tcBorders>
            <w:vAlign w:val="center"/>
          </w:tcPr>
          <w:p w14:paraId="65466651">
            <w:pPr>
              <w:jc w:val="center"/>
              <w:rPr>
                <w:rFonts w:ascii="宋体" w:hAnsi="宋体" w:cs="Calibri"/>
              </w:rPr>
            </w:pPr>
          </w:p>
        </w:tc>
        <w:tc>
          <w:tcPr>
            <w:tcW w:w="1143" w:type="dxa"/>
            <w:tcBorders>
              <w:top w:val="single" w:color="auto" w:sz="4" w:space="0"/>
              <w:left w:val="single" w:color="auto" w:sz="4" w:space="0"/>
              <w:bottom w:val="single" w:color="auto" w:sz="4" w:space="0"/>
              <w:right w:val="single" w:color="auto" w:sz="4" w:space="0"/>
            </w:tcBorders>
            <w:vAlign w:val="center"/>
          </w:tcPr>
          <w:p w14:paraId="5304656B">
            <w:pPr>
              <w:jc w:val="center"/>
              <w:rPr>
                <w:rFonts w:ascii="宋体" w:hAnsi="宋体" w:cs="Calibri"/>
              </w:rPr>
            </w:pPr>
          </w:p>
        </w:tc>
      </w:tr>
      <w:tr w14:paraId="49D5E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69" w:type="dxa"/>
            <w:tcBorders>
              <w:top w:val="single" w:color="auto" w:sz="4" w:space="0"/>
              <w:left w:val="single" w:color="auto" w:sz="4" w:space="0"/>
              <w:bottom w:val="single" w:color="auto" w:sz="4" w:space="0"/>
              <w:right w:val="single" w:color="auto" w:sz="4" w:space="0"/>
            </w:tcBorders>
            <w:vAlign w:val="center"/>
          </w:tcPr>
          <w:p w14:paraId="33A2278E">
            <w:pPr>
              <w:jc w:val="center"/>
              <w:rPr>
                <w:rFonts w:ascii="宋体" w:hAnsi="宋体" w:cs="Calibri"/>
              </w:rPr>
            </w:pPr>
            <w:r>
              <w:rPr>
                <w:rFonts w:hint="eastAsia" w:ascii="宋体" w:hAnsi="宋体" w:cs="Calibri"/>
              </w:rPr>
              <w:t>4</w:t>
            </w:r>
          </w:p>
        </w:tc>
        <w:tc>
          <w:tcPr>
            <w:tcW w:w="1230" w:type="dxa"/>
            <w:tcBorders>
              <w:top w:val="single" w:color="auto" w:sz="4" w:space="0"/>
              <w:left w:val="single" w:color="auto" w:sz="4" w:space="0"/>
              <w:bottom w:val="single" w:color="auto" w:sz="4" w:space="0"/>
              <w:right w:val="single" w:color="auto" w:sz="4" w:space="0"/>
            </w:tcBorders>
            <w:vAlign w:val="center"/>
          </w:tcPr>
          <w:p w14:paraId="08E30E8C">
            <w:pPr>
              <w:jc w:val="center"/>
              <w:rPr>
                <w:rFonts w:ascii="宋体" w:hAnsi="宋体" w:cs="Calibri"/>
              </w:rPr>
            </w:pPr>
          </w:p>
        </w:tc>
        <w:tc>
          <w:tcPr>
            <w:tcW w:w="1308" w:type="dxa"/>
            <w:tcBorders>
              <w:top w:val="single" w:color="auto" w:sz="4" w:space="0"/>
              <w:left w:val="single" w:color="auto" w:sz="4" w:space="0"/>
              <w:bottom w:val="single" w:color="auto" w:sz="4" w:space="0"/>
              <w:right w:val="single" w:color="auto" w:sz="4" w:space="0"/>
            </w:tcBorders>
            <w:vAlign w:val="center"/>
          </w:tcPr>
          <w:p w14:paraId="0F86173A">
            <w:pPr>
              <w:jc w:val="center"/>
              <w:rPr>
                <w:rFonts w:ascii="宋体" w:hAnsi="宋体" w:cs="Calibri"/>
              </w:rPr>
            </w:pPr>
          </w:p>
        </w:tc>
        <w:tc>
          <w:tcPr>
            <w:tcW w:w="1136" w:type="dxa"/>
            <w:tcBorders>
              <w:top w:val="single" w:color="auto" w:sz="4" w:space="0"/>
              <w:left w:val="single" w:color="auto" w:sz="4" w:space="0"/>
              <w:bottom w:val="single" w:color="auto" w:sz="4" w:space="0"/>
              <w:right w:val="single" w:color="auto" w:sz="4" w:space="0"/>
            </w:tcBorders>
            <w:vAlign w:val="center"/>
          </w:tcPr>
          <w:p w14:paraId="7BBED311">
            <w:pPr>
              <w:jc w:val="center"/>
              <w:rPr>
                <w:rFonts w:ascii="宋体" w:hAnsi="宋体" w:cs="Calibri"/>
              </w:rPr>
            </w:pPr>
          </w:p>
        </w:tc>
        <w:tc>
          <w:tcPr>
            <w:tcW w:w="1785" w:type="dxa"/>
            <w:tcBorders>
              <w:top w:val="single" w:color="auto" w:sz="4" w:space="0"/>
              <w:left w:val="single" w:color="auto" w:sz="4" w:space="0"/>
              <w:bottom w:val="single" w:color="auto" w:sz="4" w:space="0"/>
              <w:right w:val="single" w:color="auto" w:sz="4" w:space="0"/>
            </w:tcBorders>
          </w:tcPr>
          <w:p w14:paraId="1CFB30C2">
            <w:pPr>
              <w:jc w:val="center"/>
              <w:rPr>
                <w:rFonts w:ascii="宋体" w:hAnsi="宋体" w:cs="Calibri"/>
              </w:rPr>
            </w:pPr>
          </w:p>
        </w:tc>
        <w:tc>
          <w:tcPr>
            <w:tcW w:w="1777" w:type="dxa"/>
            <w:tcBorders>
              <w:top w:val="single" w:color="auto" w:sz="4" w:space="0"/>
              <w:left w:val="single" w:color="auto" w:sz="4" w:space="0"/>
              <w:bottom w:val="single" w:color="auto" w:sz="4" w:space="0"/>
              <w:right w:val="single" w:color="auto" w:sz="4" w:space="0"/>
            </w:tcBorders>
            <w:vAlign w:val="center"/>
          </w:tcPr>
          <w:p w14:paraId="4F4C493F">
            <w:pPr>
              <w:jc w:val="center"/>
              <w:rPr>
                <w:rFonts w:ascii="宋体" w:hAnsi="宋体" w:cs="Calibri"/>
              </w:rPr>
            </w:pPr>
          </w:p>
        </w:tc>
        <w:tc>
          <w:tcPr>
            <w:tcW w:w="1143" w:type="dxa"/>
            <w:tcBorders>
              <w:top w:val="single" w:color="auto" w:sz="4" w:space="0"/>
              <w:left w:val="single" w:color="auto" w:sz="4" w:space="0"/>
              <w:bottom w:val="single" w:color="auto" w:sz="4" w:space="0"/>
              <w:right w:val="single" w:color="auto" w:sz="4" w:space="0"/>
            </w:tcBorders>
            <w:vAlign w:val="center"/>
          </w:tcPr>
          <w:p w14:paraId="3ED1BDDB">
            <w:pPr>
              <w:jc w:val="center"/>
              <w:rPr>
                <w:rFonts w:ascii="宋体" w:hAnsi="宋体" w:cs="Calibri"/>
              </w:rPr>
            </w:pPr>
          </w:p>
        </w:tc>
      </w:tr>
      <w:tr w14:paraId="1BE20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69" w:type="dxa"/>
            <w:tcBorders>
              <w:top w:val="single" w:color="auto" w:sz="4" w:space="0"/>
              <w:left w:val="single" w:color="auto" w:sz="4" w:space="0"/>
              <w:bottom w:val="single" w:color="auto" w:sz="4" w:space="0"/>
              <w:right w:val="single" w:color="auto" w:sz="4" w:space="0"/>
            </w:tcBorders>
            <w:vAlign w:val="center"/>
          </w:tcPr>
          <w:p w14:paraId="5E2F2833">
            <w:pPr>
              <w:rPr>
                <w:rFonts w:ascii="宋体" w:hAnsi="宋体"/>
              </w:rPr>
            </w:pPr>
            <w:r>
              <w:rPr>
                <w:rFonts w:hint="eastAsia" w:ascii="宋体" w:hAnsi="宋体"/>
              </w:rPr>
              <w:t>…</w:t>
            </w:r>
          </w:p>
        </w:tc>
        <w:tc>
          <w:tcPr>
            <w:tcW w:w="1230" w:type="dxa"/>
            <w:tcBorders>
              <w:top w:val="single" w:color="auto" w:sz="4" w:space="0"/>
              <w:left w:val="single" w:color="auto" w:sz="4" w:space="0"/>
              <w:bottom w:val="single" w:color="auto" w:sz="4" w:space="0"/>
              <w:right w:val="single" w:color="auto" w:sz="4" w:space="0"/>
            </w:tcBorders>
            <w:vAlign w:val="center"/>
          </w:tcPr>
          <w:p w14:paraId="4957F414">
            <w:pPr>
              <w:rPr>
                <w:rFonts w:ascii="宋体" w:hAnsi="宋体"/>
              </w:rPr>
            </w:pPr>
          </w:p>
        </w:tc>
        <w:tc>
          <w:tcPr>
            <w:tcW w:w="1308" w:type="dxa"/>
            <w:tcBorders>
              <w:top w:val="single" w:color="auto" w:sz="4" w:space="0"/>
              <w:left w:val="single" w:color="auto" w:sz="4" w:space="0"/>
              <w:bottom w:val="single" w:color="auto" w:sz="4" w:space="0"/>
              <w:right w:val="single" w:color="auto" w:sz="4" w:space="0"/>
            </w:tcBorders>
            <w:vAlign w:val="center"/>
          </w:tcPr>
          <w:p w14:paraId="60D565E6">
            <w:pPr>
              <w:rPr>
                <w:rFonts w:ascii="宋体" w:hAnsi="宋体"/>
              </w:rPr>
            </w:pPr>
          </w:p>
        </w:tc>
        <w:tc>
          <w:tcPr>
            <w:tcW w:w="1136" w:type="dxa"/>
            <w:tcBorders>
              <w:top w:val="single" w:color="auto" w:sz="4" w:space="0"/>
              <w:left w:val="single" w:color="auto" w:sz="4" w:space="0"/>
              <w:bottom w:val="single" w:color="auto" w:sz="4" w:space="0"/>
              <w:right w:val="single" w:color="auto" w:sz="4" w:space="0"/>
            </w:tcBorders>
            <w:vAlign w:val="center"/>
          </w:tcPr>
          <w:p w14:paraId="0703FA2A">
            <w:pPr>
              <w:rPr>
                <w:rFonts w:ascii="宋体" w:hAnsi="宋体"/>
              </w:rPr>
            </w:pPr>
          </w:p>
        </w:tc>
        <w:tc>
          <w:tcPr>
            <w:tcW w:w="1785" w:type="dxa"/>
            <w:tcBorders>
              <w:top w:val="single" w:color="auto" w:sz="4" w:space="0"/>
              <w:left w:val="single" w:color="auto" w:sz="4" w:space="0"/>
              <w:bottom w:val="single" w:color="auto" w:sz="4" w:space="0"/>
              <w:right w:val="single" w:color="auto" w:sz="4" w:space="0"/>
            </w:tcBorders>
          </w:tcPr>
          <w:p w14:paraId="304C38A2">
            <w:pPr>
              <w:rPr>
                <w:rFonts w:ascii="宋体" w:hAnsi="宋体"/>
              </w:rPr>
            </w:pPr>
          </w:p>
        </w:tc>
        <w:tc>
          <w:tcPr>
            <w:tcW w:w="1777" w:type="dxa"/>
            <w:tcBorders>
              <w:top w:val="single" w:color="auto" w:sz="4" w:space="0"/>
              <w:left w:val="single" w:color="auto" w:sz="4" w:space="0"/>
              <w:bottom w:val="single" w:color="auto" w:sz="4" w:space="0"/>
              <w:right w:val="single" w:color="auto" w:sz="4" w:space="0"/>
            </w:tcBorders>
            <w:vAlign w:val="center"/>
          </w:tcPr>
          <w:p w14:paraId="052094AD">
            <w:pPr>
              <w:rPr>
                <w:rFonts w:ascii="宋体" w:hAns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611AAF43">
            <w:pPr>
              <w:rPr>
                <w:rFonts w:ascii="宋体" w:hAnsi="宋体"/>
              </w:rPr>
            </w:pPr>
          </w:p>
        </w:tc>
      </w:tr>
    </w:tbl>
    <w:p w14:paraId="774E4407">
      <w:pPr>
        <w:spacing w:line="360" w:lineRule="auto"/>
        <w:ind w:firstLine="210" w:firstLineChars="100"/>
        <w:rPr>
          <w:rFonts w:ascii="宋体" w:hAnsi="宋体"/>
        </w:rPr>
      </w:pPr>
    </w:p>
    <w:p w14:paraId="49238070">
      <w:pPr>
        <w:spacing w:line="360" w:lineRule="auto"/>
        <w:ind w:firstLine="210" w:firstLineChars="100"/>
        <w:rPr>
          <w:rFonts w:ascii="宋体" w:hAnsi="宋体"/>
        </w:rPr>
      </w:pPr>
      <w:r>
        <w:rPr>
          <w:rFonts w:ascii="宋体" w:hAnsi="宋体"/>
        </w:rPr>
        <w:t>注：1、请附相关证明材料，如职称、资格证书，荣誉证书等（加盖公章）。</w:t>
      </w:r>
    </w:p>
    <w:p w14:paraId="247AC6E0">
      <w:pPr>
        <w:rPr>
          <w:rFonts w:ascii="宋体" w:hAnsi="宋体"/>
          <w:highlight w:val="yellow"/>
        </w:rPr>
      </w:pPr>
    </w:p>
    <w:p w14:paraId="391ED4E3">
      <w:pPr>
        <w:spacing w:line="360" w:lineRule="auto"/>
        <w:jc w:val="left"/>
        <w:rPr>
          <w:rFonts w:ascii="宋体" w:hAnsi="宋体"/>
          <w:b/>
          <w:bCs/>
          <w:spacing w:val="-4"/>
          <w:kern w:val="0"/>
        </w:rPr>
      </w:pPr>
    </w:p>
    <w:p w14:paraId="18975606">
      <w:pPr>
        <w:snapToGrid w:val="0"/>
        <w:spacing w:before="50" w:after="50"/>
        <w:ind w:left="-23" w:leftChars="-11" w:right="-817" w:rightChars="-389"/>
        <w:rPr>
          <w:rFonts w:asciiTheme="minorEastAsia" w:hAnsiTheme="minorEastAsia" w:eastAsiaTheme="minorEastAsia"/>
        </w:rPr>
      </w:pPr>
      <w:r>
        <w:rPr>
          <w:rFonts w:hint="eastAsia" w:asciiTheme="minorEastAsia" w:hAnsiTheme="minorEastAsia" w:eastAsiaTheme="minorEastAsia"/>
        </w:rPr>
        <w:t>法定代表人（负责人）签字或盖章：</w:t>
      </w:r>
    </w:p>
    <w:p w14:paraId="1BFCD21F">
      <w:pPr>
        <w:snapToGrid w:val="0"/>
        <w:spacing w:before="50" w:after="120" w:afterLines="50"/>
        <w:jc w:val="left"/>
        <w:rPr>
          <w:rFonts w:asciiTheme="minorEastAsia" w:hAnsiTheme="minorEastAsia" w:eastAsiaTheme="minorEastAsia"/>
          <w:spacing w:val="20"/>
          <w:szCs w:val="21"/>
        </w:rPr>
      </w:pPr>
    </w:p>
    <w:p w14:paraId="6834C56D">
      <w:pPr>
        <w:snapToGrid w:val="0"/>
        <w:spacing w:before="50" w:after="120" w:afterLines="50"/>
        <w:jc w:val="left"/>
        <w:rPr>
          <w:rFonts w:asciiTheme="minorEastAsia" w:hAnsiTheme="minorEastAsia" w:eastAsiaTheme="minorEastAsia"/>
          <w:spacing w:val="20"/>
          <w:szCs w:val="21"/>
        </w:rPr>
      </w:pPr>
      <w:r>
        <w:rPr>
          <w:rFonts w:hint="eastAsia" w:asciiTheme="minorEastAsia" w:hAnsiTheme="minorEastAsia" w:eastAsiaTheme="minorEastAsia"/>
          <w:spacing w:val="20"/>
          <w:szCs w:val="21"/>
        </w:rPr>
        <w:t>投标人盖章：</w:t>
      </w:r>
    </w:p>
    <w:p w14:paraId="5D756CFD">
      <w:pPr>
        <w:pStyle w:val="3"/>
        <w:rPr>
          <w:rFonts w:asciiTheme="minorEastAsia" w:hAnsiTheme="minorEastAsia" w:eastAsiaTheme="minorEastAsia"/>
        </w:rPr>
      </w:pPr>
    </w:p>
    <w:p w14:paraId="406879EA">
      <w:pPr>
        <w:snapToGrid w:val="0"/>
        <w:spacing w:before="50" w:after="120" w:afterLines="50"/>
        <w:jc w:val="left"/>
        <w:rPr>
          <w:rFonts w:asciiTheme="minorEastAsia" w:hAnsiTheme="minorEastAsia" w:eastAsiaTheme="minorEastAsia"/>
          <w:sz w:val="24"/>
        </w:rPr>
        <w:sectPr>
          <w:pgSz w:w="11906" w:h="16838"/>
          <w:pgMar w:top="1106" w:right="1531" w:bottom="1304" w:left="1531" w:header="1304" w:footer="1304" w:gutter="0"/>
          <w:cols w:space="0" w:num="1"/>
        </w:sectPr>
      </w:pPr>
      <w:r>
        <w:rPr>
          <w:rFonts w:hint="eastAsia" w:asciiTheme="minorEastAsia" w:hAnsiTheme="minorEastAsia" w:eastAsiaTheme="minorEastAsia"/>
          <w:spacing w:val="20"/>
          <w:szCs w:val="21"/>
        </w:rPr>
        <w:t>年    月    日</w:t>
      </w:r>
    </w:p>
    <w:p w14:paraId="657AD44B">
      <w:pPr>
        <w:ind w:firstLine="420"/>
        <w:rPr>
          <w:rFonts w:asciiTheme="minorEastAsia" w:hAnsiTheme="minorEastAsia" w:eastAsiaTheme="minorEastAsia"/>
          <w:b/>
          <w:sz w:val="32"/>
        </w:rPr>
      </w:pPr>
      <w:r>
        <w:rPr>
          <w:rFonts w:hint="eastAsia" w:asciiTheme="minorEastAsia" w:hAnsiTheme="minorEastAsia" w:eastAsiaTheme="minorEastAsia"/>
          <w:b/>
          <w:sz w:val="32"/>
        </w:rPr>
        <w:t>十</w:t>
      </w:r>
      <w:r>
        <w:rPr>
          <w:rFonts w:hint="eastAsia" w:asciiTheme="minorEastAsia" w:hAnsiTheme="minorEastAsia" w:eastAsiaTheme="minorEastAsia"/>
          <w:b/>
          <w:sz w:val="32"/>
          <w:lang w:val="en-US" w:eastAsia="zh-CN"/>
        </w:rPr>
        <w:t>一</w:t>
      </w:r>
      <w:r>
        <w:rPr>
          <w:rFonts w:hint="eastAsia" w:asciiTheme="minorEastAsia" w:hAnsiTheme="minorEastAsia" w:eastAsiaTheme="minorEastAsia"/>
          <w:b/>
          <w:sz w:val="32"/>
        </w:rPr>
        <w:t>、政府采购投标人质疑函范本</w:t>
      </w:r>
    </w:p>
    <w:tbl>
      <w:tblPr>
        <w:tblStyle w:val="23"/>
        <w:tblW w:w="9299" w:type="dxa"/>
        <w:jc w:val="center"/>
        <w:tblCellSpacing w:w="0" w:type="dxa"/>
        <w:tblLayout w:type="fixed"/>
        <w:tblCellMar>
          <w:top w:w="0" w:type="dxa"/>
          <w:left w:w="0" w:type="dxa"/>
          <w:bottom w:w="0" w:type="dxa"/>
          <w:right w:w="0" w:type="dxa"/>
        </w:tblCellMar>
      </w:tblPr>
      <w:tblGrid>
        <w:gridCol w:w="9299"/>
      </w:tblGrid>
      <w:tr w14:paraId="3FB308AA">
        <w:tblPrEx>
          <w:tblCellMar>
            <w:top w:w="0" w:type="dxa"/>
            <w:left w:w="0" w:type="dxa"/>
            <w:bottom w:w="0" w:type="dxa"/>
            <w:right w:w="0" w:type="dxa"/>
          </w:tblCellMar>
        </w:tblPrEx>
        <w:trPr>
          <w:trHeight w:val="4996" w:hRule="atLeast"/>
          <w:tblCellSpacing w:w="0" w:type="dxa"/>
          <w:jc w:val="center"/>
        </w:trPr>
        <w:tc>
          <w:tcPr>
            <w:tcW w:w="9299" w:type="dxa"/>
            <w:vAlign w:val="center"/>
          </w:tcPr>
          <w:tbl>
            <w:tblPr>
              <w:tblStyle w:val="23"/>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02F1AA88">
              <w:tblPrEx>
                <w:shd w:val="clear" w:color="auto" w:fill="FFFFFF"/>
                <w:tblCellMar>
                  <w:top w:w="0" w:type="dxa"/>
                  <w:left w:w="0" w:type="dxa"/>
                  <w:bottom w:w="0" w:type="dxa"/>
                  <w:right w:w="0" w:type="dxa"/>
                </w:tblCellMar>
              </w:tblPrEx>
              <w:trPr>
                <w:trHeight w:val="4830" w:hRule="atLeast"/>
                <w:tblCellSpacing w:w="0" w:type="dxa"/>
              </w:trPr>
              <w:tc>
                <w:tcPr>
                  <w:tcW w:w="9299" w:type="dxa"/>
                  <w:shd w:val="clear" w:color="auto" w:fill="FFFFFF"/>
                </w:tcPr>
                <w:tbl>
                  <w:tblPr>
                    <w:tblStyle w:val="23"/>
                    <w:tblW w:w="7904" w:type="dxa"/>
                    <w:jc w:val="center"/>
                    <w:tblCellSpacing w:w="0" w:type="dxa"/>
                    <w:tblLayout w:type="fixed"/>
                    <w:tblCellMar>
                      <w:top w:w="0" w:type="dxa"/>
                      <w:left w:w="0" w:type="dxa"/>
                      <w:bottom w:w="0" w:type="dxa"/>
                      <w:right w:w="0" w:type="dxa"/>
                    </w:tblCellMar>
                  </w:tblPr>
                  <w:tblGrid>
                    <w:gridCol w:w="7904"/>
                  </w:tblGrid>
                  <w:tr w14:paraId="79CDE276">
                    <w:tblPrEx>
                      <w:tblCellMar>
                        <w:top w:w="0" w:type="dxa"/>
                        <w:left w:w="0" w:type="dxa"/>
                        <w:bottom w:w="0" w:type="dxa"/>
                        <w:right w:w="0" w:type="dxa"/>
                      </w:tblCellMar>
                    </w:tblPrEx>
                    <w:trPr>
                      <w:trHeight w:val="4980" w:hRule="atLeast"/>
                      <w:tblCellSpacing w:w="0" w:type="dxa"/>
                      <w:jc w:val="center"/>
                    </w:trPr>
                    <w:tc>
                      <w:tcPr>
                        <w:tcW w:w="7904" w:type="dxa"/>
                        <w:vAlign w:val="center"/>
                      </w:tcPr>
                      <w:p w14:paraId="1178DA9B">
                        <w:pPr>
                          <w:widowControl/>
                          <w:spacing w:beforeAutospacing="1" w:afterAutospacing="1"/>
                          <w:ind w:firstLine="422"/>
                          <w:jc w:val="center"/>
                          <w:rPr>
                            <w:rFonts w:asciiTheme="minorEastAsia" w:hAnsiTheme="minorEastAsia" w:eastAsiaTheme="minorEastAsia"/>
                            <w:sz w:val="28"/>
                            <w:szCs w:val="28"/>
                          </w:rPr>
                        </w:pPr>
                        <w:r>
                          <w:rPr>
                            <w:rFonts w:asciiTheme="minorEastAsia" w:hAnsiTheme="minorEastAsia" w:eastAsiaTheme="minorEastAsia"/>
                            <w:b/>
                            <w:kern w:val="0"/>
                            <w:sz w:val="28"/>
                            <w:szCs w:val="28"/>
                          </w:rPr>
                          <w:t>质疑函范本</w:t>
                        </w:r>
                      </w:p>
                      <w:p w14:paraId="6E21D4B8">
                        <w:pPr>
                          <w:widowControl/>
                          <w:adjustRightInd w:val="0"/>
                          <w:snapToGrid w:val="0"/>
                          <w:spacing w:before="319" w:beforeLines="100"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一</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基本信息</w:t>
                        </w:r>
                      </w:p>
                      <w:p w14:paraId="5544ECEF">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w:t>
                        </w:r>
                      </w:p>
                      <w:p w14:paraId="0023AA70">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地址：邮编：</w:t>
                        </w:r>
                      </w:p>
                      <w:p w14:paraId="2F90AB65">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联系人：联系电话：</w:t>
                        </w:r>
                      </w:p>
                      <w:p w14:paraId="1E0BC06B">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授权代表：联系电话：</w:t>
                        </w:r>
                      </w:p>
                      <w:p w14:paraId="1DCF0634">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地址： 邮编：</w:t>
                        </w:r>
                      </w:p>
                      <w:p w14:paraId="6CC6D2F3">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二</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质疑项目基本情况</w:t>
                        </w:r>
                      </w:p>
                      <w:p w14:paraId="5230197E">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质疑项目的名称：</w:t>
                        </w:r>
                      </w:p>
                      <w:p w14:paraId="4CE8EFFF">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质疑项目的编号：包号：</w:t>
                        </w:r>
                      </w:p>
                      <w:p w14:paraId="36E471DE">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采购人名称：</w:t>
                        </w:r>
                      </w:p>
                      <w:p w14:paraId="021CC1CC">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采购文件获取日期：</w:t>
                        </w:r>
                      </w:p>
                      <w:p w14:paraId="7F8B4949">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三</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质疑事项具体内容</w:t>
                        </w:r>
                      </w:p>
                      <w:p w14:paraId="208DBFB1">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质疑事项1：</w:t>
                        </w:r>
                      </w:p>
                      <w:p w14:paraId="40E1B8C1">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事实依据：</w:t>
                        </w:r>
                      </w:p>
                      <w:p w14:paraId="2F61FAEE">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法律依据：</w:t>
                        </w:r>
                      </w:p>
                      <w:p w14:paraId="1243F6D2">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质疑事项2</w:t>
                        </w:r>
                      </w:p>
                      <w:p w14:paraId="646CA8F3">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w:t>
                        </w:r>
                      </w:p>
                      <w:p w14:paraId="1F5D5A7A">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四</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与质疑事项相关的质疑请求</w:t>
                        </w:r>
                      </w:p>
                      <w:p w14:paraId="596CD776">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请求：</w:t>
                        </w:r>
                      </w:p>
                      <w:p w14:paraId="4FE4802C">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 xml:space="preserve">签字(签章)：                   公章：                      </w:t>
                        </w:r>
                      </w:p>
                      <w:p w14:paraId="2D056A4C">
                        <w:pPr>
                          <w:widowControl/>
                          <w:spacing w:beforeAutospacing="1" w:afterAutospacing="1"/>
                          <w:ind w:firstLine="420"/>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日期：   </w:t>
                        </w:r>
                      </w:p>
                      <w:p w14:paraId="36006AAD">
                        <w:pPr>
                          <w:pStyle w:val="3"/>
                          <w:rPr>
                            <w:rFonts w:asciiTheme="minorEastAsia" w:hAnsiTheme="minorEastAsia" w:eastAsiaTheme="minorEastAsia"/>
                          </w:rPr>
                        </w:pPr>
                      </w:p>
                      <w:p w14:paraId="4A5E9005">
                        <w:pPr>
                          <w:widowControl/>
                          <w:spacing w:beforeAutospacing="1" w:afterAutospacing="1"/>
                          <w:ind w:firstLine="422"/>
                          <w:jc w:val="left"/>
                          <w:rPr>
                            <w:rFonts w:asciiTheme="minorEastAsia" w:hAnsiTheme="minorEastAsia" w:eastAsiaTheme="minorEastAsia"/>
                            <w:szCs w:val="21"/>
                          </w:rPr>
                        </w:pPr>
                        <w:r>
                          <w:rPr>
                            <w:rFonts w:asciiTheme="minorEastAsia" w:hAnsiTheme="minorEastAsia" w:eastAsiaTheme="minorEastAsia"/>
                            <w:b/>
                            <w:kern w:val="0"/>
                            <w:szCs w:val="21"/>
                          </w:rPr>
                          <w:t>质疑函制作说明：</w:t>
                        </w:r>
                      </w:p>
                      <w:p w14:paraId="240CEC73">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提出质疑时，应提交质疑函和必要的证明材料。</w:t>
                        </w:r>
                      </w:p>
                      <w:p w14:paraId="3985C21C">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2.质疑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若委托代理人进行质疑的，质疑函应按要求列明“授权代表”的有关内容，并在附件中提交由质疑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签署的授权委托书。授权委托书应载明代理人的姓名或者名称、代理事项、具体权限、期限和相关事项。</w:t>
                        </w:r>
                      </w:p>
                      <w:p w14:paraId="754DF937">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3.质疑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若对项目的某一分包进行质疑，质疑函中应列明具体分包号。</w:t>
                        </w:r>
                      </w:p>
                      <w:p w14:paraId="1533ACC0">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4.质疑函的质疑事项应具体、明确，并有必要的事实依据和法律依据。</w:t>
                        </w:r>
                      </w:p>
                      <w:p w14:paraId="675048E0">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5.质疑函的质疑请求应与质疑事项相关。</w:t>
                        </w:r>
                      </w:p>
                      <w:p w14:paraId="247FEE25">
                        <w:pPr>
                          <w:widowControl/>
                          <w:spacing w:before="100" w:beforeAutospacing="1" w:after="100" w:afterAutospacing="1"/>
                          <w:ind w:firstLine="420"/>
                          <w:jc w:val="left"/>
                          <w:rPr>
                            <w:rFonts w:asciiTheme="minorEastAsia" w:hAnsiTheme="minorEastAsia" w:eastAsiaTheme="minorEastAsia"/>
                          </w:rPr>
                        </w:pPr>
                        <w:r>
                          <w:rPr>
                            <w:rFonts w:asciiTheme="minorEastAsia" w:hAnsiTheme="minorEastAsia" w:eastAsiaTheme="minorEastAsia"/>
                            <w:kern w:val="0"/>
                            <w:szCs w:val="21"/>
                          </w:rPr>
                          <w:t>6.质疑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为自然人的，质疑函应由本人签字；质疑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为法人或者其他组织的，质疑函应由法定代表人、主要负责人，或者其授权代表签字或者盖章，并加盖公章。</w:t>
                        </w:r>
                      </w:p>
                    </w:tc>
                  </w:tr>
                </w:tbl>
                <w:p w14:paraId="191DFBA0">
                  <w:pPr>
                    <w:ind w:firstLine="360"/>
                    <w:jc w:val="center"/>
                    <w:rPr>
                      <w:rFonts w:asciiTheme="minorEastAsia" w:hAnsiTheme="minorEastAsia" w:eastAsiaTheme="minorEastAsia"/>
                      <w:sz w:val="18"/>
                      <w:szCs w:val="18"/>
                    </w:rPr>
                  </w:pPr>
                </w:p>
              </w:tc>
            </w:tr>
          </w:tbl>
          <w:p w14:paraId="3117C070">
            <w:pPr>
              <w:spacing w:line="432" w:lineRule="auto"/>
              <w:ind w:firstLine="360"/>
              <w:jc w:val="center"/>
              <w:rPr>
                <w:rFonts w:asciiTheme="minorEastAsia" w:hAnsiTheme="minorEastAsia" w:eastAsiaTheme="minorEastAsia"/>
                <w:sz w:val="18"/>
                <w:szCs w:val="18"/>
              </w:rPr>
            </w:pPr>
          </w:p>
        </w:tc>
      </w:tr>
    </w:tbl>
    <w:p w14:paraId="3FCFC8D6">
      <w:pPr>
        <w:pStyle w:val="32"/>
        <w:rPr>
          <w:rFonts w:ascii="Times New Roman"/>
        </w:rPr>
      </w:pPr>
    </w:p>
    <w:sectPr>
      <w:headerReference r:id="rId5" w:type="default"/>
      <w:footerReference r:id="rId6"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1FF"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9CC2">
    <w:pPr>
      <w:pStyle w:val="16"/>
      <w:jc w:val="center"/>
      <w:rPr>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132C19">
                          <w:pPr>
                            <w:pStyle w:val="16"/>
                          </w:pPr>
                          <w:r>
                            <w:t>第</w:t>
                          </w:r>
                          <w:r>
                            <w:fldChar w:fldCharType="begin"/>
                          </w:r>
                          <w:r>
                            <w:instrText xml:space="preserve"> PAGE  \* MERGEFORMAT </w:instrText>
                          </w:r>
                          <w:r>
                            <w:fldChar w:fldCharType="separate"/>
                          </w:r>
                          <w:r>
                            <w:t>43</w:t>
                          </w:r>
                          <w:r>
                            <w:fldChar w:fldCharType="end"/>
                          </w:r>
                          <w:r>
                            <w:t>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14:paraId="1B132C19">
                    <w:pPr>
                      <w:pStyle w:val="16"/>
                    </w:pPr>
                    <w:r>
                      <w:t>第</w:t>
                    </w:r>
                    <w:r>
                      <w:fldChar w:fldCharType="begin"/>
                    </w:r>
                    <w:r>
                      <w:instrText xml:space="preserve"> PAGE  \* MERGEFORMAT </w:instrText>
                    </w:r>
                    <w:r>
                      <w:fldChar w:fldCharType="separate"/>
                    </w:r>
                    <w:r>
                      <w:t>43</w:t>
                    </w:r>
                    <w:r>
                      <w:fldChar w:fldCharType="end"/>
                    </w:r>
                    <w:r>
                      <w:t>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7A7E50A"/>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ESqQoCAAATBAAADgAAAGRycy9lMm9Eb2MueG1srVNLjhMxEN0jcQfL&#10;e9JJkFDUSmc0TBSENHykgQM4bnfaou2yyk66wwHgBqzYsOdcOceU7XQYhs0s2Fhlu+pVvefn5dVg&#10;OnZQ6DXYis8mU86UlVBru6v450+bFwvOfBC2Fh1YVfGj8vxq9fzZsnelmkMLXa2QEYj1Ze8q3obg&#10;yqLwslVG+Ak4ZemyATQi0BZ3RY2iJ3TTFfPp9FXRA9YOQSrv6XSdL/kZEZ8CCE2jpVqD3BtlQ0ZF&#10;1YlAlHyrneerNG3TKBk+NI1XgXUVJ6YhrdSE4m1ci9VSlDsUrtXyPIJ4ygiPOBmhLTW9QK1FEGyP&#10;+h8ooyWChyZMJJgiE0mKEIvZ9JE2d61wKnEhqb27iO7/H6x8f/iITNcVf8mZFYYe/PTj++nn79Ov&#10;b2w2i/r0zpeUducoMQyvYSDXJK7e3YL84pmFm1bYnbpGhL5Voqb5UmXxoDTj+Aiy7d9BTY3EPkAC&#10;Gho0UTySgxE6vc3x8jZqCEzGlov5YjGlK0l344amK0Q5ljv04Y0Cw2JQcaTHT/DicOtDTh1TYjcL&#10;G911yQCd/euAMPOJSg46V0cycf7MJAzb4SzOFuoj0ULI7qK/RUEL+JWznpxVcUsfibPurSVhognH&#10;AMdgOwbCSiqseOAshzchm3XvUO9awh2lvybxNjrRioPlGUiOuCGvJGHOvo5mfLhPWX/+8u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NhBEqkKAgAAEwQAAA4AAAAAAAAAAQAgAAAAHgEAAGRy&#10;cy9lMm9Eb2MueG1sUEsFBgAAAAAGAAYAWQEAAJoFAAAAAA==&#10;">
              <v:fill on="f" focussize="0,0"/>
              <v:stroke on="f"/>
              <v:imagedata o:title=""/>
              <o:lock v:ext="edit" aspectratio="f"/>
              <v:textbox inset="0mm,0mm,0mm,0mm" style="mso-fit-shape-to-text:t;">
                <w:txbxContent>
                  <w:p w14:paraId="67A7E50A"/>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3D896">
    <w:pPr>
      <w:pStyle w:val="1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6898A3">
                          <w:pPr>
                            <w:pStyle w:val="16"/>
                          </w:pPr>
                          <w:r>
                            <w:t>第</w:t>
                          </w:r>
                          <w:r>
                            <w:fldChar w:fldCharType="begin"/>
                          </w:r>
                          <w:r>
                            <w:instrText xml:space="preserve"> PAGE  \* MERGEFORMAT </w:instrText>
                          </w:r>
                          <w:r>
                            <w:fldChar w:fldCharType="separate"/>
                          </w:r>
                          <w:r>
                            <w:t>1</w:t>
                          </w:r>
                          <w:r>
                            <w:fldChar w:fldCharType="end"/>
                          </w:r>
                          <w:r>
                            <w:t>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pzjsYBAACbAwAADgAAAGRycy9lMm9Eb2MueG1srVNLbtswEN0X6B0I&#10;7mspRhE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U1v+bMCkMPfv754/zrz/n3d/Y2&#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5anOOxgEAAJsDAAAOAAAAAAAAAAEAIAAAAB4BAABkcnMvZTJvRG9jLnht&#10;bFBLBQYAAAAABgAGAFkBAABWBQAAAAA=&#10;">
              <v:fill on="f" focussize="0,0"/>
              <v:stroke on="f"/>
              <v:imagedata o:title=""/>
              <o:lock v:ext="edit" aspectratio="f"/>
              <v:textbox inset="0mm,0mm,0mm,0mm" style="mso-fit-shape-to-text:t;">
                <w:txbxContent>
                  <w:p w14:paraId="186898A3">
                    <w:pPr>
                      <w:pStyle w:val="16"/>
                    </w:pPr>
                    <w:r>
                      <w:t>第</w:t>
                    </w:r>
                    <w:r>
                      <w:fldChar w:fldCharType="begin"/>
                    </w:r>
                    <w:r>
                      <w:instrText xml:space="preserve"> PAGE  \* MERGEFORMAT </w:instrText>
                    </w:r>
                    <w:r>
                      <w:fldChar w:fldCharType="separate"/>
                    </w:r>
                    <w:r>
                      <w:t>1</w:t>
                    </w:r>
                    <w:r>
                      <w:fldChar w:fldCharType="end"/>
                    </w:r>
                    <w:r>
                      <w:t>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2938780</wp:posOffset>
              </wp:positionH>
              <wp:positionV relativeFrom="paragraph">
                <wp:posOffset>-57785</wp:posOffset>
              </wp:positionV>
              <wp:extent cx="122555" cy="212725"/>
              <wp:effectExtent l="0" t="0" r="0" b="0"/>
              <wp:wrapNone/>
              <wp:docPr id="4"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22555" cy="212725"/>
                      </a:xfrm>
                      <a:prstGeom prst="rect">
                        <a:avLst/>
                      </a:prstGeom>
                      <a:noFill/>
                      <a:ln>
                        <a:noFill/>
                      </a:ln>
                      <a:effectLst/>
                    </wps:spPr>
                    <wps:txbx>
                      <w:txbxContent>
                        <w:p w14:paraId="5F112467">
                          <w:pPr>
                            <w:pStyle w:val="16"/>
                          </w:pPr>
                        </w:p>
                      </w:txbxContent>
                    </wps:txbx>
                    <wps:bodyPr rot="0" vert="horz" wrap="square" lIns="0" tIns="0" rIns="0" bIns="0" anchor="t" anchorCtr="0" upright="1">
                      <a:noAutofit/>
                    </wps:bodyPr>
                  </wps:wsp>
                </a:graphicData>
              </a:graphic>
            </wp:anchor>
          </w:drawing>
        </mc:Choice>
        <mc:Fallback>
          <w:pict>
            <v:shape id="文本框 9" o:spid="_x0000_s1026" o:spt="202" type="#_x0000_t202" style="position:absolute;left:0pt;margin-left:231.4pt;margin-top:-4.55pt;height:16.75pt;width:9.65pt;mso-position-horizontal-relative:margin;z-index:251662336;mso-width-relative:page;mso-height-relative:page;" filled="f" stroked="f" coordsize="21600,21600" o:gfxdata="UEsDBAoAAAAAAIdO4kAAAAAAAAAAAAAAAAAEAAAAZHJzL1BLAwQUAAAACACHTuJAGnl/j9gAAAAJ&#10;AQAADwAAAGRycy9kb3ducmV2LnhtbE2PzU7DMBCE70i8g7VI3Fo7URS1IZsKITghIdJw4OjE2yRq&#10;vA6x+8PbY05w29GOZr4pd1c7iTMtfnSMkKwVCOLOmZF7hI/mZbUB4YNmoyfHhPBNHnbV7U2pC+Mu&#10;XNN5H3oRQ9gXGmEIYS6k9N1AVvu1m4nj7+AWq0OUSy/Noi8x3E4yVSqXVo8cGwY909NA3XF/sgiP&#10;n1w/j19v7Xt9qMem2Sp+zY+I93eJegAR6Br+zPCLH9GhikytO7HxYkLI8jSiB4TVNgERDdkmjUeL&#10;kGYZyKqU/xdUP1BLAwQUAAAACACHTuJAWlN4uBACAAASBAAADgAAAGRycy9lMm9Eb2MueG1srVPB&#10;jtMwEL0j8Q+W7zRtRIGNmq6WrRYhLbDSwge4jtNYJB4zdpuUD4A/2BMX7nxXv4OxnZZlueyBSzSx&#10;Z97Me/O8OB+6lu0UOg2m5LPJlDNlJFTabEr+6ePVs1ecOS9MJVowquR75fj58umTRW8LlUMDbaWQ&#10;EYhxRW9L3nhviyxzslGdcBOwytBlDdgJT7+4ySoUPaF3bZZPpy+yHrCyCFI5R6erdMlHRHwMINS1&#10;lmoFctsp4xMqqlZ4ouQabR1fxmnrWkn/oa6d8qwtOTH18UtNKF6Hb7ZciGKDwjZajiOIx4zwgFMn&#10;tKGmJ6iV8IJtUf8D1WmJ4KD2EwldlohERYjFbPpAm9tGWBW5kNTOnkR3/w9Wvt/dINNVyZ9zZkRH&#10;Cz/cfT/8+HX4+Y2dBXl66wrKurWU54fXMJBpIlVnr0F+dszAZSPMRl0gQt8oUdF4s1CZ3StNOC6A&#10;rPt3UFEfsfUQgYYau6AdqcEInVazP61GDZ7J0DLP5/M5Z5Ku8ln+Mp/HDqI4Flt0/o2CjoWg5Eib&#10;j+Bid+18GEYUx5TQy8CVbtu4/db8dUCJ6URF+4zVgUqYPvHww3oYpVlDtSdSCMla9LAoaAC/ctaT&#10;rUruvmwFKs7at4aECR48BngM1sdAGEmlJfecpfDSJ69uLepNQ8hJegMXJF6tI7EwWppilJysEvmO&#10;tg5evP8fs/485e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nl/j9gAAAAJAQAADwAAAAAAAAAB&#10;ACAAAAAiAAAAZHJzL2Rvd25yZXYueG1sUEsBAhQAFAAAAAgAh07iQFpTeLgQAgAAEgQAAA4AAAAA&#10;AAAAAQAgAAAAJwEAAGRycy9lMm9Eb2MueG1sUEsFBgAAAAAGAAYAWQEAAKkFAAAAAA==&#10;">
              <v:fill on="f" focussize="0,0"/>
              <v:stroke on="f"/>
              <v:imagedata o:title=""/>
              <o:lock v:ext="edit" aspectratio="f"/>
              <v:textbox inset="0mm,0mm,0mm,0mm">
                <w:txbxContent>
                  <w:p w14:paraId="5F112467">
                    <w:pPr>
                      <w:pStyle w:val="16"/>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4940"/>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a:effectLst/>
                    </wps:spPr>
                    <wps:txbx>
                      <w:txbxContent>
                        <w:p w14:paraId="1B78B24A">
                          <w:pPr>
                            <w:pStyle w:val="16"/>
                          </w:pP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2.2pt;width:9.05pt;mso-position-horizontal:center;mso-position-horizontal-relative:margin;mso-wrap-style:none;z-index:251659264;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AxYaFDDgIAABAEAAAOAAAAZHJzL2Uyb0RvYy54bWytU0tu2zAQ3Rfo&#10;HQjua9mpUySC5SCN4aJA+gHSHoCmKIuoyCGGtCX3AO0Nusqm+57L5+iQktw03WTRjTAiZ97Me/O4&#10;uOpMw/YKvQZb8NlkypmyEkpttwX//Gn94oIzH4QtRQNWFfygPL9aPn+2aF2uzqCGplTICMT6vHUF&#10;r0NweZZ5WSsj/AScsnRZARoR6Be3WYmiJXTTZGfT6ausBSwdglTe0+mqv+QDIj4FEKpKS7UCuTPK&#10;hh4VVSMCUfK1dp4v07RVpWT4UFVeBdYUnJiG9KUmFG/iN1suRL5F4WothxHEU0Z4xMkIbanpCWol&#10;gmA71P9AGS0RPFRhIsFkPZGkCLGYTR9pc1cLpxIXktq7k+j+/8HK9/uPyHRJTuDMCkMLP/74frz/&#10;dfz5jV1EeVrnc8q6c5QXutfQxdRI1btbkF88s3BTC7tV14jQ1kqUNN4sVmYPSnscH0E27TsoqY/Y&#10;BUhAXYUmApIajNBpNYfTalQXmIwtZ/PLl+ecSbqanc8v52l1mcjHYoc+vFFgWAwKjrT5BC72tz7E&#10;YUQ+psReFta6adL2G/vXASX2JyrZZ6iOVOL0PY/QbbpBmg2UByKF0FuLHhYFNeBXzlqyVcEtvSLO&#10;mreWZIkOHAMcg80YCCupsOCBsz68Cb1Tdw71tibcUfhrkm6tE604WD/DIDgZJbEdTB2d+PA/Zf15&#10;yM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4jFpNEAAAADAQAADwAAAAAAAAABACAAAAAiAAAA&#10;ZHJzL2Rvd25yZXYueG1sUEsBAhQAFAAAAAgAh07iQDFhoUMOAgAAEAQAAA4AAAAAAAAAAQAgAAAA&#10;IAEAAGRycy9lMm9Eb2MueG1sUEsFBgAAAAAGAAYAWQEAAKAFAAAAAA==&#10;">
              <v:fill on="f" focussize="0,0"/>
              <v:stroke on="f"/>
              <v:imagedata o:title=""/>
              <o:lock v:ext="edit" aspectratio="f"/>
              <v:textbox inset="0mm,0mm,0mm,0mm" style="mso-fit-shape-to-text:t;">
                <w:txbxContent>
                  <w:p w14:paraId="1B78B24A">
                    <w:pPr>
                      <w:pStyle w:val="1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A4617">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75AF9F">
                          <w:pPr>
                            <w:pStyle w:val="16"/>
                          </w:pPr>
                          <w:r>
                            <w:fldChar w:fldCharType="begin"/>
                          </w:r>
                          <w:r>
                            <w:instrText xml:space="preserve"> PAGE  \* MERGEFORMAT </w:instrText>
                          </w:r>
                          <w:r>
                            <w:fldChar w:fldCharType="separate"/>
                          </w:r>
                          <w:r>
                            <w:t>76</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2Xt0c0BAACn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ijMnLD345fu3y49fl59f2Zsk&#10;Tx+woqqHQHVxuPMDLc0cRwom1kMLNn2JD6M8iXu+iquGyGS6tF6t1yWlJOVmh/CLx+sBML5V3rJk&#10;1Bzo9bKo4vQe41g6l6Ruzt9rY/ILGvdXgDDHiMorMN1OTMaJkxWH/TDR2/vmTOx6WoOaO9p6zsw7&#10;RyqnjZkNmI39bBwD6ENHgy7zlBhuj5FGypOmDiMsMUwOvV/mOu1aWpA//Vz1+H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2Xt0c0BAACnAwAADgAAAAAAAAABACAAAAAeAQAAZHJzL2Uy&#10;b0RvYy54bWxQSwUGAAAAAAYABgBZAQAAXQUAAAAA&#10;">
              <v:fill on="f" focussize="0,0"/>
              <v:stroke on="f"/>
              <v:imagedata o:title=""/>
              <o:lock v:ext="edit" aspectratio="f"/>
              <v:textbox inset="0mm,0mm,0mm,0mm" style="mso-fit-shape-to-text:t;">
                <w:txbxContent>
                  <w:p w14:paraId="6775AF9F">
                    <w:pPr>
                      <w:pStyle w:val="1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7B95A">
    <w:pPr>
      <w:pStyle w:val="18"/>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A66C0"/>
    <w:multiLevelType w:val="singleLevel"/>
    <w:tmpl w:val="CE6A66C0"/>
    <w:lvl w:ilvl="0" w:tentative="0">
      <w:start w:val="6"/>
      <w:numFmt w:val="decimal"/>
      <w:pStyle w:val="11"/>
      <w:suff w:val="nothing"/>
      <w:lvlText w:val="%1、"/>
      <w:lvlJc w:val="left"/>
    </w:lvl>
  </w:abstractNum>
  <w:abstractNum w:abstractNumId="1">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63"/>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2">
    <w:nsid w:val="00000012"/>
    <w:multiLevelType w:val="singleLevel"/>
    <w:tmpl w:val="00000012"/>
    <w:lvl w:ilvl="0" w:tentative="0">
      <w:start w:val="1"/>
      <w:numFmt w:val="decimal"/>
      <w:pStyle w:val="7"/>
      <w:lvlText w:val="%1."/>
      <w:lvlJc w:val="left"/>
      <w:pPr>
        <w:tabs>
          <w:tab w:val="left" w:pos="360"/>
        </w:tabs>
        <w:ind w:left="360" w:hanging="360"/>
      </w:pPr>
    </w:lvl>
  </w:abstractNum>
  <w:abstractNum w:abstractNumId="3">
    <w:nsid w:val="5FBF6E48"/>
    <w:multiLevelType w:val="singleLevel"/>
    <w:tmpl w:val="5FBF6E48"/>
    <w:lvl w:ilvl="0" w:tentative="0">
      <w:start w:val="2"/>
      <w:numFmt w:val="chineseCounting"/>
      <w:suff w:val="nothing"/>
      <w:lvlText w:val="%1、"/>
      <w:lvlJc w:val="left"/>
    </w:lvl>
  </w:abstractNum>
  <w:abstractNum w:abstractNumId="4">
    <w:nsid w:val="7C246926"/>
    <w:multiLevelType w:val="singleLevel"/>
    <w:tmpl w:val="7C246926"/>
    <w:lvl w:ilvl="0" w:tentative="0">
      <w:start w:val="2"/>
      <w:numFmt w:val="decimal"/>
      <w:suff w:val="nothing"/>
      <w:lvlText w:val="%1、"/>
      <w:lvlJc w:val="left"/>
    </w:lvl>
  </w:abstractNum>
  <w:abstractNum w:abstractNumId="5">
    <w:nsid w:val="7D8D7456"/>
    <w:multiLevelType w:val="singleLevel"/>
    <w:tmpl w:val="7D8D7456"/>
    <w:lvl w:ilvl="0" w:tentative="0">
      <w:start w:val="1"/>
      <w:numFmt w:val="chineseCounting"/>
      <w:suff w:val="nothing"/>
      <w:lvlText w:val="%1、"/>
      <w:lvlJc w:val="left"/>
      <w:pPr>
        <w:ind w:left="420" w:firstLine="0"/>
      </w:pPr>
      <w:rPr>
        <w:rFonts w:hint="eastAsia"/>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OTA1MjAyZGFmMzM4MDgyNmE1ODJhODU1NWE5ZjQifQ=="/>
  </w:docVars>
  <w:rsids>
    <w:rsidRoot w:val="00AB5FE3"/>
    <w:rsid w:val="00015B48"/>
    <w:rsid w:val="000332E2"/>
    <w:rsid w:val="00055AEB"/>
    <w:rsid w:val="00083F11"/>
    <w:rsid w:val="00095672"/>
    <w:rsid w:val="000A6518"/>
    <w:rsid w:val="000B4029"/>
    <w:rsid w:val="000C592C"/>
    <w:rsid w:val="000E2FB6"/>
    <w:rsid w:val="001012FA"/>
    <w:rsid w:val="00114D92"/>
    <w:rsid w:val="00150AB5"/>
    <w:rsid w:val="00170EFD"/>
    <w:rsid w:val="001C66E0"/>
    <w:rsid w:val="001F6E2B"/>
    <w:rsid w:val="002660EA"/>
    <w:rsid w:val="0026653A"/>
    <w:rsid w:val="002734F6"/>
    <w:rsid w:val="00276989"/>
    <w:rsid w:val="002933E3"/>
    <w:rsid w:val="002A2757"/>
    <w:rsid w:val="002A4192"/>
    <w:rsid w:val="002E0C73"/>
    <w:rsid w:val="002F2F31"/>
    <w:rsid w:val="00331B67"/>
    <w:rsid w:val="003D7403"/>
    <w:rsid w:val="004125C2"/>
    <w:rsid w:val="00423EC3"/>
    <w:rsid w:val="00434257"/>
    <w:rsid w:val="00477D5F"/>
    <w:rsid w:val="00494610"/>
    <w:rsid w:val="004A07DB"/>
    <w:rsid w:val="004B636D"/>
    <w:rsid w:val="004C011E"/>
    <w:rsid w:val="00502855"/>
    <w:rsid w:val="00516EB2"/>
    <w:rsid w:val="005247BF"/>
    <w:rsid w:val="00525867"/>
    <w:rsid w:val="0054351A"/>
    <w:rsid w:val="00550624"/>
    <w:rsid w:val="005A0FB6"/>
    <w:rsid w:val="005A5D3F"/>
    <w:rsid w:val="005B3C58"/>
    <w:rsid w:val="005C368A"/>
    <w:rsid w:val="005D18B2"/>
    <w:rsid w:val="005D7CE8"/>
    <w:rsid w:val="005E4397"/>
    <w:rsid w:val="005F4E0A"/>
    <w:rsid w:val="00627BE8"/>
    <w:rsid w:val="00642F92"/>
    <w:rsid w:val="00654BBC"/>
    <w:rsid w:val="006B4F71"/>
    <w:rsid w:val="006B6D1F"/>
    <w:rsid w:val="006D5EF6"/>
    <w:rsid w:val="006E52A6"/>
    <w:rsid w:val="006F1F2B"/>
    <w:rsid w:val="00710A9C"/>
    <w:rsid w:val="00737263"/>
    <w:rsid w:val="00740D66"/>
    <w:rsid w:val="00746250"/>
    <w:rsid w:val="0077219D"/>
    <w:rsid w:val="007927F1"/>
    <w:rsid w:val="007A1DEC"/>
    <w:rsid w:val="007B3278"/>
    <w:rsid w:val="007B4776"/>
    <w:rsid w:val="007C1296"/>
    <w:rsid w:val="007C289B"/>
    <w:rsid w:val="007C67AA"/>
    <w:rsid w:val="007E4EC6"/>
    <w:rsid w:val="007E7EFA"/>
    <w:rsid w:val="008110DE"/>
    <w:rsid w:val="008250DA"/>
    <w:rsid w:val="00870FA5"/>
    <w:rsid w:val="008A527F"/>
    <w:rsid w:val="008F2716"/>
    <w:rsid w:val="009166B9"/>
    <w:rsid w:val="00922688"/>
    <w:rsid w:val="0093381A"/>
    <w:rsid w:val="00935718"/>
    <w:rsid w:val="00935D0C"/>
    <w:rsid w:val="009E5791"/>
    <w:rsid w:val="009F784C"/>
    <w:rsid w:val="00A3504B"/>
    <w:rsid w:val="00A37117"/>
    <w:rsid w:val="00A371C5"/>
    <w:rsid w:val="00A72290"/>
    <w:rsid w:val="00A77CC9"/>
    <w:rsid w:val="00A827D0"/>
    <w:rsid w:val="00AB5FE3"/>
    <w:rsid w:val="00AD04AF"/>
    <w:rsid w:val="00B217EC"/>
    <w:rsid w:val="00B272A8"/>
    <w:rsid w:val="00B343B6"/>
    <w:rsid w:val="00B42C1D"/>
    <w:rsid w:val="00B4695C"/>
    <w:rsid w:val="00B674D6"/>
    <w:rsid w:val="00BD709F"/>
    <w:rsid w:val="00BE3CBA"/>
    <w:rsid w:val="00C35166"/>
    <w:rsid w:val="00C60B9C"/>
    <w:rsid w:val="00C65778"/>
    <w:rsid w:val="00CE1B67"/>
    <w:rsid w:val="00D03B5C"/>
    <w:rsid w:val="00D07548"/>
    <w:rsid w:val="00D14BB3"/>
    <w:rsid w:val="00D1735D"/>
    <w:rsid w:val="00D473E3"/>
    <w:rsid w:val="00D52C66"/>
    <w:rsid w:val="00D55975"/>
    <w:rsid w:val="00D57D00"/>
    <w:rsid w:val="00D65A7D"/>
    <w:rsid w:val="00D745AD"/>
    <w:rsid w:val="00D811A2"/>
    <w:rsid w:val="00DA25D7"/>
    <w:rsid w:val="00DA6BD7"/>
    <w:rsid w:val="00DD32E7"/>
    <w:rsid w:val="00DF05DE"/>
    <w:rsid w:val="00E17722"/>
    <w:rsid w:val="00E32552"/>
    <w:rsid w:val="00E55224"/>
    <w:rsid w:val="00E81CA8"/>
    <w:rsid w:val="00E9404D"/>
    <w:rsid w:val="00EC5246"/>
    <w:rsid w:val="00ED6BD1"/>
    <w:rsid w:val="00EF5459"/>
    <w:rsid w:val="00F35149"/>
    <w:rsid w:val="00F36EA9"/>
    <w:rsid w:val="00F4296F"/>
    <w:rsid w:val="00F54851"/>
    <w:rsid w:val="00F5629D"/>
    <w:rsid w:val="00FA3698"/>
    <w:rsid w:val="00FB575D"/>
    <w:rsid w:val="00FD444D"/>
    <w:rsid w:val="01021E59"/>
    <w:rsid w:val="012A4559"/>
    <w:rsid w:val="014F0514"/>
    <w:rsid w:val="01592BA7"/>
    <w:rsid w:val="015E208E"/>
    <w:rsid w:val="01774C66"/>
    <w:rsid w:val="01BD7A4F"/>
    <w:rsid w:val="01CF1291"/>
    <w:rsid w:val="024F520B"/>
    <w:rsid w:val="027830E8"/>
    <w:rsid w:val="02807081"/>
    <w:rsid w:val="02893D83"/>
    <w:rsid w:val="02CE773E"/>
    <w:rsid w:val="02D653B5"/>
    <w:rsid w:val="041B0ECB"/>
    <w:rsid w:val="04274596"/>
    <w:rsid w:val="043B2EAD"/>
    <w:rsid w:val="046046C1"/>
    <w:rsid w:val="04B2747E"/>
    <w:rsid w:val="04C1766F"/>
    <w:rsid w:val="04DA1079"/>
    <w:rsid w:val="05A52CD4"/>
    <w:rsid w:val="05B31A3E"/>
    <w:rsid w:val="05C25634"/>
    <w:rsid w:val="05D85F2C"/>
    <w:rsid w:val="05EA2DDC"/>
    <w:rsid w:val="062214B6"/>
    <w:rsid w:val="06544AEA"/>
    <w:rsid w:val="06913258"/>
    <w:rsid w:val="06BD404D"/>
    <w:rsid w:val="07277465"/>
    <w:rsid w:val="072D483D"/>
    <w:rsid w:val="07780F77"/>
    <w:rsid w:val="083D43BB"/>
    <w:rsid w:val="087E6F5C"/>
    <w:rsid w:val="08BE7FAE"/>
    <w:rsid w:val="08FB569F"/>
    <w:rsid w:val="09141914"/>
    <w:rsid w:val="096919AA"/>
    <w:rsid w:val="09F620A9"/>
    <w:rsid w:val="09F82006"/>
    <w:rsid w:val="0A0E4EFB"/>
    <w:rsid w:val="0A2C2E1A"/>
    <w:rsid w:val="0A3665F0"/>
    <w:rsid w:val="0ABB4D47"/>
    <w:rsid w:val="0AC9203B"/>
    <w:rsid w:val="0B0D1154"/>
    <w:rsid w:val="0B192AC4"/>
    <w:rsid w:val="0B380146"/>
    <w:rsid w:val="0B550C94"/>
    <w:rsid w:val="0C2B1A59"/>
    <w:rsid w:val="0C5D60B6"/>
    <w:rsid w:val="0CB15F4F"/>
    <w:rsid w:val="0CD22DCF"/>
    <w:rsid w:val="0D097FEC"/>
    <w:rsid w:val="0D512DA1"/>
    <w:rsid w:val="0D6917CA"/>
    <w:rsid w:val="0D69520E"/>
    <w:rsid w:val="0D8458C4"/>
    <w:rsid w:val="0DCC638D"/>
    <w:rsid w:val="0DDA5702"/>
    <w:rsid w:val="0E9B3E36"/>
    <w:rsid w:val="0F0A04BE"/>
    <w:rsid w:val="0F234B55"/>
    <w:rsid w:val="0FD12D30"/>
    <w:rsid w:val="0FF8060C"/>
    <w:rsid w:val="108C372A"/>
    <w:rsid w:val="11894888"/>
    <w:rsid w:val="124F56A4"/>
    <w:rsid w:val="12625581"/>
    <w:rsid w:val="127001C5"/>
    <w:rsid w:val="12723D6D"/>
    <w:rsid w:val="12C02EFB"/>
    <w:rsid w:val="12F42BA4"/>
    <w:rsid w:val="134F24D1"/>
    <w:rsid w:val="136A7B0E"/>
    <w:rsid w:val="136E6DFB"/>
    <w:rsid w:val="13702B73"/>
    <w:rsid w:val="13BA0C00"/>
    <w:rsid w:val="13CC2BB4"/>
    <w:rsid w:val="141E7180"/>
    <w:rsid w:val="1436608A"/>
    <w:rsid w:val="147C462B"/>
    <w:rsid w:val="1498706D"/>
    <w:rsid w:val="15037C46"/>
    <w:rsid w:val="151246D8"/>
    <w:rsid w:val="155A7BF6"/>
    <w:rsid w:val="158F1C8D"/>
    <w:rsid w:val="159211B8"/>
    <w:rsid w:val="15CC7E09"/>
    <w:rsid w:val="16BA0531"/>
    <w:rsid w:val="16C73F68"/>
    <w:rsid w:val="16FF39CF"/>
    <w:rsid w:val="17335B1F"/>
    <w:rsid w:val="17552BDE"/>
    <w:rsid w:val="1784645F"/>
    <w:rsid w:val="178A43F9"/>
    <w:rsid w:val="17D56D11"/>
    <w:rsid w:val="180513B0"/>
    <w:rsid w:val="18155A97"/>
    <w:rsid w:val="18311585"/>
    <w:rsid w:val="18493992"/>
    <w:rsid w:val="18BC543B"/>
    <w:rsid w:val="19127B16"/>
    <w:rsid w:val="19677EFA"/>
    <w:rsid w:val="196E7353"/>
    <w:rsid w:val="19A61090"/>
    <w:rsid w:val="1A173E44"/>
    <w:rsid w:val="1A6F0DBE"/>
    <w:rsid w:val="1A8D2EA4"/>
    <w:rsid w:val="1ACD005B"/>
    <w:rsid w:val="1B5531B0"/>
    <w:rsid w:val="1B5F7806"/>
    <w:rsid w:val="1B991505"/>
    <w:rsid w:val="1B9E4E79"/>
    <w:rsid w:val="1BC712B2"/>
    <w:rsid w:val="1BC7354C"/>
    <w:rsid w:val="1BF02B1A"/>
    <w:rsid w:val="1C3339B4"/>
    <w:rsid w:val="1C3D28C6"/>
    <w:rsid w:val="1C7F5BD5"/>
    <w:rsid w:val="1D540E0F"/>
    <w:rsid w:val="1D7A639C"/>
    <w:rsid w:val="1DA67191"/>
    <w:rsid w:val="1DBA2C3C"/>
    <w:rsid w:val="1DF148B0"/>
    <w:rsid w:val="1E055E23"/>
    <w:rsid w:val="1E205195"/>
    <w:rsid w:val="1E5029D9"/>
    <w:rsid w:val="1E9B3F75"/>
    <w:rsid w:val="1ECB3AC4"/>
    <w:rsid w:val="1F4570D0"/>
    <w:rsid w:val="1F4D3D68"/>
    <w:rsid w:val="1F544CBA"/>
    <w:rsid w:val="1F7D2ED6"/>
    <w:rsid w:val="1F872796"/>
    <w:rsid w:val="1FAD2A59"/>
    <w:rsid w:val="1FEC17D3"/>
    <w:rsid w:val="20664FE1"/>
    <w:rsid w:val="207E43F5"/>
    <w:rsid w:val="20DF7FF3"/>
    <w:rsid w:val="20FB61E2"/>
    <w:rsid w:val="21216DD2"/>
    <w:rsid w:val="21460DAB"/>
    <w:rsid w:val="2150416A"/>
    <w:rsid w:val="215A39BD"/>
    <w:rsid w:val="218B7FB5"/>
    <w:rsid w:val="21B77779"/>
    <w:rsid w:val="226B7039"/>
    <w:rsid w:val="22B67BCB"/>
    <w:rsid w:val="2322550C"/>
    <w:rsid w:val="236A2858"/>
    <w:rsid w:val="23AE43A8"/>
    <w:rsid w:val="23DB3AA3"/>
    <w:rsid w:val="23FA4C14"/>
    <w:rsid w:val="24423F72"/>
    <w:rsid w:val="24531DF7"/>
    <w:rsid w:val="247D1459"/>
    <w:rsid w:val="249F7A0A"/>
    <w:rsid w:val="24B670CB"/>
    <w:rsid w:val="24BC729A"/>
    <w:rsid w:val="24C26DA3"/>
    <w:rsid w:val="254D5743"/>
    <w:rsid w:val="261B0839"/>
    <w:rsid w:val="2681319B"/>
    <w:rsid w:val="269577DC"/>
    <w:rsid w:val="26DB5A1E"/>
    <w:rsid w:val="27076EF2"/>
    <w:rsid w:val="270A274C"/>
    <w:rsid w:val="277760FE"/>
    <w:rsid w:val="27AA0707"/>
    <w:rsid w:val="280865D8"/>
    <w:rsid w:val="28213FE4"/>
    <w:rsid w:val="284659C8"/>
    <w:rsid w:val="285D57C8"/>
    <w:rsid w:val="28620159"/>
    <w:rsid w:val="28895693"/>
    <w:rsid w:val="288E3260"/>
    <w:rsid w:val="28A546A3"/>
    <w:rsid w:val="28B41ED8"/>
    <w:rsid w:val="28E148BA"/>
    <w:rsid w:val="29292343"/>
    <w:rsid w:val="297E7938"/>
    <w:rsid w:val="29D55086"/>
    <w:rsid w:val="2A222295"/>
    <w:rsid w:val="2A337A92"/>
    <w:rsid w:val="2A3514B3"/>
    <w:rsid w:val="2ACD2201"/>
    <w:rsid w:val="2AD72268"/>
    <w:rsid w:val="2B13037B"/>
    <w:rsid w:val="2B1740FA"/>
    <w:rsid w:val="2B312EE2"/>
    <w:rsid w:val="2BDC2B7A"/>
    <w:rsid w:val="2C261DCD"/>
    <w:rsid w:val="2C2C618F"/>
    <w:rsid w:val="2C386888"/>
    <w:rsid w:val="2C497180"/>
    <w:rsid w:val="2D1968E5"/>
    <w:rsid w:val="2D234E53"/>
    <w:rsid w:val="2D4031F1"/>
    <w:rsid w:val="2D6E1E26"/>
    <w:rsid w:val="2D7F7721"/>
    <w:rsid w:val="2DCE2B73"/>
    <w:rsid w:val="2E18646B"/>
    <w:rsid w:val="2E1B7727"/>
    <w:rsid w:val="2E2C575C"/>
    <w:rsid w:val="2E307482"/>
    <w:rsid w:val="2E464ACE"/>
    <w:rsid w:val="2EE459AB"/>
    <w:rsid w:val="2F4C2F05"/>
    <w:rsid w:val="2F64077E"/>
    <w:rsid w:val="2FA268ED"/>
    <w:rsid w:val="2FB45C7C"/>
    <w:rsid w:val="2FE14B66"/>
    <w:rsid w:val="2FFC6691"/>
    <w:rsid w:val="306851AA"/>
    <w:rsid w:val="30726256"/>
    <w:rsid w:val="307D2182"/>
    <w:rsid w:val="31093867"/>
    <w:rsid w:val="311939C4"/>
    <w:rsid w:val="311A6461"/>
    <w:rsid w:val="312468F3"/>
    <w:rsid w:val="31880A74"/>
    <w:rsid w:val="318B3F3A"/>
    <w:rsid w:val="321D437C"/>
    <w:rsid w:val="32235CEA"/>
    <w:rsid w:val="329D7FE3"/>
    <w:rsid w:val="32F752D1"/>
    <w:rsid w:val="33022C64"/>
    <w:rsid w:val="332603F9"/>
    <w:rsid w:val="334E36D4"/>
    <w:rsid w:val="33D82519"/>
    <w:rsid w:val="34B779E1"/>
    <w:rsid w:val="34BF7E98"/>
    <w:rsid w:val="351034A6"/>
    <w:rsid w:val="35D42696"/>
    <w:rsid w:val="363C581C"/>
    <w:rsid w:val="3667175C"/>
    <w:rsid w:val="36A9096A"/>
    <w:rsid w:val="36C24638"/>
    <w:rsid w:val="36D4391E"/>
    <w:rsid w:val="37153FC8"/>
    <w:rsid w:val="37603147"/>
    <w:rsid w:val="376B1E3E"/>
    <w:rsid w:val="37802EB4"/>
    <w:rsid w:val="3799580C"/>
    <w:rsid w:val="3851621F"/>
    <w:rsid w:val="38BB67B1"/>
    <w:rsid w:val="38BC4286"/>
    <w:rsid w:val="38F16D62"/>
    <w:rsid w:val="394F40C6"/>
    <w:rsid w:val="39B1489C"/>
    <w:rsid w:val="3A2A12F4"/>
    <w:rsid w:val="3A6073F7"/>
    <w:rsid w:val="3AF31810"/>
    <w:rsid w:val="3B441AFA"/>
    <w:rsid w:val="3B8561E0"/>
    <w:rsid w:val="3C123F18"/>
    <w:rsid w:val="3C236125"/>
    <w:rsid w:val="3C3651E0"/>
    <w:rsid w:val="3C5878FE"/>
    <w:rsid w:val="3C616C4D"/>
    <w:rsid w:val="3C6B604E"/>
    <w:rsid w:val="3C9062FC"/>
    <w:rsid w:val="3C913155"/>
    <w:rsid w:val="3CB11163"/>
    <w:rsid w:val="3CE0414D"/>
    <w:rsid w:val="3CEA089F"/>
    <w:rsid w:val="3D5512AB"/>
    <w:rsid w:val="3D707B8F"/>
    <w:rsid w:val="3DD67A3E"/>
    <w:rsid w:val="3E3348F4"/>
    <w:rsid w:val="3E945B9C"/>
    <w:rsid w:val="3E987DD7"/>
    <w:rsid w:val="3EBE0387"/>
    <w:rsid w:val="3ED04234"/>
    <w:rsid w:val="3FDB0AC5"/>
    <w:rsid w:val="40327434"/>
    <w:rsid w:val="40465373"/>
    <w:rsid w:val="40685E2D"/>
    <w:rsid w:val="40726ACA"/>
    <w:rsid w:val="40C91DE1"/>
    <w:rsid w:val="40E47442"/>
    <w:rsid w:val="41266BC6"/>
    <w:rsid w:val="416A174B"/>
    <w:rsid w:val="419B050B"/>
    <w:rsid w:val="41E92854"/>
    <w:rsid w:val="42091919"/>
    <w:rsid w:val="420E6F2F"/>
    <w:rsid w:val="4269077B"/>
    <w:rsid w:val="427A0FCC"/>
    <w:rsid w:val="4295655E"/>
    <w:rsid w:val="42B431B4"/>
    <w:rsid w:val="42C0280E"/>
    <w:rsid w:val="42C442A5"/>
    <w:rsid w:val="42CE79F1"/>
    <w:rsid w:val="42D27F5D"/>
    <w:rsid w:val="438A730F"/>
    <w:rsid w:val="43E74058"/>
    <w:rsid w:val="443316B9"/>
    <w:rsid w:val="4475773A"/>
    <w:rsid w:val="449E5981"/>
    <w:rsid w:val="44BF09B5"/>
    <w:rsid w:val="44D9323B"/>
    <w:rsid w:val="45872DBD"/>
    <w:rsid w:val="45A100BA"/>
    <w:rsid w:val="46053EB3"/>
    <w:rsid w:val="464404B6"/>
    <w:rsid w:val="46783B93"/>
    <w:rsid w:val="46C44060"/>
    <w:rsid w:val="474439F5"/>
    <w:rsid w:val="474D04FA"/>
    <w:rsid w:val="476F2BF3"/>
    <w:rsid w:val="47880771"/>
    <w:rsid w:val="479A3013"/>
    <w:rsid w:val="47A53019"/>
    <w:rsid w:val="47AC4801"/>
    <w:rsid w:val="47E06BF9"/>
    <w:rsid w:val="480F6B4E"/>
    <w:rsid w:val="48521D44"/>
    <w:rsid w:val="48A0658E"/>
    <w:rsid w:val="48BF3D66"/>
    <w:rsid w:val="49116D0A"/>
    <w:rsid w:val="499B723D"/>
    <w:rsid w:val="49AC51F9"/>
    <w:rsid w:val="49ED1B20"/>
    <w:rsid w:val="4A273550"/>
    <w:rsid w:val="4A2B2A47"/>
    <w:rsid w:val="4A2C2648"/>
    <w:rsid w:val="4A2F3EE7"/>
    <w:rsid w:val="4A934F92"/>
    <w:rsid w:val="4ABB6284"/>
    <w:rsid w:val="4AD55EAC"/>
    <w:rsid w:val="4B980BC6"/>
    <w:rsid w:val="4BA17856"/>
    <w:rsid w:val="4BBA4E3A"/>
    <w:rsid w:val="4BE2418D"/>
    <w:rsid w:val="4BFF5B3B"/>
    <w:rsid w:val="4C20442F"/>
    <w:rsid w:val="4C30370E"/>
    <w:rsid w:val="4C393582"/>
    <w:rsid w:val="4C3C7F6D"/>
    <w:rsid w:val="4C6A05F4"/>
    <w:rsid w:val="4C957A15"/>
    <w:rsid w:val="4C970618"/>
    <w:rsid w:val="4CB93F3C"/>
    <w:rsid w:val="4CBB59E0"/>
    <w:rsid w:val="4D0065ED"/>
    <w:rsid w:val="4D477AD7"/>
    <w:rsid w:val="4D9440F4"/>
    <w:rsid w:val="4DA26373"/>
    <w:rsid w:val="4E6B3684"/>
    <w:rsid w:val="4EB737C4"/>
    <w:rsid w:val="4F5503F1"/>
    <w:rsid w:val="4F643C5F"/>
    <w:rsid w:val="4F724D92"/>
    <w:rsid w:val="4F77627A"/>
    <w:rsid w:val="4F787CCC"/>
    <w:rsid w:val="4F846A83"/>
    <w:rsid w:val="4FA233AD"/>
    <w:rsid w:val="50831650"/>
    <w:rsid w:val="50D80245"/>
    <w:rsid w:val="51153A1E"/>
    <w:rsid w:val="51155E60"/>
    <w:rsid w:val="515A3F3F"/>
    <w:rsid w:val="52506000"/>
    <w:rsid w:val="52CD3838"/>
    <w:rsid w:val="52CD6996"/>
    <w:rsid w:val="52D53B6B"/>
    <w:rsid w:val="52D72864"/>
    <w:rsid w:val="531B5950"/>
    <w:rsid w:val="539A2647"/>
    <w:rsid w:val="53A51129"/>
    <w:rsid w:val="544669FD"/>
    <w:rsid w:val="544E58B1"/>
    <w:rsid w:val="549C0E54"/>
    <w:rsid w:val="54BA5D29"/>
    <w:rsid w:val="55796E06"/>
    <w:rsid w:val="5587107B"/>
    <w:rsid w:val="55B04E29"/>
    <w:rsid w:val="55C56D42"/>
    <w:rsid w:val="569357FD"/>
    <w:rsid w:val="56E66128"/>
    <w:rsid w:val="57474C2A"/>
    <w:rsid w:val="58C95434"/>
    <w:rsid w:val="58D00F8B"/>
    <w:rsid w:val="59FA6C11"/>
    <w:rsid w:val="5A081E6B"/>
    <w:rsid w:val="5A2E7E5F"/>
    <w:rsid w:val="5A665CB1"/>
    <w:rsid w:val="5AAF0F91"/>
    <w:rsid w:val="5AB2551B"/>
    <w:rsid w:val="5B400B41"/>
    <w:rsid w:val="5B4A5AA9"/>
    <w:rsid w:val="5B754E5D"/>
    <w:rsid w:val="5BB54350"/>
    <w:rsid w:val="5BDB3ECE"/>
    <w:rsid w:val="5BE12418"/>
    <w:rsid w:val="5BE77A78"/>
    <w:rsid w:val="5C84211D"/>
    <w:rsid w:val="5CD25909"/>
    <w:rsid w:val="5CFB08AF"/>
    <w:rsid w:val="5CFD2B7E"/>
    <w:rsid w:val="5D1B4AA0"/>
    <w:rsid w:val="5D5A0E23"/>
    <w:rsid w:val="5DE41F49"/>
    <w:rsid w:val="5DFB57D1"/>
    <w:rsid w:val="5E2B55C7"/>
    <w:rsid w:val="5E40028B"/>
    <w:rsid w:val="5F00100F"/>
    <w:rsid w:val="5F1E7FB8"/>
    <w:rsid w:val="5F622211"/>
    <w:rsid w:val="5F920F0F"/>
    <w:rsid w:val="5FE315A4"/>
    <w:rsid w:val="5FE377F5"/>
    <w:rsid w:val="60AB0CCE"/>
    <w:rsid w:val="61534F57"/>
    <w:rsid w:val="619D3031"/>
    <w:rsid w:val="619D39D4"/>
    <w:rsid w:val="61EE0476"/>
    <w:rsid w:val="61F26A64"/>
    <w:rsid w:val="61F45CEA"/>
    <w:rsid w:val="62141503"/>
    <w:rsid w:val="62364C37"/>
    <w:rsid w:val="6271010C"/>
    <w:rsid w:val="638450A9"/>
    <w:rsid w:val="638E7A78"/>
    <w:rsid w:val="63AE2FFE"/>
    <w:rsid w:val="63F16F75"/>
    <w:rsid w:val="64AD17C9"/>
    <w:rsid w:val="651C3955"/>
    <w:rsid w:val="65293EFC"/>
    <w:rsid w:val="65852E02"/>
    <w:rsid w:val="65C1502B"/>
    <w:rsid w:val="65CA4971"/>
    <w:rsid w:val="665F4929"/>
    <w:rsid w:val="66897656"/>
    <w:rsid w:val="66BC1704"/>
    <w:rsid w:val="670F297A"/>
    <w:rsid w:val="67281F92"/>
    <w:rsid w:val="67283D40"/>
    <w:rsid w:val="675E4248"/>
    <w:rsid w:val="6760469D"/>
    <w:rsid w:val="676517E2"/>
    <w:rsid w:val="676A0C1E"/>
    <w:rsid w:val="676F6E46"/>
    <w:rsid w:val="679C7632"/>
    <w:rsid w:val="67D447FA"/>
    <w:rsid w:val="68040309"/>
    <w:rsid w:val="68243893"/>
    <w:rsid w:val="68442DFB"/>
    <w:rsid w:val="68512082"/>
    <w:rsid w:val="685809D1"/>
    <w:rsid w:val="68A77496"/>
    <w:rsid w:val="69337D59"/>
    <w:rsid w:val="693F169A"/>
    <w:rsid w:val="697110F5"/>
    <w:rsid w:val="69ED4B85"/>
    <w:rsid w:val="6A10437E"/>
    <w:rsid w:val="6A260F96"/>
    <w:rsid w:val="6A5439D5"/>
    <w:rsid w:val="6AE456FE"/>
    <w:rsid w:val="6B0B0302"/>
    <w:rsid w:val="6B23319C"/>
    <w:rsid w:val="6B256F14"/>
    <w:rsid w:val="6B601CFA"/>
    <w:rsid w:val="6BA05BE6"/>
    <w:rsid w:val="6BFC19FC"/>
    <w:rsid w:val="6C0C3C2F"/>
    <w:rsid w:val="6C214A08"/>
    <w:rsid w:val="6C3E4715"/>
    <w:rsid w:val="6C6B4DFB"/>
    <w:rsid w:val="6D3B72E4"/>
    <w:rsid w:val="6D84289F"/>
    <w:rsid w:val="6D905BE5"/>
    <w:rsid w:val="6DC42A14"/>
    <w:rsid w:val="6DEE6C91"/>
    <w:rsid w:val="6E056B89"/>
    <w:rsid w:val="6E2E7E8E"/>
    <w:rsid w:val="6E3E2899"/>
    <w:rsid w:val="6ECA649A"/>
    <w:rsid w:val="6F046E40"/>
    <w:rsid w:val="6F173018"/>
    <w:rsid w:val="6F87130E"/>
    <w:rsid w:val="70516CED"/>
    <w:rsid w:val="70832B59"/>
    <w:rsid w:val="708518D9"/>
    <w:rsid w:val="70980B70"/>
    <w:rsid w:val="70AD39D7"/>
    <w:rsid w:val="70CB40BA"/>
    <w:rsid w:val="70D14725"/>
    <w:rsid w:val="70DF36C1"/>
    <w:rsid w:val="71E7082E"/>
    <w:rsid w:val="724779A2"/>
    <w:rsid w:val="72A7312D"/>
    <w:rsid w:val="72B8314D"/>
    <w:rsid w:val="74687DCC"/>
    <w:rsid w:val="746E3D62"/>
    <w:rsid w:val="747D391D"/>
    <w:rsid w:val="74913584"/>
    <w:rsid w:val="74CC682B"/>
    <w:rsid w:val="751C3136"/>
    <w:rsid w:val="762304F4"/>
    <w:rsid w:val="767752C1"/>
    <w:rsid w:val="76BA72AB"/>
    <w:rsid w:val="771B26EC"/>
    <w:rsid w:val="77552FBC"/>
    <w:rsid w:val="776B08D6"/>
    <w:rsid w:val="7773001A"/>
    <w:rsid w:val="777728A5"/>
    <w:rsid w:val="77F2017E"/>
    <w:rsid w:val="78974D4C"/>
    <w:rsid w:val="78C12006"/>
    <w:rsid w:val="78CE2999"/>
    <w:rsid w:val="78F6140C"/>
    <w:rsid w:val="79241891"/>
    <w:rsid w:val="79256331"/>
    <w:rsid w:val="79B62A43"/>
    <w:rsid w:val="7A146126"/>
    <w:rsid w:val="7A26770A"/>
    <w:rsid w:val="7A730598"/>
    <w:rsid w:val="7B195E4F"/>
    <w:rsid w:val="7B1B4402"/>
    <w:rsid w:val="7B3B169A"/>
    <w:rsid w:val="7B717A2D"/>
    <w:rsid w:val="7BA07EF1"/>
    <w:rsid w:val="7C851C45"/>
    <w:rsid w:val="7CCA3477"/>
    <w:rsid w:val="7D9C75F7"/>
    <w:rsid w:val="7DD30A52"/>
    <w:rsid w:val="7DDF73F6"/>
    <w:rsid w:val="7DDF7F54"/>
    <w:rsid w:val="7E240A93"/>
    <w:rsid w:val="7E325EBB"/>
    <w:rsid w:val="7E622B60"/>
    <w:rsid w:val="7F0F100A"/>
    <w:rsid w:val="7FA066B7"/>
    <w:rsid w:val="7FBD085D"/>
    <w:rsid w:val="7FC4347A"/>
    <w:rsid w:val="7FC93E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99"/>
    <w:pPr>
      <w:keepNext/>
      <w:keepLines/>
      <w:spacing w:before="340" w:after="330" w:line="576" w:lineRule="auto"/>
      <w:outlineLvl w:val="0"/>
    </w:pPr>
    <w:rPr>
      <w:b/>
      <w:kern w:val="44"/>
      <w:sz w:val="44"/>
    </w:rPr>
  </w:style>
  <w:style w:type="paragraph" w:styleId="5">
    <w:name w:val="heading 2"/>
    <w:basedOn w:val="1"/>
    <w:next w:val="1"/>
    <w:autoRedefine/>
    <w:qFormat/>
    <w:uiPriority w:val="0"/>
    <w:pPr>
      <w:keepNext/>
      <w:keepLines/>
      <w:spacing w:line="360" w:lineRule="auto"/>
      <w:outlineLvl w:val="1"/>
    </w:pPr>
    <w:rPr>
      <w:rFonts w:ascii="Cambria" w:hAnsi="Cambria"/>
      <w:b/>
      <w:bCs/>
      <w:szCs w:val="32"/>
    </w:rPr>
  </w:style>
  <w:style w:type="paragraph" w:styleId="6">
    <w:name w:val="heading 3"/>
    <w:basedOn w:val="1"/>
    <w:next w:val="1"/>
    <w:qFormat/>
    <w:uiPriority w:val="0"/>
    <w:pPr>
      <w:keepNext/>
      <w:keepLines/>
      <w:outlineLvl w:val="2"/>
    </w:pPr>
    <w:rPr>
      <w:b/>
      <w:bCs/>
      <w:kern w:val="0"/>
      <w:sz w:val="20"/>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autoSpaceDE w:val="0"/>
      <w:autoSpaceDN w:val="0"/>
      <w:adjustRightInd w:val="0"/>
      <w:spacing w:after="0" w:line="360" w:lineRule="auto"/>
      <w:ind w:firstLine="420"/>
    </w:pPr>
    <w:rPr>
      <w:rFonts w:ascii="宋体"/>
      <w:szCs w:val="20"/>
      <w:lang w:val="zh-CN"/>
    </w:rPr>
  </w:style>
  <w:style w:type="paragraph" w:styleId="3">
    <w:name w:val="Body Text"/>
    <w:basedOn w:val="1"/>
    <w:next w:val="2"/>
    <w:link w:val="37"/>
    <w:autoRedefine/>
    <w:qFormat/>
    <w:uiPriority w:val="0"/>
    <w:pPr>
      <w:spacing w:after="120"/>
    </w:pPr>
    <w:rPr>
      <w:sz w:val="24"/>
    </w:rPr>
  </w:style>
  <w:style w:type="paragraph" w:styleId="7">
    <w:name w:val="List Number"/>
    <w:basedOn w:val="1"/>
    <w:autoRedefine/>
    <w:qFormat/>
    <w:uiPriority w:val="0"/>
    <w:pPr>
      <w:numPr>
        <w:ilvl w:val="0"/>
        <w:numId w:val="1"/>
      </w:numPr>
    </w:pPr>
  </w:style>
  <w:style w:type="paragraph" w:styleId="8">
    <w:name w:val="Normal Indent"/>
    <w:basedOn w:val="1"/>
    <w:autoRedefine/>
    <w:qFormat/>
    <w:uiPriority w:val="0"/>
    <w:pPr>
      <w:ind w:firstLine="488"/>
    </w:pPr>
  </w:style>
  <w:style w:type="paragraph" w:styleId="9">
    <w:name w:val="annotation text"/>
    <w:basedOn w:val="1"/>
    <w:link w:val="35"/>
    <w:autoRedefine/>
    <w:qFormat/>
    <w:uiPriority w:val="0"/>
    <w:pPr>
      <w:jc w:val="left"/>
    </w:pPr>
  </w:style>
  <w:style w:type="paragraph" w:styleId="10">
    <w:name w:val="Salutation"/>
    <w:basedOn w:val="1"/>
    <w:next w:val="1"/>
    <w:autoRedefine/>
    <w:qFormat/>
    <w:uiPriority w:val="0"/>
    <w:rPr>
      <w:sz w:val="24"/>
    </w:rPr>
  </w:style>
  <w:style w:type="paragraph" w:styleId="11">
    <w:name w:val="Body Text Indent"/>
    <w:basedOn w:val="1"/>
    <w:autoRedefine/>
    <w:qFormat/>
    <w:uiPriority w:val="0"/>
    <w:pPr>
      <w:numPr>
        <w:ilvl w:val="0"/>
        <w:numId w:val="2"/>
      </w:numPr>
      <w:spacing w:line="480" w:lineRule="exact"/>
      <w:ind w:firstLine="422" w:firstLineChars="200"/>
    </w:pPr>
    <w:rPr>
      <w:rFonts w:ascii="宋体" w:hAnsi="宋体"/>
      <w:b/>
      <w:bCs/>
      <w:szCs w:val="21"/>
    </w:rPr>
  </w:style>
  <w:style w:type="paragraph" w:styleId="12">
    <w:name w:val="Plain Text"/>
    <w:basedOn w:val="1"/>
    <w:next w:val="1"/>
    <w:autoRedefine/>
    <w:qFormat/>
    <w:uiPriority w:val="0"/>
    <w:rPr>
      <w:rFonts w:ascii="宋体" w:hAnsi="Courier New" w:eastAsia="仿宋_GB2312"/>
      <w:sz w:val="30"/>
    </w:rPr>
  </w:style>
  <w:style w:type="paragraph" w:styleId="13">
    <w:name w:val="Date"/>
    <w:basedOn w:val="1"/>
    <w:next w:val="1"/>
    <w:autoRedefine/>
    <w:qFormat/>
    <w:uiPriority w:val="99"/>
    <w:pPr>
      <w:ind w:left="100" w:leftChars="2500"/>
    </w:pPr>
    <w:rPr>
      <w:rFonts w:ascii="Times New Roman" w:hAnsi="Times New Roman"/>
    </w:rPr>
  </w:style>
  <w:style w:type="paragraph" w:styleId="14">
    <w:name w:val="Body Text Indent 2"/>
    <w:basedOn w:val="1"/>
    <w:autoRedefine/>
    <w:qFormat/>
    <w:uiPriority w:val="99"/>
    <w:pPr>
      <w:snapToGrid w:val="0"/>
      <w:ind w:firstLine="542" w:firstLineChars="225"/>
    </w:pPr>
    <w:rPr>
      <w:kern w:val="0"/>
      <w:sz w:val="24"/>
    </w:rPr>
  </w:style>
  <w:style w:type="paragraph" w:styleId="15">
    <w:name w:val="Balloon Text"/>
    <w:basedOn w:val="1"/>
    <w:link w:val="69"/>
    <w:autoRedefine/>
    <w:qFormat/>
    <w:uiPriority w:val="0"/>
    <w:rPr>
      <w:sz w:val="18"/>
      <w:szCs w:val="18"/>
    </w:rPr>
  </w:style>
  <w:style w:type="paragraph" w:styleId="16">
    <w:name w:val="footer"/>
    <w:basedOn w:val="1"/>
    <w:autoRedefine/>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17">
    <w:name w:val="envelope return"/>
    <w:basedOn w:val="1"/>
    <w:qFormat/>
    <w:uiPriority w:val="0"/>
    <w:pPr>
      <w:snapToGrid w:val="0"/>
    </w:pPr>
    <w:rPr>
      <w:rFonts w:ascii="Arial" w:hAnsi="Arial"/>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6"/>
    <w:basedOn w:val="1"/>
    <w:next w:val="1"/>
    <w:autoRedefine/>
    <w:qFormat/>
    <w:uiPriority w:val="0"/>
    <w:pPr>
      <w:ind w:left="1050"/>
      <w:jc w:val="left"/>
    </w:pPr>
    <w:rPr>
      <w:rFonts w:ascii="等线" w:hAnsi="等线" w:eastAsia="等线"/>
      <w:sz w:val="18"/>
      <w:szCs w:val="18"/>
    </w:rPr>
  </w:style>
  <w:style w:type="paragraph" w:styleId="20">
    <w:name w:val="Normal (Web)"/>
    <w:basedOn w:val="1"/>
    <w:autoRedefine/>
    <w:qFormat/>
    <w:uiPriority w:val="99"/>
    <w:pPr>
      <w:spacing w:before="100" w:beforeAutospacing="1" w:after="100" w:afterAutospacing="1"/>
      <w:jc w:val="left"/>
    </w:pPr>
    <w:rPr>
      <w:kern w:val="0"/>
      <w:sz w:val="24"/>
    </w:rPr>
  </w:style>
  <w:style w:type="paragraph" w:styleId="21">
    <w:name w:val="Title"/>
    <w:basedOn w:val="1"/>
    <w:next w:val="1"/>
    <w:autoRedefine/>
    <w:qFormat/>
    <w:uiPriority w:val="99"/>
    <w:pPr>
      <w:spacing w:before="240" w:after="60"/>
      <w:jc w:val="center"/>
      <w:outlineLvl w:val="0"/>
    </w:pPr>
    <w:rPr>
      <w:rFonts w:ascii="Cambria" w:hAnsi="Cambria"/>
      <w:b/>
      <w:bCs/>
      <w:kern w:val="0"/>
      <w:sz w:val="32"/>
      <w:szCs w:val="32"/>
    </w:rPr>
  </w:style>
  <w:style w:type="paragraph" w:styleId="22">
    <w:name w:val="Body Text First Indent 2"/>
    <w:basedOn w:val="11"/>
    <w:next w:val="3"/>
    <w:qFormat/>
    <w:uiPriority w:val="0"/>
    <w:pPr>
      <w:ind w:firstLine="420" w:firstLineChars="200"/>
    </w:pPr>
  </w:style>
  <w:style w:type="table" w:styleId="24">
    <w:name w:val="Table Grid"/>
    <w:basedOn w:val="23"/>
    <w:autoRedefine/>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style>
  <w:style w:type="character" w:styleId="27">
    <w:name w:val="page number"/>
    <w:basedOn w:val="25"/>
    <w:autoRedefine/>
    <w:qFormat/>
    <w:uiPriority w:val="0"/>
  </w:style>
  <w:style w:type="character" w:styleId="28">
    <w:name w:val="Hyperlink"/>
    <w:basedOn w:val="25"/>
    <w:autoRedefine/>
    <w:qFormat/>
    <w:uiPriority w:val="99"/>
    <w:rPr>
      <w:color w:val="0000FF"/>
      <w:u w:val="single"/>
    </w:rPr>
  </w:style>
  <w:style w:type="character" w:styleId="29">
    <w:name w:val="annotation reference"/>
    <w:basedOn w:val="25"/>
    <w:autoRedefine/>
    <w:qFormat/>
    <w:uiPriority w:val="0"/>
    <w:rPr>
      <w:sz w:val="21"/>
      <w:szCs w:val="21"/>
    </w:rPr>
  </w:style>
  <w:style w:type="character" w:styleId="30">
    <w:name w:val="HTML Sample"/>
    <w:basedOn w:val="25"/>
    <w:qFormat/>
    <w:uiPriority w:val="0"/>
    <w:rPr>
      <w:rFonts w:ascii="Courier New" w:hAnsi="Courier New"/>
    </w:rPr>
  </w:style>
  <w:style w:type="paragraph" w:customStyle="1" w:styleId="31">
    <w:name w:val="表格文字"/>
    <w:basedOn w:val="1"/>
    <w:next w:val="3"/>
    <w:autoRedefine/>
    <w:qFormat/>
    <w:uiPriority w:val="0"/>
    <w:pPr>
      <w:spacing w:before="25" w:after="25"/>
      <w:jc w:val="left"/>
    </w:pPr>
    <w:rPr>
      <w:spacing w:val="10"/>
      <w:kern w:val="0"/>
      <w:sz w:val="24"/>
      <w:szCs w:val="20"/>
    </w:rPr>
  </w:style>
  <w:style w:type="paragraph" w:customStyle="1" w:styleId="32">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
    <w:name w:val="_Style 2"/>
    <w:next w:val="1"/>
    <w:autoRedefine/>
    <w:qFormat/>
    <w:uiPriority w:val="1"/>
    <w:pPr>
      <w:adjustRightInd w:val="0"/>
      <w:snapToGrid w:val="0"/>
    </w:pPr>
    <w:rPr>
      <w:rFonts w:ascii="Tahoma" w:hAnsi="Tahoma" w:eastAsia="宋体" w:cs="Times New Roman"/>
      <w:sz w:val="22"/>
      <w:szCs w:val="22"/>
      <w:lang w:val="en-US" w:eastAsia="zh-CN" w:bidi="ar-SA"/>
    </w:rPr>
  </w:style>
  <w:style w:type="character" w:customStyle="1" w:styleId="34">
    <w:name w:val="批注主题 Char"/>
    <w:basedOn w:val="35"/>
    <w:link w:val="36"/>
    <w:autoRedefine/>
    <w:semiHidden/>
    <w:qFormat/>
    <w:uiPriority w:val="0"/>
    <w:rPr>
      <w:rFonts w:ascii="Calibri" w:hAnsi="Calibri"/>
      <w:b/>
      <w:bCs/>
      <w:kern w:val="2"/>
      <w:sz w:val="21"/>
      <w:szCs w:val="24"/>
    </w:rPr>
  </w:style>
  <w:style w:type="character" w:customStyle="1" w:styleId="35">
    <w:name w:val="批注文字 字符"/>
    <w:basedOn w:val="25"/>
    <w:link w:val="9"/>
    <w:autoRedefine/>
    <w:semiHidden/>
    <w:qFormat/>
    <w:uiPriority w:val="0"/>
    <w:rPr>
      <w:rFonts w:ascii="Calibri" w:hAnsi="Calibri"/>
      <w:kern w:val="2"/>
      <w:sz w:val="21"/>
      <w:szCs w:val="24"/>
    </w:rPr>
  </w:style>
  <w:style w:type="paragraph" w:customStyle="1" w:styleId="36">
    <w:name w:val="批注主题1"/>
    <w:basedOn w:val="9"/>
    <w:next w:val="9"/>
    <w:link w:val="34"/>
    <w:autoRedefine/>
    <w:qFormat/>
    <w:uiPriority w:val="0"/>
    <w:rPr>
      <w:b/>
      <w:bCs/>
    </w:rPr>
  </w:style>
  <w:style w:type="character" w:customStyle="1" w:styleId="37">
    <w:name w:val="正文文本 字符"/>
    <w:basedOn w:val="25"/>
    <w:link w:val="3"/>
    <w:autoRedefine/>
    <w:semiHidden/>
    <w:qFormat/>
    <w:uiPriority w:val="0"/>
    <w:rPr>
      <w:rFonts w:ascii="Calibri" w:hAnsi="Calibri"/>
      <w:sz w:val="24"/>
      <w:szCs w:val="24"/>
    </w:rPr>
  </w:style>
  <w:style w:type="character" w:customStyle="1" w:styleId="38">
    <w:name w:val="纯文本 Char"/>
    <w:link w:val="39"/>
    <w:autoRedefine/>
    <w:semiHidden/>
    <w:qFormat/>
    <w:uiPriority w:val="0"/>
    <w:rPr>
      <w:rFonts w:ascii="宋体" w:hAnsi="Courier New" w:eastAsia="仿宋_GB2312"/>
      <w:kern w:val="2"/>
      <w:sz w:val="30"/>
      <w:szCs w:val="24"/>
    </w:rPr>
  </w:style>
  <w:style w:type="paragraph" w:customStyle="1" w:styleId="39">
    <w:name w:val="纯文本1"/>
    <w:basedOn w:val="40"/>
    <w:link w:val="38"/>
    <w:autoRedefine/>
    <w:qFormat/>
    <w:uiPriority w:val="0"/>
    <w:pPr>
      <w:spacing w:beforeLines="50" w:afterLines="50" w:line="400" w:lineRule="exact"/>
    </w:pPr>
    <w:rPr>
      <w:rFonts w:ascii="宋体" w:hAnsi="Courier New" w:eastAsia="仿宋_GB2312"/>
      <w:sz w:val="30"/>
    </w:rPr>
  </w:style>
  <w:style w:type="paragraph" w:customStyle="1" w:styleId="40">
    <w:name w:val="正文1"/>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41">
    <w:name w:val="批注框文本 Char"/>
    <w:basedOn w:val="25"/>
    <w:link w:val="42"/>
    <w:autoRedefine/>
    <w:semiHidden/>
    <w:qFormat/>
    <w:uiPriority w:val="0"/>
    <w:rPr>
      <w:rFonts w:ascii="Calibri" w:hAnsi="Calibri"/>
      <w:kern w:val="2"/>
      <w:sz w:val="18"/>
      <w:szCs w:val="18"/>
    </w:rPr>
  </w:style>
  <w:style w:type="paragraph" w:customStyle="1" w:styleId="42">
    <w:name w:val="批注框文本1"/>
    <w:basedOn w:val="1"/>
    <w:link w:val="41"/>
    <w:autoRedefine/>
    <w:qFormat/>
    <w:uiPriority w:val="0"/>
    <w:rPr>
      <w:sz w:val="18"/>
      <w:szCs w:val="18"/>
    </w:rPr>
  </w:style>
  <w:style w:type="paragraph" w:customStyle="1" w:styleId="43">
    <w:name w:val="正文文本缩进1"/>
    <w:basedOn w:val="1"/>
    <w:autoRedefine/>
    <w:qFormat/>
    <w:uiPriority w:val="0"/>
    <w:pPr>
      <w:spacing w:line="200" w:lineRule="exact"/>
      <w:ind w:firstLine="301"/>
    </w:pPr>
    <w:rPr>
      <w:rFonts w:ascii="宋体" w:hAnsi="Courier New"/>
      <w:spacing w:val="-4"/>
      <w:kern w:val="0"/>
      <w:sz w:val="18"/>
    </w:rPr>
  </w:style>
  <w:style w:type="paragraph" w:customStyle="1" w:styleId="44">
    <w:name w:val="纯文本2"/>
    <w:basedOn w:val="1"/>
    <w:autoRedefine/>
    <w:qFormat/>
    <w:uiPriority w:val="0"/>
    <w:rPr>
      <w:rFonts w:ascii="宋体" w:hAnsi="Courier New" w:eastAsia="仿宋_GB2312"/>
      <w:sz w:val="30"/>
    </w:rPr>
  </w:style>
  <w:style w:type="paragraph" w:customStyle="1" w:styleId="45">
    <w:name w:val="普通(网站)1"/>
    <w:basedOn w:val="1"/>
    <w:autoRedefine/>
    <w:qFormat/>
    <w:uiPriority w:val="0"/>
    <w:pPr>
      <w:spacing w:beforeAutospacing="1" w:afterAutospacing="1"/>
      <w:jc w:val="left"/>
    </w:pPr>
    <w:rPr>
      <w:kern w:val="0"/>
      <w:sz w:val="24"/>
    </w:rPr>
  </w:style>
  <w:style w:type="paragraph" w:customStyle="1" w:styleId="46">
    <w:name w:val="正文缩进1"/>
    <w:basedOn w:val="1"/>
    <w:autoRedefine/>
    <w:qFormat/>
    <w:uiPriority w:val="0"/>
    <w:pPr>
      <w:ind w:firstLine="420" w:firstLineChars="200"/>
    </w:pPr>
  </w:style>
  <w:style w:type="paragraph" w:customStyle="1" w:styleId="47">
    <w:name w:val="正文文本 31"/>
    <w:basedOn w:val="1"/>
    <w:autoRedefine/>
    <w:qFormat/>
    <w:uiPriority w:val="0"/>
    <w:pPr>
      <w:spacing w:after="120"/>
    </w:pPr>
    <w:rPr>
      <w:kern w:val="0"/>
      <w:sz w:val="16"/>
      <w:szCs w:val="16"/>
    </w:rPr>
  </w:style>
  <w:style w:type="paragraph" w:customStyle="1" w:styleId="48">
    <w:name w:val="正文文本缩进11"/>
    <w:basedOn w:val="1"/>
    <w:autoRedefine/>
    <w:qFormat/>
    <w:uiPriority w:val="0"/>
    <w:pPr>
      <w:spacing w:line="200" w:lineRule="exact"/>
      <w:ind w:firstLine="301"/>
    </w:pPr>
    <w:rPr>
      <w:szCs w:val="20"/>
    </w:rPr>
  </w:style>
  <w:style w:type="paragraph" w:customStyle="1" w:styleId="49">
    <w:name w:val="文本块1"/>
    <w:basedOn w:val="1"/>
    <w:autoRedefine/>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50">
    <w:name w:val="正文文本缩进 21"/>
    <w:basedOn w:val="1"/>
    <w:autoRedefine/>
    <w:qFormat/>
    <w:uiPriority w:val="0"/>
    <w:pPr>
      <w:snapToGrid w:val="0"/>
      <w:ind w:firstLine="542" w:firstLineChars="225"/>
    </w:pPr>
    <w:rPr>
      <w:kern w:val="0"/>
      <w:sz w:val="24"/>
    </w:rPr>
  </w:style>
  <w:style w:type="paragraph" w:customStyle="1" w:styleId="51">
    <w:name w:val="正文文本缩进 31"/>
    <w:basedOn w:val="1"/>
    <w:autoRedefine/>
    <w:qFormat/>
    <w:uiPriority w:val="0"/>
    <w:pPr>
      <w:snapToGrid w:val="0"/>
      <w:ind w:firstLine="480" w:firstLineChars="200"/>
      <w:jc w:val="left"/>
    </w:pPr>
    <w:rPr>
      <w:rFonts w:ascii="仿宋_GB2312" w:hAnsi="宋体" w:eastAsia="仿宋_GB2312"/>
      <w:color w:val="000000"/>
      <w:sz w:val="24"/>
    </w:rPr>
  </w:style>
  <w:style w:type="paragraph" w:customStyle="1" w:styleId="52">
    <w:name w:val="普通(网站)11"/>
    <w:basedOn w:val="1"/>
    <w:autoRedefine/>
    <w:qFormat/>
    <w:uiPriority w:val="0"/>
    <w:pPr>
      <w:widowControl/>
      <w:spacing w:beforeAutospacing="1" w:afterAutospacing="1"/>
      <w:jc w:val="left"/>
    </w:pPr>
    <w:rPr>
      <w:rFonts w:ascii="宋体" w:hAnsi="宋体"/>
      <w:kern w:val="0"/>
      <w:sz w:val="24"/>
    </w:rPr>
  </w:style>
  <w:style w:type="paragraph" w:customStyle="1" w:styleId="53">
    <w:name w:val="p15"/>
    <w:basedOn w:val="1"/>
    <w:autoRedefine/>
    <w:qFormat/>
    <w:uiPriority w:val="0"/>
    <w:pPr>
      <w:widowControl/>
      <w:spacing w:line="200" w:lineRule="atLeast"/>
      <w:ind w:firstLine="301"/>
    </w:pPr>
    <w:rPr>
      <w:rFonts w:ascii="宋体" w:hAnsi="宋体" w:cs="宋体"/>
      <w:spacing w:val="-4"/>
      <w:kern w:val="0"/>
      <w:sz w:val="18"/>
      <w:szCs w:val="18"/>
    </w:rPr>
  </w:style>
  <w:style w:type="paragraph" w:customStyle="1" w:styleId="5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列表 21"/>
    <w:basedOn w:val="1"/>
    <w:autoRedefine/>
    <w:qFormat/>
    <w:uiPriority w:val="0"/>
    <w:pPr>
      <w:ind w:left="200" w:leftChars="200" w:hanging="200" w:hangingChars="200"/>
    </w:pPr>
    <w:rPr>
      <w:sz w:val="28"/>
      <w:szCs w:val="20"/>
    </w:rPr>
  </w:style>
  <w:style w:type="paragraph" w:customStyle="1" w:styleId="56">
    <w:name w:val="默认段落字体 Para Char Char Char Char Char Char Char Char Char1 Char Char Char Char"/>
    <w:basedOn w:val="1"/>
    <w:autoRedefine/>
    <w:qFormat/>
    <w:uiPriority w:val="99"/>
    <w:rPr>
      <w:rFonts w:ascii="Tahoma" w:hAnsi="Tahoma"/>
      <w:sz w:val="24"/>
      <w:szCs w:val="20"/>
    </w:rPr>
  </w:style>
  <w:style w:type="paragraph" w:customStyle="1" w:styleId="57">
    <w:name w:val="纯文本21"/>
    <w:basedOn w:val="1"/>
    <w:autoRedefine/>
    <w:qFormat/>
    <w:uiPriority w:val="0"/>
    <w:pPr>
      <w:spacing w:beforeLines="50" w:afterLines="50" w:line="400" w:lineRule="exact"/>
    </w:pPr>
    <w:rPr>
      <w:rFonts w:ascii="宋体" w:hAnsi="Courier New"/>
      <w:szCs w:val="21"/>
    </w:rPr>
  </w:style>
  <w:style w:type="paragraph" w:customStyle="1" w:styleId="58">
    <w:name w:val="彩色列表 - 强调文字颜色 11"/>
    <w:basedOn w:val="1"/>
    <w:autoRedefine/>
    <w:qFormat/>
    <w:uiPriority w:val="0"/>
    <w:pPr>
      <w:ind w:firstLine="420" w:firstLineChars="200"/>
    </w:pPr>
  </w:style>
  <w:style w:type="paragraph" w:customStyle="1" w:styleId="59">
    <w:name w:val="修订1"/>
    <w:autoRedefine/>
    <w:qFormat/>
    <w:uiPriority w:val="0"/>
    <w:rPr>
      <w:rFonts w:ascii="Calibri" w:hAnsi="Calibri" w:eastAsia="宋体" w:cs="Times New Roman"/>
      <w:kern w:val="2"/>
      <w:sz w:val="21"/>
      <w:szCs w:val="24"/>
      <w:lang w:val="en-US" w:eastAsia="zh-CN" w:bidi="ar-SA"/>
    </w:rPr>
  </w:style>
  <w:style w:type="paragraph" w:customStyle="1" w:styleId="60">
    <w:name w:val="列出段落1"/>
    <w:basedOn w:val="1"/>
    <w:autoRedefine/>
    <w:qFormat/>
    <w:uiPriority w:val="0"/>
    <w:pPr>
      <w:ind w:firstLine="420" w:firstLineChars="200"/>
    </w:pPr>
  </w:style>
  <w:style w:type="paragraph" w:customStyle="1" w:styleId="61">
    <w:name w:val="纯文本3"/>
    <w:basedOn w:val="1"/>
    <w:autoRedefine/>
    <w:qFormat/>
    <w:uiPriority w:val="0"/>
    <w:pPr>
      <w:adjustRightInd w:val="0"/>
      <w:textAlignment w:val="baseline"/>
    </w:pPr>
    <w:rPr>
      <w:rFonts w:ascii="宋体" w:hAnsi="Courier New" w:eastAsia="楷体_GB2312"/>
      <w:sz w:val="26"/>
      <w:szCs w:val="20"/>
    </w:rPr>
  </w:style>
  <w:style w:type="paragraph" w:customStyle="1" w:styleId="62">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63">
    <w:name w:val="正文段"/>
    <w:basedOn w:val="1"/>
    <w:qFormat/>
    <w:uiPriority w:val="0"/>
    <w:pPr>
      <w:numPr>
        <w:ilvl w:val="3"/>
        <w:numId w:val="3"/>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64">
    <w:name w:val="纯文本4"/>
    <w:basedOn w:val="1"/>
    <w:qFormat/>
    <w:uiPriority w:val="0"/>
    <w:pPr>
      <w:adjustRightInd w:val="0"/>
      <w:textAlignment w:val="baseline"/>
    </w:pPr>
    <w:rPr>
      <w:rFonts w:ascii="宋体" w:hAnsi="Courier New" w:eastAsia="楷体_GB2312"/>
      <w:sz w:val="26"/>
      <w:szCs w:val="20"/>
    </w:rPr>
  </w:style>
  <w:style w:type="paragraph" w:customStyle="1" w:styleId="65">
    <w:name w:val="Table Paragraph"/>
    <w:basedOn w:val="1"/>
    <w:autoRedefine/>
    <w:qFormat/>
    <w:uiPriority w:val="0"/>
    <w:pPr>
      <w:jc w:val="left"/>
    </w:pPr>
    <w:rPr>
      <w:kern w:val="0"/>
      <w:sz w:val="22"/>
      <w:szCs w:val="22"/>
      <w:lang w:eastAsia="en-US"/>
    </w:rPr>
  </w:style>
  <w:style w:type="character" w:customStyle="1" w:styleId="66">
    <w:name w:val="批注引用1"/>
    <w:basedOn w:val="25"/>
    <w:autoRedefine/>
    <w:qFormat/>
    <w:uiPriority w:val="0"/>
    <w:rPr>
      <w:sz w:val="21"/>
      <w:szCs w:val="21"/>
    </w:rPr>
  </w:style>
  <w:style w:type="character" w:customStyle="1" w:styleId="67">
    <w:name w:val="标题 2 Char Char"/>
    <w:autoRedefine/>
    <w:qFormat/>
    <w:uiPriority w:val="0"/>
    <w:rPr>
      <w:rFonts w:eastAsia="宋体"/>
      <w:kern w:val="2"/>
      <w:sz w:val="28"/>
      <w:lang w:val="en-US" w:eastAsia="zh-CN" w:bidi="ar-SA"/>
    </w:rPr>
  </w:style>
  <w:style w:type="paragraph" w:customStyle="1" w:styleId="68">
    <w:name w:val="xl30"/>
    <w:basedOn w:val="1"/>
    <w:autoRedefine/>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character" w:customStyle="1" w:styleId="69">
    <w:name w:val="批注框文本 字符"/>
    <w:basedOn w:val="25"/>
    <w:link w:val="15"/>
    <w:autoRedefine/>
    <w:qFormat/>
    <w:uiPriority w:val="0"/>
    <w:rPr>
      <w:rFonts w:ascii="Calibri" w:hAnsi="Calibri"/>
      <w:kern w:val="2"/>
      <w:sz w:val="18"/>
      <w:szCs w:val="18"/>
    </w:rPr>
  </w:style>
  <w:style w:type="paragraph" w:customStyle="1" w:styleId="70">
    <w:name w:val="列表段落1"/>
    <w:basedOn w:val="1"/>
    <w:autoRedefine/>
    <w:unhideWhenUsed/>
    <w:qFormat/>
    <w:uiPriority w:val="99"/>
    <w:pPr>
      <w:ind w:firstLine="420" w:firstLineChars="200"/>
    </w:pPr>
  </w:style>
  <w:style w:type="paragraph" w:customStyle="1" w:styleId="71">
    <w:name w:val="纯文本5"/>
    <w:basedOn w:val="1"/>
    <w:autoRedefine/>
    <w:qFormat/>
    <w:uiPriority w:val="0"/>
    <w:rPr>
      <w:rFonts w:ascii="宋体" w:hAnsi="Courier New" w:eastAsia="仿宋_GB2312"/>
      <w:sz w:val="30"/>
    </w:rPr>
  </w:style>
  <w:style w:type="paragraph" w:customStyle="1" w:styleId="72">
    <w:name w:val="文本块2"/>
    <w:basedOn w:val="1"/>
    <w:autoRedefine/>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73">
    <w:name w:val="正文文本缩进2"/>
    <w:basedOn w:val="1"/>
    <w:autoRedefine/>
    <w:qFormat/>
    <w:uiPriority w:val="0"/>
    <w:pPr>
      <w:spacing w:line="200" w:lineRule="exact"/>
      <w:ind w:firstLine="301"/>
    </w:pPr>
    <w:rPr>
      <w:rFonts w:ascii="宋体" w:hAnsi="Courier New"/>
      <w:spacing w:val="-4"/>
      <w:kern w:val="0"/>
      <w:sz w:val="18"/>
    </w:rPr>
  </w:style>
  <w:style w:type="paragraph" w:customStyle="1" w:styleId="74">
    <w:name w:val="正文文本 32"/>
    <w:basedOn w:val="1"/>
    <w:autoRedefine/>
    <w:qFormat/>
    <w:uiPriority w:val="0"/>
    <w:pPr>
      <w:spacing w:after="120"/>
    </w:pPr>
    <w:rPr>
      <w:kern w:val="0"/>
      <w:sz w:val="16"/>
      <w:szCs w:val="16"/>
    </w:rPr>
  </w:style>
  <w:style w:type="paragraph" w:customStyle="1" w:styleId="75">
    <w:name w:val="Body Text Indent1"/>
    <w:basedOn w:val="1"/>
    <w:autoRedefine/>
    <w:qFormat/>
    <w:uiPriority w:val="99"/>
    <w:pPr>
      <w:spacing w:line="200" w:lineRule="exact"/>
      <w:ind w:firstLine="301"/>
    </w:pPr>
    <w:rPr>
      <w:rFonts w:ascii="宋体" w:hAnsi="Courier New"/>
      <w:spacing w:val="-4"/>
      <w:kern w:val="0"/>
      <w:sz w:val="18"/>
    </w:rPr>
  </w:style>
  <w:style w:type="paragraph" w:customStyle="1" w:styleId="76">
    <w:name w:val="列出段落2"/>
    <w:basedOn w:val="1"/>
    <w:autoRedefine/>
    <w:unhideWhenUsed/>
    <w:qFormat/>
    <w:uiPriority w:val="99"/>
    <w:pPr>
      <w:ind w:firstLine="420" w:firstLineChars="200"/>
    </w:pPr>
  </w:style>
  <w:style w:type="paragraph" w:customStyle="1" w:styleId="77">
    <w:name w:val="p0"/>
    <w:basedOn w:val="1"/>
    <w:autoRedefine/>
    <w:qFormat/>
    <w:uiPriority w:val="0"/>
    <w:pPr>
      <w:widowControl/>
    </w:pPr>
    <w:rPr>
      <w:kern w:val="0"/>
      <w:szCs w:val="21"/>
    </w:rPr>
  </w:style>
  <w:style w:type="paragraph" w:customStyle="1" w:styleId="78">
    <w:name w:val="正文2"/>
    <w:basedOn w:val="1"/>
    <w:autoRedefine/>
    <w:qFormat/>
    <w:uiPriority w:val="0"/>
    <w:pPr>
      <w:spacing w:before="156" w:line="360" w:lineRule="auto"/>
      <w:ind w:firstLine="510" w:firstLineChars="200"/>
    </w:pPr>
    <w:rPr>
      <w:sz w:val="24"/>
      <w:szCs w:val="22"/>
    </w:rPr>
  </w:style>
  <w:style w:type="paragraph" w:customStyle="1" w:styleId="79">
    <w:name w:val="样式 正文缩进 + 首行缩进:  2 字符"/>
    <w:basedOn w:val="8"/>
    <w:autoRedefine/>
    <w:qFormat/>
    <w:uiPriority w:val="0"/>
    <w:pPr>
      <w:spacing w:line="360" w:lineRule="auto"/>
      <w:ind w:firstLine="200"/>
    </w:pPr>
    <w:rPr>
      <w:kern w:val="0"/>
      <w:sz w:val="24"/>
      <w:szCs w:val="20"/>
    </w:rPr>
  </w:style>
  <w:style w:type="paragraph" w:customStyle="1" w:styleId="80">
    <w:name w:val="标题 31"/>
    <w:basedOn w:val="1"/>
    <w:autoRedefine/>
    <w:qFormat/>
    <w:uiPriority w:val="1"/>
    <w:pPr>
      <w:keepNext/>
    </w:pPr>
    <w:rPr>
      <w:b/>
    </w:rPr>
  </w:style>
  <w:style w:type="paragraph" w:customStyle="1" w:styleId="81">
    <w:name w:val="正文（首行缩进2字符）"/>
    <w:basedOn w:val="1"/>
    <w:autoRedefine/>
    <w:qFormat/>
    <w:uiPriority w:val="0"/>
    <w:pPr>
      <w:spacing w:line="360" w:lineRule="auto"/>
      <w:ind w:firstLine="420" w:firstLineChars="200"/>
    </w:pPr>
    <w:rPr>
      <w:szCs w:val="21"/>
    </w:rPr>
  </w:style>
  <w:style w:type="paragraph" w:customStyle="1" w:styleId="82">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83">
    <w:name w:val="图"/>
    <w:basedOn w:val="1"/>
    <w:autoRedefine/>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84">
    <w:name w:val="l正文"/>
    <w:basedOn w:val="1"/>
    <w:autoRedefine/>
    <w:qFormat/>
    <w:uiPriority w:val="99"/>
    <w:pPr>
      <w:spacing w:line="300" w:lineRule="auto"/>
      <w:ind w:firstLine="200" w:firstLineChars="200"/>
      <w:jc w:val="left"/>
    </w:pPr>
    <w:rPr>
      <w:rFonts w:ascii="楷体_GB2312" w:hAnsi="Times" w:eastAsia="楷体_GB2312" w:cs="楷体_GB2312"/>
      <w:sz w:val="24"/>
    </w:rPr>
  </w:style>
  <w:style w:type="character" w:customStyle="1" w:styleId="85">
    <w:name w:val="font21"/>
    <w:basedOn w:val="25"/>
    <w:autoRedefine/>
    <w:qFormat/>
    <w:uiPriority w:val="0"/>
    <w:rPr>
      <w:rFonts w:hint="eastAsia" w:ascii="微软雅黑" w:hAnsi="微软雅黑" w:eastAsia="微软雅黑" w:cs="微软雅黑"/>
      <w:color w:val="000000"/>
      <w:sz w:val="22"/>
      <w:szCs w:val="22"/>
      <w:u w:val="none"/>
    </w:rPr>
  </w:style>
  <w:style w:type="character" w:customStyle="1" w:styleId="86">
    <w:name w:val="font71"/>
    <w:basedOn w:val="25"/>
    <w:autoRedefine/>
    <w:qFormat/>
    <w:uiPriority w:val="0"/>
    <w:rPr>
      <w:rFonts w:hint="eastAsia" w:ascii="微软雅黑" w:hAnsi="微软雅黑" w:eastAsia="微软雅黑" w:cs="微软雅黑"/>
      <w:b/>
      <w:bCs/>
      <w:color w:val="000000"/>
      <w:sz w:val="22"/>
      <w:szCs w:val="22"/>
      <w:u w:val="none"/>
    </w:rPr>
  </w:style>
  <w:style w:type="character" w:customStyle="1" w:styleId="87">
    <w:name w:val="font11"/>
    <w:basedOn w:val="25"/>
    <w:qFormat/>
    <w:uiPriority w:val="0"/>
    <w:rPr>
      <w:rFonts w:hint="eastAsia" w:ascii="宋体" w:hAnsi="宋体" w:eastAsia="宋体" w:cs="宋体"/>
      <w:b/>
      <w:bCs/>
      <w:color w:val="0070C0"/>
      <w:sz w:val="21"/>
      <w:szCs w:val="21"/>
      <w:u w:val="none"/>
    </w:rPr>
  </w:style>
  <w:style w:type="character" w:customStyle="1" w:styleId="88">
    <w:name w:val="font31"/>
    <w:basedOn w:val="25"/>
    <w:autoRedefine/>
    <w:qFormat/>
    <w:uiPriority w:val="0"/>
    <w:rPr>
      <w:rFonts w:hint="eastAsia" w:ascii="宋体" w:hAnsi="宋体" w:eastAsia="宋体" w:cs="宋体"/>
      <w:color w:val="1F497D"/>
      <w:sz w:val="21"/>
      <w:szCs w:val="21"/>
      <w:u w:val="none"/>
    </w:rPr>
  </w:style>
  <w:style w:type="character" w:customStyle="1" w:styleId="89">
    <w:name w:val="font41"/>
    <w:basedOn w:val="25"/>
    <w:autoRedefine/>
    <w:qFormat/>
    <w:uiPriority w:val="0"/>
    <w:rPr>
      <w:rFonts w:hint="eastAsia" w:ascii="宋体" w:hAnsi="宋体" w:eastAsia="宋体" w:cs="宋体"/>
      <w:color w:val="FF0000"/>
      <w:sz w:val="21"/>
      <w:szCs w:val="21"/>
      <w:u w:val="none"/>
    </w:rPr>
  </w:style>
  <w:style w:type="character" w:customStyle="1" w:styleId="90">
    <w:name w:val="font101"/>
    <w:basedOn w:val="25"/>
    <w:autoRedefine/>
    <w:qFormat/>
    <w:uiPriority w:val="0"/>
    <w:rPr>
      <w:rFonts w:hint="eastAsia" w:ascii="宋体" w:hAnsi="宋体" w:eastAsia="宋体" w:cs="宋体"/>
      <w:b/>
      <w:bCs/>
      <w:color w:val="4F81BD"/>
      <w:sz w:val="21"/>
      <w:szCs w:val="21"/>
      <w:u w:val="none"/>
    </w:rPr>
  </w:style>
  <w:style w:type="character" w:customStyle="1" w:styleId="91">
    <w:name w:val="font51"/>
    <w:basedOn w:val="25"/>
    <w:autoRedefine/>
    <w:qFormat/>
    <w:uiPriority w:val="0"/>
    <w:rPr>
      <w:rFonts w:hint="eastAsia" w:ascii="宋体" w:hAnsi="宋体" w:eastAsia="宋体" w:cs="宋体"/>
      <w:color w:val="4F81BD"/>
      <w:sz w:val="21"/>
      <w:szCs w:val="21"/>
      <w:u w:val="none"/>
    </w:rPr>
  </w:style>
  <w:style w:type="character" w:customStyle="1" w:styleId="92">
    <w:name w:val="font61"/>
    <w:basedOn w:val="25"/>
    <w:autoRedefine/>
    <w:qFormat/>
    <w:uiPriority w:val="0"/>
    <w:rPr>
      <w:rFonts w:hint="eastAsia" w:ascii="宋体" w:hAnsi="宋体" w:eastAsia="宋体" w:cs="宋体"/>
      <w:b/>
      <w:bCs/>
      <w:color w:val="76923C"/>
      <w:sz w:val="21"/>
      <w:szCs w:val="21"/>
      <w:u w:val="none"/>
    </w:rPr>
  </w:style>
  <w:style w:type="paragraph" w:styleId="93">
    <w:name w:val="List Paragraph"/>
    <w:basedOn w:val="1"/>
    <w:autoRedefine/>
    <w:unhideWhenUsed/>
    <w:qFormat/>
    <w:uiPriority w:val="99"/>
    <w:pPr>
      <w:ind w:firstLine="420" w:firstLineChars="200"/>
    </w:pPr>
  </w:style>
  <w:style w:type="character" w:customStyle="1" w:styleId="94">
    <w:name w:val="font161"/>
    <w:basedOn w:val="25"/>
    <w:qFormat/>
    <w:uiPriority w:val="0"/>
    <w:rPr>
      <w:rFonts w:hint="eastAsia" w:ascii="宋体" w:hAnsi="宋体" w:eastAsia="宋体" w:cs="宋体"/>
      <w:b/>
      <w:bCs/>
      <w:color w:val="000000"/>
      <w:sz w:val="18"/>
      <w:szCs w:val="18"/>
      <w:u w:val="none"/>
    </w:rPr>
  </w:style>
  <w:style w:type="character" w:customStyle="1" w:styleId="95">
    <w:name w:val="font171"/>
    <w:basedOn w:val="25"/>
    <w:qFormat/>
    <w:uiPriority w:val="0"/>
    <w:rPr>
      <w:rFonts w:ascii="Calibri" w:hAnsi="Calibri" w:cs="Calibri"/>
      <w:color w:val="000000"/>
      <w:sz w:val="21"/>
      <w:szCs w:val="21"/>
      <w:u w:val="none"/>
    </w:rPr>
  </w:style>
  <w:style w:type="character" w:customStyle="1" w:styleId="96">
    <w:name w:val="font181"/>
    <w:basedOn w:val="25"/>
    <w:qFormat/>
    <w:uiPriority w:val="0"/>
    <w:rPr>
      <w:rFonts w:hint="eastAsia" w:ascii="宋体" w:hAnsi="宋体" w:eastAsia="宋体" w:cs="宋体"/>
      <w:color w:val="000000"/>
      <w:sz w:val="21"/>
      <w:szCs w:val="21"/>
      <w:u w:val="none"/>
    </w:rPr>
  </w:style>
  <w:style w:type="character" w:customStyle="1" w:styleId="97">
    <w:name w:val="font131"/>
    <w:basedOn w:val="25"/>
    <w:qFormat/>
    <w:uiPriority w:val="0"/>
    <w:rPr>
      <w:rFonts w:hint="default" w:ascii="Times New Roman" w:hAnsi="Times New Roman" w:cs="Times New Roman"/>
      <w:color w:val="000000"/>
      <w:sz w:val="20"/>
      <w:szCs w:val="20"/>
      <w:u w:val="none"/>
    </w:rPr>
  </w:style>
  <w:style w:type="character" w:customStyle="1" w:styleId="98">
    <w:name w:val="font141"/>
    <w:basedOn w:val="25"/>
    <w:qFormat/>
    <w:uiPriority w:val="0"/>
    <w:rPr>
      <w:rFonts w:hint="eastAsia" w:ascii="宋体" w:hAnsi="宋体" w:eastAsia="宋体" w:cs="宋体"/>
      <w:b/>
      <w:bCs/>
      <w:color w:val="000000"/>
      <w:sz w:val="18"/>
      <w:szCs w:val="18"/>
      <w:u w:val="none"/>
    </w:rPr>
  </w:style>
  <w:style w:type="paragraph" w:customStyle="1" w:styleId="99">
    <w:name w:val="首行缩进"/>
    <w:basedOn w:val="1"/>
    <w:next w:val="1"/>
    <w:qFormat/>
    <w:uiPriority w:val="0"/>
    <w:pPr>
      <w:spacing w:line="360" w:lineRule="auto"/>
      <w:ind w:firstLine="480" w:firstLineChars="200"/>
    </w:pPr>
    <w:rPr>
      <w:rFonts w:ascii="宋体"/>
      <w:sz w:val="24"/>
      <w:szCs w:val="20"/>
    </w:rPr>
  </w:style>
  <w:style w:type="character" w:customStyle="1" w:styleId="100">
    <w:name w:val="font91"/>
    <w:basedOn w:val="2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2585</Words>
  <Characters>3055</Characters>
  <Lines>415</Lines>
  <Paragraphs>116</Paragraphs>
  <TotalTime>29</TotalTime>
  <ScaleCrop>false</ScaleCrop>
  <LinksUpToDate>false</LinksUpToDate>
  <CharactersWithSpaces>3608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2024-05-14T23:55:00Z</dcterms:created>
  <dc:creator>胖丁</dc:creator>
  <cp:lastModifiedBy>nicole</cp:lastModifiedBy>
  <cp:lastPrinted>2023-05-19T01:21:00Z</cp:lastPrinted>
  <dcterms:modified xsi:type="dcterms:W3CDTF">2024-11-27T02:28:27Z</dcterms:modified>
  <dc:title>xbany</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9DDE2C4123E94239BCDA621087B8A939_13</vt:lpwstr>
  </property>
</Properties>
</file>